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30F10">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 xml:space="preserve"> </w:t>
      </w:r>
    </w:p>
    <w:p w14:paraId="0772E0F1">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52"/>
          <w:szCs w:val="52"/>
          <w:highlight w:val="none"/>
        </w:rPr>
      </w:pPr>
    </w:p>
    <w:p w14:paraId="63E84556">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52"/>
          <w:szCs w:val="52"/>
          <w:highlight w:val="none"/>
        </w:rPr>
      </w:pPr>
      <w:bookmarkStart w:id="0" w:name="_Hlk9544796"/>
      <w:r>
        <w:rPr>
          <w:rFonts w:hint="eastAsia" w:ascii="仿宋" w:hAnsi="仿宋" w:eastAsia="仿宋" w:cs="仿宋"/>
          <w:b/>
          <w:bCs/>
          <w:color w:val="auto"/>
          <w:sz w:val="52"/>
          <w:szCs w:val="52"/>
          <w:highlight w:val="none"/>
        </w:rPr>
        <w:t>安徽省政府采购项目</w:t>
      </w:r>
    </w:p>
    <w:p w14:paraId="5D1DFFAD">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公开招标文件示范文本</w:t>
      </w:r>
      <w:bookmarkEnd w:id="0"/>
      <w:r>
        <w:rPr>
          <w:rFonts w:hint="eastAsia" w:ascii="仿宋" w:hAnsi="仿宋" w:eastAsia="仿宋" w:cs="仿宋"/>
          <w:b/>
          <w:bCs/>
          <w:color w:val="auto"/>
          <w:sz w:val="52"/>
          <w:szCs w:val="52"/>
          <w:highlight w:val="none"/>
        </w:rPr>
        <w:t>（货物类）</w:t>
      </w:r>
    </w:p>
    <w:p w14:paraId="0FDBB861">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（2026年版）</w:t>
      </w:r>
    </w:p>
    <w:p w14:paraId="5865BEC4">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44"/>
          <w:szCs w:val="44"/>
          <w:highlight w:val="none"/>
        </w:rPr>
      </w:pPr>
    </w:p>
    <w:p w14:paraId="537EFDB0">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44"/>
          <w:szCs w:val="44"/>
          <w:highlight w:val="none"/>
        </w:rPr>
      </w:pPr>
    </w:p>
    <w:p w14:paraId="4F6DA6FF">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44"/>
          <w:szCs w:val="44"/>
          <w:highlight w:val="none"/>
        </w:rPr>
      </w:pPr>
    </w:p>
    <w:p w14:paraId="77245C16">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44"/>
          <w:szCs w:val="44"/>
          <w:highlight w:val="none"/>
        </w:rPr>
      </w:pPr>
    </w:p>
    <w:p w14:paraId="3E7054F8">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44"/>
          <w:szCs w:val="44"/>
          <w:highlight w:val="none"/>
        </w:rPr>
      </w:pPr>
    </w:p>
    <w:p w14:paraId="560AA65C">
      <w:pPr>
        <w:tabs>
          <w:tab w:val="left" w:pos="2410"/>
        </w:tabs>
        <w:autoSpaceDE w:val="0"/>
        <w:autoSpaceDN w:val="0"/>
        <w:adjustRightInd w:val="0"/>
        <w:snapToGrid w:val="0"/>
        <w:spacing w:line="360" w:lineRule="auto"/>
        <w:ind w:firstLine="723" w:firstLineChars="200"/>
        <w:rPr>
          <w:rFonts w:hint="eastAsia" w:ascii="仿宋" w:hAnsi="仿宋" w:eastAsia="仿宋" w:cs="仿宋"/>
          <w:b/>
          <w:color w:val="auto"/>
          <w:spacing w:val="20"/>
          <w:kern w:val="0"/>
          <w:sz w:val="32"/>
          <w:szCs w:val="32"/>
          <w:highlight w:val="none"/>
          <w:u w:val="single"/>
          <w:lang w:eastAsia="zh-CN"/>
        </w:rPr>
      </w:pPr>
      <w:r>
        <w:rPr>
          <w:rFonts w:hint="eastAsia" w:ascii="仿宋" w:hAnsi="仿宋" w:eastAsia="仿宋" w:cs="仿宋"/>
          <w:b/>
          <w:color w:val="auto"/>
          <w:spacing w:val="20"/>
          <w:kern w:val="0"/>
          <w:sz w:val="32"/>
          <w:szCs w:val="32"/>
          <w:highlight w:val="none"/>
        </w:rPr>
        <w:t>项目名称：</w:t>
      </w:r>
      <w:r>
        <w:rPr>
          <w:rFonts w:hint="eastAsia" w:ascii="仿宋" w:hAnsi="仿宋" w:eastAsia="仿宋" w:cs="仿宋"/>
          <w:b/>
          <w:color w:val="auto"/>
          <w:spacing w:val="20"/>
          <w:kern w:val="0"/>
          <w:sz w:val="32"/>
          <w:szCs w:val="32"/>
          <w:highlight w:val="none"/>
          <w:u w:val="single"/>
          <w:lang w:eastAsia="zh-CN"/>
        </w:rPr>
        <w:t>滁州市第一人民医院北区扩建医疗家具采购及安装项目</w:t>
      </w:r>
    </w:p>
    <w:p w14:paraId="6DAF4F25">
      <w:pPr>
        <w:tabs>
          <w:tab w:val="left" w:pos="2410"/>
        </w:tabs>
        <w:autoSpaceDE w:val="0"/>
        <w:autoSpaceDN w:val="0"/>
        <w:adjustRightInd w:val="0"/>
        <w:snapToGrid w:val="0"/>
        <w:spacing w:line="360" w:lineRule="auto"/>
        <w:ind w:firstLine="723" w:firstLineChars="200"/>
        <w:rPr>
          <w:rFonts w:hint="eastAsia" w:ascii="仿宋" w:hAnsi="仿宋" w:eastAsia="仿宋" w:cs="仿宋"/>
          <w:b/>
          <w:color w:val="auto"/>
          <w:spacing w:val="20"/>
          <w:kern w:val="0"/>
          <w:sz w:val="32"/>
          <w:szCs w:val="32"/>
          <w:highlight w:val="none"/>
        </w:rPr>
      </w:pPr>
      <w:r>
        <w:rPr>
          <w:rFonts w:hint="eastAsia" w:ascii="仿宋" w:hAnsi="仿宋" w:eastAsia="仿宋" w:cs="仿宋"/>
          <w:b/>
          <w:color w:val="auto"/>
          <w:spacing w:val="20"/>
          <w:kern w:val="0"/>
          <w:sz w:val="32"/>
          <w:szCs w:val="32"/>
          <w:highlight w:val="none"/>
        </w:rPr>
        <w:t>项目编号：</w:t>
      </w:r>
      <w:r>
        <w:rPr>
          <w:rFonts w:hint="eastAsia" w:ascii="仿宋" w:hAnsi="仿宋" w:eastAsia="仿宋" w:cs="仿宋"/>
          <w:b/>
          <w:color w:val="auto"/>
          <w:spacing w:val="20"/>
          <w:kern w:val="0"/>
          <w:sz w:val="32"/>
          <w:szCs w:val="32"/>
          <w:highlight w:val="none"/>
          <w:u w:val="single"/>
          <w:lang w:eastAsia="zh-CN"/>
        </w:rPr>
        <w:t>czsjcg202607-026</w:t>
      </w:r>
      <w:r>
        <w:rPr>
          <w:rFonts w:hint="eastAsia" w:ascii="仿宋" w:hAnsi="仿宋" w:eastAsia="仿宋" w:cs="仿宋"/>
          <w:b/>
          <w:color w:val="auto"/>
          <w:spacing w:val="20"/>
          <w:kern w:val="0"/>
          <w:sz w:val="32"/>
          <w:szCs w:val="32"/>
          <w:highlight w:val="none"/>
          <w:u w:val="single"/>
        </w:rPr>
        <w:t xml:space="preserve"> </w:t>
      </w:r>
    </w:p>
    <w:p w14:paraId="09C0C680">
      <w:pPr>
        <w:tabs>
          <w:tab w:val="left" w:pos="2410"/>
        </w:tabs>
        <w:autoSpaceDE w:val="0"/>
        <w:autoSpaceDN w:val="0"/>
        <w:adjustRightInd w:val="0"/>
        <w:snapToGrid w:val="0"/>
        <w:spacing w:line="360" w:lineRule="auto"/>
        <w:ind w:firstLine="723" w:firstLineChars="200"/>
        <w:rPr>
          <w:rFonts w:hint="eastAsia" w:ascii="仿宋" w:hAnsi="仿宋" w:eastAsia="仿宋" w:cs="仿宋"/>
          <w:b/>
          <w:color w:val="auto"/>
          <w:spacing w:val="20"/>
          <w:kern w:val="0"/>
          <w:sz w:val="32"/>
          <w:szCs w:val="32"/>
          <w:highlight w:val="none"/>
        </w:rPr>
      </w:pPr>
      <w:r>
        <w:rPr>
          <w:rFonts w:hint="eastAsia" w:ascii="仿宋" w:hAnsi="仿宋" w:eastAsia="仿宋" w:cs="仿宋"/>
          <w:b/>
          <w:color w:val="auto"/>
          <w:spacing w:val="20"/>
          <w:kern w:val="0"/>
          <w:sz w:val="32"/>
          <w:szCs w:val="32"/>
          <w:highlight w:val="none"/>
        </w:rPr>
        <w:t>采 购 人：</w:t>
      </w:r>
      <w:r>
        <w:rPr>
          <w:rFonts w:hint="eastAsia" w:ascii="仿宋" w:hAnsi="仿宋" w:eastAsia="仿宋" w:cs="仿宋"/>
          <w:b/>
          <w:color w:val="auto"/>
          <w:spacing w:val="20"/>
          <w:kern w:val="0"/>
          <w:sz w:val="32"/>
          <w:szCs w:val="32"/>
          <w:highlight w:val="none"/>
          <w:u w:val="single"/>
        </w:rPr>
        <w:t xml:space="preserve">  </w:t>
      </w:r>
      <w:r>
        <w:rPr>
          <w:rFonts w:hint="eastAsia" w:ascii="仿宋" w:hAnsi="仿宋" w:eastAsia="仿宋" w:cs="仿宋"/>
          <w:b/>
          <w:color w:val="auto"/>
          <w:spacing w:val="20"/>
          <w:kern w:val="0"/>
          <w:sz w:val="32"/>
          <w:szCs w:val="32"/>
          <w:highlight w:val="none"/>
          <w:u w:val="single"/>
          <w:lang w:eastAsia="zh-CN"/>
        </w:rPr>
        <w:t>滁州市第一人民医院</w:t>
      </w:r>
      <w:r>
        <w:rPr>
          <w:rFonts w:hint="eastAsia" w:ascii="仿宋" w:hAnsi="仿宋" w:eastAsia="仿宋" w:cs="仿宋"/>
          <w:b/>
          <w:color w:val="auto"/>
          <w:spacing w:val="20"/>
          <w:kern w:val="0"/>
          <w:sz w:val="32"/>
          <w:szCs w:val="32"/>
          <w:highlight w:val="none"/>
          <w:u w:val="single"/>
        </w:rPr>
        <w:t xml:space="preserve">  </w:t>
      </w:r>
    </w:p>
    <w:p w14:paraId="08B7A31A">
      <w:pPr>
        <w:tabs>
          <w:tab w:val="left" w:pos="2410"/>
        </w:tabs>
        <w:autoSpaceDE w:val="0"/>
        <w:autoSpaceDN w:val="0"/>
        <w:adjustRightInd w:val="0"/>
        <w:snapToGrid w:val="0"/>
        <w:spacing w:line="360" w:lineRule="auto"/>
        <w:ind w:firstLine="723" w:firstLineChars="200"/>
        <w:rPr>
          <w:rFonts w:hint="eastAsia" w:ascii="仿宋" w:hAnsi="仿宋" w:eastAsia="仿宋" w:cs="仿宋"/>
          <w:b/>
          <w:color w:val="auto"/>
          <w:spacing w:val="20"/>
          <w:kern w:val="0"/>
          <w:sz w:val="32"/>
          <w:szCs w:val="32"/>
          <w:highlight w:val="none"/>
        </w:rPr>
      </w:pPr>
      <w:r>
        <w:rPr>
          <w:rFonts w:hint="eastAsia" w:ascii="仿宋" w:hAnsi="仿宋" w:eastAsia="仿宋" w:cs="仿宋"/>
          <w:b/>
          <w:color w:val="auto"/>
          <w:spacing w:val="20"/>
          <w:kern w:val="0"/>
          <w:sz w:val="32"/>
          <w:szCs w:val="32"/>
          <w:highlight w:val="none"/>
        </w:rPr>
        <w:t>采购代理机构：</w:t>
      </w:r>
      <w:r>
        <w:rPr>
          <w:rFonts w:hint="eastAsia" w:ascii="仿宋" w:hAnsi="仿宋" w:eastAsia="仿宋" w:cs="仿宋"/>
          <w:b/>
          <w:color w:val="auto"/>
          <w:spacing w:val="20"/>
          <w:kern w:val="0"/>
          <w:sz w:val="32"/>
          <w:szCs w:val="32"/>
          <w:highlight w:val="none"/>
          <w:u w:val="single"/>
        </w:rPr>
        <w:t xml:space="preserve"> 滁州市政府采购中心</w:t>
      </w:r>
    </w:p>
    <w:p w14:paraId="4793DBB4">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44"/>
          <w:szCs w:val="44"/>
          <w:highlight w:val="none"/>
        </w:rPr>
      </w:pPr>
    </w:p>
    <w:p w14:paraId="6F07552E">
      <w:pPr>
        <w:tabs>
          <w:tab w:val="left" w:pos="2410"/>
        </w:tabs>
        <w:autoSpaceDE w:val="0"/>
        <w:autoSpaceDN w:val="0"/>
        <w:adjustRightInd w:val="0"/>
        <w:snapToGrid w:val="0"/>
        <w:spacing w:line="360" w:lineRule="auto"/>
        <w:jc w:val="center"/>
        <w:rPr>
          <w:rFonts w:hint="eastAsia" w:ascii="仿宋" w:hAnsi="仿宋" w:eastAsia="仿宋" w:cs="仿宋"/>
          <w:b/>
          <w:color w:val="auto"/>
          <w:sz w:val="36"/>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b/>
          <w:color w:val="auto"/>
          <w:sz w:val="36"/>
          <w:highlight w:val="none"/>
          <w:u w:val="single"/>
        </w:rPr>
        <w:t>2026</w:t>
      </w:r>
      <w:r>
        <w:rPr>
          <w:rFonts w:hint="eastAsia" w:ascii="仿宋" w:hAnsi="仿宋" w:eastAsia="仿宋" w:cs="仿宋"/>
          <w:b/>
          <w:color w:val="auto"/>
          <w:sz w:val="36"/>
          <w:highlight w:val="none"/>
        </w:rPr>
        <w:t>年</w:t>
      </w:r>
      <w:r>
        <w:rPr>
          <w:rFonts w:hint="eastAsia" w:ascii="仿宋" w:hAnsi="仿宋" w:eastAsia="仿宋" w:cs="仿宋"/>
          <w:b/>
          <w:color w:val="auto"/>
          <w:sz w:val="36"/>
          <w:highlight w:val="none"/>
          <w:u w:val="single"/>
          <w:lang w:val="en-US" w:eastAsia="zh-CN"/>
        </w:rPr>
        <w:t>7</w:t>
      </w:r>
      <w:r>
        <w:rPr>
          <w:rFonts w:hint="eastAsia" w:ascii="仿宋" w:hAnsi="仿宋" w:eastAsia="仿宋" w:cs="仿宋"/>
          <w:b/>
          <w:color w:val="auto"/>
          <w:sz w:val="36"/>
          <w:highlight w:val="none"/>
        </w:rPr>
        <w:t>月</w:t>
      </w:r>
    </w:p>
    <w:p w14:paraId="158E9C5B">
      <w:pPr>
        <w:tabs>
          <w:tab w:val="left" w:pos="2410"/>
        </w:tabs>
        <w:autoSpaceDE w:val="0"/>
        <w:autoSpaceDN w:val="0"/>
        <w:adjustRightInd w:val="0"/>
        <w:snapToGrid w:val="0"/>
        <w:spacing w:line="360" w:lineRule="auto"/>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目  录</w:t>
      </w:r>
    </w:p>
    <w:p w14:paraId="3F16CFF6">
      <w:pPr>
        <w:pStyle w:val="21"/>
        <w:tabs>
          <w:tab w:val="right" w:leader="dot" w:pos="8306"/>
        </w:tabs>
        <w:rPr>
          <w:rFonts w:hint="eastAsia" w:ascii="仿宋" w:hAnsi="仿宋" w:eastAsia="仿宋" w:cs="仿宋"/>
          <w:color w:val="auto"/>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TOC \o "1-2" \h \z \u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"_Toc23443"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第一章  投标邀请</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_Toc23443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D97152C">
      <w:pPr>
        <w:pStyle w:val="21"/>
        <w:tabs>
          <w:tab w:val="right" w:leader="dot" w:pos="8306"/>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"_Toc31935"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第二章  投标人须知</w:t>
      </w:r>
      <w:r>
        <w:rPr>
          <w:rFonts w:hint="eastAsia" w:ascii="仿宋" w:hAnsi="仿宋" w:eastAsia="仿宋" w:cs="仿宋"/>
          <w:color w:val="auto"/>
          <w:highlight w:val="none"/>
        </w:rPr>
        <w:tab/>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p>
    <w:p w14:paraId="2CE6BE8A">
      <w:pPr>
        <w:pStyle w:val="21"/>
        <w:tabs>
          <w:tab w:val="right" w:leader="dot" w:pos="8306"/>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"_Toc10891"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第三章  采购需求</w:t>
      </w:r>
      <w:r>
        <w:rPr>
          <w:rFonts w:hint="eastAsia" w:ascii="仿宋" w:hAnsi="仿宋" w:eastAsia="仿宋" w:cs="仿宋"/>
          <w:color w:val="auto"/>
          <w:highlight w:val="none"/>
        </w:rPr>
        <w:tab/>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4</w:t>
      </w:r>
    </w:p>
    <w:p w14:paraId="38B77727">
      <w:pPr>
        <w:pStyle w:val="21"/>
        <w:tabs>
          <w:tab w:val="right" w:leader="dot" w:pos="8306"/>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"_Toc16417"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第四章  评标方法和标准（综合评分法）</w:t>
      </w:r>
      <w:r>
        <w:rPr>
          <w:rFonts w:hint="eastAsia" w:ascii="仿宋" w:hAnsi="仿宋" w:eastAsia="仿宋" w:cs="仿宋"/>
          <w:color w:val="auto"/>
          <w:highlight w:val="none"/>
        </w:rPr>
        <w:tab/>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2</w:t>
      </w:r>
    </w:p>
    <w:p w14:paraId="6C7A35CE">
      <w:pPr>
        <w:pStyle w:val="21"/>
        <w:tabs>
          <w:tab w:val="right" w:leader="dot" w:pos="8306"/>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"_Toc4682"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第五章  政府采购合同</w:t>
      </w:r>
      <w:r>
        <w:rPr>
          <w:rFonts w:hint="eastAsia" w:ascii="仿宋" w:hAnsi="仿宋" w:eastAsia="仿宋" w:cs="仿宋"/>
          <w:color w:val="auto"/>
          <w:highlight w:val="none"/>
        </w:rPr>
        <w:tab/>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2</w:t>
      </w:r>
    </w:p>
    <w:p w14:paraId="2F0B9757">
      <w:pPr>
        <w:pStyle w:val="21"/>
        <w:tabs>
          <w:tab w:val="right" w:leader="dot" w:pos="8306"/>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"_Toc22492"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第六章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2</w:t>
      </w:r>
    </w:p>
    <w:p w14:paraId="4CF7F55C">
      <w:pPr>
        <w:pStyle w:val="21"/>
        <w:tabs>
          <w:tab w:val="right" w:leader="dot" w:pos="8306"/>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"_Toc18131"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第七章</w:t>
      </w:r>
      <w:r>
        <w:rPr>
          <w:rFonts w:hint="eastAsia" w:ascii="仿宋" w:hAnsi="仿宋" w:eastAsia="仿宋" w:cs="仿宋"/>
          <w:bCs/>
          <w:color w:val="auto"/>
          <w:highlight w:val="none"/>
        </w:rPr>
        <w:t xml:space="preserve">  政府采购</w:t>
      </w:r>
      <w:r>
        <w:rPr>
          <w:rFonts w:hint="eastAsia" w:ascii="仿宋" w:hAnsi="仿宋" w:eastAsia="仿宋" w:cs="仿宋"/>
          <w:color w:val="auto"/>
          <w:highlight w:val="none"/>
        </w:rPr>
        <w:t>供应</w:t>
      </w:r>
      <w:r>
        <w:rPr>
          <w:rFonts w:hint="eastAsia" w:ascii="仿宋" w:hAnsi="仿宋" w:eastAsia="仿宋" w:cs="仿宋"/>
          <w:bCs/>
          <w:color w:val="auto"/>
          <w:highlight w:val="none"/>
        </w:rPr>
        <w:t>商询问函和质疑函范本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_Toc18131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E0DFBB1">
      <w:pPr>
        <w:spacing w:line="360" w:lineRule="auto"/>
        <w:jc w:val="center"/>
        <w:outlineLvl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fldChar w:fldCharType="end"/>
      </w:r>
      <w:bookmarkStart w:id="1" w:name="_Toc23443"/>
    </w:p>
    <w:p w14:paraId="4673DDAF">
      <w:pPr>
        <w:pStyle w:val="21"/>
        <w:tabs>
          <w:tab w:val="right" w:leader="dot" w:pos="8306"/>
        </w:tabs>
        <w:rPr>
          <w:rFonts w:hint="eastAsia" w:ascii="仿宋" w:hAnsi="仿宋" w:eastAsia="仿宋" w:cs="仿宋"/>
          <w:b/>
          <w:color w:val="auto"/>
          <w:sz w:val="28"/>
          <w:highlight w:val="none"/>
        </w:rPr>
        <w:sectPr>
          <w:footerReference r:id="rId5" w:type="default"/>
          <w:pgSz w:w="11906" w:h="16838"/>
          <w:pgMar w:top="1440" w:right="1800" w:bottom="1440" w:left="1800" w:header="851" w:footer="992" w:gutter="0"/>
          <w:pgNumType w:start="1"/>
          <w:cols w:space="425" w:num="1"/>
          <w:docGrid w:type="lines" w:linePitch="312" w:charSpace="0"/>
        </w:sectPr>
      </w:pPr>
    </w:p>
    <w:p w14:paraId="47381E79">
      <w:pPr>
        <w:spacing w:line="360" w:lineRule="auto"/>
        <w:jc w:val="center"/>
        <w:outlineLvl w:val="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第一章  投标邀请</w:t>
      </w:r>
      <w:bookmarkEnd w:id="1"/>
    </w:p>
    <w:p w14:paraId="4D7AA65B">
      <w:pPr>
        <w:keepNext/>
        <w:keepLines/>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项目概况</w:t>
      </w:r>
    </w:p>
    <w:p w14:paraId="11CBC11D">
      <w:pPr>
        <w:keepNext/>
        <w:keepLines/>
        <w:wordWrap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bidi="ar"/>
        </w:rPr>
        <w:t>滁州市第一人民医院北区扩建医疗家具采购及安装项目</w:t>
      </w:r>
      <w:r>
        <w:rPr>
          <w:rFonts w:hint="eastAsia" w:ascii="仿宋" w:hAnsi="仿宋" w:eastAsia="仿宋" w:cs="仿宋"/>
          <w:color w:val="auto"/>
          <w:sz w:val="24"/>
          <w:szCs w:val="24"/>
          <w:highlight w:val="none"/>
          <w:lang w:bidi="ar"/>
        </w:rPr>
        <w:t>的潜在投标人应在</w:t>
      </w:r>
      <w:r>
        <w:rPr>
          <w:rFonts w:hint="eastAsia" w:ascii="仿宋" w:hAnsi="仿宋" w:eastAsia="仿宋" w:cs="仿宋"/>
          <w:color w:val="auto"/>
          <w:sz w:val="24"/>
          <w:szCs w:val="24"/>
          <w:highlight w:val="none"/>
          <w:u w:val="single"/>
          <w:lang w:bidi="ar"/>
        </w:rPr>
        <w:t>滁州市公共资源交易中心网（http：//ggzy.chuzhou.gov.cn/）</w:t>
      </w:r>
      <w:r>
        <w:rPr>
          <w:rFonts w:hint="eastAsia" w:ascii="仿宋" w:hAnsi="仿宋" w:eastAsia="仿宋" w:cs="仿宋"/>
          <w:color w:val="auto"/>
          <w:sz w:val="24"/>
          <w:szCs w:val="24"/>
          <w:highlight w:val="none"/>
          <w:lang w:bidi="ar"/>
        </w:rPr>
        <w:t>获取招标文件，并于</w:t>
      </w:r>
      <w:r>
        <w:rPr>
          <w:rFonts w:hint="eastAsia" w:ascii="仿宋" w:hAnsi="仿宋" w:eastAsia="仿宋" w:cs="仿宋"/>
          <w:color w:val="auto"/>
          <w:sz w:val="24"/>
          <w:szCs w:val="24"/>
          <w:highlight w:val="none"/>
          <w:u w:val="single"/>
          <w:lang w:eastAsia="zh-CN" w:bidi="ar"/>
        </w:rPr>
        <w:t>2026年8月</w:t>
      </w:r>
      <w:r>
        <w:rPr>
          <w:rFonts w:hint="eastAsia" w:ascii="仿宋" w:hAnsi="仿宋" w:eastAsia="仿宋" w:cs="仿宋"/>
          <w:color w:val="auto"/>
          <w:sz w:val="24"/>
          <w:szCs w:val="24"/>
          <w:highlight w:val="none"/>
          <w:u w:val="single"/>
          <w:lang w:val="en-US" w:eastAsia="zh-CN" w:bidi="ar"/>
        </w:rPr>
        <w:t>7</w:t>
      </w:r>
      <w:r>
        <w:rPr>
          <w:rFonts w:hint="eastAsia" w:ascii="仿宋" w:hAnsi="仿宋" w:eastAsia="仿宋" w:cs="仿宋"/>
          <w:color w:val="auto"/>
          <w:sz w:val="24"/>
          <w:szCs w:val="24"/>
          <w:highlight w:val="none"/>
          <w:u w:val="single"/>
          <w:lang w:eastAsia="zh-CN" w:bidi="ar"/>
        </w:rPr>
        <w:t>日</w:t>
      </w:r>
      <w:r>
        <w:rPr>
          <w:rFonts w:hint="eastAsia" w:ascii="仿宋" w:hAnsi="仿宋" w:eastAsia="仿宋" w:cs="仿宋"/>
          <w:color w:val="auto"/>
          <w:sz w:val="24"/>
          <w:szCs w:val="24"/>
          <w:highlight w:val="none"/>
          <w:u w:val="single"/>
          <w:lang w:val="en-US" w:eastAsia="zh-CN" w:bidi="ar"/>
        </w:rPr>
        <w:t>8</w:t>
      </w:r>
      <w:r>
        <w:rPr>
          <w:rFonts w:hint="eastAsia" w:ascii="仿宋" w:hAnsi="仿宋" w:eastAsia="仿宋" w:cs="仿宋"/>
          <w:color w:val="auto"/>
          <w:sz w:val="24"/>
          <w:szCs w:val="24"/>
          <w:highlight w:val="none"/>
          <w:u w:val="single"/>
          <w:lang w:bidi="ar"/>
        </w:rPr>
        <w:t>点</w:t>
      </w:r>
      <w:r>
        <w:rPr>
          <w:rFonts w:hint="eastAsia" w:ascii="仿宋" w:hAnsi="仿宋" w:eastAsia="仿宋" w:cs="仿宋"/>
          <w:color w:val="auto"/>
          <w:sz w:val="24"/>
          <w:szCs w:val="24"/>
          <w:highlight w:val="none"/>
          <w:u w:val="single"/>
          <w:lang w:val="en-US" w:eastAsia="zh-CN" w:bidi="ar"/>
        </w:rPr>
        <w:t>3</w:t>
      </w:r>
      <w:r>
        <w:rPr>
          <w:rFonts w:hint="eastAsia" w:ascii="仿宋" w:hAnsi="仿宋" w:eastAsia="仿宋" w:cs="仿宋"/>
          <w:color w:val="auto"/>
          <w:sz w:val="24"/>
          <w:szCs w:val="24"/>
          <w:highlight w:val="none"/>
          <w:u w:val="single"/>
          <w:lang w:bidi="ar"/>
        </w:rPr>
        <w:t>0分</w:t>
      </w:r>
      <w:r>
        <w:rPr>
          <w:rFonts w:hint="eastAsia" w:ascii="仿宋" w:hAnsi="仿宋" w:eastAsia="仿宋" w:cs="仿宋"/>
          <w:color w:val="auto"/>
          <w:sz w:val="24"/>
          <w:szCs w:val="24"/>
          <w:highlight w:val="none"/>
          <w:lang w:bidi="ar"/>
        </w:rPr>
        <w:t>（北京时间）前递交投标文件。</w:t>
      </w:r>
    </w:p>
    <w:p w14:paraId="3D95B0E9">
      <w:pPr>
        <w:spacing w:line="420" w:lineRule="exact"/>
        <w:ind w:firstLine="437"/>
        <w:outlineLvl w:val="1"/>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一、项目基本情况</w:t>
      </w:r>
    </w:p>
    <w:p w14:paraId="71CEE13E">
      <w:pPr>
        <w:tabs>
          <w:tab w:val="left" w:pos="2410"/>
        </w:tabs>
        <w:autoSpaceDE w:val="0"/>
        <w:autoSpaceDN w:val="0"/>
        <w:adjustRightInd w:val="0"/>
        <w:snapToGrid w:val="0"/>
        <w:spacing w:line="420" w:lineRule="exact"/>
        <w:ind w:firstLine="480" w:firstLineChars="200"/>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bidi="ar"/>
        </w:rPr>
        <w:t>项目编号：</w:t>
      </w:r>
      <w:r>
        <w:rPr>
          <w:rFonts w:hint="eastAsia" w:ascii="仿宋" w:hAnsi="仿宋" w:eastAsia="仿宋" w:cs="仿宋"/>
          <w:color w:val="auto"/>
          <w:sz w:val="24"/>
          <w:szCs w:val="24"/>
          <w:highlight w:val="none"/>
          <w:lang w:eastAsia="zh-CN" w:bidi="ar"/>
        </w:rPr>
        <w:t>czsjcg202607-026</w:t>
      </w:r>
    </w:p>
    <w:p w14:paraId="0A83FB63">
      <w:pPr>
        <w:tabs>
          <w:tab w:val="left" w:pos="2410"/>
        </w:tabs>
        <w:autoSpaceDE w:val="0"/>
        <w:autoSpaceDN w:val="0"/>
        <w:adjustRightInd w:val="0"/>
        <w:snapToGrid w:val="0"/>
        <w:spacing w:line="420" w:lineRule="exact"/>
        <w:ind w:firstLine="480" w:firstLineChars="200"/>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bidi="ar"/>
        </w:rPr>
        <w:t>项目名称：</w:t>
      </w:r>
      <w:r>
        <w:rPr>
          <w:rFonts w:hint="eastAsia" w:ascii="仿宋" w:hAnsi="仿宋" w:eastAsia="仿宋" w:cs="仿宋"/>
          <w:color w:val="auto"/>
          <w:sz w:val="24"/>
          <w:szCs w:val="24"/>
          <w:highlight w:val="none"/>
          <w:lang w:eastAsia="zh-CN" w:bidi="ar"/>
        </w:rPr>
        <w:t>滁州市第一人民医院北区扩建医疗家具采购及安装项目</w:t>
      </w:r>
    </w:p>
    <w:p w14:paraId="77EEF50D">
      <w:pPr>
        <w:tabs>
          <w:tab w:val="left" w:pos="2410"/>
        </w:tabs>
        <w:autoSpaceDE w:val="0"/>
        <w:autoSpaceDN w:val="0"/>
        <w:adjustRightInd w:val="0"/>
        <w:snapToGrid w:val="0"/>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预算金额：</w:t>
      </w:r>
      <w:r>
        <w:rPr>
          <w:rFonts w:hint="eastAsia" w:ascii="仿宋" w:hAnsi="仿宋" w:eastAsia="仿宋" w:cs="仿宋"/>
          <w:color w:val="auto"/>
          <w:sz w:val="24"/>
          <w:szCs w:val="24"/>
          <w:highlight w:val="none"/>
          <w:lang w:eastAsia="zh-CN" w:bidi="ar"/>
        </w:rPr>
        <w:t>2352597.64</w:t>
      </w:r>
      <w:r>
        <w:rPr>
          <w:rFonts w:hint="eastAsia" w:ascii="仿宋" w:hAnsi="仿宋" w:eastAsia="仿宋" w:cs="仿宋"/>
          <w:color w:val="auto"/>
          <w:sz w:val="24"/>
          <w:szCs w:val="24"/>
          <w:highlight w:val="none"/>
          <w:lang w:bidi="ar"/>
        </w:rPr>
        <w:t>元</w:t>
      </w:r>
    </w:p>
    <w:p w14:paraId="45A176AB">
      <w:pPr>
        <w:tabs>
          <w:tab w:val="left" w:pos="2410"/>
        </w:tabs>
        <w:autoSpaceDE w:val="0"/>
        <w:autoSpaceDN w:val="0"/>
        <w:adjustRightInd w:val="0"/>
        <w:snapToGrid w:val="0"/>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最高限价：</w:t>
      </w:r>
      <w:r>
        <w:rPr>
          <w:rFonts w:hint="eastAsia" w:ascii="仿宋" w:hAnsi="仿宋" w:eastAsia="仿宋" w:cs="仿宋"/>
          <w:color w:val="auto"/>
          <w:sz w:val="24"/>
          <w:szCs w:val="24"/>
          <w:highlight w:val="none"/>
          <w:lang w:eastAsia="zh-CN" w:bidi="ar"/>
        </w:rPr>
        <w:t>2352597.64</w:t>
      </w:r>
      <w:r>
        <w:rPr>
          <w:rFonts w:hint="eastAsia" w:ascii="仿宋" w:hAnsi="仿宋" w:eastAsia="仿宋" w:cs="仿宋"/>
          <w:color w:val="auto"/>
          <w:sz w:val="24"/>
          <w:szCs w:val="24"/>
          <w:highlight w:val="none"/>
          <w:lang w:bidi="ar"/>
        </w:rPr>
        <w:t>元，投标报价不得高于最高限价，否则按无效投标处理。</w:t>
      </w:r>
    </w:p>
    <w:p w14:paraId="4E256BD6">
      <w:pPr>
        <w:tabs>
          <w:tab w:val="left" w:pos="2410"/>
        </w:tabs>
        <w:autoSpaceDE w:val="0"/>
        <w:autoSpaceDN w:val="0"/>
        <w:adjustRightInd w:val="0"/>
        <w:snapToGrid w:val="0"/>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采购需求：家具采购及安装。</w:t>
      </w:r>
    </w:p>
    <w:p w14:paraId="082B4572">
      <w:pPr>
        <w:tabs>
          <w:tab w:val="left" w:pos="2410"/>
        </w:tabs>
        <w:autoSpaceDE w:val="0"/>
        <w:autoSpaceDN w:val="0"/>
        <w:adjustRightInd w:val="0"/>
        <w:snapToGrid w:val="0"/>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合同履行期限：</w:t>
      </w:r>
      <w:r>
        <w:rPr>
          <w:rFonts w:hint="eastAsia" w:ascii="仿宋" w:hAnsi="仿宋" w:eastAsia="仿宋" w:cs="仿宋"/>
          <w:color w:val="auto"/>
          <w:sz w:val="24"/>
          <w:highlight w:val="none"/>
          <w:u w:val="none"/>
        </w:rPr>
        <w:t>自合同签订生效后，接到采购人通知之日起</w:t>
      </w:r>
      <w:r>
        <w:rPr>
          <w:rFonts w:hint="eastAsia" w:ascii="仿宋" w:hAnsi="仿宋" w:eastAsia="仿宋" w:cs="仿宋"/>
          <w:color w:val="auto"/>
          <w:sz w:val="24"/>
          <w:highlight w:val="none"/>
          <w:u w:val="none"/>
          <w:lang w:val="en-US" w:eastAsia="zh-CN"/>
        </w:rPr>
        <w:t>4</w:t>
      </w:r>
      <w:r>
        <w:rPr>
          <w:rFonts w:hint="eastAsia" w:ascii="仿宋" w:hAnsi="仿宋" w:eastAsia="仿宋" w:cs="仿宋"/>
          <w:color w:val="auto"/>
          <w:sz w:val="24"/>
          <w:highlight w:val="none"/>
          <w:u w:val="none"/>
        </w:rPr>
        <w:t>0个日历天内完成货物的深化设计样式的确认</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rPr>
        <w:t>供货、安装、调试工作，并验收合格交付使用</w:t>
      </w:r>
      <w:r>
        <w:rPr>
          <w:rFonts w:hint="eastAsia" w:ascii="仿宋" w:hAnsi="仿宋" w:eastAsia="仿宋" w:cs="仿宋"/>
          <w:color w:val="auto"/>
          <w:sz w:val="24"/>
          <w:szCs w:val="24"/>
          <w:highlight w:val="none"/>
          <w:lang w:bidi="ar"/>
        </w:rPr>
        <w:t>。</w:t>
      </w:r>
    </w:p>
    <w:p w14:paraId="4CFF1969">
      <w:pPr>
        <w:tabs>
          <w:tab w:val="left" w:pos="2410"/>
        </w:tabs>
        <w:autoSpaceDE w:val="0"/>
        <w:autoSpaceDN w:val="0"/>
        <w:adjustRightInd w:val="0"/>
        <w:snapToGrid w:val="0"/>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本项目不接受联合体投标。</w:t>
      </w:r>
    </w:p>
    <w:p w14:paraId="17461FEF">
      <w:pPr>
        <w:spacing w:line="420" w:lineRule="exact"/>
        <w:ind w:firstLine="437"/>
        <w:outlineLvl w:val="1"/>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二、申请人的资格要求</w:t>
      </w:r>
    </w:p>
    <w:p w14:paraId="6FCC6FC9">
      <w:pPr>
        <w:spacing w:line="420" w:lineRule="exact"/>
        <w:ind w:firstLine="435"/>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1.满足《中华人民共和国政府采购法》第二十二条规定；</w:t>
      </w:r>
    </w:p>
    <w:p w14:paraId="5FEE56F9">
      <w:pPr>
        <w:spacing w:line="42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14:paraId="4A4533BC">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3.本项目的特定资格要求：/；</w:t>
      </w:r>
    </w:p>
    <w:p w14:paraId="4E8D8A49">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4.信誉要求：投标人不得存在以下情形：</w:t>
      </w:r>
    </w:p>
    <w:p w14:paraId="775D4F37">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①被列入“信用中国”网站“失信被执行人”的；</w:t>
      </w:r>
    </w:p>
    <w:p w14:paraId="153BD3AC">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②被列入“信用中国”网站“重大税收违法失信主体”的；</w:t>
      </w:r>
    </w:p>
    <w:p w14:paraId="5FF588DF">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③被列入“信用中国”网站 “严重失信主体名单”的；</w:t>
      </w:r>
    </w:p>
    <w:p w14:paraId="7F86A978">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④在“信用中国”网站上披露的仍在公示期的严重失信行为(具体行为类别及判定依据见“信用中国”查询的严重失信行为类别及判定依据)的。</w:t>
      </w:r>
    </w:p>
    <w:p w14:paraId="35002766">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⑤被列入国家企业信用信息公示系统网站“经营异常名录”或者“严重违法失信名单”的。</w:t>
      </w:r>
    </w:p>
    <w:p w14:paraId="02F54D4C">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⑥被列入中国政府采购网站“政府采购严重违法失信行为信息记录”的。</w:t>
      </w:r>
    </w:p>
    <w:p w14:paraId="499EF0D1">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⑦前三年有行贿犯罪行为的单位和个人。</w:t>
      </w:r>
    </w:p>
    <w:p w14:paraId="0812AF69">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5.投标人所属分公司、办事处等分支机构存在第4款信誉要求①-⑦项情形之一的，接受其投标人参加本项目。</w:t>
      </w:r>
    </w:p>
    <w:p w14:paraId="182B6AA8">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备注：第4、5条按照“关于联合惩戒失信行为加强信用查询管理的通知”查询或承诺。</w:t>
      </w:r>
    </w:p>
    <w:p w14:paraId="29EA48D9">
      <w:pPr>
        <w:spacing w:line="420" w:lineRule="exact"/>
        <w:ind w:firstLine="437"/>
        <w:outlineLvl w:val="1"/>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三、获取招标文件</w:t>
      </w:r>
    </w:p>
    <w:p w14:paraId="00353423">
      <w:pPr>
        <w:spacing w:line="420" w:lineRule="exact"/>
        <w:ind w:firstLine="54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时间：</w:t>
      </w:r>
      <w:r>
        <w:rPr>
          <w:rFonts w:hint="eastAsia" w:ascii="仿宋" w:hAnsi="仿宋" w:eastAsia="仿宋" w:cs="仿宋"/>
          <w:color w:val="auto"/>
          <w:sz w:val="24"/>
          <w:szCs w:val="24"/>
          <w:highlight w:val="none"/>
          <w:u w:val="single"/>
          <w:lang w:bidi="ar"/>
        </w:rPr>
        <w:t>2026年</w:t>
      </w:r>
      <w:r>
        <w:rPr>
          <w:rFonts w:hint="eastAsia" w:ascii="仿宋" w:hAnsi="仿宋" w:eastAsia="仿宋" w:cs="仿宋"/>
          <w:color w:val="auto"/>
          <w:sz w:val="24"/>
          <w:szCs w:val="24"/>
          <w:highlight w:val="none"/>
          <w:u w:val="single"/>
          <w:lang w:val="en-US" w:eastAsia="zh-CN" w:bidi="ar"/>
        </w:rPr>
        <w:t>7</w:t>
      </w:r>
      <w:r>
        <w:rPr>
          <w:rFonts w:hint="eastAsia" w:ascii="仿宋" w:hAnsi="仿宋" w:eastAsia="仿宋" w:cs="仿宋"/>
          <w:color w:val="auto"/>
          <w:sz w:val="24"/>
          <w:szCs w:val="24"/>
          <w:highlight w:val="none"/>
          <w:u w:val="single"/>
          <w:lang w:bidi="ar"/>
        </w:rPr>
        <w:t>月</w:t>
      </w:r>
      <w:r>
        <w:rPr>
          <w:rFonts w:hint="eastAsia" w:ascii="仿宋" w:hAnsi="仿宋" w:eastAsia="仿宋" w:cs="仿宋"/>
          <w:color w:val="auto"/>
          <w:sz w:val="24"/>
          <w:szCs w:val="24"/>
          <w:highlight w:val="none"/>
          <w:u w:val="single"/>
          <w:lang w:val="en-US" w:eastAsia="zh-CN" w:bidi="ar"/>
        </w:rPr>
        <w:t>17</w:t>
      </w:r>
      <w:r>
        <w:rPr>
          <w:rFonts w:hint="eastAsia" w:ascii="仿宋" w:hAnsi="仿宋" w:eastAsia="仿宋" w:cs="仿宋"/>
          <w:color w:val="auto"/>
          <w:sz w:val="24"/>
          <w:szCs w:val="24"/>
          <w:highlight w:val="none"/>
          <w:u w:val="single"/>
          <w:lang w:bidi="ar"/>
        </w:rPr>
        <w:t>日</w:t>
      </w:r>
      <w:r>
        <w:rPr>
          <w:rFonts w:hint="eastAsia" w:ascii="仿宋" w:hAnsi="仿宋" w:eastAsia="仿宋" w:cs="仿宋"/>
          <w:color w:val="auto"/>
          <w:sz w:val="24"/>
          <w:szCs w:val="24"/>
          <w:highlight w:val="none"/>
          <w:lang w:bidi="ar"/>
        </w:rPr>
        <w:t>至</w:t>
      </w:r>
      <w:r>
        <w:rPr>
          <w:rFonts w:hint="eastAsia" w:ascii="仿宋" w:hAnsi="仿宋" w:eastAsia="仿宋" w:cs="仿宋"/>
          <w:color w:val="auto"/>
          <w:sz w:val="24"/>
          <w:szCs w:val="24"/>
          <w:highlight w:val="none"/>
          <w:u w:val="single"/>
          <w:lang w:eastAsia="zh-CN" w:bidi="ar"/>
        </w:rPr>
        <w:t>2026年8月</w:t>
      </w:r>
      <w:r>
        <w:rPr>
          <w:rFonts w:hint="eastAsia" w:ascii="仿宋" w:hAnsi="仿宋" w:eastAsia="仿宋" w:cs="仿宋"/>
          <w:color w:val="auto"/>
          <w:sz w:val="24"/>
          <w:szCs w:val="24"/>
          <w:highlight w:val="none"/>
          <w:u w:val="single"/>
          <w:lang w:val="en-US" w:eastAsia="zh-CN" w:bidi="ar"/>
        </w:rPr>
        <w:t>7</w:t>
      </w:r>
      <w:r>
        <w:rPr>
          <w:rFonts w:hint="eastAsia" w:ascii="仿宋" w:hAnsi="仿宋" w:eastAsia="仿宋" w:cs="仿宋"/>
          <w:color w:val="auto"/>
          <w:sz w:val="24"/>
          <w:szCs w:val="24"/>
          <w:highlight w:val="none"/>
          <w:u w:val="single"/>
          <w:lang w:eastAsia="zh-CN" w:bidi="ar"/>
        </w:rPr>
        <w:t>日</w:t>
      </w:r>
      <w:r>
        <w:rPr>
          <w:rFonts w:hint="eastAsia" w:ascii="仿宋" w:hAnsi="仿宋" w:eastAsia="仿宋" w:cs="仿宋"/>
          <w:color w:val="auto"/>
          <w:sz w:val="24"/>
          <w:szCs w:val="24"/>
          <w:highlight w:val="none"/>
          <w:u w:val="single"/>
          <w:lang w:bidi="ar"/>
        </w:rPr>
        <w:t>（提供期限自本公告发布之日起不得少于5个工作日）</w:t>
      </w:r>
    </w:p>
    <w:p w14:paraId="353483B2">
      <w:pPr>
        <w:spacing w:line="420" w:lineRule="exact"/>
        <w:ind w:firstLine="54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地点：滁州市公共资源交易中心网</w:t>
      </w:r>
    </w:p>
    <w:p w14:paraId="01D87F9C">
      <w:pPr>
        <w:spacing w:line="420" w:lineRule="exact"/>
        <w:ind w:firstLine="54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方式：网上下载</w:t>
      </w:r>
    </w:p>
    <w:p w14:paraId="04A5CADF">
      <w:pPr>
        <w:spacing w:line="420" w:lineRule="exact"/>
        <w:ind w:firstLine="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售价：0元</w:t>
      </w:r>
    </w:p>
    <w:p w14:paraId="750FCB5D">
      <w:pPr>
        <w:spacing w:line="420" w:lineRule="exact"/>
        <w:ind w:firstLine="437"/>
        <w:outlineLvl w:val="1"/>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四、提交投标文件截止时间、开标时间和地点</w:t>
      </w:r>
    </w:p>
    <w:p w14:paraId="701D1D86">
      <w:pPr>
        <w:spacing w:line="4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lang w:eastAsia="zh-CN" w:bidi="ar"/>
        </w:rPr>
        <w:t>2026年8月</w:t>
      </w:r>
      <w:r>
        <w:rPr>
          <w:rFonts w:hint="eastAsia" w:ascii="仿宋" w:hAnsi="仿宋" w:eastAsia="仿宋" w:cs="仿宋"/>
          <w:color w:val="auto"/>
          <w:kern w:val="0"/>
          <w:sz w:val="24"/>
          <w:szCs w:val="24"/>
          <w:highlight w:val="none"/>
          <w:u w:val="single"/>
          <w:lang w:val="en-US" w:eastAsia="zh-CN" w:bidi="ar"/>
        </w:rPr>
        <w:t>7</w:t>
      </w:r>
      <w:r>
        <w:rPr>
          <w:rFonts w:hint="eastAsia" w:ascii="仿宋" w:hAnsi="仿宋" w:eastAsia="仿宋" w:cs="仿宋"/>
          <w:color w:val="auto"/>
          <w:kern w:val="0"/>
          <w:sz w:val="24"/>
          <w:szCs w:val="24"/>
          <w:highlight w:val="none"/>
          <w:u w:val="single"/>
          <w:lang w:eastAsia="zh-CN" w:bidi="ar"/>
        </w:rPr>
        <w:t>日</w:t>
      </w:r>
      <w:r>
        <w:rPr>
          <w:rFonts w:hint="eastAsia" w:ascii="仿宋" w:hAnsi="仿宋" w:eastAsia="仿宋" w:cs="仿宋"/>
          <w:color w:val="auto"/>
          <w:kern w:val="0"/>
          <w:sz w:val="24"/>
          <w:szCs w:val="24"/>
          <w:highlight w:val="none"/>
          <w:u w:val="single"/>
          <w:lang w:val="en-US" w:eastAsia="zh-CN" w:bidi="ar"/>
        </w:rPr>
        <w:t>08</w:t>
      </w:r>
      <w:r>
        <w:rPr>
          <w:rFonts w:hint="eastAsia" w:ascii="仿宋" w:hAnsi="仿宋" w:eastAsia="仿宋" w:cs="仿宋"/>
          <w:color w:val="auto"/>
          <w:kern w:val="0"/>
          <w:sz w:val="24"/>
          <w:szCs w:val="24"/>
          <w:highlight w:val="none"/>
          <w:u w:val="single"/>
          <w:lang w:bidi="ar"/>
        </w:rPr>
        <w:t>点</w:t>
      </w:r>
      <w:r>
        <w:rPr>
          <w:rFonts w:hint="eastAsia" w:ascii="仿宋" w:hAnsi="仿宋" w:eastAsia="仿宋" w:cs="仿宋"/>
          <w:color w:val="auto"/>
          <w:kern w:val="0"/>
          <w:sz w:val="24"/>
          <w:szCs w:val="24"/>
          <w:highlight w:val="none"/>
          <w:u w:val="single"/>
          <w:lang w:val="en-US" w:eastAsia="zh-CN" w:bidi="ar"/>
        </w:rPr>
        <w:t>30</w:t>
      </w:r>
      <w:r>
        <w:rPr>
          <w:rFonts w:hint="eastAsia" w:ascii="仿宋" w:hAnsi="仿宋" w:eastAsia="仿宋" w:cs="仿宋"/>
          <w:color w:val="auto"/>
          <w:kern w:val="0"/>
          <w:sz w:val="24"/>
          <w:szCs w:val="24"/>
          <w:highlight w:val="none"/>
          <w:u w:val="single"/>
          <w:lang w:bidi="ar"/>
        </w:rPr>
        <w:t>分</w:t>
      </w:r>
      <w:r>
        <w:rPr>
          <w:rFonts w:hint="eastAsia" w:ascii="仿宋" w:hAnsi="仿宋" w:eastAsia="仿宋" w:cs="仿宋"/>
          <w:color w:val="auto"/>
          <w:kern w:val="0"/>
          <w:sz w:val="24"/>
          <w:szCs w:val="24"/>
          <w:highlight w:val="none"/>
          <w:lang w:bidi="ar"/>
        </w:rPr>
        <w:t>（北京时间）（自招标文件开始发出之日起至投标人提交投标文件截止之日止，不得少于20日）</w:t>
      </w:r>
    </w:p>
    <w:p w14:paraId="40792BF0">
      <w:pPr>
        <w:spacing w:line="4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地点：</w:t>
      </w:r>
      <w:r>
        <w:rPr>
          <w:rFonts w:hint="eastAsia" w:ascii="仿宋" w:hAnsi="仿宋" w:eastAsia="仿宋" w:cs="仿宋"/>
          <w:color w:val="auto"/>
          <w:sz w:val="24"/>
          <w:szCs w:val="24"/>
          <w:highlight w:val="none"/>
          <w:lang w:bidi="ar"/>
        </w:rPr>
        <w:t>滁州市公共资源交易平台电子交易系统</w:t>
      </w:r>
    </w:p>
    <w:p w14:paraId="07F6F324">
      <w:pPr>
        <w:spacing w:line="420" w:lineRule="exact"/>
        <w:ind w:firstLine="437"/>
        <w:outlineLvl w:val="1"/>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五、公告期限</w:t>
      </w:r>
    </w:p>
    <w:p w14:paraId="05E9DC10">
      <w:pPr>
        <w:spacing w:line="4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自本公告发布之日起5个工作日。</w:t>
      </w:r>
    </w:p>
    <w:p w14:paraId="327B0B7A">
      <w:pPr>
        <w:spacing w:line="420" w:lineRule="exact"/>
        <w:ind w:firstLine="437"/>
        <w:outlineLvl w:val="1"/>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六、其他补充事宜</w:t>
      </w:r>
    </w:p>
    <w:p w14:paraId="2EDD9988">
      <w:pPr>
        <w:wordWrap w:val="0"/>
        <w:autoSpaceDE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w:t>
      </w:r>
      <w:r>
        <w:rPr>
          <w:rFonts w:hint="eastAsia" w:ascii="仿宋" w:hAnsi="仿宋" w:eastAsia="仿宋" w:cs="仿宋"/>
          <w:color w:val="auto"/>
          <w:sz w:val="24"/>
          <w:szCs w:val="24"/>
          <w:highlight w:val="none"/>
        </w:rPr>
        <w:t>相关服务电话：（1）安徽省公共资源交易市场主体库使用相关问题（系统登录、信息登记、录入及提交、数字证书关联等）：010-86483801转5-2；（2）CA数字证书有关问题：安徽CA客服400-615-8899、0550-3019013（工作日）,CFCA客服025-66085508、0550-3801669（工作日）；（3）市场主体招标环节和投标环节系统使用问题：0512-58188516（8:00-21:00）、0550-3801701（工作日）</w:t>
      </w:r>
      <w:r>
        <w:rPr>
          <w:rFonts w:hint="eastAsia" w:ascii="仿宋" w:hAnsi="仿宋" w:eastAsia="仿宋" w:cs="仿宋"/>
          <w:color w:val="auto"/>
          <w:sz w:val="24"/>
          <w:szCs w:val="24"/>
          <w:highlight w:val="none"/>
          <w:lang w:bidi="ar"/>
        </w:rPr>
        <w:t>。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687170CA">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2.请投标人登录滁州市公共资源交易中心网站查看参加本项目的程序。（具体操作步骤和程序请参见服务指南&gt;交易须知&gt;投标人填写投标信息、下载文件及网上提问操作手册）。</w:t>
      </w:r>
    </w:p>
    <w:p w14:paraId="32970CD9">
      <w:pPr>
        <w:wordWrap w:val="0"/>
        <w:autoSpaceDE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本项目采用不见面开标（远程解密)方式，开标时投标人无须至开标现场进行解密，开标采取远程解密方式解密投标文件，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260F71BB">
      <w:pPr>
        <w:autoSpaceDE w:val="0"/>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17D610B1">
      <w:pPr>
        <w:spacing w:line="420" w:lineRule="exact"/>
        <w:ind w:firstLine="437"/>
        <w:outlineLvl w:val="1"/>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七、对本次招标提出询问，请按以下方式联系</w:t>
      </w:r>
    </w:p>
    <w:p w14:paraId="61D0BEEF">
      <w:pPr>
        <w:autoSpaceDE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1.采购人信息</w:t>
      </w:r>
    </w:p>
    <w:p w14:paraId="55E7F17C">
      <w:pPr>
        <w:wordWrap w:val="0"/>
        <w:autoSpaceDE w:val="0"/>
        <w:spacing w:line="420" w:lineRule="exact"/>
        <w:ind w:firstLine="480" w:firstLineChars="200"/>
        <w:rPr>
          <w:rFonts w:hint="eastAsia" w:ascii="仿宋" w:hAnsi="仿宋" w:eastAsia="仿宋" w:cs="仿宋"/>
          <w:color w:val="auto"/>
          <w:sz w:val="24"/>
          <w:szCs w:val="18"/>
          <w:highlight w:val="none"/>
          <w:lang w:eastAsia="zh-CN"/>
        </w:rPr>
      </w:pPr>
      <w:r>
        <w:rPr>
          <w:rFonts w:hint="eastAsia" w:ascii="仿宋" w:hAnsi="仿宋" w:eastAsia="仿宋" w:cs="仿宋"/>
          <w:color w:val="auto"/>
          <w:sz w:val="24"/>
          <w:szCs w:val="18"/>
          <w:highlight w:val="none"/>
        </w:rPr>
        <w:t>名  称：</w:t>
      </w:r>
      <w:r>
        <w:rPr>
          <w:rFonts w:hint="eastAsia" w:ascii="仿宋" w:hAnsi="仿宋" w:eastAsia="仿宋" w:cs="仿宋"/>
          <w:color w:val="auto"/>
          <w:sz w:val="24"/>
          <w:szCs w:val="18"/>
          <w:highlight w:val="none"/>
          <w:lang w:eastAsia="zh-CN"/>
        </w:rPr>
        <w:t>滁州市第一人民医院</w:t>
      </w:r>
    </w:p>
    <w:p w14:paraId="367774C5">
      <w:pPr>
        <w:wordWrap w:val="0"/>
        <w:autoSpaceDE w:val="0"/>
        <w:spacing w:line="420" w:lineRule="exact"/>
        <w:ind w:firstLine="480" w:firstLineChars="200"/>
        <w:rPr>
          <w:rFonts w:hint="eastAsia" w:ascii="仿宋" w:hAnsi="仿宋" w:eastAsia="仿宋" w:cs="仿宋"/>
          <w:color w:val="auto"/>
          <w:sz w:val="24"/>
          <w:szCs w:val="18"/>
          <w:highlight w:val="none"/>
          <w:lang w:eastAsia="zh-CN"/>
        </w:rPr>
      </w:pPr>
      <w:r>
        <w:rPr>
          <w:rFonts w:hint="eastAsia" w:ascii="仿宋" w:hAnsi="仿宋" w:eastAsia="仿宋" w:cs="仿宋"/>
          <w:color w:val="auto"/>
          <w:sz w:val="24"/>
          <w:szCs w:val="18"/>
          <w:highlight w:val="none"/>
        </w:rPr>
        <w:t>地  址：</w:t>
      </w:r>
      <w:r>
        <w:rPr>
          <w:rFonts w:hint="eastAsia" w:ascii="仿宋" w:hAnsi="仿宋" w:eastAsia="仿宋" w:cs="仿宋"/>
          <w:color w:val="auto"/>
          <w:sz w:val="24"/>
          <w:szCs w:val="18"/>
          <w:highlight w:val="none"/>
          <w:lang w:eastAsia="zh-CN"/>
        </w:rPr>
        <w:t>安徽省滁州市南谯区醉翁西路369号</w:t>
      </w:r>
    </w:p>
    <w:p w14:paraId="6A9C33FA">
      <w:pPr>
        <w:wordWrap w:val="0"/>
        <w:autoSpaceDE w:val="0"/>
        <w:spacing w:line="420" w:lineRule="exact"/>
        <w:ind w:firstLine="480" w:firstLineChars="200"/>
        <w:rPr>
          <w:rFonts w:hint="eastAsia" w:ascii="仿宋" w:hAnsi="仿宋" w:eastAsia="仿宋" w:cs="仿宋"/>
          <w:color w:val="auto"/>
          <w:sz w:val="24"/>
          <w:szCs w:val="18"/>
          <w:highlight w:val="none"/>
          <w:lang w:eastAsia="zh-CN"/>
        </w:rPr>
      </w:pPr>
      <w:r>
        <w:rPr>
          <w:rFonts w:hint="eastAsia" w:ascii="仿宋" w:hAnsi="仿宋" w:eastAsia="仿宋" w:cs="仿宋"/>
          <w:color w:val="auto"/>
          <w:sz w:val="24"/>
          <w:szCs w:val="18"/>
          <w:highlight w:val="none"/>
        </w:rPr>
        <w:t>联系人：</w:t>
      </w:r>
      <w:r>
        <w:rPr>
          <w:rFonts w:hint="eastAsia" w:ascii="仿宋" w:hAnsi="仿宋" w:eastAsia="仿宋" w:cs="仿宋"/>
          <w:color w:val="auto"/>
          <w:sz w:val="24"/>
          <w:szCs w:val="18"/>
          <w:highlight w:val="none"/>
          <w:lang w:eastAsia="zh-CN"/>
        </w:rPr>
        <w:t>招标办</w:t>
      </w:r>
    </w:p>
    <w:p w14:paraId="4BA58C15">
      <w:pPr>
        <w:wordWrap w:val="0"/>
        <w:autoSpaceDE w:val="0"/>
        <w:spacing w:line="420" w:lineRule="exact"/>
        <w:ind w:firstLine="480" w:firstLineChars="200"/>
        <w:rPr>
          <w:rFonts w:hint="eastAsia" w:ascii="仿宋" w:hAnsi="仿宋" w:eastAsia="仿宋" w:cs="仿宋"/>
          <w:color w:val="auto"/>
          <w:sz w:val="24"/>
          <w:szCs w:val="18"/>
          <w:highlight w:val="none"/>
          <w:lang w:eastAsia="zh-CN"/>
        </w:rPr>
      </w:pPr>
      <w:r>
        <w:rPr>
          <w:rFonts w:hint="eastAsia" w:ascii="仿宋" w:hAnsi="仿宋" w:eastAsia="仿宋" w:cs="仿宋"/>
          <w:color w:val="auto"/>
          <w:sz w:val="24"/>
          <w:szCs w:val="18"/>
          <w:highlight w:val="none"/>
        </w:rPr>
        <w:t>联系方式：</w:t>
      </w:r>
      <w:r>
        <w:rPr>
          <w:rFonts w:hint="eastAsia" w:ascii="仿宋" w:hAnsi="仿宋" w:eastAsia="仿宋" w:cs="仿宋"/>
          <w:color w:val="auto"/>
          <w:sz w:val="24"/>
          <w:szCs w:val="18"/>
          <w:highlight w:val="none"/>
          <w:lang w:eastAsia="zh-CN"/>
        </w:rPr>
        <w:t>0550-3526032</w:t>
      </w:r>
    </w:p>
    <w:p w14:paraId="5B6F470E">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2.采购代理机构信息</w:t>
      </w:r>
    </w:p>
    <w:p w14:paraId="16C278E1">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名  称：滁州市政府采购中心</w:t>
      </w:r>
    </w:p>
    <w:p w14:paraId="28948F38">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地  址：滁州市龙蟠大道109号房产商务大厦2楼</w:t>
      </w:r>
    </w:p>
    <w:p w14:paraId="7A68D83F">
      <w:pPr>
        <w:wordWrap w:val="0"/>
        <w:autoSpaceDE w:val="0"/>
        <w:spacing w:line="420" w:lineRule="exact"/>
        <w:ind w:firstLine="480" w:firstLineChars="200"/>
        <w:rPr>
          <w:rFonts w:hint="eastAsia" w:ascii="仿宋" w:hAnsi="仿宋" w:eastAsia="仿宋" w:cs="仿宋"/>
          <w:color w:val="auto"/>
          <w:sz w:val="24"/>
          <w:szCs w:val="18"/>
          <w:highlight w:val="none"/>
          <w:lang w:eastAsia="zh-CN"/>
        </w:rPr>
      </w:pPr>
      <w:r>
        <w:rPr>
          <w:rFonts w:hint="eastAsia" w:ascii="仿宋" w:hAnsi="仿宋" w:eastAsia="仿宋" w:cs="仿宋"/>
          <w:color w:val="auto"/>
          <w:sz w:val="24"/>
          <w:szCs w:val="18"/>
          <w:highlight w:val="none"/>
        </w:rPr>
        <w:t>联系人：</w:t>
      </w:r>
      <w:r>
        <w:rPr>
          <w:rFonts w:hint="eastAsia" w:ascii="仿宋" w:hAnsi="仿宋" w:eastAsia="仿宋" w:cs="仿宋"/>
          <w:color w:val="auto"/>
          <w:sz w:val="24"/>
          <w:szCs w:val="18"/>
          <w:highlight w:val="none"/>
          <w:lang w:eastAsia="zh-CN"/>
        </w:rPr>
        <w:t>曹思敏</w:t>
      </w:r>
    </w:p>
    <w:p w14:paraId="7BF514C1">
      <w:pPr>
        <w:wordWrap w:val="0"/>
        <w:autoSpaceDE w:val="0"/>
        <w:spacing w:line="420" w:lineRule="exact"/>
        <w:ind w:firstLine="480" w:firstLineChars="200"/>
        <w:rPr>
          <w:rFonts w:hint="eastAsia" w:ascii="仿宋" w:hAnsi="仿宋" w:eastAsia="仿宋" w:cs="仿宋"/>
          <w:color w:val="auto"/>
          <w:sz w:val="24"/>
          <w:szCs w:val="18"/>
          <w:highlight w:val="none"/>
          <w:lang w:eastAsia="zh-CN"/>
        </w:rPr>
      </w:pPr>
      <w:r>
        <w:rPr>
          <w:rFonts w:hint="eastAsia" w:ascii="仿宋" w:hAnsi="仿宋" w:eastAsia="仿宋" w:cs="仿宋"/>
          <w:color w:val="auto"/>
          <w:sz w:val="24"/>
          <w:szCs w:val="18"/>
          <w:highlight w:val="none"/>
        </w:rPr>
        <w:t>联系方式：</w:t>
      </w:r>
      <w:r>
        <w:rPr>
          <w:rFonts w:hint="eastAsia" w:ascii="仿宋" w:hAnsi="仿宋" w:eastAsia="仿宋" w:cs="仿宋"/>
          <w:color w:val="auto"/>
          <w:sz w:val="24"/>
          <w:szCs w:val="18"/>
          <w:highlight w:val="none"/>
          <w:lang w:eastAsia="zh-CN"/>
        </w:rPr>
        <w:t>0550-3519516</w:t>
      </w:r>
      <w:r>
        <w:rPr>
          <w:rFonts w:hint="eastAsia" w:ascii="仿宋" w:hAnsi="仿宋" w:eastAsia="仿宋" w:cs="仿宋"/>
          <w:color w:val="auto"/>
          <w:sz w:val="24"/>
          <w:szCs w:val="18"/>
          <w:highlight w:val="none"/>
        </w:rPr>
        <w:t xml:space="preserve"> </w:t>
      </w:r>
      <w:r>
        <w:rPr>
          <w:rFonts w:hint="eastAsia" w:ascii="仿宋" w:hAnsi="仿宋" w:eastAsia="仿宋" w:cs="仿宋"/>
          <w:color w:val="auto"/>
          <w:sz w:val="24"/>
          <w:szCs w:val="18"/>
          <w:highlight w:val="none"/>
          <w:lang w:eastAsia="zh-CN"/>
        </w:rPr>
        <w:t>18712012204</w:t>
      </w:r>
    </w:p>
    <w:p w14:paraId="0AC02C78">
      <w:pPr>
        <w:autoSpaceDE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3.政府采购监督管理部门信息</w:t>
      </w:r>
    </w:p>
    <w:p w14:paraId="567D8D16">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名  称：滁州市公共资源交易监督管理局</w:t>
      </w:r>
    </w:p>
    <w:p w14:paraId="2C943A61">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地  址：滁州市龙蟠大道109号房产大厦三楼</w:t>
      </w:r>
    </w:p>
    <w:p w14:paraId="316EB83C">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联系方式：0550-3801631</w:t>
      </w:r>
    </w:p>
    <w:p w14:paraId="385EFC1D">
      <w:pPr>
        <w:spacing w:line="360" w:lineRule="auto"/>
        <w:ind w:firstLine="437"/>
        <w:outlineLvl w:val="2"/>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br w:type="page"/>
      </w:r>
    </w:p>
    <w:p w14:paraId="03D9B895">
      <w:pPr>
        <w:spacing w:line="360" w:lineRule="auto"/>
        <w:jc w:val="center"/>
        <w:outlineLvl w:val="0"/>
        <w:rPr>
          <w:rFonts w:hint="eastAsia" w:ascii="仿宋" w:hAnsi="仿宋" w:eastAsia="仿宋" w:cs="仿宋"/>
          <w:b/>
          <w:color w:val="auto"/>
          <w:sz w:val="28"/>
          <w:highlight w:val="none"/>
        </w:rPr>
      </w:pPr>
      <w:bookmarkStart w:id="2" w:name="_Toc31935"/>
      <w:r>
        <w:rPr>
          <w:rFonts w:hint="eastAsia" w:ascii="仿宋" w:hAnsi="仿宋" w:eastAsia="仿宋" w:cs="仿宋"/>
          <w:b/>
          <w:color w:val="auto"/>
          <w:sz w:val="28"/>
          <w:highlight w:val="none"/>
        </w:rPr>
        <w:t>第二章  投标人须知</w:t>
      </w:r>
      <w:bookmarkEnd w:id="2"/>
    </w:p>
    <w:p w14:paraId="74C52708">
      <w:pPr>
        <w:spacing w:line="360" w:lineRule="auto"/>
        <w:jc w:val="center"/>
        <w:outlineLvl w:val="1"/>
        <w:rPr>
          <w:rFonts w:hint="eastAsia" w:ascii="仿宋" w:hAnsi="仿宋" w:eastAsia="仿宋" w:cs="仿宋"/>
          <w:b/>
          <w:color w:val="auto"/>
          <w:sz w:val="24"/>
          <w:highlight w:val="none"/>
        </w:rPr>
      </w:pPr>
      <w:bookmarkStart w:id="3" w:name="_Toc3114"/>
      <w:bookmarkStart w:id="4" w:name="_Toc7178"/>
      <w:r>
        <w:rPr>
          <w:rFonts w:hint="eastAsia" w:ascii="仿宋" w:hAnsi="仿宋" w:eastAsia="仿宋" w:cs="仿宋"/>
          <w:b/>
          <w:color w:val="auto"/>
          <w:sz w:val="24"/>
          <w:highlight w:val="none"/>
        </w:rPr>
        <w:t>一、投标人须知前附表</w:t>
      </w:r>
      <w:bookmarkEnd w:id="3"/>
      <w:bookmarkEnd w:id="4"/>
    </w:p>
    <w:p w14:paraId="0D529ADE">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b/>
          <w:bCs/>
          <w:color w:val="auto"/>
          <w:sz w:val="24"/>
          <w:szCs w:val="18"/>
          <w:highlight w:val="none"/>
        </w:rPr>
        <w:t>注：</w:t>
      </w:r>
      <w:r>
        <w:rPr>
          <w:rFonts w:hint="eastAsia" w:ascii="仿宋" w:hAnsi="仿宋" w:eastAsia="仿宋" w:cs="仿宋"/>
          <w:color w:val="auto"/>
          <w:sz w:val="24"/>
          <w:szCs w:val="18"/>
          <w:highlight w:val="none"/>
        </w:rPr>
        <w:t>本表是本项目的具体要求，是对投标人须知的具体补充和修改，如有不一致，以本表为准。</w:t>
      </w:r>
    </w:p>
    <w:tbl>
      <w:tblPr>
        <w:tblStyle w:val="29"/>
        <w:tblW w:w="53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2200"/>
        <w:gridCol w:w="5790"/>
      </w:tblGrid>
      <w:tr w14:paraId="5C38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0CEF0EB5">
            <w:pPr>
              <w:pStyle w:val="47"/>
              <w:widowControl w:val="0"/>
              <w:spacing w:before="0" w:beforeAutospacing="0" w:after="0" w:afterAutospacing="0"/>
              <w:rPr>
                <w:rFonts w:hint="eastAsia" w:ascii="仿宋" w:hAnsi="仿宋" w:eastAsia="仿宋" w:cs="仿宋"/>
                <w:bCs w:val="0"/>
                <w:color w:val="auto"/>
                <w:kern w:val="2"/>
                <w:sz w:val="24"/>
                <w:szCs w:val="20"/>
                <w:highlight w:val="none"/>
              </w:rPr>
            </w:pPr>
            <w:r>
              <w:rPr>
                <w:rFonts w:hint="eastAsia" w:ascii="仿宋" w:hAnsi="仿宋" w:eastAsia="仿宋" w:cs="仿宋"/>
                <w:bCs w:val="0"/>
                <w:color w:val="auto"/>
                <w:kern w:val="2"/>
                <w:sz w:val="24"/>
                <w:szCs w:val="20"/>
                <w:highlight w:val="none"/>
              </w:rPr>
              <w:t>条款号</w:t>
            </w:r>
          </w:p>
        </w:tc>
        <w:tc>
          <w:tcPr>
            <w:tcW w:w="1198" w:type="pct"/>
            <w:vAlign w:val="center"/>
          </w:tcPr>
          <w:p w14:paraId="7488A347">
            <w:pPr>
              <w:pStyle w:val="47"/>
              <w:widowControl w:val="0"/>
              <w:spacing w:before="0" w:beforeAutospacing="0" w:after="0" w:afterAutospacing="0"/>
              <w:rPr>
                <w:rFonts w:hint="eastAsia" w:ascii="仿宋" w:hAnsi="仿宋" w:eastAsia="仿宋" w:cs="仿宋"/>
                <w:bCs w:val="0"/>
                <w:color w:val="auto"/>
                <w:kern w:val="2"/>
                <w:sz w:val="24"/>
                <w:szCs w:val="20"/>
                <w:highlight w:val="none"/>
              </w:rPr>
            </w:pPr>
            <w:r>
              <w:rPr>
                <w:rFonts w:hint="eastAsia" w:ascii="仿宋" w:hAnsi="仿宋" w:eastAsia="仿宋" w:cs="仿宋"/>
                <w:bCs w:val="0"/>
                <w:color w:val="auto"/>
                <w:kern w:val="2"/>
                <w:sz w:val="24"/>
                <w:szCs w:val="20"/>
                <w:highlight w:val="none"/>
              </w:rPr>
              <w:t>条款名称</w:t>
            </w:r>
          </w:p>
        </w:tc>
        <w:tc>
          <w:tcPr>
            <w:tcW w:w="3152" w:type="pct"/>
            <w:vAlign w:val="center"/>
          </w:tcPr>
          <w:p w14:paraId="312B2D5D">
            <w:pPr>
              <w:pStyle w:val="47"/>
              <w:widowControl w:val="0"/>
              <w:spacing w:before="0" w:beforeAutospacing="0" w:after="0" w:afterAutospacing="0"/>
              <w:rPr>
                <w:rFonts w:hint="eastAsia" w:ascii="仿宋" w:hAnsi="仿宋" w:eastAsia="仿宋" w:cs="仿宋"/>
                <w:bCs w:val="0"/>
                <w:color w:val="auto"/>
                <w:kern w:val="2"/>
                <w:sz w:val="24"/>
                <w:szCs w:val="20"/>
                <w:highlight w:val="none"/>
              </w:rPr>
            </w:pPr>
            <w:r>
              <w:rPr>
                <w:rFonts w:hint="eastAsia" w:ascii="仿宋" w:hAnsi="仿宋" w:eastAsia="仿宋" w:cs="仿宋"/>
                <w:bCs w:val="0"/>
                <w:color w:val="auto"/>
                <w:kern w:val="2"/>
                <w:sz w:val="24"/>
                <w:szCs w:val="20"/>
                <w:highlight w:val="none"/>
              </w:rPr>
              <w:t>内容、说明与要求</w:t>
            </w:r>
          </w:p>
        </w:tc>
      </w:tr>
      <w:tr w14:paraId="36D2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0B61BC38">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5.2</w:t>
            </w:r>
          </w:p>
        </w:tc>
        <w:tc>
          <w:tcPr>
            <w:tcW w:w="1198" w:type="pct"/>
            <w:vAlign w:val="center"/>
          </w:tcPr>
          <w:p w14:paraId="3674CE93">
            <w:pPr>
              <w:pStyle w:val="47"/>
              <w:widowControl w:val="0"/>
              <w:spacing w:before="0" w:beforeAutospacing="0" w:after="0" w:afterAutospacing="0" w:line="360" w:lineRule="auto"/>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现场考察或标前答疑会</w:t>
            </w:r>
          </w:p>
        </w:tc>
        <w:tc>
          <w:tcPr>
            <w:tcW w:w="3152" w:type="pct"/>
            <w:vAlign w:val="center"/>
          </w:tcPr>
          <w:p w14:paraId="0B49F5C7">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sz w:val="24"/>
                <w:highlight w:val="none"/>
              </w:rPr>
              <w:t>不组织或不召开</w:t>
            </w:r>
          </w:p>
          <w:p w14:paraId="03AF9C6A">
            <w:pPr>
              <w:spacing w:line="360" w:lineRule="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统一组织或统一召开</w:t>
            </w:r>
          </w:p>
          <w:p w14:paraId="78074ACB">
            <w:pPr>
              <w:spacing w:line="360" w:lineRule="auto"/>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时间：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时</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分</w:t>
            </w:r>
          </w:p>
          <w:p w14:paraId="402C28CA">
            <w:pPr>
              <w:spacing w:line="360" w:lineRule="auto"/>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地点：</w:t>
            </w:r>
            <w:r>
              <w:rPr>
                <w:rFonts w:hint="eastAsia" w:ascii="仿宋" w:hAnsi="仿宋" w:eastAsia="仿宋" w:cs="仿宋"/>
                <w:bCs/>
                <w:color w:val="auto"/>
                <w:sz w:val="24"/>
                <w:highlight w:val="none"/>
                <w:u w:val="single"/>
              </w:rPr>
              <w:t xml:space="preserve">                       </w:t>
            </w:r>
          </w:p>
          <w:p w14:paraId="29BEE29F">
            <w:pPr>
              <w:spacing w:line="360" w:lineRule="auto"/>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联系人及联系电话：</w:t>
            </w:r>
            <w:r>
              <w:rPr>
                <w:rFonts w:hint="eastAsia" w:ascii="仿宋" w:hAnsi="仿宋" w:eastAsia="仿宋" w:cs="仿宋"/>
                <w:bCs/>
                <w:color w:val="auto"/>
                <w:sz w:val="24"/>
                <w:highlight w:val="none"/>
                <w:u w:val="single"/>
              </w:rPr>
              <w:t xml:space="preserve">           </w:t>
            </w:r>
          </w:p>
          <w:p w14:paraId="7DF7FCCD">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F98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6FE6FC75">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6.1</w:t>
            </w:r>
          </w:p>
        </w:tc>
        <w:tc>
          <w:tcPr>
            <w:tcW w:w="1198" w:type="pct"/>
            <w:vAlign w:val="center"/>
          </w:tcPr>
          <w:p w14:paraId="4C200739">
            <w:pPr>
              <w:pStyle w:val="47"/>
              <w:widowControl w:val="0"/>
              <w:spacing w:before="0" w:beforeAutospacing="0" w:after="0" w:afterAutospacing="0"/>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网上询问截止时间</w:t>
            </w:r>
          </w:p>
        </w:tc>
        <w:tc>
          <w:tcPr>
            <w:tcW w:w="3152" w:type="pct"/>
            <w:vAlign w:val="center"/>
          </w:tcPr>
          <w:p w14:paraId="4772CA1C">
            <w:pPr>
              <w:pStyle w:val="47"/>
              <w:widowControl w:val="0"/>
              <w:spacing w:before="0" w:beforeAutospacing="0" w:after="0" w:afterAutospacing="0"/>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u w:val="single"/>
              </w:rPr>
              <w:t>2026</w:t>
            </w:r>
            <w:r>
              <w:rPr>
                <w:rFonts w:hint="eastAsia" w:ascii="仿宋" w:hAnsi="仿宋" w:eastAsia="仿宋" w:cs="仿宋"/>
                <w:b w:val="0"/>
                <w:color w:val="auto"/>
                <w:sz w:val="24"/>
                <w:highlight w:val="none"/>
              </w:rPr>
              <w:t>年</w:t>
            </w:r>
            <w:r>
              <w:rPr>
                <w:rFonts w:hint="eastAsia" w:ascii="仿宋" w:hAnsi="仿宋" w:eastAsia="仿宋" w:cs="仿宋"/>
                <w:b w:val="0"/>
                <w:color w:val="auto"/>
                <w:sz w:val="24"/>
                <w:highlight w:val="none"/>
                <w:u w:val="single"/>
                <w:lang w:val="en-US" w:eastAsia="zh-CN"/>
              </w:rPr>
              <w:t xml:space="preserve"> 7 </w:t>
            </w:r>
            <w:r>
              <w:rPr>
                <w:rFonts w:hint="eastAsia" w:ascii="仿宋" w:hAnsi="仿宋" w:eastAsia="仿宋" w:cs="仿宋"/>
                <w:b w:val="0"/>
                <w:color w:val="auto"/>
                <w:sz w:val="24"/>
                <w:highlight w:val="none"/>
              </w:rPr>
              <w:t>月</w:t>
            </w:r>
            <w:r>
              <w:rPr>
                <w:rFonts w:hint="eastAsia" w:ascii="仿宋" w:hAnsi="仿宋" w:eastAsia="仿宋" w:cs="仿宋"/>
                <w:b w:val="0"/>
                <w:color w:val="auto"/>
                <w:sz w:val="24"/>
                <w:highlight w:val="none"/>
                <w:u w:val="single"/>
                <w:lang w:val="en-US" w:eastAsia="zh-CN"/>
              </w:rPr>
              <w:t xml:space="preserve"> 24 </w:t>
            </w:r>
            <w:r>
              <w:rPr>
                <w:rFonts w:hint="eastAsia" w:ascii="仿宋" w:hAnsi="仿宋" w:eastAsia="仿宋" w:cs="仿宋"/>
                <w:b w:val="0"/>
                <w:color w:val="auto"/>
                <w:sz w:val="24"/>
                <w:highlight w:val="none"/>
              </w:rPr>
              <w:t>日</w:t>
            </w:r>
            <w:r>
              <w:rPr>
                <w:rFonts w:hint="eastAsia" w:ascii="仿宋" w:hAnsi="仿宋" w:eastAsia="仿宋" w:cs="仿宋"/>
                <w:b w:val="0"/>
                <w:color w:val="auto"/>
                <w:sz w:val="24"/>
                <w:highlight w:val="none"/>
                <w:u w:val="single"/>
              </w:rPr>
              <w:t>17</w:t>
            </w:r>
            <w:r>
              <w:rPr>
                <w:rFonts w:hint="eastAsia" w:ascii="仿宋" w:hAnsi="仿宋" w:eastAsia="仿宋" w:cs="仿宋"/>
                <w:b w:val="0"/>
                <w:color w:val="auto"/>
                <w:sz w:val="24"/>
                <w:highlight w:val="none"/>
              </w:rPr>
              <w:t>时</w:t>
            </w:r>
            <w:r>
              <w:rPr>
                <w:rFonts w:hint="eastAsia" w:ascii="仿宋" w:hAnsi="仿宋" w:eastAsia="仿宋" w:cs="仿宋"/>
                <w:b w:val="0"/>
                <w:color w:val="auto"/>
                <w:sz w:val="24"/>
                <w:highlight w:val="none"/>
                <w:u w:val="single"/>
              </w:rPr>
              <w:t>30</w:t>
            </w:r>
            <w:r>
              <w:rPr>
                <w:rFonts w:hint="eastAsia" w:ascii="仿宋" w:hAnsi="仿宋" w:eastAsia="仿宋" w:cs="仿宋"/>
                <w:b w:val="0"/>
                <w:color w:val="auto"/>
                <w:sz w:val="24"/>
                <w:highlight w:val="none"/>
              </w:rPr>
              <w:t>分</w:t>
            </w:r>
          </w:p>
        </w:tc>
      </w:tr>
      <w:tr w14:paraId="60DB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790FBD43">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7.1</w:t>
            </w:r>
          </w:p>
        </w:tc>
        <w:tc>
          <w:tcPr>
            <w:tcW w:w="1198" w:type="pct"/>
            <w:vAlign w:val="center"/>
          </w:tcPr>
          <w:p w14:paraId="5D1E3225">
            <w:pPr>
              <w:pStyle w:val="47"/>
              <w:widowControl w:val="0"/>
              <w:spacing w:before="0" w:beforeAutospacing="0" w:after="0" w:afterAutospacing="0"/>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包别划分</w:t>
            </w:r>
          </w:p>
        </w:tc>
        <w:tc>
          <w:tcPr>
            <w:tcW w:w="3152" w:type="pct"/>
            <w:vAlign w:val="center"/>
          </w:tcPr>
          <w:p w14:paraId="4C6FFB02">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color w:val="auto"/>
                <w:sz w:val="24"/>
                <w:highlight w:val="none"/>
              </w:rPr>
              <w:t>不分包     □分为  个包</w:t>
            </w:r>
          </w:p>
          <w:p w14:paraId="3B69309D">
            <w:pPr>
              <w:pStyle w:val="47"/>
              <w:widowControl w:val="0"/>
              <w:spacing w:before="0" w:beforeAutospacing="0" w:after="0" w:afterAutospacing="0"/>
              <w:jc w:val="both"/>
              <w:rPr>
                <w:rFonts w:hint="eastAsia" w:ascii="仿宋" w:hAnsi="仿宋" w:eastAsia="仿宋" w:cs="仿宋"/>
                <w:b w:val="0"/>
                <w:color w:val="auto"/>
                <w:sz w:val="24"/>
                <w:highlight w:val="none"/>
                <w:u w:val="single"/>
              </w:rPr>
            </w:pPr>
            <w:r>
              <w:rPr>
                <w:rFonts w:hint="eastAsia" w:ascii="仿宋" w:hAnsi="仿宋" w:eastAsia="仿宋" w:cs="仿宋"/>
                <w:b w:val="0"/>
                <w:color w:val="auto"/>
                <w:sz w:val="24"/>
                <w:highlight w:val="none"/>
              </w:rPr>
              <w:t>投标人对多个包进行投标的中标包数规定：</w:t>
            </w:r>
            <w:r>
              <w:rPr>
                <w:rFonts w:hint="eastAsia" w:ascii="仿宋" w:hAnsi="仿宋" w:eastAsia="仿宋" w:cs="仿宋"/>
                <w:b w:val="0"/>
                <w:bCs w:val="0"/>
                <w:color w:val="auto"/>
                <w:sz w:val="24"/>
                <w:szCs w:val="18"/>
                <w:highlight w:val="none"/>
                <w:u w:val="single"/>
              </w:rPr>
              <w:t xml:space="preserve">        </w:t>
            </w:r>
          </w:p>
        </w:tc>
      </w:tr>
      <w:tr w14:paraId="7176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8" w:type="pct"/>
            <w:vAlign w:val="center"/>
          </w:tcPr>
          <w:p w14:paraId="6CA34F5D">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10.1</w:t>
            </w:r>
          </w:p>
        </w:tc>
        <w:tc>
          <w:tcPr>
            <w:tcW w:w="1198" w:type="pct"/>
            <w:vAlign w:val="center"/>
          </w:tcPr>
          <w:p w14:paraId="117EF1A2">
            <w:pPr>
              <w:pStyle w:val="47"/>
              <w:widowControl w:val="0"/>
              <w:spacing w:before="0" w:beforeAutospacing="0" w:after="0" w:afterAutospacing="0" w:line="360" w:lineRule="auto"/>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投标保证金</w:t>
            </w:r>
          </w:p>
        </w:tc>
        <w:tc>
          <w:tcPr>
            <w:tcW w:w="3152" w:type="pct"/>
            <w:vAlign w:val="center"/>
          </w:tcPr>
          <w:p w14:paraId="76424FBB">
            <w:pPr>
              <w:spacing w:line="360" w:lineRule="auto"/>
              <w:rPr>
                <w:rFonts w:hint="eastAsia" w:ascii="仿宋" w:hAnsi="仿宋" w:eastAsia="仿宋" w:cs="仿宋"/>
                <w:color w:val="auto"/>
                <w:highlight w:val="none"/>
              </w:rPr>
            </w:pPr>
            <w:r>
              <w:rPr>
                <w:rFonts w:hint="eastAsia" w:ascii="仿宋" w:hAnsi="仿宋" w:eastAsia="仿宋" w:cs="仿宋"/>
                <w:bCs/>
                <w:color w:val="auto"/>
                <w:kern w:val="0"/>
                <w:sz w:val="24"/>
                <w:szCs w:val="28"/>
                <w:highlight w:val="none"/>
              </w:rPr>
              <w:t>不收取</w:t>
            </w:r>
          </w:p>
        </w:tc>
      </w:tr>
      <w:tr w14:paraId="00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2A3B88B0">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11.1</w:t>
            </w:r>
          </w:p>
        </w:tc>
        <w:tc>
          <w:tcPr>
            <w:tcW w:w="1198" w:type="pct"/>
            <w:vAlign w:val="center"/>
          </w:tcPr>
          <w:p w14:paraId="12DB1317">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投标有效期</w:t>
            </w:r>
          </w:p>
        </w:tc>
        <w:tc>
          <w:tcPr>
            <w:tcW w:w="3152" w:type="pct"/>
            <w:vAlign w:val="center"/>
          </w:tcPr>
          <w:p w14:paraId="344C98B2">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u w:val="single"/>
              </w:rPr>
              <w:t xml:space="preserve"> 90 </w:t>
            </w:r>
            <w:r>
              <w:rPr>
                <w:rFonts w:hint="eastAsia" w:ascii="仿宋" w:hAnsi="仿宋" w:eastAsia="仿宋" w:cs="仿宋"/>
                <w:b w:val="0"/>
                <w:color w:val="auto"/>
                <w:sz w:val="24"/>
                <w:highlight w:val="none"/>
              </w:rPr>
              <w:t>日历日</w:t>
            </w:r>
          </w:p>
        </w:tc>
      </w:tr>
      <w:tr w14:paraId="544F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5661590D">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13.1</w:t>
            </w:r>
          </w:p>
        </w:tc>
        <w:tc>
          <w:tcPr>
            <w:tcW w:w="1198" w:type="pct"/>
            <w:vAlign w:val="center"/>
          </w:tcPr>
          <w:p w14:paraId="4B62C793">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投标文件解密时间</w:t>
            </w:r>
          </w:p>
        </w:tc>
        <w:tc>
          <w:tcPr>
            <w:tcW w:w="3152" w:type="pct"/>
            <w:vAlign w:val="center"/>
          </w:tcPr>
          <w:p w14:paraId="247CFE03">
            <w:pPr>
              <w:pStyle w:val="47"/>
              <w:widowControl w:val="0"/>
              <w:spacing w:before="0" w:beforeAutospacing="0" w:after="0" w:afterAutospacing="0" w:line="360" w:lineRule="auto"/>
              <w:jc w:val="both"/>
              <w:rPr>
                <w:rFonts w:hint="eastAsia" w:ascii="仿宋" w:hAnsi="仿宋" w:eastAsia="仿宋" w:cs="仿宋"/>
                <w:b w:val="0"/>
                <w:color w:val="auto"/>
                <w:sz w:val="24"/>
                <w:highlight w:val="none"/>
                <w:u w:val="single"/>
              </w:rPr>
            </w:pPr>
            <w:r>
              <w:rPr>
                <w:rFonts w:hint="eastAsia" w:ascii="仿宋" w:hAnsi="仿宋" w:eastAsia="仿宋" w:cs="仿宋"/>
                <w:b w:val="0"/>
                <w:color w:val="auto"/>
                <w:sz w:val="24"/>
                <w:highlight w:val="none"/>
              </w:rPr>
              <w:t>投标截止时间后</w:t>
            </w:r>
            <w:r>
              <w:rPr>
                <w:rFonts w:hint="eastAsia" w:ascii="仿宋" w:hAnsi="仿宋" w:eastAsia="仿宋" w:cs="仿宋"/>
                <w:b w:val="0"/>
                <w:color w:val="auto"/>
                <w:sz w:val="24"/>
                <w:highlight w:val="none"/>
                <w:u w:val="single"/>
              </w:rPr>
              <w:t xml:space="preserve"> 60 </w:t>
            </w:r>
            <w:r>
              <w:rPr>
                <w:rFonts w:hint="eastAsia" w:ascii="仿宋" w:hAnsi="仿宋" w:eastAsia="仿宋" w:cs="仿宋"/>
                <w:b w:val="0"/>
                <w:color w:val="auto"/>
                <w:sz w:val="24"/>
                <w:highlight w:val="none"/>
              </w:rPr>
              <w:t>分钟内</w:t>
            </w:r>
          </w:p>
        </w:tc>
      </w:tr>
      <w:tr w14:paraId="6911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3DD1665C">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14.1</w:t>
            </w:r>
          </w:p>
        </w:tc>
        <w:tc>
          <w:tcPr>
            <w:tcW w:w="1198" w:type="pct"/>
            <w:vAlign w:val="center"/>
          </w:tcPr>
          <w:p w14:paraId="3AF97A4E">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资格审查</w:t>
            </w:r>
          </w:p>
        </w:tc>
        <w:tc>
          <w:tcPr>
            <w:tcW w:w="3152" w:type="pct"/>
            <w:vAlign w:val="center"/>
          </w:tcPr>
          <w:p w14:paraId="375B2258">
            <w:pPr>
              <w:pStyle w:val="47"/>
              <w:widowControl w:val="0"/>
              <w:spacing w:before="0" w:beforeAutospacing="0" w:after="0" w:afterAutospacing="0" w:line="360" w:lineRule="auto"/>
              <w:jc w:val="both"/>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highlight w:val="none"/>
              </w:rPr>
              <w:t>采购人审查</w:t>
            </w:r>
          </w:p>
          <w:p w14:paraId="1742288C">
            <w:pPr>
              <w:pStyle w:val="47"/>
              <w:widowControl w:val="0"/>
              <w:spacing w:before="0" w:beforeAutospacing="0" w:after="0" w:afterAutospacing="0" w:line="360" w:lineRule="auto"/>
              <w:jc w:val="both"/>
              <w:rPr>
                <w:rFonts w:hint="eastAsia" w:ascii="仿宋" w:hAnsi="仿宋" w:eastAsia="仿宋" w:cs="仿宋"/>
                <w:b w:val="0"/>
                <w:color w:val="auto"/>
                <w:sz w:val="24"/>
                <w:highlight w:val="none"/>
                <w:u w:val="singl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highlight w:val="none"/>
              </w:rPr>
              <w:t>采购人出具委托函委托采购代理机构进行审查</w:t>
            </w:r>
          </w:p>
        </w:tc>
      </w:tr>
      <w:tr w14:paraId="2CBD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3370DAF2">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17.2</w:t>
            </w:r>
          </w:p>
        </w:tc>
        <w:tc>
          <w:tcPr>
            <w:tcW w:w="1198" w:type="pct"/>
            <w:vAlign w:val="center"/>
          </w:tcPr>
          <w:p w14:paraId="719004A1">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评标方法</w:t>
            </w:r>
          </w:p>
        </w:tc>
        <w:tc>
          <w:tcPr>
            <w:tcW w:w="3152" w:type="pct"/>
            <w:vAlign w:val="center"/>
          </w:tcPr>
          <w:p w14:paraId="04163E6D">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color w:val="auto"/>
                <w:sz w:val="24"/>
                <w:highlight w:val="none"/>
              </w:rPr>
              <w:t>最低评标价法</w:t>
            </w:r>
          </w:p>
          <w:p w14:paraId="7321BCCE">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color w:val="auto"/>
                <w:sz w:val="24"/>
                <w:highlight w:val="none"/>
              </w:rPr>
              <w:t>综合评分法</w:t>
            </w:r>
          </w:p>
        </w:tc>
      </w:tr>
      <w:tr w14:paraId="25E0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36EB6E5F">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17.3</w:t>
            </w:r>
          </w:p>
        </w:tc>
        <w:tc>
          <w:tcPr>
            <w:tcW w:w="1198" w:type="pct"/>
            <w:vAlign w:val="center"/>
          </w:tcPr>
          <w:p w14:paraId="67AB4431">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报价扣除</w:t>
            </w:r>
          </w:p>
          <w:p w14:paraId="3F5F0FE1">
            <w:pPr>
              <w:pStyle w:val="47"/>
              <w:widowControl w:val="0"/>
              <w:spacing w:before="0" w:beforeAutospacing="0" w:after="0" w:afterAutospacing="0" w:line="360" w:lineRule="auto"/>
              <w:jc w:val="both"/>
              <w:rPr>
                <w:rFonts w:hint="eastAsia" w:ascii="仿宋" w:hAnsi="仿宋" w:eastAsia="仿宋" w:cs="仿宋"/>
                <w:b w:val="0"/>
                <w:i/>
                <w:color w:val="auto"/>
                <w:sz w:val="24"/>
                <w:highlight w:val="none"/>
              </w:rPr>
            </w:pPr>
            <w:r>
              <w:rPr>
                <w:rFonts w:hint="eastAsia" w:ascii="仿宋" w:hAnsi="仿宋" w:eastAsia="仿宋" w:cs="仿宋"/>
                <w:b w:val="0"/>
                <w:i/>
                <w:color w:val="auto"/>
                <w:sz w:val="24"/>
                <w:highlight w:val="none"/>
              </w:rPr>
              <w:t>（非专门面向中小企业采购项目适用）</w:t>
            </w:r>
          </w:p>
        </w:tc>
        <w:tc>
          <w:tcPr>
            <w:tcW w:w="3152" w:type="pct"/>
            <w:vAlign w:val="center"/>
          </w:tcPr>
          <w:p w14:paraId="27B53C3E">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（1）小型和微型企业价格扣除：</w:t>
            </w:r>
            <w:r>
              <w:rPr>
                <w:rFonts w:hint="eastAsia" w:ascii="仿宋" w:hAnsi="仿宋" w:eastAsia="仿宋" w:cs="仿宋"/>
                <w:b w:val="0"/>
                <w:color w:val="auto"/>
                <w:sz w:val="24"/>
                <w:highlight w:val="none"/>
                <w:u w:val="single"/>
              </w:rPr>
              <w:t xml:space="preserve">        </w:t>
            </w:r>
            <w:r>
              <w:rPr>
                <w:rFonts w:hint="eastAsia" w:ascii="仿宋" w:hAnsi="仿宋" w:eastAsia="仿宋" w:cs="仿宋"/>
                <w:b w:val="0"/>
                <w:color w:val="auto"/>
                <w:sz w:val="24"/>
                <w:highlight w:val="none"/>
              </w:rPr>
              <w:t>。</w:t>
            </w:r>
          </w:p>
          <w:p w14:paraId="44A47714">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（2）监狱企业价格扣除：同小型和微型企业。</w:t>
            </w:r>
          </w:p>
          <w:p w14:paraId="5A6E0E54">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（3）残疾人福利性单位价格扣除：同小型和微型企业。</w:t>
            </w:r>
          </w:p>
          <w:p w14:paraId="5235F2A1">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（4）符合条件的联合体价格扣除：</w:t>
            </w:r>
            <w:r>
              <w:rPr>
                <w:rFonts w:hint="eastAsia" w:ascii="仿宋" w:hAnsi="仿宋" w:eastAsia="仿宋" w:cs="仿宋"/>
                <w:b w:val="0"/>
                <w:color w:val="auto"/>
                <w:sz w:val="24"/>
                <w:highlight w:val="none"/>
                <w:u w:val="single"/>
              </w:rPr>
              <w:t xml:space="preserve">        </w:t>
            </w:r>
            <w:r>
              <w:rPr>
                <w:rFonts w:hint="eastAsia" w:ascii="仿宋" w:hAnsi="仿宋" w:eastAsia="仿宋" w:cs="仿宋"/>
                <w:b w:val="0"/>
                <w:color w:val="auto"/>
                <w:sz w:val="24"/>
                <w:highlight w:val="none"/>
              </w:rPr>
              <w:t>。</w:t>
            </w:r>
          </w:p>
          <w:p w14:paraId="3B827782">
            <w:pPr>
              <w:pStyle w:val="47"/>
              <w:widowControl w:val="0"/>
              <w:spacing w:before="0" w:beforeAutospacing="0" w:after="0" w:afterAutospacing="0" w:line="360" w:lineRule="auto"/>
              <w:jc w:val="both"/>
              <w:rPr>
                <w:rFonts w:hint="eastAsia" w:ascii="仿宋" w:hAnsi="仿宋" w:eastAsia="仿宋" w:cs="仿宋"/>
                <w:b w:val="0"/>
                <w:i/>
                <w:color w:val="auto"/>
                <w:sz w:val="24"/>
                <w:highlight w:val="none"/>
              </w:rPr>
            </w:pPr>
            <w:r>
              <w:rPr>
                <w:rFonts w:hint="eastAsia" w:ascii="仿宋" w:hAnsi="仿宋" w:eastAsia="仿宋" w:cs="仿宋"/>
                <w:b w:val="0"/>
                <w:color w:val="auto"/>
                <w:sz w:val="24"/>
                <w:highlight w:val="none"/>
              </w:rPr>
              <w:t>（5）符合条件的向小微企业分包的大中型企业价格扣除：</w:t>
            </w:r>
            <w:r>
              <w:rPr>
                <w:rFonts w:hint="eastAsia" w:ascii="仿宋" w:hAnsi="仿宋" w:eastAsia="仿宋" w:cs="仿宋"/>
                <w:b w:val="0"/>
                <w:color w:val="auto"/>
                <w:sz w:val="24"/>
                <w:highlight w:val="none"/>
                <w:u w:val="single"/>
              </w:rPr>
              <w:t xml:space="preserve">        </w:t>
            </w:r>
            <w:r>
              <w:rPr>
                <w:rFonts w:hint="eastAsia" w:ascii="仿宋" w:hAnsi="仿宋" w:eastAsia="仿宋" w:cs="仿宋"/>
                <w:b w:val="0"/>
                <w:color w:val="auto"/>
                <w:sz w:val="24"/>
                <w:highlight w:val="none"/>
              </w:rPr>
              <w:t>。</w:t>
            </w:r>
            <w:r>
              <w:rPr>
                <w:rFonts w:hint="eastAsia" w:ascii="仿宋" w:hAnsi="仿宋" w:eastAsia="仿宋" w:cs="仿宋"/>
                <w:b w:val="0"/>
                <w:i/>
                <w:color w:val="auto"/>
                <w:sz w:val="24"/>
                <w:highlight w:val="none"/>
              </w:rPr>
              <w:t>（允许大中型企业向小微企业分包的项目适用）</w:t>
            </w:r>
          </w:p>
          <w:p w14:paraId="7AAAEBA2">
            <w:pPr>
              <w:pStyle w:val="47"/>
              <w:widowControl w:val="0"/>
              <w:spacing w:before="0" w:beforeAutospacing="0" w:after="0" w:afterAutospacing="0" w:line="360" w:lineRule="auto"/>
              <w:jc w:val="both"/>
              <w:rPr>
                <w:rFonts w:hint="eastAsia" w:ascii="仿宋" w:hAnsi="仿宋" w:eastAsia="仿宋" w:cs="仿宋"/>
                <w:b w:val="0"/>
                <w:i/>
                <w:color w:val="auto"/>
                <w:sz w:val="24"/>
                <w:highlight w:val="none"/>
              </w:rPr>
            </w:pPr>
            <w:r>
              <w:rPr>
                <w:rFonts w:hint="eastAsia" w:ascii="仿宋" w:hAnsi="仿宋" w:eastAsia="仿宋" w:cs="仿宋"/>
                <w:bCs w:val="0"/>
                <w:i/>
                <w:color w:val="auto"/>
                <w:sz w:val="24"/>
                <w:highlight w:val="none"/>
              </w:rPr>
              <w:t>本项目为专门面向中小企业项目，此条不采用。</w:t>
            </w:r>
          </w:p>
        </w:tc>
      </w:tr>
      <w:tr w14:paraId="2E78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559F12EB">
            <w:pPr>
              <w:pStyle w:val="48"/>
              <w:pBdr>
                <w:bottom w:val="none" w:color="auto" w:sz="0" w:space="0"/>
              </w:pBdr>
              <w:tabs>
                <w:tab w:val="clear" w:pos="4153"/>
                <w:tab w:val="clear" w:pos="8306"/>
              </w:tabs>
              <w:adjustRightInd/>
              <w:spacing w:line="36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17.4</w:t>
            </w:r>
          </w:p>
        </w:tc>
        <w:tc>
          <w:tcPr>
            <w:tcW w:w="1198" w:type="pct"/>
            <w:vAlign w:val="center"/>
          </w:tcPr>
          <w:p w14:paraId="0A4C160E">
            <w:pPr>
              <w:spacing w:line="360" w:lineRule="auto"/>
              <w:rPr>
                <w:rFonts w:hint="eastAsia" w:ascii="仿宋" w:hAnsi="仿宋" w:eastAsia="仿宋" w:cs="仿宋"/>
                <w:i/>
                <w:color w:val="auto"/>
                <w:sz w:val="24"/>
                <w:highlight w:val="none"/>
              </w:rPr>
            </w:pPr>
            <w:r>
              <w:rPr>
                <w:rFonts w:hint="eastAsia" w:ascii="仿宋" w:hAnsi="仿宋" w:eastAsia="仿宋" w:cs="仿宋"/>
                <w:color w:val="auto"/>
                <w:sz w:val="24"/>
                <w:highlight w:val="none"/>
              </w:rPr>
              <w:t>本国产品价格扣除</w:t>
            </w:r>
            <w:r>
              <w:rPr>
                <w:rFonts w:hint="eastAsia" w:ascii="仿宋" w:hAnsi="仿宋" w:eastAsia="仿宋" w:cs="仿宋"/>
                <w:i/>
                <w:iCs/>
                <w:color w:val="auto"/>
                <w:sz w:val="24"/>
                <w:highlight w:val="none"/>
              </w:rPr>
              <w:t>（适用于</w:t>
            </w:r>
            <w:r>
              <w:rPr>
                <w:rFonts w:hint="eastAsia" w:ascii="仿宋" w:hAnsi="仿宋" w:eastAsia="仿宋" w:cs="仿宋"/>
                <w:i/>
                <w:iCs/>
                <w:color w:val="auto"/>
                <w:sz w:val="24"/>
                <w:szCs w:val="24"/>
                <w:highlight w:val="none"/>
                <w:shd w:val="clear" w:color="auto" w:fill="FFFFFF"/>
              </w:rPr>
              <w:t>既有本国产品又有非本国产品参与竞争的货物项目</w:t>
            </w:r>
            <w:r>
              <w:rPr>
                <w:rFonts w:hint="eastAsia" w:ascii="仿宋" w:hAnsi="仿宋" w:eastAsia="仿宋" w:cs="仿宋"/>
                <w:i/>
                <w:iCs/>
                <w:color w:val="auto"/>
                <w:sz w:val="24"/>
                <w:highlight w:val="none"/>
              </w:rPr>
              <w:t>）</w:t>
            </w:r>
          </w:p>
        </w:tc>
        <w:tc>
          <w:tcPr>
            <w:tcW w:w="3152" w:type="pct"/>
            <w:vAlign w:val="center"/>
          </w:tcPr>
          <w:p w14:paraId="0447F166">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（1）项目或者采购包中采购内容为单一产品的，既有本国产品又有非本国产品参与竞争的，对本国产品给予价格扣除</w:t>
            </w:r>
            <w:r>
              <w:rPr>
                <w:rFonts w:hint="eastAsia" w:ascii="仿宋" w:hAnsi="仿宋" w:eastAsia="仿宋" w:cs="仿宋"/>
                <w:b w:val="0"/>
                <w:color w:val="auto"/>
                <w:sz w:val="24"/>
                <w:highlight w:val="none"/>
                <w:u w:val="single"/>
              </w:rPr>
              <w:t>20%</w:t>
            </w:r>
            <w:r>
              <w:rPr>
                <w:rFonts w:hint="eastAsia" w:ascii="仿宋" w:hAnsi="仿宋" w:eastAsia="仿宋" w:cs="仿宋"/>
                <w:b w:val="0"/>
                <w:color w:val="auto"/>
                <w:sz w:val="24"/>
                <w:highlight w:val="none"/>
              </w:rPr>
              <w:t>。</w:t>
            </w:r>
          </w:p>
          <w:p w14:paraId="3411EB15">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（2）项目或者采购包中含有多种产品的，符合本国产品标准的产品成本之和占该投标人提供的全部产品成本之和的比例≥80%，所有产品价格扣除</w:t>
            </w:r>
            <w:r>
              <w:rPr>
                <w:rFonts w:hint="eastAsia" w:ascii="仿宋" w:hAnsi="仿宋" w:eastAsia="仿宋" w:cs="仿宋"/>
                <w:b w:val="0"/>
                <w:color w:val="auto"/>
                <w:sz w:val="24"/>
                <w:highlight w:val="none"/>
                <w:u w:val="single"/>
              </w:rPr>
              <w:t>20%</w:t>
            </w:r>
            <w:r>
              <w:rPr>
                <w:rFonts w:hint="eastAsia" w:ascii="仿宋" w:hAnsi="仿宋" w:eastAsia="仿宋" w:cs="仿宋"/>
                <w:b w:val="0"/>
                <w:color w:val="auto"/>
                <w:sz w:val="24"/>
                <w:highlight w:val="none"/>
              </w:rPr>
              <w:t>。</w:t>
            </w:r>
          </w:p>
        </w:tc>
      </w:tr>
      <w:tr w14:paraId="3BED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38CB36B5">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21.1</w:t>
            </w:r>
          </w:p>
        </w:tc>
        <w:tc>
          <w:tcPr>
            <w:tcW w:w="1198" w:type="pct"/>
            <w:vAlign w:val="center"/>
          </w:tcPr>
          <w:p w14:paraId="68043E09">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评标委员会推荐中标候选人的数量</w:t>
            </w:r>
          </w:p>
        </w:tc>
        <w:tc>
          <w:tcPr>
            <w:tcW w:w="3152" w:type="pct"/>
            <w:vAlign w:val="center"/>
          </w:tcPr>
          <w:p w14:paraId="1CE2CEBB">
            <w:pPr>
              <w:pStyle w:val="47"/>
              <w:widowControl w:val="0"/>
              <w:spacing w:before="0" w:beforeAutospacing="0" w:after="0" w:afterAutospacing="0" w:line="360" w:lineRule="auto"/>
              <w:jc w:val="both"/>
              <w:rPr>
                <w:rFonts w:hint="eastAsia" w:ascii="仿宋" w:hAnsi="仿宋" w:eastAsia="仿宋" w:cs="仿宋"/>
                <w:b w:val="0"/>
                <w:color w:val="auto"/>
                <w:sz w:val="24"/>
                <w:highlight w:val="none"/>
                <w:u w:val="single"/>
              </w:rPr>
            </w:pPr>
            <w:r>
              <w:rPr>
                <w:rFonts w:hint="eastAsia" w:ascii="仿宋" w:hAnsi="仿宋" w:eastAsia="仿宋" w:cs="仿宋"/>
                <w:b w:val="0"/>
                <w:color w:val="auto"/>
                <w:sz w:val="24"/>
                <w:highlight w:val="none"/>
                <w:u w:val="none"/>
              </w:rPr>
              <w:t>评</w:t>
            </w:r>
            <w:r>
              <w:rPr>
                <w:rFonts w:hint="eastAsia" w:ascii="仿宋" w:hAnsi="仿宋" w:eastAsia="仿宋" w:cs="仿宋"/>
                <w:b w:val="0"/>
                <w:color w:val="auto"/>
                <w:sz w:val="24"/>
                <w:highlight w:val="none"/>
              </w:rPr>
              <w:t>标委员会推荐3名中标候选人</w:t>
            </w:r>
          </w:p>
        </w:tc>
      </w:tr>
      <w:tr w14:paraId="72DD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12D5B3EE">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21.2</w:t>
            </w:r>
          </w:p>
        </w:tc>
        <w:tc>
          <w:tcPr>
            <w:tcW w:w="1198" w:type="pct"/>
            <w:vAlign w:val="center"/>
          </w:tcPr>
          <w:p w14:paraId="45B9F55D">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确定中标人</w:t>
            </w:r>
          </w:p>
        </w:tc>
        <w:tc>
          <w:tcPr>
            <w:tcW w:w="3152" w:type="pct"/>
            <w:vAlign w:val="center"/>
          </w:tcPr>
          <w:p w14:paraId="11266900">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w:char="00FE"/>
            </w:r>
            <w:r>
              <w:rPr>
                <w:rFonts w:hint="eastAsia" w:ascii="仿宋" w:hAnsi="仿宋" w:eastAsia="仿宋" w:cs="仿宋"/>
                <w:color w:val="auto"/>
                <w:kern w:val="0"/>
                <w:sz w:val="24"/>
                <w:szCs w:val="24"/>
                <w:highlight w:val="none"/>
              </w:rPr>
              <w:t>采购人委托评标委员会确定</w:t>
            </w:r>
          </w:p>
          <w:p w14:paraId="7A1CFF9B">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bCs w:val="0"/>
                <w:color w:val="auto"/>
                <w:kern w:val="2"/>
                <w:sz w:val="24"/>
                <w:szCs w:val="24"/>
                <w:highlight w:val="none"/>
              </w:rPr>
              <w:t>□采购人确定</w:t>
            </w:r>
          </w:p>
        </w:tc>
      </w:tr>
      <w:tr w14:paraId="2261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1573823A">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23.3</w:t>
            </w:r>
          </w:p>
        </w:tc>
        <w:tc>
          <w:tcPr>
            <w:tcW w:w="1198" w:type="pct"/>
            <w:vAlign w:val="center"/>
          </w:tcPr>
          <w:p w14:paraId="043A56DF">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随中标结果公告同时公告的内容</w:t>
            </w:r>
          </w:p>
        </w:tc>
        <w:tc>
          <w:tcPr>
            <w:tcW w:w="3152" w:type="pct"/>
            <w:vAlign w:val="center"/>
          </w:tcPr>
          <w:p w14:paraId="41570B3F">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（1）中小企业声明函；</w:t>
            </w:r>
          </w:p>
          <w:p w14:paraId="7CD359E3">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（2）残疾人福利性单位声明函；</w:t>
            </w:r>
            <w:r>
              <w:rPr>
                <w:rFonts w:hint="eastAsia" w:ascii="仿宋" w:hAnsi="仿宋" w:eastAsia="仿宋" w:cs="仿宋"/>
                <w:b w:val="0"/>
                <w:i/>
                <w:iCs/>
                <w:color w:val="auto"/>
                <w:sz w:val="24"/>
                <w:highlight w:val="none"/>
              </w:rPr>
              <w:t>（如有）</w:t>
            </w:r>
          </w:p>
          <w:p w14:paraId="35FAE77E">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（3）中标（成交）供应商的评审总得分</w:t>
            </w:r>
          </w:p>
          <w:p w14:paraId="138D31AE">
            <w:pPr>
              <w:pStyle w:val="47"/>
              <w:widowControl w:val="0"/>
              <w:spacing w:before="0" w:beforeAutospacing="0" w:after="0" w:afterAutospacing="0" w:line="360" w:lineRule="auto"/>
              <w:jc w:val="both"/>
              <w:rPr>
                <w:rFonts w:hint="eastAsia" w:ascii="仿宋" w:hAnsi="仿宋" w:eastAsia="仿宋" w:cs="仿宋"/>
                <w:b w:val="0"/>
                <w:bCs w:val="0"/>
                <w:color w:val="auto"/>
                <w:sz w:val="24"/>
                <w:szCs w:val="24"/>
                <w:highlight w:val="none"/>
              </w:rPr>
            </w:pPr>
            <w:r>
              <w:rPr>
                <w:rFonts w:hint="eastAsia" w:ascii="仿宋" w:hAnsi="仿宋" w:eastAsia="仿宋" w:cs="仿宋"/>
                <w:b w:val="0"/>
                <w:color w:val="auto"/>
                <w:sz w:val="24"/>
                <w:highlight w:val="none"/>
              </w:rPr>
              <w:t>（4）</w:t>
            </w:r>
            <w:r>
              <w:rPr>
                <w:rFonts w:hint="eastAsia" w:ascii="仿宋" w:hAnsi="仿宋" w:eastAsia="仿宋" w:cs="仿宋"/>
                <w:b w:val="0"/>
                <w:bCs w:val="0"/>
                <w:color w:val="auto"/>
                <w:sz w:val="24"/>
                <w:szCs w:val="20"/>
                <w:highlight w:val="none"/>
              </w:rPr>
              <w:t>符合本国产品标准的声明函；</w:t>
            </w:r>
            <w:r>
              <w:rPr>
                <w:rFonts w:hint="eastAsia" w:ascii="仿宋" w:hAnsi="仿宋" w:eastAsia="仿宋" w:cs="仿宋"/>
                <w:b w:val="0"/>
                <w:bCs w:val="0"/>
                <w:i/>
                <w:iCs/>
                <w:color w:val="auto"/>
                <w:sz w:val="24"/>
                <w:szCs w:val="20"/>
                <w:highlight w:val="none"/>
              </w:rPr>
              <w:t>（如有）</w:t>
            </w:r>
          </w:p>
        </w:tc>
      </w:tr>
      <w:tr w14:paraId="5140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5B917585">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24.1</w:t>
            </w:r>
          </w:p>
        </w:tc>
        <w:tc>
          <w:tcPr>
            <w:tcW w:w="1198" w:type="pct"/>
            <w:vAlign w:val="center"/>
          </w:tcPr>
          <w:p w14:paraId="439A1081">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中标通知书发出的形式</w:t>
            </w:r>
          </w:p>
        </w:tc>
        <w:tc>
          <w:tcPr>
            <w:tcW w:w="3152" w:type="pct"/>
            <w:vAlign w:val="center"/>
          </w:tcPr>
          <w:p w14:paraId="14A8AE01">
            <w:pPr>
              <w:pStyle w:val="47"/>
              <w:widowControl w:val="0"/>
              <w:spacing w:before="0" w:beforeAutospacing="0" w:after="0" w:afterAutospacing="0" w:line="360" w:lineRule="auto"/>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□书面     </w:t>
            </w:r>
            <w:r>
              <w:rPr>
                <w:rFonts w:hint="eastAsia" w:ascii="仿宋" w:hAnsi="仿宋" w:eastAsia="仿宋" w:cs="仿宋"/>
                <w:b w:val="0"/>
                <w:bCs w:val="0"/>
                <w:color w:val="auto"/>
                <w:sz w:val="24"/>
                <w:szCs w:val="24"/>
                <w:highlight w:val="none"/>
              </w:rPr>
              <w:sym w:font="Wingdings" w:char="00FE"/>
            </w:r>
            <w:r>
              <w:rPr>
                <w:rFonts w:hint="eastAsia" w:ascii="仿宋" w:hAnsi="仿宋" w:eastAsia="仿宋" w:cs="仿宋"/>
                <w:b w:val="0"/>
                <w:bCs w:val="0"/>
                <w:color w:val="auto"/>
                <w:sz w:val="24"/>
                <w:szCs w:val="24"/>
                <w:highlight w:val="none"/>
              </w:rPr>
              <w:t>数据电文</w:t>
            </w:r>
          </w:p>
        </w:tc>
      </w:tr>
      <w:tr w14:paraId="4FC4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4203C137">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25.1</w:t>
            </w:r>
          </w:p>
        </w:tc>
        <w:tc>
          <w:tcPr>
            <w:tcW w:w="1198" w:type="pct"/>
            <w:vAlign w:val="center"/>
          </w:tcPr>
          <w:p w14:paraId="63184148">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告知招标结果的形式</w:t>
            </w:r>
          </w:p>
        </w:tc>
        <w:tc>
          <w:tcPr>
            <w:tcW w:w="3152" w:type="pct"/>
            <w:vAlign w:val="center"/>
          </w:tcPr>
          <w:p w14:paraId="6C8D9837">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w:char="00FE"/>
            </w:r>
            <w:r>
              <w:rPr>
                <w:rFonts w:hint="eastAsia" w:ascii="仿宋" w:hAnsi="仿宋" w:eastAsia="仿宋" w:cs="仿宋"/>
                <w:color w:val="auto"/>
                <w:kern w:val="0"/>
                <w:sz w:val="24"/>
                <w:szCs w:val="24"/>
                <w:highlight w:val="none"/>
              </w:rPr>
              <w:t>投标人自行登录电子</w:t>
            </w:r>
            <w:r>
              <w:rPr>
                <w:rFonts w:hint="eastAsia" w:ascii="仿宋" w:hAnsi="仿宋" w:eastAsia="仿宋" w:cs="仿宋"/>
                <w:color w:val="auto"/>
                <w:sz w:val="24"/>
                <w:szCs w:val="24"/>
                <w:highlight w:val="none"/>
              </w:rPr>
              <w:t>交易</w:t>
            </w:r>
            <w:r>
              <w:rPr>
                <w:rFonts w:hint="eastAsia" w:ascii="仿宋" w:hAnsi="仿宋" w:eastAsia="仿宋" w:cs="仿宋"/>
                <w:color w:val="auto"/>
                <w:kern w:val="0"/>
                <w:sz w:val="24"/>
                <w:szCs w:val="24"/>
                <w:highlight w:val="none"/>
              </w:rPr>
              <w:t>系统查看</w:t>
            </w:r>
          </w:p>
          <w:p w14:paraId="182D63CA">
            <w:pPr>
              <w:pStyle w:val="47"/>
              <w:widowControl w:val="0"/>
              <w:spacing w:before="0" w:beforeAutospacing="0" w:after="0" w:afterAutospacing="0" w:line="360" w:lineRule="auto"/>
              <w:jc w:val="both"/>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□评标现场告知</w:t>
            </w:r>
          </w:p>
        </w:tc>
      </w:tr>
      <w:tr w14:paraId="32D7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8" w:type="pct"/>
            <w:vAlign w:val="center"/>
          </w:tcPr>
          <w:p w14:paraId="19085879">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26.1</w:t>
            </w:r>
          </w:p>
        </w:tc>
        <w:tc>
          <w:tcPr>
            <w:tcW w:w="1198" w:type="pct"/>
            <w:vAlign w:val="center"/>
          </w:tcPr>
          <w:p w14:paraId="0A228799">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履约保证金</w:t>
            </w:r>
          </w:p>
        </w:tc>
        <w:tc>
          <w:tcPr>
            <w:tcW w:w="3152" w:type="pct"/>
          </w:tcPr>
          <w:p w14:paraId="74CBB3DD">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（1）金额：</w:t>
            </w:r>
          </w:p>
          <w:p w14:paraId="53AFDB78">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□免收</w:t>
            </w:r>
          </w:p>
          <w:p w14:paraId="3FBC6810">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☑合同价的</w:t>
            </w:r>
            <w:r>
              <w:rPr>
                <w:rFonts w:hint="eastAsia" w:ascii="仿宋" w:hAnsi="仿宋" w:eastAsia="仿宋" w:cs="仿宋"/>
                <w:bCs/>
                <w:color w:val="auto"/>
                <w:kern w:val="0"/>
                <w:sz w:val="24"/>
                <w:szCs w:val="28"/>
                <w:highlight w:val="none"/>
                <w:u w:val="single"/>
              </w:rPr>
              <w:t>2.5</w:t>
            </w:r>
            <w:r>
              <w:rPr>
                <w:rFonts w:hint="eastAsia" w:ascii="仿宋" w:hAnsi="仿宋" w:eastAsia="仿宋" w:cs="仿宋"/>
                <w:bCs/>
                <w:color w:val="auto"/>
                <w:kern w:val="0"/>
                <w:sz w:val="24"/>
                <w:szCs w:val="28"/>
                <w:highlight w:val="none"/>
              </w:rPr>
              <w:t>%</w:t>
            </w:r>
          </w:p>
          <w:p w14:paraId="7BA1B37F">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□定额收取：人民币</w:t>
            </w:r>
            <w:r>
              <w:rPr>
                <w:rFonts w:hint="eastAsia" w:ascii="仿宋" w:hAnsi="仿宋" w:eastAsia="仿宋" w:cs="仿宋"/>
                <w:bCs/>
                <w:color w:val="auto"/>
                <w:kern w:val="0"/>
                <w:sz w:val="24"/>
                <w:szCs w:val="28"/>
                <w:highlight w:val="none"/>
                <w:u w:val="single"/>
              </w:rPr>
              <w:t xml:space="preserve">              </w:t>
            </w:r>
            <w:r>
              <w:rPr>
                <w:rFonts w:hint="eastAsia" w:ascii="仿宋" w:hAnsi="仿宋" w:eastAsia="仿宋" w:cs="仿宋"/>
                <w:bCs/>
                <w:color w:val="auto"/>
                <w:kern w:val="0"/>
                <w:sz w:val="24"/>
                <w:szCs w:val="28"/>
                <w:highlight w:val="none"/>
              </w:rPr>
              <w:t>元</w:t>
            </w:r>
          </w:p>
          <w:p w14:paraId="5C8A8F5E">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（2）支付方式：</w:t>
            </w:r>
          </w:p>
          <w:p w14:paraId="68375B66">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sym w:font="Wingdings" w:char="00FE"/>
            </w:r>
            <w:r>
              <w:rPr>
                <w:rFonts w:hint="eastAsia" w:ascii="仿宋" w:hAnsi="仿宋" w:eastAsia="仿宋" w:cs="仿宋"/>
                <w:bCs/>
                <w:color w:val="auto"/>
                <w:kern w:val="0"/>
                <w:sz w:val="24"/>
                <w:szCs w:val="28"/>
                <w:highlight w:val="none"/>
              </w:rPr>
              <w:t xml:space="preserve">转账/电汇 </w:t>
            </w:r>
            <w:r>
              <w:rPr>
                <w:rFonts w:hint="eastAsia" w:ascii="仿宋" w:hAnsi="仿宋" w:eastAsia="仿宋" w:cs="仿宋"/>
                <w:bCs/>
                <w:color w:val="auto"/>
                <w:kern w:val="0"/>
                <w:sz w:val="24"/>
                <w:szCs w:val="28"/>
                <w:highlight w:val="none"/>
              </w:rPr>
              <w:sym w:font="Wingdings" w:char="00FE"/>
            </w:r>
            <w:r>
              <w:rPr>
                <w:rFonts w:hint="eastAsia" w:ascii="仿宋" w:hAnsi="仿宋" w:eastAsia="仿宋" w:cs="仿宋"/>
                <w:bCs/>
                <w:color w:val="auto"/>
                <w:kern w:val="0"/>
                <w:sz w:val="24"/>
                <w:szCs w:val="28"/>
                <w:highlight w:val="none"/>
              </w:rPr>
              <w:t xml:space="preserve">支票 </w:t>
            </w:r>
            <w:r>
              <w:rPr>
                <w:rFonts w:hint="eastAsia" w:ascii="仿宋" w:hAnsi="仿宋" w:eastAsia="仿宋" w:cs="仿宋"/>
                <w:bCs/>
                <w:color w:val="auto"/>
                <w:kern w:val="0"/>
                <w:sz w:val="24"/>
                <w:szCs w:val="28"/>
                <w:highlight w:val="none"/>
              </w:rPr>
              <w:sym w:font="Wingdings" w:char="00FE"/>
            </w:r>
            <w:r>
              <w:rPr>
                <w:rFonts w:hint="eastAsia" w:ascii="仿宋" w:hAnsi="仿宋" w:eastAsia="仿宋" w:cs="仿宋"/>
                <w:bCs/>
                <w:color w:val="auto"/>
                <w:kern w:val="0"/>
                <w:sz w:val="24"/>
                <w:szCs w:val="28"/>
                <w:highlight w:val="none"/>
              </w:rPr>
              <w:t xml:space="preserve">汇票 </w:t>
            </w:r>
            <w:r>
              <w:rPr>
                <w:rFonts w:hint="eastAsia" w:ascii="仿宋" w:hAnsi="仿宋" w:eastAsia="仿宋" w:cs="仿宋"/>
                <w:bCs/>
                <w:color w:val="auto"/>
                <w:kern w:val="0"/>
                <w:sz w:val="24"/>
                <w:szCs w:val="28"/>
                <w:highlight w:val="none"/>
              </w:rPr>
              <w:sym w:font="Wingdings" w:char="00FE"/>
            </w:r>
            <w:r>
              <w:rPr>
                <w:rFonts w:hint="eastAsia" w:ascii="仿宋" w:hAnsi="仿宋" w:eastAsia="仿宋" w:cs="仿宋"/>
                <w:bCs/>
                <w:color w:val="auto"/>
                <w:kern w:val="0"/>
                <w:sz w:val="24"/>
                <w:szCs w:val="28"/>
                <w:highlight w:val="none"/>
              </w:rPr>
              <w:t xml:space="preserve">本票 </w:t>
            </w:r>
            <w:r>
              <w:rPr>
                <w:rFonts w:hint="eastAsia" w:ascii="仿宋" w:hAnsi="仿宋" w:eastAsia="仿宋" w:cs="仿宋"/>
                <w:bCs/>
                <w:color w:val="auto"/>
                <w:kern w:val="0"/>
                <w:sz w:val="24"/>
                <w:szCs w:val="28"/>
                <w:highlight w:val="none"/>
              </w:rPr>
              <w:sym w:font="Wingdings" w:char="00FE"/>
            </w:r>
            <w:r>
              <w:rPr>
                <w:rFonts w:hint="eastAsia" w:ascii="仿宋" w:hAnsi="仿宋" w:eastAsia="仿宋" w:cs="仿宋"/>
                <w:bCs/>
                <w:color w:val="auto"/>
                <w:kern w:val="0"/>
                <w:sz w:val="24"/>
                <w:szCs w:val="28"/>
                <w:highlight w:val="none"/>
              </w:rPr>
              <w:t xml:space="preserve">保险 </w:t>
            </w:r>
            <w:r>
              <w:rPr>
                <w:rFonts w:hint="eastAsia" w:ascii="仿宋" w:hAnsi="仿宋" w:eastAsia="仿宋" w:cs="仿宋"/>
                <w:bCs/>
                <w:color w:val="auto"/>
                <w:kern w:val="0"/>
                <w:sz w:val="24"/>
                <w:szCs w:val="28"/>
                <w:highlight w:val="none"/>
              </w:rPr>
              <w:sym w:font="Wingdings" w:char="00FE"/>
            </w:r>
            <w:r>
              <w:rPr>
                <w:rFonts w:hint="eastAsia" w:ascii="仿宋" w:hAnsi="仿宋" w:eastAsia="仿宋" w:cs="仿宋"/>
                <w:bCs/>
                <w:color w:val="auto"/>
                <w:kern w:val="0"/>
                <w:sz w:val="24"/>
                <w:szCs w:val="28"/>
                <w:highlight w:val="none"/>
              </w:rPr>
              <w:t>保函</w:t>
            </w:r>
          </w:p>
          <w:p w14:paraId="541C9056">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（3）收取单位：</w:t>
            </w:r>
            <w:r>
              <w:rPr>
                <w:rFonts w:hint="eastAsia" w:ascii="仿宋" w:hAnsi="仿宋" w:eastAsia="仿宋" w:cs="仿宋"/>
                <w:bCs/>
                <w:color w:val="auto"/>
                <w:kern w:val="0"/>
                <w:sz w:val="24"/>
                <w:szCs w:val="28"/>
                <w:highlight w:val="none"/>
                <w:u w:val="single"/>
              </w:rPr>
              <w:t>另行通知</w:t>
            </w:r>
            <w:r>
              <w:rPr>
                <w:rFonts w:hint="eastAsia" w:ascii="仿宋" w:hAnsi="仿宋" w:eastAsia="仿宋" w:cs="仿宋"/>
                <w:bCs/>
                <w:color w:val="auto"/>
                <w:kern w:val="0"/>
                <w:sz w:val="24"/>
                <w:szCs w:val="28"/>
                <w:highlight w:val="none"/>
              </w:rPr>
              <w:t xml:space="preserve">              </w:t>
            </w:r>
          </w:p>
          <w:p w14:paraId="2136CCEF">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（4）收取账号：</w:t>
            </w:r>
            <w:r>
              <w:rPr>
                <w:rFonts w:hint="eastAsia" w:ascii="仿宋" w:hAnsi="仿宋" w:eastAsia="仿宋" w:cs="仿宋"/>
                <w:bCs/>
                <w:color w:val="auto"/>
                <w:kern w:val="0"/>
                <w:sz w:val="24"/>
                <w:szCs w:val="28"/>
                <w:highlight w:val="none"/>
                <w:u w:val="single"/>
              </w:rPr>
              <w:t>另行通知</w:t>
            </w:r>
          </w:p>
          <w:p w14:paraId="63E27FE6">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bCs/>
                <w:color w:val="auto"/>
                <w:kern w:val="0"/>
                <w:sz w:val="24"/>
                <w:szCs w:val="28"/>
                <w:highlight w:val="none"/>
              </w:rPr>
              <w:t>（5）</w:t>
            </w:r>
            <w:r>
              <w:rPr>
                <w:rFonts w:hint="eastAsia" w:ascii="仿宋" w:hAnsi="仿宋" w:eastAsia="仿宋" w:cs="仿宋"/>
                <w:color w:val="auto"/>
                <w:sz w:val="24"/>
                <w:highlight w:val="none"/>
              </w:rPr>
              <w:t>退还时间：</w:t>
            </w:r>
            <w:r>
              <w:rPr>
                <w:rFonts w:hint="eastAsia" w:ascii="仿宋" w:hAnsi="仿宋" w:eastAsia="仿宋" w:cs="仿宋"/>
                <w:color w:val="auto"/>
                <w:sz w:val="24"/>
                <w:highlight w:val="none"/>
                <w:u w:val="single"/>
              </w:rPr>
              <w:t>验收合格，一次性退还</w:t>
            </w:r>
            <w:r>
              <w:rPr>
                <w:rFonts w:hint="eastAsia" w:ascii="仿宋" w:hAnsi="仿宋" w:eastAsia="仿宋" w:cs="仿宋"/>
                <w:color w:val="auto"/>
                <w:sz w:val="24"/>
                <w:highlight w:val="none"/>
                <w:u w:val="single"/>
                <w:lang w:eastAsia="zh-CN"/>
              </w:rPr>
              <w:t>。</w:t>
            </w:r>
          </w:p>
          <w:p w14:paraId="39FC7836">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注意事项：</w:t>
            </w:r>
          </w:p>
          <w:p w14:paraId="1DD73C52">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（1）以上各类机构出具的以担保函、保证保险承担责任的方式均须满足无条件见索即付条件。</w:t>
            </w:r>
          </w:p>
          <w:p w14:paraId="40A1A969">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（2）以担保函、保证保险形式缴纳履约保证金的，受益人和收取单位须为采购人。</w:t>
            </w:r>
          </w:p>
        </w:tc>
      </w:tr>
      <w:tr w14:paraId="70E9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48" w:type="pct"/>
            <w:vAlign w:val="center"/>
          </w:tcPr>
          <w:p w14:paraId="5F29B51F">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27.1</w:t>
            </w:r>
          </w:p>
        </w:tc>
        <w:tc>
          <w:tcPr>
            <w:tcW w:w="1198" w:type="pct"/>
            <w:vAlign w:val="center"/>
          </w:tcPr>
          <w:p w14:paraId="16CC2BE5">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签订合同和合同公告时间</w:t>
            </w:r>
          </w:p>
        </w:tc>
        <w:tc>
          <w:tcPr>
            <w:tcW w:w="3152" w:type="pct"/>
          </w:tcPr>
          <w:p w14:paraId="21A55260">
            <w:pPr>
              <w:pStyle w:val="23"/>
              <w:widowControl/>
              <w:spacing w:before="0" w:beforeAutospacing="0" w:after="0" w:afterAutospacing="0"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（1）采购人与中标人应当自发出中标通知书之日起7个工作日内签订合同，采购合同签订之日起2个工作日内完成政府采购合同公开。</w:t>
            </w:r>
          </w:p>
          <w:p w14:paraId="0977D000">
            <w:pPr>
              <w:pStyle w:val="23"/>
              <w:widowControl/>
              <w:spacing w:before="0" w:beforeAutospacing="0" w:after="0" w:afterAutospacing="0" w:line="360" w:lineRule="auto"/>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5EF2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208B2732">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28.1</w:t>
            </w:r>
          </w:p>
        </w:tc>
        <w:tc>
          <w:tcPr>
            <w:tcW w:w="1198" w:type="pct"/>
            <w:vAlign w:val="center"/>
          </w:tcPr>
          <w:p w14:paraId="07C66F1A">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代理费用</w:t>
            </w:r>
          </w:p>
        </w:tc>
        <w:tc>
          <w:tcPr>
            <w:tcW w:w="3152" w:type="pct"/>
            <w:vAlign w:val="center"/>
          </w:tcPr>
          <w:p w14:paraId="4C5C5768">
            <w:pPr>
              <w:spacing w:before="39" w:line="360" w:lineRule="auto"/>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8"/>
                <w:highlight w:val="none"/>
              </w:rPr>
              <w:t>（1）收费对象</w:t>
            </w:r>
            <w:r>
              <w:rPr>
                <w:rFonts w:hint="eastAsia" w:ascii="仿宋" w:hAnsi="仿宋" w:eastAsia="仿宋" w:cs="仿宋"/>
                <w:color w:val="auto"/>
                <w:spacing w:val="-12"/>
                <w:sz w:val="24"/>
                <w:szCs w:val="24"/>
                <w:highlight w:val="none"/>
              </w:rPr>
              <w:t>：</w:t>
            </w:r>
            <w:r>
              <w:rPr>
                <w:rFonts w:hint="eastAsia" w:ascii="仿宋" w:hAnsi="仿宋" w:eastAsia="仿宋" w:cs="仿宋"/>
                <w:bCs/>
                <w:color w:val="auto"/>
                <w:kern w:val="0"/>
                <w:sz w:val="24"/>
                <w:szCs w:val="28"/>
                <w:highlight w:val="none"/>
              </w:rPr>
              <w:sym w:font="Wingdings" w:char="00A8"/>
            </w:r>
            <w:r>
              <w:rPr>
                <w:rFonts w:hint="eastAsia" w:ascii="仿宋" w:hAnsi="仿宋" w:eastAsia="仿宋" w:cs="仿宋"/>
                <w:color w:val="auto"/>
                <w:spacing w:val="14"/>
                <w:sz w:val="24"/>
                <w:szCs w:val="24"/>
                <w:highlight w:val="none"/>
              </w:rPr>
              <w:t xml:space="preserve">采购人   </w:t>
            </w:r>
            <w:r>
              <w:rPr>
                <w:rFonts w:hint="eastAsia" w:ascii="仿宋" w:hAnsi="仿宋" w:eastAsia="仿宋" w:cs="仿宋"/>
                <w:bCs/>
                <w:color w:val="auto"/>
                <w:kern w:val="0"/>
                <w:sz w:val="24"/>
                <w:szCs w:val="28"/>
                <w:highlight w:val="none"/>
              </w:rPr>
              <w:sym w:font="Wingdings" w:char="00A8"/>
            </w:r>
            <w:r>
              <w:rPr>
                <w:rFonts w:hint="eastAsia" w:ascii="仿宋" w:hAnsi="仿宋" w:eastAsia="仿宋" w:cs="仿宋"/>
                <w:color w:val="auto"/>
                <w:spacing w:val="14"/>
                <w:sz w:val="24"/>
                <w:szCs w:val="24"/>
                <w:highlight w:val="none"/>
              </w:rPr>
              <w:t>中标人</w:t>
            </w:r>
          </w:p>
          <w:p w14:paraId="323CC0FC">
            <w:pPr>
              <w:spacing w:before="24" w:line="360" w:lineRule="auto"/>
              <w:rPr>
                <w:rFonts w:hint="eastAsia" w:ascii="仿宋" w:hAnsi="仿宋" w:eastAsia="仿宋" w:cs="仿宋"/>
                <w:bCs/>
                <w:color w:val="auto"/>
                <w:kern w:val="0"/>
                <w:sz w:val="24"/>
                <w:szCs w:val="28"/>
                <w:highlight w:val="none"/>
                <w:u w:val="single"/>
              </w:rPr>
            </w:pPr>
            <w:r>
              <w:rPr>
                <w:rFonts w:hint="eastAsia" w:ascii="仿宋" w:hAnsi="仿宋" w:eastAsia="仿宋" w:cs="仿宋"/>
                <w:bCs/>
                <w:color w:val="auto"/>
                <w:kern w:val="0"/>
                <w:sz w:val="24"/>
                <w:szCs w:val="28"/>
                <w:highlight w:val="none"/>
              </w:rPr>
              <w:t>（2）收取方式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本项目不向采购人及中标人收取代理费用</w:t>
            </w:r>
          </w:p>
          <w:p w14:paraId="0C327115">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bCs w:val="0"/>
                <w:color w:val="auto"/>
                <w:sz w:val="24"/>
                <w:highlight w:val="none"/>
              </w:rPr>
              <w:t>（3）</w:t>
            </w:r>
            <w:r>
              <w:rPr>
                <w:rFonts w:hint="eastAsia" w:ascii="仿宋" w:hAnsi="仿宋" w:eastAsia="仿宋" w:cs="仿宋"/>
                <w:b w:val="0"/>
                <w:color w:val="auto"/>
                <w:sz w:val="24"/>
                <w:highlight w:val="none"/>
              </w:rPr>
              <w:t>收费标准：</w:t>
            </w:r>
            <w:r>
              <w:rPr>
                <w:rFonts w:hint="eastAsia" w:ascii="仿宋" w:hAnsi="仿宋" w:eastAsia="仿宋" w:cs="仿宋"/>
                <w:b w:val="0"/>
                <w:color w:val="auto"/>
                <w:sz w:val="24"/>
                <w:highlight w:val="none"/>
                <w:u w:val="single"/>
                <w:lang w:val="en-US" w:eastAsia="zh-CN"/>
              </w:rPr>
              <w:t>参考</w:t>
            </w:r>
            <w:r>
              <w:rPr>
                <w:rFonts w:hint="eastAsia" w:ascii="仿宋" w:hAnsi="仿宋" w:eastAsia="仿宋" w:cs="仿宋"/>
                <w:b w:val="0"/>
                <w:bCs w:val="0"/>
                <w:color w:val="auto"/>
                <w:kern w:val="2"/>
                <w:sz w:val="24"/>
                <w:szCs w:val="24"/>
                <w:highlight w:val="none"/>
                <w:u w:val="single"/>
              </w:rPr>
              <w:t>《滁州市公共资源交易代理机构及从业人员管理暂行办法》滁公管</w:t>
            </w:r>
            <w:r>
              <w:rPr>
                <w:rFonts w:hint="eastAsia" w:ascii="仿宋" w:hAnsi="仿宋" w:eastAsia="仿宋" w:cs="仿宋"/>
                <w:b w:val="0"/>
                <w:bCs w:val="0"/>
                <w:color w:val="auto"/>
                <w:kern w:val="2"/>
                <w:sz w:val="24"/>
                <w:szCs w:val="24"/>
                <w:highlight w:val="none"/>
                <w:u w:val="single"/>
                <w:lang w:eastAsia="zh-CN"/>
              </w:rPr>
              <w:t>【</w:t>
            </w:r>
            <w:r>
              <w:rPr>
                <w:rFonts w:hint="eastAsia" w:ascii="仿宋" w:hAnsi="仿宋" w:eastAsia="仿宋" w:cs="仿宋"/>
                <w:b w:val="0"/>
                <w:bCs w:val="0"/>
                <w:color w:val="auto"/>
                <w:kern w:val="2"/>
                <w:sz w:val="24"/>
                <w:szCs w:val="24"/>
                <w:highlight w:val="none"/>
                <w:u w:val="single"/>
              </w:rPr>
              <w:t>2022</w:t>
            </w:r>
            <w:r>
              <w:rPr>
                <w:rFonts w:hint="eastAsia" w:ascii="仿宋" w:hAnsi="仿宋" w:eastAsia="仿宋" w:cs="仿宋"/>
                <w:b w:val="0"/>
                <w:bCs w:val="0"/>
                <w:color w:val="auto"/>
                <w:kern w:val="2"/>
                <w:sz w:val="24"/>
                <w:szCs w:val="24"/>
                <w:highlight w:val="none"/>
                <w:u w:val="single"/>
                <w:lang w:eastAsia="zh-CN"/>
              </w:rPr>
              <w:t>】</w:t>
            </w:r>
            <w:r>
              <w:rPr>
                <w:rFonts w:hint="eastAsia" w:ascii="仿宋" w:hAnsi="仿宋" w:eastAsia="仿宋" w:cs="仿宋"/>
                <w:b w:val="0"/>
                <w:bCs w:val="0"/>
                <w:color w:val="auto"/>
                <w:kern w:val="2"/>
                <w:sz w:val="24"/>
                <w:szCs w:val="24"/>
                <w:highlight w:val="none"/>
                <w:u w:val="single"/>
              </w:rPr>
              <w:t>5号</w:t>
            </w:r>
            <w:r>
              <w:rPr>
                <w:rFonts w:hint="eastAsia" w:ascii="仿宋" w:hAnsi="仿宋" w:eastAsia="仿宋" w:cs="仿宋"/>
                <w:b w:val="0"/>
                <w:color w:val="auto"/>
                <w:sz w:val="24"/>
                <w:highlight w:val="none"/>
                <w:u w:val="single"/>
              </w:rPr>
              <w:t>（</w:t>
            </w:r>
            <w:r>
              <w:rPr>
                <w:rFonts w:hint="eastAsia" w:ascii="仿宋" w:hAnsi="仿宋" w:eastAsia="仿宋" w:cs="仿宋"/>
                <w:b w:val="0"/>
                <w:color w:val="auto"/>
                <w:sz w:val="24"/>
                <w:highlight w:val="none"/>
                <w:u w:val="single"/>
                <w:lang w:val="en-US" w:eastAsia="zh-CN"/>
              </w:rPr>
              <w:t>约14939</w:t>
            </w:r>
            <w:r>
              <w:rPr>
                <w:rFonts w:hint="eastAsia" w:ascii="仿宋" w:hAnsi="仿宋" w:eastAsia="仿宋" w:cs="仿宋"/>
                <w:b w:val="0"/>
                <w:color w:val="auto"/>
                <w:sz w:val="24"/>
                <w:highlight w:val="none"/>
                <w:u w:val="single"/>
              </w:rPr>
              <w:t>元）</w:t>
            </w:r>
          </w:p>
        </w:tc>
      </w:tr>
      <w:tr w14:paraId="0E19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131EB35D">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31.3</w:t>
            </w:r>
          </w:p>
        </w:tc>
        <w:tc>
          <w:tcPr>
            <w:tcW w:w="1198" w:type="pct"/>
            <w:vAlign w:val="center"/>
          </w:tcPr>
          <w:p w14:paraId="3343C0AA">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质疑函递交方式、接收部门、联系电话和通讯地址</w:t>
            </w:r>
          </w:p>
        </w:tc>
        <w:tc>
          <w:tcPr>
            <w:tcW w:w="3152" w:type="pct"/>
            <w:vAlign w:val="center"/>
          </w:tcPr>
          <w:p w14:paraId="550EA4BF">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递交方式：</w:t>
            </w:r>
            <w:r>
              <w:rPr>
                <w:rFonts w:hint="eastAsia" w:ascii="仿宋" w:hAnsi="仿宋" w:eastAsia="仿宋" w:cs="仿宋"/>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7EB90E54">
            <w:pPr>
              <w:pStyle w:val="47"/>
              <w:widowControl w:val="0"/>
              <w:spacing w:before="0" w:beforeAutospacing="0" w:after="0" w:afterAutospacing="0" w:line="360" w:lineRule="auto"/>
              <w:jc w:val="both"/>
              <w:rPr>
                <w:rFonts w:hint="eastAsia" w:ascii="仿宋" w:hAnsi="仿宋" w:eastAsia="仿宋" w:cs="仿宋"/>
                <w:b w:val="0"/>
                <w:bCs w:val="0"/>
                <w:color w:val="auto"/>
                <w:sz w:val="24"/>
                <w:szCs w:val="24"/>
                <w:highlight w:val="none"/>
                <w:u w:val="single"/>
              </w:rPr>
            </w:pPr>
            <w:r>
              <w:rPr>
                <w:rFonts w:hint="eastAsia" w:ascii="仿宋" w:hAnsi="仿宋" w:eastAsia="仿宋" w:cs="仿宋"/>
                <w:b w:val="0"/>
                <w:color w:val="auto"/>
                <w:sz w:val="24"/>
                <w:highlight w:val="none"/>
              </w:rPr>
              <w:t>接收部门：</w:t>
            </w:r>
            <w:r>
              <w:rPr>
                <w:rFonts w:hint="eastAsia" w:ascii="仿宋" w:hAnsi="仿宋" w:eastAsia="仿宋" w:cs="仿宋"/>
                <w:b w:val="0"/>
                <w:bCs w:val="0"/>
                <w:color w:val="auto"/>
                <w:sz w:val="24"/>
                <w:szCs w:val="24"/>
                <w:highlight w:val="none"/>
                <w:u w:val="single"/>
                <w:lang w:eastAsia="zh-CN"/>
              </w:rPr>
              <w:t>滁州市第一人民医院</w:t>
            </w:r>
            <w:r>
              <w:rPr>
                <w:rFonts w:hint="eastAsia" w:ascii="仿宋" w:hAnsi="仿宋" w:eastAsia="仿宋" w:cs="仿宋"/>
                <w:b w:val="0"/>
                <w:bCs w:val="0"/>
                <w:color w:val="auto"/>
                <w:sz w:val="24"/>
                <w:szCs w:val="24"/>
                <w:highlight w:val="none"/>
                <w:u w:val="single"/>
              </w:rPr>
              <w:t>、滁州市政府采购中心</w:t>
            </w:r>
          </w:p>
          <w:p w14:paraId="56DDA2A8">
            <w:pPr>
              <w:pStyle w:val="47"/>
              <w:widowControl w:val="0"/>
              <w:spacing w:before="0" w:beforeAutospacing="0" w:after="0" w:afterAutospacing="0" w:line="360" w:lineRule="auto"/>
              <w:jc w:val="both"/>
              <w:rPr>
                <w:rFonts w:hint="eastAsia" w:ascii="仿宋" w:hAnsi="仿宋" w:eastAsia="仿宋" w:cs="仿宋"/>
                <w:b w:val="0"/>
                <w:bCs w:val="0"/>
                <w:color w:val="auto"/>
                <w:sz w:val="24"/>
                <w:szCs w:val="18"/>
                <w:highlight w:val="none"/>
                <w:lang w:eastAsia="zh-CN"/>
              </w:rPr>
            </w:pPr>
            <w:r>
              <w:rPr>
                <w:rFonts w:hint="eastAsia" w:ascii="仿宋" w:hAnsi="仿宋" w:eastAsia="仿宋" w:cs="仿宋"/>
                <w:b w:val="0"/>
                <w:color w:val="auto"/>
                <w:sz w:val="24"/>
                <w:highlight w:val="none"/>
              </w:rPr>
              <w:t>联系电话：</w:t>
            </w:r>
            <w:r>
              <w:rPr>
                <w:rFonts w:hint="eastAsia" w:ascii="仿宋" w:hAnsi="仿宋" w:eastAsia="仿宋" w:cs="仿宋"/>
                <w:b w:val="0"/>
                <w:color w:val="auto"/>
                <w:sz w:val="24"/>
                <w:szCs w:val="24"/>
                <w:highlight w:val="none"/>
                <w:u w:val="single"/>
                <w:lang w:eastAsia="zh-CN"/>
              </w:rPr>
              <w:t>0550-3526032</w:t>
            </w:r>
            <w:r>
              <w:rPr>
                <w:rFonts w:hint="eastAsia" w:ascii="仿宋" w:hAnsi="仿宋" w:eastAsia="仿宋" w:cs="仿宋"/>
                <w:b w:val="0"/>
                <w:color w:val="auto"/>
                <w:sz w:val="24"/>
                <w:szCs w:val="24"/>
                <w:highlight w:val="none"/>
                <w:u w:val="single"/>
              </w:rPr>
              <w:t>、</w:t>
            </w:r>
            <w:r>
              <w:rPr>
                <w:rFonts w:hint="eastAsia" w:ascii="仿宋" w:hAnsi="仿宋" w:eastAsia="仿宋" w:cs="仿宋"/>
                <w:b w:val="0"/>
                <w:color w:val="auto"/>
                <w:sz w:val="24"/>
                <w:szCs w:val="24"/>
                <w:highlight w:val="none"/>
                <w:u w:val="single"/>
                <w:lang w:eastAsia="zh-CN"/>
              </w:rPr>
              <w:t>0550-3519516</w:t>
            </w:r>
          </w:p>
          <w:p w14:paraId="0EBCF682">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通讯地址：</w:t>
            </w:r>
            <w:r>
              <w:rPr>
                <w:rFonts w:hint="eastAsia" w:ascii="仿宋" w:hAnsi="仿宋" w:eastAsia="仿宋" w:cs="仿宋"/>
                <w:b w:val="0"/>
                <w:color w:val="auto"/>
                <w:sz w:val="24"/>
                <w:highlight w:val="none"/>
                <w:u w:val="single"/>
                <w:lang w:eastAsia="zh-CN"/>
              </w:rPr>
              <w:t>安徽省滁州市南谯区醉翁西路369号</w:t>
            </w:r>
            <w:r>
              <w:rPr>
                <w:rFonts w:hint="eastAsia" w:ascii="仿宋" w:hAnsi="仿宋" w:eastAsia="仿宋" w:cs="仿宋"/>
                <w:b w:val="0"/>
                <w:color w:val="auto"/>
                <w:sz w:val="24"/>
                <w:szCs w:val="24"/>
                <w:highlight w:val="none"/>
                <w:u w:val="single"/>
              </w:rPr>
              <w:t>、滁州市龙蟠大道109号房产大厦2楼</w:t>
            </w:r>
          </w:p>
        </w:tc>
      </w:tr>
      <w:tr w14:paraId="2CF1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7EC58681">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32</w:t>
            </w:r>
          </w:p>
        </w:tc>
        <w:tc>
          <w:tcPr>
            <w:tcW w:w="1198" w:type="pct"/>
            <w:vAlign w:val="center"/>
          </w:tcPr>
          <w:p w14:paraId="783F90CF">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其他内容</w:t>
            </w:r>
          </w:p>
        </w:tc>
        <w:tc>
          <w:tcPr>
            <w:tcW w:w="3152" w:type="pct"/>
            <w:vAlign w:val="center"/>
          </w:tcPr>
          <w:p w14:paraId="0DE204C0">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1、解释权：</w:t>
            </w:r>
          </w:p>
          <w:p w14:paraId="17AAA1BB">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（1）构成本招标文件的各个组成文件应互为解释，互为说明；</w:t>
            </w:r>
          </w:p>
          <w:p w14:paraId="307EE5C2">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（2）同一组成文件中就同一事项的规定或约定不一致的，以编排顺序在后者为准；</w:t>
            </w:r>
          </w:p>
          <w:p w14:paraId="2649E507">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（3）如有不明确或不一致，构成合同文件组成内容的，以合同文件约定内容为准，且以专用合同条款约定的合同文件优先顺序解释；</w:t>
            </w:r>
          </w:p>
          <w:p w14:paraId="00E64A57">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（4）除招标文件中有特别规定外，仅适用于招标投标阶段的规定，按招标公告、投标邀请、投标人须知、评标方法和标准、投标文件格式的先后顺序解释；</w:t>
            </w:r>
          </w:p>
          <w:p w14:paraId="03D46FEF">
            <w:pPr>
              <w:pStyle w:val="47"/>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（5）按本款前述规定仍不能形成结论的，由采购人负责解释。</w:t>
            </w:r>
          </w:p>
          <w:p w14:paraId="4A29B624">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2、“政采贷”融资指引：有融资需求的</w:t>
            </w:r>
            <w:r>
              <w:rPr>
                <w:rFonts w:hint="eastAsia" w:ascii="仿宋" w:hAnsi="仿宋" w:eastAsia="仿宋" w:cs="仿宋"/>
                <w:color w:val="auto"/>
                <w:sz w:val="24"/>
                <w:szCs w:val="24"/>
                <w:highlight w:val="none"/>
              </w:rPr>
              <w:t>中标人</w:t>
            </w:r>
            <w:r>
              <w:rPr>
                <w:rFonts w:hint="eastAsia" w:ascii="仿宋" w:hAnsi="仿宋" w:eastAsia="仿宋" w:cs="仿宋"/>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仿宋" w:hAnsi="仿宋" w:eastAsia="仿宋" w:cs="仿宋"/>
                <w:color w:val="auto"/>
                <w:sz w:val="24"/>
                <w:szCs w:val="24"/>
                <w:highlight w:val="none"/>
              </w:rPr>
              <w:t>中标人</w:t>
            </w:r>
            <w:r>
              <w:rPr>
                <w:rFonts w:hint="eastAsia" w:ascii="仿宋" w:hAnsi="仿宋" w:eastAsia="仿宋" w:cs="仿宋"/>
                <w:bCs/>
                <w:color w:val="auto"/>
                <w:sz w:val="24"/>
                <w:szCs w:val="24"/>
                <w:highlight w:val="none"/>
              </w:rPr>
              <w:t>签署政府采购中标（成交）合同后，登录“徽采云”金融服务模块，选择意向产品进行申请，并填写相关信息，“徽采云”金融服务模块将</w:t>
            </w:r>
            <w:r>
              <w:rPr>
                <w:rFonts w:hint="eastAsia" w:ascii="仿宋" w:hAnsi="仿宋" w:eastAsia="仿宋" w:cs="仿宋"/>
                <w:color w:val="auto"/>
                <w:sz w:val="24"/>
                <w:szCs w:val="24"/>
                <w:highlight w:val="none"/>
              </w:rPr>
              <w:t>中标人</w:t>
            </w:r>
            <w:r>
              <w:rPr>
                <w:rFonts w:hint="eastAsia" w:ascii="仿宋" w:hAnsi="仿宋" w:eastAsia="仿宋" w:cs="仿宋"/>
                <w:bCs/>
                <w:color w:val="auto"/>
                <w:sz w:val="24"/>
                <w:szCs w:val="24"/>
                <w:highlight w:val="none"/>
              </w:rPr>
              <w:t>融资申请信息推送第三方平台、意向金融机构。</w:t>
            </w:r>
          </w:p>
          <w:p w14:paraId="2BAC9AEF">
            <w:pPr>
              <w:pStyle w:val="47"/>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3、电子保函指引：中标人可访问安徽省政府采购网“融资/保函”栏目，申请办理电子保函（包括：履约保函、预付款保函）。</w:t>
            </w:r>
          </w:p>
          <w:p w14:paraId="20992C3D">
            <w:pPr>
              <w:pStyle w:val="47"/>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4、部分可提供线下政采贷的金融机构</w:t>
            </w:r>
          </w:p>
          <w:p w14:paraId="1846866D">
            <w:pPr>
              <w:pStyle w:val="47"/>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市本级</w:t>
            </w:r>
          </w:p>
          <w:p w14:paraId="659B034B">
            <w:pPr>
              <w:pStyle w:val="47"/>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金融机构名称：兴业银行滁州分行</w:t>
            </w:r>
          </w:p>
          <w:p w14:paraId="45ED218A">
            <w:pPr>
              <w:pStyle w:val="47"/>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安徽省滁州市琅琊区丰乐大道1090号</w:t>
            </w:r>
          </w:p>
          <w:p w14:paraId="38A2A853">
            <w:pPr>
              <w:pStyle w:val="47"/>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俞冉：18256950224</w:t>
            </w:r>
          </w:p>
          <w:p w14:paraId="7153381A">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5、特</w:t>
            </w:r>
            <w:bookmarkStart w:id="128" w:name="_GoBack"/>
            <w:bookmarkEnd w:id="128"/>
            <w:r>
              <w:rPr>
                <w:rFonts w:hint="eastAsia" w:ascii="仿宋" w:hAnsi="仿宋" w:eastAsia="仿宋" w:cs="仿宋"/>
                <w:b w:val="0"/>
                <w:color w:val="auto"/>
                <w:kern w:val="2"/>
                <w:sz w:val="24"/>
                <w:szCs w:val="24"/>
                <w:highlight w:val="none"/>
              </w:rPr>
              <w:t>别提示：</w:t>
            </w:r>
          </w:p>
          <w:p w14:paraId="0D425AA6">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（1）投标人应填写投标信息并下载招标文件，否则无法上传投标文件。</w:t>
            </w:r>
          </w:p>
          <w:p w14:paraId="0CF76A81">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注：投标人如为联合体的，牵头人必须完善投标人信息，并在上传投标文件环节添加联合体投标信息。</w:t>
            </w:r>
          </w:p>
          <w:p w14:paraId="749BD4B1">
            <w:pPr>
              <w:pStyle w:val="47"/>
              <w:widowControl w:val="0"/>
              <w:wordWrap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2F384DCA">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（3）如果过程中出现招标文件更改，应以最后发布的招标答疑澄清文件中的模板制作本项目最新投标文件。</w:t>
            </w:r>
          </w:p>
          <w:p w14:paraId="08029EA7">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 xml:space="preserve">（4）投标人应当用本单位CA数字证书制作投标文件，制作成功后进行投标文件上传。 </w:t>
            </w:r>
          </w:p>
          <w:p w14:paraId="2385D1FC">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49F3F184">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（6）请投标人注意加密投标文件CA数字证书的有效期，不在有效期的CA数字证书无法解密投标文件。</w:t>
            </w:r>
          </w:p>
          <w:p w14:paraId="71548923">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（7）投标人投标MAC地址或投标人联系人或联系电话相同的，由评标委员会否决其投标，并报告监管部门作不良行为处理和进一步调查。</w:t>
            </w:r>
          </w:p>
          <w:p w14:paraId="3BBAE2B0">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（8）投标人单方面出现其他投标人材料的，由评标委员会否决其投标。</w:t>
            </w:r>
          </w:p>
          <w:p w14:paraId="2501C56B">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5C7DFB54">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27CB3A64">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6、评标过程中的澄清、说明或补正：</w:t>
            </w:r>
          </w:p>
          <w:p w14:paraId="17A04EBE">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0B0C7285">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E307738">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7、同义词语：</w:t>
            </w:r>
          </w:p>
          <w:p w14:paraId="345663E4">
            <w:pPr>
              <w:pStyle w:val="47"/>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招标文件第六章 投标文件格式、附件1“关于联合惩戒失信行为 加强信用查询管理的通知”等章节中 “招标人”、“供应商”，等同于“采购人”、“投标人”。</w:t>
            </w:r>
          </w:p>
          <w:p w14:paraId="53CFFD09">
            <w:pPr>
              <w:pStyle w:val="47"/>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8、落实政府采购支持节能产品、环境标志产品政策。</w:t>
            </w:r>
          </w:p>
        </w:tc>
      </w:tr>
    </w:tbl>
    <w:p w14:paraId="72F54041">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8"/>
          <w:highlight w:val="none"/>
        </w:rPr>
        <w:br w:type="page"/>
      </w:r>
      <w:bookmarkStart w:id="5" w:name="_Toc14880"/>
      <w:bookmarkStart w:id="6" w:name="_Toc24882"/>
      <w:r>
        <w:rPr>
          <w:rFonts w:hint="eastAsia" w:ascii="仿宋" w:hAnsi="仿宋" w:eastAsia="仿宋" w:cs="仿宋"/>
          <w:b/>
          <w:color w:val="auto"/>
          <w:sz w:val="24"/>
          <w:szCs w:val="24"/>
          <w:highlight w:val="none"/>
        </w:rPr>
        <w:t>二、投标人须知正文</w:t>
      </w:r>
      <w:bookmarkEnd w:id="5"/>
      <w:bookmarkEnd w:id="6"/>
    </w:p>
    <w:p w14:paraId="7083EA3B">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1.采购人、采购代理机构及投标人</w:t>
      </w:r>
    </w:p>
    <w:p w14:paraId="44E8AE3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1.1采购人：是指依法开展政府采购活动的国家机关、事业单位、团体组织。</w:t>
      </w:r>
    </w:p>
    <w:p w14:paraId="151888E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1.2采购代理机构：是指集中采购机构或从事采购代理业务的社会中介机构。</w:t>
      </w:r>
    </w:p>
    <w:p w14:paraId="0C3B860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1.3政府采购监督管理部门：各级人民政府指定的有关部门依法履行与政府采购活动有关的监督管理职责。</w:t>
      </w:r>
    </w:p>
    <w:p w14:paraId="13964BF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7A592CE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1.4.1具备《中华人民共和国政府采购法》第二十二条关于供应商条件的规定，遵守本项目采购人本级和上级财政部门政府采购的有关规定。</w:t>
      </w:r>
    </w:p>
    <w:p w14:paraId="50BB3BA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1.4.2以采购代理机构认可的方式获得了本项目的招标文件。</w:t>
      </w:r>
    </w:p>
    <w:p w14:paraId="5C6A35F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1.4.3若采购需求中写明允许采购进口产品，投标人应保证所投产品可履行合法报通关手续进入中国关境内。</w:t>
      </w:r>
    </w:p>
    <w:p w14:paraId="43E9F37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若采购需求中未写明允许采购进口产品，如投标人所投产品为进口产品，其投标将被认定为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11AED54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1.5若招标公告中允许联合体投标，对联合体规定如下：</w:t>
      </w:r>
    </w:p>
    <w:p w14:paraId="42CBD7B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1.5.1两个以上供应商可以组成一个投标联合体，以一个投标人的身份投标。联合体投标的，招标文件获取手续由联合体中任一成员单位办理均可。</w:t>
      </w:r>
    </w:p>
    <w:p w14:paraId="26C64FC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1.5.2联合体各方均应符合《中华人民共和国政府采购法》第二十二条规定的条件。</w:t>
      </w:r>
    </w:p>
    <w:p w14:paraId="24E8F2E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1.5.3采购人根据采购项目对投标人的特殊要求，联合体中至少应当有一方符合相关规定。</w:t>
      </w:r>
    </w:p>
    <w:p w14:paraId="6C3F32A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1.5.4联合体各方应签订联合协议，明确约定联合体各方承担的工作和相应的责任，并将联合协议作为投标文件的一部分提交。</w:t>
      </w:r>
    </w:p>
    <w:p w14:paraId="753B988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4AB75D7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1.5.6联合体中有同类资质的供应商按照联合体分工承担相同工作的，应当按照资质等级较低的供应商确定资质等级。</w:t>
      </w:r>
    </w:p>
    <w:p w14:paraId="4EA91A8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76DF6C6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1.5.8对联合体投标的其他资格要求见申请人的资格要求。</w:t>
      </w:r>
    </w:p>
    <w:p w14:paraId="6DA5E5D3">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2.资金落实情况</w:t>
      </w:r>
    </w:p>
    <w:p w14:paraId="5CB107E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2.1本项目的采购人已获得足以支付本次招标后所签订的合同项下的资金。</w:t>
      </w:r>
    </w:p>
    <w:p w14:paraId="7DC8A1EF">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3.投标费用</w:t>
      </w:r>
    </w:p>
    <w:p w14:paraId="256A119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不论投标的结果如何，投标人应承担所有与准备和参加投标有关的费用。</w:t>
      </w:r>
    </w:p>
    <w:p w14:paraId="45561CE3">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4.适用法律</w:t>
      </w:r>
    </w:p>
    <w:p w14:paraId="1A5EE1BE">
      <w:pPr>
        <w:spacing w:line="360" w:lineRule="auto"/>
        <w:ind w:firstLine="435"/>
        <w:rPr>
          <w:rFonts w:hint="eastAsia" w:ascii="仿宋" w:hAnsi="仿宋" w:eastAsia="仿宋" w:cs="仿宋"/>
          <w:b/>
          <w:color w:val="auto"/>
          <w:sz w:val="24"/>
          <w:highlight w:val="none"/>
        </w:rPr>
      </w:pPr>
      <w:r>
        <w:rPr>
          <w:rFonts w:hint="eastAsia" w:ascii="仿宋" w:hAnsi="仿宋" w:eastAsia="仿宋" w:cs="仿宋"/>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609930C">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5.招标文件构成</w:t>
      </w:r>
    </w:p>
    <w:p w14:paraId="720AE76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5.1招标文件包括下列内容：</w:t>
      </w:r>
    </w:p>
    <w:p w14:paraId="38B32072">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第一章  投标邀请</w:t>
      </w:r>
    </w:p>
    <w:p w14:paraId="6F063BD9">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  投标人须知</w:t>
      </w:r>
    </w:p>
    <w:p w14:paraId="7B1672E5">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  采购需求</w:t>
      </w:r>
    </w:p>
    <w:p w14:paraId="2679207C">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  评标方法和标准</w:t>
      </w:r>
    </w:p>
    <w:p w14:paraId="3DBD3448">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  政府采购合同</w:t>
      </w:r>
    </w:p>
    <w:p w14:paraId="7825479E">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第六章  投标文件格式</w:t>
      </w:r>
    </w:p>
    <w:p w14:paraId="37AC5700">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第七章  政府采购询问函和质疑函范本</w:t>
      </w:r>
    </w:p>
    <w:p w14:paraId="757E68F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5.2现场考察（标前答疑会）及相关事项见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14:paraId="7B81BF0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5.3原则上采购人、采购代理机构不要求投标人提供样品。仅凭书面方式不能准确描述采购需求，或者需要对样品进行主观判断以确认是否满足采购需求等特殊情况除外。</w:t>
      </w:r>
    </w:p>
    <w:p w14:paraId="68954ED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如需提供样品，对样品相关要求见采购需求，对样品的评审方法及评审标准见招标文件第四章。</w:t>
      </w:r>
    </w:p>
    <w:p w14:paraId="4F51F13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5.4投标人应认真阅读招标文件所有的事项、格式、条款和技术规范等。</w:t>
      </w:r>
    </w:p>
    <w:p w14:paraId="0FD8A0F7">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6.招标文件的澄清与修改</w:t>
      </w:r>
    </w:p>
    <w:p w14:paraId="2DF8635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6.1投标人如对招标文件内容有疑问，必须在</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规定的网上询问截止时间前以网上提问形式（电子交易系统）提交给采购代理机构。</w:t>
      </w:r>
    </w:p>
    <w:p w14:paraId="7E0C59A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6.2采购人可主动地或在答复投标人提出的询问时对招标文件进行澄清与修改。采购代理机构将在安徽省政府采购网以发布更正公告的方式，澄清或修改招标文件，更正公告的内容作为招标文件的组成部分，对投标人起约束作用。投标人应主动上网查询。采购代理机构不承担投标人未及时关注相关信息引发的相关责任。</w:t>
      </w:r>
    </w:p>
    <w:p w14:paraId="14A5C24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F282A76">
      <w:pPr>
        <w:spacing w:line="360" w:lineRule="auto"/>
        <w:ind w:firstLine="435"/>
        <w:rPr>
          <w:rFonts w:hint="eastAsia" w:ascii="仿宋" w:hAnsi="仿宋" w:eastAsia="仿宋" w:cs="仿宋"/>
          <w:i/>
          <w:iCs/>
          <w:color w:val="auto"/>
          <w:sz w:val="24"/>
          <w:highlight w:val="none"/>
        </w:rPr>
      </w:pPr>
      <w:r>
        <w:rPr>
          <w:rFonts w:hint="eastAsia" w:ascii="仿宋" w:hAnsi="仿宋" w:eastAsia="仿宋" w:cs="仿宋"/>
          <w:color w:val="auto"/>
          <w:sz w:val="24"/>
          <w:highlight w:val="none"/>
        </w:rPr>
        <w:t>6.4对于没有提出疑问又参与了本项目投标的投标人将被视为完全认同本招标文件（含更正公告的内容）</w:t>
      </w:r>
      <w:r>
        <w:rPr>
          <w:rFonts w:hint="eastAsia" w:ascii="仿宋" w:hAnsi="仿宋" w:eastAsia="仿宋" w:cs="仿宋"/>
          <w:i/>
          <w:color w:val="auto"/>
          <w:sz w:val="24"/>
          <w:highlight w:val="none"/>
        </w:rPr>
        <w:t>。</w:t>
      </w:r>
    </w:p>
    <w:p w14:paraId="5BD30A1B">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7.投标范围及投标文件中标准和计量单位的使用</w:t>
      </w:r>
    </w:p>
    <w:p w14:paraId="42BBDB7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7.1项目有分包的，投标人可对招标文件其中某一个或几个分包进行投标，除非在</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中另有规定。</w:t>
      </w:r>
    </w:p>
    <w:p w14:paraId="1B542AD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7.2投标人应当对所投分包招标文件中“采购需求”所列的所有内容进行投标，如仅响应所投包别中的部分内容，其所投包别的投标将被认定为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1205BA93">
      <w:pPr>
        <w:spacing w:line="360" w:lineRule="auto"/>
        <w:ind w:firstLine="435"/>
        <w:rPr>
          <w:rFonts w:hint="eastAsia" w:ascii="仿宋" w:hAnsi="仿宋" w:eastAsia="仿宋" w:cs="仿宋"/>
          <w:color w:val="auto"/>
          <w:sz w:val="24"/>
          <w:highlight w:val="none"/>
        </w:rPr>
      </w:pPr>
      <w:bookmarkStart w:id="7" w:name="_Hlk16458980"/>
      <w:r>
        <w:rPr>
          <w:rFonts w:hint="eastAsia" w:ascii="仿宋" w:hAnsi="仿宋" w:eastAsia="仿宋" w:cs="仿宋"/>
          <w:color w:val="auto"/>
          <w:sz w:val="24"/>
          <w:highlight w:val="none"/>
        </w:rPr>
        <w:t>7.3无论招标文件中是否要求，投标人所投货物及伴随的服务和工程均应符合国家强制性标准。</w:t>
      </w:r>
    </w:p>
    <w:bookmarkEnd w:id="7"/>
    <w:p w14:paraId="54FF237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6969D66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7.5除招标文件中有特殊要求外，投标文件中所使用的计量单位，应采用中华人民共和国法定计量单位。</w:t>
      </w:r>
    </w:p>
    <w:p w14:paraId="5F2FB2BE">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8.投标文件构成</w:t>
      </w:r>
    </w:p>
    <w:p w14:paraId="6CA7821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8.1投标人应完整地按招标文件提供的投标文件格式及要求编写投标文件，具体内容详见本项目投标文件格式的相关内容。</w:t>
      </w:r>
    </w:p>
    <w:p w14:paraId="2489C6E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8.2投标人应提交招标文件要求的证明文件，证明其投标内容符合招标文件规定，该证明文件是投标文件的一部分。证明文件形式可以是文字资料、图纸和数据</w:t>
      </w:r>
      <w:bookmarkStart w:id="8" w:name="_Hlk11703583"/>
      <w:r>
        <w:rPr>
          <w:rFonts w:hint="eastAsia" w:ascii="仿宋" w:hAnsi="仿宋" w:eastAsia="仿宋" w:cs="仿宋"/>
          <w:color w:val="auto"/>
          <w:sz w:val="24"/>
          <w:highlight w:val="none"/>
        </w:rPr>
        <w:t>等。</w:t>
      </w:r>
    </w:p>
    <w:bookmarkEnd w:id="8"/>
    <w:p w14:paraId="4DD3E46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8.3为保证公平公正，除非另有规定或说明，投标人对同一项目投标时，不得同时提供备选投标方案。</w:t>
      </w:r>
    </w:p>
    <w:p w14:paraId="381ECCCF">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9.投标报价</w:t>
      </w:r>
    </w:p>
    <w:p w14:paraId="03A9C18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9.1投标人的报价应当包括满足本次招标全部采购需求。除招标文件另有规定外，所有投标均应以人民币报价。投标人的投标报价应遵守《中华人民共和国价格法》。</w:t>
      </w:r>
    </w:p>
    <w:p w14:paraId="0E01155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9.2投标人报价超过招标文件规定的预算金额或者分项、分包最高限价，其投标将被认定为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0760D5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9.3投标报价在合同履行过程中是固定不变的，不得以任何理由予以变更。任何包含价格调整要求的投标，其投标将被认定为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5A53024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9.4采购人不接受具有附加条件的报价。</w:t>
      </w:r>
    </w:p>
    <w:p w14:paraId="7858843A">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10.投标保证金</w:t>
      </w:r>
    </w:p>
    <w:p w14:paraId="6121010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10.1本项目不收取投标保证金。</w:t>
      </w:r>
    </w:p>
    <w:p w14:paraId="5164FC0E">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11.投标有效期</w:t>
      </w:r>
    </w:p>
    <w:p w14:paraId="07FF663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11.1投标有效期为从投标截止之日算起的日历天数，投标有效期详见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14:paraId="79AF1B1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11.2在投标有效期内，投标人的投标保持有效，投标人不得要求撤销或修改其投标文件。投标有效期不满足要求的投标，其投标将被认定为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185148C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68FFDCC">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12.投标文件的递交、修改与撤回</w:t>
      </w:r>
    </w:p>
    <w:p w14:paraId="03A22BE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12.1投标人应当在招标公告规定的投标截止时间前，将加密的投标文件在电子交易系统上传。</w:t>
      </w:r>
    </w:p>
    <w:p w14:paraId="679D399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37D023EF">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13.开标</w:t>
      </w:r>
    </w:p>
    <w:p w14:paraId="39A3A24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13.1开标时，</w:t>
      </w:r>
      <w:r>
        <w:rPr>
          <w:rFonts w:hint="eastAsia" w:ascii="仿宋" w:hAnsi="仿宋" w:eastAsia="仿宋" w:cs="仿宋"/>
          <w:color w:val="auto"/>
          <w:sz w:val="24"/>
          <w:szCs w:val="24"/>
          <w:highlight w:val="none"/>
        </w:rPr>
        <w:t>各投标人应在</w:t>
      </w:r>
      <w:r>
        <w:rPr>
          <w:rFonts w:hint="eastAsia" w:ascii="仿宋" w:hAnsi="仿宋" w:eastAsia="仿宋" w:cs="仿宋"/>
          <w:color w:val="auto"/>
          <w:sz w:val="24"/>
          <w:szCs w:val="24"/>
          <w:highlight w:val="none"/>
          <w:u w:val="single"/>
        </w:rPr>
        <w:t>投标人须知前附表</w:t>
      </w:r>
      <w:r>
        <w:rPr>
          <w:rFonts w:hint="eastAsia" w:ascii="仿宋" w:hAnsi="仿宋" w:eastAsia="仿宋" w:cs="仿宋"/>
          <w:color w:val="auto"/>
          <w:sz w:val="24"/>
          <w:szCs w:val="24"/>
          <w:highlight w:val="none"/>
        </w:rPr>
        <w:t>规定的解密时间前</w:t>
      </w:r>
      <w:r>
        <w:rPr>
          <w:rFonts w:hint="eastAsia" w:ascii="仿宋" w:hAnsi="仿宋" w:eastAsia="仿宋" w:cs="仿宋"/>
          <w:color w:val="auto"/>
          <w:sz w:val="24"/>
          <w:highlight w:val="none"/>
        </w:rPr>
        <w:t>对</w:t>
      </w:r>
      <w:r>
        <w:rPr>
          <w:rFonts w:hint="eastAsia" w:ascii="仿宋" w:hAnsi="仿宋" w:eastAsia="仿宋" w:cs="仿宋"/>
          <w:color w:val="auto"/>
          <w:sz w:val="24"/>
          <w:szCs w:val="24"/>
          <w:highlight w:val="none"/>
        </w:rPr>
        <w:t>其</w:t>
      </w:r>
      <w:r>
        <w:rPr>
          <w:rFonts w:hint="eastAsia" w:ascii="仿宋" w:hAnsi="仿宋" w:eastAsia="仿宋" w:cs="仿宋"/>
          <w:color w:val="auto"/>
          <w:sz w:val="24"/>
          <w:highlight w:val="none"/>
        </w:rPr>
        <w:t>投标文件进行解密。</w:t>
      </w:r>
    </w:p>
    <w:p w14:paraId="23334B8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13.2开标时，采购代理机构将通过网上开标系统公布开标结果，公布内容包括投标人名称、投标价格及招标文件规定的内容。</w:t>
      </w:r>
    </w:p>
    <w:p w14:paraId="33EFC53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13.3采购人或采购代理机构将对开标过程进行记录，由参加开标的各投标人代表和相关工作人员签字确认，并存档备查。</w:t>
      </w:r>
    </w:p>
    <w:p w14:paraId="0A68C34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投标人未派代表参加开标的，视同投标人认可开标结果。</w:t>
      </w:r>
    </w:p>
    <w:p w14:paraId="725EEEFC">
      <w:pPr>
        <w:spacing w:line="360" w:lineRule="auto"/>
        <w:ind w:firstLine="435"/>
        <w:rPr>
          <w:rFonts w:hint="eastAsia" w:ascii="仿宋" w:hAnsi="仿宋" w:eastAsia="仿宋" w:cs="仿宋"/>
          <w:color w:val="auto"/>
          <w:sz w:val="28"/>
          <w:highlight w:val="none"/>
        </w:rPr>
      </w:pPr>
      <w:r>
        <w:rPr>
          <w:rFonts w:hint="eastAsia" w:ascii="仿宋" w:hAnsi="仿宋" w:eastAsia="仿宋" w:cs="仿宋"/>
          <w:color w:val="auto"/>
          <w:sz w:val="24"/>
          <w:highlight w:val="none"/>
        </w:rPr>
        <w:t>13.4投标人代表对开标过程和开标记录有疑义，以及认为采购人、采购代理机构相关工作人员有需要回避的情形的，应当场提出询问或者回避申请。</w:t>
      </w:r>
    </w:p>
    <w:p w14:paraId="7AA907B1">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14.资格审查及组建评标委员会</w:t>
      </w:r>
    </w:p>
    <w:p w14:paraId="7426B6F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14.1采购人或采购代理机构依据法律法规和招标文件中规定的内容，对投标人资格进行审查，未通过资格审查的投标人不进入评标。</w:t>
      </w:r>
    </w:p>
    <w:p w14:paraId="3B077EEE">
      <w:pPr>
        <w:spacing w:line="360" w:lineRule="auto"/>
        <w:ind w:firstLine="435"/>
        <w:rPr>
          <w:rFonts w:hint="eastAsia" w:ascii="仿宋" w:hAnsi="仿宋" w:eastAsia="仿宋" w:cs="仿宋"/>
          <w:color w:val="auto"/>
          <w:sz w:val="24"/>
          <w:szCs w:val="24"/>
          <w:highlight w:val="none"/>
        </w:rPr>
      </w:pPr>
      <w:bookmarkStart w:id="9" w:name="_Hlk24663244"/>
      <w:r>
        <w:rPr>
          <w:rFonts w:hint="eastAsia" w:ascii="仿宋" w:hAnsi="仿宋" w:eastAsia="仿宋" w:cs="仿宋"/>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仿宋" w:hAnsi="仿宋" w:eastAsia="仿宋" w:cs="仿宋"/>
          <w:b/>
          <w:color w:val="auto"/>
          <w:sz w:val="24"/>
          <w:szCs w:val="24"/>
          <w:highlight w:val="none"/>
        </w:rPr>
        <w:t>投标无效</w:t>
      </w:r>
      <w:r>
        <w:rPr>
          <w:rFonts w:hint="eastAsia" w:ascii="仿宋" w:hAnsi="仿宋" w:eastAsia="仿宋" w:cs="仿宋"/>
          <w:color w:val="auto"/>
          <w:sz w:val="24"/>
          <w:szCs w:val="24"/>
          <w:highlight w:val="none"/>
        </w:rPr>
        <w:t>。</w:t>
      </w:r>
    </w:p>
    <w:p w14:paraId="48BAD6CC">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以联合体形式参加投标的，联合体成员存在以上不良信用记录的，联合体投标将被认定为</w:t>
      </w:r>
      <w:r>
        <w:rPr>
          <w:rFonts w:hint="eastAsia" w:ascii="仿宋" w:hAnsi="仿宋" w:eastAsia="仿宋" w:cs="仿宋"/>
          <w:b/>
          <w:color w:val="auto"/>
          <w:sz w:val="24"/>
          <w:szCs w:val="24"/>
          <w:highlight w:val="none"/>
        </w:rPr>
        <w:t>投标无效</w:t>
      </w:r>
      <w:r>
        <w:rPr>
          <w:rFonts w:hint="eastAsia" w:ascii="仿宋" w:hAnsi="仿宋" w:eastAsia="仿宋" w:cs="仿宋"/>
          <w:color w:val="auto"/>
          <w:sz w:val="24"/>
          <w:szCs w:val="24"/>
          <w:highlight w:val="none"/>
        </w:rPr>
        <w:t>。</w:t>
      </w:r>
    </w:p>
    <w:p w14:paraId="696F55D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9"/>
    <w:p w14:paraId="00252CA2">
      <w:pPr>
        <w:spacing w:line="360" w:lineRule="auto"/>
        <w:ind w:firstLine="435"/>
        <w:rPr>
          <w:rFonts w:hint="eastAsia" w:ascii="仿宋" w:hAnsi="仿宋" w:eastAsia="仿宋" w:cs="仿宋"/>
          <w:b/>
          <w:color w:val="auto"/>
          <w:sz w:val="24"/>
          <w:highlight w:val="none"/>
        </w:rPr>
      </w:pPr>
      <w:r>
        <w:rPr>
          <w:rFonts w:hint="eastAsia" w:ascii="仿宋" w:hAnsi="仿宋" w:eastAsia="仿宋" w:cs="仿宋"/>
          <w:color w:val="auto"/>
          <w:sz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7A6D3DC7">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15.投标文件符合性审查与澄清</w:t>
      </w:r>
    </w:p>
    <w:p w14:paraId="768505C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15.1符合性审查是指依据招标文件的规定，从投标文件的有效性和完整性对招标文件的响应程度进行审查，以确定是否对招标文件的实质性要求做出响应。</w:t>
      </w:r>
    </w:p>
    <w:p w14:paraId="75D00E0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15.2如一个分包内只有一种产品，不同投标人所投产品为同一品牌的，按如下方式处理：</w:t>
      </w:r>
    </w:p>
    <w:p w14:paraId="35DEB18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15.2.1如本项目使用最低评标价法，提供相同品牌产品的不同投标人以其中通过资格审查、符合性审查、异常低价投标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0C167F4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15.2.2如本项目使用综合评分法，提供相同品牌产品且通过资格审查、符合性审查、异常低价投标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25B2731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15.3如一个分包内包含多种产品的，采购人或采购代理机构将在采购需求中载明核心产品，多家投标人提供的核心产品品牌相同的，按第15.2款规定处理。</w:t>
      </w:r>
    </w:p>
    <w:p w14:paraId="3E053DB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15.4投标文件的澄清</w:t>
      </w:r>
    </w:p>
    <w:p w14:paraId="307FB6F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15.4.1为有助于投标文件的审查、评价和比较，在评标期间，评标委员会将以书面方式（询标）要求投标人对其投标文件中含义不明确、对同类问题表述不一致或者有明显文字和计算错误的内容等作必要的澄清、说明或补正。投标人的澄清、说明或补正应在评标委员会规定的时间内以书面方式进行，并不得超出投标文件范围或者改变投标文件的实质性内容。</w:t>
      </w:r>
    </w:p>
    <w:p w14:paraId="492F9B9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9CB1B0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15.4.2投标人的澄清、说明或补正将作为投标文件的一部分。</w:t>
      </w:r>
    </w:p>
    <w:p w14:paraId="741D7DD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15.4.3评标委员会对投标人提交的澄清、说明或补正有疑问的，可以要求投标人进一步澄清、说明或补正，直至满足评标委员会的要求。</w:t>
      </w:r>
    </w:p>
    <w:p w14:paraId="6ACA7BF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15.5投标文件报价出现前后不一致的，按照下列规定修正：</w:t>
      </w:r>
    </w:p>
    <w:p w14:paraId="0AB2298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（1）投标文件中开标一览表内容与投标文件中相应内容不一致的，以开标一览表为准；</w:t>
      </w:r>
    </w:p>
    <w:p w14:paraId="3187B18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（2）大写金额和小写金额不一致的，以大写金额为准；</w:t>
      </w:r>
    </w:p>
    <w:p w14:paraId="33B276B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（3）单价金额小数点或者百分比有明显错位的，以开标一览表的总价为准，并修改单价；</w:t>
      </w:r>
    </w:p>
    <w:p w14:paraId="5A9DF3B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（4）总价金额与按单价汇总金额不一致的，以单价金额计算结果为准。</w:t>
      </w:r>
    </w:p>
    <w:p w14:paraId="16DCBAC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同时出现两种以上不一致的，按照前款规定的顺序修正。修正后的报价按照第15.4条的规定经投标人确认后产生约束力，投标人不确认的，其投标将被认定为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6467E7A6">
      <w:pPr>
        <w:spacing w:line="360" w:lineRule="auto"/>
        <w:ind w:firstLine="435"/>
        <w:rPr>
          <w:rFonts w:hint="eastAsia" w:ascii="仿宋" w:hAnsi="仿宋" w:eastAsia="仿宋" w:cs="仿宋"/>
          <w:b/>
          <w:color w:val="auto"/>
          <w:sz w:val="24"/>
          <w:highlight w:val="none"/>
        </w:rPr>
      </w:pPr>
      <w:r>
        <w:rPr>
          <w:rFonts w:hint="eastAsia" w:ascii="仿宋" w:hAnsi="仿宋" w:eastAsia="仿宋" w:cs="仿宋"/>
          <w:color w:val="auto"/>
          <w:sz w:val="24"/>
          <w:highlight w:val="none"/>
        </w:rPr>
        <w:t>对不同文字文本投标文件的解释发生异议的，以中文文本为准。</w:t>
      </w:r>
    </w:p>
    <w:p w14:paraId="4D82F490">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16.投标无效</w:t>
      </w:r>
    </w:p>
    <w:p w14:paraId="5C4B4FA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2C45CF5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评标委员会决定投标的响应性只根据招标文件要求和投标文件内容。</w:t>
      </w:r>
    </w:p>
    <w:p w14:paraId="6FD3560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无论何种原因，即使投标人投标时携带了证书材料的原件，但投标文件中未提供与之内容完全一致的扫描件的，评标委员会视同其未提供。</w:t>
      </w:r>
    </w:p>
    <w:p w14:paraId="6CDBD11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16.2如发现下列情况之一的，其投标将被认定为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41FA0FA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（1）投标文件未按照招标文件规定要求签署、盖章的；</w:t>
      </w:r>
    </w:p>
    <w:p w14:paraId="0628E5D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（2）不具备招标文件中规定的资格要求的；</w:t>
      </w:r>
    </w:p>
    <w:p w14:paraId="7D73908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（3）报价超过招标文件中规定的预算金额或者最高限价的；</w:t>
      </w:r>
    </w:p>
    <w:p w14:paraId="1F4C251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（4）投标文件含有采购人不能接受的附加条件的；</w:t>
      </w:r>
    </w:p>
    <w:p w14:paraId="4FD96B2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（5）法律、法规和招标文件规定的其他无效情形。</w:t>
      </w:r>
    </w:p>
    <w:p w14:paraId="4B6D1C40">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17.比较与评价</w:t>
      </w:r>
    </w:p>
    <w:p w14:paraId="4564F8D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17.1经符合性审查合格并通过异常低价投标审查的投标文件，评标委员会将根据招标文件确定的评标方法和标准，对其投标文件作进一步的比较与评价。</w:t>
      </w:r>
    </w:p>
    <w:p w14:paraId="5861338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17.2评标严格按照招标文件的要求和条件进行。根据实际情况，在</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中规定采用下列一种评标方法，详细评标方法和标准见招标文件第四章：</w:t>
      </w:r>
    </w:p>
    <w:p w14:paraId="48F8467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（1）最低评标价法，是指投标文件满足招标文件全部实质性要求，且投标报价最低的投标人为中标候选人的评标方法。</w:t>
      </w:r>
    </w:p>
    <w:p w14:paraId="2DA4422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（2）综合评分法，是指投标文件满足招标文件全部实质性要求，且按照评审因素的量化指标评审得分最高的投标人为中标候选人的评标方法。</w:t>
      </w:r>
    </w:p>
    <w:p w14:paraId="29AEDFD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17.3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中规定的标准扣除后的价格参与评审。对于同时属于小微企业、监狱企业或残疾人福利性单位的，不重复进行投标报价扣除。</w:t>
      </w:r>
    </w:p>
    <w:p w14:paraId="7A02818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5868273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以联合体形式参加政府采购活动，联合体各方均为中小企业的，联合体视同中小企业。其中，联合体各方均为小微企业的，联合体视同小微企业。</w:t>
      </w:r>
    </w:p>
    <w:p w14:paraId="5C92699D">
      <w:pPr>
        <w:pStyle w:val="47"/>
        <w:widowControl w:val="0"/>
        <w:spacing w:before="0" w:beforeAutospacing="0" w:after="0" w:afterAutospacing="0" w:line="360" w:lineRule="auto"/>
        <w:ind w:firstLine="480" w:firstLineChars="200"/>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23F2086D">
      <w:pPr>
        <w:pStyle w:val="47"/>
        <w:widowControl w:val="0"/>
        <w:spacing w:before="0" w:beforeAutospacing="0" w:after="0" w:afterAutospacing="0" w:line="360" w:lineRule="auto"/>
        <w:ind w:firstLine="480" w:firstLineChars="200"/>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3F9FA847">
      <w:pPr>
        <w:pStyle w:val="47"/>
        <w:widowControl w:val="0"/>
        <w:spacing w:before="0" w:beforeAutospacing="0" w:after="0" w:afterAutospacing="0" w:line="360" w:lineRule="auto"/>
        <w:ind w:firstLine="480" w:firstLineChars="200"/>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56829F">
      <w:pPr>
        <w:pStyle w:val="47"/>
        <w:widowControl w:val="0"/>
        <w:spacing w:before="0" w:beforeAutospacing="0" w:after="0" w:afterAutospacing="0" w:line="360" w:lineRule="auto"/>
        <w:ind w:firstLine="480" w:firstLineChars="200"/>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17.5同时符合17.3和17.4的价格评审优惠时，评标价为投标报价分别扣除促进中小企业发展政策的价格评审优惠和本国产品支持政策的价格评审优惠后的价格。</w:t>
      </w:r>
    </w:p>
    <w:p w14:paraId="721527E3">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18.废标、重新招标与变更采购方式</w:t>
      </w:r>
    </w:p>
    <w:p w14:paraId="6D6BA1D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18.1出现下列情形之一，将导致项目废标：</w:t>
      </w:r>
    </w:p>
    <w:p w14:paraId="4E18A41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（1）符合专业条件的供应商或者对招标文件做实质性响应的供应商不足规定数量的；</w:t>
      </w:r>
    </w:p>
    <w:p w14:paraId="53D9D43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（2）出现影响采购公正的违法、违规行为的；</w:t>
      </w:r>
    </w:p>
    <w:p w14:paraId="7884E62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（3）投标人的报价均超过了采购预算，采购人不能支付的；</w:t>
      </w:r>
    </w:p>
    <w:p w14:paraId="131B901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（4）因重大变故，采购任务取消的。</w:t>
      </w:r>
    </w:p>
    <w:p w14:paraId="7E7C0CD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18.2公开招标数额标准以上的采购项目，投标截止后投标人不足3家或者通过资格审查或符合性审查或异常低价投标审查的投标人不足3家的，除采购任务取消情形外，按照以下方式处理：</w:t>
      </w:r>
    </w:p>
    <w:p w14:paraId="7779313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（1）招标文件存在不合理条款或者招标程序不符合规定的，采购人、采购代理机构改正后依法重新招标；</w:t>
      </w:r>
    </w:p>
    <w:p w14:paraId="1F716FC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（2）招标文件没有不合理条款、招标程序符合规定，需要采用其他采购方式采购的，采购人应当依法报</w:t>
      </w:r>
      <w:r>
        <w:rPr>
          <w:rFonts w:hint="eastAsia" w:ascii="仿宋" w:hAnsi="仿宋" w:eastAsia="仿宋" w:cs="仿宋"/>
          <w:color w:val="auto"/>
          <w:sz w:val="24"/>
          <w:szCs w:val="24"/>
          <w:highlight w:val="none"/>
        </w:rPr>
        <w:t>政府采购监督管理部门</w:t>
      </w:r>
      <w:r>
        <w:rPr>
          <w:rFonts w:hint="eastAsia" w:ascii="仿宋" w:hAnsi="仿宋" w:eastAsia="仿宋" w:cs="仿宋"/>
          <w:color w:val="auto"/>
          <w:sz w:val="24"/>
          <w:highlight w:val="none"/>
        </w:rPr>
        <w:t>批准。</w:t>
      </w:r>
    </w:p>
    <w:p w14:paraId="6E508D37">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19.保密要求</w:t>
      </w:r>
    </w:p>
    <w:p w14:paraId="4EA9D6A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19.1评标将在严格保密的情况下进行。</w:t>
      </w:r>
    </w:p>
    <w:p w14:paraId="35FF7BC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19.2有关人员应当遵守评标工作纪律，不得泄露评标文件、评标情况和评标中获悉的国家秘密、商业秘密。</w:t>
      </w:r>
    </w:p>
    <w:p w14:paraId="20692239">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20.中标候选人的确定原则及标准</w:t>
      </w:r>
    </w:p>
    <w:p w14:paraId="5AFF99F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20.1评标委员会依据本项目招标文件所约定的评标方法，对实质上响应招标文件的投标人按下列方法进行排序，确定中标候选人：</w:t>
      </w:r>
    </w:p>
    <w:p w14:paraId="6C5D920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832FB0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45E12507">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21.确定中标候选人和中标人</w:t>
      </w:r>
    </w:p>
    <w:p w14:paraId="2AE0947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21.1评标委员会将根据评标标准，按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中规定数量推荐中标候选人。</w:t>
      </w:r>
    </w:p>
    <w:p w14:paraId="2077120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21.2按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中规定，由评标委员会或采购人确定中标人。</w:t>
      </w:r>
    </w:p>
    <w:p w14:paraId="0E728E3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21.3因重大变故采购任务取消时，采购人有权拒绝任何投标人中标，且对受影响的投标人不承担任何责任。</w:t>
      </w:r>
    </w:p>
    <w:p w14:paraId="390A2E0F">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22.编写评标报告</w:t>
      </w:r>
    </w:p>
    <w:p w14:paraId="35DA837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5699851">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23.中标结果公告</w:t>
      </w:r>
    </w:p>
    <w:p w14:paraId="70C2B96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23.1除</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1154F35">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color w:val="auto"/>
          <w:sz w:val="24"/>
          <w:highlight w:val="none"/>
        </w:rPr>
        <w:t>23.2</w:t>
      </w:r>
      <w:r>
        <w:rPr>
          <w:rFonts w:hint="eastAsia" w:ascii="仿宋" w:hAnsi="仿宋" w:eastAsia="仿宋" w:cs="仿宋"/>
          <w:color w:val="auto"/>
          <w:sz w:val="24"/>
          <w:szCs w:val="18"/>
          <w:highlight w:val="none"/>
        </w:rPr>
        <w:t>自中标人确定之日起2个工作日内，采购代理机构将在安徽省政府采购网（www.ccgp-anhui.gov.cn）上发布中标结果公告。</w:t>
      </w:r>
    </w:p>
    <w:p w14:paraId="5BBD145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23.3中标结果公告内容应当包括采购人及其委托的采购代理机构的名称、地址、联系方式，项目名称和项目编号，中标人名称、地址和中标金额，主要中标标的的名称、规格型号、数量、单价、中标公告期限、评审专家名单以及</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中约定进行公告的内容。中标公告期限为1个工作日。</w:t>
      </w:r>
    </w:p>
    <w:p w14:paraId="24C0FD3D">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24.中标通知书</w:t>
      </w:r>
    </w:p>
    <w:p w14:paraId="00B7DBD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24.1采购代理机构发布中标结果公告</w:t>
      </w:r>
      <w:r>
        <w:rPr>
          <w:rFonts w:hint="eastAsia" w:ascii="仿宋" w:hAnsi="仿宋" w:eastAsia="仿宋" w:cs="仿宋"/>
          <w:iCs/>
          <w:color w:val="auto"/>
          <w:sz w:val="24"/>
          <w:highlight w:val="none"/>
        </w:rPr>
        <w:t>的</w:t>
      </w:r>
      <w:r>
        <w:rPr>
          <w:rFonts w:hint="eastAsia" w:ascii="仿宋" w:hAnsi="仿宋" w:eastAsia="仿宋" w:cs="仿宋"/>
          <w:color w:val="auto"/>
          <w:sz w:val="24"/>
          <w:highlight w:val="none"/>
        </w:rPr>
        <w:t>同时以</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规定的形式向中标人发出中标通知书。</w:t>
      </w:r>
    </w:p>
    <w:p w14:paraId="6944ADF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24.2中标通知书对采购人和中标人具有同等法律效力。中标通知书发出以后，采购人改变中标结果或者中标人放弃中标，应当承担相应的法律责任。</w:t>
      </w:r>
    </w:p>
    <w:p w14:paraId="35D13C9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24.3中标通知书是合同的组成部分。</w:t>
      </w:r>
    </w:p>
    <w:p w14:paraId="00F0EA7D">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25.告知招标结果</w:t>
      </w:r>
    </w:p>
    <w:p w14:paraId="57B009D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25.1在公告中标结果的同时，采购代理机构同时以</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规定的形式告知未通过资格审查的投标人未通过的原因；采用综合评分法评审的，还将告知未中标人本人的评审得分和排序。</w:t>
      </w:r>
    </w:p>
    <w:p w14:paraId="0B679CF7">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26.履约保证金</w:t>
      </w:r>
    </w:p>
    <w:p w14:paraId="65C9E58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26.1中标人应按照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规定缴纳履约保证金。</w:t>
      </w:r>
    </w:p>
    <w:p w14:paraId="00A9DE82">
      <w:pPr>
        <w:spacing w:line="360" w:lineRule="auto"/>
        <w:ind w:firstLine="435"/>
        <w:rPr>
          <w:rFonts w:hint="eastAsia" w:ascii="仿宋" w:hAnsi="仿宋" w:eastAsia="仿宋" w:cs="仿宋"/>
          <w:b/>
          <w:color w:val="auto"/>
          <w:sz w:val="24"/>
          <w:highlight w:val="none"/>
        </w:rPr>
      </w:pPr>
      <w:r>
        <w:rPr>
          <w:rFonts w:hint="eastAsia" w:ascii="仿宋" w:hAnsi="仿宋" w:eastAsia="仿宋" w:cs="仿宋"/>
          <w:color w:val="auto"/>
          <w:sz w:val="24"/>
          <w:highlight w:val="none"/>
        </w:rPr>
        <w:t>26.2如果中标人没有按照上述履约保证金的规定执行，将视为放弃中标资格。在此情况下，采购人可确定下一中标候选人为中标人，也可以重新开展采购活动。</w:t>
      </w:r>
    </w:p>
    <w:p w14:paraId="469555A3">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27.签订合同</w:t>
      </w:r>
    </w:p>
    <w:p w14:paraId="3B3273A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27.1</w:t>
      </w:r>
      <w:r>
        <w:rPr>
          <w:rFonts w:hint="eastAsia" w:ascii="仿宋" w:hAnsi="仿宋" w:eastAsia="仿宋" w:cs="仿宋"/>
          <w:color w:val="auto"/>
          <w:sz w:val="24"/>
          <w:szCs w:val="24"/>
          <w:highlight w:val="none"/>
        </w:rPr>
        <w:t>采购人与中标人应当按照</w:t>
      </w:r>
      <w:r>
        <w:rPr>
          <w:rFonts w:hint="eastAsia" w:ascii="仿宋" w:hAnsi="仿宋" w:eastAsia="仿宋" w:cs="仿宋"/>
          <w:color w:val="auto"/>
          <w:sz w:val="24"/>
          <w:szCs w:val="24"/>
          <w:highlight w:val="none"/>
          <w:u w:val="single"/>
        </w:rPr>
        <w:t>投标人须知前附表</w:t>
      </w:r>
      <w:r>
        <w:rPr>
          <w:rFonts w:hint="eastAsia" w:ascii="仿宋" w:hAnsi="仿宋" w:eastAsia="仿宋" w:cs="仿宋"/>
          <w:color w:val="auto"/>
          <w:sz w:val="24"/>
          <w:szCs w:val="24"/>
          <w:highlight w:val="none"/>
        </w:rPr>
        <w:t>规定的时间内完成政府采购合同签订及合同公告。</w:t>
      </w:r>
    </w:p>
    <w:p w14:paraId="2E6376D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27.2招标文件、中标人的投标文件及其澄清文件等，均为签订合同的依据。</w:t>
      </w:r>
    </w:p>
    <w:p w14:paraId="66C4F76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27.3中标人拒绝与采购人签订合同的，采购人可以按照评审报告推荐的中标候选人名单排序，确定下一中标候选人为中标人，也可以重新开展政府采购活动。</w:t>
      </w:r>
    </w:p>
    <w:p w14:paraId="02EB4FA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255F4DD5">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28.代理费用</w:t>
      </w:r>
    </w:p>
    <w:p w14:paraId="7A12378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28.1本项目代理费用的收取按</w:t>
      </w:r>
      <w:r>
        <w:rPr>
          <w:rFonts w:hint="eastAsia" w:ascii="仿宋" w:hAnsi="仿宋" w:eastAsia="仿宋" w:cs="仿宋"/>
          <w:color w:val="auto"/>
          <w:sz w:val="24"/>
          <w:highlight w:val="none"/>
          <w:u w:val="single"/>
        </w:rPr>
        <w:t>投标人须知前附表的</w:t>
      </w:r>
      <w:r>
        <w:rPr>
          <w:rFonts w:hint="eastAsia" w:ascii="仿宋" w:hAnsi="仿宋" w:eastAsia="仿宋" w:cs="仿宋"/>
          <w:color w:val="auto"/>
          <w:sz w:val="24"/>
          <w:highlight w:val="none"/>
        </w:rPr>
        <w:t>规定执行。</w:t>
      </w:r>
    </w:p>
    <w:p w14:paraId="26EE5B26">
      <w:pPr>
        <w:spacing w:line="360" w:lineRule="auto"/>
        <w:ind w:firstLine="437"/>
        <w:outlineLvl w:val="2"/>
        <w:rPr>
          <w:rFonts w:hint="eastAsia" w:ascii="仿宋" w:hAnsi="仿宋" w:eastAsia="仿宋" w:cs="仿宋"/>
          <w:b/>
          <w:color w:val="auto"/>
          <w:sz w:val="24"/>
          <w:highlight w:val="none"/>
        </w:rPr>
      </w:pPr>
      <w:bookmarkStart w:id="10" w:name="_Toc518923100"/>
      <w:bookmarkStart w:id="11" w:name="_Toc2583661"/>
      <w:r>
        <w:rPr>
          <w:rFonts w:hint="eastAsia" w:ascii="仿宋" w:hAnsi="仿宋" w:eastAsia="仿宋" w:cs="仿宋"/>
          <w:b/>
          <w:color w:val="auto"/>
          <w:sz w:val="24"/>
          <w:highlight w:val="none"/>
        </w:rPr>
        <w:t>29.廉洁自律规定</w:t>
      </w:r>
      <w:bookmarkEnd w:id="10"/>
      <w:bookmarkEnd w:id="11"/>
    </w:p>
    <w:p w14:paraId="13632C9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29.1采购代理机构工作人员不得以不正当手段获取政府采购代理业务，不得与采购人、供应商恶意串通。</w:t>
      </w:r>
    </w:p>
    <w:p w14:paraId="4D03276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12C541BA">
      <w:pPr>
        <w:spacing w:line="360" w:lineRule="auto"/>
        <w:ind w:firstLine="437"/>
        <w:outlineLvl w:val="2"/>
        <w:rPr>
          <w:rFonts w:hint="eastAsia" w:ascii="仿宋" w:hAnsi="仿宋" w:eastAsia="仿宋" w:cs="仿宋"/>
          <w:b/>
          <w:color w:val="auto"/>
          <w:sz w:val="24"/>
          <w:highlight w:val="none"/>
        </w:rPr>
      </w:pPr>
      <w:bookmarkStart w:id="12" w:name="_Toc2583662"/>
      <w:bookmarkStart w:id="13" w:name="_Toc518923101"/>
      <w:r>
        <w:rPr>
          <w:rFonts w:hint="eastAsia" w:ascii="仿宋" w:hAnsi="仿宋" w:eastAsia="仿宋" w:cs="仿宋"/>
          <w:b/>
          <w:color w:val="auto"/>
          <w:sz w:val="24"/>
          <w:highlight w:val="none"/>
        </w:rPr>
        <w:t>30.人员回避</w:t>
      </w:r>
      <w:bookmarkEnd w:id="12"/>
      <w:bookmarkEnd w:id="13"/>
    </w:p>
    <w:p w14:paraId="7C19F97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投标人认为采购人员及其相关人员有法律法规所列与其他供应商有利害关系的，可以向采购人或采购代理机构书面提出回避申请，并说明理由。</w:t>
      </w:r>
    </w:p>
    <w:p w14:paraId="093C7722">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31.质疑的提出与接收</w:t>
      </w:r>
    </w:p>
    <w:p w14:paraId="35AFC9A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C213D2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A3DB86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31.3采购代理机构质疑函接收部门、联系电话和通讯地址，见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14:paraId="22DBF26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注：上述条款中所要求的书面形式包含通过电子交易系统递交方式。</w:t>
      </w:r>
    </w:p>
    <w:p w14:paraId="6CAF78E7">
      <w:pPr>
        <w:wordWrap w:val="0"/>
        <w:spacing w:line="360" w:lineRule="auto"/>
        <w:ind w:firstLine="437"/>
        <w:outlineLvl w:val="2"/>
        <w:rPr>
          <w:rFonts w:hint="eastAsia" w:ascii="仿宋" w:hAnsi="仿宋" w:eastAsia="仿宋" w:cs="仿宋"/>
          <w:b/>
          <w:color w:val="auto"/>
          <w:sz w:val="24"/>
          <w:szCs w:val="24"/>
          <w:highlight w:val="none"/>
        </w:rPr>
      </w:pPr>
      <w:r>
        <w:rPr>
          <w:rFonts w:hint="eastAsia" w:ascii="仿宋" w:hAnsi="仿宋" w:eastAsia="仿宋" w:cs="仿宋"/>
          <w:b/>
          <w:color w:val="auto"/>
          <w:sz w:val="24"/>
          <w:highlight w:val="none"/>
        </w:rPr>
        <w:t>32.</w:t>
      </w:r>
      <w:r>
        <w:rPr>
          <w:rFonts w:hint="eastAsia" w:ascii="仿宋" w:hAnsi="仿宋" w:eastAsia="仿宋" w:cs="仿宋"/>
          <w:b/>
          <w:color w:val="auto"/>
          <w:sz w:val="24"/>
          <w:szCs w:val="24"/>
          <w:highlight w:val="none"/>
          <w:lang w:bidi="ar"/>
        </w:rPr>
        <w:t>投诉</w:t>
      </w:r>
    </w:p>
    <w:p w14:paraId="0ED563AB">
      <w:pPr>
        <w:wordWrap w:val="0"/>
        <w:autoSpaceDE w:val="0"/>
        <w:spacing w:line="360" w:lineRule="auto"/>
        <w:ind w:firstLine="4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7CFF55E7">
      <w:pPr>
        <w:wordWrap w:val="0"/>
        <w:autoSpaceDE w:val="0"/>
        <w:spacing w:line="360" w:lineRule="auto"/>
        <w:ind w:firstLine="4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367CADFA">
      <w:pPr>
        <w:wordWrap w:val="0"/>
        <w:autoSpaceDE w:val="0"/>
        <w:spacing w:line="360" w:lineRule="auto"/>
        <w:ind w:firstLine="4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32.3政府采购监督管理部门在处理投诉事项期间，可以视具体情况书面通知采购人暂停采购活动，但暂停时间最长不得超过30日。</w:t>
      </w:r>
    </w:p>
    <w:p w14:paraId="467C8CF0">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33.需要补充的其他内容</w:t>
      </w:r>
    </w:p>
    <w:p w14:paraId="509B625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需要补充的其他内容，见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14:paraId="4EDA1EEA">
      <w:pPr>
        <w:widowControl/>
        <w:jc w:val="left"/>
        <w:rPr>
          <w:rFonts w:hint="eastAsia" w:ascii="仿宋" w:hAnsi="仿宋" w:eastAsia="仿宋" w:cs="仿宋"/>
          <w:b/>
          <w:color w:val="auto"/>
          <w:sz w:val="28"/>
          <w:highlight w:val="none"/>
        </w:rPr>
      </w:pPr>
      <w:r>
        <w:rPr>
          <w:rFonts w:hint="eastAsia" w:ascii="仿宋" w:hAnsi="仿宋" w:eastAsia="仿宋" w:cs="仿宋"/>
          <w:color w:val="auto"/>
          <w:sz w:val="24"/>
          <w:highlight w:val="none"/>
        </w:rPr>
        <w:br w:type="page"/>
      </w:r>
    </w:p>
    <w:p w14:paraId="54264D55">
      <w:pPr>
        <w:spacing w:line="360" w:lineRule="auto"/>
        <w:jc w:val="center"/>
        <w:outlineLvl w:val="0"/>
        <w:rPr>
          <w:rFonts w:hint="eastAsia" w:ascii="仿宋" w:hAnsi="仿宋" w:eastAsia="仿宋" w:cs="仿宋"/>
          <w:b/>
          <w:color w:val="auto"/>
          <w:sz w:val="28"/>
          <w:highlight w:val="none"/>
        </w:rPr>
      </w:pPr>
      <w:bookmarkStart w:id="14" w:name="_Toc10891"/>
      <w:r>
        <w:rPr>
          <w:rFonts w:hint="eastAsia" w:ascii="仿宋" w:hAnsi="仿宋" w:eastAsia="仿宋" w:cs="仿宋"/>
          <w:b/>
          <w:color w:val="auto"/>
          <w:sz w:val="28"/>
          <w:highlight w:val="none"/>
        </w:rPr>
        <w:t>第三章  采购需求</w:t>
      </w:r>
      <w:bookmarkEnd w:id="14"/>
    </w:p>
    <w:p w14:paraId="0FEF21C6">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前注：</w:t>
      </w:r>
    </w:p>
    <w:p w14:paraId="747978D7">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szCs w:val="18"/>
          <w:highlight w:val="none"/>
        </w:rPr>
        <w:t>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641525E3">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2.</w:t>
      </w:r>
      <w:r>
        <w:rPr>
          <w:rFonts w:hint="eastAsia" w:ascii="仿宋" w:hAnsi="仿宋" w:eastAsia="仿宋" w:cs="仿宋"/>
          <w:color w:val="auto"/>
          <w:sz w:val="24"/>
          <w:szCs w:val="24"/>
          <w:highlight w:val="none"/>
        </w:rPr>
        <w:t>政府采购政策（包括但不限于下列具体政策要求）</w:t>
      </w:r>
      <w:r>
        <w:rPr>
          <w:rFonts w:hint="eastAsia" w:ascii="仿宋" w:hAnsi="仿宋" w:eastAsia="仿宋" w:cs="仿宋"/>
          <w:color w:val="auto"/>
          <w:sz w:val="24"/>
          <w:szCs w:val="18"/>
          <w:highlight w:val="none"/>
        </w:rPr>
        <w:t>：</w:t>
      </w:r>
    </w:p>
    <w:p w14:paraId="5F4AD340">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属于《节能产品政府采购品目清单》中政府强制采购的节能产品，则在投标文件中提供所投产品须具有市场监管总局公布的《参与实施政府采购节能产品认证机构目录》中的认证机构出具的、处于有效期内的节能产品认证证书。</w:t>
      </w:r>
    </w:p>
    <w:p w14:paraId="3FD1E10F">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931FFBB">
      <w:pPr>
        <w:spacing w:line="360" w:lineRule="auto"/>
        <w:ind w:firstLine="435"/>
        <w:rPr>
          <w:rFonts w:hint="eastAsia" w:ascii="仿宋" w:hAnsi="仿宋" w:eastAsia="仿宋" w:cs="仿宋"/>
          <w:color w:val="auto"/>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18"/>
          <w:highlight w:val="none"/>
        </w:rPr>
        <w:t>如采购人允许采用分包方式履行合同的，应当明确可以分包履行的相关内容：</w:t>
      </w:r>
      <w:r>
        <w:rPr>
          <w:rFonts w:hint="eastAsia" w:ascii="仿宋" w:hAnsi="仿宋" w:eastAsia="仿宋" w:cs="仿宋"/>
          <w:b/>
          <w:bCs/>
          <w:color w:val="auto"/>
          <w:sz w:val="24"/>
          <w:szCs w:val="24"/>
          <w:highlight w:val="none"/>
        </w:rPr>
        <w:t>本项目不允许分包</w:t>
      </w:r>
      <w:r>
        <w:rPr>
          <w:rFonts w:hint="eastAsia" w:ascii="仿宋" w:hAnsi="仿宋" w:eastAsia="仿宋" w:cs="仿宋"/>
          <w:color w:val="auto"/>
          <w:sz w:val="24"/>
          <w:szCs w:val="24"/>
          <w:highlight w:val="none"/>
        </w:rPr>
        <w:t>。</w:t>
      </w:r>
    </w:p>
    <w:p w14:paraId="63F08604">
      <w:pPr>
        <w:spacing w:line="360" w:lineRule="auto"/>
        <w:ind w:firstLine="437"/>
        <w:outlineLvl w:val="1"/>
        <w:rPr>
          <w:rFonts w:hint="eastAsia" w:ascii="仿宋" w:hAnsi="仿宋" w:eastAsia="仿宋" w:cs="仿宋"/>
          <w:b/>
          <w:color w:val="auto"/>
          <w:sz w:val="24"/>
          <w:szCs w:val="18"/>
          <w:highlight w:val="none"/>
        </w:rPr>
      </w:pPr>
      <w:bookmarkStart w:id="15" w:name="_Toc32151"/>
      <w:bookmarkStart w:id="16" w:name="_Toc2554"/>
      <w:r>
        <w:rPr>
          <w:rFonts w:hint="eastAsia" w:ascii="仿宋" w:hAnsi="仿宋" w:eastAsia="仿宋" w:cs="仿宋"/>
          <w:b/>
          <w:color w:val="auto"/>
          <w:sz w:val="24"/>
          <w:szCs w:val="18"/>
          <w:highlight w:val="none"/>
        </w:rPr>
        <w:t>一、采购需求前附表</w:t>
      </w:r>
      <w:bookmarkEnd w:id="15"/>
      <w:bookmarkEnd w:id="16"/>
    </w:p>
    <w:tbl>
      <w:tblPr>
        <w:tblStyle w:val="29"/>
        <w:tblW w:w="5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026"/>
        <w:gridCol w:w="6592"/>
      </w:tblGrid>
      <w:tr w14:paraId="17B0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0534D828">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序号</w:t>
            </w:r>
          </w:p>
        </w:tc>
        <w:tc>
          <w:tcPr>
            <w:tcW w:w="1080" w:type="pct"/>
            <w:vAlign w:val="center"/>
          </w:tcPr>
          <w:p w14:paraId="75126718">
            <w:pPr>
              <w:pStyle w:val="47"/>
              <w:widowControl w:val="0"/>
              <w:spacing w:before="0" w:beforeAutospacing="0" w:after="0" w:afterAutospacing="0" w:line="360" w:lineRule="auto"/>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条款名称</w:t>
            </w:r>
          </w:p>
        </w:tc>
        <w:tc>
          <w:tcPr>
            <w:tcW w:w="3514" w:type="pct"/>
            <w:vAlign w:val="center"/>
          </w:tcPr>
          <w:p w14:paraId="269F0EE2">
            <w:pPr>
              <w:pStyle w:val="47"/>
              <w:widowControl w:val="0"/>
              <w:spacing w:before="0" w:beforeAutospacing="0" w:after="0" w:afterAutospacing="0" w:line="360" w:lineRule="auto"/>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内容、说明与要求</w:t>
            </w:r>
          </w:p>
        </w:tc>
      </w:tr>
      <w:tr w14:paraId="43A0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5CD08A27">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w:t>
            </w:r>
          </w:p>
        </w:tc>
        <w:tc>
          <w:tcPr>
            <w:tcW w:w="1080" w:type="pct"/>
            <w:vAlign w:val="center"/>
          </w:tcPr>
          <w:p w14:paraId="66F28B63">
            <w:pPr>
              <w:pStyle w:val="47"/>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付款方式</w:t>
            </w:r>
          </w:p>
        </w:tc>
        <w:tc>
          <w:tcPr>
            <w:tcW w:w="3514" w:type="pct"/>
            <w:vAlign w:val="center"/>
          </w:tcPr>
          <w:p w14:paraId="261700F9">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Cs w:val="0"/>
                <w:color w:val="auto"/>
                <w:sz w:val="24"/>
                <w:highlight w:val="none"/>
                <w:u w:val="single"/>
              </w:rPr>
              <w:t>合同签订且具备实施条件后，支付合同价的40%预付款（预付款支付前，中标人须提供同等金额的见索即付保函），全部供货安装调试完毕并由采购人验收合格且发票送达后完成支付。</w:t>
            </w:r>
          </w:p>
        </w:tc>
      </w:tr>
      <w:tr w14:paraId="2159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0B10CC3C">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w:t>
            </w:r>
          </w:p>
        </w:tc>
        <w:tc>
          <w:tcPr>
            <w:tcW w:w="1080" w:type="pct"/>
            <w:vAlign w:val="center"/>
          </w:tcPr>
          <w:p w14:paraId="4F1024F2">
            <w:pPr>
              <w:pStyle w:val="47"/>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供货及安装地点</w:t>
            </w:r>
          </w:p>
        </w:tc>
        <w:tc>
          <w:tcPr>
            <w:tcW w:w="3514" w:type="pct"/>
            <w:vAlign w:val="center"/>
          </w:tcPr>
          <w:p w14:paraId="36279F6E">
            <w:pPr>
              <w:pStyle w:val="47"/>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采购人指定地点。</w:t>
            </w:r>
          </w:p>
        </w:tc>
      </w:tr>
      <w:tr w14:paraId="06E3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3C3CE18C">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3</w:t>
            </w:r>
          </w:p>
        </w:tc>
        <w:tc>
          <w:tcPr>
            <w:tcW w:w="1080" w:type="pct"/>
            <w:vAlign w:val="center"/>
          </w:tcPr>
          <w:p w14:paraId="40A08CD1">
            <w:pPr>
              <w:pStyle w:val="47"/>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供货及安装期限</w:t>
            </w:r>
          </w:p>
        </w:tc>
        <w:tc>
          <w:tcPr>
            <w:tcW w:w="3514" w:type="pct"/>
            <w:vAlign w:val="center"/>
          </w:tcPr>
          <w:p w14:paraId="18F1F819">
            <w:pPr>
              <w:pStyle w:val="47"/>
              <w:widowControl w:val="0"/>
              <w:spacing w:before="0" w:beforeAutospacing="0" w:after="0" w:afterAutospacing="0" w:line="360" w:lineRule="auto"/>
              <w:jc w:val="both"/>
              <w:rPr>
                <w:rFonts w:hint="eastAsia" w:ascii="仿宋" w:hAnsi="仿宋" w:eastAsia="仿宋" w:cs="仿宋"/>
                <w:b w:val="0"/>
                <w:bCs w:val="0"/>
                <w:color w:val="auto"/>
                <w:sz w:val="24"/>
                <w:highlight w:val="none"/>
              </w:rPr>
            </w:pPr>
            <w:r>
              <w:rPr>
                <w:rFonts w:hint="eastAsia" w:ascii="仿宋" w:hAnsi="仿宋" w:eastAsia="仿宋" w:cs="仿宋"/>
                <w:color w:val="auto"/>
                <w:sz w:val="24"/>
                <w:highlight w:val="none"/>
              </w:rPr>
              <w:t>自合同签订生效后，接到采购人通知之日起</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0个日历天内完成货物的深化设计样式的确认</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供货、安装、调试工作，并验收合格交付使用</w:t>
            </w:r>
            <w:r>
              <w:rPr>
                <w:rFonts w:hint="eastAsia" w:ascii="仿宋" w:hAnsi="仿宋" w:eastAsia="仿宋" w:cs="仿宋"/>
                <w:color w:val="auto"/>
                <w:kern w:val="2"/>
                <w:sz w:val="24"/>
                <w:szCs w:val="24"/>
                <w:highlight w:val="none"/>
                <w:lang w:bidi="ar"/>
              </w:rPr>
              <w:t>。</w:t>
            </w:r>
          </w:p>
        </w:tc>
      </w:tr>
      <w:tr w14:paraId="0DBB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00C2D1DA">
            <w:pPr>
              <w:pStyle w:val="48"/>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4</w:t>
            </w:r>
          </w:p>
        </w:tc>
        <w:tc>
          <w:tcPr>
            <w:tcW w:w="1080" w:type="pct"/>
            <w:vAlign w:val="center"/>
          </w:tcPr>
          <w:p w14:paraId="6E7BB870">
            <w:pPr>
              <w:pStyle w:val="47"/>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免费质保期</w:t>
            </w:r>
          </w:p>
        </w:tc>
        <w:tc>
          <w:tcPr>
            <w:tcW w:w="3514" w:type="pct"/>
            <w:vAlign w:val="center"/>
          </w:tcPr>
          <w:p w14:paraId="06EA5EDC">
            <w:pPr>
              <w:pStyle w:val="47"/>
              <w:widowControl w:val="0"/>
              <w:spacing w:before="0" w:beforeAutospacing="0" w:after="0" w:afterAutospacing="0" w:line="360" w:lineRule="auto"/>
              <w:jc w:val="both"/>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验收合格之日起</w:t>
            </w: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rPr>
              <w:t>年的免费质保服务（自验收合格之日起）。</w:t>
            </w:r>
          </w:p>
        </w:tc>
      </w:tr>
    </w:tbl>
    <w:p w14:paraId="112A201A">
      <w:pPr>
        <w:spacing w:line="360" w:lineRule="auto"/>
        <w:ind w:firstLine="437"/>
        <w:outlineLvl w:val="1"/>
        <w:rPr>
          <w:rFonts w:hint="eastAsia" w:ascii="仿宋" w:hAnsi="仿宋" w:eastAsia="仿宋" w:cs="仿宋"/>
          <w:b/>
          <w:bCs/>
          <w:color w:val="auto"/>
          <w:sz w:val="24"/>
          <w:szCs w:val="18"/>
          <w:highlight w:val="none"/>
        </w:rPr>
      </w:pPr>
      <w:bookmarkStart w:id="17" w:name="_Toc7671"/>
      <w:bookmarkStart w:id="18" w:name="_Toc5944"/>
    </w:p>
    <w:p w14:paraId="4C51C728">
      <w:pPr>
        <w:spacing w:line="360" w:lineRule="auto"/>
        <w:ind w:firstLine="437"/>
        <w:outlineLvl w:val="1"/>
        <w:rPr>
          <w:rFonts w:hint="eastAsia" w:ascii="仿宋" w:hAnsi="仿宋" w:eastAsia="仿宋" w:cs="仿宋"/>
          <w:b/>
          <w:bCs/>
          <w:color w:val="auto"/>
          <w:sz w:val="24"/>
          <w:szCs w:val="18"/>
          <w:highlight w:val="none"/>
        </w:rPr>
      </w:pPr>
      <w:r>
        <w:rPr>
          <w:rFonts w:hint="eastAsia" w:ascii="仿宋" w:hAnsi="仿宋" w:eastAsia="仿宋" w:cs="仿宋"/>
          <w:b/>
          <w:bCs/>
          <w:color w:val="auto"/>
          <w:sz w:val="24"/>
          <w:szCs w:val="18"/>
          <w:highlight w:val="none"/>
        </w:rPr>
        <w:t>二、</w:t>
      </w:r>
      <w:r>
        <w:rPr>
          <w:rFonts w:hint="eastAsia" w:ascii="仿宋" w:hAnsi="仿宋" w:eastAsia="仿宋" w:cs="仿宋"/>
          <w:b/>
          <w:color w:val="auto"/>
          <w:sz w:val="24"/>
          <w:szCs w:val="18"/>
          <w:highlight w:val="none"/>
        </w:rPr>
        <w:t>货物</w:t>
      </w:r>
      <w:r>
        <w:rPr>
          <w:rFonts w:hint="eastAsia" w:ascii="仿宋" w:hAnsi="仿宋" w:eastAsia="仿宋" w:cs="仿宋"/>
          <w:b/>
          <w:bCs/>
          <w:color w:val="auto"/>
          <w:sz w:val="24"/>
          <w:szCs w:val="18"/>
          <w:highlight w:val="none"/>
        </w:rPr>
        <w:t>需求</w:t>
      </w:r>
      <w:bookmarkEnd w:id="17"/>
      <w:bookmarkEnd w:id="18"/>
    </w:p>
    <w:p w14:paraId="469E48F2">
      <w:pPr>
        <w:rPr>
          <w:rFonts w:hint="eastAsia"/>
          <w:color w:val="auto"/>
          <w:spacing w:val="-1"/>
          <w:sz w:val="24"/>
          <w:szCs w:val="24"/>
          <w:highlight w:val="none"/>
          <w:lang w:val="en-US" w:eastAsia="zh-CN"/>
        </w:rPr>
      </w:pPr>
      <w:bookmarkStart w:id="19" w:name="_Toc7421"/>
      <w:bookmarkStart w:id="20" w:name="_Toc4843"/>
      <w:r>
        <w:rPr>
          <w:rFonts w:hint="eastAsia"/>
          <w:color w:val="auto"/>
          <w:spacing w:val="-1"/>
          <w:sz w:val="24"/>
          <w:szCs w:val="24"/>
          <w:highlight w:val="none"/>
          <w:lang w:val="en-US" w:eastAsia="zh-CN"/>
        </w:rPr>
        <w:t>1、采购清单详见招标文件附件</w:t>
      </w:r>
    </w:p>
    <w:p w14:paraId="348A915E">
      <w:pPr>
        <w:rPr>
          <w:rFonts w:hint="default"/>
          <w:color w:val="auto"/>
          <w:spacing w:val="-1"/>
          <w:sz w:val="24"/>
          <w:szCs w:val="24"/>
          <w:highlight w:val="none"/>
          <w:lang w:val="en-US" w:eastAsia="zh-CN"/>
        </w:rPr>
      </w:pPr>
      <w:r>
        <w:rPr>
          <w:rFonts w:hint="eastAsia"/>
          <w:b/>
          <w:bCs/>
          <w:color w:val="auto"/>
          <w:spacing w:val="-1"/>
          <w:sz w:val="24"/>
          <w:szCs w:val="24"/>
          <w:highlight w:val="none"/>
          <w:lang w:val="en-US" w:eastAsia="zh-CN"/>
        </w:rPr>
        <w:t>2、</w:t>
      </w:r>
      <w:r>
        <w:rPr>
          <w:b/>
          <w:bCs/>
          <w:color w:val="auto"/>
          <w:spacing w:val="-1"/>
          <w:sz w:val="24"/>
          <w:szCs w:val="24"/>
          <w:highlight w:val="none"/>
        </w:rPr>
        <w:t>家具原材料、配件等技术参数要求</w:t>
      </w:r>
    </w:p>
    <w:tbl>
      <w:tblPr>
        <w:tblStyle w:val="30"/>
        <w:tblW w:w="10919" w:type="dxa"/>
        <w:tblInd w:w="-1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9107"/>
      </w:tblGrid>
      <w:tr w14:paraId="50A2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812" w:type="dxa"/>
            <w:noWrap w:val="0"/>
            <w:vAlign w:val="top"/>
          </w:tcPr>
          <w:p w14:paraId="6BF5BA55">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名称</w:t>
            </w:r>
          </w:p>
        </w:tc>
        <w:tc>
          <w:tcPr>
            <w:tcW w:w="9107" w:type="dxa"/>
            <w:noWrap w:val="0"/>
            <w:vAlign w:val="top"/>
          </w:tcPr>
          <w:p w14:paraId="5B25F8C2">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功能及技术参数</w:t>
            </w:r>
          </w:p>
        </w:tc>
      </w:tr>
      <w:tr w14:paraId="70D2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1812" w:type="dxa"/>
            <w:noWrap w:val="0"/>
            <w:vAlign w:val="top"/>
          </w:tcPr>
          <w:p w14:paraId="2D8C6269">
            <w:pPr>
              <w:spacing w:before="32" w:line="219" w:lineRule="auto"/>
              <w:ind w:left="10"/>
              <w:rPr>
                <w:rFonts w:hint="eastAsia" w:ascii="宋体" w:hAnsi="宋体" w:eastAsia="宋体" w:cs="宋体"/>
                <w:color w:val="auto"/>
                <w:spacing w:val="-2"/>
                <w:sz w:val="24"/>
                <w:szCs w:val="24"/>
                <w:highlight w:val="none"/>
              </w:rPr>
            </w:pPr>
          </w:p>
          <w:p w14:paraId="26D98116">
            <w:pPr>
              <w:spacing w:before="32" w:line="219" w:lineRule="auto"/>
              <w:ind w:left="1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实木</w:t>
            </w:r>
            <w:r>
              <w:rPr>
                <w:rFonts w:hint="eastAsia" w:ascii="宋体" w:hAnsi="宋体" w:eastAsia="宋体" w:cs="宋体"/>
                <w:color w:val="auto"/>
                <w:spacing w:val="-2"/>
                <w:sz w:val="24"/>
                <w:szCs w:val="24"/>
                <w:highlight w:val="none"/>
                <w:lang w:val="en-US" w:eastAsia="zh-CN"/>
              </w:rPr>
              <w:t>颗粒</w:t>
            </w:r>
            <w:r>
              <w:rPr>
                <w:rFonts w:hint="eastAsia" w:ascii="宋体" w:hAnsi="宋体" w:eastAsia="宋体" w:cs="宋体"/>
                <w:color w:val="auto"/>
                <w:spacing w:val="-2"/>
                <w:sz w:val="24"/>
                <w:szCs w:val="24"/>
                <w:highlight w:val="none"/>
              </w:rPr>
              <w:t>板</w:t>
            </w:r>
          </w:p>
          <w:p w14:paraId="63DDB744">
            <w:pPr>
              <w:spacing w:before="32" w:line="219" w:lineRule="auto"/>
              <w:ind w:left="10"/>
              <w:rPr>
                <w:rFonts w:hint="eastAsia" w:ascii="宋体" w:hAnsi="宋体" w:eastAsia="宋体" w:cs="宋体"/>
                <w:color w:val="auto"/>
                <w:spacing w:val="-2"/>
                <w:sz w:val="24"/>
                <w:szCs w:val="24"/>
                <w:highlight w:val="none"/>
              </w:rPr>
            </w:pPr>
          </w:p>
        </w:tc>
        <w:tc>
          <w:tcPr>
            <w:tcW w:w="9107" w:type="dxa"/>
            <w:noWrap w:val="0"/>
            <w:vAlign w:val="top"/>
          </w:tcPr>
          <w:p w14:paraId="712EDD06">
            <w:pPr>
              <w:spacing w:before="32" w:line="219" w:lineRule="auto"/>
              <w:ind w:left="1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符合GB/T35601-2024《绿色产品评价 人造板和木质地板》等其他现行有效的相关标准、规范、规程及本项目技术要求执行。</w:t>
            </w:r>
          </w:p>
          <w:p w14:paraId="4DCCE29B">
            <w:pPr>
              <w:spacing w:before="32" w:line="219" w:lineRule="auto"/>
              <w:ind w:left="10"/>
              <w:rPr>
                <w:rFonts w:hint="eastAsia" w:ascii="宋体" w:hAnsi="宋体" w:eastAsia="宋体" w:cs="宋体"/>
                <w:color w:val="auto"/>
                <w:spacing w:val="-2"/>
                <w:sz w:val="24"/>
                <w:szCs w:val="24"/>
                <w:highlight w:val="none"/>
                <w:lang w:val="en-US" w:eastAsia="zh-CN"/>
              </w:rPr>
            </w:pPr>
            <w:r>
              <w:rPr>
                <w:rFonts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1）抗压性能、表面耐划痕、表面耐磨值：合格；总半挥发性有机化合物(TSVOC)释放量：≤0.2mg/（m².h）；挥发性有机化合物释放浓度(7d)：苯、甲苯、二甲苯、甲醛释放量（气候箱法）：检测合格。（提供承诺函，格式自拟）</w:t>
            </w:r>
          </w:p>
          <w:p w14:paraId="13D202C5">
            <w:pPr>
              <w:spacing w:before="32" w:line="219" w:lineRule="auto"/>
              <w:ind w:left="1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（2）单体燃烧试验性能B1级。</w:t>
            </w:r>
          </w:p>
        </w:tc>
      </w:tr>
      <w:tr w14:paraId="5A74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812" w:type="dxa"/>
            <w:noWrap w:val="0"/>
            <w:vAlign w:val="top"/>
          </w:tcPr>
          <w:p w14:paraId="0BFD1E54">
            <w:pPr>
              <w:spacing w:before="32" w:line="219" w:lineRule="auto"/>
              <w:ind w:left="10"/>
              <w:rPr>
                <w:rFonts w:hint="eastAsia" w:ascii="宋体" w:hAnsi="宋体" w:eastAsia="宋体" w:cs="宋体"/>
                <w:color w:val="auto"/>
                <w:spacing w:val="-2"/>
                <w:sz w:val="24"/>
                <w:szCs w:val="24"/>
                <w:highlight w:val="none"/>
              </w:rPr>
            </w:pPr>
          </w:p>
          <w:p w14:paraId="29F04BAB">
            <w:pPr>
              <w:spacing w:before="32" w:line="219" w:lineRule="auto"/>
              <w:ind w:left="10"/>
              <w:rPr>
                <w:rFonts w:hint="eastAsia" w:ascii="宋体" w:hAnsi="宋体" w:eastAsia="宋体" w:cs="宋体"/>
                <w:color w:val="auto"/>
                <w:spacing w:val="-2"/>
                <w:sz w:val="24"/>
                <w:szCs w:val="24"/>
                <w:highlight w:val="none"/>
              </w:rPr>
            </w:pPr>
          </w:p>
          <w:p w14:paraId="4769B263">
            <w:pPr>
              <w:spacing w:before="32" w:line="219" w:lineRule="auto"/>
              <w:ind w:left="1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2、喷涂</w:t>
            </w:r>
            <w:r>
              <w:rPr>
                <w:rFonts w:hint="eastAsia" w:ascii="宋体" w:hAnsi="宋体" w:eastAsia="宋体" w:cs="宋体"/>
                <w:color w:val="auto"/>
                <w:spacing w:val="-2"/>
                <w:sz w:val="24"/>
                <w:szCs w:val="24"/>
                <w:highlight w:val="none"/>
              </w:rPr>
              <w:t>粉末</w:t>
            </w:r>
          </w:p>
          <w:p w14:paraId="4E26C130">
            <w:pPr>
              <w:spacing w:before="32" w:line="219" w:lineRule="auto"/>
              <w:ind w:left="10"/>
              <w:rPr>
                <w:rFonts w:hint="eastAsia" w:ascii="宋体" w:hAnsi="宋体" w:eastAsia="宋体" w:cs="宋体"/>
                <w:color w:val="auto"/>
                <w:spacing w:val="-2"/>
                <w:sz w:val="24"/>
                <w:szCs w:val="24"/>
                <w:highlight w:val="none"/>
              </w:rPr>
            </w:pPr>
          </w:p>
        </w:tc>
        <w:tc>
          <w:tcPr>
            <w:tcW w:w="9107" w:type="dxa"/>
            <w:noWrap w:val="0"/>
            <w:vAlign w:val="top"/>
          </w:tcPr>
          <w:p w14:paraId="7EAA9B32">
            <w:pPr>
              <w:spacing w:before="32" w:line="219" w:lineRule="auto"/>
              <w:ind w:left="10"/>
              <w:rPr>
                <w:rFonts w:hint="eastAsia" w:ascii="宋体" w:hAnsi="宋体" w:eastAsia="宋体" w:cs="宋体"/>
                <w:color w:val="auto"/>
                <w:spacing w:val="-2"/>
                <w:sz w:val="24"/>
                <w:szCs w:val="24"/>
                <w:highlight w:val="none"/>
                <w:lang w:val="en-US" w:eastAsia="zh-CN"/>
              </w:rPr>
            </w:pPr>
          </w:p>
          <w:p w14:paraId="44680CB1">
            <w:pPr>
              <w:spacing w:before="32" w:line="219" w:lineRule="auto"/>
              <w:ind w:left="1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符合HG/T 2006-2022《热固性和热塑性粉末涂料》、GB/T21866-2025《涂膜抗病毒活性和抗菌性测定法》标准等其他现行有效的相关标准、规范、规程及本项目技术要求执行。</w:t>
            </w:r>
            <w:r>
              <w:rPr>
                <w:rFonts w:hint="eastAsia" w:ascii="宋体" w:hAnsi="宋体" w:eastAsia="宋体" w:cs="宋体"/>
                <w:color w:val="auto"/>
                <w:spacing w:val="-2"/>
                <w:sz w:val="24"/>
                <w:szCs w:val="24"/>
                <w:highlight w:val="none"/>
              </w:rPr>
              <w:t xml:space="preserve">                                                                                                                                                                                                 </w:t>
            </w:r>
          </w:p>
          <w:p w14:paraId="3884301E">
            <w:pPr>
              <w:spacing w:before="32" w:line="219" w:lineRule="auto"/>
              <w:ind w:left="10"/>
              <w:rPr>
                <w:rFonts w:hint="eastAsia"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）抗菌性能：金黄色葡萄球菌</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大肠杆菌</w:t>
            </w:r>
            <w:r>
              <w:rPr>
                <w:rFonts w:hint="eastAsia" w:ascii="宋体" w:hAnsi="宋体" w:eastAsia="宋体" w:cs="宋体"/>
                <w:color w:val="auto"/>
                <w:spacing w:val="-2"/>
                <w:sz w:val="24"/>
                <w:szCs w:val="24"/>
                <w:highlight w:val="none"/>
                <w:lang w:val="en-US" w:eastAsia="zh-CN"/>
              </w:rPr>
              <w:t>等</w:t>
            </w:r>
            <w:r>
              <w:rPr>
                <w:rFonts w:hint="eastAsia" w:ascii="宋体" w:hAnsi="宋体" w:eastAsia="宋体" w:cs="宋体"/>
                <w:color w:val="auto"/>
                <w:spacing w:val="-2"/>
                <w:sz w:val="24"/>
                <w:szCs w:val="24"/>
                <w:highlight w:val="none"/>
              </w:rPr>
              <w:t>菌种抑菌率≥9</w:t>
            </w:r>
            <w:r>
              <w:rPr>
                <w:rFonts w:hint="eastAsia" w:ascii="宋体" w:hAnsi="宋体" w:eastAsia="宋体" w:cs="宋体"/>
                <w:color w:val="auto"/>
                <w:spacing w:val="-2"/>
                <w:sz w:val="24"/>
                <w:szCs w:val="24"/>
                <w:highlight w:val="none"/>
                <w:lang w:val="en-US" w:eastAsia="zh-CN"/>
              </w:rPr>
              <w:t>0</w:t>
            </w:r>
            <w:r>
              <w:rPr>
                <w:rFonts w:hint="eastAsia" w:ascii="宋体" w:hAnsi="宋体" w:eastAsia="宋体" w:cs="宋体"/>
                <w:color w:val="auto"/>
                <w:spacing w:val="-2"/>
                <w:sz w:val="24"/>
                <w:szCs w:val="24"/>
                <w:highlight w:val="none"/>
              </w:rPr>
              <w:t>%。（提供承诺函，格式自拟）</w:t>
            </w:r>
          </w:p>
          <w:p w14:paraId="29B827F2">
            <w:pPr>
              <w:spacing w:before="32" w:line="219" w:lineRule="auto"/>
              <w:ind w:left="1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）耐磨性（750g/500r）</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耐酸性（3%HCl）、耐碱性（5%NaOH）、耐沸水性24h：检测结果合格。</w:t>
            </w:r>
          </w:p>
        </w:tc>
      </w:tr>
      <w:tr w14:paraId="7079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2" w:type="dxa"/>
            <w:noWrap w:val="0"/>
            <w:vAlign w:val="top"/>
          </w:tcPr>
          <w:p w14:paraId="58E14DDA">
            <w:pPr>
              <w:spacing w:before="32" w:line="219" w:lineRule="auto"/>
              <w:ind w:left="10"/>
              <w:rPr>
                <w:rFonts w:hint="eastAsia" w:ascii="宋体" w:hAnsi="宋体" w:eastAsia="宋体" w:cs="宋体"/>
                <w:color w:val="auto"/>
                <w:spacing w:val="-2"/>
                <w:sz w:val="24"/>
                <w:szCs w:val="24"/>
                <w:highlight w:val="none"/>
              </w:rPr>
            </w:pPr>
          </w:p>
          <w:p w14:paraId="2DB6B590">
            <w:pPr>
              <w:spacing w:before="32" w:line="219" w:lineRule="auto"/>
              <w:ind w:left="10"/>
              <w:rPr>
                <w:rFonts w:hint="eastAsia" w:ascii="宋体" w:hAnsi="宋体" w:eastAsia="宋体" w:cs="宋体"/>
                <w:color w:val="auto"/>
                <w:spacing w:val="-2"/>
                <w:sz w:val="24"/>
                <w:szCs w:val="24"/>
                <w:highlight w:val="none"/>
              </w:rPr>
            </w:pPr>
          </w:p>
          <w:p w14:paraId="147F89C7">
            <w:pPr>
              <w:spacing w:before="32" w:line="219" w:lineRule="auto"/>
              <w:ind w:left="1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3、人造石</w:t>
            </w:r>
          </w:p>
          <w:p w14:paraId="7E1B8394">
            <w:pPr>
              <w:spacing w:before="32" w:line="219" w:lineRule="auto"/>
              <w:ind w:left="10"/>
              <w:rPr>
                <w:rFonts w:hint="eastAsia" w:ascii="宋体" w:hAnsi="宋体" w:eastAsia="宋体" w:cs="宋体"/>
                <w:color w:val="auto"/>
                <w:spacing w:val="-2"/>
                <w:sz w:val="24"/>
                <w:szCs w:val="24"/>
                <w:highlight w:val="none"/>
                <w:lang w:val="en-US" w:eastAsia="zh-CN"/>
              </w:rPr>
            </w:pPr>
          </w:p>
          <w:p w14:paraId="2EFA4BD6">
            <w:pPr>
              <w:spacing w:before="32" w:line="219" w:lineRule="auto"/>
              <w:rPr>
                <w:rFonts w:hint="eastAsia" w:ascii="宋体" w:hAnsi="宋体" w:eastAsia="宋体" w:cs="宋体"/>
                <w:color w:val="auto"/>
                <w:spacing w:val="-2"/>
                <w:sz w:val="24"/>
                <w:szCs w:val="24"/>
                <w:highlight w:val="none"/>
                <w:lang w:val="en-US" w:eastAsia="zh-CN"/>
              </w:rPr>
            </w:pPr>
          </w:p>
        </w:tc>
        <w:tc>
          <w:tcPr>
            <w:tcW w:w="9107" w:type="dxa"/>
            <w:noWrap w:val="0"/>
            <w:vAlign w:val="top"/>
          </w:tcPr>
          <w:p w14:paraId="4F05B1ED">
            <w:pPr>
              <w:spacing w:before="32" w:line="219" w:lineRule="auto"/>
              <w:ind w:left="1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符合JC/T 908-2013《人造石》标准等其他现行有效的相关标准、规范、规程及本项目技术要求执行。 </w:t>
            </w:r>
          </w:p>
          <w:p w14:paraId="48FFA080">
            <w:pPr>
              <w:spacing w:before="32" w:line="219" w:lineRule="auto"/>
              <w:ind w:left="1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外观质量：色泽、板边、花纹图案、表面、拼接，合格。</w:t>
            </w:r>
          </w:p>
          <w:p w14:paraId="7B71EE9E">
            <w:pPr>
              <w:spacing w:before="32" w:line="219" w:lineRule="auto"/>
              <w:ind w:left="10"/>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（2）放射性核素限量：A类（内照射指数和外照射指数）≤0.5；老化性能：无鼓包、开裂、剥落、腐蚀斑、明显变色。</w:t>
            </w:r>
          </w:p>
        </w:tc>
      </w:tr>
      <w:tr w14:paraId="594E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812" w:type="dxa"/>
            <w:noWrap w:val="0"/>
            <w:vAlign w:val="top"/>
          </w:tcPr>
          <w:p w14:paraId="50B6F247">
            <w:pPr>
              <w:spacing w:before="32" w:line="219" w:lineRule="auto"/>
              <w:ind w:left="10"/>
              <w:rPr>
                <w:rFonts w:hint="eastAsia" w:ascii="宋体" w:hAnsi="宋体" w:eastAsia="宋体" w:cs="宋体"/>
                <w:color w:val="auto"/>
                <w:spacing w:val="-2"/>
                <w:sz w:val="24"/>
                <w:szCs w:val="24"/>
                <w:highlight w:val="none"/>
                <w:lang w:val="en-US" w:eastAsia="zh-CN"/>
              </w:rPr>
            </w:pPr>
          </w:p>
          <w:p w14:paraId="0D0F8537">
            <w:pPr>
              <w:spacing w:before="32" w:line="219" w:lineRule="auto"/>
              <w:ind w:left="1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防滑脱螺丝</w:t>
            </w:r>
          </w:p>
          <w:p w14:paraId="4FA39A55">
            <w:pPr>
              <w:spacing w:before="32" w:line="219" w:lineRule="auto"/>
              <w:ind w:left="10"/>
              <w:rPr>
                <w:rFonts w:hint="eastAsia" w:ascii="宋体" w:hAnsi="宋体" w:eastAsia="宋体" w:cs="宋体"/>
                <w:color w:val="auto"/>
                <w:spacing w:val="-2"/>
                <w:sz w:val="24"/>
                <w:szCs w:val="24"/>
                <w:highlight w:val="none"/>
                <w:lang w:val="en-US" w:eastAsia="zh-CN"/>
              </w:rPr>
            </w:pPr>
          </w:p>
        </w:tc>
        <w:tc>
          <w:tcPr>
            <w:tcW w:w="9107" w:type="dxa"/>
            <w:noWrap w:val="0"/>
            <w:vAlign w:val="top"/>
          </w:tcPr>
          <w:p w14:paraId="6AB2F170">
            <w:pPr>
              <w:spacing w:before="32" w:line="219" w:lineRule="auto"/>
              <w:ind w:left="1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符合QB/T 4767-2014《家具用钢构件》等其他现行有效的相关标准、规范、规程及本项目技术要求执行。 </w:t>
            </w:r>
          </w:p>
          <w:p w14:paraId="79B62926">
            <w:pPr>
              <w:spacing w:before="32" w:line="219" w:lineRule="auto"/>
              <w:ind w:left="1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（1）外观性能：金属件应无锈蚀、氧化膜脱落、刃口、毛刺锐棱，表面细密，应无裂纹、黑斑等； </w:t>
            </w:r>
          </w:p>
          <w:p w14:paraId="245E2E22">
            <w:pPr>
              <w:spacing w:before="32" w:line="219" w:lineRule="auto"/>
              <w:ind w:left="10"/>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（2）安全性：其他所有的边应圆滑、无毛刺； </w:t>
            </w:r>
          </w:p>
        </w:tc>
      </w:tr>
      <w:tr w14:paraId="4DC3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812" w:type="dxa"/>
            <w:noWrap w:val="0"/>
            <w:vAlign w:val="top"/>
          </w:tcPr>
          <w:p w14:paraId="3B123C9E">
            <w:pPr>
              <w:spacing w:before="32" w:line="219" w:lineRule="auto"/>
              <w:ind w:left="10"/>
              <w:rPr>
                <w:rFonts w:ascii="宋体" w:hAnsi="宋体" w:eastAsia="宋体" w:cs="宋体"/>
                <w:color w:val="auto"/>
                <w:spacing w:val="-2"/>
                <w:sz w:val="24"/>
                <w:szCs w:val="24"/>
                <w:highlight w:val="none"/>
              </w:rPr>
            </w:pPr>
          </w:p>
          <w:p w14:paraId="6367C881">
            <w:pPr>
              <w:spacing w:before="32" w:line="219" w:lineRule="auto"/>
              <w:ind w:left="10"/>
              <w:rPr>
                <w:rFonts w:ascii="宋体" w:hAnsi="宋体" w:eastAsia="宋体" w:cs="宋体"/>
                <w:color w:val="auto"/>
                <w:spacing w:val="-2"/>
                <w:sz w:val="24"/>
                <w:szCs w:val="24"/>
                <w:highlight w:val="none"/>
              </w:rPr>
            </w:pPr>
          </w:p>
          <w:p w14:paraId="266BF9DD">
            <w:pPr>
              <w:spacing w:before="32" w:line="219" w:lineRule="auto"/>
              <w:ind w:left="1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5、分体式折弯拉手（拉手）</w:t>
            </w:r>
          </w:p>
          <w:p w14:paraId="5C961B0E">
            <w:pPr>
              <w:spacing w:before="32" w:line="219" w:lineRule="auto"/>
              <w:ind w:left="10"/>
              <w:rPr>
                <w:rFonts w:hint="eastAsia" w:ascii="宋体" w:hAnsi="宋体" w:eastAsia="宋体" w:cs="宋体"/>
                <w:color w:val="auto"/>
                <w:spacing w:val="-2"/>
                <w:sz w:val="24"/>
                <w:szCs w:val="24"/>
                <w:highlight w:val="none"/>
                <w:lang w:val="en-US" w:eastAsia="zh-CN"/>
              </w:rPr>
            </w:pPr>
          </w:p>
        </w:tc>
        <w:tc>
          <w:tcPr>
            <w:tcW w:w="9107" w:type="dxa"/>
            <w:noWrap w:val="0"/>
            <w:vAlign w:val="center"/>
          </w:tcPr>
          <w:p w14:paraId="707FEB21">
            <w:pPr>
              <w:spacing w:before="32" w:line="219" w:lineRule="auto"/>
              <w:ind w:left="1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符合GB/T 228.1-2021《金属材料 拉伸试验 第1部分:室温试验方法》等其他现行有效的相关标准、规范、规程及本项目技术要求执行。 </w:t>
            </w:r>
          </w:p>
          <w:p w14:paraId="2B178BA8">
            <w:pPr>
              <w:spacing w:before="32" w:line="219" w:lineRule="auto"/>
              <w:ind w:left="1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（1）硬度≥4H、抗拉强度≥500MPa、疲劳测试 30 万次未断裂；  </w:t>
            </w:r>
          </w:p>
          <w:p w14:paraId="6846523C">
            <w:pPr>
              <w:spacing w:before="32" w:line="219" w:lineRule="auto"/>
              <w:ind w:left="10"/>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（2）抗菌性能：大肠杆菌、金黄色葡萄球菌等8种菌抗菌率≥99%。</w:t>
            </w:r>
          </w:p>
        </w:tc>
      </w:tr>
    </w:tbl>
    <w:tbl>
      <w:tblPr>
        <w:tblStyle w:val="73"/>
        <w:tblW w:w="10890" w:type="dxa"/>
        <w:tblInd w:w="-12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0"/>
        <w:gridCol w:w="9090"/>
      </w:tblGrid>
      <w:tr w14:paraId="2E19C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800" w:type="dxa"/>
            <w:noWrap w:val="0"/>
            <w:vAlign w:val="top"/>
          </w:tcPr>
          <w:p w14:paraId="200E6F02">
            <w:pPr>
              <w:spacing w:line="261" w:lineRule="auto"/>
              <w:rPr>
                <w:rFonts w:ascii="Arial"/>
                <w:color w:val="auto"/>
                <w:sz w:val="21"/>
                <w:highlight w:val="none"/>
              </w:rPr>
            </w:pPr>
          </w:p>
          <w:p w14:paraId="279C8E5F">
            <w:pPr>
              <w:spacing w:before="78" w:line="241" w:lineRule="auto"/>
              <w:ind w:left="29"/>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6、</w:t>
            </w:r>
            <w:r>
              <w:rPr>
                <w:rFonts w:ascii="宋体" w:hAnsi="宋体" w:eastAsia="宋体" w:cs="宋体"/>
                <w:color w:val="auto"/>
                <w:spacing w:val="-2"/>
                <w:sz w:val="24"/>
                <w:szCs w:val="24"/>
                <w:highlight w:val="none"/>
              </w:rPr>
              <w:t>封边条</w:t>
            </w:r>
          </w:p>
        </w:tc>
        <w:tc>
          <w:tcPr>
            <w:tcW w:w="9090" w:type="dxa"/>
            <w:noWrap w:val="0"/>
            <w:vAlign w:val="top"/>
          </w:tcPr>
          <w:p w14:paraId="4AF1E7BA">
            <w:pPr>
              <w:spacing w:before="30" w:line="220" w:lineRule="auto"/>
              <w:ind w:left="1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符合</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QB/T 4463-2025《家具用封边条</w:t>
            </w:r>
            <w:r>
              <w:rPr>
                <w:rFonts w:ascii="宋体" w:hAnsi="宋体" w:eastAsia="宋体" w:cs="宋体"/>
                <w:color w:val="auto"/>
                <w:spacing w:val="-2"/>
                <w:sz w:val="24"/>
                <w:szCs w:val="24"/>
                <w:highlight w:val="none"/>
              </w:rPr>
              <w:t>》标准：</w:t>
            </w:r>
          </w:p>
          <w:p w14:paraId="1EBAB26D">
            <w:pPr>
              <w:spacing w:before="23" w:line="242" w:lineRule="auto"/>
              <w:ind w:left="14" w:hanging="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★①耐干热性、耐磨性、耐开裂性（耐龟裂性）检测结果均判定合格。</w:t>
            </w:r>
            <w:r>
              <w:rPr>
                <w:rFonts w:ascii="宋体" w:hAnsi="宋体" w:eastAsia="宋体" w:cs="宋体"/>
                <w:color w:val="auto"/>
                <w:spacing w:val="-4"/>
                <w:sz w:val="24"/>
                <w:szCs w:val="24"/>
                <w:highlight w:val="none"/>
              </w:rPr>
              <w:t>（提供承诺函，格式自拟）</w:t>
            </w:r>
          </w:p>
        </w:tc>
      </w:tr>
      <w:tr w14:paraId="13E5D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800" w:type="dxa"/>
            <w:noWrap w:val="0"/>
            <w:vAlign w:val="top"/>
          </w:tcPr>
          <w:p w14:paraId="05063ACF">
            <w:pPr>
              <w:spacing w:line="264" w:lineRule="auto"/>
              <w:rPr>
                <w:rFonts w:ascii="Arial"/>
                <w:color w:val="auto"/>
                <w:sz w:val="21"/>
                <w:highlight w:val="none"/>
              </w:rPr>
            </w:pPr>
          </w:p>
          <w:p w14:paraId="1A8D155D">
            <w:pPr>
              <w:spacing w:before="78" w:line="241" w:lineRule="auto"/>
              <w:ind w:left="14"/>
              <w:rPr>
                <w:rFonts w:ascii="宋体" w:hAnsi="宋体" w:eastAsia="宋体" w:cs="宋体"/>
                <w:color w:val="auto"/>
                <w:sz w:val="24"/>
                <w:szCs w:val="24"/>
                <w:highlight w:val="none"/>
              </w:rPr>
            </w:pPr>
            <w:r>
              <w:rPr>
                <w:rFonts w:hint="eastAsia" w:ascii="宋体" w:hAnsi="宋体" w:cs="宋体"/>
                <w:color w:val="auto"/>
                <w:spacing w:val="-3"/>
                <w:sz w:val="24"/>
                <w:szCs w:val="24"/>
                <w:highlight w:val="none"/>
                <w:lang w:val="en-US" w:eastAsia="zh-CN"/>
              </w:rPr>
              <w:t>7、</w:t>
            </w:r>
            <w:r>
              <w:rPr>
                <w:rFonts w:ascii="宋体" w:hAnsi="宋体" w:eastAsia="宋体" w:cs="宋体"/>
                <w:color w:val="auto"/>
                <w:spacing w:val="-3"/>
                <w:sz w:val="24"/>
                <w:szCs w:val="24"/>
                <w:highlight w:val="none"/>
              </w:rPr>
              <w:t>粘合剂</w:t>
            </w:r>
          </w:p>
        </w:tc>
        <w:tc>
          <w:tcPr>
            <w:tcW w:w="9090" w:type="dxa"/>
            <w:noWrap w:val="0"/>
            <w:vAlign w:val="top"/>
          </w:tcPr>
          <w:p w14:paraId="68395F0B">
            <w:pPr>
              <w:spacing w:before="78" w:line="229" w:lineRule="auto"/>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★符合</w:t>
            </w:r>
            <w:r>
              <w:rPr>
                <w:rFonts w:ascii="宋体" w:hAnsi="宋体" w:eastAsia="宋体" w:cs="宋体"/>
                <w:color w:val="auto"/>
                <w:spacing w:val="-53"/>
                <w:sz w:val="24"/>
                <w:szCs w:val="24"/>
                <w:highlight w:val="none"/>
              </w:rPr>
              <w:t xml:space="preserve"> </w:t>
            </w:r>
            <w:r>
              <w:rPr>
                <w:rFonts w:ascii="宋体" w:hAnsi="宋体" w:eastAsia="宋体" w:cs="宋体"/>
                <w:color w:val="auto"/>
                <w:spacing w:val="-2"/>
                <w:sz w:val="24"/>
                <w:szCs w:val="24"/>
                <w:highlight w:val="none"/>
              </w:rPr>
              <w:t>GB</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18583-2008《室内装饰装修材料 胶粘剂中</w:t>
            </w:r>
            <w:r>
              <w:rPr>
                <w:rFonts w:ascii="宋体" w:hAnsi="宋体" w:eastAsia="宋体" w:cs="宋体"/>
                <w:color w:val="auto"/>
                <w:spacing w:val="-3"/>
                <w:sz w:val="24"/>
                <w:szCs w:val="24"/>
                <w:highlight w:val="none"/>
              </w:rPr>
              <w:t>有害物质限量》标</w:t>
            </w:r>
            <w:r>
              <w:rPr>
                <w:rFonts w:ascii="宋体" w:hAnsi="宋体" w:eastAsia="宋体" w:cs="宋体"/>
                <w:color w:val="auto"/>
                <w:spacing w:val="2"/>
                <w:sz w:val="24"/>
                <w:szCs w:val="24"/>
                <w:highlight w:val="none"/>
              </w:rPr>
              <w:t>准：游离甲醛、苯、甲苯+二甲苯、卤代烃、总挥发性有机物含量符合</w:t>
            </w:r>
            <w:r>
              <w:rPr>
                <w:rFonts w:ascii="宋体" w:hAnsi="宋体" w:eastAsia="宋体" w:cs="宋体"/>
                <w:color w:val="auto"/>
                <w:spacing w:val="-4"/>
                <w:sz w:val="24"/>
                <w:szCs w:val="24"/>
                <w:highlight w:val="none"/>
              </w:rPr>
              <w:t>标准。</w:t>
            </w:r>
            <w:r>
              <w:rPr>
                <w:rFonts w:ascii="宋体" w:hAnsi="宋体" w:eastAsia="宋体" w:cs="宋体"/>
                <w:color w:val="auto"/>
                <w:spacing w:val="-2"/>
                <w:sz w:val="24"/>
                <w:szCs w:val="24"/>
                <w:highlight w:val="none"/>
              </w:rPr>
              <w:t>（提供承诺函，格式自拟）</w:t>
            </w:r>
          </w:p>
        </w:tc>
      </w:tr>
      <w:tr w14:paraId="2F24C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800" w:type="dxa"/>
            <w:noWrap w:val="0"/>
            <w:vAlign w:val="top"/>
          </w:tcPr>
          <w:p w14:paraId="0066833E">
            <w:pPr>
              <w:spacing w:line="287" w:lineRule="auto"/>
              <w:rPr>
                <w:rFonts w:ascii="Arial"/>
                <w:color w:val="auto"/>
                <w:sz w:val="21"/>
                <w:highlight w:val="none"/>
              </w:rPr>
            </w:pPr>
          </w:p>
          <w:p w14:paraId="738FC88D">
            <w:pPr>
              <w:spacing w:before="78"/>
              <w:rPr>
                <w:rFonts w:ascii="宋体" w:hAnsi="宋体" w:eastAsia="宋体" w:cs="宋体"/>
                <w:color w:val="auto"/>
                <w:sz w:val="24"/>
                <w:szCs w:val="24"/>
                <w:highlight w:val="none"/>
              </w:rPr>
            </w:pPr>
            <w:r>
              <w:rPr>
                <w:rFonts w:hint="eastAsia" w:ascii="宋体" w:hAnsi="宋体" w:cs="宋体"/>
                <w:color w:val="auto"/>
                <w:spacing w:val="-11"/>
                <w:sz w:val="24"/>
                <w:szCs w:val="24"/>
                <w:highlight w:val="none"/>
                <w:lang w:val="en-US" w:eastAsia="zh-CN"/>
              </w:rPr>
              <w:t>8、</w:t>
            </w:r>
            <w:r>
              <w:rPr>
                <w:rFonts w:ascii="宋体" w:hAnsi="宋体" w:eastAsia="宋体" w:cs="宋体"/>
                <w:color w:val="auto"/>
                <w:spacing w:val="-11"/>
                <w:sz w:val="24"/>
                <w:szCs w:val="24"/>
                <w:highlight w:val="none"/>
              </w:rPr>
              <w:t>桌（脚）架</w:t>
            </w:r>
          </w:p>
        </w:tc>
        <w:tc>
          <w:tcPr>
            <w:tcW w:w="9090" w:type="dxa"/>
            <w:noWrap w:val="0"/>
            <w:vAlign w:val="top"/>
          </w:tcPr>
          <w:p w14:paraId="35429D3D">
            <w:pPr>
              <w:spacing w:before="31" w:line="220" w:lineRule="auto"/>
              <w:ind w:left="1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符合 GB/T 3325-2024《金属家具通用技术条件》标准要求：</w:t>
            </w:r>
          </w:p>
          <w:p w14:paraId="00A4785D">
            <w:pPr>
              <w:spacing w:before="27" w:line="231" w:lineRule="auto"/>
              <w:ind w:left="7" w:firstLine="2"/>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金属</w:t>
            </w:r>
            <w:r>
              <w:rPr>
                <w:rFonts w:ascii="宋体" w:hAnsi="宋体" w:eastAsia="宋体" w:cs="宋体"/>
                <w:color w:val="auto"/>
                <w:spacing w:val="-13"/>
                <w:sz w:val="24"/>
                <w:szCs w:val="24"/>
                <w:highlight w:val="none"/>
              </w:rPr>
              <w:t>件钢管应无裂缝、叠缝，</w:t>
            </w:r>
            <w:r>
              <w:rPr>
                <w:rFonts w:ascii="宋体" w:hAnsi="宋体" w:eastAsia="宋体" w:cs="宋体"/>
                <w:color w:val="auto"/>
                <w:spacing w:val="61"/>
                <w:sz w:val="24"/>
                <w:szCs w:val="24"/>
                <w:highlight w:val="none"/>
              </w:rPr>
              <w:t xml:space="preserve"> </w:t>
            </w:r>
            <w:r>
              <w:rPr>
                <w:rFonts w:ascii="宋体" w:hAnsi="宋体" w:eastAsia="宋体" w:cs="宋体"/>
                <w:color w:val="auto"/>
                <w:spacing w:val="-13"/>
                <w:sz w:val="24"/>
                <w:szCs w:val="24"/>
                <w:highlight w:val="none"/>
              </w:rPr>
              <w:t>焊接处应无脱焊、虚焊、焊穿、错位，</w:t>
            </w:r>
            <w:r>
              <w:rPr>
                <w:rFonts w:ascii="宋体" w:hAnsi="宋体" w:eastAsia="宋体" w:cs="宋体"/>
                <w:color w:val="auto"/>
                <w:spacing w:val="56"/>
                <w:sz w:val="24"/>
                <w:szCs w:val="24"/>
                <w:highlight w:val="none"/>
              </w:rPr>
              <w:t xml:space="preserve"> </w:t>
            </w:r>
            <w:r>
              <w:rPr>
                <w:rFonts w:ascii="宋体" w:hAnsi="宋体" w:eastAsia="宋体" w:cs="宋体"/>
                <w:color w:val="auto"/>
                <w:spacing w:val="-11"/>
                <w:sz w:val="24"/>
                <w:szCs w:val="24"/>
                <w:highlight w:val="none"/>
              </w:rPr>
              <w:t>焊</w:t>
            </w:r>
            <w:r>
              <w:rPr>
                <w:rFonts w:ascii="宋体" w:hAnsi="宋体" w:eastAsia="宋体" w:cs="宋体"/>
                <w:color w:val="auto"/>
                <w:spacing w:val="-7"/>
                <w:sz w:val="24"/>
                <w:szCs w:val="24"/>
                <w:highlight w:val="none"/>
              </w:rPr>
              <w:t>接处应无夹渣、气孔、焊瘤、焊丝头、咬边、飞溅，</w:t>
            </w:r>
            <w:r>
              <w:rPr>
                <w:rFonts w:ascii="宋体" w:hAnsi="宋体" w:eastAsia="宋体" w:cs="宋体"/>
                <w:color w:val="auto"/>
                <w:spacing w:val="59"/>
                <w:sz w:val="24"/>
                <w:szCs w:val="24"/>
                <w:highlight w:val="none"/>
              </w:rPr>
              <w:t xml:space="preserve"> </w:t>
            </w:r>
            <w:r>
              <w:rPr>
                <w:rFonts w:ascii="宋体" w:hAnsi="宋体" w:eastAsia="宋体" w:cs="宋体"/>
                <w:color w:val="auto"/>
                <w:spacing w:val="-7"/>
                <w:sz w:val="24"/>
                <w:szCs w:val="24"/>
                <w:highlight w:val="none"/>
              </w:rPr>
              <w:t>焊</w:t>
            </w:r>
            <w:r>
              <w:rPr>
                <w:rFonts w:ascii="宋体" w:hAnsi="宋体" w:eastAsia="宋体" w:cs="宋体"/>
                <w:color w:val="auto"/>
                <w:spacing w:val="-8"/>
                <w:sz w:val="24"/>
                <w:szCs w:val="24"/>
                <w:highlight w:val="none"/>
              </w:rPr>
              <w:t>接处表面波纹均</w:t>
            </w:r>
            <w:r>
              <w:rPr>
                <w:rFonts w:ascii="宋体" w:hAnsi="宋体" w:eastAsia="宋体" w:cs="宋体"/>
                <w:color w:val="auto"/>
                <w:spacing w:val="-1"/>
                <w:sz w:val="24"/>
                <w:szCs w:val="24"/>
                <w:highlight w:val="none"/>
              </w:rPr>
              <w:t>匀，冲压件应无脱层、裂缝，喷涂层应无漏</w:t>
            </w:r>
            <w:r>
              <w:rPr>
                <w:rFonts w:ascii="宋体" w:hAnsi="宋体" w:eastAsia="宋体" w:cs="宋体"/>
                <w:color w:val="auto"/>
                <w:spacing w:val="-2"/>
                <w:sz w:val="24"/>
                <w:szCs w:val="24"/>
                <w:highlight w:val="none"/>
              </w:rPr>
              <w:t>喷、锈蚀、无流挂、疙瘩、</w:t>
            </w:r>
            <w:r>
              <w:rPr>
                <w:rFonts w:ascii="宋体" w:hAnsi="宋体" w:eastAsia="宋体" w:cs="宋体"/>
                <w:color w:val="auto"/>
                <w:spacing w:val="-7"/>
                <w:sz w:val="24"/>
                <w:szCs w:val="24"/>
                <w:highlight w:val="none"/>
              </w:rPr>
              <w:t>皱皮、飞漆。</w:t>
            </w:r>
          </w:p>
        </w:tc>
      </w:tr>
      <w:tr w14:paraId="08C53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1800" w:type="dxa"/>
            <w:noWrap w:val="0"/>
            <w:vAlign w:val="top"/>
          </w:tcPr>
          <w:p w14:paraId="66878141">
            <w:pPr>
              <w:spacing w:before="78" w:line="241" w:lineRule="auto"/>
              <w:rPr>
                <w:rFonts w:ascii="宋体" w:hAnsi="宋体" w:eastAsia="宋体" w:cs="宋体"/>
                <w:color w:val="auto"/>
                <w:sz w:val="24"/>
                <w:szCs w:val="24"/>
                <w:highlight w:val="none"/>
              </w:rPr>
            </w:pPr>
            <w:r>
              <w:rPr>
                <w:rFonts w:hint="eastAsia" w:ascii="宋体" w:hAnsi="宋体" w:cs="宋体"/>
                <w:color w:val="auto"/>
                <w:spacing w:val="-3"/>
                <w:sz w:val="24"/>
                <w:szCs w:val="24"/>
                <w:highlight w:val="none"/>
                <w:lang w:val="en-US" w:eastAsia="zh-CN"/>
              </w:rPr>
              <w:t>9、</w:t>
            </w:r>
            <w:r>
              <w:rPr>
                <w:rFonts w:ascii="宋体" w:hAnsi="宋体" w:eastAsia="宋体" w:cs="宋体"/>
                <w:color w:val="auto"/>
                <w:spacing w:val="-3"/>
                <w:sz w:val="24"/>
                <w:szCs w:val="24"/>
                <w:highlight w:val="none"/>
              </w:rPr>
              <w:t>铰链</w:t>
            </w:r>
          </w:p>
        </w:tc>
        <w:tc>
          <w:tcPr>
            <w:tcW w:w="9090" w:type="dxa"/>
            <w:noWrap w:val="0"/>
            <w:vAlign w:val="top"/>
          </w:tcPr>
          <w:p w14:paraId="3935EA2F">
            <w:pPr>
              <w:spacing w:before="32" w:line="219" w:lineRule="auto"/>
              <w:ind w:left="1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符合 QB/T 2189-2013《家具五金 杯状暗铰链》标准要求：</w:t>
            </w:r>
          </w:p>
          <w:p w14:paraId="4A3815C3">
            <w:pPr>
              <w:spacing w:before="25"/>
              <w:ind w:left="8" w:right="3" w:hanging="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①过载要求：垂直静载荷、水平静载荷均检测合格，</w:t>
            </w:r>
            <w:r>
              <w:rPr>
                <w:rFonts w:ascii="宋体" w:hAnsi="宋体" w:eastAsia="宋体" w:cs="宋体"/>
                <w:color w:val="auto"/>
                <w:spacing w:val="51"/>
                <w:sz w:val="24"/>
                <w:szCs w:val="24"/>
                <w:highlight w:val="none"/>
              </w:rPr>
              <w:t xml:space="preserve"> </w:t>
            </w:r>
            <w:r>
              <w:rPr>
                <w:rFonts w:ascii="宋体" w:hAnsi="宋体" w:eastAsia="宋体" w:cs="宋体"/>
                <w:color w:val="auto"/>
                <w:spacing w:val="-7"/>
                <w:sz w:val="24"/>
                <w:szCs w:val="24"/>
                <w:highlight w:val="none"/>
              </w:rPr>
              <w:t>操作力和下沉量均</w:t>
            </w:r>
            <w:r>
              <w:rPr>
                <w:rFonts w:ascii="宋体" w:hAnsi="宋体" w:eastAsia="宋体" w:cs="宋体"/>
                <w:color w:val="auto"/>
                <w:spacing w:val="-11"/>
                <w:sz w:val="24"/>
                <w:szCs w:val="24"/>
                <w:highlight w:val="none"/>
              </w:rPr>
              <w:t>合格。</w:t>
            </w:r>
          </w:p>
          <w:p w14:paraId="26250ED6">
            <w:pPr>
              <w:spacing w:line="217" w:lineRule="auto"/>
              <w:ind w:left="12"/>
              <w:rPr>
                <w:rFonts w:ascii="宋体" w:hAnsi="宋体" w:eastAsia="宋体" w:cs="宋体"/>
                <w:color w:val="auto"/>
                <w:sz w:val="24"/>
                <w:szCs w:val="24"/>
                <w:highlight w:val="none"/>
              </w:rPr>
            </w:pPr>
            <w:r>
              <w:rPr>
                <w:rFonts w:ascii="宋体" w:hAnsi="宋体" w:eastAsia="宋体" w:cs="宋体"/>
                <w:color w:val="auto"/>
                <w:sz w:val="24"/>
                <w:szCs w:val="24"/>
                <w:highlight w:val="none"/>
              </w:rPr>
              <w:t>★②功能要求：耐久性8</w:t>
            </w:r>
            <w:r>
              <w:rPr>
                <w:rFonts w:ascii="宋体" w:hAnsi="宋体" w:eastAsia="宋体" w:cs="宋体"/>
                <w:color w:val="auto"/>
                <w:spacing w:val="-42"/>
                <w:sz w:val="24"/>
                <w:szCs w:val="24"/>
                <w:highlight w:val="none"/>
              </w:rPr>
              <w:t xml:space="preserve"> </w:t>
            </w:r>
            <w:r>
              <w:rPr>
                <w:rFonts w:ascii="宋体" w:hAnsi="宋体" w:eastAsia="宋体" w:cs="宋体"/>
                <w:color w:val="auto"/>
                <w:sz w:val="24"/>
                <w:szCs w:val="24"/>
                <w:highlight w:val="none"/>
              </w:rPr>
              <w:t>万次检测合格。</w:t>
            </w:r>
            <w:r>
              <w:rPr>
                <w:rFonts w:ascii="宋体" w:hAnsi="宋体" w:eastAsia="宋体" w:cs="宋体"/>
                <w:color w:val="auto"/>
                <w:spacing w:val="-2"/>
                <w:sz w:val="24"/>
                <w:szCs w:val="24"/>
                <w:highlight w:val="none"/>
              </w:rPr>
              <w:t>（提供承诺函，格式自拟）</w:t>
            </w:r>
          </w:p>
          <w:p w14:paraId="0B9C6C34">
            <w:pPr>
              <w:spacing w:before="29" w:line="217" w:lineRule="auto"/>
              <w:ind w:left="1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★③耐腐蚀检测：检测合格。</w:t>
            </w:r>
            <w:r>
              <w:rPr>
                <w:rFonts w:ascii="宋体" w:hAnsi="宋体" w:eastAsia="宋体" w:cs="宋体"/>
                <w:color w:val="auto"/>
                <w:spacing w:val="-2"/>
                <w:sz w:val="24"/>
                <w:szCs w:val="24"/>
                <w:highlight w:val="none"/>
              </w:rPr>
              <w:t>（提供承诺函，格式自拟）</w:t>
            </w:r>
          </w:p>
        </w:tc>
      </w:tr>
      <w:tr w14:paraId="296E5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8" w:hRule="atLeast"/>
        </w:trPr>
        <w:tc>
          <w:tcPr>
            <w:tcW w:w="1800" w:type="dxa"/>
            <w:noWrap w:val="0"/>
            <w:vAlign w:val="top"/>
          </w:tcPr>
          <w:p w14:paraId="2990E8B8">
            <w:pPr>
              <w:spacing w:before="78"/>
              <w:rPr>
                <w:rFonts w:ascii="宋体" w:hAnsi="宋体" w:eastAsia="宋体" w:cs="宋体"/>
                <w:color w:val="auto"/>
                <w:sz w:val="24"/>
                <w:szCs w:val="24"/>
                <w:highlight w:val="none"/>
              </w:rPr>
            </w:pPr>
            <w:r>
              <w:rPr>
                <w:rFonts w:hint="eastAsia" w:ascii="宋体" w:hAnsi="宋体" w:cs="宋体"/>
                <w:color w:val="auto"/>
                <w:spacing w:val="-4"/>
                <w:sz w:val="24"/>
                <w:szCs w:val="24"/>
                <w:highlight w:val="none"/>
                <w:lang w:val="en-US" w:eastAsia="zh-CN"/>
              </w:rPr>
              <w:t>10、</w:t>
            </w:r>
            <w:r>
              <w:rPr>
                <w:rFonts w:ascii="宋体" w:hAnsi="宋体" w:eastAsia="宋体" w:cs="宋体"/>
                <w:color w:val="auto"/>
                <w:spacing w:val="-4"/>
                <w:sz w:val="24"/>
                <w:szCs w:val="24"/>
                <w:highlight w:val="none"/>
              </w:rPr>
              <w:t>导轨</w:t>
            </w:r>
          </w:p>
        </w:tc>
        <w:tc>
          <w:tcPr>
            <w:tcW w:w="9090" w:type="dxa"/>
            <w:noWrap w:val="0"/>
            <w:vAlign w:val="top"/>
          </w:tcPr>
          <w:p w14:paraId="4C1A7522">
            <w:pPr>
              <w:spacing w:before="32" w:line="220" w:lineRule="auto"/>
              <w:ind w:left="1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符合 QB/T2454-2013《家具五金 抽屉导轨》标准要求：</w:t>
            </w:r>
          </w:p>
          <w:p w14:paraId="28E540C1">
            <w:pPr>
              <w:spacing w:before="26" w:line="239" w:lineRule="auto"/>
              <w:ind w:left="10" w:right="12" w:hanging="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①过载要求：垂直向下静载荷（250N）、水平侧向静载荷（</w:t>
            </w:r>
            <w:r>
              <w:rPr>
                <w:rFonts w:ascii="宋体" w:hAnsi="宋体" w:eastAsia="宋体" w:cs="宋体"/>
                <w:color w:val="auto"/>
                <w:spacing w:val="-9"/>
                <w:sz w:val="24"/>
                <w:szCs w:val="24"/>
                <w:highlight w:val="none"/>
              </w:rPr>
              <w:t>125N）、猛关</w:t>
            </w:r>
            <w:r>
              <w:rPr>
                <w:rFonts w:ascii="宋体" w:hAnsi="宋体" w:eastAsia="宋体" w:cs="宋体"/>
                <w:color w:val="auto"/>
                <w:spacing w:val="-4"/>
                <w:sz w:val="24"/>
                <w:szCs w:val="24"/>
                <w:highlight w:val="none"/>
              </w:rPr>
              <w:t>或猛开，检测结果合格。</w:t>
            </w:r>
          </w:p>
          <w:p w14:paraId="705EA369">
            <w:pPr>
              <w:spacing w:line="239" w:lineRule="auto"/>
              <w:ind w:left="28" w:right="10" w:hanging="1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★②功能要求：垂直向下静载荷（150N）、水平侧向静载荷（75</w:t>
            </w:r>
            <w:r>
              <w:rPr>
                <w:rFonts w:ascii="宋体" w:hAnsi="宋体" w:eastAsia="宋体" w:cs="宋体"/>
                <w:color w:val="auto"/>
                <w:spacing w:val="-6"/>
                <w:sz w:val="24"/>
                <w:szCs w:val="24"/>
                <w:highlight w:val="none"/>
              </w:rPr>
              <w:t>N）、拉</w:t>
            </w:r>
            <w:r>
              <w:rPr>
                <w:rFonts w:ascii="宋体" w:hAnsi="宋体" w:eastAsia="宋体" w:cs="宋体"/>
                <w:color w:val="auto"/>
                <w:spacing w:val="-4"/>
                <w:sz w:val="24"/>
                <w:szCs w:val="24"/>
                <w:highlight w:val="none"/>
              </w:rPr>
              <w:t>出安全性、猛关或猛开、耐久性</w:t>
            </w:r>
            <w:r>
              <w:rPr>
                <w:rFonts w:ascii="宋体" w:hAnsi="宋体" w:eastAsia="宋体" w:cs="宋体"/>
                <w:color w:val="auto"/>
                <w:spacing w:val="-35"/>
                <w:sz w:val="24"/>
                <w:szCs w:val="24"/>
                <w:highlight w:val="none"/>
              </w:rPr>
              <w:t xml:space="preserve"> </w:t>
            </w:r>
            <w:r>
              <w:rPr>
                <w:rFonts w:ascii="宋体" w:hAnsi="宋体" w:eastAsia="宋体" w:cs="宋体"/>
                <w:color w:val="auto"/>
                <w:spacing w:val="-4"/>
                <w:sz w:val="24"/>
                <w:szCs w:val="24"/>
                <w:highlight w:val="none"/>
              </w:rPr>
              <w:t>4</w:t>
            </w:r>
            <w:r>
              <w:rPr>
                <w:rFonts w:ascii="宋体" w:hAnsi="宋体" w:eastAsia="宋体" w:cs="宋体"/>
                <w:color w:val="auto"/>
                <w:spacing w:val="-45"/>
                <w:sz w:val="24"/>
                <w:szCs w:val="24"/>
                <w:highlight w:val="none"/>
              </w:rPr>
              <w:t xml:space="preserve"> </w:t>
            </w:r>
            <w:r>
              <w:rPr>
                <w:rFonts w:ascii="宋体" w:hAnsi="宋体" w:eastAsia="宋体" w:cs="宋体"/>
                <w:color w:val="auto"/>
                <w:spacing w:val="-4"/>
                <w:sz w:val="24"/>
                <w:szCs w:val="24"/>
                <w:highlight w:val="none"/>
              </w:rPr>
              <w:t>万次，检测结果合格。</w:t>
            </w:r>
            <w:r>
              <w:rPr>
                <w:rFonts w:ascii="宋体" w:hAnsi="宋体" w:eastAsia="宋体" w:cs="宋体"/>
                <w:color w:val="auto"/>
                <w:spacing w:val="-2"/>
                <w:sz w:val="24"/>
                <w:szCs w:val="24"/>
                <w:highlight w:val="none"/>
              </w:rPr>
              <w:t>（提供承诺函，格式自拟）</w:t>
            </w:r>
          </w:p>
          <w:p w14:paraId="7DE3DEC5">
            <w:pPr>
              <w:spacing w:line="217" w:lineRule="auto"/>
              <w:ind w:left="1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★③耐腐蚀检测：检测合格。</w:t>
            </w:r>
            <w:r>
              <w:rPr>
                <w:rFonts w:ascii="宋体" w:hAnsi="宋体" w:eastAsia="宋体" w:cs="宋体"/>
                <w:color w:val="auto"/>
                <w:spacing w:val="-2"/>
                <w:sz w:val="24"/>
                <w:szCs w:val="24"/>
                <w:highlight w:val="none"/>
              </w:rPr>
              <w:t>（提供承诺函，格式自拟）</w:t>
            </w:r>
          </w:p>
        </w:tc>
      </w:tr>
      <w:tr w14:paraId="5C35E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800" w:type="dxa"/>
            <w:noWrap w:val="0"/>
            <w:vAlign w:val="top"/>
          </w:tcPr>
          <w:p w14:paraId="27FB19CE">
            <w:pPr>
              <w:spacing w:line="266" w:lineRule="auto"/>
              <w:rPr>
                <w:rFonts w:ascii="Arial"/>
                <w:color w:val="auto"/>
                <w:sz w:val="21"/>
                <w:highlight w:val="none"/>
              </w:rPr>
            </w:pPr>
          </w:p>
          <w:p w14:paraId="600B314F">
            <w:pPr>
              <w:spacing w:before="78"/>
              <w:rPr>
                <w:rFonts w:ascii="宋体" w:hAnsi="宋体" w:eastAsia="宋体" w:cs="宋体"/>
                <w:color w:val="auto"/>
                <w:sz w:val="24"/>
                <w:szCs w:val="24"/>
                <w:highlight w:val="none"/>
              </w:rPr>
            </w:pPr>
            <w:r>
              <w:rPr>
                <w:rFonts w:hint="eastAsia" w:ascii="宋体" w:hAnsi="宋体" w:cs="宋体"/>
                <w:color w:val="auto"/>
                <w:spacing w:val="-3"/>
                <w:sz w:val="24"/>
                <w:szCs w:val="24"/>
                <w:highlight w:val="none"/>
                <w:lang w:val="en-US" w:eastAsia="zh-CN"/>
              </w:rPr>
              <w:t>11、</w:t>
            </w:r>
            <w:r>
              <w:rPr>
                <w:rFonts w:ascii="宋体" w:hAnsi="宋体" w:eastAsia="宋体" w:cs="宋体"/>
                <w:color w:val="auto"/>
                <w:spacing w:val="-3"/>
                <w:sz w:val="24"/>
                <w:szCs w:val="24"/>
                <w:highlight w:val="none"/>
              </w:rPr>
              <w:t>锁具</w:t>
            </w:r>
          </w:p>
        </w:tc>
        <w:tc>
          <w:tcPr>
            <w:tcW w:w="9090" w:type="dxa"/>
            <w:noWrap w:val="0"/>
            <w:vAlign w:val="top"/>
          </w:tcPr>
          <w:p w14:paraId="6D389279">
            <w:pPr>
              <w:spacing w:before="33" w:line="220" w:lineRule="auto"/>
              <w:ind w:left="1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符合 QB/T 1621-2015《家</w:t>
            </w:r>
            <w:r>
              <w:rPr>
                <w:rFonts w:ascii="宋体" w:hAnsi="宋体" w:eastAsia="宋体" w:cs="宋体"/>
                <w:color w:val="auto"/>
                <w:spacing w:val="-3"/>
                <w:sz w:val="24"/>
                <w:szCs w:val="24"/>
                <w:highlight w:val="none"/>
              </w:rPr>
              <w:t>具锁》标准要求：</w:t>
            </w:r>
          </w:p>
          <w:p w14:paraId="76174E27">
            <w:pPr>
              <w:spacing w:before="26" w:line="220" w:lineRule="auto"/>
              <w:ind w:left="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锁具外观质量、牢固度检测合格，耐腐蚀检测合格。</w:t>
            </w:r>
          </w:p>
        </w:tc>
      </w:tr>
      <w:tr w14:paraId="5DDA6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1800" w:type="dxa"/>
            <w:noWrap w:val="0"/>
            <w:vAlign w:val="top"/>
          </w:tcPr>
          <w:p w14:paraId="3DB0902F">
            <w:pPr>
              <w:spacing w:line="264" w:lineRule="auto"/>
              <w:rPr>
                <w:rFonts w:ascii="Arial"/>
                <w:color w:val="auto"/>
                <w:sz w:val="21"/>
                <w:highlight w:val="none"/>
              </w:rPr>
            </w:pPr>
          </w:p>
          <w:p w14:paraId="1B9C23DB">
            <w:pPr>
              <w:spacing w:before="78"/>
              <w:rPr>
                <w:rFonts w:hint="default" w:ascii="宋体" w:hAnsi="宋体" w:eastAsia="宋体" w:cs="宋体"/>
                <w:color w:val="auto"/>
                <w:sz w:val="24"/>
                <w:szCs w:val="24"/>
                <w:highlight w:val="none"/>
                <w:lang w:val="en-US"/>
              </w:rPr>
            </w:pPr>
            <w:r>
              <w:rPr>
                <w:rFonts w:hint="eastAsia" w:ascii="宋体" w:hAnsi="宋体" w:cs="宋体"/>
                <w:color w:val="auto"/>
                <w:spacing w:val="-4"/>
                <w:sz w:val="24"/>
                <w:szCs w:val="24"/>
                <w:highlight w:val="none"/>
                <w:lang w:val="en-US" w:eastAsia="zh-CN"/>
              </w:rPr>
              <w:t>12</w:t>
            </w:r>
            <w:r>
              <w:rPr>
                <w:rFonts w:hint="eastAsia" w:ascii="宋体" w:hAnsi="宋体" w:eastAsia="宋体" w:cs="宋体"/>
                <w:color w:val="auto"/>
                <w:spacing w:val="-3"/>
                <w:sz w:val="24"/>
                <w:szCs w:val="24"/>
                <w:highlight w:val="none"/>
                <w:lang w:val="en-US" w:eastAsia="zh-CN"/>
              </w:rPr>
              <w:t>、皮革（西皮）</w:t>
            </w:r>
          </w:p>
        </w:tc>
        <w:tc>
          <w:tcPr>
            <w:tcW w:w="9090" w:type="dxa"/>
            <w:noWrap w:val="0"/>
            <w:vAlign w:val="top"/>
          </w:tcPr>
          <w:p w14:paraId="27B619C7">
            <w:pPr>
              <w:spacing w:before="36" w:line="239" w:lineRule="auto"/>
              <w:ind w:left="8" w:firstLine="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符合 GB/T 16799-2018 标准要求，摩擦色牢度/级（干擦、湿擦、碱性汗液）达到标准要求，涂层粘着牢度≥2.5N/10mm，撕裂力≥20N，禁用</w:t>
            </w:r>
            <w:r>
              <w:rPr>
                <w:rFonts w:ascii="宋体" w:hAnsi="宋体" w:eastAsia="宋体" w:cs="宋体"/>
                <w:color w:val="auto"/>
                <w:spacing w:val="-1"/>
                <w:sz w:val="24"/>
                <w:szCs w:val="24"/>
                <w:highlight w:val="none"/>
              </w:rPr>
              <w:t>偶氮燃料≤30mg/kg 。游离甲醛含量≤75mg/kg，挥发性有机物（</w:t>
            </w:r>
            <w:r>
              <w:rPr>
                <w:rFonts w:ascii="宋体" w:hAnsi="宋体" w:eastAsia="宋体" w:cs="宋体"/>
                <w:color w:val="auto"/>
                <w:spacing w:val="-2"/>
                <w:sz w:val="24"/>
                <w:szCs w:val="24"/>
                <w:highlight w:val="none"/>
              </w:rPr>
              <w:t>VOC）</w:t>
            </w:r>
            <w:r>
              <w:rPr>
                <w:rFonts w:ascii="宋体" w:hAnsi="宋体" w:eastAsia="宋体" w:cs="宋体"/>
                <w:color w:val="auto"/>
                <w:sz w:val="24"/>
                <w:szCs w:val="24"/>
                <w:highlight w:val="none"/>
              </w:rPr>
              <w:t>含量≤150mg/kg。感官要求(全张革厚薄基本均匀，无油腻感</w:t>
            </w:r>
            <w:r>
              <w:rPr>
                <w:rFonts w:ascii="宋体" w:hAnsi="宋体" w:eastAsia="宋体" w:cs="宋体"/>
                <w:color w:val="auto"/>
                <w:spacing w:val="62"/>
                <w:sz w:val="24"/>
                <w:szCs w:val="24"/>
                <w:highlight w:val="none"/>
              </w:rPr>
              <w:t xml:space="preserve"> </w:t>
            </w:r>
            <w:r>
              <w:rPr>
                <w:rFonts w:ascii="宋体" w:hAnsi="宋体" w:eastAsia="宋体" w:cs="宋体"/>
                <w:color w:val="auto"/>
                <w:spacing w:val="-1"/>
                <w:sz w:val="24"/>
                <w:szCs w:val="24"/>
                <w:highlight w:val="none"/>
              </w:rPr>
              <w:t>(油蜡革</w:t>
            </w:r>
            <w:r>
              <w:rPr>
                <w:rFonts w:ascii="宋体" w:hAnsi="宋体" w:eastAsia="宋体" w:cs="宋体"/>
                <w:color w:val="auto"/>
                <w:spacing w:val="-4"/>
                <w:sz w:val="24"/>
                <w:szCs w:val="24"/>
                <w:highlight w:val="none"/>
              </w:rPr>
              <w:t>除外)，革身平整、柔软、丰满有弹性，</w:t>
            </w:r>
            <w:r>
              <w:rPr>
                <w:rFonts w:ascii="宋体" w:hAnsi="宋体" w:eastAsia="宋体" w:cs="宋体"/>
                <w:color w:val="auto"/>
                <w:spacing w:val="-5"/>
                <w:sz w:val="24"/>
                <w:szCs w:val="24"/>
                <w:highlight w:val="none"/>
              </w:rPr>
              <w:t>正面革不裂面、无管皱,主要部位不得松面，涂饰革</w:t>
            </w:r>
            <w:r>
              <w:rPr>
                <w:rFonts w:ascii="宋体" w:hAnsi="宋体" w:eastAsia="宋体" w:cs="宋体"/>
                <w:color w:val="auto"/>
                <w:spacing w:val="-6"/>
                <w:sz w:val="24"/>
                <w:szCs w:val="24"/>
                <w:highlight w:val="none"/>
              </w:rPr>
              <w:t>涂饰均匀，不掉浆，</w:t>
            </w:r>
            <w:r>
              <w:rPr>
                <w:rFonts w:ascii="宋体" w:hAnsi="宋体" w:eastAsia="宋体" w:cs="宋体"/>
                <w:color w:val="auto"/>
                <w:spacing w:val="-7"/>
                <w:sz w:val="24"/>
                <w:szCs w:val="24"/>
                <w:highlight w:val="none"/>
              </w:rPr>
              <w:t>不裂浆）均合格。</w:t>
            </w:r>
          </w:p>
        </w:tc>
      </w:tr>
      <w:tr w14:paraId="03145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800" w:type="dxa"/>
            <w:shd w:val="clear" w:color="auto" w:fill="auto"/>
            <w:noWrap w:val="0"/>
            <w:vAlign w:val="top"/>
          </w:tcPr>
          <w:p w14:paraId="530021DC">
            <w:pPr>
              <w:spacing w:line="264" w:lineRule="auto"/>
              <w:rPr>
                <w:rFonts w:ascii="Arial"/>
                <w:color w:val="auto"/>
                <w:sz w:val="21"/>
                <w:highlight w:val="none"/>
              </w:rPr>
            </w:pPr>
          </w:p>
          <w:p w14:paraId="6C8CE325">
            <w:pPr>
              <w:spacing w:before="78"/>
              <w:ind w:left="12" w:left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3"/>
                <w:sz w:val="24"/>
                <w:szCs w:val="24"/>
                <w:highlight w:val="none"/>
                <w:lang w:val="en-US" w:eastAsia="zh-CN"/>
              </w:rPr>
              <w:t>13、</w:t>
            </w:r>
            <w:r>
              <w:rPr>
                <w:rFonts w:ascii="宋体" w:hAnsi="宋体" w:eastAsia="宋体" w:cs="宋体"/>
                <w:color w:val="auto"/>
                <w:spacing w:val="-3"/>
                <w:sz w:val="24"/>
                <w:szCs w:val="24"/>
                <w:highlight w:val="none"/>
              </w:rPr>
              <w:t>海绵</w:t>
            </w:r>
          </w:p>
        </w:tc>
        <w:tc>
          <w:tcPr>
            <w:tcW w:w="9090" w:type="dxa"/>
            <w:shd w:val="clear" w:color="auto" w:fill="auto"/>
            <w:noWrap w:val="0"/>
            <w:vAlign w:val="top"/>
          </w:tcPr>
          <w:p w14:paraId="141D43D6">
            <w:pPr>
              <w:spacing w:before="34" w:line="239" w:lineRule="auto"/>
              <w:ind w:left="10" w:right="11" w:firstLine="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阻燃海绵，符合 GB/T 10802-2023《通用软质聚氨酯泡沫塑料》标准要</w:t>
            </w:r>
            <w:r>
              <w:rPr>
                <w:rFonts w:ascii="宋体" w:hAnsi="宋体" w:eastAsia="宋体" w:cs="宋体"/>
                <w:color w:val="auto"/>
                <w:spacing w:val="-17"/>
                <w:sz w:val="24"/>
                <w:szCs w:val="24"/>
                <w:highlight w:val="none"/>
              </w:rPr>
              <w:t>求，</w:t>
            </w:r>
          </w:p>
          <w:p w14:paraId="0283B1F1">
            <w:pPr>
              <w:spacing w:before="1" w:line="218" w:lineRule="auto"/>
              <w:ind w:left="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表观密度偏差范围符合要求，75%压缩永久变形≤8%</w:t>
            </w:r>
          </w:p>
          <w:p w14:paraId="1A75FCA4">
            <w:pPr>
              <w:spacing w:before="27" w:line="219" w:lineRule="auto"/>
              <w:ind w:left="12" w:leftChars="0"/>
              <w:rPr>
                <w:rFonts w:ascii="宋体" w:hAnsi="宋体" w:eastAsia="宋体" w:cs="宋体"/>
                <w:color w:val="auto"/>
                <w:kern w:val="2"/>
                <w:sz w:val="24"/>
                <w:szCs w:val="24"/>
                <w:highlight w:val="none"/>
                <w:lang w:val="en-US" w:eastAsia="zh-CN" w:bidi="ar-SA"/>
              </w:rPr>
            </w:pPr>
            <w:r>
              <w:rPr>
                <w:rFonts w:ascii="宋体" w:hAnsi="宋体" w:eastAsia="宋体" w:cs="宋体"/>
                <w:color w:val="auto"/>
                <w:spacing w:val="-2"/>
                <w:sz w:val="24"/>
                <w:szCs w:val="24"/>
                <w:highlight w:val="none"/>
              </w:rPr>
              <w:t>★海绵回弹率≥35%。（提供承诺函，格式自拟）</w:t>
            </w:r>
          </w:p>
        </w:tc>
      </w:tr>
      <w:tr w14:paraId="6B698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800" w:type="dxa"/>
            <w:shd w:val="clear" w:color="auto" w:fill="auto"/>
            <w:noWrap w:val="0"/>
            <w:vAlign w:val="top"/>
          </w:tcPr>
          <w:p w14:paraId="7A8A0E9F">
            <w:pPr>
              <w:spacing w:line="265" w:lineRule="auto"/>
              <w:rPr>
                <w:rFonts w:ascii="Arial"/>
                <w:color w:val="auto"/>
                <w:sz w:val="21"/>
                <w:highlight w:val="none"/>
              </w:rPr>
            </w:pPr>
          </w:p>
          <w:p w14:paraId="45D8BF31">
            <w:pPr>
              <w:spacing w:before="78"/>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3"/>
                <w:sz w:val="24"/>
                <w:szCs w:val="24"/>
                <w:highlight w:val="none"/>
                <w:lang w:val="en-US" w:eastAsia="zh-CN"/>
              </w:rPr>
              <w:t>14、</w:t>
            </w:r>
            <w:r>
              <w:rPr>
                <w:rFonts w:ascii="宋体" w:hAnsi="宋体" w:eastAsia="宋体" w:cs="宋体"/>
                <w:color w:val="auto"/>
                <w:spacing w:val="-3"/>
                <w:sz w:val="24"/>
                <w:szCs w:val="24"/>
                <w:highlight w:val="none"/>
              </w:rPr>
              <w:t>气压</w:t>
            </w:r>
            <w:r>
              <w:rPr>
                <w:rFonts w:hint="eastAsia" w:ascii="宋体" w:hAnsi="宋体" w:eastAsia="宋体" w:cs="宋体"/>
                <w:color w:val="auto"/>
                <w:spacing w:val="-3"/>
                <w:sz w:val="24"/>
                <w:szCs w:val="24"/>
                <w:highlight w:val="none"/>
                <w:lang w:val="en-US" w:eastAsia="zh-CN"/>
              </w:rPr>
              <w:t>棒（气杆）</w:t>
            </w:r>
          </w:p>
        </w:tc>
        <w:tc>
          <w:tcPr>
            <w:tcW w:w="9090" w:type="dxa"/>
            <w:shd w:val="clear" w:color="auto" w:fill="auto"/>
            <w:noWrap w:val="0"/>
            <w:vAlign w:val="top"/>
          </w:tcPr>
          <w:p w14:paraId="0C06A294">
            <w:pPr>
              <w:spacing w:before="33" w:line="219" w:lineRule="auto"/>
              <w:ind w:left="1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符合 GB/T 29525-2013《座椅升降气弹簧技术条件》标准要求：</w:t>
            </w:r>
          </w:p>
          <w:p w14:paraId="7DE72861">
            <w:pPr>
              <w:spacing w:before="27" w:line="239" w:lineRule="auto"/>
              <w:ind w:left="8" w:right="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密封性能检测，气弹簧锁定在任意位置，经</w:t>
            </w:r>
            <w:r>
              <w:rPr>
                <w:rFonts w:ascii="宋体" w:hAnsi="宋体" w:eastAsia="宋体" w:cs="宋体"/>
                <w:color w:val="auto"/>
                <w:spacing w:val="-26"/>
                <w:sz w:val="24"/>
                <w:szCs w:val="24"/>
                <w:highlight w:val="none"/>
              </w:rPr>
              <w:t xml:space="preserve"> </w:t>
            </w:r>
            <w:r>
              <w:rPr>
                <w:rFonts w:ascii="宋体" w:hAnsi="宋体" w:eastAsia="宋体" w:cs="宋体"/>
                <w:color w:val="auto"/>
                <w:spacing w:val="-3"/>
                <w:sz w:val="24"/>
                <w:szCs w:val="24"/>
                <w:highlight w:val="none"/>
              </w:rPr>
              <w:t>72h</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常温储存后，活塞杆未</w:t>
            </w:r>
            <w:r>
              <w:rPr>
                <w:rFonts w:ascii="宋体" w:hAnsi="宋体" w:eastAsia="宋体" w:cs="宋体"/>
                <w:color w:val="auto"/>
                <w:spacing w:val="-8"/>
                <w:sz w:val="24"/>
                <w:szCs w:val="24"/>
                <w:highlight w:val="none"/>
              </w:rPr>
              <w:t>产生位移。</w:t>
            </w:r>
          </w:p>
          <w:p w14:paraId="2EC99B55">
            <w:pPr>
              <w:spacing w:before="2" w:line="221" w:lineRule="auto"/>
              <w:ind w:left="14" w:leftChars="0" w:right="180" w:rightChars="0" w:hanging="2" w:firstLineChars="0"/>
              <w:rPr>
                <w:rFonts w:ascii="宋体" w:hAnsi="宋体" w:eastAsia="宋体" w:cs="宋体"/>
                <w:color w:val="auto"/>
                <w:kern w:val="2"/>
                <w:sz w:val="24"/>
                <w:szCs w:val="24"/>
                <w:highlight w:val="none"/>
                <w:lang w:val="en-US" w:eastAsia="zh-CN" w:bidi="ar-SA"/>
              </w:rPr>
            </w:pPr>
            <w:r>
              <w:rPr>
                <w:rFonts w:ascii="宋体" w:hAnsi="宋体" w:eastAsia="宋体" w:cs="宋体"/>
                <w:color w:val="auto"/>
                <w:spacing w:val="-2"/>
                <w:sz w:val="24"/>
                <w:szCs w:val="24"/>
                <w:highlight w:val="none"/>
              </w:rPr>
              <w:t>★循环寿命检测，经≥60000</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次循环寿命后，气弹簧总衰减量≤13%。</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（提供承诺函，格式自拟）</w:t>
            </w:r>
          </w:p>
        </w:tc>
      </w:tr>
      <w:tr w14:paraId="35C7A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800" w:type="dxa"/>
            <w:shd w:val="clear" w:color="auto" w:fill="auto"/>
            <w:noWrap w:val="0"/>
            <w:vAlign w:val="top"/>
          </w:tcPr>
          <w:p w14:paraId="428B56C1">
            <w:pPr>
              <w:spacing w:line="267" w:lineRule="auto"/>
              <w:rPr>
                <w:rFonts w:ascii="Arial"/>
                <w:color w:val="auto"/>
                <w:sz w:val="21"/>
                <w:highlight w:val="none"/>
              </w:rPr>
            </w:pPr>
          </w:p>
          <w:p w14:paraId="2F855B20">
            <w:pPr>
              <w:spacing w:before="78"/>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3"/>
                <w:sz w:val="24"/>
                <w:szCs w:val="24"/>
                <w:highlight w:val="none"/>
                <w:lang w:val="en-US" w:eastAsia="zh-CN"/>
              </w:rPr>
              <w:t>15、</w:t>
            </w:r>
            <w:r>
              <w:rPr>
                <w:rFonts w:ascii="宋体" w:hAnsi="宋体" w:eastAsia="宋体" w:cs="宋体"/>
                <w:color w:val="auto"/>
                <w:spacing w:val="-3"/>
                <w:sz w:val="24"/>
                <w:szCs w:val="24"/>
                <w:highlight w:val="none"/>
              </w:rPr>
              <w:t>脚轮</w:t>
            </w:r>
            <w:r>
              <w:rPr>
                <w:rFonts w:hint="eastAsia" w:ascii="宋体" w:hAnsi="宋体" w:eastAsia="宋体" w:cs="宋体"/>
                <w:color w:val="auto"/>
                <w:spacing w:val="-3"/>
                <w:sz w:val="24"/>
                <w:szCs w:val="24"/>
                <w:highlight w:val="none"/>
                <w:lang w:val="en-US" w:eastAsia="zh-CN"/>
              </w:rPr>
              <w:t>（椅轮）</w:t>
            </w:r>
          </w:p>
        </w:tc>
        <w:tc>
          <w:tcPr>
            <w:tcW w:w="9090" w:type="dxa"/>
            <w:shd w:val="clear" w:color="auto" w:fill="auto"/>
            <w:noWrap w:val="0"/>
            <w:vAlign w:val="top"/>
          </w:tcPr>
          <w:p w14:paraId="3D6D2259">
            <w:pPr>
              <w:spacing w:before="36" w:line="220" w:lineRule="auto"/>
              <w:ind w:left="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QB/T 2280-2016《办公家具 办公椅》标准要求；</w:t>
            </w:r>
          </w:p>
          <w:p w14:paraId="2F35380C">
            <w:pPr>
              <w:spacing w:before="24" w:line="228" w:lineRule="auto"/>
              <w:ind w:left="14" w:leftChars="0" w:hanging="7" w:firstLineChars="0"/>
              <w:rPr>
                <w:rFonts w:ascii="宋体" w:hAnsi="宋体" w:eastAsia="宋体" w:cs="宋体"/>
                <w:color w:val="auto"/>
                <w:kern w:val="2"/>
                <w:sz w:val="24"/>
                <w:szCs w:val="24"/>
                <w:highlight w:val="none"/>
                <w:lang w:val="en-US" w:eastAsia="zh-CN" w:bidi="ar-SA"/>
              </w:rPr>
            </w:pPr>
            <w:r>
              <w:rPr>
                <w:rFonts w:ascii="宋体" w:hAnsi="宋体" w:eastAsia="宋体" w:cs="宋体"/>
                <w:color w:val="auto"/>
                <w:spacing w:val="-5"/>
                <w:sz w:val="24"/>
                <w:szCs w:val="24"/>
                <w:highlight w:val="none"/>
              </w:rPr>
              <w:t>脚轮往复磨损测试（座面垂直加载</w:t>
            </w:r>
            <w:r>
              <w:rPr>
                <w:rFonts w:ascii="宋体" w:hAnsi="宋体" w:eastAsia="宋体" w:cs="宋体"/>
                <w:color w:val="auto"/>
                <w:spacing w:val="27"/>
                <w:sz w:val="24"/>
                <w:szCs w:val="24"/>
                <w:highlight w:val="none"/>
              </w:rPr>
              <w:t xml:space="preserve"> </w:t>
            </w:r>
            <w:r>
              <w:rPr>
                <w:rFonts w:ascii="宋体" w:hAnsi="宋体" w:eastAsia="宋体" w:cs="宋体"/>
                <w:color w:val="auto"/>
                <w:spacing w:val="-5"/>
                <w:sz w:val="24"/>
                <w:szCs w:val="24"/>
                <w:highlight w:val="none"/>
              </w:rPr>
              <w:t>113kg，有障碍物测</w:t>
            </w:r>
            <w:r>
              <w:rPr>
                <w:rFonts w:ascii="宋体" w:hAnsi="宋体" w:eastAsia="宋体" w:cs="宋体"/>
                <w:color w:val="auto"/>
                <w:spacing w:val="-6"/>
                <w:sz w:val="24"/>
                <w:szCs w:val="24"/>
                <w:highlight w:val="none"/>
              </w:rPr>
              <w:t>试平台测试 2000</w:t>
            </w:r>
            <w:r>
              <w:rPr>
                <w:rFonts w:ascii="宋体" w:hAnsi="宋体" w:eastAsia="宋体" w:cs="宋体"/>
                <w:color w:val="auto"/>
                <w:spacing w:val="-2"/>
                <w:sz w:val="24"/>
                <w:szCs w:val="24"/>
                <w:highlight w:val="none"/>
              </w:rPr>
              <w:t>次，无障碍物水平测试台测试 98000 次）结果合格。</w:t>
            </w:r>
          </w:p>
        </w:tc>
      </w:tr>
      <w:tr w14:paraId="2B9E3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1800" w:type="dxa"/>
            <w:shd w:val="clear" w:color="auto" w:fill="auto"/>
            <w:noWrap w:val="0"/>
            <w:vAlign w:val="top"/>
          </w:tcPr>
          <w:p w14:paraId="51AE550A">
            <w:pPr>
              <w:spacing w:before="36" w:line="219" w:lineRule="auto"/>
              <w:ind w:left="12" w:left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7"/>
                <w:sz w:val="24"/>
                <w:szCs w:val="24"/>
                <w:highlight w:val="none"/>
                <w:lang w:val="en-US" w:eastAsia="zh-CN"/>
              </w:rPr>
              <w:t>16</w:t>
            </w:r>
            <w:r>
              <w:rPr>
                <w:rFonts w:hint="eastAsia" w:ascii="宋体" w:hAnsi="宋体" w:eastAsia="宋体" w:cs="宋体"/>
                <w:color w:val="auto"/>
                <w:spacing w:val="-3"/>
                <w:sz w:val="24"/>
                <w:szCs w:val="24"/>
                <w:highlight w:val="none"/>
                <w:lang w:val="en-US" w:eastAsia="zh-CN"/>
              </w:rPr>
              <w:t>、电解钢板</w:t>
            </w:r>
          </w:p>
        </w:tc>
        <w:tc>
          <w:tcPr>
            <w:tcW w:w="9090" w:type="dxa"/>
            <w:shd w:val="clear" w:color="auto" w:fill="auto"/>
            <w:noWrap w:val="0"/>
            <w:vAlign w:val="top"/>
          </w:tcPr>
          <w:p w14:paraId="568DDE35">
            <w:pPr>
              <w:spacing w:before="36"/>
              <w:ind w:left="10" w:right="11" w:firstLine="1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1、基材喷涂层符合 GB/T 3325-2024《金属家具通用技术条件》标准要</w:t>
            </w:r>
            <w:r>
              <w:rPr>
                <w:rFonts w:ascii="宋体" w:hAnsi="宋体" w:eastAsia="宋体" w:cs="宋体"/>
                <w:color w:val="auto"/>
                <w:spacing w:val="-12"/>
                <w:sz w:val="24"/>
                <w:szCs w:val="24"/>
                <w:highlight w:val="none"/>
              </w:rPr>
              <w:t>求。</w:t>
            </w:r>
          </w:p>
          <w:p w14:paraId="6F8865C4">
            <w:pPr>
              <w:spacing w:before="1" w:line="221" w:lineRule="auto"/>
              <w:ind w:left="2" w:leftChars="0" w:right="1" w:rightChars="0" w:firstLine="8" w:firstLineChars="0"/>
              <w:rPr>
                <w:rFonts w:ascii="宋体" w:hAnsi="宋体" w:eastAsia="宋体" w:cs="宋体"/>
                <w:color w:val="auto"/>
                <w:kern w:val="2"/>
                <w:sz w:val="24"/>
                <w:szCs w:val="24"/>
                <w:highlight w:val="none"/>
                <w:lang w:val="en-US" w:eastAsia="zh-CN" w:bidi="ar-SA"/>
              </w:rPr>
            </w:pPr>
            <w:r>
              <w:rPr>
                <w:rFonts w:ascii="宋体" w:hAnsi="宋体" w:eastAsia="宋体" w:cs="宋体"/>
                <w:color w:val="auto"/>
                <w:spacing w:val="23"/>
                <w:sz w:val="24"/>
                <w:szCs w:val="24"/>
                <w:highlight w:val="none"/>
              </w:rPr>
              <w:t>2</w:t>
            </w:r>
            <w:r>
              <w:rPr>
                <w:rFonts w:ascii="宋体" w:hAnsi="宋体" w:eastAsia="宋体" w:cs="宋体"/>
                <w:color w:val="auto"/>
                <w:spacing w:val="-40"/>
                <w:sz w:val="24"/>
                <w:szCs w:val="24"/>
                <w:highlight w:val="none"/>
              </w:rPr>
              <w:t xml:space="preserve"> </w:t>
            </w:r>
            <w:r>
              <w:rPr>
                <w:rFonts w:ascii="宋体" w:hAnsi="宋体" w:eastAsia="宋体" w:cs="宋体"/>
                <w:color w:val="auto"/>
                <w:spacing w:val="23"/>
                <w:sz w:val="24"/>
                <w:szCs w:val="24"/>
                <w:highlight w:val="none"/>
              </w:rPr>
              <w:t>、抗菌防霉粉末涂</w:t>
            </w:r>
            <w:r>
              <w:rPr>
                <w:rFonts w:ascii="宋体" w:hAnsi="宋体" w:eastAsia="宋体" w:cs="宋体"/>
                <w:color w:val="auto"/>
                <w:spacing w:val="-56"/>
                <w:sz w:val="24"/>
                <w:szCs w:val="24"/>
                <w:highlight w:val="none"/>
              </w:rPr>
              <w:t xml:space="preserve"> </w:t>
            </w:r>
            <w:r>
              <w:rPr>
                <w:rFonts w:ascii="宋体" w:hAnsi="宋体" w:eastAsia="宋体" w:cs="宋体"/>
                <w:color w:val="auto"/>
                <w:spacing w:val="23"/>
                <w:sz w:val="24"/>
                <w:szCs w:val="24"/>
                <w:highlight w:val="none"/>
              </w:rPr>
              <w:t>料：涂膜外观、耐</w:t>
            </w:r>
            <w:r>
              <w:rPr>
                <w:rFonts w:ascii="宋体" w:hAnsi="宋体" w:eastAsia="宋体" w:cs="宋体"/>
                <w:color w:val="auto"/>
                <w:spacing w:val="-70"/>
                <w:sz w:val="24"/>
                <w:szCs w:val="24"/>
                <w:highlight w:val="none"/>
              </w:rPr>
              <w:t xml:space="preserve"> </w:t>
            </w:r>
            <w:r>
              <w:rPr>
                <w:rFonts w:ascii="宋体" w:hAnsi="宋体" w:eastAsia="宋体" w:cs="宋体"/>
                <w:color w:val="auto"/>
                <w:spacing w:val="23"/>
                <w:sz w:val="24"/>
                <w:szCs w:val="24"/>
                <w:highlight w:val="none"/>
              </w:rPr>
              <w:t>冲击性</w:t>
            </w:r>
            <w:r>
              <w:rPr>
                <w:rFonts w:ascii="宋体" w:hAnsi="宋体" w:eastAsia="宋体" w:cs="宋体"/>
                <w:color w:val="auto"/>
                <w:spacing w:val="-28"/>
                <w:sz w:val="24"/>
                <w:szCs w:val="24"/>
                <w:highlight w:val="none"/>
              </w:rPr>
              <w:t xml:space="preserve"> </w:t>
            </w:r>
            <w:r>
              <w:rPr>
                <w:rFonts w:ascii="宋体" w:hAnsi="宋体" w:eastAsia="宋体" w:cs="宋体"/>
                <w:color w:val="auto"/>
                <w:spacing w:val="23"/>
                <w:sz w:val="24"/>
                <w:szCs w:val="24"/>
                <w:highlight w:val="none"/>
              </w:rPr>
              <w:t>(</w:t>
            </w:r>
            <w:r>
              <w:rPr>
                <w:rFonts w:ascii="宋体" w:hAnsi="宋体" w:eastAsia="宋体" w:cs="宋体"/>
                <w:color w:val="auto"/>
                <w:spacing w:val="-67"/>
                <w:sz w:val="24"/>
                <w:szCs w:val="24"/>
                <w:highlight w:val="none"/>
              </w:rPr>
              <w:t xml:space="preserve"> </w:t>
            </w:r>
            <w:r>
              <w:rPr>
                <w:rFonts w:ascii="宋体" w:hAnsi="宋体" w:eastAsia="宋体" w:cs="宋体"/>
                <w:color w:val="auto"/>
                <w:spacing w:val="23"/>
                <w:sz w:val="24"/>
                <w:szCs w:val="24"/>
                <w:highlight w:val="none"/>
              </w:rPr>
              <w:t>正向冲击</w:t>
            </w:r>
            <w:r>
              <w:rPr>
                <w:rFonts w:ascii="宋体" w:hAnsi="宋体" w:eastAsia="宋体" w:cs="宋体"/>
                <w:color w:val="auto"/>
                <w:spacing w:val="-71"/>
                <w:sz w:val="24"/>
                <w:szCs w:val="24"/>
                <w:highlight w:val="none"/>
              </w:rPr>
              <w:t xml:space="preserve"> </w:t>
            </w:r>
            <w:r>
              <w:rPr>
                <w:rFonts w:ascii="宋体" w:hAnsi="宋体" w:eastAsia="宋体" w:cs="宋体"/>
                <w:color w:val="auto"/>
                <w:spacing w:val="23"/>
                <w:sz w:val="24"/>
                <w:szCs w:val="24"/>
                <w:highlight w:val="none"/>
              </w:rPr>
              <w:t>)符合</w:t>
            </w:r>
            <w:r>
              <w:rPr>
                <w:rFonts w:ascii="宋体" w:hAnsi="宋体" w:eastAsia="宋体" w:cs="宋体"/>
                <w:color w:val="auto"/>
                <w:spacing w:val="-1"/>
                <w:sz w:val="24"/>
                <w:szCs w:val="24"/>
                <w:highlight w:val="none"/>
              </w:rPr>
              <w:t>HG/T2006-2022《热固性和热塑性粉末涂料》</w:t>
            </w:r>
            <w:r>
              <w:rPr>
                <w:rFonts w:ascii="宋体" w:hAnsi="宋体" w:eastAsia="宋体" w:cs="宋体"/>
                <w:color w:val="auto"/>
                <w:spacing w:val="-2"/>
                <w:sz w:val="24"/>
                <w:szCs w:val="24"/>
                <w:highlight w:val="none"/>
              </w:rPr>
              <w:t>标准要求。</w:t>
            </w:r>
          </w:p>
        </w:tc>
      </w:tr>
    </w:tbl>
    <w:p w14:paraId="739D0FA5">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参数要求：</w:t>
      </w:r>
    </w:p>
    <w:p w14:paraId="6C2414C1">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①采购需求</w:t>
      </w: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lang w:val="en-US" w:eastAsia="zh-CN"/>
        </w:rPr>
        <w:t>含采购清单</w:t>
      </w: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rPr>
        <w:t>中标注★参数参与评分。“★”项参数提供承诺函。所有“★”项参数，投标人须在合同签订后供货前提供国家认可的第三方认证检测机构出具的检测报告。</w:t>
      </w:r>
    </w:p>
    <w:p w14:paraId="50287122">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②检测报告上的名称与要求中所对应的名称不同但内容实质与招标文件参数要求相符的视作等同。</w:t>
      </w:r>
    </w:p>
    <w:p w14:paraId="378A295B">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③采购需求</w:t>
      </w: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lang w:val="en-US" w:eastAsia="zh-CN"/>
        </w:rPr>
        <w:t>含采购清单</w:t>
      </w: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rPr>
        <w:t>中未标注★参数，不参与评分，但必须满足或优于参数要求。以投标人投标文件中“投标响应表”为准，不满足要求的按不实质性响应招标文件处理。</w:t>
      </w:r>
    </w:p>
    <w:p w14:paraId="5264AAA9">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其他要求:</w:t>
      </w:r>
    </w:p>
    <w:p w14:paraId="37A07BE6">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1.招标文件中提及的其他技术要求和售后服务要求，供应商应严格执行。货物质保期为5 年，质保期从验收合格之日起算。</w:t>
      </w:r>
    </w:p>
    <w:p w14:paraId="74C316BA">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2.货物未交至采购人前，出现毁损、丢失等情况， 造成供货不及时，由供应商承担全部责任。</w:t>
      </w:r>
    </w:p>
    <w:p w14:paraId="39A3D0A9">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3.因不可抗力致使合同有变更必要的，双方当事人应在不可抗力时间发生起 10 个日历天内以书面形式变更合同。受不可抗力影响的一方在不可抗力发生后，应在 5 个日历天内以书面形式通知对方当事人，并在 10 个日历天内，将有关部门出具的证明文件送达对方当事人。</w:t>
      </w:r>
    </w:p>
    <w:p w14:paraId="12667D84">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4.货物进场前，供应商应与采购人进行充分沟通，确保必要安装条件。</w:t>
      </w:r>
    </w:p>
    <w:p w14:paraId="3D063967">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5.货物交付时，采购人安排专人对货物数量、完好性进行检查， 双方无异议则供应商进场安装。</w:t>
      </w:r>
    </w:p>
    <w:p w14:paraId="751F134D">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6.供应商在项目现场应负责所供货物的组装、调试、运行、维护、修理， 满足采购人合理需求。</w:t>
      </w:r>
    </w:p>
    <w:p w14:paraId="0BAC70F3">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7.因货物质量问题或现场安装调试施工不规范等原因造成砸伤、火灾、人员触电等任何安全事故，供应商须承担由此而引起的一切经济赔偿和法律责任。</w:t>
      </w:r>
    </w:p>
    <w:p w14:paraId="534010F3">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8.货物全部采购安装到位后，供应商可向采购人提出正式验收申请，采购人有权对该批货物进行抽样送检。验收不合格，采购人有权要求供应商提供合格产品。</w:t>
      </w:r>
    </w:p>
    <w:p w14:paraId="5F0EC388">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9.质保期内，若出现质量问题，供应商应在 24 小时内完成维修或更换。若供应商不能及时完成，采购人有权委托第三方代修或更换，所支付费用采购人有权向供应商进行追索。</w:t>
      </w:r>
    </w:p>
    <w:p w14:paraId="1CB30651">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10.如货物经供应商多次维修仍不能达到本合同约定的质量标准，视作供应商未能按时交货，采购人有权追究供应商违约责任。</w:t>
      </w:r>
    </w:p>
    <w:p w14:paraId="5E206734">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11.供应商须指派专人负责与采购人联系各项售后服务事宜。出现故障后，供应商应本着一切为甲方着想的原则，先解决问题，再分清责任，确保甲方的不间断使用。</w:t>
      </w:r>
    </w:p>
    <w:p w14:paraId="6B28CBB0">
      <w:pPr>
        <w:spacing w:line="520" w:lineRule="exact"/>
        <w:ind w:firstLine="437"/>
        <w:jc w:val="left"/>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验收要求</w:t>
      </w:r>
      <w:r>
        <w:rPr>
          <w:rFonts w:hint="eastAsia" w:ascii="仿宋" w:hAnsi="仿宋" w:eastAsia="仿宋" w:cs="仿宋"/>
          <w:b/>
          <w:color w:val="auto"/>
          <w:szCs w:val="21"/>
          <w:highlight w:val="none"/>
          <w:lang w:eastAsia="zh-CN"/>
        </w:rPr>
        <w:t>：</w:t>
      </w:r>
    </w:p>
    <w:p w14:paraId="206232DA">
      <w:pPr>
        <w:numPr>
          <w:ilvl w:val="0"/>
          <w:numId w:val="0"/>
        </w:numPr>
        <w:spacing w:line="52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1.</w:t>
      </w:r>
      <w:r>
        <w:rPr>
          <w:rFonts w:hint="eastAsia" w:ascii="仿宋" w:hAnsi="仿宋" w:eastAsia="仿宋" w:cs="仿宋"/>
          <w:b/>
          <w:color w:val="auto"/>
          <w:szCs w:val="21"/>
          <w:highlight w:val="none"/>
        </w:rPr>
        <w:t>合同生效签订、货物正式供货交付前，采购人有权根据项目履约管控及前置核验需要，组织相关工作人员赴中标供应商货物生产制造场地开展源头核查工作。供应商应当予以全面配合、主动开放生产车间、原材料仓储、成品检验、质检台账、生产工艺流程等相关区域与资料，不得设置障碍、推诿拒绝或隐瞒真实生产经营情况。</w:t>
      </w:r>
    </w:p>
    <w:p w14:paraId="54F0FF59">
      <w:pPr>
        <w:numPr>
          <w:ilvl w:val="0"/>
          <w:numId w:val="0"/>
        </w:numPr>
        <w:spacing w:line="52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2.</w:t>
      </w:r>
      <w:r>
        <w:rPr>
          <w:rFonts w:hint="eastAsia" w:ascii="仿宋" w:hAnsi="仿宋" w:eastAsia="仿宋" w:cs="仿宋"/>
          <w:b/>
          <w:color w:val="auto"/>
          <w:szCs w:val="21"/>
          <w:highlight w:val="none"/>
        </w:rPr>
        <w:t>供货到货验收阶段，中标供应商应对货物的质量、规格、性能和数量等进行全面检验并提供：发票原件、制造厂家出具的质量检验证书、数量证明书、装箱单和自我检验报告等资料供采购人核对，院方有权现场对每一类货物随机抽取 1 件样品，共同送交具备国家认可资质的第三方检验检测机构开展符合性检测，检测依据为招标文件、中标供应商响应文件所载全部技术参数、技术标准及国家现行规范。若检测不合格供应商须无条件重新提供（20日历天内）同批次全新完整货物，（逾期未提供视同中标方自愿终止合同并承担院方所有损失，履约保证金不予退还，未送检货物不得退回中标方）由双方共同再次抽样并送前述具备资质第三方机构复测。前述重新供货、复测流程循环执行，直至抽检样品所有技术指标完全匹配中标响应参数、达到约定质量标准为止。因样品检测不合格、重复供货复测导致供货周期延误、项目工期滞后，由此给采购人造成的一切直接及间接损失（含工期延误成本、配套施工误工损失、第三方检测费、维权相关开支等），院方有权中标供应商主张全额索赔。</w:t>
      </w:r>
    </w:p>
    <w:p w14:paraId="282372F7">
      <w:pPr>
        <w:numPr>
          <w:ilvl w:val="0"/>
          <w:numId w:val="0"/>
        </w:numPr>
        <w:spacing w:line="52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3.</w:t>
      </w:r>
      <w:r>
        <w:rPr>
          <w:rFonts w:hint="eastAsia" w:ascii="仿宋" w:hAnsi="仿宋" w:eastAsia="仿宋" w:cs="仿宋"/>
          <w:b/>
          <w:color w:val="auto"/>
          <w:szCs w:val="21"/>
          <w:highlight w:val="none"/>
        </w:rPr>
        <w:t>采购需求中家具尺寸为参考尺寸，需根据现场考察定制相适应的家具尺寸。</w:t>
      </w:r>
    </w:p>
    <w:p w14:paraId="2CA7C613">
      <w:pPr>
        <w:pStyle w:val="2"/>
        <w:rPr>
          <w:rFonts w:hint="default" w:eastAsia="仿宋"/>
          <w:color w:val="auto"/>
          <w:highlight w:val="none"/>
          <w:lang w:val="en-US" w:eastAsia="zh-CN"/>
        </w:rPr>
      </w:pPr>
      <w:r>
        <w:rPr>
          <w:rFonts w:hint="eastAsia" w:ascii="仿宋" w:hAnsi="仿宋" w:eastAsia="仿宋" w:cs="仿宋"/>
          <w:b/>
          <w:color w:val="auto"/>
          <w:szCs w:val="21"/>
          <w:highlight w:val="none"/>
          <w:lang w:val="en-US" w:eastAsia="zh-CN"/>
        </w:rPr>
        <w:t>4.投标人投标报价单价不得超过市直机关单位通用办公资产（办公家具）配置标准表中表二相对应的价格（按科级及以下报价），超过按无效标处理。未列明的投标人自行报价，市直机关单位通用办公资产（办公家具）配置标准表详见附件。</w:t>
      </w:r>
    </w:p>
    <w:bookmarkEnd w:id="19"/>
    <w:bookmarkEnd w:id="20"/>
    <w:p w14:paraId="3204EFEC">
      <w:pPr>
        <w:spacing w:line="360" w:lineRule="auto"/>
        <w:ind w:firstLine="437"/>
        <w:rPr>
          <w:rFonts w:hint="eastAsia" w:ascii="仿宋" w:hAnsi="仿宋" w:eastAsia="仿宋" w:cs="仿宋"/>
          <w:bCs/>
          <w:color w:val="auto"/>
          <w:sz w:val="24"/>
          <w:szCs w:val="18"/>
          <w:highlight w:val="none"/>
        </w:rPr>
      </w:pPr>
      <w:r>
        <w:rPr>
          <w:rFonts w:hint="eastAsia" w:ascii="仿宋" w:hAnsi="仿宋" w:eastAsia="仿宋" w:cs="仿宋"/>
          <w:bCs/>
          <w:color w:val="auto"/>
          <w:sz w:val="24"/>
          <w:szCs w:val="18"/>
          <w:highlight w:val="none"/>
        </w:rPr>
        <w:br w:type="page"/>
      </w:r>
    </w:p>
    <w:p w14:paraId="7D5B9D57">
      <w:pPr>
        <w:spacing w:line="360" w:lineRule="auto"/>
        <w:jc w:val="center"/>
        <w:outlineLvl w:val="0"/>
        <w:rPr>
          <w:rFonts w:hint="eastAsia" w:ascii="仿宋" w:hAnsi="仿宋" w:eastAsia="仿宋" w:cs="仿宋"/>
          <w:b/>
          <w:color w:val="auto"/>
          <w:sz w:val="28"/>
          <w:highlight w:val="none"/>
        </w:rPr>
      </w:pPr>
      <w:bookmarkStart w:id="21" w:name="_Toc16417"/>
      <w:r>
        <w:rPr>
          <w:rFonts w:hint="eastAsia" w:ascii="仿宋" w:hAnsi="仿宋" w:eastAsia="仿宋" w:cs="仿宋"/>
          <w:b/>
          <w:color w:val="auto"/>
          <w:sz w:val="28"/>
          <w:highlight w:val="none"/>
        </w:rPr>
        <w:t>第四章  评标方法和标准（综合评分法）</w:t>
      </w:r>
      <w:bookmarkEnd w:id="21"/>
    </w:p>
    <w:p w14:paraId="426D093A">
      <w:pPr>
        <w:spacing w:line="360" w:lineRule="auto"/>
        <w:ind w:firstLine="437"/>
        <w:outlineLvl w:val="1"/>
        <w:rPr>
          <w:rFonts w:hint="eastAsia" w:ascii="仿宋" w:hAnsi="仿宋" w:eastAsia="仿宋" w:cs="仿宋"/>
          <w:b/>
          <w:color w:val="auto"/>
          <w:sz w:val="24"/>
          <w:highlight w:val="none"/>
        </w:rPr>
      </w:pPr>
      <w:bookmarkStart w:id="22" w:name="_Toc11823"/>
      <w:bookmarkStart w:id="23" w:name="_Toc1246"/>
      <w:r>
        <w:rPr>
          <w:rFonts w:hint="eastAsia" w:ascii="仿宋" w:hAnsi="仿宋" w:eastAsia="仿宋" w:cs="仿宋"/>
          <w:b/>
          <w:color w:val="auto"/>
          <w:sz w:val="24"/>
          <w:highlight w:val="none"/>
        </w:rPr>
        <w:t>一、总则</w:t>
      </w:r>
      <w:bookmarkEnd w:id="22"/>
      <w:bookmarkEnd w:id="23"/>
    </w:p>
    <w:p w14:paraId="4F49ECC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本项目将按照招标文件第二章 投标人须知的相关要求及本章的规定评标。</w:t>
      </w:r>
    </w:p>
    <w:p w14:paraId="0436C6E0">
      <w:pPr>
        <w:spacing w:line="360" w:lineRule="auto"/>
        <w:ind w:firstLine="437"/>
        <w:outlineLvl w:val="1"/>
        <w:rPr>
          <w:rFonts w:hint="eastAsia" w:ascii="仿宋" w:hAnsi="仿宋" w:eastAsia="仿宋" w:cs="仿宋"/>
          <w:b/>
          <w:color w:val="auto"/>
          <w:sz w:val="24"/>
          <w:highlight w:val="none"/>
        </w:rPr>
      </w:pPr>
      <w:bookmarkStart w:id="24" w:name="_Toc13117"/>
      <w:bookmarkStart w:id="25" w:name="_Toc31871"/>
      <w:r>
        <w:rPr>
          <w:rFonts w:hint="eastAsia" w:ascii="仿宋" w:hAnsi="仿宋" w:eastAsia="仿宋" w:cs="仿宋"/>
          <w:b/>
          <w:color w:val="auto"/>
          <w:sz w:val="24"/>
          <w:highlight w:val="none"/>
        </w:rPr>
        <w:t>二、评标方法</w:t>
      </w:r>
      <w:bookmarkEnd w:id="24"/>
      <w:bookmarkEnd w:id="25"/>
    </w:p>
    <w:p w14:paraId="56C8753B">
      <w:pPr>
        <w:spacing w:line="360" w:lineRule="auto"/>
        <w:ind w:firstLine="437"/>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2.1资格审查</w:t>
      </w:r>
    </w:p>
    <w:tbl>
      <w:tblPr>
        <w:tblStyle w:val="29"/>
        <w:tblW w:w="53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648"/>
        <w:gridCol w:w="4558"/>
        <w:gridCol w:w="2218"/>
      </w:tblGrid>
      <w:tr w14:paraId="70B1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94388D3">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b/>
                <w:color w:val="auto"/>
                <w:sz w:val="24"/>
                <w:szCs w:val="22"/>
                <w:highlight w:val="none"/>
              </w:rPr>
              <w:t>资格审查表</w:t>
            </w:r>
          </w:p>
        </w:tc>
      </w:tr>
      <w:tr w14:paraId="65A8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4C1E84C3">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907" w:type="pct"/>
            <w:tcBorders>
              <w:bottom w:val="single" w:color="auto" w:sz="4" w:space="0"/>
            </w:tcBorders>
            <w:vAlign w:val="center"/>
          </w:tcPr>
          <w:p w14:paraId="20318461">
            <w:pPr>
              <w:pStyle w:val="48"/>
              <w:pBdr>
                <w:bottom w:val="none" w:color="auto" w:sz="0" w:space="0"/>
              </w:pBdr>
              <w:tabs>
                <w:tab w:val="clear" w:pos="4153"/>
                <w:tab w:val="clear" w:pos="8306"/>
              </w:tabs>
              <w:snapToGrid w:val="0"/>
              <w:spacing w:line="360" w:lineRule="auto"/>
              <w:ind w:right="-10"/>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审查因素</w:t>
            </w:r>
          </w:p>
        </w:tc>
        <w:tc>
          <w:tcPr>
            <w:tcW w:w="2509" w:type="pct"/>
            <w:tcBorders>
              <w:bottom w:val="single" w:color="auto" w:sz="4" w:space="0"/>
            </w:tcBorders>
            <w:vAlign w:val="center"/>
          </w:tcPr>
          <w:p w14:paraId="2AC86186">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c>
          <w:tcPr>
            <w:tcW w:w="1219" w:type="pct"/>
            <w:tcBorders>
              <w:bottom w:val="single" w:color="auto" w:sz="4" w:space="0"/>
            </w:tcBorders>
            <w:vAlign w:val="center"/>
          </w:tcPr>
          <w:p w14:paraId="2D650A90">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格式要求</w:t>
            </w:r>
          </w:p>
        </w:tc>
      </w:tr>
      <w:tr w14:paraId="2DA7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3" w:type="pct"/>
            <w:tcBorders>
              <w:bottom w:val="single" w:color="auto" w:sz="4" w:space="0"/>
            </w:tcBorders>
            <w:vAlign w:val="center"/>
          </w:tcPr>
          <w:p w14:paraId="19942BB4">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07" w:type="pct"/>
            <w:tcBorders>
              <w:bottom w:val="single" w:color="auto" w:sz="4" w:space="0"/>
            </w:tcBorders>
            <w:vAlign w:val="center"/>
          </w:tcPr>
          <w:p w14:paraId="77FACC97">
            <w:pPr>
              <w:spacing w:after="50" w:line="360" w:lineRule="auto"/>
              <w:ind w:right="-10"/>
              <w:jc w:val="center"/>
              <w:rPr>
                <w:rFonts w:hint="eastAsia" w:ascii="仿宋" w:hAnsi="仿宋" w:eastAsia="仿宋" w:cs="仿宋"/>
                <w:color w:val="auto"/>
                <w:sz w:val="24"/>
                <w:szCs w:val="28"/>
                <w:highlight w:val="none"/>
              </w:rPr>
            </w:pPr>
            <w:r>
              <w:rPr>
                <w:rFonts w:hint="eastAsia" w:ascii="仿宋" w:hAnsi="仿宋" w:eastAsia="仿宋" w:cs="仿宋"/>
                <w:color w:val="auto"/>
                <w:spacing w:val="9"/>
                <w:sz w:val="24"/>
                <w:szCs w:val="24"/>
                <w:highlight w:val="none"/>
              </w:rPr>
              <w:t>营业执照等证明</w:t>
            </w:r>
            <w:r>
              <w:rPr>
                <w:rFonts w:hint="eastAsia" w:ascii="仿宋" w:hAnsi="仿宋" w:eastAsia="仿宋" w:cs="仿宋"/>
                <w:color w:val="auto"/>
                <w:spacing w:val="-3"/>
                <w:sz w:val="24"/>
                <w:szCs w:val="24"/>
                <w:highlight w:val="none"/>
              </w:rPr>
              <w:t>文件</w:t>
            </w:r>
          </w:p>
        </w:tc>
        <w:tc>
          <w:tcPr>
            <w:tcW w:w="2509" w:type="pct"/>
            <w:tcBorders>
              <w:bottom w:val="single" w:color="auto" w:sz="4" w:space="0"/>
            </w:tcBorders>
            <w:vAlign w:val="center"/>
          </w:tcPr>
          <w:p w14:paraId="517B8764">
            <w:pPr>
              <w:spacing w:after="50" w:line="360" w:lineRule="auto"/>
              <w:ind w:right="-1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（1）投标人为企业（包括合伙企业）的，应提供有效的营业执照；</w:t>
            </w:r>
          </w:p>
          <w:p w14:paraId="75CF0F95">
            <w:pPr>
              <w:spacing w:after="50" w:line="360" w:lineRule="auto"/>
              <w:ind w:right="-1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（2）投标人为事业单位的，应提供有效的事业单位法人证书；</w:t>
            </w:r>
          </w:p>
          <w:p w14:paraId="409B72E6">
            <w:pPr>
              <w:spacing w:after="50" w:line="360" w:lineRule="auto"/>
              <w:ind w:right="-1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（3）投标人是非企业机构的，应提供有效的执业许可证或登记证书等证明文件；</w:t>
            </w:r>
          </w:p>
          <w:p w14:paraId="636B81DA">
            <w:pPr>
              <w:spacing w:after="50" w:line="360" w:lineRule="auto"/>
              <w:ind w:right="-1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（4）投标人是个体工商户的，应提供有效的个体工商户营业执照；</w:t>
            </w:r>
          </w:p>
          <w:p w14:paraId="3F3D605E">
            <w:pPr>
              <w:spacing w:after="50" w:line="360" w:lineRule="auto"/>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4"/>
                <w:highlight w:val="none"/>
              </w:rPr>
              <w:t>（5）投标人是自然人的，应提供有效的自然人身份证明。</w:t>
            </w:r>
          </w:p>
        </w:tc>
        <w:tc>
          <w:tcPr>
            <w:tcW w:w="1219" w:type="pct"/>
            <w:vAlign w:val="center"/>
          </w:tcPr>
          <w:p w14:paraId="6AFD50E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提供材料扫描件或电子证照，应完整的体现出材料或电子证照全部内容。联合体投标的联合体各方均须提供。</w:t>
            </w:r>
          </w:p>
        </w:tc>
      </w:tr>
      <w:tr w14:paraId="3982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3" w:type="pct"/>
            <w:tcBorders>
              <w:bottom w:val="single" w:color="auto" w:sz="4" w:space="0"/>
            </w:tcBorders>
            <w:vAlign w:val="center"/>
          </w:tcPr>
          <w:p w14:paraId="7806A777">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907" w:type="pct"/>
            <w:tcBorders>
              <w:bottom w:val="single" w:color="auto" w:sz="4" w:space="0"/>
            </w:tcBorders>
            <w:vAlign w:val="center"/>
          </w:tcPr>
          <w:p w14:paraId="72A34784">
            <w:pPr>
              <w:spacing w:after="50" w:line="360" w:lineRule="auto"/>
              <w:ind w:right="-10"/>
              <w:jc w:val="center"/>
              <w:rPr>
                <w:rFonts w:hint="eastAsia" w:ascii="仿宋" w:hAnsi="仿宋" w:eastAsia="仿宋" w:cs="仿宋"/>
                <w:color w:val="auto"/>
                <w:sz w:val="24"/>
                <w:szCs w:val="28"/>
                <w:highlight w:val="none"/>
              </w:rPr>
            </w:pPr>
            <w:r>
              <w:rPr>
                <w:rFonts w:hint="eastAsia" w:ascii="仿宋" w:hAnsi="仿宋" w:eastAsia="仿宋" w:cs="仿宋"/>
                <w:color w:val="auto"/>
                <w:sz w:val="24"/>
                <w:szCs w:val="18"/>
                <w:highlight w:val="none"/>
              </w:rPr>
              <w:t>投标人资格声明书</w:t>
            </w:r>
          </w:p>
        </w:tc>
        <w:tc>
          <w:tcPr>
            <w:tcW w:w="2509" w:type="pct"/>
            <w:tcBorders>
              <w:bottom w:val="single" w:color="auto" w:sz="4" w:space="0"/>
            </w:tcBorders>
            <w:vAlign w:val="center"/>
          </w:tcPr>
          <w:p w14:paraId="3036503B">
            <w:pPr>
              <w:spacing w:after="50" w:line="360" w:lineRule="auto"/>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4"/>
                <w:highlight w:val="none"/>
              </w:rPr>
              <w:t>提供符合招标文件要求的《投标人资格声明书》。</w:t>
            </w:r>
          </w:p>
        </w:tc>
        <w:tc>
          <w:tcPr>
            <w:tcW w:w="1219" w:type="pct"/>
            <w:vAlign w:val="center"/>
          </w:tcPr>
          <w:p w14:paraId="200373BC">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详见第六章投标文件格式。</w:t>
            </w:r>
          </w:p>
        </w:tc>
      </w:tr>
      <w:tr w14:paraId="3AAF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5B37F149">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907" w:type="pct"/>
            <w:tcBorders>
              <w:bottom w:val="single" w:color="auto" w:sz="4" w:space="0"/>
            </w:tcBorders>
            <w:vAlign w:val="center"/>
          </w:tcPr>
          <w:p w14:paraId="721DF419">
            <w:pPr>
              <w:spacing w:after="50" w:line="360" w:lineRule="auto"/>
              <w:ind w:right="-10"/>
              <w:jc w:val="center"/>
              <w:rPr>
                <w:rFonts w:hint="eastAsia" w:ascii="仿宋" w:hAnsi="仿宋" w:eastAsia="仿宋" w:cs="仿宋"/>
                <w:color w:val="auto"/>
                <w:sz w:val="24"/>
                <w:szCs w:val="28"/>
                <w:highlight w:val="none"/>
              </w:rPr>
            </w:pPr>
            <w:r>
              <w:rPr>
                <w:rFonts w:hint="eastAsia" w:ascii="仿宋" w:hAnsi="仿宋" w:eastAsia="仿宋" w:cs="仿宋"/>
                <w:color w:val="auto"/>
                <w:sz w:val="24"/>
                <w:szCs w:val="24"/>
                <w:highlight w:val="none"/>
              </w:rPr>
              <w:t>投标人信用记录</w:t>
            </w:r>
          </w:p>
        </w:tc>
        <w:tc>
          <w:tcPr>
            <w:tcW w:w="2509" w:type="pct"/>
            <w:tcBorders>
              <w:bottom w:val="single" w:color="auto" w:sz="4" w:space="0"/>
            </w:tcBorders>
            <w:vAlign w:val="center"/>
          </w:tcPr>
          <w:p w14:paraId="0200B4AD">
            <w:pPr>
              <w:spacing w:after="50" w:line="360" w:lineRule="auto"/>
              <w:ind w:right="-10"/>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lang w:val="zh-CN"/>
              </w:rPr>
              <w:t>投标人不得存在投标人须知正文第1</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条中</w:t>
            </w:r>
            <w:r>
              <w:rPr>
                <w:rFonts w:hint="eastAsia" w:ascii="仿宋" w:hAnsi="仿宋" w:eastAsia="仿宋" w:cs="仿宋"/>
                <w:color w:val="auto"/>
                <w:sz w:val="24"/>
                <w:szCs w:val="28"/>
                <w:highlight w:val="none"/>
              </w:rPr>
              <w:t>的</w:t>
            </w:r>
            <w:r>
              <w:rPr>
                <w:rFonts w:hint="eastAsia" w:ascii="仿宋" w:hAnsi="仿宋" w:eastAsia="仿宋" w:cs="仿宋"/>
                <w:color w:val="auto"/>
                <w:sz w:val="24"/>
                <w:szCs w:val="18"/>
                <w:highlight w:val="none"/>
              </w:rPr>
              <w:t>不良信用记录情形</w:t>
            </w:r>
          </w:p>
        </w:tc>
        <w:tc>
          <w:tcPr>
            <w:tcW w:w="1219" w:type="pct"/>
            <w:tcBorders>
              <w:bottom w:val="single" w:color="auto" w:sz="4" w:space="0"/>
            </w:tcBorders>
            <w:vAlign w:val="center"/>
          </w:tcPr>
          <w:p w14:paraId="39A8E4B1">
            <w:pPr>
              <w:spacing w:line="360" w:lineRule="auto"/>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无须投标人提供，由采购人或采购代理机构查询。</w:t>
            </w:r>
          </w:p>
        </w:tc>
      </w:tr>
      <w:tr w14:paraId="4782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7869478E">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907" w:type="pct"/>
            <w:tcBorders>
              <w:bottom w:val="single" w:color="auto" w:sz="4" w:space="0"/>
            </w:tcBorders>
            <w:vAlign w:val="center"/>
          </w:tcPr>
          <w:p w14:paraId="424BFBF7">
            <w:pPr>
              <w:spacing w:after="50" w:line="360" w:lineRule="auto"/>
              <w:ind w:righ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中小企业证明文件</w:t>
            </w:r>
          </w:p>
        </w:tc>
        <w:tc>
          <w:tcPr>
            <w:tcW w:w="2509" w:type="pct"/>
            <w:tcBorders>
              <w:bottom w:val="single" w:color="auto" w:sz="4" w:space="0"/>
            </w:tcBorders>
          </w:tcPr>
          <w:p w14:paraId="634932A1">
            <w:pPr>
              <w:spacing w:after="50" w:line="360" w:lineRule="auto"/>
              <w:ind w:right="-1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8"/>
                <w:highlight w:val="none"/>
              </w:rPr>
              <w:t>符合申请人的资格要求中落实政府采购政策需满足的资格要求：</w:t>
            </w:r>
          </w:p>
          <w:p w14:paraId="1024F2F8">
            <w:pPr>
              <w:spacing w:after="50" w:line="360" w:lineRule="auto"/>
              <w:ind w:right="-1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（1）专门面向中小企业采购的，</w:t>
            </w:r>
            <w:r>
              <w:rPr>
                <w:rFonts w:hint="eastAsia" w:ascii="仿宋" w:hAnsi="仿宋" w:eastAsia="仿宋" w:cs="仿宋"/>
                <w:color w:val="auto"/>
                <w:sz w:val="24"/>
                <w:szCs w:val="24"/>
                <w:highlight w:val="none"/>
                <w:lang w:val="zh-CN"/>
              </w:rPr>
              <w:t>投标人</w:t>
            </w:r>
            <w:r>
              <w:rPr>
                <w:rFonts w:hint="eastAsia" w:ascii="仿宋" w:hAnsi="仿宋" w:eastAsia="仿宋" w:cs="仿宋"/>
                <w:color w:val="auto"/>
                <w:sz w:val="24"/>
                <w:szCs w:val="24"/>
                <w:highlight w:val="none"/>
              </w:rPr>
              <w:t>应提供《中小企业声明函》或《残疾人福利性单位声明函》或由省级以上监狱管理局、戒毒管理局（含新疆 生产建设兵团）出具的属于监狱企业的证明文件。</w:t>
            </w:r>
          </w:p>
          <w:p w14:paraId="0B396EE6">
            <w:pPr>
              <w:spacing w:after="50" w:line="360" w:lineRule="auto"/>
              <w:ind w:right="-1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219" w:type="pct"/>
            <w:tcBorders>
              <w:bottom w:val="single" w:color="auto" w:sz="4" w:space="0"/>
            </w:tcBorders>
            <w:vAlign w:val="center"/>
          </w:tcPr>
          <w:p w14:paraId="55ECD47F">
            <w:pPr>
              <w:spacing w:after="50" w:line="360" w:lineRule="auto"/>
              <w:ind w:right="-10"/>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详见第六章投标文件格式。</w:t>
            </w:r>
          </w:p>
        </w:tc>
      </w:tr>
      <w:tr w14:paraId="4C89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15F26EE8">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07" w:type="pct"/>
            <w:tcBorders>
              <w:bottom w:val="single" w:color="auto" w:sz="4" w:space="0"/>
            </w:tcBorders>
            <w:vAlign w:val="center"/>
          </w:tcPr>
          <w:p w14:paraId="27BC488E">
            <w:pPr>
              <w:spacing w:after="50" w:line="360" w:lineRule="auto"/>
              <w:ind w:right="-1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其它落实政府采</w:t>
            </w:r>
            <w:r>
              <w:rPr>
                <w:rFonts w:hint="eastAsia" w:ascii="仿宋" w:hAnsi="仿宋" w:eastAsia="仿宋" w:cs="仿宋"/>
                <w:color w:val="auto"/>
                <w:spacing w:val="11"/>
                <w:sz w:val="24"/>
                <w:szCs w:val="24"/>
                <w:highlight w:val="none"/>
              </w:rPr>
              <w:t>购政策的资格要</w:t>
            </w:r>
            <w:r>
              <w:rPr>
                <w:rFonts w:hint="eastAsia" w:ascii="仿宋" w:hAnsi="仿宋" w:eastAsia="仿宋" w:cs="仿宋"/>
                <w:color w:val="auto"/>
                <w:sz w:val="24"/>
                <w:szCs w:val="24"/>
                <w:highlight w:val="none"/>
              </w:rPr>
              <w:t>求</w:t>
            </w:r>
          </w:p>
        </w:tc>
        <w:tc>
          <w:tcPr>
            <w:tcW w:w="2509" w:type="pct"/>
            <w:tcBorders>
              <w:bottom w:val="single" w:color="auto" w:sz="4" w:space="0"/>
            </w:tcBorders>
            <w:vAlign w:val="center"/>
          </w:tcPr>
          <w:p w14:paraId="51A1E180">
            <w:pPr>
              <w:spacing w:after="50" w:line="360" w:lineRule="auto"/>
              <w:ind w:right="-1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如有，见第一章《投标邀请》</w:t>
            </w:r>
          </w:p>
        </w:tc>
        <w:tc>
          <w:tcPr>
            <w:tcW w:w="1219" w:type="pct"/>
            <w:tcBorders>
              <w:bottom w:val="single" w:color="auto" w:sz="4" w:space="0"/>
            </w:tcBorders>
            <w:vAlign w:val="center"/>
          </w:tcPr>
          <w:p w14:paraId="746A861A">
            <w:pPr>
              <w:spacing w:after="50" w:line="360" w:lineRule="auto"/>
              <w:ind w:right="-1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提供材料扫描件或电子证照，应完整的体现出材料或电子证照全部内容。</w:t>
            </w:r>
          </w:p>
        </w:tc>
      </w:tr>
      <w:tr w14:paraId="37E4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1C1D73BC">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907" w:type="pct"/>
            <w:vAlign w:val="center"/>
          </w:tcPr>
          <w:p w14:paraId="178C959C">
            <w:pPr>
              <w:spacing w:after="50" w:line="360" w:lineRule="auto"/>
              <w:ind w:right="-1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本项目的特定资格要求</w:t>
            </w:r>
          </w:p>
        </w:tc>
        <w:tc>
          <w:tcPr>
            <w:tcW w:w="2509" w:type="pct"/>
            <w:vAlign w:val="center"/>
          </w:tcPr>
          <w:p w14:paraId="7F76DEC1">
            <w:pPr>
              <w:spacing w:after="50" w:line="360" w:lineRule="auto"/>
              <w:ind w:right="-1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如有，见第一章《投标邀请》</w:t>
            </w:r>
          </w:p>
        </w:tc>
        <w:tc>
          <w:tcPr>
            <w:tcW w:w="1219" w:type="pct"/>
            <w:vAlign w:val="center"/>
          </w:tcPr>
          <w:p w14:paraId="61C5EBD8">
            <w:pPr>
              <w:spacing w:after="50" w:line="360" w:lineRule="auto"/>
              <w:ind w:right="-10"/>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4"/>
                <w:highlight w:val="none"/>
              </w:rPr>
              <w:t>提供材料扫描件或电子证照，应完整的体现出材料或电子证照全部内容。</w:t>
            </w:r>
          </w:p>
        </w:tc>
      </w:tr>
      <w:tr w14:paraId="0943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3153F21C">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907" w:type="pct"/>
            <w:shd w:val="clear" w:color="auto" w:fill="auto"/>
            <w:vAlign w:val="center"/>
          </w:tcPr>
          <w:p w14:paraId="5E3582A4">
            <w:pPr>
              <w:wordWrap w:val="0"/>
              <w:spacing w:after="50" w:line="360" w:lineRule="auto"/>
              <w:ind w:right="-10"/>
              <w:jc w:val="center"/>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4"/>
                <w:highlight w:val="none"/>
              </w:rPr>
              <w:t>诚信投标承诺书</w:t>
            </w:r>
          </w:p>
        </w:tc>
        <w:tc>
          <w:tcPr>
            <w:tcW w:w="2509" w:type="pct"/>
            <w:shd w:val="clear" w:color="auto" w:fill="auto"/>
            <w:vAlign w:val="center"/>
          </w:tcPr>
          <w:p w14:paraId="50FA9579">
            <w:pPr>
              <w:wordWrap w:val="0"/>
              <w:spacing w:after="50" w:line="360" w:lineRule="auto"/>
              <w:ind w:right="-10"/>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4"/>
                <w:highlight w:val="none"/>
              </w:rPr>
              <w:t>格式、填写要求符合招标文件规定并加盖投标人电子签章</w:t>
            </w:r>
          </w:p>
        </w:tc>
        <w:tc>
          <w:tcPr>
            <w:tcW w:w="1219" w:type="pct"/>
            <w:shd w:val="clear" w:color="auto" w:fill="auto"/>
            <w:vAlign w:val="center"/>
          </w:tcPr>
          <w:p w14:paraId="5050DDAF">
            <w:pPr>
              <w:wordWrap w:val="0"/>
              <w:spacing w:after="50" w:line="360" w:lineRule="auto"/>
              <w:ind w:right="-1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详见第六章投标文件格式。</w:t>
            </w:r>
          </w:p>
        </w:tc>
      </w:tr>
      <w:tr w14:paraId="3290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654AC623">
            <w:pPr>
              <w:adjustRightInd w:val="0"/>
              <w:snapToGrid w:val="0"/>
              <w:spacing w:line="360" w:lineRule="auto"/>
              <w:ind w:right="-1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907" w:type="pct"/>
            <w:shd w:val="clear" w:color="auto" w:fill="auto"/>
            <w:vAlign w:val="center"/>
          </w:tcPr>
          <w:p w14:paraId="616A9902">
            <w:pPr>
              <w:wordWrap w:val="0"/>
              <w:spacing w:after="50" w:line="360" w:lineRule="auto"/>
              <w:ind w:right="-1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服务承诺书</w:t>
            </w:r>
          </w:p>
        </w:tc>
        <w:tc>
          <w:tcPr>
            <w:tcW w:w="4558" w:type="dxa"/>
            <w:shd w:val="clear" w:color="auto" w:fill="auto"/>
            <w:vAlign w:val="center"/>
          </w:tcPr>
          <w:p w14:paraId="7B6166AE">
            <w:pPr>
              <w:wordWrap w:val="0"/>
              <w:spacing w:after="50" w:line="360" w:lineRule="auto"/>
              <w:ind w:right="-1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格式、填写要求符合招标文件规定并加盖投标人电子签章</w:t>
            </w:r>
          </w:p>
        </w:tc>
        <w:tc>
          <w:tcPr>
            <w:tcW w:w="2218" w:type="dxa"/>
            <w:shd w:val="clear" w:color="auto" w:fill="auto"/>
            <w:vAlign w:val="center"/>
          </w:tcPr>
          <w:p w14:paraId="33048C88">
            <w:pPr>
              <w:wordWrap w:val="0"/>
              <w:spacing w:after="50" w:line="360" w:lineRule="auto"/>
              <w:ind w:right="-1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详见第六章投标文件格式。</w:t>
            </w:r>
          </w:p>
        </w:tc>
      </w:tr>
    </w:tbl>
    <w:p w14:paraId="37FC6C18">
      <w:pPr>
        <w:spacing w:line="360" w:lineRule="auto"/>
        <w:ind w:firstLine="435"/>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资格审查指标通过标准：</w:t>
      </w:r>
      <w:r>
        <w:rPr>
          <w:rFonts w:hint="eastAsia" w:ascii="仿宋" w:hAnsi="仿宋" w:eastAsia="仿宋" w:cs="仿宋"/>
          <w:color w:val="auto"/>
          <w:sz w:val="24"/>
          <w:highlight w:val="none"/>
        </w:rPr>
        <w:t>投标人必须通过资格审查表中的全部评审指标。</w:t>
      </w:r>
    </w:p>
    <w:p w14:paraId="2D0228F3">
      <w:pPr>
        <w:spacing w:line="360" w:lineRule="auto"/>
        <w:ind w:firstLine="437"/>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2.2符合性审查</w:t>
      </w:r>
    </w:p>
    <w:p w14:paraId="25842B5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评标委员会对通过资格审查的投标人的投标文件进行符合性审查，以确定其是否满足招标文件的实质性要求。符合性审查表如下：</w:t>
      </w:r>
    </w:p>
    <w:tbl>
      <w:tblPr>
        <w:tblStyle w:val="29"/>
        <w:tblW w:w="57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755"/>
        <w:gridCol w:w="4065"/>
        <w:gridCol w:w="3292"/>
      </w:tblGrid>
      <w:tr w14:paraId="4F1A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00" w:type="pct"/>
            <w:gridSpan w:val="4"/>
            <w:tcBorders>
              <w:bottom w:val="single" w:color="auto" w:sz="4" w:space="0"/>
            </w:tcBorders>
            <w:vAlign w:val="center"/>
          </w:tcPr>
          <w:p w14:paraId="22A678DB">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符合性审查表</w:t>
            </w:r>
          </w:p>
        </w:tc>
      </w:tr>
      <w:tr w14:paraId="232E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89" w:type="pct"/>
            <w:tcBorders>
              <w:bottom w:val="single" w:color="auto" w:sz="4" w:space="0"/>
            </w:tcBorders>
            <w:vAlign w:val="center"/>
          </w:tcPr>
          <w:p w14:paraId="7D869127">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88" w:type="pct"/>
            <w:tcBorders>
              <w:bottom w:val="single" w:color="auto" w:sz="4" w:space="0"/>
            </w:tcBorders>
            <w:vAlign w:val="center"/>
          </w:tcPr>
          <w:p w14:paraId="58BD479C">
            <w:pPr>
              <w:pStyle w:val="48"/>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1"/>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审查指标</w:t>
            </w:r>
          </w:p>
        </w:tc>
        <w:tc>
          <w:tcPr>
            <w:tcW w:w="2057" w:type="pct"/>
            <w:tcBorders>
              <w:bottom w:val="single" w:color="auto" w:sz="4" w:space="0"/>
            </w:tcBorders>
            <w:vAlign w:val="center"/>
          </w:tcPr>
          <w:p w14:paraId="41C5C0F4">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审查标准</w:t>
            </w:r>
          </w:p>
        </w:tc>
        <w:tc>
          <w:tcPr>
            <w:tcW w:w="1664" w:type="pct"/>
            <w:tcBorders>
              <w:bottom w:val="single" w:color="auto" w:sz="4" w:space="0"/>
            </w:tcBorders>
            <w:vAlign w:val="center"/>
          </w:tcPr>
          <w:p w14:paraId="37B0FD8E">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格式要求</w:t>
            </w:r>
          </w:p>
        </w:tc>
      </w:tr>
      <w:tr w14:paraId="2067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16C135B6">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88" w:type="pct"/>
            <w:vAlign w:val="center"/>
          </w:tcPr>
          <w:p w14:paraId="233F5101">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highlight w:val="none"/>
              </w:rPr>
              <w:t>开标一览表</w:t>
            </w:r>
          </w:p>
        </w:tc>
        <w:tc>
          <w:tcPr>
            <w:tcW w:w="2057" w:type="pct"/>
            <w:vAlign w:val="center"/>
          </w:tcPr>
          <w:p w14:paraId="5C316CAB">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格式、填写要求符合招标文件规定并加盖投标人电子签章</w:t>
            </w:r>
          </w:p>
        </w:tc>
        <w:tc>
          <w:tcPr>
            <w:tcW w:w="1664" w:type="pct"/>
            <w:vAlign w:val="center"/>
          </w:tcPr>
          <w:p w14:paraId="2BC556E0">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详见第六章投标文件格式。</w:t>
            </w:r>
          </w:p>
        </w:tc>
      </w:tr>
      <w:tr w14:paraId="2EA7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21C628A7">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88" w:type="pct"/>
            <w:vAlign w:val="center"/>
          </w:tcPr>
          <w:p w14:paraId="485C0896">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投标函</w:t>
            </w:r>
          </w:p>
        </w:tc>
        <w:tc>
          <w:tcPr>
            <w:tcW w:w="2057" w:type="pct"/>
            <w:vAlign w:val="center"/>
          </w:tcPr>
          <w:p w14:paraId="2F591B08">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格式、填写要求符合招标文件规定并加盖投标人电子签章</w:t>
            </w:r>
          </w:p>
        </w:tc>
        <w:tc>
          <w:tcPr>
            <w:tcW w:w="1664" w:type="pct"/>
            <w:vAlign w:val="center"/>
          </w:tcPr>
          <w:p w14:paraId="68C67FDD">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详见第六章投标文件格式。</w:t>
            </w:r>
          </w:p>
        </w:tc>
      </w:tr>
      <w:tr w14:paraId="5DBF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46A4C169">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88" w:type="pct"/>
            <w:vAlign w:val="center"/>
          </w:tcPr>
          <w:p w14:paraId="5BB83809">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授权书</w:t>
            </w:r>
          </w:p>
        </w:tc>
        <w:tc>
          <w:tcPr>
            <w:tcW w:w="2057" w:type="pct"/>
            <w:vAlign w:val="center"/>
          </w:tcPr>
          <w:p w14:paraId="2AB54FE9">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格式、填写要求符合招标文件规定并加盖投标人电子签章</w:t>
            </w:r>
          </w:p>
        </w:tc>
        <w:tc>
          <w:tcPr>
            <w:tcW w:w="1664" w:type="pct"/>
            <w:vAlign w:val="center"/>
          </w:tcPr>
          <w:p w14:paraId="3095C279">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法定代表人参加投标的无需此件，提供身份证明即可。详见第六章投标文件格式。</w:t>
            </w:r>
          </w:p>
        </w:tc>
      </w:tr>
      <w:tr w14:paraId="7B94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624AE1DC">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88" w:type="pct"/>
            <w:vAlign w:val="center"/>
          </w:tcPr>
          <w:p w14:paraId="324951D0">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投标报价</w:t>
            </w:r>
          </w:p>
        </w:tc>
        <w:tc>
          <w:tcPr>
            <w:tcW w:w="2057" w:type="pct"/>
            <w:vAlign w:val="center"/>
          </w:tcPr>
          <w:p w14:paraId="7E123164">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符合</w:t>
            </w:r>
            <w:r>
              <w:rPr>
                <w:rFonts w:hint="eastAsia" w:ascii="仿宋" w:hAnsi="仿宋" w:eastAsia="仿宋" w:cs="仿宋"/>
                <w:color w:val="auto"/>
                <w:sz w:val="24"/>
                <w:highlight w:val="none"/>
              </w:rPr>
              <w:t>招标文件投标人须知正文第9条要求</w:t>
            </w:r>
          </w:p>
        </w:tc>
        <w:tc>
          <w:tcPr>
            <w:tcW w:w="1664" w:type="pct"/>
            <w:vAlign w:val="center"/>
          </w:tcPr>
          <w:p w14:paraId="45825FDF">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详见第六章投标文件格式。</w:t>
            </w:r>
          </w:p>
        </w:tc>
      </w:tr>
      <w:tr w14:paraId="1CC7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47709FDF">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88" w:type="pct"/>
            <w:vAlign w:val="center"/>
          </w:tcPr>
          <w:p w14:paraId="54E78307">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商务响应情况</w:t>
            </w:r>
          </w:p>
        </w:tc>
        <w:tc>
          <w:tcPr>
            <w:tcW w:w="2057" w:type="pct"/>
            <w:vAlign w:val="center"/>
          </w:tcPr>
          <w:p w14:paraId="54E357D0">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符合招标文件采购需求中对付款方式、供货及安装期限、供货及安装地点、免费质保期等实质性要求</w:t>
            </w:r>
          </w:p>
        </w:tc>
        <w:tc>
          <w:tcPr>
            <w:tcW w:w="1664" w:type="pct"/>
            <w:vAlign w:val="center"/>
          </w:tcPr>
          <w:p w14:paraId="26B2EF1B">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详见第六章投标文件格式。</w:t>
            </w:r>
          </w:p>
        </w:tc>
      </w:tr>
      <w:tr w14:paraId="7D6F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69DB103D">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88" w:type="pct"/>
            <w:vAlign w:val="center"/>
          </w:tcPr>
          <w:p w14:paraId="610CBF0D">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技术响应情况</w:t>
            </w:r>
          </w:p>
        </w:tc>
        <w:tc>
          <w:tcPr>
            <w:tcW w:w="2057" w:type="pct"/>
            <w:vAlign w:val="center"/>
          </w:tcPr>
          <w:p w14:paraId="6F2FD506">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符合招标文件采购需求中货物技术参数等实质性要求</w:t>
            </w:r>
          </w:p>
        </w:tc>
        <w:tc>
          <w:tcPr>
            <w:tcW w:w="1664" w:type="pct"/>
            <w:vAlign w:val="center"/>
          </w:tcPr>
          <w:p w14:paraId="44B19534">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详见第六章投标文件格式。</w:t>
            </w:r>
          </w:p>
        </w:tc>
      </w:tr>
      <w:tr w14:paraId="147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58A5578E">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88" w:type="pct"/>
            <w:vAlign w:val="center"/>
          </w:tcPr>
          <w:p w14:paraId="045A268F">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其他要求</w:t>
            </w:r>
          </w:p>
        </w:tc>
        <w:tc>
          <w:tcPr>
            <w:tcW w:w="2057" w:type="pct"/>
            <w:vAlign w:val="center"/>
          </w:tcPr>
          <w:p w14:paraId="29744E7B">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符合法律、行政法规规定的其他条件或招标文件列明的其他实质性要求</w:t>
            </w:r>
          </w:p>
        </w:tc>
        <w:tc>
          <w:tcPr>
            <w:tcW w:w="1664" w:type="pct"/>
            <w:vAlign w:val="center"/>
          </w:tcPr>
          <w:p w14:paraId="6BC64EF7">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p>
        </w:tc>
      </w:tr>
    </w:tbl>
    <w:p w14:paraId="79B8E440">
      <w:pPr>
        <w:spacing w:line="360" w:lineRule="auto"/>
        <w:ind w:firstLine="435"/>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符合性审查指标通过标准：</w:t>
      </w:r>
      <w:r>
        <w:rPr>
          <w:rFonts w:hint="eastAsia" w:ascii="仿宋" w:hAnsi="仿宋" w:eastAsia="仿宋" w:cs="仿宋"/>
          <w:color w:val="auto"/>
          <w:sz w:val="24"/>
          <w:highlight w:val="none"/>
        </w:rPr>
        <w:t>投标人必须通过符合性审查表中的全部评审指标。</w:t>
      </w:r>
    </w:p>
    <w:p w14:paraId="08C6BA11">
      <w:pPr>
        <w:spacing w:line="360" w:lineRule="auto"/>
        <w:ind w:firstLine="435"/>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2.3异常低价投标审查</w:t>
      </w:r>
    </w:p>
    <w:tbl>
      <w:tblPr>
        <w:tblStyle w:val="29"/>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863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218BAE8D">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异常低价投标审查表</w:t>
            </w:r>
          </w:p>
        </w:tc>
      </w:tr>
      <w:tr w14:paraId="4AF9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6BED384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50" w:type="dxa"/>
            <w:tcBorders>
              <w:bottom w:val="single" w:color="auto" w:sz="4" w:space="0"/>
            </w:tcBorders>
            <w:vAlign w:val="center"/>
          </w:tcPr>
          <w:p w14:paraId="5333CC4D">
            <w:pPr>
              <w:spacing w:line="360" w:lineRule="auto"/>
              <w:ind w:firstLine="240" w:firstLineChars="100"/>
              <w:jc w:val="center"/>
              <w:rPr>
                <w:rFonts w:hint="eastAsia" w:ascii="仿宋" w:hAnsi="仿宋" w:eastAsia="仿宋" w:cs="仿宋"/>
                <w:color w:val="auto"/>
                <w:szCs w:val="24"/>
                <w:highlight w:val="none"/>
              </w:rPr>
            </w:pPr>
            <w:r>
              <w:rPr>
                <w:rFonts w:hint="eastAsia" w:ascii="仿宋" w:hAnsi="仿宋" w:eastAsia="仿宋" w:cs="仿宋"/>
                <w:color w:val="auto"/>
                <w:sz w:val="24"/>
                <w:highlight w:val="none"/>
              </w:rPr>
              <w:t>评审指标</w:t>
            </w:r>
          </w:p>
        </w:tc>
        <w:tc>
          <w:tcPr>
            <w:tcW w:w="4439" w:type="dxa"/>
            <w:tcBorders>
              <w:bottom w:val="single" w:color="auto" w:sz="4" w:space="0"/>
            </w:tcBorders>
            <w:vAlign w:val="center"/>
          </w:tcPr>
          <w:p w14:paraId="2547FD45">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评审标准</w:t>
            </w:r>
          </w:p>
        </w:tc>
        <w:tc>
          <w:tcPr>
            <w:tcW w:w="2260" w:type="dxa"/>
            <w:tcBorders>
              <w:bottom w:val="single" w:color="auto" w:sz="4" w:space="0"/>
            </w:tcBorders>
            <w:vAlign w:val="center"/>
          </w:tcPr>
          <w:p w14:paraId="5BFE0B1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格式及材料要求</w:t>
            </w:r>
          </w:p>
        </w:tc>
      </w:tr>
      <w:tr w14:paraId="209F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708B99A1">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450" w:type="dxa"/>
            <w:tcBorders>
              <w:bottom w:val="single" w:color="auto" w:sz="4" w:space="0"/>
            </w:tcBorders>
            <w:vAlign w:val="center"/>
          </w:tcPr>
          <w:p w14:paraId="1EC4C581">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highlight w:val="none"/>
              </w:rPr>
              <w:t>异常低价投标审查</w:t>
            </w:r>
          </w:p>
        </w:tc>
        <w:tc>
          <w:tcPr>
            <w:tcW w:w="4439" w:type="dxa"/>
            <w:tcBorders>
              <w:bottom w:val="single" w:color="auto" w:sz="4" w:space="0"/>
            </w:tcBorders>
            <w:vAlign w:val="center"/>
          </w:tcPr>
          <w:p w14:paraId="40C574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（1）投标报价＜全部通过符合性审查投标人投标报价平均值×50%；</w:t>
            </w:r>
          </w:p>
          <w:p w14:paraId="15A9A0B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（2）投标报价＜通过符合性审查的次低报价投标人投标报价×50%；</w:t>
            </w:r>
          </w:p>
          <w:p w14:paraId="65972F2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（3）投标报价＜采购项目最高限价（如采购项目未设定最高限价的，以采购项目预算金额作为最高限价）×</w:t>
            </w:r>
            <w:r>
              <w:rPr>
                <w:rFonts w:hint="eastAsia" w:ascii="仿宋" w:hAnsi="仿宋" w:eastAsia="仿宋" w:cs="仿宋"/>
                <w:color w:val="auto"/>
                <w:sz w:val="24"/>
                <w:highlight w:val="none"/>
                <w:lang w:val="en-US" w:eastAsia="zh-CN"/>
              </w:rPr>
              <w:t>65</w:t>
            </w:r>
            <w:r>
              <w:rPr>
                <w:rFonts w:hint="eastAsia" w:ascii="仿宋" w:hAnsi="仿宋" w:eastAsia="仿宋" w:cs="仿宋"/>
                <w:color w:val="auto"/>
                <w:sz w:val="24"/>
                <w:highlight w:val="none"/>
              </w:rPr>
              <w:t>%；</w:t>
            </w:r>
          </w:p>
          <w:p w14:paraId="35515976">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（4）评标委员会基于专业判断，认为投标人报价过低，有可能影响产品质量或者不能诚信履约的其他情形。</w:t>
            </w:r>
          </w:p>
          <w:p w14:paraId="0868557C">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提醒：</w:t>
            </w:r>
          </w:p>
          <w:p w14:paraId="5531FDF3">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上述第（1）项数值计算：涉及总价、单价的精确到“分”并四舍五入，涉及费率的精确到小数点后两位，第三位四舍五入（例：如平均值为123.456元，即为123.46元；如平均值为80.126%，即为80.13%）。</w:t>
            </w:r>
          </w:p>
        </w:tc>
        <w:tc>
          <w:tcPr>
            <w:tcW w:w="2260" w:type="dxa"/>
            <w:vAlign w:val="center"/>
          </w:tcPr>
          <w:p w14:paraId="386C6B6A">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投标人在评审现场合理的时间内对投标价格作出解释，提供项目具体成本测算等与报价合理性相关的书面说明及必要的证明材料，包括但不限于原材料成本、人工成本、制造费用等。</w:t>
            </w:r>
          </w:p>
        </w:tc>
      </w:tr>
    </w:tbl>
    <w:p w14:paraId="478602A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4D012C1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根据《关于推进解决政府采购异常低价问题的通知》（财库〔2026〕2号），采购人可以结合具体项目实际情况，提高上述评审标准第（1）项至第（3）项中的数值标准，但是最高不得超过65%。</w:t>
      </w:r>
    </w:p>
    <w:p w14:paraId="2686A1D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p w14:paraId="4B316880">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396EE478">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14:paraId="1C94B16B">
      <w:pPr>
        <w:spacing w:line="360" w:lineRule="auto"/>
        <w:ind w:firstLine="437"/>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2.4详细审查</w:t>
      </w:r>
    </w:p>
    <w:p w14:paraId="2BE7125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2.4.1评标委员会按照下表对投标文件进行详细审查和评分。</w:t>
      </w:r>
    </w:p>
    <w:p w14:paraId="76A0E0A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2.4.2本项目综合评分满分为100分，其中：技术资信分值占总分值的权重为</w:t>
      </w:r>
      <w:r>
        <w:rPr>
          <w:rFonts w:hint="eastAsia" w:ascii="仿宋" w:hAnsi="仿宋" w:eastAsia="仿宋" w:cs="仿宋"/>
          <w:color w:val="auto"/>
          <w:sz w:val="24"/>
          <w:highlight w:val="none"/>
          <w:u w:val="single"/>
          <w:lang w:val="en-US" w:eastAsia="zh-CN"/>
        </w:rPr>
        <w:t>69</w:t>
      </w:r>
      <w:r>
        <w:rPr>
          <w:rFonts w:hint="eastAsia" w:ascii="仿宋" w:hAnsi="仿宋" w:eastAsia="仿宋" w:cs="仿宋"/>
          <w:color w:val="auto"/>
          <w:sz w:val="24"/>
          <w:highlight w:val="none"/>
        </w:rPr>
        <w:t>%，价格分值占总分值的权重为</w:t>
      </w:r>
      <w:r>
        <w:rPr>
          <w:rFonts w:hint="eastAsia" w:ascii="仿宋" w:hAnsi="仿宋" w:eastAsia="仿宋" w:cs="仿宋"/>
          <w:color w:val="auto"/>
          <w:sz w:val="24"/>
          <w:highlight w:val="none"/>
          <w:u w:val="single"/>
          <w:lang w:val="en-US" w:eastAsia="zh-CN"/>
        </w:rPr>
        <w:t>31</w:t>
      </w:r>
      <w:r>
        <w:rPr>
          <w:rFonts w:hint="eastAsia" w:ascii="仿宋" w:hAnsi="仿宋" w:eastAsia="仿宋" w:cs="仿宋"/>
          <w:color w:val="auto"/>
          <w:sz w:val="24"/>
          <w:highlight w:val="none"/>
        </w:rPr>
        <w:t>%。具体评分细则如下：</w:t>
      </w:r>
    </w:p>
    <w:tbl>
      <w:tblPr>
        <w:tblStyle w:val="29"/>
        <w:tblW w:w="58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21"/>
        <w:gridCol w:w="6322"/>
        <w:gridCol w:w="1193"/>
      </w:tblGrid>
      <w:tr w14:paraId="62FD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35" w:type="pct"/>
            <w:tcBorders>
              <w:top w:val="single" w:color="auto" w:sz="4" w:space="0"/>
              <w:left w:val="single" w:color="auto" w:sz="4" w:space="0"/>
              <w:bottom w:val="single" w:color="auto" w:sz="4" w:space="0"/>
              <w:right w:val="single" w:color="auto" w:sz="4" w:space="0"/>
            </w:tcBorders>
            <w:vAlign w:val="center"/>
          </w:tcPr>
          <w:p w14:paraId="7471B3A4">
            <w:pPr>
              <w:spacing w:line="5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类别</w:t>
            </w:r>
          </w:p>
        </w:tc>
        <w:tc>
          <w:tcPr>
            <w:tcW w:w="610" w:type="pct"/>
            <w:tcBorders>
              <w:top w:val="single" w:color="auto" w:sz="4" w:space="0"/>
              <w:left w:val="single" w:color="auto" w:sz="4" w:space="0"/>
              <w:bottom w:val="single" w:color="auto" w:sz="4" w:space="0"/>
              <w:right w:val="single" w:color="auto" w:sz="4" w:space="0"/>
            </w:tcBorders>
            <w:vAlign w:val="center"/>
          </w:tcPr>
          <w:p w14:paraId="6768E850">
            <w:pPr>
              <w:spacing w:line="5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评分内容</w:t>
            </w:r>
          </w:p>
        </w:tc>
        <w:tc>
          <w:tcPr>
            <w:tcW w:w="3158" w:type="pct"/>
            <w:tcBorders>
              <w:top w:val="single" w:color="auto" w:sz="4" w:space="0"/>
              <w:left w:val="single" w:color="auto" w:sz="4" w:space="0"/>
              <w:bottom w:val="single" w:color="auto" w:sz="4" w:space="0"/>
              <w:right w:val="single" w:color="auto" w:sz="4" w:space="0"/>
            </w:tcBorders>
            <w:vAlign w:val="center"/>
          </w:tcPr>
          <w:p w14:paraId="6085D0E3">
            <w:pPr>
              <w:spacing w:line="5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评分标准</w:t>
            </w:r>
          </w:p>
        </w:tc>
        <w:tc>
          <w:tcPr>
            <w:tcW w:w="596" w:type="pct"/>
            <w:tcBorders>
              <w:top w:val="single" w:color="auto" w:sz="4" w:space="0"/>
              <w:left w:val="single" w:color="auto" w:sz="4" w:space="0"/>
              <w:bottom w:val="single" w:color="auto" w:sz="4" w:space="0"/>
              <w:right w:val="single" w:color="auto" w:sz="4" w:space="0"/>
            </w:tcBorders>
            <w:vAlign w:val="center"/>
          </w:tcPr>
          <w:p w14:paraId="17048D2A">
            <w:pPr>
              <w:spacing w:line="5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分值范围</w:t>
            </w:r>
          </w:p>
        </w:tc>
      </w:tr>
      <w:tr w14:paraId="2D60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vMerge w:val="restart"/>
            <w:tcBorders>
              <w:top w:val="single" w:color="auto" w:sz="4" w:space="0"/>
              <w:left w:val="single" w:color="auto" w:sz="4" w:space="0"/>
              <w:right w:val="single" w:color="auto" w:sz="4" w:space="0"/>
            </w:tcBorders>
            <w:vAlign w:val="center"/>
          </w:tcPr>
          <w:p w14:paraId="2974579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技术资信分（</w:t>
            </w:r>
            <w:r>
              <w:rPr>
                <w:rFonts w:hint="eastAsia" w:ascii="仿宋" w:hAnsi="仿宋" w:eastAsia="仿宋" w:cs="仿宋"/>
                <w:color w:val="auto"/>
                <w:sz w:val="24"/>
                <w:highlight w:val="none"/>
                <w:lang w:val="en-US" w:eastAsia="zh-CN"/>
              </w:rPr>
              <w:t>69</w:t>
            </w:r>
            <w:r>
              <w:rPr>
                <w:rFonts w:hint="eastAsia" w:ascii="仿宋" w:hAnsi="仿宋" w:eastAsia="仿宋" w:cs="仿宋"/>
                <w:color w:val="auto"/>
                <w:sz w:val="24"/>
                <w:highlight w:val="none"/>
              </w:rPr>
              <w:t>分）</w:t>
            </w:r>
          </w:p>
        </w:tc>
        <w:tc>
          <w:tcPr>
            <w:tcW w:w="610" w:type="pct"/>
            <w:tcBorders>
              <w:top w:val="single" w:color="auto" w:sz="4" w:space="0"/>
              <w:left w:val="single" w:color="auto" w:sz="4" w:space="0"/>
              <w:bottom w:val="single" w:color="auto" w:sz="4" w:space="0"/>
              <w:right w:val="single" w:color="auto" w:sz="4" w:space="0"/>
            </w:tcBorders>
            <w:vAlign w:val="center"/>
          </w:tcPr>
          <w:p w14:paraId="68BA09C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投标人业绩</w:t>
            </w:r>
          </w:p>
        </w:tc>
        <w:tc>
          <w:tcPr>
            <w:tcW w:w="3158" w:type="pct"/>
            <w:tcBorders>
              <w:top w:val="single" w:color="auto" w:sz="4" w:space="0"/>
              <w:left w:val="single" w:color="auto" w:sz="4" w:space="0"/>
              <w:bottom w:val="single" w:color="auto" w:sz="4" w:space="0"/>
              <w:right w:val="single" w:color="auto" w:sz="4" w:space="0"/>
            </w:tcBorders>
            <w:vAlign w:val="center"/>
          </w:tcPr>
          <w:p w14:paraId="35AAEB02">
            <w:pPr>
              <w:spacing w:line="360" w:lineRule="auto"/>
              <w:ind w:firstLine="43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自202</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年1月1日</w:t>
            </w:r>
            <w:r>
              <w:rPr>
                <w:rFonts w:hint="eastAsia" w:ascii="仿宋" w:hAnsi="仿宋" w:eastAsia="仿宋" w:cs="仿宋"/>
                <w:color w:val="auto"/>
                <w:sz w:val="24"/>
                <w:highlight w:val="none"/>
              </w:rPr>
              <w:t>至投标截止日</w:t>
            </w:r>
            <w:r>
              <w:rPr>
                <w:rFonts w:hint="eastAsia" w:ascii="仿宋" w:hAnsi="仿宋" w:eastAsia="仿宋" w:cs="仿宋"/>
                <w:color w:val="auto"/>
                <w:sz w:val="24"/>
                <w:highlight w:val="none"/>
                <w:lang w:val="zh-CN"/>
              </w:rPr>
              <w:t>，投标人</w:t>
            </w:r>
            <w:r>
              <w:rPr>
                <w:rFonts w:hint="eastAsia" w:ascii="仿宋" w:hAnsi="仿宋" w:eastAsia="仿宋" w:cs="仿宋"/>
                <w:color w:val="auto"/>
                <w:sz w:val="24"/>
                <w:highlight w:val="none"/>
              </w:rPr>
              <w:t>具有</w:t>
            </w:r>
            <w:r>
              <w:rPr>
                <w:rFonts w:hint="eastAsia" w:ascii="仿宋" w:hAnsi="仿宋" w:eastAsia="仿宋" w:cs="仿宋"/>
                <w:color w:val="auto"/>
                <w:sz w:val="24"/>
                <w:highlight w:val="none"/>
                <w:lang w:val="zh-CN"/>
              </w:rPr>
              <w:t>家具</w:t>
            </w:r>
            <w:r>
              <w:rPr>
                <w:rFonts w:hint="eastAsia" w:ascii="仿宋" w:hAnsi="仿宋" w:eastAsia="仿宋" w:cs="仿宋"/>
                <w:color w:val="auto"/>
                <w:sz w:val="24"/>
                <w:highlight w:val="none"/>
              </w:rPr>
              <w:t>供货业绩</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业绩内容至少</w:t>
            </w:r>
            <w:r>
              <w:rPr>
                <w:rFonts w:hint="eastAsia" w:ascii="仿宋" w:hAnsi="仿宋" w:eastAsia="仿宋" w:cs="仿宋"/>
                <w:color w:val="auto"/>
                <w:sz w:val="24"/>
                <w:highlight w:val="none"/>
                <w:lang w:val="en-US" w:eastAsia="zh-CN"/>
              </w:rPr>
              <w:t>治疗柜、处置柜（垃圾柜）、护士站吧台</w:t>
            </w:r>
            <w:r>
              <w:rPr>
                <w:rFonts w:hint="eastAsia" w:ascii="仿宋" w:hAnsi="仿宋" w:eastAsia="仿宋" w:cs="仿宋"/>
                <w:color w:val="auto"/>
                <w:sz w:val="24"/>
                <w:highlight w:val="none"/>
                <w:lang w:val="zh-CN"/>
              </w:rPr>
              <w:t>），每提供</w:t>
            </w:r>
            <w:r>
              <w:rPr>
                <w:rFonts w:hint="eastAsia" w:ascii="仿宋" w:hAnsi="仿宋" w:eastAsia="仿宋" w:cs="仿宋"/>
                <w:color w:val="auto"/>
                <w:sz w:val="24"/>
                <w:highlight w:val="none"/>
              </w:rPr>
              <w:t>1个</w:t>
            </w:r>
            <w:r>
              <w:rPr>
                <w:rFonts w:hint="eastAsia" w:ascii="仿宋" w:hAnsi="仿宋" w:eastAsia="仿宋" w:cs="仿宋"/>
                <w:color w:val="auto"/>
                <w:sz w:val="24"/>
                <w:highlight w:val="none"/>
                <w:lang w:val="zh-CN"/>
              </w:rPr>
              <w:t>业绩得</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分，</w:t>
            </w:r>
            <w:r>
              <w:rPr>
                <w:rFonts w:hint="eastAsia" w:ascii="仿宋" w:hAnsi="仿宋" w:eastAsia="仿宋" w:cs="仿宋"/>
                <w:color w:val="auto"/>
                <w:sz w:val="24"/>
                <w:highlight w:val="none"/>
              </w:rPr>
              <w:t>其他的不得分，满分4分。</w:t>
            </w:r>
          </w:p>
          <w:p w14:paraId="1FF2E72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注：①投标文件中提供业绩合同扫描件，时间以合同签订时间为准；若合同材料中无法体现签订时间、供货内容等关键评审因素的，须另附业主（合同甲方）出具的证明材料，未提供或提供不全的不得分。</w:t>
            </w:r>
          </w:p>
          <w:p w14:paraId="4BD89C2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②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596" w:type="pct"/>
            <w:tcBorders>
              <w:top w:val="single" w:color="auto" w:sz="4" w:space="0"/>
              <w:left w:val="single" w:color="auto" w:sz="4" w:space="0"/>
              <w:bottom w:val="single" w:color="auto" w:sz="4" w:space="0"/>
              <w:right w:val="single" w:color="auto" w:sz="4" w:space="0"/>
            </w:tcBorders>
            <w:vAlign w:val="center"/>
          </w:tcPr>
          <w:p w14:paraId="087DE4DD">
            <w:pPr>
              <w:spacing w:line="500" w:lineRule="exact"/>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highlight w:val="none"/>
              </w:rPr>
              <w:t>0-4分</w:t>
            </w:r>
          </w:p>
        </w:tc>
      </w:tr>
      <w:tr w14:paraId="0109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5" w:type="pct"/>
            <w:vMerge w:val="continue"/>
            <w:tcBorders>
              <w:left w:val="single" w:color="auto" w:sz="4" w:space="0"/>
              <w:right w:val="single" w:color="auto" w:sz="4" w:space="0"/>
            </w:tcBorders>
            <w:vAlign w:val="center"/>
          </w:tcPr>
          <w:p w14:paraId="0A20ED6C">
            <w:pPr>
              <w:spacing w:line="500" w:lineRule="exact"/>
              <w:ind w:firstLine="435"/>
              <w:jc w:val="center"/>
              <w:rPr>
                <w:rFonts w:hint="eastAsia" w:ascii="仿宋" w:hAnsi="仿宋" w:eastAsia="仿宋" w:cs="仿宋"/>
                <w:b/>
                <w:bCs/>
                <w:color w:val="auto"/>
                <w:sz w:val="24"/>
                <w:szCs w:val="24"/>
                <w:highlight w:val="none"/>
              </w:rPr>
            </w:pPr>
          </w:p>
        </w:tc>
        <w:tc>
          <w:tcPr>
            <w:tcW w:w="610" w:type="pct"/>
            <w:tcBorders>
              <w:top w:val="single" w:color="auto" w:sz="4" w:space="0"/>
              <w:left w:val="single" w:color="auto" w:sz="4" w:space="0"/>
              <w:right w:val="single" w:color="auto" w:sz="4" w:space="0"/>
            </w:tcBorders>
            <w:vAlign w:val="center"/>
          </w:tcPr>
          <w:p w14:paraId="6C7CE41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产品技术参数</w:t>
            </w:r>
          </w:p>
        </w:tc>
        <w:tc>
          <w:tcPr>
            <w:tcW w:w="3158" w:type="pct"/>
            <w:tcBorders>
              <w:top w:val="single" w:color="auto" w:sz="4" w:space="0"/>
              <w:left w:val="single" w:color="auto" w:sz="4" w:space="0"/>
              <w:right w:val="single" w:color="auto" w:sz="4" w:space="0"/>
            </w:tcBorders>
            <w:vAlign w:val="center"/>
          </w:tcPr>
          <w:p w14:paraId="0CABAC4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1、★代表重要指标,每满足或优于一项指标得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分，共</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项，共计</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分；（以采购内容及技术参数要求中提供的证明材料作为评审依据）</w:t>
            </w:r>
          </w:p>
          <w:p w14:paraId="46BFC52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、未标符号的为一般参数，投标文件中无需列明，但在合同签订后将作为履约验收的依据，投标人在投标文件中提供相关承诺函，承诺完全满足参数要求或逐条响应均可，承诺函格式自拟，否则投标无效。</w:t>
            </w:r>
          </w:p>
          <w:p w14:paraId="7967D4E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注：（1）如某项标识中包含多条技术参数或要求，则该项标识所含内容均需满足或优于招标文件要求，否则不予认可。</w:t>
            </w:r>
          </w:p>
          <w:p w14:paraId="5F25CD4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（2）本项内所有内容技术参数响应情况投标人须依据所投产品如实填写，若自填无偏离，供货时实际产品不响应或负偏离，采购人有权上报相关部门，按相关法律处理。</w:t>
            </w:r>
          </w:p>
        </w:tc>
        <w:tc>
          <w:tcPr>
            <w:tcW w:w="596" w:type="pct"/>
            <w:tcBorders>
              <w:top w:val="single" w:color="auto" w:sz="4" w:space="0"/>
              <w:left w:val="single" w:color="auto" w:sz="4" w:space="0"/>
              <w:bottom w:val="single" w:color="auto" w:sz="4" w:space="0"/>
              <w:right w:val="single" w:color="auto" w:sz="4" w:space="0"/>
            </w:tcBorders>
            <w:vAlign w:val="center"/>
          </w:tcPr>
          <w:p w14:paraId="408B7C3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分</w:t>
            </w:r>
          </w:p>
        </w:tc>
      </w:tr>
      <w:tr w14:paraId="7580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5" w:type="pct"/>
            <w:vMerge w:val="continue"/>
            <w:tcBorders>
              <w:left w:val="single" w:color="auto" w:sz="4" w:space="0"/>
              <w:right w:val="single" w:color="auto" w:sz="4" w:space="0"/>
            </w:tcBorders>
            <w:vAlign w:val="center"/>
          </w:tcPr>
          <w:p w14:paraId="576F69EE">
            <w:pPr>
              <w:spacing w:line="500" w:lineRule="exact"/>
              <w:ind w:firstLine="435"/>
              <w:jc w:val="center"/>
              <w:rPr>
                <w:rFonts w:hint="eastAsia" w:ascii="仿宋" w:hAnsi="仿宋" w:eastAsia="仿宋" w:cs="仿宋"/>
                <w:b/>
                <w:bCs/>
                <w:color w:val="auto"/>
                <w:sz w:val="24"/>
                <w:szCs w:val="24"/>
                <w:highlight w:val="none"/>
              </w:rPr>
            </w:pPr>
          </w:p>
        </w:tc>
        <w:tc>
          <w:tcPr>
            <w:tcW w:w="610" w:type="pct"/>
            <w:tcBorders>
              <w:top w:val="single" w:color="auto" w:sz="4" w:space="0"/>
              <w:left w:val="single" w:color="auto" w:sz="4" w:space="0"/>
              <w:right w:val="single" w:color="auto" w:sz="4" w:space="0"/>
            </w:tcBorders>
            <w:shd w:val="clear" w:color="auto" w:fill="auto"/>
            <w:vAlign w:val="center"/>
          </w:tcPr>
          <w:p w14:paraId="6AD4FDE4">
            <w:pPr>
              <w:widowControl/>
              <w:spacing w:line="520" w:lineRule="exact"/>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仿宋" w:hAnsi="仿宋" w:eastAsia="仿宋" w:cs="仿宋"/>
                <w:color w:val="auto"/>
                <w:sz w:val="24"/>
                <w:highlight w:val="none"/>
                <w:lang w:val="en-US" w:eastAsia="zh-CN"/>
              </w:rPr>
              <w:t>总体实施方案</w:t>
            </w:r>
          </w:p>
        </w:tc>
        <w:tc>
          <w:tcPr>
            <w:tcW w:w="3158" w:type="pct"/>
            <w:tcBorders>
              <w:top w:val="single" w:color="auto" w:sz="4" w:space="0"/>
              <w:left w:val="single" w:color="auto" w:sz="4" w:space="0"/>
              <w:right w:val="single" w:color="auto" w:sz="4" w:space="0"/>
            </w:tcBorders>
            <w:shd w:val="clear" w:color="auto" w:fill="auto"/>
            <w:vAlign w:val="center"/>
          </w:tcPr>
          <w:p w14:paraId="762A382C">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根据投标人提供的项目总体实施方案的完整性、合理性、实施计划等，由评标委员会进行综合评审：</w:t>
            </w:r>
          </w:p>
          <w:p w14:paraId="3CAE7C72">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①实施方案详尽，目标明确、工作方案部署合理，利于项目实施的得5分； </w:t>
            </w:r>
          </w:p>
          <w:p w14:paraId="6BE94ECA">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②实施方案完整，工作方案部署得当，各方面表述适当的得3分；</w:t>
            </w:r>
          </w:p>
          <w:p w14:paraId="77A66C0F">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③实施方案内容简单，工作方案部署及要求突出不够明显，有待完善的得1分；</w:t>
            </w:r>
          </w:p>
          <w:p w14:paraId="37404316">
            <w:pPr>
              <w:spacing w:line="360" w:lineRule="auto"/>
              <w:rPr>
                <w:rFonts w:hint="eastAsia" w:ascii="宋体" w:hAnsi="宋体" w:eastAsia="宋体" w:cs="宋体"/>
                <w:i w:val="0"/>
                <w:iCs w:val="0"/>
                <w:color w:val="auto"/>
                <w:kern w:val="0"/>
                <w:sz w:val="24"/>
                <w:szCs w:val="24"/>
                <w:highlight w:val="none"/>
                <w:u w:val="none"/>
                <w:lang w:val="en-US" w:eastAsia="zh-CN" w:bidi="ar"/>
              </w:rPr>
            </w:pPr>
            <w:r>
              <w:rPr>
                <w:rFonts w:hint="eastAsia" w:ascii="仿宋" w:hAnsi="仿宋" w:eastAsia="仿宋" w:cs="仿宋"/>
                <w:color w:val="auto"/>
                <w:sz w:val="24"/>
                <w:highlight w:val="none"/>
                <w:lang w:val="en-US" w:eastAsia="zh-CN"/>
              </w:rPr>
              <w:t>④方案不可行或者未提供的不得分。</w:t>
            </w:r>
          </w:p>
        </w:tc>
        <w:tc>
          <w:tcPr>
            <w:tcW w:w="596" w:type="pct"/>
            <w:tcBorders>
              <w:top w:val="single" w:color="auto" w:sz="4" w:space="0"/>
              <w:left w:val="single" w:color="auto" w:sz="4" w:space="0"/>
              <w:bottom w:val="single" w:color="auto" w:sz="4" w:space="0"/>
              <w:right w:val="single" w:color="auto" w:sz="4" w:space="0"/>
            </w:tcBorders>
            <w:vAlign w:val="center"/>
          </w:tcPr>
          <w:p w14:paraId="18C6375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0-5分</w:t>
            </w:r>
          </w:p>
        </w:tc>
      </w:tr>
      <w:tr w14:paraId="6523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5" w:type="pct"/>
            <w:vMerge w:val="continue"/>
            <w:tcBorders>
              <w:left w:val="single" w:color="auto" w:sz="4" w:space="0"/>
              <w:right w:val="single" w:color="auto" w:sz="4" w:space="0"/>
            </w:tcBorders>
            <w:vAlign w:val="center"/>
          </w:tcPr>
          <w:p w14:paraId="5F87D80E">
            <w:pPr>
              <w:spacing w:line="500" w:lineRule="exact"/>
              <w:ind w:firstLine="435"/>
              <w:jc w:val="center"/>
              <w:rPr>
                <w:rFonts w:hint="eastAsia" w:ascii="仿宋" w:hAnsi="仿宋" w:eastAsia="仿宋" w:cs="仿宋"/>
                <w:b/>
                <w:bCs/>
                <w:color w:val="auto"/>
                <w:sz w:val="24"/>
                <w:szCs w:val="24"/>
                <w:highlight w:val="none"/>
              </w:rPr>
            </w:pPr>
          </w:p>
        </w:tc>
        <w:tc>
          <w:tcPr>
            <w:tcW w:w="610" w:type="pct"/>
            <w:tcBorders>
              <w:top w:val="single" w:color="auto" w:sz="4" w:space="0"/>
              <w:left w:val="single" w:color="auto" w:sz="4" w:space="0"/>
              <w:right w:val="single" w:color="auto" w:sz="4" w:space="0"/>
            </w:tcBorders>
            <w:shd w:val="clear" w:color="auto" w:fill="auto"/>
            <w:vAlign w:val="center"/>
          </w:tcPr>
          <w:p w14:paraId="7DC33392">
            <w:pPr>
              <w:widowControl/>
              <w:spacing w:line="5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设计方案</w:t>
            </w:r>
          </w:p>
        </w:tc>
        <w:tc>
          <w:tcPr>
            <w:tcW w:w="3158" w:type="pct"/>
            <w:tcBorders>
              <w:top w:val="single" w:color="auto" w:sz="4" w:space="0"/>
              <w:left w:val="single" w:color="auto" w:sz="4" w:space="0"/>
              <w:right w:val="single" w:color="auto" w:sz="4" w:space="0"/>
            </w:tcBorders>
            <w:shd w:val="clear" w:color="auto" w:fill="auto"/>
            <w:vAlign w:val="center"/>
          </w:tcPr>
          <w:p w14:paraId="6B2EF41A">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根据投标人提供的固定家具深化设计方案进行综合评分，包含以下内容：</w:t>
            </w:r>
          </w:p>
          <w:p w14:paraId="502604B2">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①产品设计；</w:t>
            </w:r>
          </w:p>
          <w:p w14:paraId="6AD5B816">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②产品平面布置；</w:t>
            </w:r>
          </w:p>
          <w:p w14:paraId="4F261D48">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③产品的实用性；</w:t>
            </w:r>
          </w:p>
          <w:p w14:paraId="57D92B33">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④产品摆放方案；</w:t>
            </w:r>
          </w:p>
          <w:p w14:paraId="1B38595D">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⑤产品与现场适配性。</w:t>
            </w:r>
          </w:p>
          <w:p w14:paraId="2BA5B061">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2、评分：</w:t>
            </w:r>
          </w:p>
          <w:p w14:paraId="51226504">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(1)方案中该小项内容贴合项目实际需求，逻辑清晰，措施规范全面的，得5分；</w:t>
            </w:r>
          </w:p>
          <w:p w14:paraId="3FBAEAC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（2）方案齐全且符合实际情况的，得3分；</w:t>
            </w:r>
          </w:p>
          <w:p w14:paraId="1D7AC30A">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(3)方案内容与项目实际需求有出入，逻辑不清晰，措施缺失的，该小项得1分；</w:t>
            </w:r>
          </w:p>
          <w:p w14:paraId="24C6581A">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(4)未提供方案或未体现该内容的，该小项不得分。</w:t>
            </w:r>
          </w:p>
        </w:tc>
        <w:tc>
          <w:tcPr>
            <w:tcW w:w="596" w:type="pct"/>
            <w:tcBorders>
              <w:top w:val="single" w:color="auto" w:sz="4" w:space="0"/>
              <w:left w:val="single" w:color="auto" w:sz="4" w:space="0"/>
              <w:bottom w:val="single" w:color="auto" w:sz="4" w:space="0"/>
              <w:right w:val="single" w:color="auto" w:sz="4" w:space="0"/>
            </w:tcBorders>
            <w:vAlign w:val="center"/>
          </w:tcPr>
          <w:p w14:paraId="718E32C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0-5分</w:t>
            </w:r>
          </w:p>
        </w:tc>
      </w:tr>
      <w:tr w14:paraId="469A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635" w:type="pct"/>
            <w:vMerge w:val="continue"/>
            <w:tcBorders>
              <w:left w:val="single" w:color="auto" w:sz="4" w:space="0"/>
              <w:right w:val="single" w:color="auto" w:sz="4" w:space="0"/>
            </w:tcBorders>
            <w:vAlign w:val="center"/>
          </w:tcPr>
          <w:p w14:paraId="65CCD9DB">
            <w:pPr>
              <w:spacing w:line="500" w:lineRule="exact"/>
              <w:ind w:firstLine="435"/>
              <w:jc w:val="center"/>
              <w:rPr>
                <w:rFonts w:hint="eastAsia" w:ascii="仿宋" w:hAnsi="仿宋" w:eastAsia="仿宋" w:cs="仿宋"/>
                <w:b/>
                <w:bCs/>
                <w:color w:val="auto"/>
                <w:sz w:val="24"/>
                <w:szCs w:val="24"/>
                <w:highlight w:val="none"/>
              </w:rPr>
            </w:pPr>
          </w:p>
        </w:tc>
        <w:tc>
          <w:tcPr>
            <w:tcW w:w="610" w:type="pct"/>
            <w:tcBorders>
              <w:top w:val="single" w:color="auto" w:sz="4" w:space="0"/>
              <w:left w:val="single" w:color="auto" w:sz="4" w:space="0"/>
              <w:right w:val="single" w:color="auto" w:sz="4" w:space="0"/>
            </w:tcBorders>
            <w:vAlign w:val="center"/>
          </w:tcPr>
          <w:p w14:paraId="5F7FF69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生产运输方案</w:t>
            </w:r>
          </w:p>
        </w:tc>
        <w:tc>
          <w:tcPr>
            <w:tcW w:w="3158" w:type="pct"/>
            <w:tcBorders>
              <w:top w:val="single" w:color="auto" w:sz="4" w:space="0"/>
              <w:left w:val="single" w:color="auto" w:sz="4" w:space="0"/>
              <w:right w:val="single" w:color="auto" w:sz="4" w:space="0"/>
            </w:tcBorders>
            <w:vAlign w:val="center"/>
          </w:tcPr>
          <w:p w14:paraId="532C5AC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1、根据投标人提供的生产运输方案和进度计划进行综合评分，包含以下内容：</w:t>
            </w:r>
          </w:p>
          <w:p w14:paraId="04FA809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①家具生产进度安排；</w:t>
            </w:r>
          </w:p>
          <w:p w14:paraId="4857E5D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②出厂验收包装情况；</w:t>
            </w:r>
          </w:p>
          <w:p w14:paraId="4C93B07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③运输方案；</w:t>
            </w:r>
          </w:p>
          <w:p w14:paraId="1C6DF27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④现场交付及衔接安排。</w:t>
            </w:r>
          </w:p>
          <w:p w14:paraId="175B4C77">
            <w:pPr>
              <w:numPr>
                <w:ilvl w:val="0"/>
                <w:numId w:val="2"/>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方案中小项内容贴合项目实际需求，逻辑清晰，措施规范全面的，得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p w14:paraId="69E00E5A">
            <w:pPr>
              <w:numPr>
                <w:ilvl w:val="0"/>
                <w:numId w:val="0"/>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（2）方案齐全且符合实际情况的，得3分；</w:t>
            </w:r>
          </w:p>
          <w:p w14:paraId="6E4ACE1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)方案中小项内容与项目实际需求有出入，逻辑不清晰，措施缺失的，该小项得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 xml:space="preserve"> 分；</w:t>
            </w:r>
          </w:p>
          <w:p w14:paraId="397CD51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)未提供方案或未体现该小项内容的，不得分。</w:t>
            </w:r>
          </w:p>
        </w:tc>
        <w:tc>
          <w:tcPr>
            <w:tcW w:w="596" w:type="pct"/>
            <w:tcBorders>
              <w:top w:val="single" w:color="auto" w:sz="4" w:space="0"/>
              <w:left w:val="single" w:color="auto" w:sz="4" w:space="0"/>
              <w:bottom w:val="single" w:color="auto" w:sz="4" w:space="0"/>
              <w:right w:val="single" w:color="auto" w:sz="4" w:space="0"/>
            </w:tcBorders>
            <w:vAlign w:val="center"/>
          </w:tcPr>
          <w:p w14:paraId="32A9F08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0-5分</w:t>
            </w:r>
          </w:p>
        </w:tc>
      </w:tr>
      <w:tr w14:paraId="37A8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vMerge w:val="continue"/>
            <w:tcBorders>
              <w:left w:val="single" w:color="auto" w:sz="4" w:space="0"/>
              <w:right w:val="single" w:color="auto" w:sz="4" w:space="0"/>
            </w:tcBorders>
            <w:vAlign w:val="center"/>
          </w:tcPr>
          <w:p w14:paraId="553C3C12">
            <w:pPr>
              <w:spacing w:line="500" w:lineRule="exact"/>
              <w:ind w:firstLine="435"/>
              <w:jc w:val="center"/>
              <w:rPr>
                <w:rFonts w:hint="eastAsia" w:ascii="仿宋" w:hAnsi="仿宋" w:eastAsia="仿宋" w:cs="仿宋"/>
                <w:b/>
                <w:bCs/>
                <w:color w:val="auto"/>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4F2B342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供货安装方案</w:t>
            </w:r>
          </w:p>
        </w:tc>
        <w:tc>
          <w:tcPr>
            <w:tcW w:w="3158" w:type="pct"/>
            <w:tcBorders>
              <w:top w:val="single" w:color="auto" w:sz="4" w:space="0"/>
              <w:left w:val="single" w:color="auto" w:sz="4" w:space="0"/>
              <w:bottom w:val="single" w:color="auto" w:sz="4" w:space="0"/>
              <w:right w:val="single" w:color="auto" w:sz="4" w:space="0"/>
            </w:tcBorders>
            <w:vAlign w:val="center"/>
          </w:tcPr>
          <w:p w14:paraId="230EFDA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各投标人针对本项目的供货实施方案，内容包括</w:t>
            </w:r>
            <w:r>
              <w:rPr>
                <w:rFonts w:hint="eastAsia" w:ascii="仿宋" w:hAnsi="仿宋" w:eastAsia="仿宋" w:cs="仿宋"/>
                <w:color w:val="auto"/>
                <w:sz w:val="24"/>
                <w:highlight w:val="none"/>
                <w:lang w:val="en-US" w:eastAsia="zh-CN"/>
              </w:rPr>
              <w:t>但不限于</w:t>
            </w:r>
            <w:r>
              <w:rPr>
                <w:rFonts w:hint="eastAsia" w:ascii="仿宋" w:hAnsi="仿宋" w:eastAsia="仿宋" w:cs="仿宋"/>
                <w:color w:val="auto"/>
                <w:sz w:val="24"/>
                <w:highlight w:val="none"/>
              </w:rPr>
              <w:t>：供货安排、安装调试、运输车辆、人员安排及时间分配等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评标委员会进行综合评审</w:t>
            </w:r>
            <w:r>
              <w:rPr>
                <w:rFonts w:hint="eastAsia" w:ascii="仿宋" w:hAnsi="仿宋" w:eastAsia="仿宋" w:cs="仿宋"/>
                <w:color w:val="auto"/>
                <w:sz w:val="24"/>
                <w:highlight w:val="none"/>
              </w:rPr>
              <w:t>：</w:t>
            </w:r>
          </w:p>
          <w:p w14:paraId="7A9C65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（1）供货安装、验收等实施方案详尽，</w:t>
            </w:r>
            <w:r>
              <w:rPr>
                <w:rFonts w:hint="eastAsia" w:ascii="仿宋" w:hAnsi="仿宋" w:eastAsia="仿宋" w:cs="仿宋"/>
                <w:color w:val="auto"/>
                <w:sz w:val="24"/>
                <w:highlight w:val="none"/>
                <w:lang w:val="en-US" w:eastAsia="zh-CN"/>
              </w:rPr>
              <w:t>供货</w:t>
            </w:r>
            <w:r>
              <w:rPr>
                <w:rFonts w:hint="eastAsia" w:ascii="仿宋" w:hAnsi="仿宋" w:eastAsia="仿宋" w:cs="仿宋"/>
                <w:color w:val="auto"/>
                <w:sz w:val="24"/>
                <w:highlight w:val="none"/>
              </w:rPr>
              <w:t>进度、安全保证方案及措施和协同配合方案完整且符合项目实际情况的，得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p w14:paraId="639B451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（2）供货安装、验收等实施方案齐全，</w:t>
            </w:r>
            <w:r>
              <w:rPr>
                <w:rFonts w:hint="eastAsia" w:ascii="仿宋" w:hAnsi="仿宋" w:eastAsia="仿宋" w:cs="仿宋"/>
                <w:color w:val="auto"/>
                <w:sz w:val="24"/>
                <w:highlight w:val="none"/>
                <w:lang w:val="en-US" w:eastAsia="zh-CN"/>
              </w:rPr>
              <w:t>供货</w:t>
            </w:r>
            <w:r>
              <w:rPr>
                <w:rFonts w:hint="eastAsia" w:ascii="仿宋" w:hAnsi="仿宋" w:eastAsia="仿宋" w:cs="仿宋"/>
                <w:color w:val="auto"/>
                <w:sz w:val="24"/>
                <w:highlight w:val="none"/>
              </w:rPr>
              <w:t>进度、质量、安全保证方案及措施和协同配合方案简单且符合实际情况的，得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w:t>
            </w:r>
          </w:p>
          <w:p w14:paraId="418205B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（3）供货安装、验收内容简单，</w:t>
            </w:r>
            <w:r>
              <w:rPr>
                <w:rFonts w:hint="eastAsia" w:ascii="仿宋" w:hAnsi="仿宋" w:eastAsia="仿宋" w:cs="仿宋"/>
                <w:color w:val="auto"/>
                <w:sz w:val="24"/>
                <w:highlight w:val="none"/>
                <w:lang w:val="en-US" w:eastAsia="zh-CN"/>
              </w:rPr>
              <w:t>供货</w:t>
            </w:r>
            <w:r>
              <w:rPr>
                <w:rFonts w:hint="eastAsia" w:ascii="仿宋" w:hAnsi="仿宋" w:eastAsia="仿宋" w:cs="仿宋"/>
                <w:color w:val="auto"/>
                <w:sz w:val="24"/>
                <w:highlight w:val="none"/>
              </w:rPr>
              <w:t>进度、质量、安全保证方案及措施和协同配合方案存在缺项，需要进一步完善的，得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p>
          <w:p w14:paraId="522BF8C2">
            <w:pPr>
              <w:spacing w:line="360" w:lineRule="auto"/>
              <w:ind w:firstLine="480" w:firstLineChars="200"/>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（4）未提供的不得分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 xml:space="preserve">  </w:t>
            </w:r>
          </w:p>
        </w:tc>
        <w:tc>
          <w:tcPr>
            <w:tcW w:w="596" w:type="pct"/>
            <w:tcBorders>
              <w:top w:val="single" w:color="auto" w:sz="4" w:space="0"/>
              <w:left w:val="single" w:color="auto" w:sz="4" w:space="0"/>
              <w:bottom w:val="single" w:color="auto" w:sz="4" w:space="0"/>
              <w:right w:val="single" w:color="auto" w:sz="4" w:space="0"/>
            </w:tcBorders>
            <w:vAlign w:val="center"/>
          </w:tcPr>
          <w:p w14:paraId="474B577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0-5分</w:t>
            </w:r>
          </w:p>
        </w:tc>
      </w:tr>
      <w:tr w14:paraId="1BCD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vMerge w:val="continue"/>
            <w:tcBorders>
              <w:left w:val="single" w:color="auto" w:sz="4" w:space="0"/>
              <w:right w:val="single" w:color="auto" w:sz="4" w:space="0"/>
            </w:tcBorders>
            <w:vAlign w:val="center"/>
          </w:tcPr>
          <w:p w14:paraId="30885E02">
            <w:pPr>
              <w:spacing w:line="500" w:lineRule="exact"/>
              <w:ind w:firstLine="435"/>
              <w:jc w:val="center"/>
              <w:rPr>
                <w:rFonts w:hint="eastAsia" w:ascii="仿宋" w:hAnsi="仿宋" w:eastAsia="仿宋" w:cs="仿宋"/>
                <w:b/>
                <w:bCs/>
                <w:color w:val="auto"/>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2EBD8F4D">
            <w:pPr>
              <w:spacing w:line="360" w:lineRule="auto"/>
              <w:jc w:val="cente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产品工艺</w:t>
            </w:r>
          </w:p>
        </w:tc>
        <w:tc>
          <w:tcPr>
            <w:tcW w:w="3158" w:type="pct"/>
            <w:tcBorders>
              <w:top w:val="single" w:color="auto" w:sz="4" w:space="0"/>
              <w:left w:val="single" w:color="auto" w:sz="4" w:space="0"/>
              <w:bottom w:val="single" w:color="auto" w:sz="4" w:space="0"/>
              <w:right w:val="single" w:color="auto" w:sz="4" w:space="0"/>
            </w:tcBorders>
            <w:vAlign w:val="center"/>
          </w:tcPr>
          <w:p w14:paraId="3AA355C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各投标人针对本项目提供采购清单中</w:t>
            </w:r>
            <w:r>
              <w:rPr>
                <w:rFonts w:hint="eastAsia" w:ascii="仿宋" w:hAnsi="仿宋" w:eastAsia="仿宋" w:cs="仿宋"/>
                <w:color w:val="auto"/>
                <w:sz w:val="24"/>
                <w:highlight w:val="none"/>
                <w:lang w:val="en-US" w:eastAsia="zh-CN"/>
              </w:rPr>
              <w:t>产品的</w:t>
            </w:r>
            <w:r>
              <w:rPr>
                <w:rFonts w:hint="eastAsia" w:ascii="仿宋" w:hAnsi="仿宋" w:eastAsia="仿宋" w:cs="仿宋"/>
                <w:color w:val="auto"/>
                <w:sz w:val="24"/>
                <w:highlight w:val="none"/>
              </w:rPr>
              <w:t>生产三视图、部件</w:t>
            </w:r>
            <w:r>
              <w:rPr>
                <w:rFonts w:hint="eastAsia" w:ascii="仿宋" w:hAnsi="仿宋" w:eastAsia="仿宋" w:cs="仿宋"/>
                <w:color w:val="auto"/>
                <w:sz w:val="24"/>
                <w:highlight w:val="none"/>
                <w:lang w:val="en-US" w:eastAsia="zh-CN"/>
              </w:rPr>
              <w:t>结构</w:t>
            </w:r>
            <w:r>
              <w:rPr>
                <w:rFonts w:hint="eastAsia" w:ascii="仿宋" w:hAnsi="仿宋" w:eastAsia="仿宋" w:cs="仿宋"/>
                <w:color w:val="auto"/>
                <w:sz w:val="24"/>
                <w:highlight w:val="none"/>
              </w:rPr>
              <w:t>图、用料说明、安装图纸说明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平面功能布局图、尺寸图</w:t>
            </w:r>
            <w:r>
              <w:rPr>
                <w:rFonts w:hint="eastAsia" w:ascii="仿宋" w:hAnsi="仿宋" w:eastAsia="仿宋" w:cs="仿宋"/>
                <w:color w:val="auto"/>
                <w:sz w:val="24"/>
                <w:highlight w:val="none"/>
                <w:lang w:val="en-US" w:eastAsia="zh-CN"/>
              </w:rPr>
              <w:t>及实物图片</w:t>
            </w:r>
            <w:r>
              <w:rPr>
                <w:rFonts w:hint="eastAsia" w:ascii="仿宋" w:hAnsi="仿宋" w:eastAsia="仿宋" w:cs="仿宋"/>
                <w:color w:val="auto"/>
                <w:sz w:val="24"/>
                <w:highlight w:val="none"/>
              </w:rPr>
              <w:t>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评标委员会进行综合评审：</w:t>
            </w:r>
          </w:p>
          <w:p w14:paraId="0D087F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①图纸齐全，且能反映出生产三视图、部件</w:t>
            </w:r>
            <w:r>
              <w:rPr>
                <w:rFonts w:hint="eastAsia" w:ascii="仿宋" w:hAnsi="仿宋" w:eastAsia="仿宋" w:cs="仿宋"/>
                <w:color w:val="auto"/>
                <w:sz w:val="24"/>
                <w:highlight w:val="none"/>
                <w:lang w:val="en-US" w:eastAsia="zh-CN"/>
              </w:rPr>
              <w:t>结构</w:t>
            </w:r>
            <w:r>
              <w:rPr>
                <w:rFonts w:hint="eastAsia" w:ascii="仿宋" w:hAnsi="仿宋" w:eastAsia="仿宋" w:cs="仿宋"/>
                <w:color w:val="auto"/>
                <w:sz w:val="24"/>
                <w:highlight w:val="none"/>
              </w:rPr>
              <w:t>图、用料说明、安装图纸说明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平面功能布局图、尺寸图</w:t>
            </w:r>
            <w:r>
              <w:rPr>
                <w:rFonts w:hint="eastAsia" w:ascii="仿宋" w:hAnsi="仿宋" w:eastAsia="仿宋" w:cs="仿宋"/>
                <w:color w:val="auto"/>
                <w:sz w:val="24"/>
                <w:highlight w:val="none"/>
                <w:lang w:val="en-US" w:eastAsia="zh-CN"/>
              </w:rPr>
              <w:t>及实物图片</w:t>
            </w:r>
            <w:r>
              <w:rPr>
                <w:rFonts w:hint="eastAsia" w:ascii="仿宋" w:hAnsi="仿宋" w:eastAsia="仿宋" w:cs="仿宋"/>
                <w:color w:val="auto"/>
                <w:sz w:val="24"/>
                <w:highlight w:val="none"/>
              </w:rPr>
              <w:t>等空间使用舒适的得5分；</w:t>
            </w:r>
          </w:p>
          <w:p w14:paraId="43EAC64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②图纸齐全，</w:t>
            </w:r>
            <w:r>
              <w:rPr>
                <w:rFonts w:hint="eastAsia" w:ascii="仿宋" w:hAnsi="仿宋" w:eastAsia="仿宋" w:cs="仿宋"/>
                <w:color w:val="auto"/>
                <w:sz w:val="24"/>
                <w:highlight w:val="none"/>
                <w:lang w:val="en-US" w:eastAsia="zh-CN"/>
              </w:rPr>
              <w:t>不能充分</w:t>
            </w:r>
            <w:r>
              <w:rPr>
                <w:rFonts w:hint="eastAsia" w:ascii="仿宋" w:hAnsi="仿宋" w:eastAsia="仿宋" w:cs="仿宋"/>
                <w:color w:val="auto"/>
                <w:sz w:val="24"/>
                <w:highlight w:val="none"/>
              </w:rPr>
              <w:t>反映出生产三视图、部件</w:t>
            </w:r>
            <w:r>
              <w:rPr>
                <w:rFonts w:hint="eastAsia" w:ascii="仿宋" w:hAnsi="仿宋" w:eastAsia="仿宋" w:cs="仿宋"/>
                <w:color w:val="auto"/>
                <w:sz w:val="24"/>
                <w:highlight w:val="none"/>
                <w:lang w:val="en-US" w:eastAsia="zh-CN"/>
              </w:rPr>
              <w:t>结构</w:t>
            </w:r>
            <w:r>
              <w:rPr>
                <w:rFonts w:hint="eastAsia" w:ascii="仿宋" w:hAnsi="仿宋" w:eastAsia="仿宋" w:cs="仿宋"/>
                <w:color w:val="auto"/>
                <w:sz w:val="24"/>
                <w:highlight w:val="none"/>
              </w:rPr>
              <w:t>图、用料说明、安装图纸说明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平面功能布局图、尺寸图</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得3分；</w:t>
            </w:r>
          </w:p>
          <w:p w14:paraId="62C317F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③图纸粗糙、</w:t>
            </w:r>
            <w:r>
              <w:rPr>
                <w:rFonts w:hint="eastAsia" w:ascii="仿宋" w:hAnsi="仿宋" w:eastAsia="仿宋" w:cs="仿宋"/>
                <w:color w:val="auto"/>
                <w:sz w:val="24"/>
                <w:highlight w:val="none"/>
                <w:lang w:val="en-US" w:eastAsia="zh-CN"/>
              </w:rPr>
              <w:t>不满足使用需求或造成</w:t>
            </w:r>
            <w:r>
              <w:rPr>
                <w:rFonts w:hint="eastAsia" w:ascii="仿宋" w:hAnsi="仿宋" w:eastAsia="仿宋" w:cs="仿宋"/>
                <w:color w:val="auto"/>
                <w:sz w:val="24"/>
                <w:highlight w:val="none"/>
              </w:rPr>
              <w:t>空间浪费的得1分；</w:t>
            </w:r>
          </w:p>
          <w:p w14:paraId="0C6CD58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④未提供的不得分。</w:t>
            </w:r>
          </w:p>
        </w:tc>
        <w:tc>
          <w:tcPr>
            <w:tcW w:w="596" w:type="pct"/>
            <w:tcBorders>
              <w:top w:val="single" w:color="auto" w:sz="4" w:space="0"/>
              <w:left w:val="single" w:color="auto" w:sz="4" w:space="0"/>
              <w:bottom w:val="single" w:color="auto" w:sz="4" w:space="0"/>
              <w:right w:val="single" w:color="auto" w:sz="4" w:space="0"/>
            </w:tcBorders>
            <w:vAlign w:val="center"/>
          </w:tcPr>
          <w:p w14:paraId="08A59A0D">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0-5分</w:t>
            </w:r>
          </w:p>
        </w:tc>
      </w:tr>
      <w:tr w14:paraId="7721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8" w:hRule="atLeast"/>
          <w:jc w:val="center"/>
        </w:trPr>
        <w:tc>
          <w:tcPr>
            <w:tcW w:w="635" w:type="pct"/>
            <w:vMerge w:val="continue"/>
            <w:tcBorders>
              <w:left w:val="single" w:color="auto" w:sz="4" w:space="0"/>
              <w:right w:val="single" w:color="auto" w:sz="4" w:space="0"/>
            </w:tcBorders>
            <w:vAlign w:val="center"/>
          </w:tcPr>
          <w:p w14:paraId="32F4B921">
            <w:pPr>
              <w:spacing w:line="500" w:lineRule="exact"/>
              <w:ind w:firstLine="435"/>
              <w:jc w:val="center"/>
              <w:rPr>
                <w:rFonts w:hint="eastAsia" w:ascii="仿宋" w:hAnsi="仿宋" w:eastAsia="仿宋" w:cs="仿宋"/>
                <w:b/>
                <w:bCs/>
                <w:color w:val="auto"/>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61584503">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质量控制方案</w:t>
            </w:r>
          </w:p>
        </w:tc>
        <w:tc>
          <w:tcPr>
            <w:tcW w:w="3158" w:type="pct"/>
            <w:tcBorders>
              <w:top w:val="single" w:color="auto" w:sz="4" w:space="0"/>
              <w:left w:val="single" w:color="auto" w:sz="4" w:space="0"/>
              <w:bottom w:val="single" w:color="auto" w:sz="4" w:space="0"/>
              <w:right w:val="single" w:color="auto" w:sz="4" w:space="0"/>
            </w:tcBorders>
            <w:vAlign w:val="center"/>
          </w:tcPr>
          <w:p w14:paraId="63EA8A02">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各投标人针对本项目提供</w:t>
            </w:r>
            <w:r>
              <w:rPr>
                <w:rFonts w:hint="eastAsia" w:ascii="仿宋" w:hAnsi="仿宋" w:eastAsia="仿宋" w:cs="仿宋"/>
                <w:color w:val="auto"/>
                <w:sz w:val="24"/>
                <w:highlight w:val="none"/>
                <w:lang w:val="en-US" w:eastAsia="zh-CN"/>
              </w:rPr>
              <w:t>质量控制方案</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内容包括但不限于：质量目标、质量管理体系、原材料质量控制措施、生产过程质量控制措施、成品质量检验与验收标准、质量问题的处理与整改机制等，评标委员会进行综合评审：</w:t>
            </w:r>
          </w:p>
          <w:p w14:paraId="53D85539">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内容完整详实，涵盖原材料进厂检验、生产过程质量控制、成品出厂检测全流程；对板材甲醛释放量等环保指标有明确的现场复检方案和应急处理预案；质量追溯体系健全，能实现从原材料到成品的全链条溯源；环保保障措施具体可行，得5分；</w:t>
            </w:r>
          </w:p>
          <w:p w14:paraId="2982D2EF">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②质量控制方案内容完整，涵盖生产过程和出厂环节的质量控制；对环保指标有复检方案；具备基本的质量追溯能力；环保保障措施满足招标文件要求，得3分；</w:t>
            </w:r>
          </w:p>
          <w:p w14:paraId="40923801">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③</w:t>
            </w:r>
            <w:r>
              <w:rPr>
                <w:rFonts w:hint="eastAsia" w:ascii="仿宋" w:hAnsi="仿宋" w:eastAsia="仿宋" w:cs="仿宋"/>
                <w:color w:val="auto"/>
                <w:sz w:val="24"/>
                <w:highlight w:val="none"/>
                <w:lang w:val="en-US" w:eastAsia="zh-CN"/>
              </w:rPr>
              <w:t>质量控制方案内容简单，质量目标不够明确，质量控制措施存在缺项或不够具体，需要进一步完善的，得1分；</w:t>
            </w:r>
          </w:p>
          <w:p w14:paraId="552C0CD0">
            <w:pPr>
              <w:spacing w:line="360" w:lineRule="auto"/>
              <w:ind w:firstLine="435"/>
              <w:rPr>
                <w:rFonts w:hint="default"/>
                <w:color w:val="auto"/>
                <w:highlight w:val="none"/>
                <w:lang w:val="en-US" w:eastAsia="zh-CN"/>
              </w:rPr>
            </w:pPr>
            <w:r>
              <w:rPr>
                <w:rFonts w:hint="eastAsia" w:ascii="仿宋" w:hAnsi="仿宋" w:eastAsia="仿宋" w:cs="仿宋"/>
                <w:color w:val="auto"/>
                <w:sz w:val="24"/>
                <w:highlight w:val="none"/>
              </w:rPr>
              <w:t>④未提供的不得分</w:t>
            </w:r>
            <w:r>
              <w:rPr>
                <w:rFonts w:hint="eastAsia" w:ascii="仿宋" w:hAnsi="仿宋" w:eastAsia="仿宋" w:cs="仿宋"/>
                <w:color w:val="auto"/>
                <w:sz w:val="24"/>
                <w:highlight w:val="none"/>
                <w:lang w:val="en-US" w:eastAsia="zh-CN"/>
              </w:rPr>
              <w:t>。</w:t>
            </w:r>
          </w:p>
        </w:tc>
        <w:tc>
          <w:tcPr>
            <w:tcW w:w="596" w:type="pct"/>
            <w:tcBorders>
              <w:top w:val="single" w:color="auto" w:sz="4" w:space="0"/>
              <w:left w:val="single" w:color="auto" w:sz="4" w:space="0"/>
              <w:bottom w:val="single" w:color="auto" w:sz="4" w:space="0"/>
              <w:right w:val="single" w:color="auto" w:sz="4" w:space="0"/>
            </w:tcBorders>
            <w:vAlign w:val="center"/>
          </w:tcPr>
          <w:p w14:paraId="32FB503F">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0-5分</w:t>
            </w:r>
          </w:p>
        </w:tc>
      </w:tr>
      <w:tr w14:paraId="5869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jc w:val="center"/>
        </w:trPr>
        <w:tc>
          <w:tcPr>
            <w:tcW w:w="635" w:type="pct"/>
            <w:vMerge w:val="continue"/>
            <w:tcBorders>
              <w:left w:val="single" w:color="auto" w:sz="4" w:space="0"/>
              <w:right w:val="single" w:color="auto" w:sz="4" w:space="0"/>
            </w:tcBorders>
            <w:vAlign w:val="center"/>
          </w:tcPr>
          <w:p w14:paraId="1A13D116">
            <w:pPr>
              <w:spacing w:line="500" w:lineRule="exact"/>
              <w:ind w:firstLine="435"/>
              <w:jc w:val="center"/>
              <w:rPr>
                <w:rFonts w:hint="eastAsia" w:ascii="仿宋" w:hAnsi="仿宋" w:eastAsia="仿宋" w:cs="仿宋"/>
                <w:b/>
                <w:bCs/>
                <w:color w:val="auto"/>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14:paraId="54B4F806">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确保安全生产的技术组织措施</w:t>
            </w:r>
          </w:p>
        </w:tc>
        <w:tc>
          <w:tcPr>
            <w:tcW w:w="3158" w:type="pct"/>
            <w:tcBorders>
              <w:top w:val="single" w:color="auto" w:sz="4" w:space="0"/>
              <w:left w:val="single" w:color="auto" w:sz="4" w:space="0"/>
              <w:bottom w:val="single" w:color="auto" w:sz="4" w:space="0"/>
              <w:right w:val="single" w:color="auto" w:sz="4" w:space="0"/>
            </w:tcBorders>
            <w:shd w:val="clear" w:color="auto" w:fill="auto"/>
            <w:vAlign w:val="center"/>
          </w:tcPr>
          <w:p w14:paraId="4E55D593">
            <w:pPr>
              <w:spacing w:line="360" w:lineRule="auto"/>
              <w:ind w:firstLine="43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（1）有专门的安全管理人员和制度，且人员配备充足，制度健全，各道工序安全技术措施针对性强，符合实际且满足有关安全技术标准要求。现场防火、社会治安安全措施得力得5分；</w:t>
            </w:r>
          </w:p>
          <w:p w14:paraId="1E598EDB">
            <w:pPr>
              <w:spacing w:line="360" w:lineRule="auto"/>
              <w:ind w:firstLine="43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（2）有专门的安全管理人员和制度，且人员配备适中，制度完整，各道工序安全技术措施完善，满足项目需求得3分；</w:t>
            </w:r>
          </w:p>
          <w:p w14:paraId="323D2763">
            <w:pPr>
              <w:spacing w:line="360" w:lineRule="auto"/>
              <w:ind w:firstLine="43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（3）有专门的安全管理人员和制度，人员配备少，制度欠缺，部分存在不足的得1分。</w:t>
            </w:r>
          </w:p>
          <w:p w14:paraId="2151F8F3">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（4）不合格的或未提供的不得分。</w:t>
            </w: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14:paraId="0F564294">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0-5分</w:t>
            </w:r>
          </w:p>
        </w:tc>
      </w:tr>
      <w:tr w14:paraId="4417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8" w:hRule="atLeast"/>
          <w:jc w:val="center"/>
        </w:trPr>
        <w:tc>
          <w:tcPr>
            <w:tcW w:w="635" w:type="pct"/>
            <w:vMerge w:val="continue"/>
            <w:tcBorders>
              <w:left w:val="single" w:color="auto" w:sz="4" w:space="0"/>
              <w:right w:val="single" w:color="auto" w:sz="4" w:space="0"/>
            </w:tcBorders>
            <w:vAlign w:val="center"/>
          </w:tcPr>
          <w:p w14:paraId="79F07F76">
            <w:pPr>
              <w:spacing w:line="500" w:lineRule="exact"/>
              <w:ind w:firstLine="435"/>
              <w:jc w:val="center"/>
              <w:rPr>
                <w:rFonts w:hint="eastAsia" w:ascii="仿宋" w:hAnsi="仿宋" w:eastAsia="仿宋" w:cs="仿宋"/>
                <w:b/>
                <w:bCs/>
                <w:color w:val="auto"/>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14:paraId="77E6919A">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应急处置</w:t>
            </w:r>
            <w:r>
              <w:rPr>
                <w:rFonts w:hint="eastAsia" w:ascii="仿宋" w:hAnsi="仿宋" w:eastAsia="仿宋" w:cs="仿宋"/>
                <w:color w:val="auto"/>
                <w:sz w:val="24"/>
                <w:highlight w:val="none"/>
              </w:rPr>
              <w:t>方案</w:t>
            </w:r>
          </w:p>
        </w:tc>
        <w:tc>
          <w:tcPr>
            <w:tcW w:w="3158" w:type="pct"/>
            <w:tcBorders>
              <w:top w:val="single" w:color="auto" w:sz="4" w:space="0"/>
              <w:left w:val="single" w:color="auto" w:sz="4" w:space="0"/>
              <w:bottom w:val="single" w:color="auto" w:sz="4" w:space="0"/>
              <w:right w:val="single" w:color="auto" w:sz="4" w:space="0"/>
            </w:tcBorders>
            <w:shd w:val="clear" w:color="auto" w:fill="auto"/>
            <w:vAlign w:val="center"/>
          </w:tcPr>
          <w:p w14:paraId="28F2BAE5">
            <w:pPr>
              <w:spacing w:line="360" w:lineRule="auto"/>
              <w:ind w:firstLine="43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根据供应商提供的应急受理处置建立制度及相应措施进行评审，应急预案包括：应急服务保障措施、应急服务响应时间、重大或突发事件的人员配合、控制失误及其他相关服务等。</w:t>
            </w:r>
          </w:p>
          <w:p w14:paraId="5325A222">
            <w:pPr>
              <w:spacing w:line="360" w:lineRule="auto"/>
              <w:ind w:firstLine="43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（1）各项方案及处置措施详细完善、应急处理流程清晰，处理措施有效，能及时妥善解决各类突发事件、常态化进行日常演练的，得 5 分；</w:t>
            </w:r>
          </w:p>
          <w:p w14:paraId="0AC4319D">
            <w:pPr>
              <w:spacing w:line="360" w:lineRule="auto"/>
              <w:ind w:firstLine="43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（2）各项方案及处置措施完善、符合项目实施要求的，方案内容适合本项目采购需求的，得 </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分；</w:t>
            </w:r>
          </w:p>
          <w:p w14:paraId="0D9FAC6B">
            <w:pPr>
              <w:spacing w:line="360" w:lineRule="auto"/>
              <w:ind w:firstLine="43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（3）应急事故类型描述有缺失或应急措施缺少可实施性或缺少日常应急演练的，得 </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 xml:space="preserve"> 分；</w:t>
            </w:r>
          </w:p>
          <w:p w14:paraId="1D948547">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lang w:val="en-US" w:eastAsia="zh-CN"/>
              </w:rPr>
              <w:t>未能提供相应内容的不得分。</w:t>
            </w:r>
          </w:p>
        </w:tc>
        <w:tc>
          <w:tcPr>
            <w:tcW w:w="596" w:type="pct"/>
            <w:tcBorders>
              <w:top w:val="single" w:color="auto" w:sz="4" w:space="0"/>
              <w:left w:val="single" w:color="auto" w:sz="4" w:space="0"/>
              <w:bottom w:val="single" w:color="auto" w:sz="4" w:space="0"/>
              <w:right w:val="single" w:color="auto" w:sz="4" w:space="0"/>
            </w:tcBorders>
            <w:vAlign w:val="center"/>
          </w:tcPr>
          <w:p w14:paraId="7071CAF2">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0-5分</w:t>
            </w:r>
          </w:p>
        </w:tc>
      </w:tr>
      <w:tr w14:paraId="03E3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635" w:type="pct"/>
            <w:vMerge w:val="continue"/>
            <w:tcBorders>
              <w:left w:val="single" w:color="auto" w:sz="4" w:space="0"/>
              <w:right w:val="single" w:color="auto" w:sz="4" w:space="0"/>
            </w:tcBorders>
            <w:vAlign w:val="center"/>
          </w:tcPr>
          <w:p w14:paraId="474D9DCB">
            <w:pPr>
              <w:spacing w:line="500" w:lineRule="exact"/>
              <w:ind w:firstLine="435"/>
              <w:jc w:val="center"/>
              <w:rPr>
                <w:rFonts w:hint="eastAsia" w:ascii="仿宋" w:hAnsi="仿宋" w:eastAsia="仿宋" w:cs="仿宋"/>
                <w:b/>
                <w:bCs/>
                <w:color w:val="auto"/>
                <w:sz w:val="24"/>
                <w:szCs w:val="24"/>
                <w:highlight w:val="none"/>
              </w:rPr>
            </w:pPr>
          </w:p>
        </w:tc>
        <w:tc>
          <w:tcPr>
            <w:tcW w:w="610" w:type="pct"/>
            <w:tcBorders>
              <w:top w:val="single" w:color="auto" w:sz="4" w:space="0"/>
              <w:left w:val="single" w:color="auto" w:sz="4" w:space="0"/>
              <w:right w:val="single" w:color="auto" w:sz="4" w:space="0"/>
            </w:tcBorders>
            <w:vAlign w:val="center"/>
          </w:tcPr>
          <w:p w14:paraId="0D4F196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售后服务方案</w:t>
            </w:r>
          </w:p>
        </w:tc>
        <w:tc>
          <w:tcPr>
            <w:tcW w:w="3158" w:type="pct"/>
            <w:tcBorders>
              <w:top w:val="single" w:color="auto" w:sz="4" w:space="0"/>
              <w:left w:val="single" w:color="auto" w:sz="4" w:space="0"/>
              <w:right w:val="single" w:color="auto" w:sz="4" w:space="0"/>
            </w:tcBorders>
            <w:vAlign w:val="center"/>
          </w:tcPr>
          <w:p w14:paraId="41A7702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各投标人针对本项目提供售后服务方案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方案内容包括但不限于</w:t>
            </w:r>
            <w:r>
              <w:rPr>
                <w:rFonts w:hint="eastAsia" w:ascii="仿宋" w:hAnsi="仿宋" w:eastAsia="仿宋" w:cs="仿宋"/>
                <w:color w:val="auto"/>
                <w:sz w:val="24"/>
                <w:highlight w:val="none"/>
              </w:rPr>
              <w:t>售后服务响应时间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售后服务人员配备充足</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能满足项目后期的维保需要</w:t>
            </w:r>
            <w:r>
              <w:rPr>
                <w:rFonts w:hint="eastAsia" w:ascii="仿宋" w:hAnsi="仿宋" w:eastAsia="仿宋" w:cs="仿宋"/>
                <w:color w:val="auto"/>
                <w:sz w:val="24"/>
                <w:highlight w:val="none"/>
                <w:lang w:val="en-US" w:eastAsia="zh-CN"/>
              </w:rPr>
              <w:t>等，评标委员会进行综合评审：</w:t>
            </w:r>
          </w:p>
          <w:p w14:paraId="4CC82562">
            <w:pPr>
              <w:spacing w:line="360" w:lineRule="auto"/>
              <w:ind w:firstLine="43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①</w:t>
            </w:r>
            <w:r>
              <w:rPr>
                <w:rFonts w:hint="eastAsia" w:ascii="仿宋" w:hAnsi="仿宋" w:eastAsia="仿宋" w:cs="仿宋"/>
                <w:color w:val="auto"/>
                <w:sz w:val="24"/>
                <w:highlight w:val="none"/>
              </w:rPr>
              <w:t>售后服务措施详尽、维修响应时间及时、备件供应保障充足、人员售后配置详细、远程报修服务方案全面、实时维修统计详尽，能保障采购人获得高质量售后服务的，得5分</w:t>
            </w:r>
            <w:r>
              <w:rPr>
                <w:rFonts w:hint="eastAsia" w:ascii="仿宋" w:hAnsi="仿宋" w:eastAsia="仿宋" w:cs="仿宋"/>
                <w:color w:val="auto"/>
                <w:sz w:val="24"/>
                <w:highlight w:val="none"/>
                <w:lang w:eastAsia="zh-CN"/>
              </w:rPr>
              <w:t>；</w:t>
            </w:r>
          </w:p>
          <w:p w14:paraId="1BDEEE9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②</w:t>
            </w:r>
            <w:r>
              <w:rPr>
                <w:rFonts w:hint="eastAsia" w:ascii="仿宋" w:hAnsi="仿宋" w:eastAsia="仿宋" w:cs="仿宋"/>
                <w:color w:val="auto"/>
                <w:sz w:val="24"/>
                <w:highlight w:val="none"/>
              </w:rPr>
              <w:t>售后服务措施完整、维修响应时间及时、具有备件供应保障措施、配置售后人员、具有远程报修服务的，得3分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09A5846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③售后服务措施、维修响应时间、备件供应保障、配置售后人员、远程报修服务措施不全或存在不足的，得1分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75E9F87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④方案不能满足项目要求或未提供的不得分。</w:t>
            </w:r>
          </w:p>
        </w:tc>
        <w:tc>
          <w:tcPr>
            <w:tcW w:w="596" w:type="pct"/>
            <w:tcBorders>
              <w:top w:val="single" w:color="auto" w:sz="4" w:space="0"/>
              <w:left w:val="single" w:color="auto" w:sz="4" w:space="0"/>
              <w:bottom w:val="single" w:color="auto" w:sz="4" w:space="0"/>
              <w:right w:val="single" w:color="auto" w:sz="4" w:space="0"/>
            </w:tcBorders>
            <w:vAlign w:val="center"/>
          </w:tcPr>
          <w:p w14:paraId="14534E0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0-5分</w:t>
            </w:r>
          </w:p>
        </w:tc>
      </w:tr>
      <w:tr w14:paraId="6AA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tcBorders>
              <w:left w:val="single" w:color="auto" w:sz="4" w:space="0"/>
              <w:right w:val="single" w:color="auto" w:sz="4" w:space="0"/>
            </w:tcBorders>
            <w:vAlign w:val="center"/>
          </w:tcPr>
          <w:p w14:paraId="3572F22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价格分（</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分）</w:t>
            </w:r>
          </w:p>
        </w:tc>
        <w:tc>
          <w:tcPr>
            <w:tcW w:w="4364" w:type="pct"/>
            <w:gridSpan w:val="3"/>
            <w:tcBorders>
              <w:top w:val="single" w:color="auto" w:sz="4" w:space="0"/>
              <w:left w:val="single" w:color="auto" w:sz="4" w:space="0"/>
              <w:bottom w:val="single" w:color="auto" w:sz="4" w:space="0"/>
              <w:right w:val="single" w:color="auto" w:sz="4" w:space="0"/>
            </w:tcBorders>
            <w:vAlign w:val="center"/>
          </w:tcPr>
          <w:p w14:paraId="0EED35E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价格分统一采用低价优先法，即满足招标文件要求且投标价格最低的投标报价为评标基准价，其价格分为满分</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分。其他投标人的价格分统一按照下列公式计算：</w:t>
            </w:r>
          </w:p>
          <w:p w14:paraId="163F1EE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投标报价得分＝（评标基准价/投标报价）×</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％×100</w:t>
            </w:r>
          </w:p>
        </w:tc>
      </w:tr>
    </w:tbl>
    <w:p w14:paraId="38DDAAB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2.4.3分值汇总</w:t>
      </w:r>
    </w:p>
    <w:p w14:paraId="786955D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A86635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（2）将投标人的技术资信分加上根据上述标准计算出的价格分，即为该投标人的综合总得分。</w:t>
      </w:r>
    </w:p>
    <w:p w14:paraId="3672D21D">
      <w:pPr>
        <w:spacing w:line="360" w:lineRule="auto"/>
        <w:ind w:firstLine="435"/>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三、无效投标条款</w:t>
      </w:r>
    </w:p>
    <w:p w14:paraId="4A79A43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3.1投标文件有下列情形之一的,其投标文件拒收:</w:t>
      </w:r>
    </w:p>
    <w:p w14:paraId="5823A3A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 未在开标截止时间前通过网上招标投标系统递交有效电子投标文件的，开标系统不予接收，投标将被拒绝。</w:t>
      </w:r>
    </w:p>
    <w:p w14:paraId="61984DC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5C55D51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3.2投标人有下列情形之一的,资格审查后其投标作无效投标处理：</w:t>
      </w:r>
    </w:p>
    <w:p w14:paraId="732D966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(1)投标人为本项目提供招标代理服务的；</w:t>
      </w:r>
    </w:p>
    <w:p w14:paraId="03FD0B6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(2)投标人与在本项目代理机构存在相互任职或工作的；</w:t>
      </w:r>
    </w:p>
    <w:p w14:paraId="5CEAAA4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kern w:val="0"/>
          <w:sz w:val="24"/>
          <w:szCs w:val="24"/>
          <w:highlight w:val="none"/>
          <w:lang w:bidi="ar"/>
        </w:rPr>
        <w:t>与采购人存在利害关系可能影响采购公正性的法人、其他组织或者个人；</w:t>
      </w:r>
    </w:p>
    <w:p w14:paraId="4D02126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(4)招标公告写明专门面向中小企业采购，投标人提供的货物非中小企业制造的；</w:t>
      </w:r>
    </w:p>
    <w:p w14:paraId="2AB9675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(5)要求供应商以联合体形式参加采购活动，投标人非联合体或者联合协议中中小企业合同金额未达到应当达到的比例；</w:t>
      </w:r>
    </w:p>
    <w:p w14:paraId="2B6C60C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(6)要求获得采购合同的供应商向中小企业分包，投标人未提供分包意向协议或者分包意向协议中中小企业合同金额未达到应当达到的比例；</w:t>
      </w:r>
    </w:p>
    <w:p w14:paraId="7E079E9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(7)评标专家无法查看并检验电子投标文件中相关资料的；</w:t>
      </w:r>
    </w:p>
    <w:p w14:paraId="64B3B4E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(8)联合体投标未提交联合体协议的；</w:t>
      </w:r>
    </w:p>
    <w:p w14:paraId="3F832E4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(9)责令停产停业的；</w:t>
      </w:r>
    </w:p>
    <w:p w14:paraId="56FC214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(10)暂停或者取消参与政府采购项目资格的；</w:t>
      </w:r>
    </w:p>
    <w:p w14:paraId="71C5926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(11)投标人单位负责人为同一人或者存在直接控股、管理关系的不同单位的；</w:t>
      </w:r>
    </w:p>
    <w:p w14:paraId="42F5278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(12)投标人基本资格条件和特定资格条件中有一项及以上不符合要求的；</w:t>
      </w:r>
    </w:p>
    <w:p w14:paraId="7C2ECC2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6C943BF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(14)其它情形，经评标委员会委提出按无效投标处理，并经公共资源交易监督部门核准的；</w:t>
      </w:r>
    </w:p>
    <w:p w14:paraId="5FA3258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(15)投标人投标MAC地址一致，由评标委员会否决其投标；</w:t>
      </w:r>
    </w:p>
    <w:p w14:paraId="2F8033B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(16)投标人单方面出现其他投标人材料的；</w:t>
      </w:r>
    </w:p>
    <w:p w14:paraId="34E0EDD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(17)投标人联系人或联系电话相同的，由评标委员会否决其投标，并报告监管部门作不良行为处理和进一步调查；</w:t>
      </w:r>
    </w:p>
    <w:p w14:paraId="0C60869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(18)招标公告未写明允许采购进口产品，投标人所投产品为进口产品的；</w:t>
      </w:r>
    </w:p>
    <w:p w14:paraId="27AA636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(19)招标文件规定的其它无效投标情形。</w:t>
      </w:r>
    </w:p>
    <w:p w14:paraId="72A0479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3.3 投标人有下列情形之一的,符合性审查后其投标按无效投标处理：</w:t>
      </w:r>
    </w:p>
    <w:p w14:paraId="45CF626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(1)投标文件签字、盖章不全，经评标委员会一致认定对开评标内容有实质性影响并经公共资源交易监督部门核准的；</w:t>
      </w:r>
    </w:p>
    <w:p w14:paraId="26E793D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(2)未按规定的格式填写导致实质性内容不全以及实质上不响应，或者关键字迹模糊、无法辨认； 经公共资源交易监督部门核准的；</w:t>
      </w:r>
    </w:p>
    <w:p w14:paraId="5037332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(3)同一投标人提交两个以上不同的投标文件或者投标报价，但招标文件规定提交备选方案的除外；</w:t>
      </w:r>
    </w:p>
    <w:p w14:paraId="111FDA8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(4)投标文件没有对招标文件的实质性要求和条件作出响应;</w:t>
      </w:r>
    </w:p>
    <w:p w14:paraId="558F9DB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(5)投标报价超出规定的投标限价或公布的采购预算的或投标人的投标报价各项单价高于招标文件给定的单价最高限价；</w:t>
      </w:r>
    </w:p>
    <w:p w14:paraId="37F5F00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(6)不按评标委员会要求澄清、说明或补正的，或者评标委员会根据招标文件的规定对投标文件的计算错误进行修正后，投标人不接受修正的投标报价的。</w:t>
      </w:r>
    </w:p>
    <w:p w14:paraId="0939AB6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(7)其它情形，经评标委员会委提出按无效投标处理，并经公共资源交易监督部门核准的；</w:t>
      </w:r>
    </w:p>
    <w:p w14:paraId="7A81C99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(8)投标文件含有采购人不能接受的附加条件的；</w:t>
      </w:r>
    </w:p>
    <w:p w14:paraId="54C52D1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(9)招标文件规定的其它无效投标情形。</w:t>
      </w:r>
    </w:p>
    <w:p w14:paraId="0D03D31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3.4 投标人有下列情形之一的, 详细评审后其投标按无效投标处理：</w:t>
      </w:r>
    </w:p>
    <w:p w14:paraId="7B57E6D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(1)投标产品不符合必须强制执行的国家标准的；</w:t>
      </w:r>
    </w:p>
    <w:p w14:paraId="4E3EB5F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(2)投标人有串通投标、弄虚作假、行贿等违法行为；</w:t>
      </w:r>
    </w:p>
    <w:p w14:paraId="7184D06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(3)投标文件含有违反国家法律、法规的内容，或附有采购人不能接受的条件的；</w:t>
      </w:r>
    </w:p>
    <w:p w14:paraId="4E32168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(4)拒不确认评标委员会评审修正的投标无效；</w:t>
      </w:r>
    </w:p>
    <w:p w14:paraId="08FCC33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(5)其它情形，经评标委员会委提出按无效投标处理，并经公共资源交易监督部门核准的；</w:t>
      </w:r>
    </w:p>
    <w:p w14:paraId="26917AE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(6)招标文件规定的其它无效投标情形。</w:t>
      </w:r>
      <w:r>
        <w:rPr>
          <w:rFonts w:hint="eastAsia" w:ascii="仿宋" w:hAnsi="仿宋" w:eastAsia="仿宋" w:cs="仿宋"/>
          <w:color w:val="auto"/>
          <w:sz w:val="24"/>
          <w:highlight w:val="none"/>
        </w:rPr>
        <w:br w:type="page"/>
      </w:r>
    </w:p>
    <w:p w14:paraId="6B56B666">
      <w:pPr>
        <w:spacing w:line="360" w:lineRule="auto"/>
        <w:jc w:val="center"/>
        <w:outlineLvl w:val="0"/>
        <w:rPr>
          <w:rFonts w:hint="eastAsia" w:ascii="仿宋" w:hAnsi="仿宋" w:eastAsia="仿宋" w:cs="仿宋"/>
          <w:b/>
          <w:color w:val="auto"/>
          <w:sz w:val="28"/>
          <w:highlight w:val="none"/>
        </w:rPr>
      </w:pPr>
      <w:bookmarkStart w:id="26" w:name="_Toc4682"/>
      <w:r>
        <w:rPr>
          <w:rFonts w:hint="eastAsia" w:ascii="仿宋" w:hAnsi="仿宋" w:eastAsia="仿宋" w:cs="仿宋"/>
          <w:b/>
          <w:color w:val="auto"/>
          <w:sz w:val="28"/>
          <w:highlight w:val="none"/>
        </w:rPr>
        <w:t>第五章  政府采购合同</w:t>
      </w:r>
      <w:bookmarkEnd w:id="26"/>
    </w:p>
    <w:p w14:paraId="6A989A2F">
      <w:pPr>
        <w:pStyle w:val="11"/>
        <w:spacing w:after="0" w:line="360" w:lineRule="auto"/>
        <w:rPr>
          <w:rFonts w:hint="eastAsia" w:ascii="仿宋" w:hAnsi="仿宋" w:eastAsia="仿宋" w:cs="仿宋"/>
          <w:b/>
          <w:bCs/>
          <w:color w:val="auto"/>
          <w:spacing w:val="-20"/>
          <w:kern w:val="44"/>
          <w:sz w:val="24"/>
          <w:highlight w:val="none"/>
        </w:rPr>
      </w:pPr>
    </w:p>
    <w:p w14:paraId="2B15E3AD">
      <w:pPr>
        <w:pStyle w:val="11"/>
        <w:spacing w:after="0" w:line="360" w:lineRule="auto"/>
        <w:jc w:val="center"/>
        <w:rPr>
          <w:rFonts w:hint="eastAsia" w:ascii="仿宋" w:hAnsi="仿宋" w:eastAsia="仿宋" w:cs="仿宋"/>
          <w:b/>
          <w:bCs/>
          <w:color w:val="auto"/>
          <w:spacing w:val="-20"/>
          <w:kern w:val="44"/>
          <w:sz w:val="24"/>
          <w:highlight w:val="none"/>
        </w:rPr>
      </w:pPr>
    </w:p>
    <w:p w14:paraId="76A05F9A">
      <w:pPr>
        <w:spacing w:line="360" w:lineRule="auto"/>
        <w:jc w:val="center"/>
        <w:outlineLvl w:val="1"/>
        <w:rPr>
          <w:rFonts w:hint="eastAsia" w:ascii="仿宋" w:hAnsi="仿宋" w:eastAsia="仿宋" w:cs="仿宋"/>
          <w:b/>
          <w:color w:val="auto"/>
          <w:sz w:val="24"/>
          <w:highlight w:val="none"/>
        </w:rPr>
      </w:pPr>
    </w:p>
    <w:p w14:paraId="41397101">
      <w:pPr>
        <w:spacing w:line="360" w:lineRule="auto"/>
        <w:jc w:val="center"/>
        <w:outlineLvl w:val="1"/>
        <w:rPr>
          <w:rFonts w:hint="eastAsia" w:ascii="仿宋" w:hAnsi="仿宋" w:eastAsia="仿宋" w:cs="仿宋"/>
          <w:b/>
          <w:color w:val="auto"/>
          <w:sz w:val="24"/>
          <w:highlight w:val="none"/>
        </w:rPr>
      </w:pPr>
    </w:p>
    <w:p w14:paraId="5369D18A">
      <w:pPr>
        <w:spacing w:line="360" w:lineRule="auto"/>
        <w:jc w:val="center"/>
        <w:outlineLvl w:val="1"/>
        <w:rPr>
          <w:rFonts w:hint="eastAsia" w:ascii="仿宋" w:hAnsi="仿宋" w:eastAsia="仿宋" w:cs="仿宋"/>
          <w:b/>
          <w:color w:val="auto"/>
          <w:sz w:val="24"/>
          <w:highlight w:val="none"/>
        </w:rPr>
      </w:pPr>
    </w:p>
    <w:p w14:paraId="22DCE6C8">
      <w:pPr>
        <w:spacing w:line="360" w:lineRule="auto"/>
        <w:jc w:val="center"/>
        <w:outlineLvl w:val="1"/>
        <w:rPr>
          <w:rFonts w:hint="eastAsia" w:ascii="仿宋" w:hAnsi="仿宋" w:eastAsia="仿宋" w:cs="仿宋"/>
          <w:b/>
          <w:color w:val="auto"/>
          <w:sz w:val="24"/>
          <w:highlight w:val="none"/>
        </w:rPr>
      </w:pPr>
    </w:p>
    <w:p w14:paraId="126BB6BD">
      <w:pPr>
        <w:spacing w:line="360" w:lineRule="auto"/>
        <w:jc w:val="center"/>
        <w:outlineLvl w:val="1"/>
        <w:rPr>
          <w:rFonts w:hint="eastAsia" w:ascii="仿宋" w:hAnsi="仿宋" w:eastAsia="仿宋" w:cs="仿宋"/>
          <w:b/>
          <w:color w:val="auto"/>
          <w:sz w:val="24"/>
          <w:highlight w:val="none"/>
        </w:rPr>
      </w:pPr>
    </w:p>
    <w:p w14:paraId="2367FEA6">
      <w:pPr>
        <w:spacing w:line="480" w:lineRule="auto"/>
        <w:jc w:val="center"/>
        <w:rPr>
          <w:rFonts w:hint="eastAsia" w:ascii="仿宋" w:hAnsi="仿宋" w:eastAsia="仿宋" w:cs="仿宋"/>
          <w:b/>
          <w:color w:val="auto"/>
          <w:sz w:val="24"/>
          <w:szCs w:val="24"/>
          <w:highlight w:val="none"/>
        </w:rPr>
      </w:pPr>
    </w:p>
    <w:p w14:paraId="64497A96">
      <w:pPr>
        <w:spacing w:line="480" w:lineRule="auto"/>
        <w:jc w:val="center"/>
        <w:rPr>
          <w:rFonts w:hint="eastAsia" w:ascii="仿宋" w:hAnsi="仿宋" w:eastAsia="仿宋" w:cs="仿宋"/>
          <w:b/>
          <w:color w:val="auto"/>
          <w:sz w:val="24"/>
          <w:szCs w:val="24"/>
          <w:highlight w:val="none"/>
        </w:rPr>
      </w:pPr>
    </w:p>
    <w:p w14:paraId="36C4EBE5">
      <w:pPr>
        <w:spacing w:line="480" w:lineRule="auto"/>
        <w:jc w:val="center"/>
        <w:rPr>
          <w:rFonts w:hint="eastAsia" w:ascii="仿宋" w:hAnsi="仿宋" w:eastAsia="仿宋" w:cs="仿宋"/>
          <w:b/>
          <w:color w:val="auto"/>
          <w:sz w:val="24"/>
          <w:szCs w:val="24"/>
          <w:highlight w:val="none"/>
        </w:rPr>
      </w:pPr>
    </w:p>
    <w:p w14:paraId="464EBAA7">
      <w:pPr>
        <w:spacing w:line="480" w:lineRule="auto"/>
        <w:jc w:val="center"/>
        <w:rPr>
          <w:rFonts w:hint="eastAsia" w:ascii="仿宋" w:hAnsi="仿宋" w:eastAsia="仿宋" w:cs="仿宋"/>
          <w:b/>
          <w:color w:val="auto"/>
          <w:sz w:val="24"/>
          <w:szCs w:val="24"/>
          <w:highlight w:val="none"/>
        </w:rPr>
      </w:pPr>
    </w:p>
    <w:p w14:paraId="252330B2">
      <w:pPr>
        <w:spacing w:line="480" w:lineRule="auto"/>
        <w:jc w:val="center"/>
        <w:rPr>
          <w:rFonts w:hint="eastAsia" w:ascii="仿宋" w:hAnsi="仿宋" w:eastAsia="仿宋" w:cs="仿宋"/>
          <w:b/>
          <w:color w:val="auto"/>
          <w:sz w:val="24"/>
          <w:szCs w:val="24"/>
          <w:highlight w:val="none"/>
        </w:rPr>
      </w:pPr>
    </w:p>
    <w:p w14:paraId="3FF3D0B9">
      <w:pPr>
        <w:spacing w:line="480" w:lineRule="auto"/>
        <w:jc w:val="center"/>
        <w:rPr>
          <w:rFonts w:hint="eastAsia" w:ascii="仿宋" w:hAnsi="仿宋" w:eastAsia="仿宋" w:cs="仿宋"/>
          <w:b/>
          <w:color w:val="auto"/>
          <w:sz w:val="24"/>
          <w:szCs w:val="24"/>
          <w:highlight w:val="none"/>
        </w:rPr>
      </w:pPr>
    </w:p>
    <w:p w14:paraId="090E1EFF">
      <w:pPr>
        <w:spacing w:line="480" w:lineRule="auto"/>
        <w:jc w:val="center"/>
        <w:rPr>
          <w:rFonts w:hint="eastAsia" w:ascii="仿宋" w:hAnsi="仿宋" w:eastAsia="仿宋" w:cs="仿宋"/>
          <w:b/>
          <w:color w:val="auto"/>
          <w:sz w:val="24"/>
          <w:szCs w:val="24"/>
          <w:highlight w:val="none"/>
        </w:rPr>
      </w:pPr>
    </w:p>
    <w:p w14:paraId="4AED3E40">
      <w:pPr>
        <w:spacing w:before="120" w:line="480" w:lineRule="auto"/>
        <w:ind w:left="96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lang w:eastAsia="zh-CN"/>
        </w:rPr>
        <w:t>滁州市第一人民医院北区扩建医疗家具采购及安装项目</w:t>
      </w:r>
    </w:p>
    <w:p w14:paraId="7E80FB28">
      <w:pPr>
        <w:spacing w:before="120" w:line="480" w:lineRule="auto"/>
        <w:ind w:left="9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p>
    <w:p w14:paraId="543A5127">
      <w:pPr>
        <w:spacing w:before="120" w:line="480" w:lineRule="auto"/>
        <w:ind w:left="96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甲方（采购人）：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highlight w:val="none"/>
          <w:u w:val="single"/>
          <w:lang w:eastAsia="zh-CN"/>
        </w:rPr>
        <w:t>滁州市第一人民医院</w:t>
      </w:r>
      <w:r>
        <w:rPr>
          <w:rFonts w:hint="eastAsia" w:ascii="仿宋" w:hAnsi="仿宋" w:eastAsia="仿宋" w:cs="仿宋"/>
          <w:color w:val="auto"/>
          <w:sz w:val="24"/>
          <w:szCs w:val="24"/>
          <w:highlight w:val="none"/>
          <w:u w:val="single"/>
        </w:rPr>
        <w:t xml:space="preserve">     </w:t>
      </w:r>
    </w:p>
    <w:p w14:paraId="5BE4823C">
      <w:pPr>
        <w:spacing w:before="120" w:line="480" w:lineRule="auto"/>
        <w:ind w:left="96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乙方（中标人）：</w:t>
      </w:r>
      <w:r>
        <w:rPr>
          <w:rFonts w:hint="eastAsia" w:ascii="仿宋" w:hAnsi="仿宋" w:eastAsia="仿宋" w:cs="仿宋"/>
          <w:color w:val="auto"/>
          <w:sz w:val="24"/>
          <w:szCs w:val="24"/>
          <w:highlight w:val="none"/>
          <w:u w:val="single"/>
        </w:rPr>
        <w:t xml:space="preserve">                              </w:t>
      </w:r>
    </w:p>
    <w:p w14:paraId="6F21FD76">
      <w:pPr>
        <w:spacing w:before="120" w:line="480" w:lineRule="auto"/>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签订地：</w:t>
      </w:r>
      <w:r>
        <w:rPr>
          <w:rFonts w:hint="eastAsia" w:ascii="仿宋" w:hAnsi="仿宋" w:eastAsia="仿宋" w:cs="仿宋"/>
          <w:color w:val="auto"/>
          <w:sz w:val="24"/>
          <w:szCs w:val="24"/>
          <w:highlight w:val="none"/>
          <w:u w:val="single"/>
        </w:rPr>
        <w:t xml:space="preserve">                                     </w:t>
      </w:r>
    </w:p>
    <w:p w14:paraId="557EA0A8">
      <w:pPr>
        <w:spacing w:before="120" w:line="48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881E334">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5D69A9A">
      <w:pPr>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第一节 政府采购合同协议书</w:t>
      </w:r>
    </w:p>
    <w:p w14:paraId="09531B07">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w:t>
      </w:r>
    </w:p>
    <w:p w14:paraId="5672C832">
      <w:pPr>
        <w:adjustRightInd w:val="0"/>
        <w:snapToGrid w:val="0"/>
        <w:spacing w:line="360" w:lineRule="auto"/>
        <w:ind w:left="4800" w:hanging="4800" w:hangingChars="20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甲方（全称）：</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（采购人、受采购人委托签订合同的单位或采购文件约定的合同甲方）</w:t>
      </w:r>
    </w:p>
    <w:p w14:paraId="49C16820">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乙方1（全称）：</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（供应商）</w:t>
      </w:r>
    </w:p>
    <w:p w14:paraId="7BA70B66">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乙方2（全称）：</w:t>
      </w:r>
      <w:r>
        <w:rPr>
          <w:rFonts w:hint="eastAsia" w:ascii="仿宋" w:hAnsi="仿宋" w:eastAsia="仿宋" w:cs="仿宋"/>
          <w:color w:val="auto"/>
          <w:sz w:val="24"/>
          <w:szCs w:val="24"/>
          <w:highlight w:val="none"/>
          <w:u w:val="single"/>
          <w:lang w:bidi="ar"/>
        </w:rPr>
        <w:t xml:space="preserve">     /        </w:t>
      </w:r>
      <w:r>
        <w:rPr>
          <w:rFonts w:hint="eastAsia" w:ascii="仿宋" w:hAnsi="仿宋" w:eastAsia="仿宋" w:cs="仿宋"/>
          <w:color w:val="auto"/>
          <w:sz w:val="24"/>
          <w:szCs w:val="24"/>
          <w:highlight w:val="none"/>
          <w:lang w:bidi="ar"/>
        </w:rPr>
        <w:t>（联合体成员供应商或其他合同主体）（如有）</w:t>
      </w:r>
    </w:p>
    <w:p w14:paraId="16869770">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乙方3（全称）</w:t>
      </w:r>
      <w:r>
        <w:rPr>
          <w:rFonts w:hint="eastAsia" w:ascii="仿宋" w:hAnsi="仿宋" w:eastAsia="仿宋" w:cs="仿宋"/>
          <w:color w:val="auto"/>
          <w:sz w:val="24"/>
          <w:szCs w:val="24"/>
          <w:highlight w:val="none"/>
          <w:u w:val="single"/>
          <w:lang w:bidi="ar"/>
        </w:rPr>
        <w:t xml:space="preserve">     /         </w:t>
      </w:r>
      <w:r>
        <w:rPr>
          <w:rFonts w:hint="eastAsia" w:ascii="仿宋" w:hAnsi="仿宋" w:eastAsia="仿宋" w:cs="仿宋"/>
          <w:color w:val="auto"/>
          <w:sz w:val="24"/>
          <w:szCs w:val="24"/>
          <w:highlight w:val="none"/>
          <w:lang w:bidi="ar"/>
        </w:rPr>
        <w:t>（联合体成员供应商或其他合同主体）（如有）</w:t>
      </w:r>
    </w:p>
    <w:p w14:paraId="6F97C6F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w:t>
      </w:r>
    </w:p>
    <w:p w14:paraId="2057DCA9">
      <w:pPr>
        <w:pStyle w:val="23"/>
        <w:adjustRightInd w:val="0"/>
        <w:snapToGrid w:val="0"/>
        <w:spacing w:before="0" w:after="0" w:afterAutospacing="0" w:line="360" w:lineRule="auto"/>
        <w:ind w:firstLine="480" w:firstLineChars="200"/>
        <w:jc w:val="both"/>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bidi="ar"/>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2186DE2">
      <w:pPr>
        <w:numPr>
          <w:ilvl w:val="0"/>
          <w:numId w:val="3"/>
        </w:num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项目信息</w:t>
      </w:r>
    </w:p>
    <w:p w14:paraId="6BC92C48">
      <w:pPr>
        <w:numPr>
          <w:ilvl w:val="0"/>
          <w:numId w:val="4"/>
        </w:numPr>
        <w:adjustRightInd w:val="0"/>
        <w:snapToGrid w:val="0"/>
        <w:spacing w:line="360" w:lineRule="auto"/>
        <w:ind w:firstLine="480" w:firstLineChars="200"/>
        <w:rPr>
          <w:rFonts w:hint="eastAsia" w:ascii="仿宋" w:hAnsi="仿宋" w:eastAsia="仿宋" w:cs="仿宋"/>
          <w:color w:val="auto"/>
          <w:sz w:val="24"/>
          <w:szCs w:val="24"/>
          <w:highlight w:val="none"/>
          <w:u w:val="single"/>
          <w:lang w:bidi="ar"/>
        </w:rPr>
      </w:pPr>
      <w:r>
        <w:rPr>
          <w:rFonts w:hint="eastAsia" w:ascii="仿宋" w:hAnsi="仿宋" w:eastAsia="仿宋" w:cs="仿宋"/>
          <w:color w:val="auto"/>
          <w:sz w:val="24"/>
          <w:szCs w:val="24"/>
          <w:highlight w:val="none"/>
          <w:lang w:bidi="ar"/>
        </w:rPr>
        <w:t>采购项目名称：</w:t>
      </w:r>
      <w:r>
        <w:rPr>
          <w:rFonts w:hint="eastAsia" w:ascii="仿宋" w:hAnsi="仿宋" w:eastAsia="仿宋" w:cs="仿宋"/>
          <w:color w:val="auto"/>
          <w:sz w:val="24"/>
          <w:szCs w:val="24"/>
          <w:highlight w:val="none"/>
          <w:u w:val="single"/>
          <w:lang w:eastAsia="zh-CN" w:bidi="ar"/>
        </w:rPr>
        <w:t>滁州市第一人民医院北区扩建医疗家具采购及安装项目</w:t>
      </w:r>
      <w:r>
        <w:rPr>
          <w:rFonts w:hint="eastAsia" w:ascii="仿宋" w:hAnsi="仿宋" w:eastAsia="仿宋" w:cs="仿宋"/>
          <w:color w:val="auto"/>
          <w:sz w:val="24"/>
          <w:szCs w:val="24"/>
          <w:highlight w:val="none"/>
          <w:u w:val="single"/>
          <w:lang w:bidi="ar"/>
        </w:rPr>
        <w:t xml:space="preserve"> </w:t>
      </w:r>
    </w:p>
    <w:p w14:paraId="5B450C74">
      <w:pPr>
        <w:adjustRightInd w:val="0"/>
        <w:snapToGrid w:val="0"/>
        <w:spacing w:line="360" w:lineRule="auto"/>
        <w:ind w:firstLine="1200" w:firstLineChars="5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采购项目编号：</w:t>
      </w:r>
      <w:r>
        <w:rPr>
          <w:rFonts w:hint="eastAsia" w:ascii="仿宋" w:hAnsi="仿宋" w:eastAsia="仿宋" w:cs="仿宋"/>
          <w:color w:val="auto"/>
          <w:sz w:val="24"/>
          <w:szCs w:val="24"/>
          <w:highlight w:val="none"/>
          <w:u w:val="single"/>
          <w:lang w:bidi="ar"/>
        </w:rPr>
        <w:t xml:space="preserve">          </w:t>
      </w:r>
    </w:p>
    <w:p w14:paraId="6FF84AF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（2）采购计划编号：</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 xml:space="preserve"> </w:t>
      </w:r>
    </w:p>
    <w:p w14:paraId="4B70875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（3）项目内容：</w:t>
      </w:r>
    </w:p>
    <w:p w14:paraId="293620F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采购标的及数量（台/套/个/架/组等）：</w:t>
      </w:r>
      <w:r>
        <w:rPr>
          <w:rFonts w:hint="eastAsia" w:ascii="仿宋" w:hAnsi="仿宋" w:eastAsia="仿宋" w:cs="仿宋"/>
          <w:color w:val="auto"/>
          <w:sz w:val="24"/>
          <w:szCs w:val="24"/>
          <w:highlight w:val="none"/>
          <w:u w:val="single"/>
          <w:lang w:bidi="ar"/>
        </w:rPr>
        <w:t xml:space="preserve">   详见采购需求    </w:t>
      </w:r>
      <w:r>
        <w:rPr>
          <w:rFonts w:hint="eastAsia" w:ascii="仿宋" w:hAnsi="仿宋" w:eastAsia="仿宋" w:cs="仿宋"/>
          <w:color w:val="auto"/>
          <w:sz w:val="24"/>
          <w:szCs w:val="24"/>
          <w:highlight w:val="none"/>
          <w:lang w:bidi="ar"/>
        </w:rPr>
        <w:t xml:space="preserve">            </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 xml:space="preserve"> </w:t>
      </w:r>
    </w:p>
    <w:p w14:paraId="2F1F1BA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品牌：</w:t>
      </w:r>
      <w:r>
        <w:rPr>
          <w:rFonts w:hint="eastAsia" w:ascii="仿宋" w:hAnsi="仿宋" w:eastAsia="仿宋" w:cs="仿宋"/>
          <w:color w:val="auto"/>
          <w:sz w:val="24"/>
          <w:szCs w:val="24"/>
          <w:highlight w:val="none"/>
          <w:u w:val="single"/>
          <w:lang w:bidi="ar"/>
        </w:rPr>
        <w:t xml:space="preserve">     /        </w:t>
      </w:r>
      <w:r>
        <w:rPr>
          <w:rFonts w:hint="eastAsia" w:ascii="仿宋" w:hAnsi="仿宋" w:eastAsia="仿宋" w:cs="仿宋"/>
          <w:color w:val="auto"/>
          <w:sz w:val="24"/>
          <w:szCs w:val="24"/>
          <w:highlight w:val="none"/>
          <w:lang w:bidi="ar"/>
        </w:rPr>
        <w:t xml:space="preserve">     规格型号：</w:t>
      </w:r>
      <w:r>
        <w:rPr>
          <w:rFonts w:hint="eastAsia" w:ascii="仿宋" w:hAnsi="仿宋" w:eastAsia="仿宋" w:cs="仿宋"/>
          <w:color w:val="auto"/>
          <w:sz w:val="24"/>
          <w:szCs w:val="24"/>
          <w:highlight w:val="none"/>
          <w:u w:val="single"/>
          <w:lang w:bidi="ar"/>
        </w:rPr>
        <w:t xml:space="preserve">    /       </w:t>
      </w:r>
    </w:p>
    <w:p w14:paraId="1764A669">
      <w:pPr>
        <w:adjustRightInd w:val="0"/>
        <w:snapToGrid w:val="0"/>
        <w:spacing w:line="360" w:lineRule="auto"/>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采购标的的技术要求、商务要求具体见附件。</w:t>
      </w:r>
    </w:p>
    <w:p w14:paraId="724E9A8B">
      <w:pPr>
        <w:adjustRightInd w:val="0"/>
        <w:snapToGrid w:val="0"/>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①涉及信息类产品，请填写该产品关键部件的品牌、型号：</w:t>
      </w:r>
    </w:p>
    <w:p w14:paraId="1AA2A461">
      <w:pPr>
        <w:adjustRightInd w:val="0"/>
        <w:snapToGrid w:val="0"/>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lang w:bidi="ar"/>
        </w:rPr>
        <w:t xml:space="preserve">     标的名称：</w:t>
      </w:r>
      <w:r>
        <w:rPr>
          <w:rFonts w:hint="eastAsia" w:ascii="仿宋" w:hAnsi="仿宋" w:eastAsia="仿宋" w:cs="仿宋"/>
          <w:color w:val="auto"/>
          <w:kern w:val="0"/>
          <w:sz w:val="24"/>
          <w:szCs w:val="24"/>
          <w:highlight w:val="none"/>
          <w:u w:val="single"/>
          <w:lang w:bidi="ar"/>
        </w:rPr>
        <w:t xml:space="preserve">                         </w:t>
      </w:r>
    </w:p>
    <w:p w14:paraId="7DD874E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关键部件：</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color w:val="auto"/>
          <w:sz w:val="24"/>
          <w:szCs w:val="24"/>
          <w:highlight w:val="none"/>
          <w:lang w:bidi="ar"/>
        </w:rPr>
        <w:t>品牌：</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 xml:space="preserve"> 型号：</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 xml:space="preserve"> </w:t>
      </w:r>
    </w:p>
    <w:p w14:paraId="251DD71E">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 xml:space="preserve">     </w:t>
      </w:r>
      <w:r>
        <w:rPr>
          <w:rFonts w:hint="eastAsia" w:ascii="仿宋" w:hAnsi="仿宋" w:eastAsia="仿宋" w:cs="仿宋"/>
          <w:color w:val="auto"/>
          <w:kern w:val="2"/>
          <w:szCs w:val="24"/>
          <w:highlight w:val="none"/>
          <w:lang w:bidi="ar"/>
        </w:rPr>
        <w:t>关键部件</w:t>
      </w:r>
      <w:r>
        <w:rPr>
          <w:rFonts w:hint="eastAsia" w:ascii="仿宋" w:hAnsi="仿宋" w:eastAsia="仿宋" w:cs="仿宋"/>
          <w:color w:val="auto"/>
          <w:szCs w:val="24"/>
          <w:highlight w:val="none"/>
          <w:lang w:bidi="ar"/>
        </w:rPr>
        <w:t>：</w:t>
      </w:r>
      <w:r>
        <w:rPr>
          <w:rFonts w:hint="eastAsia" w:ascii="仿宋" w:hAnsi="仿宋" w:eastAsia="仿宋" w:cs="仿宋"/>
          <w:color w:val="auto"/>
          <w:szCs w:val="24"/>
          <w:highlight w:val="none"/>
          <w:u w:val="single"/>
          <w:lang w:bidi="ar"/>
        </w:rPr>
        <w:t xml:space="preserve">          </w:t>
      </w:r>
      <w:r>
        <w:rPr>
          <w:rFonts w:hint="eastAsia" w:ascii="仿宋" w:hAnsi="仿宋" w:eastAsia="仿宋" w:cs="仿宋"/>
          <w:color w:val="auto"/>
          <w:szCs w:val="24"/>
          <w:highlight w:val="none"/>
          <w:lang w:bidi="ar"/>
        </w:rPr>
        <w:t xml:space="preserve"> 品牌：</w:t>
      </w:r>
      <w:r>
        <w:rPr>
          <w:rFonts w:hint="eastAsia" w:ascii="仿宋" w:hAnsi="仿宋" w:eastAsia="仿宋" w:cs="仿宋"/>
          <w:color w:val="auto"/>
          <w:szCs w:val="24"/>
          <w:highlight w:val="none"/>
          <w:u w:val="single"/>
          <w:lang w:bidi="ar"/>
        </w:rPr>
        <w:t xml:space="preserve">        </w:t>
      </w:r>
      <w:r>
        <w:rPr>
          <w:rFonts w:hint="eastAsia" w:ascii="仿宋" w:hAnsi="仿宋" w:eastAsia="仿宋" w:cs="仿宋"/>
          <w:color w:val="auto"/>
          <w:szCs w:val="24"/>
          <w:highlight w:val="none"/>
          <w:lang w:bidi="ar"/>
        </w:rPr>
        <w:t xml:space="preserve"> 型号：</w:t>
      </w:r>
      <w:r>
        <w:rPr>
          <w:rFonts w:hint="eastAsia" w:ascii="仿宋" w:hAnsi="仿宋" w:eastAsia="仿宋" w:cs="仿宋"/>
          <w:color w:val="auto"/>
          <w:szCs w:val="24"/>
          <w:highlight w:val="none"/>
          <w:u w:val="single"/>
          <w:lang w:bidi="ar"/>
        </w:rPr>
        <w:t xml:space="preserve">       </w:t>
      </w:r>
      <w:r>
        <w:rPr>
          <w:rFonts w:hint="eastAsia" w:ascii="仿宋" w:hAnsi="仿宋" w:eastAsia="仿宋" w:cs="仿宋"/>
          <w:color w:val="auto"/>
          <w:szCs w:val="24"/>
          <w:highlight w:val="none"/>
          <w:lang w:bidi="ar"/>
        </w:rPr>
        <w:t xml:space="preserve"> </w:t>
      </w:r>
    </w:p>
    <w:p w14:paraId="7F46144F">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 xml:space="preserve">     关键部件：</w:t>
      </w:r>
      <w:r>
        <w:rPr>
          <w:rFonts w:hint="eastAsia" w:ascii="仿宋" w:hAnsi="仿宋" w:eastAsia="仿宋" w:cs="仿宋"/>
          <w:color w:val="auto"/>
          <w:szCs w:val="24"/>
          <w:highlight w:val="none"/>
          <w:u w:val="single"/>
          <w:lang w:bidi="ar"/>
        </w:rPr>
        <w:t xml:space="preserve">          </w:t>
      </w:r>
      <w:r>
        <w:rPr>
          <w:rFonts w:hint="eastAsia" w:ascii="仿宋" w:hAnsi="仿宋" w:eastAsia="仿宋" w:cs="仿宋"/>
          <w:color w:val="auto"/>
          <w:szCs w:val="24"/>
          <w:highlight w:val="none"/>
          <w:lang w:bidi="ar"/>
        </w:rPr>
        <w:t xml:space="preserve"> 品牌：</w:t>
      </w:r>
      <w:r>
        <w:rPr>
          <w:rFonts w:hint="eastAsia" w:ascii="仿宋" w:hAnsi="仿宋" w:eastAsia="仿宋" w:cs="仿宋"/>
          <w:color w:val="auto"/>
          <w:szCs w:val="24"/>
          <w:highlight w:val="none"/>
          <w:u w:val="single"/>
          <w:lang w:bidi="ar"/>
        </w:rPr>
        <w:t xml:space="preserve">        </w:t>
      </w:r>
      <w:r>
        <w:rPr>
          <w:rFonts w:hint="eastAsia" w:ascii="仿宋" w:hAnsi="仿宋" w:eastAsia="仿宋" w:cs="仿宋"/>
          <w:color w:val="auto"/>
          <w:szCs w:val="24"/>
          <w:highlight w:val="none"/>
          <w:lang w:bidi="ar"/>
        </w:rPr>
        <w:t xml:space="preserve"> 型号：</w:t>
      </w:r>
      <w:r>
        <w:rPr>
          <w:rFonts w:hint="eastAsia" w:ascii="仿宋" w:hAnsi="仿宋" w:eastAsia="仿宋" w:cs="仿宋"/>
          <w:color w:val="auto"/>
          <w:szCs w:val="24"/>
          <w:highlight w:val="none"/>
          <w:u w:val="single"/>
          <w:lang w:bidi="ar"/>
        </w:rPr>
        <w:t xml:space="preserve">       </w:t>
      </w:r>
    </w:p>
    <w:p w14:paraId="11CDF1F5">
      <w:pPr>
        <w:pStyle w:val="23"/>
        <w:widowControl/>
        <w:autoSpaceDE w:val="0"/>
        <w:autoSpaceDN w:val="0"/>
        <w:adjustRightInd w:val="0"/>
        <w:snapToGrid w:val="0"/>
        <w:spacing w:before="0" w:beforeAutospacing="0" w:after="0" w:afterAutospacing="0" w:line="360" w:lineRule="auto"/>
        <w:ind w:firstLine="480" w:firstLineChars="200"/>
        <w:rPr>
          <w:rFonts w:hint="eastAsia" w:ascii="仿宋" w:hAnsi="仿宋" w:eastAsia="仿宋" w:cs="仿宋"/>
          <w:color w:val="auto"/>
          <w:kern w:val="2"/>
          <w:szCs w:val="24"/>
          <w:highlight w:val="none"/>
          <w:lang w:bidi="ar"/>
        </w:rPr>
      </w:pPr>
      <w:r>
        <w:rPr>
          <w:rFonts w:hint="eastAsia" w:ascii="仿宋" w:hAnsi="仿宋" w:eastAsia="仿宋" w:cs="仿宋"/>
          <w:color w:val="auto"/>
          <w:szCs w:val="24"/>
          <w:highlight w:val="none"/>
          <w:lang w:bidi="ar"/>
        </w:rPr>
        <w:t>（注：关键部件是指财政部会同有关部门发布的政府采购需求标准规定的需要通过国家有关部门指定的测评机构开展的安全可靠测评的软硬件，如CPU芯片、操作系统、数据库等。）</w:t>
      </w:r>
    </w:p>
    <w:p w14:paraId="709DA0D4">
      <w:pPr>
        <w:adjustRightInd w:val="0"/>
        <w:snapToGrid w:val="0"/>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②</w:t>
      </w:r>
      <w:r>
        <w:rPr>
          <w:rFonts w:hint="eastAsia" w:ascii="仿宋" w:hAnsi="仿宋" w:eastAsia="仿宋" w:cs="仿宋"/>
          <w:color w:val="auto"/>
          <w:kern w:val="0"/>
          <w:sz w:val="24"/>
          <w:szCs w:val="24"/>
          <w:highlight w:val="none"/>
          <w:lang w:bidi="ar"/>
        </w:rPr>
        <w:t>涉及车辆采购，请填写是否属于新能源汽车：</w:t>
      </w:r>
    </w:p>
    <w:p w14:paraId="527423CF">
      <w:pPr>
        <w:pStyle w:val="23"/>
        <w:widowControl/>
        <w:autoSpaceDE w:val="0"/>
        <w:autoSpaceDN w:val="0"/>
        <w:adjustRightInd w:val="0"/>
        <w:snapToGri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 xml:space="preserve">    □是，《政府采购品目分类目录》底级品目名称：</w:t>
      </w:r>
      <w:r>
        <w:rPr>
          <w:rFonts w:hint="eastAsia" w:ascii="仿宋" w:hAnsi="仿宋" w:eastAsia="仿宋" w:cs="仿宋"/>
          <w:color w:val="auto"/>
          <w:szCs w:val="24"/>
          <w:highlight w:val="none"/>
          <w:u w:val="single"/>
          <w:lang w:bidi="ar"/>
        </w:rPr>
        <w:t xml:space="preserve">  /  </w:t>
      </w:r>
      <w:r>
        <w:rPr>
          <w:rFonts w:hint="eastAsia" w:ascii="仿宋" w:hAnsi="仿宋" w:eastAsia="仿宋" w:cs="仿宋"/>
          <w:color w:val="auto"/>
          <w:szCs w:val="24"/>
          <w:highlight w:val="none"/>
          <w:lang w:bidi="ar"/>
        </w:rPr>
        <w:t xml:space="preserve"> 数量：</w:t>
      </w:r>
      <w:r>
        <w:rPr>
          <w:rFonts w:hint="eastAsia" w:ascii="仿宋" w:hAnsi="仿宋" w:eastAsia="仿宋" w:cs="仿宋"/>
          <w:color w:val="auto"/>
          <w:szCs w:val="24"/>
          <w:highlight w:val="none"/>
          <w:u w:val="single"/>
          <w:lang w:bidi="ar"/>
        </w:rPr>
        <w:t xml:space="preserve">  / </w:t>
      </w:r>
      <w:r>
        <w:rPr>
          <w:rFonts w:hint="eastAsia" w:ascii="仿宋" w:hAnsi="仿宋" w:eastAsia="仿宋" w:cs="仿宋"/>
          <w:color w:val="auto"/>
          <w:szCs w:val="24"/>
          <w:highlight w:val="none"/>
          <w:lang w:bidi="ar"/>
        </w:rPr>
        <w:t xml:space="preserve"> 金额：</w:t>
      </w:r>
      <w:r>
        <w:rPr>
          <w:rFonts w:hint="eastAsia" w:ascii="仿宋" w:hAnsi="仿宋" w:eastAsia="仿宋" w:cs="仿宋"/>
          <w:color w:val="auto"/>
          <w:szCs w:val="24"/>
          <w:highlight w:val="none"/>
          <w:u w:val="single"/>
          <w:lang w:bidi="ar"/>
        </w:rPr>
        <w:t xml:space="preserve"> /  </w:t>
      </w:r>
      <w:r>
        <w:rPr>
          <w:rFonts w:hint="eastAsia" w:ascii="仿宋" w:hAnsi="仿宋" w:eastAsia="仿宋" w:cs="仿宋"/>
          <w:color w:val="auto"/>
          <w:szCs w:val="24"/>
          <w:highlight w:val="none"/>
          <w:lang w:bidi="ar"/>
        </w:rPr>
        <w:t xml:space="preserve"> </w:t>
      </w:r>
    </w:p>
    <w:p w14:paraId="5957F752">
      <w:pPr>
        <w:pStyle w:val="23"/>
        <w:widowControl/>
        <w:autoSpaceDE w:val="0"/>
        <w:autoSpaceDN w:val="0"/>
        <w:adjustRightInd w:val="0"/>
        <w:snapToGri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 xml:space="preserve">         ☑否</w:t>
      </w:r>
    </w:p>
    <w:p w14:paraId="69BA1F5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（4）政府采购组织形式：☑政府集中采购  □部门集中采购  □分散采购</w:t>
      </w:r>
    </w:p>
    <w:p w14:paraId="5E46E68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（5）政府采购方式：☑公开招标 □邀请招标 □竞争性谈判 □竞争性磋商</w:t>
      </w:r>
    </w:p>
    <w:p w14:paraId="05D7D3D4">
      <w:pPr>
        <w:pStyle w:val="23"/>
        <w:widowControl/>
        <w:autoSpaceDE w:val="0"/>
        <w:autoSpaceDN w:val="0"/>
        <w:adjustRightInd w:val="0"/>
        <w:snapToGrid w:val="0"/>
        <w:spacing w:before="0" w:beforeAutospacing="0" w:after="0" w:afterAutospacing="0" w:line="360" w:lineRule="auto"/>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bidi="ar"/>
        </w:rPr>
        <w:t xml:space="preserve">                  □询价 □单一来源 □框架协议 □其他：</w:t>
      </w:r>
      <w:r>
        <w:rPr>
          <w:rFonts w:hint="eastAsia" w:ascii="仿宋" w:hAnsi="仿宋" w:eastAsia="仿宋" w:cs="仿宋"/>
          <w:color w:val="auto"/>
          <w:szCs w:val="24"/>
          <w:highlight w:val="none"/>
          <w:u w:val="single"/>
          <w:lang w:bidi="ar"/>
        </w:rPr>
        <w:t xml:space="preserve">   /   </w:t>
      </w:r>
    </w:p>
    <w:p w14:paraId="1AB8D4D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（6）</w:t>
      </w:r>
      <w:r>
        <w:rPr>
          <w:rFonts w:hint="eastAsia" w:ascii="仿宋" w:hAnsi="仿宋" w:eastAsia="仿宋" w:cs="仿宋"/>
          <w:color w:val="auto"/>
          <w:sz w:val="24"/>
          <w:szCs w:val="24"/>
          <w:highlight w:val="none"/>
          <w:lang w:bidi="ar"/>
        </w:rPr>
        <w:t>中标（成交）采购标的制造商是否为中小企业：☑是      □否</w:t>
      </w:r>
    </w:p>
    <w:p w14:paraId="6DD498D6">
      <w:pPr>
        <w:adjustRightInd w:val="0"/>
        <w:snapToGrid w:val="0"/>
        <w:spacing w:line="360" w:lineRule="auto"/>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bidi="ar"/>
        </w:rPr>
        <w:t xml:space="preserve">        本合同是否为专门面向中小企业的采购合同（中小企业预留合同）：</w:t>
      </w:r>
      <w:r>
        <w:rPr>
          <w:rFonts w:hint="eastAsia" w:ascii="仿宋" w:hAnsi="仿宋" w:eastAsia="仿宋" w:cs="仿宋"/>
          <w:iCs/>
          <w:color w:val="auto"/>
          <w:sz w:val="24"/>
          <w:szCs w:val="24"/>
          <w:highlight w:val="none"/>
          <w:lang w:bidi="ar"/>
        </w:rPr>
        <w:t>☑是    □否</w:t>
      </w:r>
    </w:p>
    <w:p w14:paraId="5599A744">
      <w:pPr>
        <w:adjustRightInd w:val="0"/>
        <w:snapToGrid w:val="0"/>
        <w:spacing w:line="360" w:lineRule="auto"/>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bidi="ar"/>
        </w:rPr>
        <w:t xml:space="preserve">        若本项目不专门面向中小企业采购，是否给予小微企业评审优惠：</w:t>
      </w:r>
      <w:r>
        <w:rPr>
          <w:rFonts w:hint="eastAsia" w:ascii="仿宋" w:hAnsi="仿宋" w:eastAsia="仿宋" w:cs="仿宋"/>
          <w:iCs/>
          <w:color w:val="auto"/>
          <w:sz w:val="24"/>
          <w:szCs w:val="24"/>
          <w:highlight w:val="none"/>
          <w:lang w:bidi="ar"/>
        </w:rPr>
        <w:t>□是   □否</w:t>
      </w:r>
    </w:p>
    <w:p w14:paraId="2C6CF7CC">
      <w:pPr>
        <w:adjustRightInd w:val="0"/>
        <w:snapToGrid w:val="0"/>
        <w:spacing w:line="360" w:lineRule="auto"/>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bidi="ar"/>
        </w:rPr>
        <w:t xml:space="preserve">        中标（成交）采购标的制造商是否为残疾人福利性单位：</w:t>
      </w:r>
      <w:r>
        <w:rPr>
          <w:rFonts w:hint="eastAsia" w:ascii="仿宋" w:hAnsi="仿宋" w:eastAsia="仿宋" w:cs="仿宋"/>
          <w:iCs/>
          <w:color w:val="auto"/>
          <w:sz w:val="24"/>
          <w:szCs w:val="24"/>
          <w:highlight w:val="none"/>
          <w:lang w:bidi="ar"/>
        </w:rPr>
        <w:t>□是   □否</w:t>
      </w:r>
    </w:p>
    <w:p w14:paraId="437041B1">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中标（成交）采购标的制造商是否为监狱企业：</w:t>
      </w:r>
      <w:r>
        <w:rPr>
          <w:rFonts w:hint="eastAsia" w:ascii="仿宋" w:hAnsi="仿宋" w:eastAsia="仿宋" w:cs="仿宋"/>
          <w:iCs/>
          <w:color w:val="auto"/>
          <w:sz w:val="24"/>
          <w:szCs w:val="24"/>
          <w:highlight w:val="none"/>
          <w:lang w:bidi="ar"/>
        </w:rPr>
        <w:t>□是      □否</w:t>
      </w:r>
    </w:p>
    <w:p w14:paraId="5F000B6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（7）合同是否分包：</w:t>
      </w:r>
      <w:r>
        <w:rPr>
          <w:rFonts w:hint="eastAsia" w:ascii="仿宋" w:hAnsi="仿宋" w:eastAsia="仿宋" w:cs="仿宋"/>
          <w:iCs/>
          <w:color w:val="auto"/>
          <w:sz w:val="24"/>
          <w:szCs w:val="24"/>
          <w:highlight w:val="none"/>
          <w:lang w:bidi="ar"/>
        </w:rPr>
        <w:t>□是       ☑否</w:t>
      </w:r>
    </w:p>
    <w:p w14:paraId="1D0C9906">
      <w:pPr>
        <w:adjustRightInd w:val="0"/>
        <w:snapToGrid w:val="0"/>
        <w:spacing w:line="360" w:lineRule="auto"/>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分包主要内容：</w:t>
      </w:r>
      <w:r>
        <w:rPr>
          <w:rFonts w:hint="eastAsia" w:ascii="仿宋" w:hAnsi="仿宋" w:eastAsia="仿宋" w:cs="仿宋"/>
          <w:color w:val="auto"/>
          <w:sz w:val="24"/>
          <w:szCs w:val="24"/>
          <w:highlight w:val="none"/>
          <w:u w:val="single"/>
          <w:lang w:bidi="ar"/>
        </w:rPr>
        <w:t xml:space="preserve">     /                                      </w:t>
      </w:r>
    </w:p>
    <w:p w14:paraId="44A75AF4">
      <w:pPr>
        <w:adjustRightInd w:val="0"/>
        <w:snapToGrid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分包供应商/制造商名称（如供应商和制造商不同，请分别填写）：</w:t>
      </w:r>
    </w:p>
    <w:p w14:paraId="65589ED0">
      <w:pPr>
        <w:adjustRightInd w:val="0"/>
        <w:snapToGrid w:val="0"/>
        <w:spacing w:line="360" w:lineRule="auto"/>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bidi="ar"/>
        </w:rPr>
        <w:t xml:space="preserve">                /                                         </w:t>
      </w:r>
    </w:p>
    <w:p w14:paraId="2E2F7504">
      <w:pPr>
        <w:adjustRightInd w:val="0"/>
        <w:snapToGrid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分包供应商/制造商类型（如果供应商和制造商不同，只填写制造商类型）：</w:t>
      </w:r>
    </w:p>
    <w:p w14:paraId="7D6BA4FE">
      <w:pPr>
        <w:adjustRightInd w:val="0"/>
        <w:snapToGrid w:val="0"/>
        <w:spacing w:line="360" w:lineRule="auto"/>
        <w:ind w:firstLine="960" w:firstLineChars="400"/>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bidi="ar"/>
        </w:rPr>
        <w:t xml:space="preserve">□大型企业  □中型企业  □小微型企业  </w:t>
      </w:r>
    </w:p>
    <w:p w14:paraId="710CBFBA">
      <w:pPr>
        <w:adjustRightInd w:val="0"/>
        <w:snapToGrid w:val="0"/>
        <w:spacing w:line="360" w:lineRule="auto"/>
        <w:ind w:firstLine="960" w:firstLineChars="400"/>
        <w:rPr>
          <w:rFonts w:hint="eastAsia" w:ascii="仿宋" w:hAnsi="仿宋" w:eastAsia="仿宋" w:cs="仿宋"/>
          <w:color w:val="auto"/>
          <w:sz w:val="24"/>
          <w:szCs w:val="24"/>
          <w:highlight w:val="none"/>
          <w:lang w:bidi="ar"/>
        </w:rPr>
      </w:pPr>
      <w:r>
        <w:rPr>
          <w:rFonts w:hint="eastAsia" w:ascii="仿宋" w:hAnsi="仿宋" w:eastAsia="仿宋" w:cs="仿宋"/>
          <w:iCs/>
          <w:color w:val="auto"/>
          <w:sz w:val="24"/>
          <w:szCs w:val="24"/>
          <w:highlight w:val="none"/>
          <w:lang w:bidi="ar"/>
        </w:rPr>
        <w:t>□残疾人福利性单位 □监狱企业 □其他</w:t>
      </w:r>
    </w:p>
    <w:p w14:paraId="4793AB67">
      <w:pPr>
        <w:adjustRightInd w:val="0"/>
        <w:snapToGrid w:val="0"/>
        <w:spacing w:line="360" w:lineRule="auto"/>
        <w:ind w:firstLine="480" w:firstLineChars="200"/>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bidi="ar"/>
        </w:rPr>
        <w:t>（8）中标（成交）供应商是否为外商投资企业：</w:t>
      </w:r>
      <w:r>
        <w:rPr>
          <w:rFonts w:hint="eastAsia" w:ascii="仿宋" w:hAnsi="仿宋" w:eastAsia="仿宋" w:cs="仿宋"/>
          <w:iCs/>
          <w:color w:val="auto"/>
          <w:sz w:val="24"/>
          <w:szCs w:val="24"/>
          <w:highlight w:val="none"/>
          <w:lang w:bidi="ar"/>
        </w:rPr>
        <w:t>□是       □否</w:t>
      </w:r>
    </w:p>
    <w:p w14:paraId="10FE6EBA">
      <w:pPr>
        <w:pStyle w:val="23"/>
        <w:widowControl/>
        <w:tabs>
          <w:tab w:val="left" w:pos="1340"/>
        </w:tabs>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bidi="ar"/>
        </w:rPr>
        <w:t xml:space="preserve">    外商投资企业类型：</w:t>
      </w:r>
      <w:r>
        <w:rPr>
          <w:rFonts w:hint="eastAsia" w:ascii="仿宋" w:hAnsi="仿宋" w:eastAsia="仿宋" w:cs="仿宋"/>
          <w:iCs/>
          <w:color w:val="auto"/>
          <w:szCs w:val="24"/>
          <w:highlight w:val="none"/>
          <w:lang w:bidi="ar"/>
        </w:rPr>
        <w:t>□</w:t>
      </w:r>
      <w:r>
        <w:rPr>
          <w:rFonts w:hint="eastAsia" w:ascii="仿宋" w:hAnsi="仿宋" w:eastAsia="仿宋" w:cs="仿宋"/>
          <w:color w:val="auto"/>
          <w:szCs w:val="24"/>
          <w:highlight w:val="none"/>
          <w:lang w:bidi="ar"/>
        </w:rPr>
        <w:t xml:space="preserve">全部由外国投资者投资  </w:t>
      </w:r>
      <w:r>
        <w:rPr>
          <w:rFonts w:hint="eastAsia" w:ascii="仿宋" w:hAnsi="仿宋" w:eastAsia="仿宋" w:cs="仿宋"/>
          <w:iCs/>
          <w:color w:val="auto"/>
          <w:szCs w:val="24"/>
          <w:highlight w:val="none"/>
          <w:lang w:bidi="ar"/>
        </w:rPr>
        <w:t>□部分由外国投资者投资</w:t>
      </w:r>
    </w:p>
    <w:p w14:paraId="2F93C05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（9）是否涉及进口产品：</w:t>
      </w:r>
    </w:p>
    <w:p w14:paraId="020D6279">
      <w:pPr>
        <w:adjustRightInd w:val="0"/>
        <w:snapToGrid w:val="0"/>
        <w:spacing w:line="360" w:lineRule="auto"/>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 xml:space="preserve"> □是，《政府采购品目分类目录》底级品目名称：</w:t>
      </w:r>
      <w:r>
        <w:rPr>
          <w:rFonts w:hint="eastAsia" w:ascii="仿宋" w:hAnsi="仿宋" w:eastAsia="仿宋" w:cs="仿宋"/>
          <w:color w:val="auto"/>
          <w:sz w:val="24"/>
          <w:szCs w:val="24"/>
          <w:highlight w:val="none"/>
          <w:u w:val="single"/>
          <w:lang w:bidi="ar"/>
        </w:rPr>
        <w:t xml:space="preserve">   /  </w:t>
      </w:r>
      <w:r>
        <w:rPr>
          <w:rFonts w:hint="eastAsia" w:ascii="仿宋" w:hAnsi="仿宋" w:eastAsia="仿宋" w:cs="仿宋"/>
          <w:color w:val="auto"/>
          <w:sz w:val="24"/>
          <w:szCs w:val="24"/>
          <w:highlight w:val="none"/>
          <w:lang w:bidi="ar"/>
        </w:rPr>
        <w:t xml:space="preserve"> 金额：</w:t>
      </w:r>
      <w:r>
        <w:rPr>
          <w:rFonts w:hint="eastAsia" w:ascii="仿宋" w:hAnsi="仿宋" w:eastAsia="仿宋" w:cs="仿宋"/>
          <w:color w:val="auto"/>
          <w:sz w:val="24"/>
          <w:szCs w:val="24"/>
          <w:highlight w:val="none"/>
          <w:u w:val="single"/>
          <w:lang w:bidi="ar"/>
        </w:rPr>
        <w:t xml:space="preserve">  /     </w:t>
      </w:r>
    </w:p>
    <w:p w14:paraId="1C70A1C0">
      <w:pPr>
        <w:adjustRightInd w:val="0"/>
        <w:snapToGrid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国别：</w:t>
      </w:r>
      <w:r>
        <w:rPr>
          <w:rFonts w:hint="eastAsia" w:ascii="仿宋" w:hAnsi="仿宋" w:eastAsia="仿宋" w:cs="仿宋"/>
          <w:color w:val="auto"/>
          <w:sz w:val="24"/>
          <w:szCs w:val="24"/>
          <w:highlight w:val="none"/>
          <w:u w:val="single"/>
          <w:lang w:bidi="ar"/>
        </w:rPr>
        <w:t xml:space="preserve">    /  </w:t>
      </w:r>
      <w:r>
        <w:rPr>
          <w:rFonts w:hint="eastAsia" w:ascii="仿宋" w:hAnsi="仿宋" w:eastAsia="仿宋" w:cs="仿宋"/>
          <w:color w:val="auto"/>
          <w:sz w:val="24"/>
          <w:szCs w:val="24"/>
          <w:highlight w:val="none"/>
          <w:lang w:bidi="ar"/>
        </w:rPr>
        <w:t xml:space="preserve"> 品牌：</w:t>
      </w:r>
      <w:r>
        <w:rPr>
          <w:rFonts w:hint="eastAsia" w:ascii="仿宋" w:hAnsi="仿宋" w:eastAsia="仿宋" w:cs="仿宋"/>
          <w:color w:val="auto"/>
          <w:sz w:val="24"/>
          <w:szCs w:val="24"/>
          <w:highlight w:val="none"/>
          <w:u w:val="single"/>
          <w:lang w:bidi="ar"/>
        </w:rPr>
        <w:t xml:space="preserve">   /  </w:t>
      </w:r>
      <w:r>
        <w:rPr>
          <w:rFonts w:hint="eastAsia" w:ascii="仿宋" w:hAnsi="仿宋" w:eastAsia="仿宋" w:cs="仿宋"/>
          <w:color w:val="auto"/>
          <w:sz w:val="24"/>
          <w:szCs w:val="24"/>
          <w:highlight w:val="none"/>
          <w:lang w:bidi="ar"/>
        </w:rPr>
        <w:t xml:space="preserve"> 规格型号：</w:t>
      </w:r>
      <w:r>
        <w:rPr>
          <w:rFonts w:hint="eastAsia" w:ascii="仿宋" w:hAnsi="仿宋" w:eastAsia="仿宋" w:cs="仿宋"/>
          <w:color w:val="auto"/>
          <w:sz w:val="24"/>
          <w:szCs w:val="24"/>
          <w:highlight w:val="none"/>
          <w:u w:val="single"/>
          <w:lang w:bidi="ar"/>
        </w:rPr>
        <w:t xml:space="preserve">   /   </w:t>
      </w:r>
      <w:r>
        <w:rPr>
          <w:rFonts w:hint="eastAsia" w:ascii="仿宋" w:hAnsi="仿宋" w:eastAsia="仿宋" w:cs="仿宋"/>
          <w:color w:val="auto"/>
          <w:sz w:val="24"/>
          <w:szCs w:val="24"/>
          <w:highlight w:val="none"/>
          <w:lang w:bidi="ar"/>
        </w:rPr>
        <w:t xml:space="preserve">      </w:t>
      </w:r>
    </w:p>
    <w:p w14:paraId="16B52BD4">
      <w:pPr>
        <w:adjustRightInd w:val="0"/>
        <w:snapToGrid w:val="0"/>
        <w:spacing w:line="360" w:lineRule="auto"/>
        <w:ind w:firstLine="960" w:firstLineChars="4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 xml:space="preserve"> ☑否</w:t>
      </w:r>
    </w:p>
    <w:p w14:paraId="7CEA84F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（10）是否涉及节能产品：</w:t>
      </w:r>
    </w:p>
    <w:p w14:paraId="337052D4">
      <w:pPr>
        <w:tabs>
          <w:tab w:val="left" w:pos="740"/>
        </w:tabs>
        <w:adjustRightInd w:val="0"/>
        <w:snapToGrid w:val="0"/>
        <w:spacing w:line="360" w:lineRule="auto"/>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bidi="ar"/>
        </w:rPr>
        <w:t xml:space="preserve">         □是，《节能产品政府采购品目清单》的底级品目名称：</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iCs/>
          <w:color w:val="auto"/>
          <w:sz w:val="24"/>
          <w:szCs w:val="24"/>
          <w:highlight w:val="none"/>
          <w:lang w:bidi="ar"/>
        </w:rPr>
        <w:t xml:space="preserve">     </w:t>
      </w:r>
    </w:p>
    <w:p w14:paraId="195B0C6F">
      <w:pPr>
        <w:tabs>
          <w:tab w:val="left" w:pos="740"/>
        </w:tabs>
        <w:adjustRightInd w:val="0"/>
        <w:snapToGrid w:val="0"/>
        <w:spacing w:line="360" w:lineRule="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bidi="ar"/>
        </w:rPr>
        <w:t xml:space="preserve">                □强制采购       □优先采购    </w:t>
      </w:r>
    </w:p>
    <w:p w14:paraId="5F9848A7">
      <w:pPr>
        <w:tabs>
          <w:tab w:val="left" w:pos="74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lang w:bidi="ar"/>
        </w:rPr>
        <w:t xml:space="preserve">         </w:t>
      </w:r>
      <w:r>
        <w:rPr>
          <w:rFonts w:hint="eastAsia" w:ascii="仿宋" w:hAnsi="仿宋" w:eastAsia="仿宋" w:cs="仿宋"/>
          <w:color w:val="auto"/>
          <w:sz w:val="24"/>
          <w:szCs w:val="24"/>
          <w:highlight w:val="none"/>
          <w:lang w:bidi="ar"/>
        </w:rPr>
        <w:t>☑否</w:t>
      </w:r>
    </w:p>
    <w:p w14:paraId="5CE61623">
      <w:pPr>
        <w:tabs>
          <w:tab w:val="left" w:pos="74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是否涉及环境标志产品：</w:t>
      </w:r>
    </w:p>
    <w:p w14:paraId="1DE7AC1A">
      <w:pPr>
        <w:tabs>
          <w:tab w:val="left" w:pos="74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□是，《环境标志产品政府采购品目清单》的底级品目名称：</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iCs/>
          <w:color w:val="auto"/>
          <w:sz w:val="24"/>
          <w:szCs w:val="24"/>
          <w:highlight w:val="none"/>
          <w:lang w:bidi="ar"/>
        </w:rPr>
        <w:t xml:space="preserve"> </w:t>
      </w:r>
    </w:p>
    <w:p w14:paraId="6820958D">
      <w:pPr>
        <w:tabs>
          <w:tab w:val="left" w:pos="740"/>
        </w:tabs>
        <w:adjustRightInd w:val="0"/>
        <w:snapToGrid w:val="0"/>
        <w:spacing w:line="360" w:lineRule="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bidi="ar"/>
        </w:rPr>
        <w:t xml:space="preserve">                □强制采购       □优先采购    </w:t>
      </w:r>
    </w:p>
    <w:p w14:paraId="489FD0D7">
      <w:pPr>
        <w:tabs>
          <w:tab w:val="left" w:pos="74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lang w:bidi="ar"/>
        </w:rPr>
        <w:t xml:space="preserve">         </w:t>
      </w:r>
      <w:r>
        <w:rPr>
          <w:rFonts w:hint="eastAsia" w:ascii="仿宋" w:hAnsi="仿宋" w:eastAsia="仿宋" w:cs="仿宋"/>
          <w:color w:val="auto"/>
          <w:sz w:val="24"/>
          <w:szCs w:val="24"/>
          <w:highlight w:val="none"/>
          <w:lang w:bidi="ar"/>
        </w:rPr>
        <w:t>□否</w:t>
      </w:r>
    </w:p>
    <w:p w14:paraId="27AD836C">
      <w:pPr>
        <w:pStyle w:val="23"/>
        <w:widowControl/>
        <w:autoSpaceDE w:val="0"/>
        <w:autoSpaceDN w:val="0"/>
        <w:adjustRightInd w:val="0"/>
        <w:snapToGrid w:val="0"/>
        <w:spacing w:before="0" w:beforeAutospacing="0" w:after="0" w:afterAutospacing="0" w:line="360" w:lineRule="auto"/>
        <w:ind w:firstLine="480" w:firstLineChars="200"/>
        <w:rPr>
          <w:rFonts w:hint="eastAsia" w:ascii="仿宋" w:hAnsi="仿宋" w:eastAsia="仿宋" w:cs="仿宋"/>
          <w:color w:val="auto"/>
          <w:kern w:val="2"/>
          <w:szCs w:val="24"/>
          <w:highlight w:val="none"/>
        </w:rPr>
      </w:pPr>
      <w:r>
        <w:rPr>
          <w:rFonts w:hint="eastAsia" w:ascii="仿宋" w:hAnsi="仿宋" w:eastAsia="仿宋" w:cs="仿宋"/>
          <w:color w:val="auto"/>
          <w:szCs w:val="24"/>
          <w:highlight w:val="none"/>
          <w:lang w:bidi="ar"/>
        </w:rPr>
        <w:t xml:space="preserve">          </w:t>
      </w:r>
      <w:r>
        <w:rPr>
          <w:rFonts w:hint="eastAsia" w:ascii="仿宋" w:hAnsi="仿宋" w:eastAsia="仿宋" w:cs="仿宋"/>
          <w:color w:val="auto"/>
          <w:kern w:val="2"/>
          <w:szCs w:val="24"/>
          <w:highlight w:val="none"/>
          <w:lang w:bidi="ar"/>
        </w:rPr>
        <w:t xml:space="preserve">是否涉及绿色产品： </w:t>
      </w:r>
    </w:p>
    <w:p w14:paraId="66BB7453">
      <w:pPr>
        <w:pStyle w:val="23"/>
        <w:widowControl/>
        <w:autoSpaceDE w:val="0"/>
        <w:autoSpaceDN w:val="0"/>
        <w:adjustRightInd w:val="0"/>
        <w:spacing w:before="0" w:beforeAutospacing="0" w:after="0" w:afterAutospacing="0" w:line="360" w:lineRule="auto"/>
        <w:ind w:firstLine="420"/>
        <w:rPr>
          <w:rFonts w:hint="eastAsia" w:ascii="仿宋" w:hAnsi="仿宋" w:eastAsia="仿宋" w:cs="仿宋"/>
          <w:color w:val="auto"/>
          <w:szCs w:val="24"/>
          <w:highlight w:val="none"/>
          <w:u w:val="single"/>
        </w:rPr>
      </w:pPr>
      <w:r>
        <w:rPr>
          <w:rFonts w:hint="eastAsia" w:ascii="仿宋" w:hAnsi="仿宋" w:eastAsia="仿宋" w:cs="仿宋"/>
          <w:color w:val="auto"/>
          <w:kern w:val="2"/>
          <w:szCs w:val="24"/>
          <w:highlight w:val="none"/>
          <w:lang w:bidi="ar"/>
        </w:rPr>
        <w:t xml:space="preserve">     □是，绿色产品政府采购相关政策确定的底级品目名称：</w:t>
      </w:r>
      <w:r>
        <w:rPr>
          <w:rFonts w:hint="eastAsia" w:ascii="仿宋" w:hAnsi="仿宋" w:eastAsia="仿宋" w:cs="仿宋"/>
          <w:color w:val="auto"/>
          <w:szCs w:val="24"/>
          <w:highlight w:val="none"/>
          <w:u w:val="single"/>
          <w:lang w:bidi="ar"/>
        </w:rPr>
        <w:t xml:space="preserve">         </w:t>
      </w:r>
    </w:p>
    <w:p w14:paraId="4D35A8C1">
      <w:pPr>
        <w:tabs>
          <w:tab w:val="left" w:pos="740"/>
        </w:tabs>
        <w:adjustRightInd w:val="0"/>
        <w:snapToGrid w:val="0"/>
        <w:spacing w:line="360" w:lineRule="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bidi="ar"/>
        </w:rPr>
        <w:t xml:space="preserve">                □强制采购       □优先采购    </w:t>
      </w:r>
    </w:p>
    <w:p w14:paraId="70E35DC4">
      <w:pPr>
        <w:pStyle w:val="23"/>
        <w:widowControl/>
        <w:autoSpaceDE w:val="0"/>
        <w:autoSpaceDN w:val="0"/>
        <w:adjustRightInd w:val="0"/>
        <w:spacing w:before="0" w:beforeAutospacing="0" w:after="0" w:afterAutospacing="0" w:line="360" w:lineRule="auto"/>
        <w:ind w:firstLine="420"/>
        <w:rPr>
          <w:rFonts w:hint="eastAsia" w:ascii="仿宋" w:hAnsi="仿宋" w:eastAsia="仿宋" w:cs="仿宋"/>
          <w:color w:val="auto"/>
          <w:kern w:val="2"/>
          <w:szCs w:val="24"/>
          <w:highlight w:val="none"/>
          <w:lang w:bidi="ar"/>
        </w:rPr>
      </w:pPr>
      <w:r>
        <w:rPr>
          <w:rFonts w:hint="eastAsia" w:ascii="仿宋" w:hAnsi="仿宋" w:eastAsia="仿宋" w:cs="仿宋"/>
          <w:color w:val="auto"/>
          <w:kern w:val="2"/>
          <w:szCs w:val="24"/>
          <w:highlight w:val="none"/>
          <w:lang w:bidi="ar"/>
        </w:rPr>
        <w:t xml:space="preserve">     □否</w:t>
      </w:r>
    </w:p>
    <w:p w14:paraId="45E400E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（11）涉及商品包装和快递包装的，是否参考《商品包装政府采购需求标准（试行）》、《快递包装政府采购需求标准（试行）》明确产品及相关快递服务的具体包装要求：</w:t>
      </w:r>
    </w:p>
    <w:p w14:paraId="7965115A">
      <w:pPr>
        <w:adjustRightInd w:val="0"/>
        <w:snapToGrid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☑是       □否      □不涉及</w:t>
      </w:r>
    </w:p>
    <w:p w14:paraId="02076EC9">
      <w:pPr>
        <w:numPr>
          <w:ilvl w:val="0"/>
          <w:numId w:val="3"/>
        </w:num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合同金额</w:t>
      </w:r>
    </w:p>
    <w:p w14:paraId="4787C09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（1）合同金额小写：</w:t>
      </w:r>
      <w:r>
        <w:rPr>
          <w:rFonts w:hint="eastAsia" w:ascii="仿宋" w:hAnsi="仿宋" w:eastAsia="仿宋" w:cs="仿宋"/>
          <w:color w:val="auto"/>
          <w:sz w:val="24"/>
          <w:szCs w:val="24"/>
          <w:highlight w:val="none"/>
          <w:u w:val="single"/>
          <w:lang w:bidi="ar"/>
        </w:rPr>
        <w:t xml:space="preserve">                           </w:t>
      </w:r>
    </w:p>
    <w:p w14:paraId="309F7935">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 xml:space="preserve">                 大写：</w:t>
      </w:r>
      <w:r>
        <w:rPr>
          <w:rFonts w:hint="eastAsia" w:ascii="仿宋" w:hAnsi="仿宋" w:eastAsia="仿宋" w:cs="仿宋"/>
          <w:color w:val="auto"/>
          <w:sz w:val="24"/>
          <w:szCs w:val="24"/>
          <w:highlight w:val="none"/>
          <w:u w:val="single"/>
          <w:lang w:bidi="ar"/>
        </w:rPr>
        <w:t xml:space="preserve">                           </w:t>
      </w:r>
    </w:p>
    <w:p w14:paraId="4977DFDB">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分包金额（如有）小写：</w:t>
      </w:r>
      <w:r>
        <w:rPr>
          <w:rFonts w:hint="eastAsia" w:ascii="仿宋" w:hAnsi="仿宋" w:eastAsia="仿宋" w:cs="仿宋"/>
          <w:color w:val="auto"/>
          <w:sz w:val="24"/>
          <w:szCs w:val="24"/>
          <w:highlight w:val="none"/>
          <w:u w:val="single"/>
          <w:lang w:bidi="ar"/>
        </w:rPr>
        <w:t xml:space="preserve">    /              </w:t>
      </w:r>
    </w:p>
    <w:p w14:paraId="3EAD3C36">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 xml:space="preserve">                     大写：</w:t>
      </w:r>
      <w:r>
        <w:rPr>
          <w:rFonts w:hint="eastAsia" w:ascii="仿宋" w:hAnsi="仿宋" w:eastAsia="仿宋" w:cs="仿宋"/>
          <w:color w:val="auto"/>
          <w:sz w:val="24"/>
          <w:szCs w:val="24"/>
          <w:highlight w:val="none"/>
          <w:u w:val="single"/>
          <w:lang w:bidi="ar"/>
        </w:rPr>
        <w:t xml:space="preserve">       /               </w:t>
      </w:r>
    </w:p>
    <w:p w14:paraId="79D5FCE5">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（注：固定单价合同应填写单价和最高限价）</w:t>
      </w:r>
    </w:p>
    <w:p w14:paraId="2797FF08">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（2）合同定价方式（采用组合定价方式的，可以勾选多项）：</w:t>
      </w:r>
    </w:p>
    <w:p w14:paraId="69BC0F9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lang w:bidi="ar"/>
        </w:rPr>
        <w:t>□固定总价 ☑固定单价 □固定费率 □成本补偿 □绩效激励 □其他</w:t>
      </w:r>
      <w:r>
        <w:rPr>
          <w:rFonts w:hint="eastAsia" w:ascii="仿宋" w:hAnsi="仿宋" w:eastAsia="仿宋" w:cs="仿宋"/>
          <w:color w:val="auto"/>
          <w:sz w:val="24"/>
          <w:szCs w:val="24"/>
          <w:highlight w:val="none"/>
          <w:u w:val="single"/>
          <w:lang w:bidi="ar"/>
        </w:rPr>
        <w:t xml:space="preserve">  /    </w:t>
      </w:r>
    </w:p>
    <w:p w14:paraId="4CC25409">
      <w:pPr>
        <w:pStyle w:val="23"/>
        <w:spacing w:before="0" w:beforeAutospacing="0" w:after="0" w:afterAutospacing="0" w:line="360" w:lineRule="auto"/>
        <w:ind w:firstLine="480" w:firstLineChars="200"/>
        <w:jc w:val="both"/>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bidi="ar"/>
        </w:rPr>
        <w:t>（3）付款方式（按项目实际勾选填写）：</w:t>
      </w:r>
    </w:p>
    <w:p w14:paraId="07150D97">
      <w:pPr>
        <w:adjustRightInd w:val="0"/>
        <w:snapToGrid w:val="0"/>
        <w:spacing w:line="360" w:lineRule="auto"/>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□全额付款：</w:t>
      </w:r>
      <w:r>
        <w:rPr>
          <w:rFonts w:hint="eastAsia" w:ascii="仿宋" w:hAnsi="仿宋" w:eastAsia="仿宋" w:cs="仿宋"/>
          <w:color w:val="auto"/>
          <w:sz w:val="24"/>
          <w:szCs w:val="24"/>
          <w:highlight w:val="none"/>
          <w:u w:val="single"/>
          <w:lang w:bidi="ar"/>
        </w:rPr>
        <w:t xml:space="preserve">    /                    </w:t>
      </w:r>
    </w:p>
    <w:p w14:paraId="4E33A17D">
      <w:pPr>
        <w:snapToGrid w:val="0"/>
        <w:spacing w:line="360" w:lineRule="auto"/>
        <w:ind w:firstLine="720" w:firstLineChars="300"/>
        <w:rPr>
          <w:rFonts w:hint="eastAsia" w:ascii="仿宋" w:hAnsi="仿宋" w:eastAsia="仿宋" w:cs="仿宋"/>
          <w:color w:val="auto"/>
          <w:sz w:val="24"/>
          <w:szCs w:val="24"/>
          <w:highlight w:val="none"/>
          <w:u w:val="single"/>
          <w:lang w:bidi="ar"/>
        </w:rPr>
      </w:pPr>
      <w:r>
        <w:rPr>
          <w:rFonts w:hint="eastAsia" w:ascii="仿宋" w:hAnsi="仿宋" w:eastAsia="仿宋" w:cs="仿宋"/>
          <w:color w:val="auto"/>
          <w:sz w:val="24"/>
          <w:szCs w:val="24"/>
          <w:highlight w:val="none"/>
          <w:lang w:bidi="ar"/>
        </w:rPr>
        <w:t>☑分期付款：</w:t>
      </w:r>
      <w:r>
        <w:rPr>
          <w:rFonts w:hint="eastAsia" w:ascii="仿宋" w:hAnsi="仿宋" w:eastAsia="仿宋" w:cs="仿宋"/>
          <w:color w:val="auto"/>
          <w:sz w:val="24"/>
          <w:szCs w:val="24"/>
          <w:highlight w:val="none"/>
          <w:u w:val="single"/>
          <w:lang w:bidi="ar"/>
        </w:rPr>
        <w:t>合同签订且具备实施条件后，支付合同价的40%预付款（预付款支付前，中标人须提供同等金额的见索即付保函），全部供货安装调试完毕并由采购人验收合格且发票送达后完成支付。</w:t>
      </w:r>
    </w:p>
    <w:p w14:paraId="233F82FC">
      <w:pPr>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其中涉及预付款的：</w:t>
      </w:r>
      <w:r>
        <w:rPr>
          <w:rFonts w:hint="eastAsia" w:ascii="仿宋" w:hAnsi="仿宋" w:eastAsia="仿宋" w:cs="仿宋"/>
          <w:color w:val="auto"/>
          <w:sz w:val="24"/>
          <w:szCs w:val="24"/>
          <w:highlight w:val="none"/>
          <w:u w:val="single"/>
          <w:lang w:bidi="ar"/>
        </w:rPr>
        <w:t xml:space="preserve"> 合同签订且具备实施条件后，支付合同价的40%预付款（预付款支付前，中标人须提供同等金额的见索即付保函）。</w:t>
      </w:r>
    </w:p>
    <w:p w14:paraId="5738CB48">
      <w:pPr>
        <w:adjustRightInd w:val="0"/>
        <w:snapToGrid w:val="0"/>
        <w:spacing w:line="360" w:lineRule="auto"/>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□成本补偿：</w:t>
      </w:r>
      <w:r>
        <w:rPr>
          <w:rFonts w:hint="eastAsia" w:ascii="仿宋" w:hAnsi="仿宋" w:eastAsia="仿宋" w:cs="仿宋"/>
          <w:color w:val="auto"/>
          <w:sz w:val="24"/>
          <w:szCs w:val="24"/>
          <w:highlight w:val="none"/>
          <w:u w:val="single"/>
          <w:lang w:bidi="ar"/>
        </w:rPr>
        <w:t xml:space="preserve">      /    </w:t>
      </w:r>
    </w:p>
    <w:p w14:paraId="4F2CCAAB">
      <w:pPr>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□绩效激励：</w:t>
      </w:r>
      <w:r>
        <w:rPr>
          <w:rFonts w:hint="eastAsia" w:ascii="仿宋" w:hAnsi="仿宋" w:eastAsia="仿宋" w:cs="仿宋"/>
          <w:color w:val="auto"/>
          <w:sz w:val="24"/>
          <w:szCs w:val="24"/>
          <w:highlight w:val="none"/>
          <w:u w:val="single"/>
          <w:lang w:bidi="ar"/>
        </w:rPr>
        <w:t xml:space="preserve">      /    </w:t>
      </w:r>
    </w:p>
    <w:p w14:paraId="3441C86F">
      <w:pPr>
        <w:numPr>
          <w:ilvl w:val="0"/>
          <w:numId w:val="3"/>
        </w:numPr>
        <w:adjustRightInd w:val="0"/>
        <w:snapToGrid w:val="0"/>
        <w:spacing w:line="360" w:lineRule="auto"/>
        <w:ind w:firstLine="482" w:firstLineChars="200"/>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lang w:bidi="ar"/>
        </w:rPr>
        <w:t>合同履行</w:t>
      </w:r>
    </w:p>
    <w:p w14:paraId="14C702E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（1）起始日期：</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年</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月</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日，完成日期：</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年</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月</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日。</w:t>
      </w:r>
    </w:p>
    <w:p w14:paraId="03ECEAA0">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（2）履约地点</w:t>
      </w:r>
      <w:r>
        <w:rPr>
          <w:rFonts w:hint="eastAsia" w:ascii="仿宋" w:hAnsi="仿宋" w:eastAsia="仿宋" w:cs="仿宋"/>
          <w:bCs/>
          <w:color w:val="auto"/>
          <w:sz w:val="24"/>
          <w:szCs w:val="24"/>
          <w:highlight w:val="none"/>
          <w:lang w:bidi="ar"/>
        </w:rPr>
        <w:t>：</w:t>
      </w:r>
      <w:r>
        <w:rPr>
          <w:rFonts w:hint="eastAsia" w:ascii="仿宋" w:hAnsi="仿宋" w:eastAsia="仿宋" w:cs="仿宋"/>
          <w:color w:val="auto"/>
          <w:sz w:val="24"/>
          <w:szCs w:val="24"/>
          <w:highlight w:val="none"/>
          <w:u w:val="single"/>
          <w:lang w:bidi="ar"/>
        </w:rPr>
        <w:t xml:space="preserve">  采购人指定地点          </w:t>
      </w:r>
    </w:p>
    <w:p w14:paraId="3AE3C08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bidi="ar"/>
        </w:rPr>
        <w:t>（3）履约担保：</w:t>
      </w:r>
      <w:r>
        <w:rPr>
          <w:rFonts w:hint="eastAsia" w:ascii="仿宋" w:hAnsi="仿宋" w:eastAsia="仿宋" w:cs="仿宋"/>
          <w:color w:val="auto"/>
          <w:sz w:val="24"/>
          <w:szCs w:val="24"/>
          <w:highlight w:val="none"/>
          <w:lang w:bidi="ar"/>
        </w:rPr>
        <w:t>是否收取履约保证金：☑是    □否</w:t>
      </w:r>
    </w:p>
    <w:p w14:paraId="36EB779B">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lang w:bidi="ar"/>
        </w:rPr>
        <w:t xml:space="preserve">  </w:t>
      </w:r>
      <w:r>
        <w:rPr>
          <w:rFonts w:hint="eastAsia" w:ascii="仿宋" w:hAnsi="仿宋" w:eastAsia="仿宋" w:cs="仿宋"/>
          <w:color w:val="auto"/>
          <w:szCs w:val="24"/>
          <w:highlight w:val="none"/>
          <w:lang w:bidi="ar"/>
        </w:rPr>
        <w:t xml:space="preserve">  收取履约保证金形式：</w:t>
      </w:r>
      <w:r>
        <w:rPr>
          <w:rFonts w:hint="eastAsia" w:ascii="仿宋" w:hAnsi="仿宋" w:eastAsia="仿宋" w:cs="仿宋"/>
          <w:bCs/>
          <w:color w:val="auto"/>
          <w:szCs w:val="24"/>
          <w:highlight w:val="none"/>
          <w:u w:val="single"/>
          <w:lang w:bidi="ar"/>
        </w:rPr>
        <w:t xml:space="preserve">                            </w:t>
      </w:r>
    </w:p>
    <w:p w14:paraId="4334E777">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 xml:space="preserve">    收取履约保证金金额：</w:t>
      </w:r>
      <w:r>
        <w:rPr>
          <w:rFonts w:hint="eastAsia" w:ascii="仿宋" w:hAnsi="仿宋" w:eastAsia="仿宋" w:cs="仿宋"/>
          <w:bCs/>
          <w:color w:val="auto"/>
          <w:szCs w:val="24"/>
          <w:highlight w:val="none"/>
          <w:u w:val="single"/>
          <w:lang w:bidi="ar"/>
        </w:rPr>
        <w:t xml:space="preserve">                            </w:t>
      </w:r>
    </w:p>
    <w:p w14:paraId="29BFD21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bidi="ar"/>
        </w:rPr>
        <w:t xml:space="preserve">    履约担保期限：</w:t>
      </w:r>
      <w:r>
        <w:rPr>
          <w:rFonts w:hint="eastAsia" w:ascii="仿宋" w:hAnsi="仿宋" w:eastAsia="仿宋" w:cs="仿宋"/>
          <w:bCs/>
          <w:color w:val="auto"/>
          <w:sz w:val="24"/>
          <w:szCs w:val="24"/>
          <w:highlight w:val="none"/>
          <w:u w:val="single"/>
          <w:lang w:bidi="ar"/>
        </w:rPr>
        <w:t xml:space="preserve">                                  </w:t>
      </w:r>
    </w:p>
    <w:p w14:paraId="4D7A54ED">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（4）分期履行要求：</w:t>
      </w:r>
      <w:r>
        <w:rPr>
          <w:rFonts w:hint="eastAsia" w:ascii="仿宋" w:hAnsi="仿宋" w:eastAsia="仿宋" w:cs="仿宋"/>
          <w:bCs/>
          <w:color w:val="auto"/>
          <w:sz w:val="24"/>
          <w:szCs w:val="24"/>
          <w:highlight w:val="none"/>
          <w:u w:val="single"/>
          <w:lang w:bidi="ar"/>
        </w:rPr>
        <w:t xml:space="preserve">   /                                                   </w:t>
      </w:r>
    </w:p>
    <w:p w14:paraId="57AEA0EB">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lang w:bidi="ar"/>
        </w:rPr>
        <w:t>（5）风险处置措施和替代方案：</w:t>
      </w:r>
      <w:r>
        <w:rPr>
          <w:rFonts w:hint="eastAsia" w:ascii="仿宋" w:hAnsi="仿宋" w:eastAsia="仿宋" w:cs="仿宋"/>
          <w:color w:val="auto"/>
          <w:sz w:val="24"/>
          <w:szCs w:val="24"/>
          <w:highlight w:val="none"/>
          <w:u w:val="single"/>
          <w:lang w:bidi="ar"/>
        </w:rPr>
        <w:t xml:space="preserve">       /                                                      </w:t>
      </w:r>
    </w:p>
    <w:p w14:paraId="45A96314">
      <w:pPr>
        <w:numPr>
          <w:ilvl w:val="0"/>
          <w:numId w:val="3"/>
        </w:num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合同验收</w:t>
      </w:r>
    </w:p>
    <w:p w14:paraId="32EA9E26">
      <w:pPr>
        <w:numPr>
          <w:ilvl w:val="0"/>
          <w:numId w:val="5"/>
        </w:num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验收组织方式：</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 xml:space="preserve">自行组织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委托第三方组织</w:t>
      </w:r>
    </w:p>
    <w:p w14:paraId="75390CAD">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验收主体：</w:t>
      </w:r>
      <w:r>
        <w:rPr>
          <w:rFonts w:hint="eastAsia" w:ascii="仿宋" w:hAnsi="仿宋" w:eastAsia="仿宋" w:cs="仿宋"/>
          <w:bCs/>
          <w:color w:val="auto"/>
          <w:sz w:val="24"/>
          <w:szCs w:val="24"/>
          <w:highlight w:val="none"/>
          <w:u w:val="single"/>
          <w:lang w:bidi="ar"/>
        </w:rPr>
        <w:t xml:space="preserve">   采购人        </w:t>
      </w:r>
    </w:p>
    <w:p w14:paraId="022E50AF">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是否邀请本项目的其他供应商参加验收：</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 xml:space="preserve">是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否</w:t>
      </w:r>
    </w:p>
    <w:p w14:paraId="1E69634F">
      <w:pPr>
        <w:adjustRightInd w:val="0"/>
        <w:snapToGrid w:val="0"/>
        <w:spacing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是否邀请专家参加验收：</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 xml:space="preserve">是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否</w:t>
      </w:r>
    </w:p>
    <w:p w14:paraId="715CA32E">
      <w:pPr>
        <w:adjustRightInd w:val="0"/>
        <w:snapToGrid w:val="0"/>
        <w:spacing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是否邀请服务对象参加验收：</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 xml:space="preserve">是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否</w:t>
      </w:r>
    </w:p>
    <w:p w14:paraId="702357D8">
      <w:pPr>
        <w:adjustRightInd w:val="0"/>
        <w:snapToGrid w:val="0"/>
        <w:spacing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是否邀请第三方检测机构参加验收：</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 xml:space="preserve">是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否</w:t>
      </w:r>
    </w:p>
    <w:p w14:paraId="71CF28C7">
      <w:pPr>
        <w:adjustRightInd w:val="0"/>
        <w:snapToGrid w:val="0"/>
        <w:spacing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是否进行抽查检测：</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是，抽查比例：</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lang w:bidi="ar"/>
        </w:rPr>
        <w:t xml:space="preserve">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否</w:t>
      </w:r>
    </w:p>
    <w:p w14:paraId="3E348A53">
      <w:pPr>
        <w:adjustRightInd w:val="0"/>
        <w:snapToGrid w:val="0"/>
        <w:spacing w:line="360" w:lineRule="auto"/>
        <w:ind w:firstLine="960" w:firstLineChars="4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bidi="ar"/>
        </w:rPr>
        <w:t>是否存在破坏性检测：</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是，</w:t>
      </w:r>
      <w:r>
        <w:rPr>
          <w:rFonts w:hint="eastAsia" w:ascii="仿宋" w:hAnsi="仿宋" w:eastAsia="仿宋" w:cs="仿宋"/>
          <w:bCs/>
          <w:color w:val="auto"/>
          <w:sz w:val="24"/>
          <w:szCs w:val="24"/>
          <w:highlight w:val="none"/>
          <w:u w:val="single"/>
          <w:lang w:bidi="ar"/>
        </w:rPr>
        <w:t>（应明确对被破坏的检测产品的处理方式）</w:t>
      </w:r>
    </w:p>
    <w:p w14:paraId="7C1C18C8">
      <w:pPr>
        <w:adjustRightInd w:val="0"/>
        <w:snapToGrid w:val="0"/>
        <w:spacing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否</w:t>
      </w:r>
    </w:p>
    <w:p w14:paraId="7934B4FB">
      <w:pPr>
        <w:adjustRightInd w:val="0"/>
        <w:snapToGrid w:val="0"/>
        <w:spacing w:line="360" w:lineRule="auto"/>
        <w:ind w:firstLine="960" w:firstLineChars="4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bidi="ar"/>
        </w:rPr>
        <w:t>验收组织的其他事项：</w:t>
      </w:r>
      <w:r>
        <w:rPr>
          <w:rFonts w:hint="eastAsia" w:ascii="仿宋" w:hAnsi="仿宋" w:eastAsia="仿宋" w:cs="仿宋"/>
          <w:bCs/>
          <w:color w:val="auto"/>
          <w:sz w:val="24"/>
          <w:szCs w:val="24"/>
          <w:highlight w:val="none"/>
          <w:u w:val="single"/>
          <w:lang w:bidi="ar"/>
        </w:rPr>
        <w:t xml:space="preserve">                </w:t>
      </w:r>
    </w:p>
    <w:p w14:paraId="34612C57">
      <w:pPr>
        <w:adjustRightInd w:val="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bidi="ar"/>
        </w:rPr>
        <w:t>（2）履约验收时间：</w:t>
      </w:r>
      <w:r>
        <w:rPr>
          <w:rFonts w:hint="eastAsia" w:ascii="仿宋" w:hAnsi="仿宋" w:eastAsia="仿宋" w:cs="仿宋"/>
          <w:bCs/>
          <w:color w:val="auto"/>
          <w:sz w:val="24"/>
          <w:szCs w:val="24"/>
          <w:highlight w:val="none"/>
          <w:u w:val="single"/>
          <w:lang w:bidi="ar"/>
        </w:rPr>
        <w:t xml:space="preserve"> 供应商提出验收申请之日起5日内组织验收 </w:t>
      </w:r>
    </w:p>
    <w:p w14:paraId="2019F0E2">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（3）履约验收方式：</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 xml:space="preserve">一次性验收         </w:t>
      </w:r>
    </w:p>
    <w:p w14:paraId="3D6F7D6F">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分期/分项验收：</w:t>
      </w:r>
      <w:r>
        <w:rPr>
          <w:rFonts w:hint="eastAsia" w:ascii="仿宋" w:hAnsi="仿宋" w:eastAsia="仿宋" w:cs="仿宋"/>
          <w:bCs/>
          <w:color w:val="auto"/>
          <w:sz w:val="24"/>
          <w:szCs w:val="24"/>
          <w:highlight w:val="none"/>
          <w:u w:val="single"/>
          <w:lang w:bidi="ar"/>
        </w:rPr>
        <w:t xml:space="preserve"> /  </w:t>
      </w:r>
    </w:p>
    <w:p w14:paraId="5C3B20FA">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（4）履约验收程序：</w:t>
      </w:r>
      <w:r>
        <w:rPr>
          <w:rFonts w:hint="eastAsia" w:ascii="仿宋" w:hAnsi="仿宋" w:eastAsia="仿宋" w:cs="仿宋"/>
          <w:bCs/>
          <w:color w:val="auto"/>
          <w:sz w:val="24"/>
          <w:szCs w:val="24"/>
          <w:highlight w:val="none"/>
          <w:u w:val="single"/>
          <w:lang w:bidi="ar"/>
        </w:rPr>
        <w:t xml:space="preserve">                                         </w:t>
      </w:r>
    </w:p>
    <w:p w14:paraId="5491C5BB">
      <w:pPr>
        <w:adjustRightInd w:val="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bidi="ar"/>
        </w:rPr>
        <w:t>（5）履约验收的内容：</w:t>
      </w:r>
      <w:r>
        <w:rPr>
          <w:rFonts w:hint="eastAsia" w:ascii="仿宋" w:hAnsi="仿宋" w:eastAsia="仿宋" w:cs="仿宋"/>
          <w:bCs/>
          <w:color w:val="auto"/>
          <w:sz w:val="24"/>
          <w:szCs w:val="24"/>
          <w:highlight w:val="none"/>
          <w:u w:val="single"/>
          <w:lang w:bidi="ar"/>
        </w:rPr>
        <w:t xml:space="preserve"> （应当包括每一项技术和商务要求的履约情况，特别是落实政府采购扶持中小企业，支持绿色发展和乡村振兴等政策情况）                                      </w:t>
      </w:r>
    </w:p>
    <w:p w14:paraId="7A74BCF3">
      <w:pPr>
        <w:adjustRightInd w:val="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bidi="ar"/>
        </w:rPr>
        <w:t>（6）履约验收标准：</w:t>
      </w:r>
      <w:r>
        <w:rPr>
          <w:rFonts w:hint="eastAsia" w:ascii="仿宋" w:hAnsi="仿宋" w:eastAsia="仿宋" w:cs="仿宋"/>
          <w:bCs/>
          <w:color w:val="auto"/>
          <w:sz w:val="24"/>
          <w:szCs w:val="24"/>
          <w:highlight w:val="none"/>
          <w:u w:val="single"/>
          <w:lang w:bidi="ar"/>
        </w:rPr>
        <w:t xml:space="preserve">   符合国家标准                     </w:t>
      </w:r>
    </w:p>
    <w:p w14:paraId="5DE57CDF">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lang w:bidi="ar"/>
        </w:rPr>
        <w:t>（7）是否以采购活动中供应商提供的样品作为参考：</w:t>
      </w:r>
      <w:r>
        <w:rPr>
          <w:rFonts w:hint="eastAsia" w:ascii="仿宋" w:hAnsi="仿宋" w:eastAsia="仿宋" w:cs="仿宋"/>
          <w:color w:val="auto"/>
          <w:szCs w:val="24"/>
          <w:highlight w:val="none"/>
          <w:lang w:bidi="ar"/>
        </w:rPr>
        <w:t>□</w:t>
      </w:r>
      <w:r>
        <w:rPr>
          <w:rFonts w:hint="eastAsia" w:ascii="仿宋" w:hAnsi="仿宋" w:eastAsia="仿宋" w:cs="仿宋"/>
          <w:bCs/>
          <w:color w:val="auto"/>
          <w:szCs w:val="24"/>
          <w:highlight w:val="none"/>
          <w:lang w:bidi="ar"/>
        </w:rPr>
        <w:t xml:space="preserve">是  </w:t>
      </w:r>
      <w:r>
        <w:rPr>
          <w:rFonts w:hint="eastAsia" w:ascii="仿宋" w:hAnsi="仿宋" w:eastAsia="仿宋" w:cs="仿宋"/>
          <w:color w:val="auto"/>
          <w:szCs w:val="24"/>
          <w:highlight w:val="none"/>
          <w:lang w:bidi="ar"/>
        </w:rPr>
        <w:t>☑</w:t>
      </w:r>
      <w:r>
        <w:rPr>
          <w:rFonts w:hint="eastAsia" w:ascii="仿宋" w:hAnsi="仿宋" w:eastAsia="仿宋" w:cs="仿宋"/>
          <w:bCs/>
          <w:color w:val="auto"/>
          <w:szCs w:val="24"/>
          <w:highlight w:val="none"/>
          <w:lang w:bidi="ar"/>
        </w:rPr>
        <w:t>否</w:t>
      </w:r>
    </w:p>
    <w:p w14:paraId="2908FB4E">
      <w:pPr>
        <w:adjustRightInd w:val="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bidi="ar"/>
        </w:rPr>
        <w:t>（8）履约验收其他事项：</w:t>
      </w:r>
      <w:r>
        <w:rPr>
          <w:rFonts w:hint="eastAsia" w:ascii="仿宋" w:hAnsi="仿宋" w:eastAsia="仿宋" w:cs="仿宋"/>
          <w:bCs/>
          <w:color w:val="auto"/>
          <w:sz w:val="24"/>
          <w:szCs w:val="24"/>
          <w:highlight w:val="none"/>
          <w:u w:val="single"/>
          <w:lang w:bidi="ar"/>
        </w:rPr>
        <w:t>1、乙方交付产品时，应提供《产品合格证明》（如有）、《质量检验报告》（如有）、《产品质量保证书》（如有）、《产品准用证》（如有），如果以上证明材料都没有，则需要提供同等证明材料符合招标文件技术要求，否则甲方有权拒绝接收产品。2、提供虚假检测报告、材料造假的，采购人有权单方面解除合同；3、累计三次交货验收不合格的，采购人有权单方面解除合同；</w:t>
      </w:r>
    </w:p>
    <w:p w14:paraId="5ADBFF72">
      <w:pPr>
        <w:numPr>
          <w:ilvl w:val="0"/>
          <w:numId w:val="3"/>
        </w:num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组成合同的文件</w:t>
      </w:r>
    </w:p>
    <w:p w14:paraId="720EA1D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本协议书与下列文件一起构成合同文件，如下述文件之间有任何抵触、矛盾或歧义，应按以下顺序解释：</w:t>
      </w:r>
    </w:p>
    <w:p w14:paraId="0B3B9B6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（1）政府采购合同协议书及其变更、补充协议</w:t>
      </w:r>
    </w:p>
    <w:p w14:paraId="64B99E1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（2）政府采购合同专用条款</w:t>
      </w:r>
    </w:p>
    <w:p w14:paraId="5530194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（3）政府采购合同通用条款</w:t>
      </w:r>
    </w:p>
    <w:p w14:paraId="666AE1A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（4）中标（成交）通知书</w:t>
      </w:r>
    </w:p>
    <w:p w14:paraId="4DACC2E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（5）投标（响应）文件</w:t>
      </w:r>
    </w:p>
    <w:p w14:paraId="6786E68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（6）采购文件</w:t>
      </w:r>
    </w:p>
    <w:p w14:paraId="0305029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（7）有关技术文件，图纸</w:t>
      </w:r>
    </w:p>
    <w:p w14:paraId="41A0846C">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kern w:val="2"/>
          <w:szCs w:val="24"/>
          <w:highlight w:val="none"/>
        </w:rPr>
      </w:pPr>
      <w:r>
        <w:rPr>
          <w:rFonts w:hint="eastAsia" w:ascii="仿宋" w:hAnsi="仿宋" w:eastAsia="仿宋" w:cs="仿宋"/>
          <w:color w:val="auto"/>
          <w:szCs w:val="24"/>
          <w:highlight w:val="none"/>
          <w:lang w:bidi="ar"/>
        </w:rPr>
        <w:t>（8）</w:t>
      </w:r>
      <w:r>
        <w:rPr>
          <w:rFonts w:hint="eastAsia" w:ascii="仿宋" w:hAnsi="仿宋" w:eastAsia="仿宋" w:cs="仿宋"/>
          <w:color w:val="auto"/>
          <w:kern w:val="2"/>
          <w:szCs w:val="24"/>
          <w:highlight w:val="none"/>
          <w:lang w:bidi="ar"/>
        </w:rPr>
        <w:t>国家法律、行政法规和规章制度规定或合同约定的作为合同组成部分的其他文件</w:t>
      </w:r>
    </w:p>
    <w:p w14:paraId="233D95F8">
      <w:pPr>
        <w:numPr>
          <w:ilvl w:val="0"/>
          <w:numId w:val="3"/>
        </w:num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合同生效</w:t>
      </w:r>
    </w:p>
    <w:p w14:paraId="1788A8AB">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本合同自</w:t>
      </w:r>
      <w:r>
        <w:rPr>
          <w:rFonts w:hint="eastAsia" w:ascii="仿宋" w:hAnsi="仿宋" w:eastAsia="仿宋" w:cs="仿宋"/>
          <w:color w:val="auto"/>
          <w:sz w:val="24"/>
          <w:szCs w:val="24"/>
          <w:highlight w:val="none"/>
          <w:u w:val="single"/>
          <w:lang w:bidi="ar"/>
        </w:rPr>
        <w:t xml:space="preserve">     双方加盖印章之后          </w:t>
      </w:r>
      <w:r>
        <w:rPr>
          <w:rFonts w:hint="eastAsia" w:ascii="仿宋" w:hAnsi="仿宋" w:eastAsia="仿宋" w:cs="仿宋"/>
          <w:color w:val="auto"/>
          <w:sz w:val="24"/>
          <w:szCs w:val="24"/>
          <w:highlight w:val="none"/>
          <w:lang w:bidi="ar"/>
        </w:rPr>
        <w:t>生效。</w:t>
      </w:r>
    </w:p>
    <w:p w14:paraId="52BBCB51">
      <w:pPr>
        <w:numPr>
          <w:ilvl w:val="0"/>
          <w:numId w:val="3"/>
        </w:num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合同份数</w:t>
      </w:r>
    </w:p>
    <w:p w14:paraId="22F993A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本合同一式</w:t>
      </w:r>
      <w:r>
        <w:rPr>
          <w:rFonts w:hint="eastAsia" w:ascii="仿宋" w:hAnsi="仿宋" w:eastAsia="仿宋" w:cs="仿宋"/>
          <w:color w:val="auto"/>
          <w:sz w:val="24"/>
          <w:szCs w:val="24"/>
          <w:highlight w:val="none"/>
          <w:u w:val="single"/>
          <w:lang w:bidi="ar"/>
        </w:rPr>
        <w:t xml:space="preserve">  六 </w:t>
      </w:r>
      <w:r>
        <w:rPr>
          <w:rFonts w:hint="eastAsia" w:ascii="仿宋" w:hAnsi="仿宋" w:eastAsia="仿宋" w:cs="仿宋"/>
          <w:color w:val="auto"/>
          <w:sz w:val="24"/>
          <w:szCs w:val="24"/>
          <w:highlight w:val="none"/>
          <w:lang w:bidi="ar"/>
        </w:rPr>
        <w:t>份，甲方执</w:t>
      </w:r>
      <w:r>
        <w:rPr>
          <w:rFonts w:hint="eastAsia" w:ascii="仿宋" w:hAnsi="仿宋" w:eastAsia="仿宋" w:cs="仿宋"/>
          <w:color w:val="auto"/>
          <w:sz w:val="24"/>
          <w:szCs w:val="24"/>
          <w:highlight w:val="none"/>
          <w:u w:val="single"/>
          <w:lang w:bidi="ar"/>
        </w:rPr>
        <w:t xml:space="preserve"> 三 </w:t>
      </w:r>
      <w:r>
        <w:rPr>
          <w:rFonts w:hint="eastAsia" w:ascii="仿宋" w:hAnsi="仿宋" w:eastAsia="仿宋" w:cs="仿宋"/>
          <w:color w:val="auto"/>
          <w:sz w:val="24"/>
          <w:szCs w:val="24"/>
          <w:highlight w:val="none"/>
          <w:lang w:bidi="ar"/>
        </w:rPr>
        <w:t>份，乙方执</w:t>
      </w:r>
      <w:r>
        <w:rPr>
          <w:rFonts w:hint="eastAsia" w:ascii="仿宋" w:hAnsi="仿宋" w:eastAsia="仿宋" w:cs="仿宋"/>
          <w:color w:val="auto"/>
          <w:sz w:val="24"/>
          <w:szCs w:val="24"/>
          <w:highlight w:val="none"/>
          <w:u w:val="single"/>
          <w:lang w:bidi="ar"/>
        </w:rPr>
        <w:t xml:space="preserve"> 三 </w:t>
      </w:r>
      <w:r>
        <w:rPr>
          <w:rFonts w:hint="eastAsia" w:ascii="仿宋" w:hAnsi="仿宋" w:eastAsia="仿宋" w:cs="仿宋"/>
          <w:color w:val="auto"/>
          <w:sz w:val="24"/>
          <w:szCs w:val="24"/>
          <w:highlight w:val="none"/>
          <w:lang w:bidi="ar"/>
        </w:rPr>
        <w:t>份，均具有同等法律效力。</w:t>
      </w:r>
    </w:p>
    <w:p w14:paraId="69153C5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合同订立时间：</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年</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月</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日</w:t>
      </w:r>
    </w:p>
    <w:p w14:paraId="63690E4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合同订立地点：</w:t>
      </w:r>
      <w:r>
        <w:rPr>
          <w:rFonts w:hint="eastAsia" w:ascii="仿宋" w:hAnsi="仿宋" w:eastAsia="仿宋" w:cs="仿宋"/>
          <w:color w:val="auto"/>
          <w:sz w:val="24"/>
          <w:szCs w:val="24"/>
          <w:highlight w:val="none"/>
          <w:u w:val="single"/>
          <w:lang w:bidi="ar"/>
        </w:rPr>
        <w:t xml:space="preserve">                          </w:t>
      </w:r>
    </w:p>
    <w:p w14:paraId="3A3FC13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附件：具体标的及其技术要求和商务要求、联合协议、分包意向协议等。</w:t>
      </w:r>
    </w:p>
    <w:p w14:paraId="25279DB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br w:type="page"/>
      </w:r>
    </w:p>
    <w:p w14:paraId="08F2A214">
      <w:pPr>
        <w:pStyle w:val="23"/>
        <w:spacing w:before="0" w:beforeAutospacing="0" w:after="0" w:afterAutospacing="0" w:line="360" w:lineRule="auto"/>
        <w:ind w:firstLine="480" w:firstLineChars="200"/>
        <w:jc w:val="both"/>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bidi="ar"/>
        </w:rPr>
        <w:t xml:space="preserve"> </w:t>
      </w: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7"/>
        <w:gridCol w:w="2118"/>
      </w:tblGrid>
      <w:tr w14:paraId="774603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4" w:space="0"/>
              <w:right w:val="single" w:color="auto" w:sz="4" w:space="0"/>
            </w:tcBorders>
            <w:vAlign w:val="center"/>
          </w:tcPr>
          <w:p w14:paraId="54B0C9E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甲方（采购人、受采购人委托签订合同的单位或采购文件约定的合同甲方）</w:t>
            </w:r>
          </w:p>
        </w:tc>
        <w:tc>
          <w:tcPr>
            <w:tcW w:w="2437" w:type="pct"/>
            <w:gridSpan w:val="2"/>
            <w:tcBorders>
              <w:top w:val="single" w:color="auto" w:sz="4" w:space="0"/>
              <w:left w:val="single" w:color="auto" w:sz="4" w:space="0"/>
              <w:bottom w:val="single" w:color="auto" w:sz="2" w:space="0"/>
              <w:right w:val="single" w:color="auto" w:sz="4" w:space="0"/>
            </w:tcBorders>
            <w:vAlign w:val="center"/>
          </w:tcPr>
          <w:p w14:paraId="3C139115">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乙方（供应商）</w:t>
            </w:r>
          </w:p>
        </w:tc>
      </w:tr>
      <w:tr w14:paraId="0D68E8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4" w:space="0"/>
              <w:left w:val="single" w:color="auto" w:sz="4" w:space="0"/>
              <w:bottom w:val="single" w:color="auto" w:sz="4" w:space="0"/>
              <w:right w:val="single" w:color="auto" w:sz="4" w:space="0"/>
            </w:tcBorders>
            <w:vAlign w:val="center"/>
          </w:tcPr>
          <w:p w14:paraId="0F94D9C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单位名称（公章或合同章）</w:t>
            </w:r>
          </w:p>
        </w:tc>
        <w:tc>
          <w:tcPr>
            <w:tcW w:w="1436" w:type="pct"/>
            <w:tcBorders>
              <w:top w:val="single" w:color="auto" w:sz="4" w:space="0"/>
              <w:left w:val="single" w:color="auto" w:sz="4" w:space="0"/>
              <w:bottom w:val="single" w:color="auto" w:sz="4" w:space="0"/>
              <w:right w:val="single" w:color="auto" w:sz="4" w:space="0"/>
            </w:tcBorders>
            <w:vAlign w:val="center"/>
          </w:tcPr>
          <w:p w14:paraId="733FA75A">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4" w:space="0"/>
              <w:left w:val="single" w:color="auto" w:sz="4" w:space="0"/>
              <w:bottom w:val="single" w:color="auto" w:sz="2" w:space="0"/>
              <w:right w:val="single" w:color="auto" w:sz="4" w:space="0"/>
            </w:tcBorders>
            <w:vAlign w:val="center"/>
          </w:tcPr>
          <w:p w14:paraId="2D1CC94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单位名称（公章或合同章）</w:t>
            </w:r>
          </w:p>
        </w:tc>
        <w:tc>
          <w:tcPr>
            <w:tcW w:w="1259" w:type="pct"/>
            <w:tcBorders>
              <w:top w:val="single" w:color="auto" w:sz="2" w:space="0"/>
              <w:left w:val="single" w:color="auto" w:sz="4" w:space="0"/>
              <w:bottom w:val="single" w:color="auto" w:sz="2" w:space="0"/>
              <w:right w:val="single" w:color="auto" w:sz="4" w:space="0"/>
            </w:tcBorders>
            <w:vAlign w:val="center"/>
          </w:tcPr>
          <w:p w14:paraId="3EAB8B00">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32A70E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4" w:space="0"/>
              <w:left w:val="single" w:color="auto" w:sz="4" w:space="0"/>
              <w:bottom w:val="single" w:color="auto" w:sz="4" w:space="0"/>
              <w:right w:val="single" w:color="auto" w:sz="4" w:space="0"/>
            </w:tcBorders>
            <w:vAlign w:val="center"/>
          </w:tcPr>
          <w:p w14:paraId="03D84FAE">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法定代表人</w:t>
            </w:r>
          </w:p>
          <w:p w14:paraId="544C5EE7">
            <w:pPr>
              <w:adjustRightInd w:val="0"/>
              <w:snapToGrid w:val="0"/>
              <w:spacing w:line="360" w:lineRule="auto"/>
              <w:ind w:firstLine="115" w:firstLineChars="4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或其委托代理人（签章）</w:t>
            </w:r>
          </w:p>
        </w:tc>
        <w:tc>
          <w:tcPr>
            <w:tcW w:w="1436" w:type="pct"/>
            <w:vMerge w:val="restart"/>
            <w:tcBorders>
              <w:top w:val="single" w:color="auto" w:sz="4" w:space="0"/>
              <w:left w:val="single" w:color="auto" w:sz="4" w:space="0"/>
              <w:bottom w:val="single" w:color="auto" w:sz="4" w:space="0"/>
              <w:right w:val="single" w:color="auto" w:sz="4" w:space="0"/>
            </w:tcBorders>
            <w:vAlign w:val="center"/>
          </w:tcPr>
          <w:p w14:paraId="57CD2420">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4" w:space="0"/>
              <w:right w:val="single" w:color="auto" w:sz="4" w:space="0"/>
            </w:tcBorders>
            <w:vAlign w:val="center"/>
          </w:tcPr>
          <w:p w14:paraId="32BB3E2A">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法定代表人</w:t>
            </w:r>
          </w:p>
          <w:p w14:paraId="6EED4D01">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或其委托代理人（签章）</w:t>
            </w:r>
          </w:p>
        </w:tc>
        <w:tc>
          <w:tcPr>
            <w:tcW w:w="1259" w:type="pct"/>
            <w:tcBorders>
              <w:top w:val="single" w:color="auto" w:sz="2" w:space="0"/>
              <w:left w:val="single" w:color="auto" w:sz="4" w:space="0"/>
              <w:bottom w:val="single" w:color="auto" w:sz="2" w:space="0"/>
              <w:right w:val="single" w:color="auto" w:sz="4" w:space="0"/>
            </w:tcBorders>
            <w:vAlign w:val="center"/>
          </w:tcPr>
          <w:p w14:paraId="4B4F1A57">
            <w:pPr>
              <w:adjustRightInd w:val="0"/>
              <w:snapToGrid w:val="0"/>
              <w:spacing w:line="360" w:lineRule="auto"/>
              <w:jc w:val="center"/>
              <w:rPr>
                <w:rFonts w:hint="eastAsia" w:ascii="仿宋" w:hAnsi="仿宋" w:eastAsia="仿宋" w:cs="仿宋"/>
                <w:color w:val="auto"/>
                <w:sz w:val="24"/>
                <w:szCs w:val="24"/>
                <w:highlight w:val="none"/>
              </w:rPr>
            </w:pPr>
          </w:p>
        </w:tc>
      </w:tr>
      <w:tr w14:paraId="1DA602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top w:val="single" w:color="auto" w:sz="4" w:space="0"/>
              <w:left w:val="single" w:color="auto" w:sz="4" w:space="0"/>
              <w:bottom w:val="single" w:color="auto" w:sz="4" w:space="0"/>
              <w:right w:val="single" w:color="auto" w:sz="4" w:space="0"/>
            </w:tcBorders>
            <w:vAlign w:val="center"/>
          </w:tcPr>
          <w:p w14:paraId="3B8D6137">
            <w:pPr>
              <w:rPr>
                <w:rFonts w:hint="eastAsia" w:ascii="仿宋" w:hAnsi="仿宋" w:eastAsia="仿宋" w:cs="仿宋"/>
                <w:color w:val="auto"/>
                <w:sz w:val="20"/>
                <w:highlight w:val="none"/>
              </w:rPr>
            </w:pPr>
          </w:p>
        </w:tc>
        <w:tc>
          <w:tcPr>
            <w:tcW w:w="1436" w:type="pct"/>
            <w:vMerge w:val="continue"/>
            <w:tcBorders>
              <w:top w:val="single" w:color="auto" w:sz="4" w:space="0"/>
              <w:left w:val="single" w:color="auto" w:sz="4" w:space="0"/>
              <w:bottom w:val="single" w:color="auto" w:sz="4" w:space="0"/>
              <w:right w:val="single" w:color="auto" w:sz="4" w:space="0"/>
            </w:tcBorders>
            <w:vAlign w:val="center"/>
          </w:tcPr>
          <w:p w14:paraId="77A38135">
            <w:pPr>
              <w:rPr>
                <w:rFonts w:hint="eastAsia" w:ascii="仿宋" w:hAnsi="仿宋" w:eastAsia="仿宋" w:cs="仿宋"/>
                <w:color w:val="auto"/>
                <w:sz w:val="20"/>
                <w:highlight w:val="none"/>
              </w:rPr>
            </w:pPr>
          </w:p>
        </w:tc>
        <w:tc>
          <w:tcPr>
            <w:tcW w:w="1177" w:type="pct"/>
            <w:tcBorders>
              <w:top w:val="single" w:color="auto" w:sz="4" w:space="0"/>
              <w:left w:val="single" w:color="auto" w:sz="4" w:space="0"/>
              <w:bottom w:val="single" w:color="auto" w:sz="2" w:space="0"/>
              <w:right w:val="single" w:color="auto" w:sz="4" w:space="0"/>
            </w:tcBorders>
            <w:vAlign w:val="center"/>
          </w:tcPr>
          <w:p w14:paraId="0111B3E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拥有者性别</w:t>
            </w:r>
          </w:p>
        </w:tc>
        <w:tc>
          <w:tcPr>
            <w:tcW w:w="1259" w:type="pct"/>
            <w:tcBorders>
              <w:top w:val="single" w:color="auto" w:sz="2" w:space="0"/>
              <w:left w:val="single" w:color="auto" w:sz="4" w:space="0"/>
              <w:bottom w:val="single" w:color="auto" w:sz="2" w:space="0"/>
              <w:right w:val="single" w:color="auto" w:sz="4" w:space="0"/>
            </w:tcBorders>
            <w:vAlign w:val="center"/>
          </w:tcPr>
          <w:p w14:paraId="3CACE2D2">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3D520D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4" w:space="0"/>
              <w:left w:val="single" w:color="auto" w:sz="4" w:space="0"/>
              <w:bottom w:val="single" w:color="auto" w:sz="2" w:space="0"/>
              <w:right w:val="single" w:color="auto" w:sz="4" w:space="0"/>
            </w:tcBorders>
            <w:vAlign w:val="center"/>
          </w:tcPr>
          <w:p w14:paraId="3B4A4EF9">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住  所</w:t>
            </w:r>
          </w:p>
        </w:tc>
        <w:tc>
          <w:tcPr>
            <w:tcW w:w="1436" w:type="pct"/>
            <w:tcBorders>
              <w:top w:val="single" w:color="auto" w:sz="4" w:space="0"/>
              <w:left w:val="single" w:color="auto" w:sz="4" w:space="0"/>
              <w:bottom w:val="single" w:color="auto" w:sz="2" w:space="0"/>
              <w:right w:val="single" w:color="auto" w:sz="4" w:space="0"/>
            </w:tcBorders>
            <w:vAlign w:val="center"/>
          </w:tcPr>
          <w:p w14:paraId="65EF0C4F">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10302AF5">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住  所</w:t>
            </w:r>
          </w:p>
        </w:tc>
        <w:tc>
          <w:tcPr>
            <w:tcW w:w="1259" w:type="pct"/>
            <w:tcBorders>
              <w:top w:val="single" w:color="auto" w:sz="2" w:space="0"/>
              <w:left w:val="single" w:color="auto" w:sz="4" w:space="0"/>
              <w:bottom w:val="single" w:color="auto" w:sz="2" w:space="0"/>
              <w:right w:val="single" w:color="auto" w:sz="4" w:space="0"/>
            </w:tcBorders>
            <w:vAlign w:val="center"/>
          </w:tcPr>
          <w:p w14:paraId="1FBBBEF4">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782BC1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31C8DE3F">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联 系 人</w:t>
            </w:r>
          </w:p>
        </w:tc>
        <w:tc>
          <w:tcPr>
            <w:tcW w:w="1436" w:type="pct"/>
            <w:tcBorders>
              <w:top w:val="single" w:color="auto" w:sz="2" w:space="0"/>
              <w:left w:val="single" w:color="auto" w:sz="4" w:space="0"/>
              <w:bottom w:val="single" w:color="auto" w:sz="2" w:space="0"/>
              <w:right w:val="single" w:color="auto" w:sz="4" w:space="0"/>
            </w:tcBorders>
            <w:vAlign w:val="center"/>
          </w:tcPr>
          <w:p w14:paraId="2E56AA28">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4DBBE43B">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联 系 人</w:t>
            </w:r>
          </w:p>
        </w:tc>
        <w:tc>
          <w:tcPr>
            <w:tcW w:w="1259" w:type="pct"/>
            <w:tcBorders>
              <w:top w:val="single" w:color="auto" w:sz="2" w:space="0"/>
              <w:left w:val="single" w:color="auto" w:sz="4" w:space="0"/>
              <w:bottom w:val="single" w:color="auto" w:sz="2" w:space="0"/>
              <w:right w:val="single" w:color="auto" w:sz="4" w:space="0"/>
            </w:tcBorders>
            <w:vAlign w:val="center"/>
          </w:tcPr>
          <w:p w14:paraId="0F73994E">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634037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282AF79C">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联系电话</w:t>
            </w:r>
          </w:p>
        </w:tc>
        <w:tc>
          <w:tcPr>
            <w:tcW w:w="1436" w:type="pct"/>
            <w:tcBorders>
              <w:top w:val="single" w:color="auto" w:sz="2" w:space="0"/>
              <w:left w:val="single" w:color="auto" w:sz="4" w:space="0"/>
              <w:bottom w:val="single" w:color="auto" w:sz="2" w:space="0"/>
              <w:right w:val="single" w:color="auto" w:sz="4" w:space="0"/>
            </w:tcBorders>
            <w:vAlign w:val="center"/>
          </w:tcPr>
          <w:p w14:paraId="5B8C71B6">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7EDE25CB">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联系电话</w:t>
            </w:r>
          </w:p>
        </w:tc>
        <w:tc>
          <w:tcPr>
            <w:tcW w:w="1259" w:type="pct"/>
            <w:tcBorders>
              <w:top w:val="single" w:color="auto" w:sz="2" w:space="0"/>
              <w:left w:val="single" w:color="auto" w:sz="4" w:space="0"/>
              <w:bottom w:val="single" w:color="auto" w:sz="2" w:space="0"/>
              <w:right w:val="single" w:color="auto" w:sz="4" w:space="0"/>
            </w:tcBorders>
            <w:vAlign w:val="center"/>
          </w:tcPr>
          <w:p w14:paraId="087A1E8B">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423FF9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01BD1351">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通信地址</w:t>
            </w:r>
          </w:p>
        </w:tc>
        <w:tc>
          <w:tcPr>
            <w:tcW w:w="1436" w:type="pct"/>
            <w:tcBorders>
              <w:top w:val="single" w:color="auto" w:sz="2" w:space="0"/>
              <w:left w:val="single" w:color="auto" w:sz="4" w:space="0"/>
              <w:bottom w:val="single" w:color="auto" w:sz="2" w:space="0"/>
              <w:right w:val="single" w:color="auto" w:sz="4" w:space="0"/>
            </w:tcBorders>
            <w:vAlign w:val="center"/>
          </w:tcPr>
          <w:p w14:paraId="01D97777">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41551592">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通信地址</w:t>
            </w:r>
          </w:p>
        </w:tc>
        <w:tc>
          <w:tcPr>
            <w:tcW w:w="1259" w:type="pct"/>
            <w:tcBorders>
              <w:top w:val="single" w:color="auto" w:sz="2" w:space="0"/>
              <w:left w:val="single" w:color="auto" w:sz="4" w:space="0"/>
              <w:bottom w:val="single" w:color="auto" w:sz="2" w:space="0"/>
              <w:right w:val="single" w:color="auto" w:sz="4" w:space="0"/>
            </w:tcBorders>
            <w:vAlign w:val="center"/>
          </w:tcPr>
          <w:p w14:paraId="634A7EBC">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19C241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16859ED9">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邮政编码</w:t>
            </w:r>
          </w:p>
        </w:tc>
        <w:tc>
          <w:tcPr>
            <w:tcW w:w="1436" w:type="pct"/>
            <w:tcBorders>
              <w:top w:val="single" w:color="auto" w:sz="2" w:space="0"/>
              <w:left w:val="single" w:color="auto" w:sz="4" w:space="0"/>
              <w:bottom w:val="single" w:color="auto" w:sz="2" w:space="0"/>
              <w:right w:val="single" w:color="auto" w:sz="4" w:space="0"/>
            </w:tcBorders>
            <w:vAlign w:val="center"/>
          </w:tcPr>
          <w:p w14:paraId="23333D6B">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46B8D5EA">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邮政编码</w:t>
            </w:r>
          </w:p>
        </w:tc>
        <w:tc>
          <w:tcPr>
            <w:tcW w:w="1259" w:type="pct"/>
            <w:tcBorders>
              <w:top w:val="single" w:color="auto" w:sz="2" w:space="0"/>
              <w:left w:val="single" w:color="auto" w:sz="4" w:space="0"/>
              <w:bottom w:val="single" w:color="auto" w:sz="2" w:space="0"/>
              <w:right w:val="single" w:color="auto" w:sz="4" w:space="0"/>
            </w:tcBorders>
            <w:vAlign w:val="center"/>
          </w:tcPr>
          <w:p w14:paraId="03D2B632">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10693C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6AB23B7D">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电子邮箱</w:t>
            </w:r>
          </w:p>
        </w:tc>
        <w:tc>
          <w:tcPr>
            <w:tcW w:w="1436" w:type="pct"/>
            <w:tcBorders>
              <w:top w:val="single" w:color="auto" w:sz="2" w:space="0"/>
              <w:left w:val="single" w:color="auto" w:sz="4" w:space="0"/>
              <w:bottom w:val="single" w:color="auto" w:sz="2" w:space="0"/>
              <w:right w:val="single" w:color="auto" w:sz="4" w:space="0"/>
            </w:tcBorders>
            <w:vAlign w:val="center"/>
          </w:tcPr>
          <w:p w14:paraId="4B6ACC45">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753D351B">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电子邮箱</w:t>
            </w:r>
          </w:p>
        </w:tc>
        <w:tc>
          <w:tcPr>
            <w:tcW w:w="1259" w:type="pct"/>
            <w:tcBorders>
              <w:top w:val="single" w:color="auto" w:sz="2" w:space="0"/>
              <w:left w:val="single" w:color="auto" w:sz="4" w:space="0"/>
              <w:bottom w:val="single" w:color="auto" w:sz="2" w:space="0"/>
              <w:right w:val="single" w:color="auto" w:sz="4" w:space="0"/>
            </w:tcBorders>
            <w:vAlign w:val="center"/>
          </w:tcPr>
          <w:p w14:paraId="20B62ECB">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75149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4F1B0433">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统一社会信用代码</w:t>
            </w:r>
          </w:p>
        </w:tc>
        <w:tc>
          <w:tcPr>
            <w:tcW w:w="1436" w:type="pct"/>
            <w:tcBorders>
              <w:top w:val="single" w:color="auto" w:sz="2" w:space="0"/>
              <w:left w:val="single" w:color="auto" w:sz="4" w:space="0"/>
              <w:bottom w:val="single" w:color="auto" w:sz="2" w:space="0"/>
              <w:right w:val="single" w:color="auto" w:sz="4" w:space="0"/>
            </w:tcBorders>
            <w:vAlign w:val="center"/>
          </w:tcPr>
          <w:p w14:paraId="35BE75C3">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77641F55">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统一社会信用代码</w:t>
            </w:r>
          </w:p>
        </w:tc>
        <w:tc>
          <w:tcPr>
            <w:tcW w:w="1259" w:type="pct"/>
            <w:tcBorders>
              <w:top w:val="single" w:color="auto" w:sz="2" w:space="0"/>
              <w:left w:val="single" w:color="auto" w:sz="4" w:space="0"/>
              <w:bottom w:val="single" w:color="auto" w:sz="2" w:space="0"/>
              <w:right w:val="single" w:color="auto" w:sz="4" w:space="0"/>
            </w:tcBorders>
            <w:vAlign w:val="center"/>
          </w:tcPr>
          <w:p w14:paraId="1AAA1779">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3BBFF6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58E0B7A7">
            <w:pPr>
              <w:adjustRightInd w:val="0"/>
              <w:snapToGrid w:val="0"/>
              <w:spacing w:line="360" w:lineRule="auto"/>
              <w:jc w:val="center"/>
              <w:rPr>
                <w:rFonts w:hint="eastAsia" w:ascii="仿宋" w:hAnsi="仿宋" w:eastAsia="仿宋" w:cs="仿宋"/>
                <w:color w:val="auto"/>
                <w:sz w:val="24"/>
                <w:szCs w:val="24"/>
                <w:highlight w:val="none"/>
              </w:rPr>
            </w:pPr>
          </w:p>
        </w:tc>
        <w:tc>
          <w:tcPr>
            <w:tcW w:w="1436" w:type="pct"/>
            <w:tcBorders>
              <w:top w:val="single" w:color="auto" w:sz="2" w:space="0"/>
              <w:left w:val="single" w:color="auto" w:sz="4" w:space="0"/>
              <w:bottom w:val="single" w:color="auto" w:sz="2" w:space="0"/>
              <w:right w:val="single" w:color="auto" w:sz="4" w:space="0"/>
            </w:tcBorders>
            <w:vAlign w:val="center"/>
          </w:tcPr>
          <w:p w14:paraId="6B784643">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6B0F62D2">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开户名称</w:t>
            </w:r>
          </w:p>
        </w:tc>
        <w:tc>
          <w:tcPr>
            <w:tcW w:w="1259" w:type="pct"/>
            <w:tcBorders>
              <w:top w:val="single" w:color="auto" w:sz="2" w:space="0"/>
              <w:left w:val="single" w:color="auto" w:sz="4" w:space="0"/>
              <w:bottom w:val="single" w:color="auto" w:sz="2" w:space="0"/>
              <w:right w:val="single" w:color="auto" w:sz="4" w:space="0"/>
            </w:tcBorders>
            <w:vAlign w:val="center"/>
          </w:tcPr>
          <w:p w14:paraId="0F047E33">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25AE8F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06D9FDAC">
            <w:pPr>
              <w:adjustRightInd w:val="0"/>
              <w:snapToGrid w:val="0"/>
              <w:spacing w:line="360" w:lineRule="auto"/>
              <w:jc w:val="center"/>
              <w:rPr>
                <w:rFonts w:hint="eastAsia" w:ascii="仿宋" w:hAnsi="仿宋" w:eastAsia="仿宋" w:cs="仿宋"/>
                <w:color w:val="auto"/>
                <w:sz w:val="24"/>
                <w:szCs w:val="24"/>
                <w:highlight w:val="none"/>
              </w:rPr>
            </w:pPr>
          </w:p>
        </w:tc>
        <w:tc>
          <w:tcPr>
            <w:tcW w:w="1436" w:type="pct"/>
            <w:tcBorders>
              <w:top w:val="single" w:color="auto" w:sz="2" w:space="0"/>
              <w:left w:val="single" w:color="auto" w:sz="4" w:space="0"/>
              <w:bottom w:val="single" w:color="auto" w:sz="2" w:space="0"/>
              <w:right w:val="single" w:color="auto" w:sz="4" w:space="0"/>
            </w:tcBorders>
            <w:vAlign w:val="center"/>
          </w:tcPr>
          <w:p w14:paraId="7EFEC308">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1108C708">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开户银行</w:t>
            </w:r>
          </w:p>
        </w:tc>
        <w:tc>
          <w:tcPr>
            <w:tcW w:w="1259" w:type="pct"/>
            <w:tcBorders>
              <w:top w:val="single" w:color="auto" w:sz="2" w:space="0"/>
              <w:left w:val="single" w:color="auto" w:sz="4" w:space="0"/>
              <w:bottom w:val="single" w:color="auto" w:sz="2" w:space="0"/>
              <w:right w:val="single" w:color="auto" w:sz="4" w:space="0"/>
            </w:tcBorders>
            <w:vAlign w:val="center"/>
          </w:tcPr>
          <w:p w14:paraId="008DC120">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0FD0FF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165288FC">
            <w:pPr>
              <w:adjustRightInd w:val="0"/>
              <w:snapToGrid w:val="0"/>
              <w:spacing w:line="360" w:lineRule="auto"/>
              <w:jc w:val="center"/>
              <w:rPr>
                <w:rFonts w:hint="eastAsia" w:ascii="仿宋" w:hAnsi="仿宋" w:eastAsia="仿宋" w:cs="仿宋"/>
                <w:color w:val="auto"/>
                <w:sz w:val="24"/>
                <w:szCs w:val="24"/>
                <w:highlight w:val="none"/>
              </w:rPr>
            </w:pPr>
          </w:p>
        </w:tc>
        <w:tc>
          <w:tcPr>
            <w:tcW w:w="1436" w:type="pct"/>
            <w:tcBorders>
              <w:top w:val="single" w:color="auto" w:sz="2" w:space="0"/>
              <w:left w:val="single" w:color="auto" w:sz="4" w:space="0"/>
              <w:bottom w:val="single" w:color="auto" w:sz="4" w:space="0"/>
              <w:right w:val="single" w:color="auto" w:sz="4" w:space="0"/>
            </w:tcBorders>
            <w:vAlign w:val="center"/>
          </w:tcPr>
          <w:p w14:paraId="264A5E16">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4" w:space="0"/>
              <w:right w:val="single" w:color="auto" w:sz="4" w:space="0"/>
            </w:tcBorders>
            <w:vAlign w:val="center"/>
          </w:tcPr>
          <w:p w14:paraId="048A79D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银行账号</w:t>
            </w:r>
          </w:p>
        </w:tc>
        <w:tc>
          <w:tcPr>
            <w:tcW w:w="1259" w:type="pct"/>
            <w:tcBorders>
              <w:top w:val="single" w:color="auto" w:sz="2" w:space="0"/>
              <w:left w:val="single" w:color="auto" w:sz="4" w:space="0"/>
              <w:bottom w:val="single" w:color="auto" w:sz="2" w:space="0"/>
              <w:right w:val="single" w:color="auto" w:sz="4" w:space="0"/>
            </w:tcBorders>
            <w:vAlign w:val="center"/>
          </w:tcPr>
          <w:p w14:paraId="020415CC">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01DEA5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2EC98A72">
            <w:pPr>
              <w:pStyle w:val="23"/>
              <w:adjustRightInd w:val="0"/>
              <w:snapToGrid w:val="0"/>
              <w:spacing w:before="156" w:beforeLines="50" w:beforeAutospacing="0" w:after="0" w:afterAutospacing="0" w:line="360" w:lineRule="auto"/>
              <w:rPr>
                <w:rFonts w:hint="eastAsia" w:ascii="仿宋" w:hAnsi="仿宋" w:eastAsia="仿宋" w:cs="仿宋"/>
                <w:color w:val="auto"/>
                <w:spacing w:val="20"/>
                <w:kern w:val="2"/>
                <w:szCs w:val="24"/>
                <w:highlight w:val="none"/>
              </w:rPr>
            </w:pPr>
            <w:r>
              <w:rPr>
                <w:rFonts w:hint="eastAsia" w:ascii="仿宋" w:hAnsi="仿宋" w:eastAsia="仿宋" w:cs="仿宋"/>
                <w:color w:val="auto"/>
                <w:kern w:val="2"/>
                <w:szCs w:val="24"/>
                <w:highlight w:val="none"/>
                <w:lang w:bidi="ar"/>
              </w:rPr>
              <w:t>注：涉及联合体或其他合同主体的信息应按上表格式加列。</w:t>
            </w:r>
          </w:p>
        </w:tc>
      </w:tr>
    </w:tbl>
    <w:p w14:paraId="7FFA02BC">
      <w:pPr>
        <w:spacing w:line="360" w:lineRule="auto"/>
        <w:jc w:val="center"/>
        <w:outlineLvl w:val="1"/>
        <w:rPr>
          <w:rFonts w:hint="eastAsia" w:ascii="仿宋" w:hAnsi="仿宋" w:eastAsia="仿宋" w:cs="仿宋"/>
          <w:b/>
          <w:color w:val="auto"/>
          <w:sz w:val="24"/>
          <w:szCs w:val="24"/>
          <w:highlight w:val="none"/>
          <w:lang w:bidi="ar"/>
        </w:rPr>
      </w:pPr>
      <w:r>
        <w:rPr>
          <w:rFonts w:hint="eastAsia" w:ascii="仿宋" w:hAnsi="仿宋" w:eastAsia="仿宋" w:cs="仿宋"/>
          <w:color w:val="auto"/>
          <w:highlight w:val="none"/>
          <w:u w:val="single"/>
        </w:rPr>
        <w:br w:type="page"/>
      </w:r>
      <w:r>
        <w:rPr>
          <w:rFonts w:hint="eastAsia" w:ascii="仿宋" w:hAnsi="仿宋" w:eastAsia="仿宋" w:cs="仿宋"/>
          <w:b/>
          <w:color w:val="auto"/>
          <w:sz w:val="24"/>
          <w:szCs w:val="24"/>
          <w:highlight w:val="none"/>
          <w:lang w:bidi="ar"/>
        </w:rPr>
        <w:t>第二节 政府采购合同通用条款</w:t>
      </w:r>
    </w:p>
    <w:p w14:paraId="113D184A">
      <w:pPr>
        <w:tabs>
          <w:tab w:val="left" w:pos="8820"/>
          <w:tab w:val="left" w:pos="9345"/>
          <w:tab w:val="left" w:pos="9765"/>
        </w:tabs>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lang w:bidi="ar"/>
        </w:rPr>
        <w:t xml:space="preserve">1. </w:t>
      </w:r>
      <w:r>
        <w:rPr>
          <w:rFonts w:hint="eastAsia" w:ascii="仿宋" w:hAnsi="仿宋" w:eastAsia="仿宋" w:cs="仿宋"/>
          <w:b/>
          <w:bCs/>
          <w:color w:val="auto"/>
          <w:sz w:val="24"/>
          <w:szCs w:val="24"/>
          <w:highlight w:val="none"/>
          <w:lang w:bidi="ar"/>
        </w:rPr>
        <w:t>定义</w:t>
      </w:r>
    </w:p>
    <w:p w14:paraId="1D4FC2EA">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1.1合同当事人</w:t>
      </w:r>
    </w:p>
    <w:p w14:paraId="756AB2B4">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（1）采购人（以下称甲方）是指使用财政性资金，通过政府采购方式向供应商购买货物及其相关服务的国家机关、事业单位、团体组织。</w:t>
      </w:r>
    </w:p>
    <w:p w14:paraId="31491BF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（2）供应商（以下称乙方）是指参加政府采购活动并且中标（成交），向采购人提供合同约定的货物及其相关服务的法人、非法人组织或者自然人。</w:t>
      </w:r>
    </w:p>
    <w:p w14:paraId="44FC68B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（3）其他合同主体是指除采购人和供应商以外，</w:t>
      </w:r>
      <w:r>
        <w:rPr>
          <w:rFonts w:hint="eastAsia" w:ascii="仿宋" w:hAnsi="仿宋" w:eastAsia="仿宋" w:cs="仿宋"/>
          <w:bCs/>
          <w:color w:val="auto"/>
          <w:sz w:val="24"/>
          <w:szCs w:val="24"/>
          <w:highlight w:val="none"/>
          <w:lang w:bidi="ar"/>
        </w:rPr>
        <w:t>依法参与合同缔结或履行，享有权利、承担义务的合同当事人</w:t>
      </w:r>
      <w:r>
        <w:rPr>
          <w:rFonts w:hint="eastAsia" w:ascii="仿宋" w:hAnsi="仿宋" w:eastAsia="仿宋" w:cs="仿宋"/>
          <w:color w:val="auto"/>
          <w:sz w:val="24"/>
          <w:szCs w:val="24"/>
          <w:highlight w:val="none"/>
          <w:lang w:bidi="ar"/>
        </w:rPr>
        <w:t>。</w:t>
      </w:r>
    </w:p>
    <w:p w14:paraId="1B78E05C">
      <w:pPr>
        <w:tabs>
          <w:tab w:val="left" w:pos="570"/>
          <w:tab w:val="left" w:pos="9240"/>
          <w:tab w:val="left" w:pos="9555"/>
        </w:tabs>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1.2本合同下列术语应解释为：</w:t>
      </w:r>
    </w:p>
    <w:p w14:paraId="58E764CC">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（1）“合同”系指</w:t>
      </w:r>
      <w:r>
        <w:rPr>
          <w:rFonts w:hint="eastAsia" w:ascii="仿宋" w:hAnsi="仿宋" w:eastAsia="仿宋" w:cs="仿宋"/>
          <w:bCs/>
          <w:color w:val="auto"/>
          <w:sz w:val="24"/>
          <w:szCs w:val="24"/>
          <w:highlight w:val="none"/>
          <w:lang w:bidi="ar"/>
        </w:rPr>
        <w:t>合同当事人意思表示达成一致的任何协议，包括签署的</w:t>
      </w:r>
      <w:r>
        <w:rPr>
          <w:rFonts w:hint="eastAsia" w:ascii="仿宋" w:hAnsi="仿宋" w:eastAsia="仿宋" w:cs="仿宋"/>
          <w:color w:val="auto"/>
          <w:sz w:val="24"/>
          <w:szCs w:val="24"/>
          <w:highlight w:val="none"/>
          <w:lang w:bidi="ar"/>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E3E45D0">
      <w:pPr>
        <w:tabs>
          <w:tab w:val="left" w:pos="570"/>
          <w:tab w:val="left" w:pos="9240"/>
          <w:tab w:val="left" w:pos="9555"/>
        </w:tabs>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（2）“合同价款”系指根据本合同规定乙方在全面履行合同义务后甲方应支付给乙方的价款。</w:t>
      </w:r>
    </w:p>
    <w:p w14:paraId="00204C22">
      <w:pPr>
        <w:tabs>
          <w:tab w:val="left" w:pos="570"/>
          <w:tab w:val="left" w:pos="9240"/>
          <w:tab w:val="left" w:pos="9555"/>
        </w:tabs>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（3）“货物”系指乙方根据本合同规定须向甲方提供的各种形态和种类的物品，包括原材料、设备、产品（包括软件）及相关的其备品备件、工具、手册及其他技术资料和材料等。</w:t>
      </w:r>
    </w:p>
    <w:p w14:paraId="262D56B0">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774BADA">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（5）“分包”系指中标（成交）供应商按采购文件、投标（响应）文件的规定，根据分包意向协议，将中标（成交）项目中的部分履约内容，分给具有相应资质条件的供应商履行合同的行为。</w:t>
      </w:r>
    </w:p>
    <w:p w14:paraId="31AFDBDC">
      <w:pPr>
        <w:tabs>
          <w:tab w:val="left" w:pos="570"/>
          <w:tab w:val="left" w:pos="9240"/>
          <w:tab w:val="left" w:pos="9555"/>
        </w:tabs>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w:t>
      </w:r>
    </w:p>
    <w:p w14:paraId="104510EB">
      <w:pPr>
        <w:tabs>
          <w:tab w:val="left" w:pos="570"/>
          <w:tab w:val="left" w:pos="9240"/>
          <w:tab w:val="left" w:pos="9555"/>
        </w:tabs>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（7）其他术语解释，见【</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w:t>
      </w:r>
    </w:p>
    <w:p w14:paraId="24476E88">
      <w:pPr>
        <w:numPr>
          <w:ilvl w:val="0"/>
          <w:numId w:val="6"/>
        </w:num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lang w:bidi="ar"/>
        </w:rPr>
        <w:t>合同标的及金额</w:t>
      </w:r>
    </w:p>
    <w:p w14:paraId="3518A09A">
      <w:pPr>
        <w:autoSpaceDE w:val="0"/>
        <w:autoSpaceDN w:val="0"/>
        <w:adjustRightInd w:val="0"/>
        <w:snapToGrid w:val="0"/>
        <w:spacing w:line="360" w:lineRule="auto"/>
        <w:ind w:firstLine="480" w:firstLineChars="200"/>
        <w:jc w:val="left"/>
        <w:rPr>
          <w:rFonts w:hint="eastAsia" w:ascii="仿宋" w:hAnsi="仿宋" w:eastAsia="仿宋" w:cs="仿宋"/>
          <w:b/>
          <w:bCs/>
          <w:i/>
          <w:iCs/>
          <w:color w:val="auto"/>
          <w:sz w:val="24"/>
          <w:szCs w:val="24"/>
          <w:highlight w:val="none"/>
        </w:rPr>
      </w:pPr>
      <w:r>
        <w:rPr>
          <w:rFonts w:hint="eastAsia" w:ascii="仿宋" w:hAnsi="仿宋" w:eastAsia="仿宋" w:cs="仿宋"/>
          <w:color w:val="auto"/>
          <w:sz w:val="24"/>
          <w:szCs w:val="24"/>
          <w:highlight w:val="none"/>
          <w:lang w:bidi="ar"/>
        </w:rPr>
        <w:t>2.1 合同标的及金额应与中标（成交）结果一致。乙方为履行本合同而发生的所有费用均应包含在合同价款中，甲方不再另行支付其他任何费用。</w:t>
      </w:r>
    </w:p>
    <w:p w14:paraId="370577B0">
      <w:pPr>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3. 履行合同的时间、地点和方式</w:t>
      </w:r>
    </w:p>
    <w:p w14:paraId="70BFCE34">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3.1 乙方应当在约定的时间、地点，按照约定方式履行合同。</w:t>
      </w:r>
    </w:p>
    <w:p w14:paraId="5BE9C1AF">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4. 甲方的权利和义务</w:t>
      </w:r>
    </w:p>
    <w:p w14:paraId="75C187AE">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4.1 签署合同后，甲方应确定项目负责人（或项目联系人），负责与本合同有关的事务。甲方有权对乙方的履约行为进行检查，并及时确认乙方提交的事项。甲方应当配合乙方完成相关项目实施工作。</w:t>
      </w:r>
    </w:p>
    <w:p w14:paraId="5849334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4.2 甲方有权要求乙方按时提交各阶段有关安排计划，并有权定期核对乙方提供货物数量、规格、质量等内容。甲方有权督促乙方工作并要求乙方更换不符合要求的货物。</w:t>
      </w:r>
    </w:p>
    <w:p w14:paraId="2882E816">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4.3 甲方有权要求乙方对缺陷部分予以修复，并按合同约定享有货物保修及其他合同约定的权利。</w:t>
      </w:r>
    </w:p>
    <w:p w14:paraId="71AFBA5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4.4 甲方应当按照合同约定及时对交付的货物进行验收，未在</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约定的期限内对乙方履约提出任何异议或者向乙方作出任何说明的，视为验收通过。</w:t>
      </w:r>
    </w:p>
    <w:p w14:paraId="4F1DF17E">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4.5 甲方应当根据合同约定及时向乙方支付合同价款，不得以内部人员变更、履行内部付款流程等为由，拒绝或迟延支付。</w:t>
      </w:r>
    </w:p>
    <w:p w14:paraId="23FA00A6">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4.6 国家法律法规规定及</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约定应由甲方承担的其他义务和责任。</w:t>
      </w:r>
    </w:p>
    <w:p w14:paraId="2A8847C7">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5. 乙方的权利和义务</w:t>
      </w:r>
    </w:p>
    <w:p w14:paraId="426CB469">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5.1 签署合同后，乙方应确定项目负责人（或项目联系人），负责与本合同有关的事务。</w:t>
      </w:r>
    </w:p>
    <w:p w14:paraId="4FC84AC7">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DE9C8E">
      <w:pPr>
        <w:pStyle w:val="23"/>
        <w:spacing w:before="0" w:after="0" w:afterAutospacing="0" w:line="360" w:lineRule="auto"/>
        <w:ind w:firstLine="422" w:firstLineChars="176"/>
        <w:jc w:val="both"/>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bidi="ar"/>
        </w:rPr>
        <w:t>5.3乙方有权根据合同约定向甲方收取合同价款。</w:t>
      </w:r>
    </w:p>
    <w:p w14:paraId="6836911C">
      <w:pPr>
        <w:pStyle w:val="23"/>
        <w:spacing w:before="0" w:after="0" w:afterAutospacing="0" w:line="360" w:lineRule="auto"/>
        <w:ind w:firstLine="422" w:firstLineChars="176"/>
        <w:jc w:val="both"/>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bidi="ar"/>
        </w:rPr>
        <w:t>5.4国家法律法规规定及</w:t>
      </w:r>
      <w:r>
        <w:rPr>
          <w:rFonts w:hint="eastAsia" w:ascii="仿宋" w:hAnsi="仿宋" w:eastAsia="仿宋" w:cs="仿宋"/>
          <w:b/>
          <w:bCs/>
          <w:color w:val="auto"/>
          <w:kern w:val="2"/>
          <w:szCs w:val="24"/>
          <w:highlight w:val="none"/>
          <w:lang w:bidi="ar"/>
        </w:rPr>
        <w:t>【政府采购合同专用条款】</w:t>
      </w:r>
      <w:r>
        <w:rPr>
          <w:rFonts w:hint="eastAsia" w:ascii="仿宋" w:hAnsi="仿宋" w:eastAsia="仿宋" w:cs="仿宋"/>
          <w:color w:val="auto"/>
          <w:kern w:val="2"/>
          <w:szCs w:val="24"/>
          <w:highlight w:val="none"/>
          <w:lang w:bidi="ar"/>
        </w:rPr>
        <w:t>约定应由乙方承担的其他义务和责任。</w:t>
      </w:r>
    </w:p>
    <w:p w14:paraId="250471B0">
      <w:pPr>
        <w:numPr>
          <w:ilvl w:val="0"/>
          <w:numId w:val="7"/>
        </w:num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合同履行</w:t>
      </w:r>
    </w:p>
    <w:p w14:paraId="1EF1FC6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6.1 甲乙双方应当按照</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约定顺序履行合同义务；如果没有先后顺序的，应当同时履行。</w:t>
      </w:r>
    </w:p>
    <w:p w14:paraId="17B4F638">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6.2 甲乙双方按照合同约定顺序履行合同义务时，应当先履行一方未履行的，后履行一方有权拒绝其履行请求。先履行一方履行不符合约定的，后履行一方有权拒绝其相应的履行请求。</w:t>
      </w:r>
    </w:p>
    <w:p w14:paraId="396519F9">
      <w:pPr>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7. 货物包装、运输、保险和交付要求</w:t>
      </w:r>
    </w:p>
    <w:p w14:paraId="35CE817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7.1 本合同</w:t>
      </w:r>
      <w:r>
        <w:rPr>
          <w:rFonts w:hint="eastAsia" w:ascii="仿宋" w:hAnsi="仿宋" w:eastAsia="仿宋" w:cs="仿宋"/>
          <w:bCs/>
          <w:color w:val="auto"/>
          <w:sz w:val="24"/>
          <w:szCs w:val="24"/>
          <w:highlight w:val="none"/>
          <w:lang w:bidi="ar"/>
        </w:rPr>
        <w:t>涉及商品包装、快递包装的，</w:t>
      </w:r>
      <w:r>
        <w:rPr>
          <w:rFonts w:hint="eastAsia" w:ascii="仿宋" w:hAnsi="仿宋" w:eastAsia="仿宋" w:cs="仿宋"/>
          <w:color w:val="auto"/>
          <w:sz w:val="24"/>
          <w:szCs w:val="24"/>
          <w:highlight w:val="none"/>
          <w:lang w:bidi="ar"/>
        </w:rPr>
        <w:t>除</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bCs/>
          <w:color w:val="auto"/>
          <w:sz w:val="24"/>
          <w:szCs w:val="24"/>
          <w:highlight w:val="none"/>
          <w:lang w:bidi="ar"/>
        </w:rPr>
        <w:t>另有约定外，</w:t>
      </w:r>
      <w:r>
        <w:rPr>
          <w:rFonts w:hint="eastAsia" w:ascii="仿宋" w:hAnsi="仿宋" w:eastAsia="仿宋" w:cs="仿宋"/>
          <w:color w:val="auto"/>
          <w:sz w:val="24"/>
          <w:szCs w:val="24"/>
          <w:highlight w:val="none"/>
          <w:lang w:bidi="ar"/>
        </w:rPr>
        <w:t>包装应适应远距离运输、防潮、防震、防锈和防野蛮装卸等要求，确保货物安全无损地运抵</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bCs/>
          <w:color w:val="auto"/>
          <w:sz w:val="24"/>
          <w:szCs w:val="24"/>
          <w:highlight w:val="none"/>
          <w:lang w:bidi="ar"/>
        </w:rPr>
        <w:t>约定的</w:t>
      </w:r>
      <w:r>
        <w:rPr>
          <w:rFonts w:hint="eastAsia" w:ascii="仿宋" w:hAnsi="仿宋" w:eastAsia="仿宋" w:cs="仿宋"/>
          <w:color w:val="auto"/>
          <w:sz w:val="24"/>
          <w:szCs w:val="24"/>
          <w:highlight w:val="none"/>
          <w:lang w:bidi="ar"/>
        </w:rPr>
        <w:t>指定现场。</w:t>
      </w:r>
    </w:p>
    <w:p w14:paraId="744792E2">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7.2 除</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bCs/>
          <w:color w:val="auto"/>
          <w:sz w:val="24"/>
          <w:szCs w:val="24"/>
          <w:highlight w:val="none"/>
          <w:lang w:bidi="ar"/>
        </w:rPr>
        <w:t>另有约定外，</w:t>
      </w:r>
      <w:r>
        <w:rPr>
          <w:rFonts w:hint="eastAsia" w:ascii="仿宋" w:hAnsi="仿宋" w:eastAsia="仿宋" w:cs="仿宋"/>
          <w:color w:val="auto"/>
          <w:sz w:val="24"/>
          <w:szCs w:val="24"/>
          <w:highlight w:val="none"/>
          <w:lang w:bidi="ar"/>
        </w:rPr>
        <w:t>乙方负责办理将货物运抵本合同规定的交货地点，并装卸、交付至甲方的一切运输事项，相关费用应包含在合同价款中。</w:t>
      </w:r>
    </w:p>
    <w:p w14:paraId="5DEC51E8">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7.3 货物保险要求按</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bCs/>
          <w:color w:val="auto"/>
          <w:sz w:val="24"/>
          <w:szCs w:val="24"/>
          <w:highlight w:val="none"/>
          <w:lang w:bidi="ar"/>
        </w:rPr>
        <w:t>规定执行</w:t>
      </w:r>
      <w:r>
        <w:rPr>
          <w:rFonts w:hint="eastAsia" w:ascii="仿宋" w:hAnsi="仿宋" w:eastAsia="仿宋" w:cs="仿宋"/>
          <w:color w:val="auto"/>
          <w:sz w:val="24"/>
          <w:szCs w:val="24"/>
          <w:highlight w:val="none"/>
          <w:lang w:bidi="ar"/>
        </w:rPr>
        <w:t>。</w:t>
      </w:r>
    </w:p>
    <w:p w14:paraId="00C15B9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6AAC6CC">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7.5 乙方在运输到达之前应提前通知甲方，并提示货物运输装卸的注意事项，甲方配合乙方做好货物的接收工作。</w:t>
      </w:r>
    </w:p>
    <w:p w14:paraId="192E28B9">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2"/>
          <w:szCs w:val="24"/>
          <w:highlight w:val="none"/>
          <w:lang w:bidi="ar"/>
        </w:rPr>
        <w:t>7.6 如因包装、运输问题导致货物损毁、丢失或者品质下降，甲方有权要求降价、换货、拒收部分或整批货物，由此产生的费用和损失，均由乙方承担。</w:t>
      </w:r>
    </w:p>
    <w:p w14:paraId="6B8E9A75">
      <w:pPr>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8. 质量标准和保证</w:t>
      </w:r>
    </w:p>
    <w:p w14:paraId="68DC6B4C">
      <w:pPr>
        <w:pStyle w:val="23"/>
        <w:adjustRightInd w:val="0"/>
        <w:snapToGrid w:val="0"/>
        <w:spacing w:before="0" w:beforeAutospacing="0" w:after="0" w:afterAutospacing="0" w:line="360" w:lineRule="auto"/>
        <w:ind w:firstLine="480" w:firstLineChars="200"/>
        <w:rPr>
          <w:rFonts w:hint="eastAsia" w:ascii="仿宋" w:hAnsi="仿宋" w:eastAsia="仿宋" w:cs="仿宋"/>
          <w:b/>
          <w:color w:val="auto"/>
          <w:kern w:val="2"/>
          <w:szCs w:val="24"/>
          <w:highlight w:val="none"/>
        </w:rPr>
      </w:pPr>
      <w:r>
        <w:rPr>
          <w:rFonts w:hint="eastAsia" w:ascii="仿宋" w:hAnsi="仿宋" w:eastAsia="仿宋" w:cs="仿宋"/>
          <w:color w:val="auto"/>
          <w:kern w:val="2"/>
          <w:szCs w:val="24"/>
          <w:highlight w:val="none"/>
          <w:lang w:bidi="ar"/>
        </w:rPr>
        <w:t>8.1 质量标准</w:t>
      </w:r>
    </w:p>
    <w:p w14:paraId="2561BF4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981CDF4">
      <w:pPr>
        <w:pStyle w:val="23"/>
        <w:adjustRightInd w:val="0"/>
        <w:snapToGrid w:val="0"/>
        <w:spacing w:before="0" w:beforeAutospacing="0" w:after="0" w:afterAutospacing="0" w:line="360" w:lineRule="auto"/>
        <w:ind w:firstLine="480" w:firstLineChars="200"/>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bidi="ar"/>
        </w:rPr>
        <w:t>（2）采用中华人民共和国法定计量单位。</w:t>
      </w:r>
    </w:p>
    <w:p w14:paraId="077C9244">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（3）乙方所提供的货物应符合国家有关安全、环保、卫生的规定。</w:t>
      </w:r>
    </w:p>
    <w:p w14:paraId="2947C561">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（4）乙方应向甲方提交所提供货物的技术文件，包括相应的中文技术文件，如：产品目录、图纸、操作手册、使用说明、维护手册或服务指南等。上述文件应包装好随货物一同发运。</w:t>
      </w:r>
    </w:p>
    <w:p w14:paraId="3294A29B">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8.2 保证</w:t>
      </w:r>
    </w:p>
    <w:p w14:paraId="293891E3">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规定或乙方书面承诺（两者以较长的为准）的质量保证期内，本保证保持有效。</w:t>
      </w:r>
    </w:p>
    <w:p w14:paraId="4BC887AB">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（2）在质量保证期内所发现的缺陷，甲方应尽快以书面形式通知乙方。</w:t>
      </w:r>
    </w:p>
    <w:p w14:paraId="0FF715A8">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（3）乙方收到通知后，应在</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规定的响应时间内以合理的速度免费维修或更换有缺陷的货物或部件。</w:t>
      </w:r>
    </w:p>
    <w:p w14:paraId="4EB2AA19">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（4）在质量保证期内，如果货物的质量或规格与合同不符，或证实货物是有缺陷的，包括潜在的缺陷或使用不符合要求的材料等，甲方可以根据本合同第15.1条规定以书面形式追究乙方的违约责任。</w:t>
      </w:r>
    </w:p>
    <w:p w14:paraId="4F9EEFFD">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（5）乙方在约定的时间内未能弥补缺陷，甲方可采取必要的补救措施，但其风险和费用将由乙方承担，甲方根据合同约定对乙方行使的其他权利不受影响。</w:t>
      </w:r>
    </w:p>
    <w:p w14:paraId="59B14AEF">
      <w:pPr>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9. 权利瑕疵担保</w:t>
      </w:r>
    </w:p>
    <w:p w14:paraId="2AAFE20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9.1 乙方保证对其出售的货物享有合法的权利。</w:t>
      </w:r>
    </w:p>
    <w:p w14:paraId="6CF40C6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9.2 乙方保证在交付的货物上不存在抵押权等担保物权。</w:t>
      </w:r>
    </w:p>
    <w:p w14:paraId="1AB1ABD6">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9.3 如甲方使用上述货物构成对第三人侵权的，则由乙方承担全部责任。</w:t>
      </w:r>
    </w:p>
    <w:p w14:paraId="6A15C698">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10. 知识产权保护</w:t>
      </w:r>
    </w:p>
    <w:p w14:paraId="4D97BEBE">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7CE7668F">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11. 保密义务</w:t>
      </w:r>
    </w:p>
    <w:p w14:paraId="732AE4AC">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中约定。</w:t>
      </w:r>
    </w:p>
    <w:p w14:paraId="783CEDE2">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12. 合同价款支付</w:t>
      </w:r>
    </w:p>
    <w:p w14:paraId="53827FCA">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12.1 合同价款支付按照国库集中支付制度及财政管理相关规定执行。</w:t>
      </w:r>
    </w:p>
    <w:p w14:paraId="7E54786E">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】中约定。</w:t>
      </w:r>
    </w:p>
    <w:p w14:paraId="700E6AD3">
      <w:pPr>
        <w:pStyle w:val="23"/>
        <w:spacing w:before="0" w:after="0" w:afterAutospacing="0" w:line="360" w:lineRule="auto"/>
        <w:jc w:val="both"/>
        <w:rPr>
          <w:rFonts w:hint="eastAsia"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lang w:bidi="ar"/>
        </w:rPr>
        <w:t>13. 履约保证金</w:t>
      </w:r>
    </w:p>
    <w:p w14:paraId="0E980F97">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13.1 乙方应当以支票、汇票、本票或者金融机构、担保机构出具的保函等非现金形式提交。</w:t>
      </w:r>
    </w:p>
    <w:p w14:paraId="5D8E539E">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13.2 如果乙方出现</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约定情形的，履约保证金不予退还；如果乙方未能按合同约定全面履行义务，甲方有权从履约保证金中取得补偿或赔偿，且不影响甲方要求乙方承担合同约定的超过履约保证金的违约责任的权利。</w:t>
      </w:r>
    </w:p>
    <w:p w14:paraId="1D6A1D3C">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13.3 甲方在项目通过验收后按照</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规定的时间内将履约保证金退还乙方；逾期退还的，乙方可要求甲方支付违约金，违约金按照</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规定支付。</w:t>
      </w:r>
    </w:p>
    <w:p w14:paraId="00975944">
      <w:pPr>
        <w:autoSpaceDE w:val="0"/>
        <w:autoSpaceDN w:val="0"/>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bidi="ar"/>
        </w:rPr>
        <w:t xml:space="preserve">14. </w:t>
      </w:r>
      <w:r>
        <w:rPr>
          <w:rFonts w:hint="eastAsia" w:ascii="仿宋" w:hAnsi="仿宋" w:eastAsia="仿宋" w:cs="仿宋"/>
          <w:b/>
          <w:color w:val="auto"/>
          <w:sz w:val="24"/>
          <w:szCs w:val="24"/>
          <w:highlight w:val="none"/>
          <w:lang w:bidi="ar"/>
        </w:rPr>
        <w:t>售后服务</w:t>
      </w:r>
    </w:p>
    <w:p w14:paraId="0334976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14.1 除项目不涉及或采购活动中明确约定无须承担外，乙方还应提供下列服务：</w:t>
      </w:r>
    </w:p>
    <w:p w14:paraId="69F1AE3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（1）货物的现场移动、安装、调试、启动监督及技术支持；</w:t>
      </w:r>
    </w:p>
    <w:p w14:paraId="084DE12C">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（2）提供货物组装和维修所需的专用工具和辅助材料；</w:t>
      </w:r>
    </w:p>
    <w:p w14:paraId="1FC18F7C">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（3）在</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约定的期限内对所有的货物实施运行监督、维修，但前提条件是该服务并不能免除乙方在质量保证期内所承担的义务；</w:t>
      </w:r>
    </w:p>
    <w:p w14:paraId="263CD3E1">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（4）在制造商所在地或指定现场就货物的安装、启动、运营、维护、废弃处置等对甲方操作人员进行培训；</w:t>
      </w:r>
    </w:p>
    <w:p w14:paraId="56DFB1F7">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（5）依照法律、行政法规的规定或者按照</w:t>
      </w:r>
      <w:r>
        <w:rPr>
          <w:rFonts w:hint="eastAsia" w:ascii="仿宋" w:hAnsi="仿宋" w:eastAsia="仿宋" w:cs="仿宋"/>
          <w:b/>
          <w:bCs/>
          <w:color w:val="auto"/>
          <w:szCs w:val="24"/>
          <w:highlight w:val="none"/>
          <w:lang w:bidi="ar"/>
        </w:rPr>
        <w:t>【政府采购合同专用条款】</w:t>
      </w:r>
      <w:r>
        <w:rPr>
          <w:rFonts w:hint="eastAsia" w:ascii="仿宋" w:hAnsi="仿宋" w:eastAsia="仿宋" w:cs="仿宋"/>
          <w:color w:val="auto"/>
          <w:szCs w:val="24"/>
          <w:highlight w:val="none"/>
          <w:lang w:bidi="ar"/>
        </w:rPr>
        <w:t>约定，货物在有效使用年限届满后应予回收的，乙方负有自行或者委托第三人对货物予以回收的义务；</w:t>
      </w:r>
    </w:p>
    <w:p w14:paraId="172857C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规定由乙方提供的其他服务。</w:t>
      </w:r>
    </w:p>
    <w:p w14:paraId="45EEA6A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14.2 乙方提供的售后服务的费用已包含在合同价款中，甲方不再另行支付。</w:t>
      </w:r>
    </w:p>
    <w:p w14:paraId="0B073B96">
      <w:pPr>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15. 违约责任</w:t>
      </w:r>
    </w:p>
    <w:p w14:paraId="4F7401AD">
      <w:pPr>
        <w:adjustRightInd w:val="0"/>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15.1质量瑕疵的违约责任</w:t>
      </w:r>
    </w:p>
    <w:p w14:paraId="44EA4B3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乙方提供的产品不符合合同约定的质量标准或存在产品质量缺陷，甲方有权要求乙方根据</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bCs/>
          <w:color w:val="auto"/>
          <w:sz w:val="24"/>
          <w:szCs w:val="24"/>
          <w:highlight w:val="none"/>
          <w:lang w:bidi="ar"/>
        </w:rPr>
        <w:t>要求</w:t>
      </w:r>
      <w:r>
        <w:rPr>
          <w:rFonts w:hint="eastAsia" w:ascii="仿宋" w:hAnsi="仿宋" w:eastAsia="仿宋" w:cs="仿宋"/>
          <w:color w:val="auto"/>
          <w:sz w:val="24"/>
          <w:szCs w:val="24"/>
          <w:highlight w:val="none"/>
          <w:lang w:bidi="ar"/>
        </w:rPr>
        <w:t>及时修理、重作、更换，并承担由此给甲方造成的损失。</w:t>
      </w:r>
    </w:p>
    <w:p w14:paraId="3EE0EC81">
      <w:pPr>
        <w:autoSpaceDE w:val="0"/>
        <w:autoSpaceDN w:val="0"/>
        <w:adjustRightInd w:val="0"/>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15.2 迟延交货的违约责任</w:t>
      </w:r>
    </w:p>
    <w:p w14:paraId="30A09593">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E981B29">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规定执行。如果涉及公共利益，且赔偿金额无法弥补公共利益损失，甲方可要求继续履行或者采取其他补救措施。</w:t>
      </w:r>
    </w:p>
    <w:p w14:paraId="7F8A6D6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15.3 迟延支付的违约责任</w:t>
      </w:r>
    </w:p>
    <w:p w14:paraId="706815BE">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甲方存在迟延支付乙方合同款项的，应当承担</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规定的逾期付款利息。</w:t>
      </w:r>
    </w:p>
    <w:p w14:paraId="67548CE6">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bidi="ar"/>
        </w:rPr>
        <w:t>15.4其他违约责任根据项目实际需要按</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规定执行。</w:t>
      </w:r>
    </w:p>
    <w:p w14:paraId="249CC024">
      <w:pPr>
        <w:numPr>
          <w:ilvl w:val="0"/>
          <w:numId w:val="8"/>
        </w:numPr>
        <w:autoSpaceDE w:val="0"/>
        <w:autoSpaceDN w:val="0"/>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合同变更、中止与终止</w:t>
      </w:r>
    </w:p>
    <w:p w14:paraId="267A0F33">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16.1合同的变更</w:t>
      </w:r>
    </w:p>
    <w:p w14:paraId="630280BB">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政府采购合同履行中，在不改变合同其他条款的前提下，甲方可以在合同价款10%的范围内追加与合同标的相同的货物，并就此与乙方协商一致后签订补充协议。</w:t>
      </w:r>
    </w:p>
    <w:p w14:paraId="5D481214">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16.2合同的中止</w:t>
      </w:r>
    </w:p>
    <w:p w14:paraId="0861D191">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（1）合同履行过程中因供应商就采购文件、采购过程或结果提起投诉的，甲方认为有必要的，可以中止合同的履行。</w:t>
      </w:r>
    </w:p>
    <w:p w14:paraId="5D11B453">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2E6D7D7">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（3）乙方分立、合并或者变更住所的，应当及时以书面形式告知甲方。乙方没有及时告知甲方，致使合同履行发生困难的，甲方可以中止合同履行并要求乙方承担由此给甲方造成的损失。</w:t>
      </w:r>
    </w:p>
    <w:p w14:paraId="49F44471">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（4）甲方不得以行政区划调整、政府换届、机构或者职能调整以及相关责任人更替为由中止合同。</w:t>
      </w:r>
    </w:p>
    <w:p w14:paraId="5938EDCC">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16.3合同的终止</w:t>
      </w:r>
    </w:p>
    <w:p w14:paraId="7120AAA1">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（1）合同因有效期限届满而终止；</w:t>
      </w:r>
    </w:p>
    <w:p w14:paraId="2065F76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（2）乙方未按合同约定履行，构成根本性违约的，甲方有权终止合同，并追究乙方的违约责任。</w:t>
      </w:r>
    </w:p>
    <w:p w14:paraId="2E03DA28">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 xml:space="preserve">16.4 </w:t>
      </w:r>
      <w:r>
        <w:rPr>
          <w:rFonts w:hint="eastAsia" w:ascii="仿宋" w:hAnsi="仿宋" w:eastAsia="仿宋" w:cs="仿宋"/>
          <w:color w:val="auto"/>
          <w:kern w:val="2"/>
          <w:szCs w:val="24"/>
          <w:highlight w:val="none"/>
          <w:lang w:bidi="ar"/>
        </w:rPr>
        <w:t>涉及国家利益、社会公共利益的情形</w:t>
      </w:r>
    </w:p>
    <w:p w14:paraId="2AE2E26F">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政府采购合同继续履行将损害国家利益和社会公共利益的，双方当事人应当变更、中止或者终止合同。有过错的一方应当承担赔偿责任，双方都有过错的，各自承担相应的责任。</w:t>
      </w:r>
    </w:p>
    <w:p w14:paraId="6A6A4367">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17. 合同分包</w:t>
      </w:r>
    </w:p>
    <w:p w14:paraId="77AB2D80">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17.1 乙方不得将合同转包给其他供应商。涉及合同分包的，乙方应根据采购文件和投标（响应）文件规定进行合同分包。</w:t>
      </w:r>
    </w:p>
    <w:p w14:paraId="2FE3689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17.2 乙方执行政府采购政策向中小企业依法分包的，乙方应当按采购文件和投标（响应）文件签订分包意向协议，分包意向协议属于本合同组成部分。</w:t>
      </w:r>
    </w:p>
    <w:p w14:paraId="210B76BD">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18. 不可抗力</w:t>
      </w:r>
    </w:p>
    <w:p w14:paraId="5DA7E8AF">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18.1 不可抗力是指合同双方不能预见、不能避免且不能克服的客观情况。</w:t>
      </w:r>
    </w:p>
    <w:p w14:paraId="4F6B6BA9">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18.2 任何一方对由于不可抗力造成的部分或全部不能履行合同不承担违约责任。但迟延履行后发生不可抗力的，不能免除责任。</w:t>
      </w:r>
    </w:p>
    <w:p w14:paraId="365E290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EC1BCBD">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19. 解决争议的方法</w:t>
      </w:r>
    </w:p>
    <w:p w14:paraId="140D3CB6">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19.1 因本合同及合同有关事项发生的争议，由甲乙双方友好协商解决。协商不成时，可以向有关组织申请调解。合同一方或双方不愿调解或调解不成的，可以通过仲裁或诉讼的方式解决争议。</w:t>
      </w:r>
    </w:p>
    <w:p w14:paraId="22DC3BDE">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19.2 选择仲裁的，应在</w:t>
      </w:r>
      <w:r>
        <w:rPr>
          <w:rFonts w:hint="eastAsia" w:ascii="仿宋" w:hAnsi="仿宋" w:eastAsia="仿宋" w:cs="仿宋"/>
          <w:b/>
          <w:bCs/>
          <w:color w:val="auto"/>
          <w:szCs w:val="24"/>
          <w:highlight w:val="none"/>
          <w:lang w:bidi="ar"/>
        </w:rPr>
        <w:t>【政府采购合同专用条款】</w:t>
      </w:r>
      <w:r>
        <w:rPr>
          <w:rFonts w:hint="eastAsia" w:ascii="仿宋" w:hAnsi="仿宋" w:eastAsia="仿宋" w:cs="仿宋"/>
          <w:color w:val="auto"/>
          <w:szCs w:val="24"/>
          <w:highlight w:val="none"/>
          <w:lang w:bidi="ar"/>
        </w:rPr>
        <w:t>中明确仲裁机构及仲裁地；通过诉讼方式解决的，可以在</w:t>
      </w:r>
      <w:r>
        <w:rPr>
          <w:rFonts w:hint="eastAsia" w:ascii="仿宋" w:hAnsi="仿宋" w:eastAsia="仿宋" w:cs="仿宋"/>
          <w:b/>
          <w:bCs/>
          <w:color w:val="auto"/>
          <w:szCs w:val="24"/>
          <w:highlight w:val="none"/>
          <w:lang w:bidi="ar"/>
        </w:rPr>
        <w:t>【政府采购合同专用条款】</w:t>
      </w:r>
      <w:r>
        <w:rPr>
          <w:rFonts w:hint="eastAsia" w:ascii="仿宋" w:hAnsi="仿宋" w:eastAsia="仿宋" w:cs="仿宋"/>
          <w:color w:val="auto"/>
          <w:szCs w:val="24"/>
          <w:highlight w:val="none"/>
          <w:lang w:bidi="ar"/>
        </w:rPr>
        <w:t>中进一步约定选择与争议有实际联系的地点的人民法院管辖，但管辖法院的约定不得违反级别管辖和专属管辖的规定。</w:t>
      </w:r>
    </w:p>
    <w:p w14:paraId="792F1A7A">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19.3 如甲乙双方有争议的事项不影响合同其他部分的履行，在争议解决期间，合同其他部分应当继续履行。</w:t>
      </w:r>
    </w:p>
    <w:p w14:paraId="27157C0E">
      <w:pPr>
        <w:autoSpaceDE w:val="0"/>
        <w:autoSpaceDN w:val="0"/>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bidi="ar"/>
        </w:rPr>
        <w:t>20. 政府采购政策</w:t>
      </w:r>
    </w:p>
    <w:p w14:paraId="4724AF96">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20.1 本合同应当按照规定执行政府采购政策。</w:t>
      </w:r>
    </w:p>
    <w:p w14:paraId="07272E59">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76948D0F">
      <w:pPr>
        <w:pStyle w:val="23"/>
        <w:spacing w:before="0" w:after="0" w:afterAutospacing="0" w:line="360" w:lineRule="auto"/>
        <w:ind w:firstLine="480" w:firstLineChars="200"/>
        <w:jc w:val="both"/>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bidi="ar"/>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62B0B42">
      <w:pPr>
        <w:autoSpaceDE w:val="0"/>
        <w:autoSpaceDN w:val="0"/>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21. 法律适用</w:t>
      </w:r>
    </w:p>
    <w:p w14:paraId="4133F473">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21.1 本合同的订立、生效、解释、履行及与本合同有关的争议解决，均适用法律、行政法规。</w:t>
      </w:r>
    </w:p>
    <w:p w14:paraId="5FDFE8F4">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21.2 本合同条款与法律、行政法规的强制性规定不一致的，双方当事人应按照法律、行政法规的强制性规定修改本合同的相关条款。</w:t>
      </w:r>
    </w:p>
    <w:p w14:paraId="13ACE632">
      <w:pPr>
        <w:autoSpaceDE w:val="0"/>
        <w:autoSpaceDN w:val="0"/>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22. 通知</w:t>
      </w:r>
    </w:p>
    <w:p w14:paraId="211DE61C">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22.1 本合同任何一方向对方发出的通知、信件、数据电文等，应当发送至本合同第一部分《政府采购合同协议书》所约定的通讯地址、联系人、联系电话或电子邮箱。</w:t>
      </w:r>
    </w:p>
    <w:p w14:paraId="5345026F">
      <w:pPr>
        <w:pStyle w:val="23"/>
        <w:widowControl/>
        <w:autoSpaceDE w:val="0"/>
        <w:autoSpaceDN w:val="0"/>
        <w:adjustRightInd w:val="0"/>
        <w:spacing w:before="0" w:beforeAutospacing="0" w:after="0" w:afterAutospacing="0" w:line="360"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 xml:space="preserve">    22.2 一方当事人变更名称、住所、联系人、联系电话或电子邮箱等信息的，应当在变更后3日内及时书面通知对方，对方实际收到变更通知前的送达仍为有效送达。</w:t>
      </w:r>
    </w:p>
    <w:p w14:paraId="5FD05DB8">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22.3本合同一方给另一方的通知均应采用书面形式，传真或快递送到本合同中规定的对方的地址和办理签收手续。</w:t>
      </w:r>
    </w:p>
    <w:p w14:paraId="57E02A56">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22.4通知以送达之日或通知书中规定的生效之日起生效，两者中以较迟之日为准。</w:t>
      </w:r>
    </w:p>
    <w:p w14:paraId="4ABEE6F6">
      <w:pPr>
        <w:numPr>
          <w:ilvl w:val="0"/>
          <w:numId w:val="9"/>
        </w:numPr>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合同未尽事项</w:t>
      </w:r>
    </w:p>
    <w:p w14:paraId="329A75C2">
      <w:pPr>
        <w:adjustRightInd w:val="0"/>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23.1合同未尽事项见</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bCs/>
          <w:color w:val="auto"/>
          <w:sz w:val="24"/>
          <w:szCs w:val="24"/>
          <w:highlight w:val="none"/>
          <w:lang w:bidi="ar"/>
        </w:rPr>
        <w:t>。</w:t>
      </w:r>
    </w:p>
    <w:p w14:paraId="6804EE7F">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bidi="ar"/>
        </w:rPr>
        <w:t xml:space="preserve">    23.2 合同附件与合同正文具有同等的法律效力。</w:t>
      </w:r>
    </w:p>
    <w:p w14:paraId="43C43766">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br w:type="page"/>
      </w:r>
    </w:p>
    <w:p w14:paraId="4A977547">
      <w:pPr>
        <w:pStyle w:val="4"/>
        <w:rPr>
          <w:rFonts w:hint="eastAsia" w:ascii="仿宋" w:hAnsi="仿宋" w:eastAsia="仿宋" w:cs="仿宋"/>
          <w:color w:val="auto"/>
          <w:highlight w:val="none"/>
        </w:rPr>
      </w:pPr>
      <w:r>
        <w:rPr>
          <w:rFonts w:hint="eastAsia" w:ascii="仿宋" w:hAnsi="仿宋" w:eastAsia="仿宋" w:cs="仿宋"/>
          <w:color w:val="auto"/>
          <w:highlight w:val="none"/>
        </w:rPr>
        <w:t>第三节 政府采购合同专用条款</w:t>
      </w:r>
    </w:p>
    <w:tbl>
      <w:tblPr>
        <w:tblStyle w:val="29"/>
        <w:tblW w:w="8519" w:type="dxa"/>
        <w:tblInd w:w="108"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0A36E1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2" w:space="0"/>
              <w:left w:val="double" w:color="auto" w:sz="2" w:space="0"/>
              <w:bottom w:val="single" w:color="auto" w:sz="6" w:space="0"/>
              <w:right w:val="single" w:color="auto" w:sz="6" w:space="0"/>
            </w:tcBorders>
            <w:vAlign w:val="center"/>
          </w:tcPr>
          <w:p w14:paraId="4979890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3D23876E">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第1.2（6）项</w:t>
            </w:r>
          </w:p>
        </w:tc>
        <w:tc>
          <w:tcPr>
            <w:tcW w:w="1742" w:type="dxa"/>
            <w:tcBorders>
              <w:top w:val="double" w:color="auto" w:sz="2" w:space="0"/>
              <w:left w:val="single" w:color="auto" w:sz="6" w:space="0"/>
              <w:bottom w:val="single" w:color="auto" w:sz="6" w:space="0"/>
              <w:right w:val="single" w:color="auto" w:sz="6" w:space="0"/>
            </w:tcBorders>
            <w:vAlign w:val="center"/>
          </w:tcPr>
          <w:p w14:paraId="74390B2A">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联合体具体要求</w:t>
            </w:r>
          </w:p>
        </w:tc>
        <w:tc>
          <w:tcPr>
            <w:tcW w:w="5170" w:type="dxa"/>
            <w:tcBorders>
              <w:top w:val="double" w:color="auto" w:sz="2" w:space="0"/>
              <w:left w:val="single" w:color="auto" w:sz="6" w:space="0"/>
              <w:bottom w:val="single" w:color="auto" w:sz="6" w:space="0"/>
              <w:right w:val="double" w:color="auto" w:sz="2" w:space="0"/>
            </w:tcBorders>
            <w:vAlign w:val="center"/>
          </w:tcPr>
          <w:p w14:paraId="37C52947">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不接受联合体投标</w:t>
            </w:r>
          </w:p>
        </w:tc>
      </w:tr>
      <w:tr w14:paraId="1920DF5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2" w:space="0"/>
              <w:bottom w:val="single" w:color="auto" w:sz="6" w:space="0"/>
              <w:right w:val="single" w:color="auto" w:sz="6" w:space="0"/>
            </w:tcBorders>
            <w:vAlign w:val="center"/>
          </w:tcPr>
          <w:p w14:paraId="53353029">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17603D5B">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38CE6377">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其他术语解释</w:t>
            </w:r>
          </w:p>
        </w:tc>
        <w:tc>
          <w:tcPr>
            <w:tcW w:w="5170" w:type="dxa"/>
            <w:tcBorders>
              <w:top w:val="single" w:color="auto" w:sz="6" w:space="0"/>
              <w:left w:val="single" w:color="auto" w:sz="6" w:space="0"/>
              <w:bottom w:val="single" w:color="auto" w:sz="6" w:space="0"/>
              <w:right w:val="double" w:color="auto" w:sz="2" w:space="0"/>
            </w:tcBorders>
            <w:vAlign w:val="center"/>
          </w:tcPr>
          <w:p w14:paraId="41B13222">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496C232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7AC25A5D">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216A9C26">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7835B48A">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履约验收中甲方提出异议或作出说明的期限</w:t>
            </w:r>
          </w:p>
        </w:tc>
        <w:tc>
          <w:tcPr>
            <w:tcW w:w="5170" w:type="dxa"/>
            <w:tcBorders>
              <w:top w:val="single" w:color="auto" w:sz="6" w:space="0"/>
              <w:left w:val="single" w:color="auto" w:sz="6" w:space="0"/>
              <w:bottom w:val="single" w:color="auto" w:sz="6" w:space="0"/>
              <w:right w:val="double" w:color="auto" w:sz="2" w:space="0"/>
            </w:tcBorders>
            <w:vAlign w:val="center"/>
          </w:tcPr>
          <w:p w14:paraId="39560307">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5个工作日</w:t>
            </w:r>
          </w:p>
        </w:tc>
      </w:tr>
      <w:tr w14:paraId="63F0B8B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2DA4C073">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0AE2BBED">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2784C1C3">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约定甲方承担的其他义务和责任</w:t>
            </w:r>
          </w:p>
        </w:tc>
        <w:tc>
          <w:tcPr>
            <w:tcW w:w="5170" w:type="dxa"/>
            <w:tcBorders>
              <w:top w:val="single" w:color="auto" w:sz="6" w:space="0"/>
              <w:left w:val="single" w:color="auto" w:sz="6" w:space="0"/>
              <w:bottom w:val="single" w:color="auto" w:sz="6" w:space="0"/>
              <w:right w:val="double" w:color="auto" w:sz="2" w:space="0"/>
            </w:tcBorders>
            <w:vAlign w:val="center"/>
          </w:tcPr>
          <w:p w14:paraId="6960DF50">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(1)在合同生效后，非因产品质量问题，买方要求退货的，应向卖方偿付合同总价款的5%，作为违约金，违约金不足以补偿损失的，卖方有权要求甲方补足。</w:t>
            </w:r>
          </w:p>
          <w:p w14:paraId="272528B1">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(2)买方逾期付款的应按照逾期付款金额的每天万分之四支付逾期付款违约金。</w:t>
            </w:r>
          </w:p>
          <w:p w14:paraId="6F54A68C">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(3)买方违反合同规定，无正当理由拒绝接收卖方交付的符合招标文件要求的合格标的物，应当承担卖方由此造成的损失。</w:t>
            </w:r>
          </w:p>
        </w:tc>
      </w:tr>
      <w:tr w14:paraId="7C02024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31A7EC0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7BDFC6D5">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106EF578">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约定乙方承担的其他义务和责任</w:t>
            </w:r>
          </w:p>
        </w:tc>
        <w:tc>
          <w:tcPr>
            <w:tcW w:w="5170" w:type="dxa"/>
            <w:tcBorders>
              <w:top w:val="single" w:color="auto" w:sz="6" w:space="0"/>
              <w:left w:val="single" w:color="auto" w:sz="6" w:space="0"/>
              <w:bottom w:val="single" w:color="auto" w:sz="6" w:space="0"/>
              <w:right w:val="double" w:color="auto" w:sz="2" w:space="0"/>
            </w:tcBorders>
            <w:vAlign w:val="center"/>
          </w:tcPr>
          <w:p w14:paraId="65594AA3">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乙方不能交货（逾期超过五天视为不能交货），或交货不合格从而影响甲方按期正常使用的，应向甲方偿付合同总价款5%的违约金，违约金不足以补偿损失的，甲方有权要求乙方补足。此外，若乙方无正当理由逾期交货超过十五个自然日，甲方有权单方面解除本合同。</w:t>
            </w:r>
          </w:p>
          <w:p w14:paraId="62597554">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(2)乙方逾期交货的，应在发货前与甲方和政府采购管理部门协商，甲方仍需求的，乙方应立即发货并应按照逾期交货部分货款的每天万分之四支付逾期交货违约金，同时承担甲方因此遭致的损失费用。</w:t>
            </w:r>
          </w:p>
          <w:p w14:paraId="38D868F8">
            <w:pPr>
              <w:adjustRightInd w:val="0"/>
              <w:snapToGrid w:val="0"/>
              <w:spacing w:line="360" w:lineRule="auto"/>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3）乙方在收到甲方提出的产品维保或者伴随服务要求之日起24小时内未提供相应的维保或者伴随服务，乙方应按照合同总价款的每天万分之四支付违约金。乙方如不按时提供相应的维保或者伴随服务，甲方有权自行委托第三方进行维保或者提供相应服务，产生的费用应由乙方承担，如乙方不支付该费用，甲方有权向乙方追偿。</w:t>
            </w:r>
          </w:p>
        </w:tc>
      </w:tr>
      <w:tr w14:paraId="7428766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31CD3559">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0EC55992">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440DAE1A">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履行合同义务的顺序</w:t>
            </w:r>
          </w:p>
        </w:tc>
        <w:tc>
          <w:tcPr>
            <w:tcW w:w="5170" w:type="dxa"/>
            <w:tcBorders>
              <w:top w:val="single" w:color="auto" w:sz="6" w:space="0"/>
              <w:left w:val="single" w:color="auto" w:sz="6" w:space="0"/>
              <w:bottom w:val="single" w:color="auto" w:sz="6" w:space="0"/>
              <w:right w:val="double" w:color="auto" w:sz="2" w:space="0"/>
            </w:tcBorders>
            <w:vAlign w:val="center"/>
          </w:tcPr>
          <w:p w14:paraId="7C1FFDCD">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乙方按规定履行合同义务后，甲方再履行合同义务。</w:t>
            </w:r>
          </w:p>
        </w:tc>
      </w:tr>
      <w:tr w14:paraId="1A0DCC9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2" w:space="0"/>
              <w:bottom w:val="single" w:color="auto" w:sz="6" w:space="0"/>
              <w:right w:val="single" w:color="auto" w:sz="6" w:space="0"/>
            </w:tcBorders>
            <w:vAlign w:val="center"/>
          </w:tcPr>
          <w:p w14:paraId="1E1C7AA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046FB213">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7BA62E5D">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包装特殊要求</w:t>
            </w:r>
          </w:p>
        </w:tc>
        <w:tc>
          <w:tcPr>
            <w:tcW w:w="5170" w:type="dxa"/>
            <w:tcBorders>
              <w:top w:val="single" w:color="auto" w:sz="6" w:space="0"/>
              <w:left w:val="single" w:color="auto" w:sz="6" w:space="0"/>
              <w:bottom w:val="single" w:color="auto" w:sz="6" w:space="0"/>
              <w:right w:val="double" w:color="auto" w:sz="2" w:space="0"/>
            </w:tcBorders>
            <w:vAlign w:val="center"/>
          </w:tcPr>
          <w:p w14:paraId="7C9606F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5312D20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2" w:space="0"/>
              <w:bottom w:val="single" w:color="auto" w:sz="6" w:space="0"/>
              <w:right w:val="single" w:color="auto" w:sz="6" w:space="0"/>
            </w:tcBorders>
            <w:vAlign w:val="center"/>
          </w:tcPr>
          <w:p w14:paraId="1EE31055">
            <w:pPr>
              <w:rPr>
                <w:rFonts w:hint="eastAsia" w:ascii="仿宋" w:hAnsi="仿宋" w:eastAsia="仿宋" w:cs="仿宋"/>
                <w:color w:val="auto"/>
                <w:sz w:val="20"/>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506524EE">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指定现场</w:t>
            </w:r>
          </w:p>
        </w:tc>
        <w:tc>
          <w:tcPr>
            <w:tcW w:w="5170" w:type="dxa"/>
            <w:tcBorders>
              <w:top w:val="single" w:color="auto" w:sz="6" w:space="0"/>
              <w:left w:val="single" w:color="auto" w:sz="6" w:space="0"/>
              <w:bottom w:val="single" w:color="auto" w:sz="6" w:space="0"/>
              <w:right w:val="double" w:color="auto" w:sz="2" w:space="0"/>
            </w:tcBorders>
            <w:vAlign w:val="center"/>
          </w:tcPr>
          <w:p w14:paraId="028EA6C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甲方指定地点</w:t>
            </w:r>
          </w:p>
        </w:tc>
      </w:tr>
      <w:tr w14:paraId="3B2BE74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2" w:space="0"/>
              <w:bottom w:val="single" w:color="auto" w:sz="6" w:space="0"/>
              <w:right w:val="single" w:color="auto" w:sz="6" w:space="0"/>
            </w:tcBorders>
            <w:vAlign w:val="center"/>
          </w:tcPr>
          <w:p w14:paraId="723A0C92">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7AD1A3D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68365E05">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运输特殊要求</w:t>
            </w:r>
          </w:p>
        </w:tc>
        <w:tc>
          <w:tcPr>
            <w:tcW w:w="5170" w:type="dxa"/>
            <w:tcBorders>
              <w:top w:val="single" w:color="auto" w:sz="6" w:space="0"/>
              <w:left w:val="single" w:color="auto" w:sz="6" w:space="0"/>
              <w:bottom w:val="single" w:color="auto" w:sz="6" w:space="0"/>
              <w:right w:val="double" w:color="auto" w:sz="2" w:space="0"/>
            </w:tcBorders>
            <w:vAlign w:val="center"/>
          </w:tcPr>
          <w:p w14:paraId="0F545C2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4E26E1D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2" w:space="0"/>
              <w:bottom w:val="single" w:color="auto" w:sz="6" w:space="0"/>
              <w:right w:val="single" w:color="auto" w:sz="6" w:space="0"/>
            </w:tcBorders>
            <w:vAlign w:val="center"/>
          </w:tcPr>
          <w:p w14:paraId="0A9DB55C">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3FBB7AAE">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26711F92">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保险要求</w:t>
            </w:r>
          </w:p>
        </w:tc>
        <w:tc>
          <w:tcPr>
            <w:tcW w:w="5170" w:type="dxa"/>
            <w:tcBorders>
              <w:top w:val="single" w:color="auto" w:sz="6" w:space="0"/>
              <w:left w:val="single" w:color="auto" w:sz="6" w:space="0"/>
              <w:bottom w:val="single" w:color="auto" w:sz="6" w:space="0"/>
              <w:right w:val="double" w:color="auto" w:sz="2" w:space="0"/>
            </w:tcBorders>
            <w:vAlign w:val="center"/>
          </w:tcPr>
          <w:p w14:paraId="76ABB34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按规定购买保险</w:t>
            </w:r>
          </w:p>
        </w:tc>
      </w:tr>
      <w:tr w14:paraId="5EE0405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491E17B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26CDBCEA">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6D87D0F3">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质量保证期</w:t>
            </w:r>
          </w:p>
        </w:tc>
        <w:tc>
          <w:tcPr>
            <w:tcW w:w="5170" w:type="dxa"/>
            <w:tcBorders>
              <w:top w:val="single" w:color="auto" w:sz="6" w:space="0"/>
              <w:left w:val="single" w:color="auto" w:sz="6" w:space="0"/>
              <w:bottom w:val="single" w:color="auto" w:sz="6" w:space="0"/>
              <w:right w:val="double" w:color="auto" w:sz="2" w:space="0"/>
            </w:tcBorders>
            <w:vAlign w:val="center"/>
          </w:tcPr>
          <w:p w14:paraId="5C6F673D">
            <w:pPr>
              <w:autoSpaceDE w:val="0"/>
              <w:autoSpaceDN w:val="0"/>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乙方书面承诺的期限</w:t>
            </w:r>
          </w:p>
        </w:tc>
      </w:tr>
      <w:tr w14:paraId="264875C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7F3076DB">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6A98007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6423E7C5">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货物质量缺陷</w:t>
            </w:r>
          </w:p>
          <w:p w14:paraId="7FA9A924">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响应时间</w:t>
            </w:r>
          </w:p>
        </w:tc>
        <w:tc>
          <w:tcPr>
            <w:tcW w:w="5170" w:type="dxa"/>
            <w:tcBorders>
              <w:top w:val="single" w:color="auto" w:sz="6" w:space="0"/>
              <w:left w:val="single" w:color="auto" w:sz="6" w:space="0"/>
              <w:bottom w:val="single" w:color="auto" w:sz="6" w:space="0"/>
              <w:right w:val="double" w:color="auto" w:sz="2" w:space="0"/>
            </w:tcBorders>
            <w:vAlign w:val="center"/>
          </w:tcPr>
          <w:p w14:paraId="777ED6AD">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如货物出现故障，电话响应无法解决，卖方必须在接报修电话24小时内到现场并解决问题。</w:t>
            </w:r>
          </w:p>
        </w:tc>
      </w:tr>
      <w:tr w14:paraId="601370E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0597AAF9">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7AA6B16A">
            <w:pPr>
              <w:pStyle w:val="23"/>
              <w:widowControl/>
              <w:autoSpaceDE w:val="0"/>
              <w:autoSpaceDN w:val="0"/>
              <w:adjustRightInd w:val="0"/>
              <w:spacing w:before="0" w:beforeAutospacing="0" w:after="0" w:afterAutospacing="0"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01E8A851">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其他应当保密的信息</w:t>
            </w:r>
          </w:p>
        </w:tc>
        <w:tc>
          <w:tcPr>
            <w:tcW w:w="5170" w:type="dxa"/>
            <w:tcBorders>
              <w:top w:val="single" w:color="auto" w:sz="6" w:space="0"/>
              <w:left w:val="single" w:color="auto" w:sz="6" w:space="0"/>
              <w:bottom w:val="single" w:color="auto" w:sz="6" w:space="0"/>
              <w:right w:val="double" w:color="auto" w:sz="2" w:space="0"/>
            </w:tcBorders>
            <w:vAlign w:val="center"/>
          </w:tcPr>
          <w:p w14:paraId="50EDC135">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740D33B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2" w:space="0"/>
              <w:bottom w:val="single" w:color="auto" w:sz="6" w:space="0"/>
              <w:right w:val="single" w:color="auto" w:sz="6" w:space="0"/>
            </w:tcBorders>
            <w:vAlign w:val="center"/>
          </w:tcPr>
          <w:p w14:paraId="2A906F3B">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01F9DAD5">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05C206B5">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合同价款支付时间</w:t>
            </w:r>
          </w:p>
        </w:tc>
        <w:tc>
          <w:tcPr>
            <w:tcW w:w="5170" w:type="dxa"/>
            <w:tcBorders>
              <w:top w:val="single" w:color="auto" w:sz="6" w:space="0"/>
              <w:left w:val="single" w:color="auto" w:sz="6" w:space="0"/>
              <w:bottom w:val="single" w:color="auto" w:sz="6" w:space="0"/>
              <w:right w:val="double" w:color="auto" w:sz="2" w:space="0"/>
            </w:tcBorders>
            <w:vAlign w:val="center"/>
          </w:tcPr>
          <w:p w14:paraId="536DB1AC">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按第一节政府采购合同协议书相关内容执行</w:t>
            </w:r>
          </w:p>
        </w:tc>
      </w:tr>
      <w:tr w14:paraId="507DA1D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2" w:space="0"/>
              <w:bottom w:val="single" w:color="auto" w:sz="6" w:space="0"/>
              <w:right w:val="single" w:color="auto" w:sz="6" w:space="0"/>
            </w:tcBorders>
            <w:vAlign w:val="center"/>
          </w:tcPr>
          <w:p w14:paraId="03DF2F25">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61278B25">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5EEDF2A2">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履约保证金不予退还的情形</w:t>
            </w:r>
          </w:p>
        </w:tc>
        <w:tc>
          <w:tcPr>
            <w:tcW w:w="5170" w:type="dxa"/>
            <w:tcBorders>
              <w:top w:val="single" w:color="auto" w:sz="6" w:space="0"/>
              <w:left w:val="single" w:color="auto" w:sz="6" w:space="0"/>
              <w:bottom w:val="single" w:color="auto" w:sz="6" w:space="0"/>
              <w:right w:val="double" w:color="auto" w:sz="2" w:space="0"/>
            </w:tcBorders>
            <w:vAlign w:val="center"/>
          </w:tcPr>
          <w:p w14:paraId="45A824E2">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因乙方原因导致合同终止的</w:t>
            </w:r>
          </w:p>
        </w:tc>
      </w:tr>
      <w:tr w14:paraId="6F857DC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7F5F8F3A">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6E6057AF">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63543AA5">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履约保证金退还时间及逾期退还的违约金</w:t>
            </w:r>
          </w:p>
        </w:tc>
        <w:tc>
          <w:tcPr>
            <w:tcW w:w="5170" w:type="dxa"/>
            <w:tcBorders>
              <w:top w:val="single" w:color="auto" w:sz="6" w:space="0"/>
              <w:left w:val="single" w:color="auto" w:sz="6" w:space="0"/>
              <w:bottom w:val="single" w:color="auto" w:sz="6" w:space="0"/>
              <w:right w:val="double" w:color="auto" w:sz="2" w:space="0"/>
            </w:tcBorders>
            <w:vAlign w:val="center"/>
          </w:tcPr>
          <w:p w14:paraId="57310295">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按招标文件相关内容执行</w:t>
            </w:r>
          </w:p>
        </w:tc>
      </w:tr>
      <w:tr w14:paraId="6341C1C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2" w:space="0"/>
              <w:bottom w:val="single" w:color="auto" w:sz="6" w:space="0"/>
              <w:right w:val="single" w:color="auto" w:sz="6" w:space="0"/>
            </w:tcBorders>
            <w:vAlign w:val="center"/>
          </w:tcPr>
          <w:p w14:paraId="7BB6A004">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79890CFD">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67790490">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运行监督、维修期限</w:t>
            </w:r>
          </w:p>
        </w:tc>
        <w:tc>
          <w:tcPr>
            <w:tcW w:w="5170" w:type="dxa"/>
            <w:tcBorders>
              <w:top w:val="single" w:color="auto" w:sz="6" w:space="0"/>
              <w:left w:val="single" w:color="auto" w:sz="6" w:space="0"/>
              <w:bottom w:val="single" w:color="auto" w:sz="6" w:space="0"/>
              <w:right w:val="double" w:color="auto" w:sz="2" w:space="0"/>
            </w:tcBorders>
            <w:vAlign w:val="center"/>
          </w:tcPr>
          <w:p w14:paraId="689F77D1">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乙方书面承诺的质保期内</w:t>
            </w:r>
          </w:p>
        </w:tc>
      </w:tr>
      <w:tr w14:paraId="19D4AC7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2" w:space="0"/>
              <w:bottom w:val="single" w:color="auto" w:sz="6" w:space="0"/>
              <w:right w:val="single" w:color="auto" w:sz="6" w:space="0"/>
            </w:tcBorders>
            <w:vAlign w:val="center"/>
          </w:tcPr>
          <w:p w14:paraId="02F7CAE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4A2A7CE6">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496862A2">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货物回收的约定</w:t>
            </w:r>
          </w:p>
        </w:tc>
        <w:tc>
          <w:tcPr>
            <w:tcW w:w="5170" w:type="dxa"/>
            <w:tcBorders>
              <w:top w:val="single" w:color="auto" w:sz="6" w:space="0"/>
              <w:left w:val="single" w:color="auto" w:sz="6" w:space="0"/>
              <w:bottom w:val="single" w:color="auto" w:sz="6" w:space="0"/>
              <w:right w:val="double" w:color="auto" w:sz="2" w:space="0"/>
            </w:tcBorders>
            <w:vAlign w:val="center"/>
          </w:tcPr>
          <w:p w14:paraId="485876BD">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由乙方在规定时间内自行组织回收，相关费用自行承担，甲方不另行支付相关费用。</w:t>
            </w:r>
          </w:p>
        </w:tc>
      </w:tr>
      <w:tr w14:paraId="53D81A1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40EE6BAC">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00B0419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453F93EC">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乙方提供的其他服务</w:t>
            </w:r>
          </w:p>
        </w:tc>
        <w:tc>
          <w:tcPr>
            <w:tcW w:w="5170" w:type="dxa"/>
            <w:tcBorders>
              <w:top w:val="single" w:color="auto" w:sz="6" w:space="0"/>
              <w:left w:val="single" w:color="auto" w:sz="6" w:space="0"/>
              <w:bottom w:val="single" w:color="auto" w:sz="6" w:space="0"/>
              <w:right w:val="double" w:color="auto" w:sz="2" w:space="0"/>
            </w:tcBorders>
            <w:vAlign w:val="center"/>
          </w:tcPr>
          <w:p w14:paraId="7D187457">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按甲方要求须提供的其他相关服务</w:t>
            </w:r>
          </w:p>
        </w:tc>
      </w:tr>
      <w:tr w14:paraId="06886D1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0AC7438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770A228A">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79238404">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修理、重作、更换相关具体规定</w:t>
            </w:r>
          </w:p>
        </w:tc>
        <w:tc>
          <w:tcPr>
            <w:tcW w:w="5170" w:type="dxa"/>
            <w:tcBorders>
              <w:top w:val="single" w:color="auto" w:sz="6" w:space="0"/>
              <w:left w:val="single" w:color="auto" w:sz="6" w:space="0"/>
              <w:bottom w:val="single" w:color="auto" w:sz="6" w:space="0"/>
              <w:right w:val="double" w:color="auto" w:sz="2" w:space="0"/>
            </w:tcBorders>
            <w:vAlign w:val="center"/>
          </w:tcPr>
          <w:p w14:paraId="5CAC94C6">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保修期内两次修理仍不能正常使用的的必须更换新设备</w:t>
            </w:r>
          </w:p>
        </w:tc>
      </w:tr>
      <w:tr w14:paraId="7BA1F30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75C20622">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180BBD94">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43DB6C71">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迟延交货赔偿费</w:t>
            </w:r>
          </w:p>
        </w:tc>
        <w:tc>
          <w:tcPr>
            <w:tcW w:w="5170" w:type="dxa"/>
            <w:tcBorders>
              <w:top w:val="single" w:color="auto" w:sz="6" w:space="0"/>
              <w:left w:val="single" w:color="auto" w:sz="6" w:space="0"/>
              <w:bottom w:val="single" w:color="auto" w:sz="6" w:space="0"/>
              <w:right w:val="double" w:color="auto" w:sz="2" w:space="0"/>
            </w:tcBorders>
            <w:vAlign w:val="center"/>
          </w:tcPr>
          <w:p w14:paraId="35932F40">
            <w:pPr>
              <w:adjustRightInd w:val="0"/>
              <w:snapToGrid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bidi="ar"/>
              </w:rPr>
              <w:t>(1)乙方不能交货（逾期超过五天视为不能交货），或交货不合格从而影响甲方按期正常使用的，应向甲方偿付合同总价款5%的违约金，违约金不足以补偿损失的，甲方有权要求乙方补足。</w:t>
            </w:r>
          </w:p>
          <w:p w14:paraId="3D712C2D">
            <w:pPr>
              <w:adjustRightInd w:val="0"/>
              <w:snapToGrid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bidi="ar"/>
              </w:rPr>
              <w:t>(2)乙方逾期交货的，应在发货前与甲方和政府采购管理部门协商，甲方仍需求的，乙方应立即发货并应按照逾期交货部分货款的每天万分之四支付逾期交货违约金，同时承担甲方因此遭致的损失费用。</w:t>
            </w:r>
          </w:p>
        </w:tc>
      </w:tr>
      <w:tr w14:paraId="5783C2B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076C3596">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6D8D6C25">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第15.3款</w:t>
            </w:r>
          </w:p>
        </w:tc>
        <w:tc>
          <w:tcPr>
            <w:tcW w:w="1742" w:type="dxa"/>
            <w:tcBorders>
              <w:top w:val="single" w:color="auto" w:sz="6" w:space="0"/>
              <w:left w:val="single" w:color="auto" w:sz="6" w:space="0"/>
              <w:bottom w:val="single" w:color="auto" w:sz="4" w:space="0"/>
              <w:right w:val="single" w:color="auto" w:sz="6" w:space="0"/>
            </w:tcBorders>
            <w:vAlign w:val="center"/>
          </w:tcPr>
          <w:p w14:paraId="17316B6B">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逾期付款利息</w:t>
            </w:r>
          </w:p>
        </w:tc>
        <w:tc>
          <w:tcPr>
            <w:tcW w:w="5170" w:type="dxa"/>
            <w:tcBorders>
              <w:top w:val="single" w:color="auto" w:sz="6" w:space="0"/>
              <w:left w:val="single" w:color="auto" w:sz="6" w:space="0"/>
              <w:bottom w:val="single" w:color="auto" w:sz="6" w:space="0"/>
              <w:right w:val="double" w:color="auto" w:sz="2" w:space="0"/>
            </w:tcBorders>
            <w:vAlign w:val="center"/>
          </w:tcPr>
          <w:p w14:paraId="2C88DE0B">
            <w:pPr>
              <w:adjustRightInd w:val="0"/>
              <w:snapToGrid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bidi="ar"/>
              </w:rPr>
              <w:t>/</w:t>
            </w:r>
          </w:p>
        </w:tc>
      </w:tr>
      <w:tr w14:paraId="03277AE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2" w:space="0"/>
              <w:bottom w:val="single" w:color="auto" w:sz="2" w:space="0"/>
              <w:right w:val="single" w:color="auto" w:sz="4" w:space="0"/>
            </w:tcBorders>
            <w:vAlign w:val="center"/>
          </w:tcPr>
          <w:p w14:paraId="78476E49">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00671E4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第15.4款</w:t>
            </w:r>
          </w:p>
        </w:tc>
        <w:tc>
          <w:tcPr>
            <w:tcW w:w="1742" w:type="dxa"/>
            <w:tcBorders>
              <w:top w:val="single" w:color="auto" w:sz="4" w:space="0"/>
              <w:left w:val="single" w:color="auto" w:sz="4" w:space="0"/>
              <w:bottom w:val="single" w:color="auto" w:sz="2" w:space="0"/>
              <w:right w:val="single" w:color="auto" w:sz="4" w:space="0"/>
            </w:tcBorders>
            <w:vAlign w:val="center"/>
          </w:tcPr>
          <w:p w14:paraId="0B21845B">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其他违约责任</w:t>
            </w:r>
          </w:p>
        </w:tc>
        <w:tc>
          <w:tcPr>
            <w:tcW w:w="5170" w:type="dxa"/>
            <w:tcBorders>
              <w:top w:val="single" w:color="auto" w:sz="6" w:space="0"/>
              <w:left w:val="single" w:color="auto" w:sz="4" w:space="0"/>
              <w:bottom w:val="single" w:color="auto" w:sz="2" w:space="0"/>
              <w:right w:val="double" w:color="auto" w:sz="2" w:space="0"/>
            </w:tcBorders>
            <w:vAlign w:val="center"/>
          </w:tcPr>
          <w:p w14:paraId="200CFD85">
            <w:pPr>
              <w:adjustRightInd w:val="0"/>
              <w:snapToGrid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bidi="ar"/>
              </w:rPr>
              <w:t>合同一方不履行合同义务或者履行合同义务不符合约定的，应当承担继续履行、采取补救措施或者赔偿损失等违约责任。</w:t>
            </w:r>
          </w:p>
        </w:tc>
      </w:tr>
      <w:tr w14:paraId="0232B70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2" w:space="0"/>
              <w:bottom w:val="single" w:color="auto" w:sz="6" w:space="0"/>
              <w:right w:val="single" w:color="auto" w:sz="4" w:space="0"/>
            </w:tcBorders>
            <w:vAlign w:val="center"/>
          </w:tcPr>
          <w:p w14:paraId="326502E8">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7E2B7694">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第19.2款</w:t>
            </w:r>
          </w:p>
        </w:tc>
        <w:tc>
          <w:tcPr>
            <w:tcW w:w="1742" w:type="dxa"/>
            <w:tcBorders>
              <w:top w:val="single" w:color="auto" w:sz="2" w:space="0"/>
              <w:left w:val="single" w:color="auto" w:sz="4" w:space="0"/>
              <w:bottom w:val="single" w:color="auto" w:sz="4" w:space="0"/>
              <w:right w:val="single" w:color="auto" w:sz="4" w:space="0"/>
            </w:tcBorders>
            <w:vAlign w:val="center"/>
          </w:tcPr>
          <w:p w14:paraId="0DAC2252">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解决争议的方法</w:t>
            </w:r>
          </w:p>
        </w:tc>
        <w:tc>
          <w:tcPr>
            <w:tcW w:w="5170" w:type="dxa"/>
            <w:tcBorders>
              <w:top w:val="single" w:color="auto" w:sz="2" w:space="0"/>
              <w:left w:val="single" w:color="auto" w:sz="4" w:space="0"/>
              <w:bottom w:val="single" w:color="auto" w:sz="6" w:space="0"/>
              <w:right w:val="double" w:color="auto" w:sz="2" w:space="0"/>
            </w:tcBorders>
            <w:vAlign w:val="center"/>
          </w:tcPr>
          <w:p w14:paraId="3FFCA968">
            <w:pPr>
              <w:autoSpaceDE w:val="0"/>
              <w:autoSpaceDN w:val="0"/>
              <w:adjustRightInd w:val="0"/>
              <w:snapToGrid w:val="0"/>
              <w:spacing w:line="360" w:lineRule="auto"/>
              <w:jc w:val="lef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bidi="ar"/>
              </w:rPr>
              <w:t>因本合同及合同有关事项发生的争议，按下列第</w:t>
            </w:r>
            <w:r>
              <w:rPr>
                <w:rFonts w:hint="eastAsia" w:ascii="仿宋" w:hAnsi="仿宋" w:eastAsia="仿宋" w:cs="仿宋"/>
                <w:iCs/>
                <w:color w:val="auto"/>
                <w:sz w:val="24"/>
                <w:szCs w:val="24"/>
                <w:highlight w:val="none"/>
                <w:u w:val="single"/>
                <w:lang w:bidi="ar"/>
              </w:rPr>
              <w:t xml:space="preserve"> （1） </w:t>
            </w:r>
            <w:r>
              <w:rPr>
                <w:rFonts w:hint="eastAsia" w:ascii="仿宋" w:hAnsi="仿宋" w:eastAsia="仿宋" w:cs="仿宋"/>
                <w:iCs/>
                <w:color w:val="auto"/>
                <w:sz w:val="24"/>
                <w:szCs w:val="24"/>
                <w:highlight w:val="none"/>
                <w:lang w:bidi="ar"/>
              </w:rPr>
              <w:t>种方式解决：</w:t>
            </w:r>
          </w:p>
          <w:p w14:paraId="493DDDEC">
            <w:pPr>
              <w:autoSpaceDE w:val="0"/>
              <w:autoSpaceDN w:val="0"/>
              <w:adjustRightInd w:val="0"/>
              <w:snapToGrid w:val="0"/>
              <w:spacing w:line="360" w:lineRule="auto"/>
              <w:jc w:val="lef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bidi="ar"/>
              </w:rPr>
              <w:t>（1）向</w:t>
            </w:r>
            <w:r>
              <w:rPr>
                <w:rFonts w:hint="eastAsia" w:ascii="仿宋" w:hAnsi="仿宋" w:eastAsia="仿宋" w:cs="仿宋"/>
                <w:iCs/>
                <w:color w:val="auto"/>
                <w:sz w:val="24"/>
                <w:szCs w:val="24"/>
                <w:highlight w:val="none"/>
                <w:u w:val="single"/>
                <w:lang w:bidi="ar"/>
              </w:rPr>
              <w:t xml:space="preserve"> 滁州 </w:t>
            </w:r>
            <w:r>
              <w:rPr>
                <w:rFonts w:hint="eastAsia" w:ascii="仿宋" w:hAnsi="仿宋" w:eastAsia="仿宋" w:cs="仿宋"/>
                <w:iCs/>
                <w:color w:val="auto"/>
                <w:sz w:val="24"/>
                <w:szCs w:val="24"/>
                <w:highlight w:val="none"/>
                <w:lang w:bidi="ar"/>
              </w:rPr>
              <w:t>仲裁委员会申请仲裁，仲裁地点为</w:t>
            </w:r>
            <w:r>
              <w:rPr>
                <w:rFonts w:hint="eastAsia" w:ascii="仿宋" w:hAnsi="仿宋" w:eastAsia="仿宋" w:cs="仿宋"/>
                <w:iCs/>
                <w:color w:val="auto"/>
                <w:sz w:val="24"/>
                <w:szCs w:val="24"/>
                <w:highlight w:val="none"/>
                <w:u w:val="single"/>
                <w:lang w:bidi="ar"/>
              </w:rPr>
              <w:t xml:space="preserve">  滁州市 </w:t>
            </w:r>
            <w:r>
              <w:rPr>
                <w:rFonts w:hint="eastAsia" w:ascii="仿宋" w:hAnsi="仿宋" w:eastAsia="仿宋" w:cs="仿宋"/>
                <w:iCs/>
                <w:color w:val="auto"/>
                <w:sz w:val="24"/>
                <w:szCs w:val="24"/>
                <w:highlight w:val="none"/>
                <w:lang w:bidi="ar"/>
              </w:rPr>
              <w:t>；</w:t>
            </w:r>
          </w:p>
          <w:p w14:paraId="2A4B0CEC">
            <w:pPr>
              <w:adjustRightInd w:val="0"/>
              <w:snapToGrid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iCs/>
                <w:color w:val="auto"/>
                <w:sz w:val="24"/>
                <w:szCs w:val="24"/>
                <w:highlight w:val="none"/>
                <w:lang w:bidi="ar"/>
              </w:rPr>
              <w:t>（2）向</w:t>
            </w:r>
            <w:r>
              <w:rPr>
                <w:rFonts w:hint="eastAsia" w:ascii="仿宋" w:hAnsi="仿宋" w:eastAsia="仿宋" w:cs="仿宋"/>
                <w:iCs/>
                <w:color w:val="auto"/>
                <w:sz w:val="24"/>
                <w:szCs w:val="24"/>
                <w:highlight w:val="none"/>
                <w:u w:val="single"/>
                <w:lang w:bidi="ar"/>
              </w:rPr>
              <w:t xml:space="preserve">  项目所在地  </w:t>
            </w:r>
            <w:r>
              <w:rPr>
                <w:rFonts w:hint="eastAsia" w:ascii="仿宋" w:hAnsi="仿宋" w:eastAsia="仿宋" w:cs="仿宋"/>
                <w:iCs/>
                <w:color w:val="auto"/>
                <w:sz w:val="24"/>
                <w:szCs w:val="24"/>
                <w:highlight w:val="none"/>
                <w:lang w:bidi="ar"/>
              </w:rPr>
              <w:t>人民法院起诉。</w:t>
            </w:r>
          </w:p>
        </w:tc>
      </w:tr>
      <w:tr w14:paraId="14850E8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2" w:space="0"/>
              <w:bottom w:val="double" w:color="auto" w:sz="2" w:space="0"/>
              <w:right w:val="single" w:color="auto" w:sz="6" w:space="0"/>
            </w:tcBorders>
            <w:vAlign w:val="center"/>
          </w:tcPr>
          <w:p w14:paraId="1038F58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1A64FA63">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第23.1款</w:t>
            </w:r>
          </w:p>
        </w:tc>
        <w:tc>
          <w:tcPr>
            <w:tcW w:w="1742" w:type="dxa"/>
            <w:tcBorders>
              <w:top w:val="single" w:color="auto" w:sz="4" w:space="0"/>
              <w:left w:val="single" w:color="auto" w:sz="6" w:space="0"/>
              <w:bottom w:val="double" w:color="auto" w:sz="2" w:space="0"/>
              <w:right w:val="single" w:color="auto" w:sz="6" w:space="0"/>
            </w:tcBorders>
            <w:vAlign w:val="center"/>
          </w:tcPr>
          <w:p w14:paraId="2E547492">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bidi="ar"/>
              </w:rPr>
              <w:t>其他专用条款</w:t>
            </w:r>
          </w:p>
        </w:tc>
        <w:tc>
          <w:tcPr>
            <w:tcW w:w="5170" w:type="dxa"/>
            <w:tcBorders>
              <w:top w:val="single" w:color="auto" w:sz="6" w:space="0"/>
              <w:left w:val="single" w:color="auto" w:sz="6" w:space="0"/>
              <w:bottom w:val="double" w:color="auto" w:sz="2" w:space="0"/>
              <w:right w:val="double" w:color="auto" w:sz="2" w:space="0"/>
            </w:tcBorders>
            <w:vAlign w:val="center"/>
          </w:tcPr>
          <w:p w14:paraId="672C6248">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本合同未尽事宜应按《中华人民共和国政府采购法》、《中华人民共和国民法典》、《中华人民共和国产品质量法》之规定解释或签订合同时补充</w:t>
            </w:r>
          </w:p>
        </w:tc>
      </w:tr>
    </w:tbl>
    <w:p w14:paraId="05899B87">
      <w:pPr>
        <w:pStyle w:val="14"/>
        <w:ind w:left="1260"/>
        <w:rPr>
          <w:rFonts w:hint="eastAsia" w:ascii="仿宋" w:hAnsi="仿宋" w:eastAsia="仿宋" w:cs="仿宋"/>
          <w:color w:val="auto"/>
          <w:highlight w:val="none"/>
        </w:rPr>
      </w:pPr>
    </w:p>
    <w:p w14:paraId="4B6F678E">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749A5BD">
      <w:pPr>
        <w:spacing w:line="360" w:lineRule="auto"/>
        <w:jc w:val="center"/>
        <w:outlineLvl w:val="0"/>
        <w:rPr>
          <w:rFonts w:hint="eastAsia" w:ascii="仿宋" w:hAnsi="仿宋" w:eastAsia="仿宋" w:cs="仿宋"/>
          <w:b/>
          <w:color w:val="auto"/>
          <w:sz w:val="28"/>
          <w:highlight w:val="none"/>
        </w:rPr>
      </w:pPr>
      <w:bookmarkStart w:id="27" w:name="_Toc22492"/>
      <w:r>
        <w:rPr>
          <w:rFonts w:hint="eastAsia" w:ascii="仿宋" w:hAnsi="仿宋" w:eastAsia="仿宋" w:cs="仿宋"/>
          <w:b/>
          <w:color w:val="auto"/>
          <w:sz w:val="28"/>
          <w:highlight w:val="none"/>
        </w:rPr>
        <w:t>第六章  投标文件格式</w:t>
      </w:r>
      <w:bookmarkEnd w:id="27"/>
    </w:p>
    <w:p w14:paraId="5E2D97D7">
      <w:pPr>
        <w:spacing w:line="900" w:lineRule="exact"/>
        <w:jc w:val="center"/>
        <w:rPr>
          <w:rFonts w:hint="eastAsia" w:ascii="仿宋" w:hAnsi="仿宋" w:eastAsia="仿宋" w:cs="仿宋"/>
          <w:b/>
          <w:color w:val="auto"/>
          <w:sz w:val="72"/>
          <w:highlight w:val="none"/>
        </w:rPr>
      </w:pPr>
    </w:p>
    <w:p w14:paraId="02AE9BEC">
      <w:pPr>
        <w:spacing w:line="900" w:lineRule="exact"/>
        <w:jc w:val="center"/>
        <w:outlineLvl w:val="1"/>
        <w:rPr>
          <w:rFonts w:hint="eastAsia" w:ascii="仿宋" w:hAnsi="仿宋" w:eastAsia="仿宋" w:cs="仿宋"/>
          <w:b/>
          <w:color w:val="auto"/>
          <w:sz w:val="72"/>
          <w:highlight w:val="none"/>
        </w:rPr>
      </w:pPr>
      <w:bookmarkStart w:id="28" w:name="_Toc651"/>
      <w:r>
        <w:rPr>
          <w:rFonts w:hint="eastAsia" w:ascii="仿宋" w:hAnsi="仿宋" w:eastAsia="仿宋" w:cs="仿宋"/>
          <w:b/>
          <w:color w:val="auto"/>
          <w:sz w:val="72"/>
          <w:highlight w:val="none"/>
        </w:rPr>
        <w:t>投</w:t>
      </w:r>
      <w:bookmarkEnd w:id="28"/>
    </w:p>
    <w:p w14:paraId="267BFE77">
      <w:pPr>
        <w:spacing w:line="900" w:lineRule="exact"/>
        <w:jc w:val="center"/>
        <w:rPr>
          <w:rFonts w:hint="eastAsia" w:ascii="仿宋" w:hAnsi="仿宋" w:eastAsia="仿宋" w:cs="仿宋"/>
          <w:b/>
          <w:color w:val="auto"/>
          <w:sz w:val="72"/>
          <w:highlight w:val="none"/>
        </w:rPr>
      </w:pPr>
    </w:p>
    <w:p w14:paraId="134F2D13">
      <w:pPr>
        <w:spacing w:line="900" w:lineRule="exact"/>
        <w:jc w:val="center"/>
        <w:outlineLvl w:val="1"/>
        <w:rPr>
          <w:rFonts w:hint="eastAsia" w:ascii="仿宋" w:hAnsi="仿宋" w:eastAsia="仿宋" w:cs="仿宋"/>
          <w:b/>
          <w:color w:val="auto"/>
          <w:sz w:val="72"/>
          <w:highlight w:val="none"/>
        </w:rPr>
      </w:pPr>
      <w:bookmarkStart w:id="29" w:name="_Toc6148"/>
      <w:r>
        <w:rPr>
          <w:rFonts w:hint="eastAsia" w:ascii="仿宋" w:hAnsi="仿宋" w:eastAsia="仿宋" w:cs="仿宋"/>
          <w:b/>
          <w:color w:val="auto"/>
          <w:sz w:val="72"/>
          <w:highlight w:val="none"/>
        </w:rPr>
        <w:t>标</w:t>
      </w:r>
      <w:bookmarkEnd w:id="29"/>
    </w:p>
    <w:p w14:paraId="06E73C21">
      <w:pPr>
        <w:spacing w:line="900" w:lineRule="exact"/>
        <w:jc w:val="center"/>
        <w:rPr>
          <w:rFonts w:hint="eastAsia" w:ascii="仿宋" w:hAnsi="仿宋" w:eastAsia="仿宋" w:cs="仿宋"/>
          <w:b/>
          <w:color w:val="auto"/>
          <w:sz w:val="72"/>
          <w:highlight w:val="none"/>
        </w:rPr>
      </w:pPr>
    </w:p>
    <w:p w14:paraId="0BA146F2">
      <w:pPr>
        <w:spacing w:line="900" w:lineRule="exact"/>
        <w:jc w:val="center"/>
        <w:outlineLvl w:val="1"/>
        <w:rPr>
          <w:rFonts w:hint="eastAsia" w:ascii="仿宋" w:hAnsi="仿宋" w:eastAsia="仿宋" w:cs="仿宋"/>
          <w:b/>
          <w:color w:val="auto"/>
          <w:sz w:val="72"/>
          <w:highlight w:val="none"/>
        </w:rPr>
      </w:pPr>
      <w:bookmarkStart w:id="30" w:name="_Toc1338"/>
      <w:r>
        <w:rPr>
          <w:rFonts w:hint="eastAsia" w:ascii="仿宋" w:hAnsi="仿宋" w:eastAsia="仿宋" w:cs="仿宋"/>
          <w:b/>
          <w:color w:val="auto"/>
          <w:sz w:val="72"/>
          <w:highlight w:val="none"/>
        </w:rPr>
        <w:t>文</w:t>
      </w:r>
      <w:bookmarkEnd w:id="30"/>
    </w:p>
    <w:p w14:paraId="2CC4805C">
      <w:pPr>
        <w:spacing w:line="900" w:lineRule="exact"/>
        <w:jc w:val="center"/>
        <w:rPr>
          <w:rFonts w:hint="eastAsia" w:ascii="仿宋" w:hAnsi="仿宋" w:eastAsia="仿宋" w:cs="仿宋"/>
          <w:b/>
          <w:color w:val="auto"/>
          <w:sz w:val="72"/>
          <w:highlight w:val="none"/>
        </w:rPr>
      </w:pPr>
    </w:p>
    <w:p w14:paraId="05A4D932">
      <w:pPr>
        <w:jc w:val="center"/>
        <w:outlineLvl w:val="1"/>
        <w:rPr>
          <w:rFonts w:hint="eastAsia" w:ascii="仿宋" w:hAnsi="仿宋" w:eastAsia="仿宋" w:cs="仿宋"/>
          <w:b/>
          <w:color w:val="auto"/>
          <w:sz w:val="72"/>
          <w:highlight w:val="none"/>
        </w:rPr>
      </w:pPr>
      <w:bookmarkStart w:id="31" w:name="_Toc10796"/>
      <w:r>
        <w:rPr>
          <w:rFonts w:hint="eastAsia" w:ascii="仿宋" w:hAnsi="仿宋" w:eastAsia="仿宋" w:cs="仿宋"/>
          <w:b/>
          <w:color w:val="auto"/>
          <w:sz w:val="72"/>
          <w:highlight w:val="none"/>
        </w:rPr>
        <w:t>件</w:t>
      </w:r>
      <w:bookmarkEnd w:id="31"/>
    </w:p>
    <w:p w14:paraId="4D4D81DB">
      <w:pPr>
        <w:spacing w:after="156" w:afterLines="50"/>
        <w:jc w:val="center"/>
        <w:rPr>
          <w:rFonts w:hint="eastAsia" w:ascii="仿宋" w:hAnsi="仿宋" w:eastAsia="仿宋" w:cs="仿宋"/>
          <w:b/>
          <w:color w:val="auto"/>
          <w:sz w:val="72"/>
          <w:highlight w:val="none"/>
        </w:rPr>
      </w:pPr>
    </w:p>
    <w:p w14:paraId="367A1838">
      <w:pPr>
        <w:spacing w:before="156" w:beforeLines="50" w:after="156" w:afterLine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p>
    <w:p w14:paraId="278D8633">
      <w:pPr>
        <w:spacing w:after="156" w:afterLines="50" w:line="500" w:lineRule="exact"/>
        <w:jc w:val="center"/>
        <w:rPr>
          <w:rFonts w:hint="eastAsia" w:ascii="仿宋" w:hAnsi="仿宋" w:eastAsia="仿宋" w:cs="仿宋"/>
          <w:b/>
          <w:color w:val="auto"/>
          <w:sz w:val="28"/>
          <w:szCs w:val="28"/>
          <w:highlight w:val="none"/>
        </w:rPr>
      </w:pPr>
    </w:p>
    <w:p w14:paraId="4924CD18">
      <w:pPr>
        <w:tabs>
          <w:tab w:val="left" w:pos="2410"/>
        </w:tabs>
        <w:autoSpaceDE w:val="0"/>
        <w:autoSpaceDN w:val="0"/>
        <w:adjustRightInd w:val="0"/>
        <w:snapToGrid w:val="0"/>
        <w:spacing w:line="360" w:lineRule="auto"/>
        <w:ind w:firstLine="643" w:firstLineChars="200"/>
        <w:rPr>
          <w:rFonts w:hint="eastAsia" w:ascii="仿宋" w:hAnsi="仿宋" w:eastAsia="仿宋" w:cs="仿宋"/>
          <w:b/>
          <w:color w:val="auto"/>
          <w:spacing w:val="20"/>
          <w:kern w:val="0"/>
          <w:sz w:val="32"/>
          <w:szCs w:val="32"/>
          <w:highlight w:val="none"/>
        </w:rPr>
      </w:pPr>
      <w:r>
        <w:rPr>
          <w:rFonts w:hint="eastAsia" w:ascii="仿宋" w:hAnsi="仿宋" w:eastAsia="仿宋" w:cs="仿宋"/>
          <w:b/>
          <w:color w:val="auto"/>
          <w:sz w:val="32"/>
          <w:highlight w:val="none"/>
        </w:rPr>
        <w:t>项目名称：</w:t>
      </w:r>
      <w:r>
        <w:rPr>
          <w:rFonts w:hint="eastAsia" w:ascii="仿宋" w:hAnsi="仿宋" w:eastAsia="仿宋" w:cs="仿宋"/>
          <w:b/>
          <w:color w:val="auto"/>
          <w:sz w:val="32"/>
          <w:highlight w:val="none"/>
          <w:u w:val="single"/>
        </w:rPr>
        <w:t xml:space="preserve">                  </w:t>
      </w:r>
    </w:p>
    <w:p w14:paraId="09C367CF">
      <w:pPr>
        <w:tabs>
          <w:tab w:val="left" w:pos="2410"/>
        </w:tabs>
        <w:autoSpaceDE w:val="0"/>
        <w:autoSpaceDN w:val="0"/>
        <w:adjustRightInd w:val="0"/>
        <w:snapToGrid w:val="0"/>
        <w:spacing w:line="360" w:lineRule="auto"/>
        <w:ind w:firstLine="643" w:firstLineChars="200"/>
        <w:rPr>
          <w:rFonts w:hint="eastAsia" w:ascii="仿宋" w:hAnsi="仿宋" w:eastAsia="仿宋" w:cs="仿宋"/>
          <w:b/>
          <w:color w:val="auto"/>
          <w:sz w:val="32"/>
          <w:highlight w:val="none"/>
          <w:u w:val="single"/>
        </w:rPr>
      </w:pPr>
      <w:r>
        <w:rPr>
          <w:rFonts w:hint="eastAsia" w:ascii="仿宋" w:hAnsi="仿宋" w:eastAsia="仿宋" w:cs="仿宋"/>
          <w:b/>
          <w:color w:val="auto"/>
          <w:sz w:val="32"/>
          <w:highlight w:val="none"/>
        </w:rPr>
        <w:t>项目编号：</w:t>
      </w:r>
      <w:r>
        <w:rPr>
          <w:rFonts w:hint="eastAsia" w:ascii="仿宋" w:hAnsi="仿宋" w:eastAsia="仿宋" w:cs="仿宋"/>
          <w:b/>
          <w:color w:val="auto"/>
          <w:sz w:val="32"/>
          <w:highlight w:val="none"/>
          <w:u w:val="single"/>
        </w:rPr>
        <w:t xml:space="preserve">                  </w:t>
      </w:r>
    </w:p>
    <w:p w14:paraId="10735B97">
      <w:pPr>
        <w:tabs>
          <w:tab w:val="left" w:pos="2410"/>
        </w:tabs>
        <w:autoSpaceDE w:val="0"/>
        <w:autoSpaceDN w:val="0"/>
        <w:adjustRightInd w:val="0"/>
        <w:snapToGrid w:val="0"/>
        <w:spacing w:line="360" w:lineRule="auto"/>
        <w:ind w:firstLine="643" w:firstLineChars="200"/>
        <w:rPr>
          <w:rFonts w:hint="eastAsia" w:ascii="仿宋" w:hAnsi="仿宋" w:eastAsia="仿宋" w:cs="仿宋"/>
          <w:b/>
          <w:color w:val="auto"/>
          <w:sz w:val="32"/>
          <w:highlight w:val="none"/>
          <w:u w:val="single"/>
        </w:rPr>
      </w:pPr>
      <w:r>
        <w:rPr>
          <w:rFonts w:hint="eastAsia" w:ascii="仿宋" w:hAnsi="仿宋" w:eastAsia="仿宋" w:cs="仿宋"/>
          <w:b/>
          <w:color w:val="auto"/>
          <w:sz w:val="32"/>
          <w:highlight w:val="none"/>
        </w:rPr>
        <w:t>投 标 人：</w:t>
      </w:r>
      <w:r>
        <w:rPr>
          <w:rFonts w:hint="eastAsia" w:ascii="仿宋" w:hAnsi="仿宋" w:eastAsia="仿宋" w:cs="仿宋"/>
          <w:b/>
          <w:color w:val="auto"/>
          <w:sz w:val="32"/>
          <w:highlight w:val="none"/>
          <w:u w:val="single"/>
        </w:rPr>
        <w:t xml:space="preserve">                  </w:t>
      </w:r>
    </w:p>
    <w:p w14:paraId="474CA35F">
      <w:pPr>
        <w:spacing w:after="156" w:afterLines="50" w:line="500" w:lineRule="exact"/>
        <w:jc w:val="center"/>
        <w:outlineLvl w:val="1"/>
        <w:rPr>
          <w:rFonts w:hint="eastAsia" w:ascii="仿宋" w:hAnsi="仿宋" w:eastAsia="仿宋" w:cs="仿宋"/>
          <w:b/>
          <w:color w:val="auto"/>
          <w:sz w:val="32"/>
          <w:highlight w:val="none"/>
        </w:rPr>
      </w:pPr>
      <w:r>
        <w:rPr>
          <w:rFonts w:hint="eastAsia" w:ascii="仿宋" w:hAnsi="仿宋" w:eastAsia="仿宋" w:cs="仿宋"/>
          <w:b/>
          <w:color w:val="auto"/>
          <w:sz w:val="32"/>
          <w:highlight w:val="none"/>
          <w:u w:val="single"/>
        </w:rPr>
        <w:t xml:space="preserve">  </w:t>
      </w:r>
      <w:bookmarkStart w:id="32" w:name="_Toc9994"/>
      <w:bookmarkStart w:id="33" w:name="_Toc8037"/>
      <w:r>
        <w:rPr>
          <w:rFonts w:hint="eastAsia" w:ascii="仿宋" w:hAnsi="仿宋" w:eastAsia="仿宋" w:cs="仿宋"/>
          <w:b/>
          <w:color w:val="auto"/>
          <w:sz w:val="32"/>
          <w:highlight w:val="none"/>
        </w:rPr>
        <w:t>年</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rPr>
        <w:t>月</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rPr>
        <w:t>日</w:t>
      </w:r>
      <w:bookmarkEnd w:id="32"/>
      <w:bookmarkEnd w:id="33"/>
    </w:p>
    <w:p w14:paraId="2FDA9A7A">
      <w:pPr>
        <w:widowControl/>
        <w:jc w:val="left"/>
        <w:rPr>
          <w:rFonts w:hint="eastAsia" w:ascii="仿宋" w:hAnsi="仿宋" w:eastAsia="仿宋" w:cs="仿宋"/>
          <w:b/>
          <w:color w:val="auto"/>
          <w:sz w:val="28"/>
          <w:highlight w:val="none"/>
        </w:rPr>
      </w:pPr>
      <w:r>
        <w:rPr>
          <w:rFonts w:hint="eastAsia" w:ascii="仿宋" w:hAnsi="仿宋" w:eastAsia="仿宋" w:cs="仿宋"/>
          <w:b/>
          <w:color w:val="auto"/>
          <w:sz w:val="28"/>
          <w:highlight w:val="none"/>
        </w:rPr>
        <w:br w:type="page"/>
      </w:r>
    </w:p>
    <w:p w14:paraId="7E5035ED">
      <w:pPr>
        <w:spacing w:line="360" w:lineRule="auto"/>
        <w:jc w:val="center"/>
        <w:outlineLvl w:val="1"/>
        <w:rPr>
          <w:rFonts w:hint="eastAsia" w:ascii="仿宋" w:hAnsi="仿宋" w:eastAsia="仿宋" w:cs="仿宋"/>
          <w:b/>
          <w:color w:val="auto"/>
          <w:sz w:val="24"/>
          <w:highlight w:val="none"/>
        </w:rPr>
      </w:pPr>
      <w:bookmarkStart w:id="34" w:name="_Toc5555"/>
      <w:bookmarkStart w:id="35" w:name="_Toc28960"/>
      <w:r>
        <w:rPr>
          <w:rFonts w:hint="eastAsia" w:ascii="仿宋" w:hAnsi="仿宋" w:eastAsia="仿宋" w:cs="仿宋"/>
          <w:b/>
          <w:color w:val="auto"/>
          <w:sz w:val="24"/>
          <w:highlight w:val="none"/>
        </w:rPr>
        <w:t>一、开标一览表</w:t>
      </w:r>
      <w:bookmarkEnd w:id="34"/>
      <w:bookmarkEnd w:id="35"/>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35F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61264A0">
            <w:pPr>
              <w:widowControl/>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3D07CAC4">
            <w:pPr>
              <w:spacing w:line="360" w:lineRule="exact"/>
              <w:jc w:val="center"/>
              <w:rPr>
                <w:rFonts w:hint="eastAsia" w:ascii="仿宋" w:hAnsi="仿宋" w:eastAsia="仿宋" w:cs="仿宋"/>
                <w:bCs/>
                <w:color w:val="auto"/>
                <w:sz w:val="24"/>
                <w:highlight w:val="none"/>
                <w:u w:val="single"/>
              </w:rPr>
            </w:pPr>
          </w:p>
        </w:tc>
      </w:tr>
      <w:tr w14:paraId="448A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8BF577F">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投标人全称</w:t>
            </w:r>
          </w:p>
        </w:tc>
        <w:tc>
          <w:tcPr>
            <w:tcW w:w="3648" w:type="pct"/>
            <w:tcBorders>
              <w:top w:val="nil"/>
            </w:tcBorders>
            <w:vAlign w:val="center"/>
          </w:tcPr>
          <w:p w14:paraId="4BD18E00">
            <w:pPr>
              <w:spacing w:line="360" w:lineRule="auto"/>
              <w:rPr>
                <w:rFonts w:hint="eastAsia" w:ascii="仿宋" w:hAnsi="仿宋" w:eastAsia="仿宋" w:cs="仿宋"/>
                <w:color w:val="auto"/>
                <w:sz w:val="24"/>
                <w:highlight w:val="none"/>
              </w:rPr>
            </w:pPr>
          </w:p>
        </w:tc>
      </w:tr>
      <w:tr w14:paraId="40A7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8A8E0DD">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投标范围</w:t>
            </w:r>
          </w:p>
        </w:tc>
        <w:tc>
          <w:tcPr>
            <w:tcW w:w="3648" w:type="pct"/>
            <w:tcBorders>
              <w:top w:val="nil"/>
            </w:tcBorders>
            <w:vAlign w:val="center"/>
          </w:tcPr>
          <w:p w14:paraId="3484B2BD">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全部 </w:t>
            </w:r>
          </w:p>
        </w:tc>
      </w:tr>
      <w:tr w14:paraId="6C99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D83CB4B">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w:t>
            </w:r>
          </w:p>
        </w:tc>
        <w:tc>
          <w:tcPr>
            <w:tcW w:w="3648" w:type="pct"/>
            <w:tcBorders>
              <w:top w:val="nil"/>
            </w:tcBorders>
            <w:vAlign w:val="center"/>
          </w:tcPr>
          <w:p w14:paraId="6278C729">
            <w:pPr>
              <w:snapToGrid w:val="0"/>
              <w:spacing w:line="360" w:lineRule="auto"/>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p w14:paraId="41BAB1E9">
            <w:pPr>
              <w:spacing w:line="360" w:lineRule="auto"/>
              <w:ind w:right="-670"/>
              <w:rPr>
                <w:rFonts w:hint="eastAsia" w:ascii="仿宋" w:hAnsi="仿宋" w:eastAsia="仿宋" w:cs="仿宋"/>
                <w:color w:val="auto"/>
                <w:sz w:val="24"/>
                <w:highlight w:val="non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p>
        </w:tc>
      </w:tr>
      <w:tr w14:paraId="4120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376F4A12">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其他</w:t>
            </w:r>
          </w:p>
        </w:tc>
        <w:tc>
          <w:tcPr>
            <w:tcW w:w="3648" w:type="pct"/>
            <w:tcBorders>
              <w:top w:val="nil"/>
            </w:tcBorders>
            <w:vAlign w:val="center"/>
          </w:tcPr>
          <w:p w14:paraId="471CF522">
            <w:pPr>
              <w:spacing w:line="360" w:lineRule="auto"/>
              <w:jc w:val="left"/>
              <w:rPr>
                <w:rFonts w:hint="eastAsia" w:ascii="仿宋" w:hAnsi="仿宋" w:eastAsia="仿宋" w:cs="仿宋"/>
                <w:color w:val="auto"/>
                <w:sz w:val="24"/>
                <w:szCs w:val="28"/>
                <w:highlight w:val="none"/>
              </w:rPr>
            </w:pPr>
          </w:p>
        </w:tc>
      </w:tr>
    </w:tbl>
    <w:p w14:paraId="771D7E5D">
      <w:pPr>
        <w:spacing w:line="360" w:lineRule="auto"/>
        <w:ind w:firstLine="4320" w:firstLineChars="1800"/>
        <w:jc w:val="center"/>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投标人电子签章：</w:t>
      </w:r>
      <w:r>
        <w:rPr>
          <w:rFonts w:hint="eastAsia" w:ascii="仿宋" w:hAnsi="仿宋" w:eastAsia="仿宋" w:cs="仿宋"/>
          <w:bCs/>
          <w:color w:val="auto"/>
          <w:sz w:val="24"/>
          <w:highlight w:val="none"/>
          <w:u w:val="single"/>
        </w:rPr>
        <w:t xml:space="preserve">             </w:t>
      </w:r>
    </w:p>
    <w:p w14:paraId="5F616BD8">
      <w:pPr>
        <w:spacing w:line="360" w:lineRule="auto"/>
        <w:ind w:firstLine="4320" w:firstLineChars="180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r>
        <w:rPr>
          <w:rFonts w:hint="eastAsia" w:ascii="仿宋" w:hAnsi="仿宋" w:eastAsia="仿宋" w:cs="仿宋"/>
          <w:bCs/>
          <w:color w:val="auto"/>
          <w:sz w:val="24"/>
          <w:highlight w:val="none"/>
          <w:u w:val="single"/>
        </w:rPr>
        <w:t xml:space="preserve">             </w:t>
      </w:r>
    </w:p>
    <w:p w14:paraId="6505FDB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474E0EE">
      <w:pPr>
        <w:spacing w:line="360" w:lineRule="auto"/>
        <w:ind w:firstLine="360" w:firstLineChars="150"/>
        <w:rPr>
          <w:rFonts w:hint="eastAsia" w:ascii="仿宋" w:hAnsi="仿宋" w:eastAsia="仿宋" w:cs="仿宋"/>
          <w:color w:val="auto"/>
          <w:sz w:val="24"/>
          <w:highlight w:val="none"/>
        </w:rPr>
      </w:pPr>
    </w:p>
    <w:p w14:paraId="5EA16117">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2F064FF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1.此表用于开标唱标之用。</w:t>
      </w:r>
    </w:p>
    <w:p w14:paraId="3256402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2.表中投标报价即为优惠后报价，并作为评审及定标依据。任何有选择或有条件的投标报价，或者表中某一包别填写多个报价，均为无效报价。</w:t>
      </w:r>
    </w:p>
    <w:p w14:paraId="33457C3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3.表中大写金额与小写金额不一致的，以大写金额为准。</w:t>
      </w:r>
    </w:p>
    <w:p w14:paraId="34CDD49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b/>
          <w:bCs/>
          <w:color w:val="auto"/>
          <w:sz w:val="24"/>
          <w:highlight w:val="none"/>
          <w:lang w:val="en-US" w:eastAsia="zh-CN"/>
        </w:rPr>
        <w:t>投标人投标报价单价不得超过市直机关单位通用办公资产（办公家具）配置标准表中表二相对应的价格（按科级及以下报价），超过按无效标处理。未列明的投标人自行报价，市直机关单位通用办公资产（办公家具）配置标准表详见附件。</w:t>
      </w:r>
      <w:r>
        <w:rPr>
          <w:rFonts w:hint="eastAsia" w:ascii="仿宋" w:hAnsi="仿宋" w:eastAsia="仿宋" w:cs="仿宋"/>
          <w:color w:val="auto"/>
          <w:sz w:val="24"/>
          <w:highlight w:val="none"/>
        </w:rPr>
        <w:br w:type="page"/>
      </w:r>
    </w:p>
    <w:p w14:paraId="46E71361">
      <w:pPr>
        <w:spacing w:line="360" w:lineRule="auto"/>
        <w:jc w:val="center"/>
        <w:outlineLvl w:val="1"/>
        <w:rPr>
          <w:rFonts w:hint="eastAsia" w:ascii="仿宋" w:hAnsi="仿宋" w:eastAsia="仿宋" w:cs="仿宋"/>
          <w:b/>
          <w:color w:val="auto"/>
          <w:sz w:val="24"/>
          <w:highlight w:val="none"/>
        </w:rPr>
      </w:pPr>
      <w:bookmarkStart w:id="36" w:name="_Toc18010"/>
      <w:bookmarkStart w:id="37" w:name="_Toc6441"/>
      <w:r>
        <w:rPr>
          <w:rFonts w:hint="eastAsia" w:ascii="仿宋" w:hAnsi="仿宋" w:eastAsia="仿宋" w:cs="仿宋"/>
          <w:b/>
          <w:color w:val="auto"/>
          <w:sz w:val="24"/>
          <w:highlight w:val="none"/>
        </w:rPr>
        <w:t>二、投标函</w:t>
      </w:r>
      <w:bookmarkEnd w:id="36"/>
      <w:bookmarkEnd w:id="37"/>
    </w:p>
    <w:p w14:paraId="203DB2CA">
      <w:pPr>
        <w:pStyle w:val="17"/>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w:t>
      </w:r>
    </w:p>
    <w:p w14:paraId="4CC0101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根据贵方的招标公告和投标邀请，我方兹宣布同意如下：</w:t>
      </w:r>
    </w:p>
    <w:p w14:paraId="254EF99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szCs w:val="24"/>
          <w:highlight w:val="none"/>
        </w:rPr>
        <w:t>我方根据招标文件的规定，严格履行合同的责任和义务,并保证于买方要求的日期内完成，并通过买方验收。</w:t>
      </w:r>
    </w:p>
    <w:p w14:paraId="5E7C0EB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2.我方已详细审核全部招标文件，包括招标文件附件及更正公告（如有），我方正式认可并遵守本次招标文件，并对招标文件各项条款、规定及要求均无异议。</w:t>
      </w:r>
    </w:p>
    <w:p w14:paraId="47AAB38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3.我方同意从招标文件规定的开标日期起遵循本招标文件，并在招标文件规定的投标有效期之前均具有约束力。</w:t>
      </w:r>
    </w:p>
    <w:p w14:paraId="729CD15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237A2E87">
      <w:pPr>
        <w:spacing w:line="360" w:lineRule="auto"/>
        <w:ind w:firstLine="4800" w:firstLineChars="2000"/>
        <w:rPr>
          <w:rFonts w:hint="eastAsia" w:ascii="仿宋" w:hAnsi="仿宋" w:eastAsia="仿宋" w:cs="仿宋"/>
          <w:color w:val="auto"/>
          <w:sz w:val="24"/>
          <w:highlight w:val="none"/>
        </w:rPr>
      </w:pPr>
    </w:p>
    <w:p w14:paraId="17C2E3FF">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投标人电子签章：</w:t>
      </w:r>
      <w:r>
        <w:rPr>
          <w:rFonts w:hint="eastAsia" w:ascii="仿宋" w:hAnsi="仿宋" w:eastAsia="仿宋" w:cs="仿宋"/>
          <w:color w:val="auto"/>
          <w:sz w:val="24"/>
          <w:highlight w:val="none"/>
          <w:u w:val="single"/>
        </w:rPr>
        <w:t xml:space="preserve">             </w:t>
      </w:r>
    </w:p>
    <w:p w14:paraId="75BD71AF">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0D0E5E46">
      <w:pPr>
        <w:widowControl/>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br w:type="page"/>
      </w:r>
    </w:p>
    <w:p w14:paraId="52C13ECA">
      <w:pPr>
        <w:spacing w:line="360" w:lineRule="auto"/>
        <w:jc w:val="center"/>
        <w:outlineLvl w:val="1"/>
        <w:rPr>
          <w:rFonts w:hint="eastAsia" w:ascii="仿宋" w:hAnsi="仿宋" w:eastAsia="仿宋" w:cs="仿宋"/>
          <w:b/>
          <w:color w:val="auto"/>
          <w:sz w:val="24"/>
          <w:highlight w:val="none"/>
        </w:rPr>
      </w:pPr>
      <w:bookmarkStart w:id="38" w:name="_Toc1328"/>
      <w:r>
        <w:rPr>
          <w:rFonts w:hint="eastAsia" w:ascii="仿宋" w:hAnsi="仿宋" w:eastAsia="仿宋" w:cs="仿宋"/>
          <w:b/>
          <w:color w:val="auto"/>
          <w:sz w:val="24"/>
          <w:highlight w:val="none"/>
        </w:rPr>
        <w:t>三．投标人资格声明书</w:t>
      </w:r>
      <w:bookmarkEnd w:id="38"/>
      <w:r>
        <w:rPr>
          <w:rFonts w:hint="eastAsia" w:ascii="仿宋" w:hAnsi="仿宋" w:eastAsia="仿宋" w:cs="仿宋"/>
          <w:b/>
          <w:color w:val="auto"/>
          <w:sz w:val="24"/>
          <w:highlight w:val="none"/>
        </w:rPr>
        <w:t xml:space="preserve"> </w:t>
      </w:r>
    </w:p>
    <w:p w14:paraId="460EDDBE">
      <w:pPr>
        <w:pStyle w:val="17"/>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w:t>
      </w:r>
    </w:p>
    <w:p w14:paraId="689ADDB7">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在参与本次项目投标中，我单位承诺：</w:t>
      </w:r>
    </w:p>
    <w:p w14:paraId="6D3B9A3C">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（一）具有良好的商业信誉和健全的财务会计制度；</w:t>
      </w:r>
    </w:p>
    <w:p w14:paraId="19BBCC5D">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（二）具有履行合同所必需的设备和专业技术能力；</w:t>
      </w:r>
    </w:p>
    <w:p w14:paraId="515E95D1">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（三）有依法缴纳税收和社会保障资金的良好记录；</w:t>
      </w:r>
    </w:p>
    <w:p w14:paraId="00D86917">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E90E10B">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2E9F80B0">
      <w:pPr>
        <w:widowControl/>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BF8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E8070E0">
            <w:pPr>
              <w:widowControl/>
              <w:spacing w:before="156" w:beforeLines="50" w:after="10"/>
              <w:jc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序号</w:t>
            </w:r>
          </w:p>
        </w:tc>
        <w:tc>
          <w:tcPr>
            <w:tcW w:w="2841" w:type="dxa"/>
          </w:tcPr>
          <w:p w14:paraId="7C2829CE">
            <w:pPr>
              <w:pStyle w:val="11"/>
              <w:spacing w:before="156" w:beforeLines="50" w:after="10"/>
              <w:jc w:val="center"/>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单位名称</w:t>
            </w:r>
          </w:p>
        </w:tc>
        <w:tc>
          <w:tcPr>
            <w:tcW w:w="2841" w:type="dxa"/>
          </w:tcPr>
          <w:p w14:paraId="5D903FC5">
            <w:pPr>
              <w:pStyle w:val="11"/>
              <w:spacing w:before="156" w:beforeLines="50" w:after="10"/>
              <w:jc w:val="center"/>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相互关系</w:t>
            </w:r>
          </w:p>
        </w:tc>
      </w:tr>
      <w:tr w14:paraId="2450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A8E4911">
            <w:pPr>
              <w:pStyle w:val="11"/>
              <w:spacing w:before="156" w:beforeLines="50" w:after="10"/>
              <w:jc w:val="center"/>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1</w:t>
            </w:r>
          </w:p>
        </w:tc>
        <w:tc>
          <w:tcPr>
            <w:tcW w:w="2841" w:type="dxa"/>
          </w:tcPr>
          <w:p w14:paraId="23F376D7">
            <w:pPr>
              <w:pStyle w:val="11"/>
              <w:spacing w:before="156" w:beforeLines="50" w:after="10"/>
              <w:jc w:val="center"/>
              <w:rPr>
                <w:rFonts w:hint="eastAsia" w:ascii="仿宋" w:hAnsi="仿宋" w:eastAsia="仿宋" w:cs="仿宋"/>
                <w:color w:val="auto"/>
                <w:kern w:val="0"/>
                <w:sz w:val="24"/>
                <w:highlight w:val="none"/>
                <w:lang w:val="en-US" w:bidi="ar"/>
              </w:rPr>
            </w:pPr>
          </w:p>
        </w:tc>
        <w:tc>
          <w:tcPr>
            <w:tcW w:w="2841" w:type="dxa"/>
          </w:tcPr>
          <w:p w14:paraId="6C5A10B7">
            <w:pPr>
              <w:pStyle w:val="11"/>
              <w:spacing w:before="156" w:beforeLines="50" w:after="10"/>
              <w:jc w:val="center"/>
              <w:rPr>
                <w:rFonts w:hint="eastAsia" w:ascii="仿宋" w:hAnsi="仿宋" w:eastAsia="仿宋" w:cs="仿宋"/>
                <w:color w:val="auto"/>
                <w:kern w:val="0"/>
                <w:sz w:val="24"/>
                <w:highlight w:val="none"/>
                <w:lang w:val="en-US" w:bidi="ar"/>
              </w:rPr>
            </w:pPr>
          </w:p>
        </w:tc>
      </w:tr>
      <w:tr w14:paraId="3258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2DB0AAF">
            <w:pPr>
              <w:pStyle w:val="11"/>
              <w:spacing w:before="156" w:beforeLines="50" w:after="10"/>
              <w:jc w:val="center"/>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2</w:t>
            </w:r>
          </w:p>
        </w:tc>
        <w:tc>
          <w:tcPr>
            <w:tcW w:w="2841" w:type="dxa"/>
          </w:tcPr>
          <w:p w14:paraId="0F8CE56C">
            <w:pPr>
              <w:pStyle w:val="11"/>
              <w:spacing w:before="156" w:beforeLines="50" w:after="10"/>
              <w:jc w:val="center"/>
              <w:rPr>
                <w:rFonts w:hint="eastAsia" w:ascii="仿宋" w:hAnsi="仿宋" w:eastAsia="仿宋" w:cs="仿宋"/>
                <w:color w:val="auto"/>
                <w:kern w:val="0"/>
                <w:sz w:val="24"/>
                <w:highlight w:val="none"/>
                <w:lang w:val="en-US" w:bidi="ar"/>
              </w:rPr>
            </w:pPr>
          </w:p>
        </w:tc>
        <w:tc>
          <w:tcPr>
            <w:tcW w:w="2841" w:type="dxa"/>
          </w:tcPr>
          <w:p w14:paraId="31146592">
            <w:pPr>
              <w:pStyle w:val="11"/>
              <w:spacing w:before="156" w:beforeLines="50" w:after="10"/>
              <w:jc w:val="center"/>
              <w:rPr>
                <w:rFonts w:hint="eastAsia" w:ascii="仿宋" w:hAnsi="仿宋" w:eastAsia="仿宋" w:cs="仿宋"/>
                <w:color w:val="auto"/>
                <w:kern w:val="0"/>
                <w:sz w:val="24"/>
                <w:highlight w:val="none"/>
                <w:lang w:val="en-US" w:bidi="ar"/>
              </w:rPr>
            </w:pPr>
          </w:p>
        </w:tc>
      </w:tr>
    </w:tbl>
    <w:p w14:paraId="3F6B368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29E8111B">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投标人电子签章：</w:t>
      </w:r>
      <w:r>
        <w:rPr>
          <w:rFonts w:hint="eastAsia" w:ascii="仿宋" w:hAnsi="仿宋" w:eastAsia="仿宋" w:cs="仿宋"/>
          <w:color w:val="auto"/>
          <w:sz w:val="24"/>
          <w:highlight w:val="none"/>
          <w:u w:val="single"/>
        </w:rPr>
        <w:t xml:space="preserve">             </w:t>
      </w:r>
    </w:p>
    <w:p w14:paraId="77251062">
      <w:pPr>
        <w:tabs>
          <w:tab w:val="left" w:pos="630"/>
        </w:tabs>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28C73B1A">
      <w:pPr>
        <w:pStyle w:val="11"/>
        <w:rPr>
          <w:rFonts w:hint="eastAsia" w:ascii="仿宋" w:hAnsi="仿宋" w:eastAsia="仿宋" w:cs="仿宋"/>
          <w:color w:val="auto"/>
          <w:kern w:val="0"/>
          <w:sz w:val="24"/>
          <w:highlight w:val="none"/>
          <w:lang w:val="en-US" w:bidi="ar"/>
        </w:rPr>
      </w:pPr>
    </w:p>
    <w:p w14:paraId="5AD3D07F">
      <w:pPr>
        <w:pStyle w:val="11"/>
        <w:rPr>
          <w:rFonts w:hint="eastAsia" w:ascii="仿宋" w:hAnsi="仿宋" w:eastAsia="仿宋" w:cs="仿宋"/>
          <w:color w:val="auto"/>
          <w:kern w:val="0"/>
          <w:sz w:val="24"/>
          <w:highlight w:val="none"/>
          <w:lang w:val="en-US" w:bidi="ar"/>
        </w:rPr>
      </w:pPr>
    </w:p>
    <w:p w14:paraId="13F50D0A">
      <w:pPr>
        <w:pStyle w:val="11"/>
        <w:rPr>
          <w:rFonts w:hint="eastAsia" w:ascii="仿宋" w:hAnsi="仿宋" w:eastAsia="仿宋" w:cs="仿宋"/>
          <w:color w:val="auto"/>
          <w:kern w:val="0"/>
          <w:sz w:val="24"/>
          <w:highlight w:val="none"/>
          <w:lang w:val="en-US" w:bidi="ar"/>
        </w:rPr>
      </w:pPr>
    </w:p>
    <w:p w14:paraId="1982B380">
      <w:pPr>
        <w:rPr>
          <w:rFonts w:hint="eastAsia" w:ascii="仿宋" w:hAnsi="仿宋" w:eastAsia="仿宋" w:cs="仿宋"/>
          <w:b/>
          <w:color w:val="auto"/>
          <w:sz w:val="24"/>
          <w:highlight w:val="none"/>
        </w:rPr>
      </w:pPr>
      <w:bookmarkStart w:id="39" w:name="_Toc11607"/>
      <w:r>
        <w:rPr>
          <w:rFonts w:hint="eastAsia" w:ascii="仿宋" w:hAnsi="仿宋" w:eastAsia="仿宋" w:cs="仿宋"/>
          <w:b/>
          <w:color w:val="auto"/>
          <w:sz w:val="24"/>
          <w:highlight w:val="none"/>
        </w:rPr>
        <w:br w:type="page"/>
      </w:r>
    </w:p>
    <w:p w14:paraId="5D3A8733">
      <w:pPr>
        <w:spacing w:line="360" w:lineRule="auto"/>
        <w:jc w:val="center"/>
        <w:outlineLvl w:val="1"/>
        <w:rPr>
          <w:rFonts w:hint="eastAsia" w:ascii="仿宋" w:hAnsi="仿宋" w:eastAsia="仿宋" w:cs="仿宋"/>
          <w:b/>
          <w:color w:val="auto"/>
          <w:sz w:val="24"/>
          <w:highlight w:val="none"/>
        </w:rPr>
      </w:pPr>
      <w:bookmarkStart w:id="40" w:name="_Toc16960"/>
      <w:r>
        <w:rPr>
          <w:rFonts w:hint="eastAsia" w:ascii="仿宋" w:hAnsi="仿宋" w:eastAsia="仿宋" w:cs="仿宋"/>
          <w:b/>
          <w:color w:val="auto"/>
          <w:sz w:val="24"/>
          <w:highlight w:val="none"/>
        </w:rPr>
        <w:t>四、授权书</w:t>
      </w:r>
      <w:bookmarkEnd w:id="39"/>
      <w:bookmarkEnd w:id="40"/>
    </w:p>
    <w:p w14:paraId="5ECADE29">
      <w:pPr>
        <w:pStyle w:val="16"/>
        <w:snapToGrid w:val="0"/>
        <w:spacing w:line="360" w:lineRule="auto"/>
        <w:ind w:firstLine="480" w:firstLineChars="200"/>
        <w:jc w:val="left"/>
        <w:rPr>
          <w:rFonts w:hint="eastAsia" w:ascii="仿宋" w:hAnsi="仿宋" w:eastAsia="仿宋" w:cs="仿宋"/>
          <w:color w:val="auto"/>
          <w:sz w:val="24"/>
          <w:szCs w:val="28"/>
          <w:highlight w:val="none"/>
        </w:rPr>
      </w:pPr>
    </w:p>
    <w:p w14:paraId="6DEF917B">
      <w:pPr>
        <w:spacing w:line="360" w:lineRule="auto"/>
        <w:ind w:firstLine="435"/>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本</w:t>
      </w:r>
      <w:r>
        <w:rPr>
          <w:rFonts w:hint="eastAsia" w:ascii="仿宋" w:hAnsi="仿宋" w:eastAsia="仿宋" w:cs="仿宋"/>
          <w:color w:val="auto"/>
          <w:sz w:val="24"/>
          <w:highlight w:val="none"/>
        </w:rPr>
        <w:t>授权</w:t>
      </w:r>
      <w:r>
        <w:rPr>
          <w:rFonts w:hint="eastAsia" w:ascii="仿宋" w:hAnsi="仿宋" w:eastAsia="仿宋" w:cs="仿宋"/>
          <w:color w:val="auto"/>
          <w:sz w:val="24"/>
          <w:szCs w:val="28"/>
          <w:highlight w:val="none"/>
        </w:rPr>
        <w:t>书声明：</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（投标人名称）授权</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（投标人授权代表姓名）代表我方参加本项目</w:t>
      </w:r>
      <w:r>
        <w:rPr>
          <w:rFonts w:hint="eastAsia" w:ascii="仿宋" w:hAnsi="仿宋" w:eastAsia="仿宋" w:cs="仿宋"/>
          <w:bCs/>
          <w:color w:val="auto"/>
          <w:sz w:val="24"/>
          <w:szCs w:val="28"/>
          <w:highlight w:val="none"/>
        </w:rPr>
        <w:t>采购活动</w:t>
      </w:r>
      <w:r>
        <w:rPr>
          <w:rFonts w:hint="eastAsia" w:ascii="仿宋" w:hAnsi="仿宋" w:eastAsia="仿宋" w:cs="仿宋"/>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3AB904E">
      <w:pPr>
        <w:spacing w:line="360" w:lineRule="auto"/>
        <w:ind w:firstLine="435"/>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本授权书自出具之日起生效。</w:t>
      </w:r>
    </w:p>
    <w:p w14:paraId="2EC3713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授权</w:t>
      </w:r>
      <w:r>
        <w:rPr>
          <w:rFonts w:hint="eastAsia" w:ascii="仿宋" w:hAnsi="仿宋" w:eastAsia="仿宋" w:cs="仿宋"/>
          <w:color w:val="auto"/>
          <w:sz w:val="24"/>
          <w:highlight w:val="none"/>
        </w:rPr>
        <w:t>代表身份证明扫描件：</w:t>
      </w:r>
    </w:p>
    <w:p w14:paraId="2FD7DAE0">
      <w:pPr>
        <w:spacing w:line="360" w:lineRule="auto"/>
        <w:ind w:firstLine="435"/>
        <w:rPr>
          <w:rFonts w:hint="eastAsia" w:ascii="仿宋" w:hAnsi="仿宋" w:eastAsia="仿宋" w:cs="仿宋"/>
          <w:color w:val="auto"/>
          <w:sz w:val="24"/>
          <w:highlight w:val="none"/>
        </w:rPr>
      </w:pPr>
    </w:p>
    <w:p w14:paraId="3EED6E6D">
      <w:pPr>
        <w:spacing w:line="360" w:lineRule="auto"/>
        <w:ind w:firstLine="435"/>
        <w:rPr>
          <w:rFonts w:hint="eastAsia" w:ascii="仿宋" w:hAnsi="仿宋" w:eastAsia="仿宋" w:cs="仿宋"/>
          <w:color w:val="auto"/>
          <w:sz w:val="24"/>
          <w:highlight w:val="none"/>
        </w:rPr>
      </w:pPr>
    </w:p>
    <w:p w14:paraId="68651A38">
      <w:pPr>
        <w:spacing w:line="360" w:lineRule="auto"/>
        <w:ind w:firstLine="435"/>
        <w:rPr>
          <w:rFonts w:hint="eastAsia" w:ascii="仿宋" w:hAnsi="仿宋" w:eastAsia="仿宋" w:cs="仿宋"/>
          <w:color w:val="auto"/>
          <w:sz w:val="24"/>
          <w:highlight w:val="none"/>
        </w:rPr>
      </w:pPr>
    </w:p>
    <w:p w14:paraId="3F1CAC58">
      <w:pPr>
        <w:spacing w:line="360" w:lineRule="auto"/>
        <w:ind w:firstLine="435"/>
        <w:rPr>
          <w:rFonts w:hint="eastAsia" w:ascii="仿宋" w:hAnsi="仿宋" w:eastAsia="仿宋" w:cs="仿宋"/>
          <w:color w:val="auto"/>
          <w:sz w:val="24"/>
          <w:szCs w:val="28"/>
          <w:highlight w:val="none"/>
          <w:u w:val="single"/>
          <w:lang w:val="zh-CN"/>
        </w:rPr>
      </w:pPr>
      <w:r>
        <w:rPr>
          <w:rFonts w:hint="eastAsia" w:ascii="仿宋" w:hAnsi="仿宋" w:eastAsia="仿宋" w:cs="仿宋"/>
          <w:color w:val="auto"/>
          <w:sz w:val="24"/>
          <w:szCs w:val="28"/>
          <w:highlight w:val="none"/>
        </w:rPr>
        <w:t>授权代表联系方式：</w:t>
      </w:r>
      <w:r>
        <w:rPr>
          <w:rFonts w:hint="eastAsia" w:ascii="仿宋" w:hAnsi="仿宋" w:eastAsia="仿宋" w:cs="仿宋"/>
          <w:color w:val="auto"/>
          <w:sz w:val="24"/>
          <w:szCs w:val="28"/>
          <w:highlight w:val="none"/>
          <w:u w:val="single"/>
        </w:rPr>
        <w:t xml:space="preserve">          （请填写手机号码）</w:t>
      </w:r>
    </w:p>
    <w:p w14:paraId="678EF810">
      <w:pPr>
        <w:spacing w:line="360" w:lineRule="auto"/>
        <w:ind w:firstLine="435"/>
        <w:rPr>
          <w:rFonts w:hint="eastAsia" w:ascii="仿宋" w:hAnsi="仿宋" w:eastAsia="仿宋" w:cs="仿宋"/>
          <w:color w:val="auto"/>
          <w:sz w:val="24"/>
          <w:szCs w:val="28"/>
          <w:highlight w:val="none"/>
          <w:lang w:val="zh-CN"/>
        </w:rPr>
      </w:pPr>
    </w:p>
    <w:p w14:paraId="05D4FCBA">
      <w:pPr>
        <w:spacing w:line="360" w:lineRule="auto"/>
        <w:ind w:firstLine="435"/>
        <w:rPr>
          <w:rFonts w:hint="eastAsia" w:ascii="仿宋" w:hAnsi="仿宋" w:eastAsia="仿宋" w:cs="仿宋"/>
          <w:color w:val="auto"/>
          <w:sz w:val="24"/>
          <w:szCs w:val="28"/>
          <w:highlight w:val="none"/>
        </w:rPr>
      </w:pPr>
      <w:r>
        <w:rPr>
          <w:rFonts w:hint="eastAsia" w:ascii="仿宋" w:hAnsi="仿宋" w:eastAsia="仿宋" w:cs="仿宋"/>
          <w:color w:val="auto"/>
          <w:sz w:val="24"/>
          <w:highlight w:val="none"/>
        </w:rPr>
        <w:t>特此</w:t>
      </w:r>
      <w:r>
        <w:rPr>
          <w:rFonts w:hint="eastAsia" w:ascii="仿宋" w:hAnsi="仿宋" w:eastAsia="仿宋" w:cs="仿宋"/>
          <w:color w:val="auto"/>
          <w:sz w:val="24"/>
          <w:szCs w:val="28"/>
          <w:highlight w:val="none"/>
        </w:rPr>
        <w:t>声明。</w:t>
      </w:r>
    </w:p>
    <w:p w14:paraId="2F7D1CF3">
      <w:pPr>
        <w:spacing w:line="360" w:lineRule="auto"/>
        <w:rPr>
          <w:rFonts w:hint="eastAsia" w:ascii="仿宋" w:hAnsi="仿宋" w:eastAsia="仿宋" w:cs="仿宋"/>
          <w:color w:val="auto"/>
          <w:sz w:val="24"/>
          <w:szCs w:val="28"/>
          <w:highlight w:val="none"/>
        </w:rPr>
      </w:pPr>
    </w:p>
    <w:p w14:paraId="2B028714">
      <w:pPr>
        <w:spacing w:line="360" w:lineRule="auto"/>
        <w:ind w:firstLine="435"/>
        <w:jc w:val="center"/>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 xml:space="preserve">                            投标人电子签章：</w:t>
      </w:r>
      <w:r>
        <w:rPr>
          <w:rFonts w:hint="eastAsia" w:ascii="仿宋" w:hAnsi="仿宋" w:eastAsia="仿宋" w:cs="仿宋"/>
          <w:bCs/>
          <w:color w:val="auto"/>
          <w:sz w:val="24"/>
          <w:szCs w:val="28"/>
          <w:highlight w:val="none"/>
          <w:u w:val="single"/>
        </w:rPr>
        <w:t xml:space="preserve">                    </w:t>
      </w:r>
    </w:p>
    <w:p w14:paraId="545F6D27">
      <w:pPr>
        <w:spacing w:line="360" w:lineRule="auto"/>
        <w:ind w:firstLine="435"/>
        <w:jc w:val="center"/>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日          期：</w:t>
      </w:r>
      <w:r>
        <w:rPr>
          <w:rFonts w:hint="eastAsia" w:ascii="仿宋" w:hAnsi="仿宋" w:eastAsia="仿宋" w:cs="仿宋"/>
          <w:b/>
          <w:bCs/>
          <w:color w:val="auto"/>
          <w:sz w:val="24"/>
          <w:szCs w:val="28"/>
          <w:highlight w:val="none"/>
          <w:u w:val="single"/>
        </w:rPr>
        <w:t xml:space="preserve">                    </w:t>
      </w:r>
    </w:p>
    <w:p w14:paraId="3CB8F68E">
      <w:pPr>
        <w:spacing w:line="360" w:lineRule="auto"/>
        <w:ind w:firstLine="435"/>
        <w:rPr>
          <w:rFonts w:hint="eastAsia" w:ascii="仿宋" w:hAnsi="仿宋" w:eastAsia="仿宋" w:cs="仿宋"/>
          <w:color w:val="auto"/>
          <w:sz w:val="24"/>
          <w:highlight w:val="none"/>
        </w:rPr>
      </w:pPr>
    </w:p>
    <w:p w14:paraId="5E5F5C07">
      <w:pPr>
        <w:spacing w:line="360" w:lineRule="auto"/>
        <w:ind w:firstLine="435"/>
        <w:rPr>
          <w:rFonts w:hint="eastAsia" w:ascii="仿宋" w:hAnsi="仿宋" w:eastAsia="仿宋" w:cs="仿宋"/>
          <w:color w:val="auto"/>
          <w:sz w:val="24"/>
          <w:highlight w:val="none"/>
        </w:rPr>
      </w:pPr>
    </w:p>
    <w:p w14:paraId="5828992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6CE159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1.本项目只允许有唯一的投标人授权代表，提供身份证明扫描件；</w:t>
      </w:r>
    </w:p>
    <w:p w14:paraId="0DD38F0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2.法定代表人参加投标的无需提供授权书，提供身份证明扫描件。</w:t>
      </w:r>
    </w:p>
    <w:p w14:paraId="31B805AD">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B99469D">
      <w:pPr>
        <w:spacing w:line="360" w:lineRule="auto"/>
        <w:jc w:val="center"/>
        <w:outlineLvl w:val="1"/>
        <w:rPr>
          <w:rFonts w:hint="eastAsia" w:ascii="仿宋" w:hAnsi="仿宋" w:eastAsia="仿宋" w:cs="仿宋"/>
          <w:b/>
          <w:color w:val="auto"/>
          <w:sz w:val="24"/>
          <w:highlight w:val="none"/>
        </w:rPr>
      </w:pPr>
      <w:bookmarkStart w:id="41" w:name="_Toc6796"/>
      <w:bookmarkStart w:id="42" w:name="_Toc31991"/>
      <w:r>
        <w:rPr>
          <w:rFonts w:hint="eastAsia" w:ascii="仿宋" w:hAnsi="仿宋" w:eastAsia="仿宋" w:cs="仿宋"/>
          <w:b/>
          <w:color w:val="auto"/>
          <w:sz w:val="24"/>
          <w:highlight w:val="none"/>
        </w:rPr>
        <w:t>五、投标分项报价表</w:t>
      </w:r>
      <w:bookmarkEnd w:id="41"/>
      <w:bookmarkEnd w:id="42"/>
    </w:p>
    <w:p w14:paraId="4E5C8718">
      <w:pPr>
        <w:pStyle w:val="55"/>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5-1货物部分</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69"/>
        <w:gridCol w:w="1169"/>
        <w:gridCol w:w="1315"/>
        <w:gridCol w:w="671"/>
        <w:gridCol w:w="671"/>
        <w:gridCol w:w="944"/>
        <w:gridCol w:w="939"/>
        <w:gridCol w:w="670"/>
      </w:tblGrid>
      <w:tr w14:paraId="4385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14:paraId="003F3C3A">
            <w:pPr>
              <w:pStyle w:val="47"/>
              <w:widowControl w:val="0"/>
              <w:spacing w:before="0" w:beforeAutospacing="0" w:after="0" w:afterAutospacing="0"/>
              <w:rPr>
                <w:rFonts w:hint="eastAsia" w:ascii="仿宋" w:hAnsi="仿宋" w:eastAsia="仿宋" w:cs="仿宋"/>
                <w:bCs w:val="0"/>
                <w:color w:val="auto"/>
                <w:kern w:val="2"/>
                <w:sz w:val="24"/>
                <w:szCs w:val="20"/>
                <w:highlight w:val="none"/>
              </w:rPr>
            </w:pPr>
            <w:r>
              <w:rPr>
                <w:rFonts w:hint="eastAsia" w:ascii="仿宋" w:hAnsi="仿宋" w:eastAsia="仿宋" w:cs="仿宋"/>
                <w:bCs w:val="0"/>
                <w:color w:val="auto"/>
                <w:kern w:val="2"/>
                <w:sz w:val="24"/>
                <w:szCs w:val="20"/>
                <w:highlight w:val="none"/>
              </w:rPr>
              <w:t>序号</w:t>
            </w:r>
          </w:p>
        </w:tc>
        <w:tc>
          <w:tcPr>
            <w:tcW w:w="862" w:type="pct"/>
            <w:vAlign w:val="center"/>
          </w:tcPr>
          <w:p w14:paraId="4A46D26F">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货物名称</w:t>
            </w:r>
          </w:p>
        </w:tc>
        <w:tc>
          <w:tcPr>
            <w:tcW w:w="686" w:type="pct"/>
            <w:vAlign w:val="center"/>
          </w:tcPr>
          <w:p w14:paraId="7E227C63">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品牌、型</w:t>
            </w:r>
          </w:p>
          <w:p w14:paraId="39742F9B">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号规格</w:t>
            </w:r>
          </w:p>
        </w:tc>
        <w:tc>
          <w:tcPr>
            <w:tcW w:w="772" w:type="pct"/>
            <w:vAlign w:val="center"/>
          </w:tcPr>
          <w:p w14:paraId="087856C6">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原产地及</w:t>
            </w:r>
          </w:p>
          <w:p w14:paraId="446472E0">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生产厂商</w:t>
            </w:r>
          </w:p>
        </w:tc>
        <w:tc>
          <w:tcPr>
            <w:tcW w:w="394" w:type="pct"/>
            <w:vAlign w:val="center"/>
          </w:tcPr>
          <w:p w14:paraId="59041F5F">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394" w:type="pct"/>
            <w:vAlign w:val="center"/>
          </w:tcPr>
          <w:p w14:paraId="303BDD05">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551" w:type="pct"/>
            <w:vAlign w:val="center"/>
          </w:tcPr>
          <w:p w14:paraId="75BB200F">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w:t>
            </w:r>
          </w:p>
          <w:p w14:paraId="467D558F">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（元）</w:t>
            </w:r>
          </w:p>
        </w:tc>
        <w:tc>
          <w:tcPr>
            <w:tcW w:w="551" w:type="pct"/>
            <w:vAlign w:val="center"/>
          </w:tcPr>
          <w:p w14:paraId="5FE72D38">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小计</w:t>
            </w:r>
          </w:p>
          <w:p w14:paraId="67E060E3">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（元）</w:t>
            </w:r>
          </w:p>
        </w:tc>
        <w:tc>
          <w:tcPr>
            <w:tcW w:w="393" w:type="pct"/>
            <w:vAlign w:val="center"/>
          </w:tcPr>
          <w:p w14:paraId="207693C1">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4854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vAlign w:val="center"/>
          </w:tcPr>
          <w:p w14:paraId="3D7D27B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862" w:type="pct"/>
            <w:vAlign w:val="center"/>
          </w:tcPr>
          <w:p w14:paraId="783A4B91">
            <w:pPr>
              <w:widowControl/>
              <w:jc w:val="center"/>
              <w:rPr>
                <w:rFonts w:hint="eastAsia" w:ascii="仿宋" w:hAnsi="仿宋" w:eastAsia="仿宋" w:cs="仿宋"/>
                <w:color w:val="auto"/>
                <w:szCs w:val="21"/>
                <w:highlight w:val="none"/>
              </w:rPr>
            </w:pPr>
          </w:p>
        </w:tc>
        <w:tc>
          <w:tcPr>
            <w:tcW w:w="686" w:type="pct"/>
            <w:vAlign w:val="center"/>
          </w:tcPr>
          <w:p w14:paraId="3AD2192B">
            <w:pPr>
              <w:widowControl/>
              <w:spacing w:line="500" w:lineRule="exact"/>
              <w:jc w:val="center"/>
              <w:textAlignment w:val="center"/>
              <w:rPr>
                <w:rFonts w:hint="eastAsia" w:ascii="仿宋" w:hAnsi="仿宋" w:eastAsia="仿宋" w:cs="仿宋"/>
                <w:color w:val="auto"/>
                <w:szCs w:val="21"/>
                <w:highlight w:val="none"/>
              </w:rPr>
            </w:pPr>
          </w:p>
        </w:tc>
        <w:tc>
          <w:tcPr>
            <w:tcW w:w="772" w:type="pct"/>
            <w:vAlign w:val="center"/>
          </w:tcPr>
          <w:p w14:paraId="59874FCE">
            <w:pPr>
              <w:jc w:val="center"/>
              <w:rPr>
                <w:rFonts w:hint="eastAsia" w:ascii="仿宋" w:hAnsi="仿宋" w:eastAsia="仿宋" w:cs="仿宋"/>
                <w:color w:val="auto"/>
                <w:szCs w:val="21"/>
                <w:highlight w:val="none"/>
              </w:rPr>
            </w:pPr>
          </w:p>
        </w:tc>
        <w:tc>
          <w:tcPr>
            <w:tcW w:w="394" w:type="pct"/>
            <w:vAlign w:val="center"/>
          </w:tcPr>
          <w:p w14:paraId="53D51ABF">
            <w:pPr>
              <w:jc w:val="center"/>
              <w:rPr>
                <w:rFonts w:hint="eastAsia" w:ascii="仿宋" w:hAnsi="仿宋" w:eastAsia="仿宋" w:cs="仿宋"/>
                <w:color w:val="auto"/>
                <w:szCs w:val="21"/>
                <w:highlight w:val="none"/>
              </w:rPr>
            </w:pPr>
          </w:p>
        </w:tc>
        <w:tc>
          <w:tcPr>
            <w:tcW w:w="394" w:type="pct"/>
            <w:vAlign w:val="center"/>
          </w:tcPr>
          <w:p w14:paraId="5DC0F91F">
            <w:pPr>
              <w:widowControl/>
              <w:spacing w:line="500" w:lineRule="exact"/>
              <w:jc w:val="center"/>
              <w:textAlignment w:val="center"/>
              <w:rPr>
                <w:rFonts w:hint="eastAsia" w:ascii="仿宋" w:hAnsi="仿宋" w:eastAsia="仿宋" w:cs="仿宋"/>
                <w:color w:val="auto"/>
                <w:szCs w:val="21"/>
                <w:highlight w:val="none"/>
              </w:rPr>
            </w:pPr>
          </w:p>
        </w:tc>
        <w:tc>
          <w:tcPr>
            <w:tcW w:w="551" w:type="pct"/>
          </w:tcPr>
          <w:p w14:paraId="5CAE6735">
            <w:pPr>
              <w:rPr>
                <w:rFonts w:hint="eastAsia" w:ascii="仿宋" w:hAnsi="仿宋" w:eastAsia="仿宋" w:cs="仿宋"/>
                <w:color w:val="auto"/>
                <w:sz w:val="24"/>
                <w:highlight w:val="none"/>
              </w:rPr>
            </w:pPr>
          </w:p>
        </w:tc>
        <w:tc>
          <w:tcPr>
            <w:tcW w:w="551" w:type="pct"/>
          </w:tcPr>
          <w:p w14:paraId="246252C2">
            <w:pPr>
              <w:rPr>
                <w:rFonts w:hint="eastAsia" w:ascii="仿宋" w:hAnsi="仿宋" w:eastAsia="仿宋" w:cs="仿宋"/>
                <w:color w:val="auto"/>
                <w:sz w:val="24"/>
                <w:highlight w:val="none"/>
              </w:rPr>
            </w:pPr>
          </w:p>
        </w:tc>
        <w:tc>
          <w:tcPr>
            <w:tcW w:w="393" w:type="pct"/>
          </w:tcPr>
          <w:p w14:paraId="7CE28C2E">
            <w:pPr>
              <w:rPr>
                <w:rFonts w:hint="eastAsia" w:ascii="仿宋" w:hAnsi="仿宋" w:eastAsia="仿宋" w:cs="仿宋"/>
                <w:color w:val="auto"/>
                <w:sz w:val="24"/>
                <w:highlight w:val="none"/>
              </w:rPr>
            </w:pPr>
          </w:p>
        </w:tc>
      </w:tr>
      <w:tr w14:paraId="03C2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14:paraId="1E4A1C6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862" w:type="pct"/>
            <w:vAlign w:val="center"/>
          </w:tcPr>
          <w:p w14:paraId="0B7F2E0B">
            <w:pPr>
              <w:widowControl/>
              <w:jc w:val="center"/>
              <w:rPr>
                <w:rFonts w:hint="eastAsia" w:ascii="仿宋" w:hAnsi="仿宋" w:eastAsia="仿宋" w:cs="仿宋"/>
                <w:color w:val="auto"/>
                <w:szCs w:val="21"/>
                <w:highlight w:val="none"/>
              </w:rPr>
            </w:pPr>
          </w:p>
        </w:tc>
        <w:tc>
          <w:tcPr>
            <w:tcW w:w="686" w:type="pct"/>
            <w:vAlign w:val="center"/>
          </w:tcPr>
          <w:p w14:paraId="6FC07FC8">
            <w:pPr>
              <w:widowControl/>
              <w:spacing w:line="500" w:lineRule="exact"/>
              <w:jc w:val="center"/>
              <w:textAlignment w:val="center"/>
              <w:rPr>
                <w:rFonts w:hint="eastAsia" w:ascii="仿宋" w:hAnsi="仿宋" w:eastAsia="仿宋" w:cs="仿宋"/>
                <w:color w:val="auto"/>
                <w:szCs w:val="21"/>
                <w:highlight w:val="none"/>
              </w:rPr>
            </w:pPr>
          </w:p>
        </w:tc>
        <w:tc>
          <w:tcPr>
            <w:tcW w:w="772" w:type="pct"/>
            <w:vAlign w:val="center"/>
          </w:tcPr>
          <w:p w14:paraId="441F20C1">
            <w:pPr>
              <w:jc w:val="center"/>
              <w:rPr>
                <w:rFonts w:hint="eastAsia" w:ascii="仿宋" w:hAnsi="仿宋" w:eastAsia="仿宋" w:cs="仿宋"/>
                <w:color w:val="auto"/>
                <w:szCs w:val="21"/>
                <w:highlight w:val="none"/>
              </w:rPr>
            </w:pPr>
          </w:p>
        </w:tc>
        <w:tc>
          <w:tcPr>
            <w:tcW w:w="394" w:type="pct"/>
            <w:vAlign w:val="center"/>
          </w:tcPr>
          <w:p w14:paraId="1DFA5FE0">
            <w:pPr>
              <w:jc w:val="center"/>
              <w:rPr>
                <w:rFonts w:hint="eastAsia" w:ascii="仿宋" w:hAnsi="仿宋" w:eastAsia="仿宋" w:cs="仿宋"/>
                <w:color w:val="auto"/>
                <w:szCs w:val="21"/>
                <w:highlight w:val="none"/>
              </w:rPr>
            </w:pPr>
          </w:p>
        </w:tc>
        <w:tc>
          <w:tcPr>
            <w:tcW w:w="394" w:type="pct"/>
            <w:vAlign w:val="center"/>
          </w:tcPr>
          <w:p w14:paraId="7C00B4BE">
            <w:pPr>
              <w:widowControl/>
              <w:spacing w:line="500" w:lineRule="exact"/>
              <w:jc w:val="center"/>
              <w:textAlignment w:val="center"/>
              <w:rPr>
                <w:rFonts w:hint="eastAsia" w:ascii="仿宋" w:hAnsi="仿宋" w:eastAsia="仿宋" w:cs="仿宋"/>
                <w:color w:val="auto"/>
                <w:szCs w:val="21"/>
                <w:highlight w:val="none"/>
              </w:rPr>
            </w:pPr>
          </w:p>
        </w:tc>
        <w:tc>
          <w:tcPr>
            <w:tcW w:w="551" w:type="pct"/>
          </w:tcPr>
          <w:p w14:paraId="121DA089">
            <w:pPr>
              <w:rPr>
                <w:rFonts w:hint="eastAsia" w:ascii="仿宋" w:hAnsi="仿宋" w:eastAsia="仿宋" w:cs="仿宋"/>
                <w:color w:val="auto"/>
                <w:sz w:val="24"/>
                <w:highlight w:val="none"/>
              </w:rPr>
            </w:pPr>
          </w:p>
        </w:tc>
        <w:tc>
          <w:tcPr>
            <w:tcW w:w="551" w:type="pct"/>
          </w:tcPr>
          <w:p w14:paraId="4FA6DF15">
            <w:pPr>
              <w:rPr>
                <w:rFonts w:hint="eastAsia" w:ascii="仿宋" w:hAnsi="仿宋" w:eastAsia="仿宋" w:cs="仿宋"/>
                <w:color w:val="auto"/>
                <w:sz w:val="24"/>
                <w:highlight w:val="none"/>
              </w:rPr>
            </w:pPr>
          </w:p>
        </w:tc>
        <w:tc>
          <w:tcPr>
            <w:tcW w:w="393" w:type="pct"/>
          </w:tcPr>
          <w:p w14:paraId="05270306">
            <w:pPr>
              <w:rPr>
                <w:rFonts w:hint="eastAsia" w:ascii="仿宋" w:hAnsi="仿宋" w:eastAsia="仿宋" w:cs="仿宋"/>
                <w:color w:val="auto"/>
                <w:sz w:val="24"/>
                <w:highlight w:val="none"/>
              </w:rPr>
            </w:pPr>
          </w:p>
        </w:tc>
      </w:tr>
      <w:tr w14:paraId="464A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vAlign w:val="center"/>
          </w:tcPr>
          <w:p w14:paraId="3304BF5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862" w:type="pct"/>
            <w:vAlign w:val="center"/>
          </w:tcPr>
          <w:p w14:paraId="14E900D3">
            <w:pPr>
              <w:widowControl/>
              <w:jc w:val="center"/>
              <w:rPr>
                <w:rFonts w:hint="eastAsia" w:ascii="仿宋" w:hAnsi="仿宋" w:eastAsia="仿宋" w:cs="仿宋"/>
                <w:color w:val="auto"/>
                <w:szCs w:val="21"/>
                <w:highlight w:val="none"/>
              </w:rPr>
            </w:pPr>
          </w:p>
        </w:tc>
        <w:tc>
          <w:tcPr>
            <w:tcW w:w="686" w:type="pct"/>
            <w:vAlign w:val="center"/>
          </w:tcPr>
          <w:p w14:paraId="1E3CAE02">
            <w:pPr>
              <w:widowControl/>
              <w:spacing w:line="500" w:lineRule="exact"/>
              <w:jc w:val="center"/>
              <w:textAlignment w:val="center"/>
              <w:rPr>
                <w:rFonts w:hint="eastAsia" w:ascii="仿宋" w:hAnsi="仿宋" w:eastAsia="仿宋" w:cs="仿宋"/>
                <w:color w:val="auto"/>
                <w:szCs w:val="21"/>
                <w:highlight w:val="none"/>
              </w:rPr>
            </w:pPr>
          </w:p>
        </w:tc>
        <w:tc>
          <w:tcPr>
            <w:tcW w:w="772" w:type="pct"/>
            <w:vAlign w:val="center"/>
          </w:tcPr>
          <w:p w14:paraId="262539B2">
            <w:pPr>
              <w:jc w:val="center"/>
              <w:rPr>
                <w:rFonts w:hint="eastAsia" w:ascii="仿宋" w:hAnsi="仿宋" w:eastAsia="仿宋" w:cs="仿宋"/>
                <w:color w:val="auto"/>
                <w:szCs w:val="21"/>
                <w:highlight w:val="none"/>
              </w:rPr>
            </w:pPr>
          </w:p>
        </w:tc>
        <w:tc>
          <w:tcPr>
            <w:tcW w:w="394" w:type="pct"/>
            <w:vAlign w:val="center"/>
          </w:tcPr>
          <w:p w14:paraId="1190F567">
            <w:pPr>
              <w:jc w:val="center"/>
              <w:rPr>
                <w:rFonts w:hint="eastAsia" w:ascii="仿宋" w:hAnsi="仿宋" w:eastAsia="仿宋" w:cs="仿宋"/>
                <w:color w:val="auto"/>
                <w:szCs w:val="21"/>
                <w:highlight w:val="none"/>
              </w:rPr>
            </w:pPr>
          </w:p>
        </w:tc>
        <w:tc>
          <w:tcPr>
            <w:tcW w:w="394" w:type="pct"/>
            <w:vAlign w:val="center"/>
          </w:tcPr>
          <w:p w14:paraId="4A91A3E6">
            <w:pPr>
              <w:widowControl/>
              <w:spacing w:line="500" w:lineRule="exact"/>
              <w:jc w:val="center"/>
              <w:textAlignment w:val="center"/>
              <w:rPr>
                <w:rFonts w:hint="eastAsia" w:ascii="仿宋" w:hAnsi="仿宋" w:eastAsia="仿宋" w:cs="仿宋"/>
                <w:color w:val="auto"/>
                <w:szCs w:val="21"/>
                <w:highlight w:val="none"/>
              </w:rPr>
            </w:pPr>
          </w:p>
        </w:tc>
        <w:tc>
          <w:tcPr>
            <w:tcW w:w="551" w:type="pct"/>
          </w:tcPr>
          <w:p w14:paraId="72DB0C22">
            <w:pPr>
              <w:rPr>
                <w:rFonts w:hint="eastAsia" w:ascii="仿宋" w:hAnsi="仿宋" w:eastAsia="仿宋" w:cs="仿宋"/>
                <w:color w:val="auto"/>
                <w:sz w:val="24"/>
                <w:highlight w:val="none"/>
              </w:rPr>
            </w:pPr>
          </w:p>
        </w:tc>
        <w:tc>
          <w:tcPr>
            <w:tcW w:w="551" w:type="pct"/>
          </w:tcPr>
          <w:p w14:paraId="4D43D795">
            <w:pPr>
              <w:rPr>
                <w:rFonts w:hint="eastAsia" w:ascii="仿宋" w:hAnsi="仿宋" w:eastAsia="仿宋" w:cs="仿宋"/>
                <w:color w:val="auto"/>
                <w:sz w:val="24"/>
                <w:highlight w:val="none"/>
              </w:rPr>
            </w:pPr>
          </w:p>
        </w:tc>
        <w:tc>
          <w:tcPr>
            <w:tcW w:w="393" w:type="pct"/>
          </w:tcPr>
          <w:p w14:paraId="5927082F">
            <w:pPr>
              <w:rPr>
                <w:rFonts w:hint="eastAsia" w:ascii="仿宋" w:hAnsi="仿宋" w:eastAsia="仿宋" w:cs="仿宋"/>
                <w:color w:val="auto"/>
                <w:sz w:val="24"/>
                <w:highlight w:val="none"/>
              </w:rPr>
            </w:pPr>
          </w:p>
        </w:tc>
      </w:tr>
      <w:tr w14:paraId="2E15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vAlign w:val="center"/>
          </w:tcPr>
          <w:p w14:paraId="49DCB72D">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862" w:type="pct"/>
            <w:vAlign w:val="center"/>
          </w:tcPr>
          <w:p w14:paraId="5E08D970">
            <w:pPr>
              <w:widowControl/>
              <w:jc w:val="center"/>
              <w:rPr>
                <w:rFonts w:hint="eastAsia" w:ascii="仿宋" w:hAnsi="仿宋" w:eastAsia="仿宋" w:cs="仿宋"/>
                <w:color w:val="auto"/>
                <w:szCs w:val="21"/>
                <w:highlight w:val="none"/>
              </w:rPr>
            </w:pPr>
          </w:p>
        </w:tc>
        <w:tc>
          <w:tcPr>
            <w:tcW w:w="686" w:type="pct"/>
            <w:vAlign w:val="center"/>
          </w:tcPr>
          <w:p w14:paraId="2E9FBEC1">
            <w:pPr>
              <w:widowControl/>
              <w:spacing w:line="500" w:lineRule="exact"/>
              <w:jc w:val="center"/>
              <w:textAlignment w:val="center"/>
              <w:rPr>
                <w:rFonts w:hint="eastAsia" w:ascii="仿宋" w:hAnsi="仿宋" w:eastAsia="仿宋" w:cs="仿宋"/>
                <w:color w:val="auto"/>
                <w:szCs w:val="21"/>
                <w:highlight w:val="none"/>
              </w:rPr>
            </w:pPr>
          </w:p>
        </w:tc>
        <w:tc>
          <w:tcPr>
            <w:tcW w:w="772" w:type="pct"/>
            <w:vAlign w:val="center"/>
          </w:tcPr>
          <w:p w14:paraId="04A57984">
            <w:pPr>
              <w:jc w:val="center"/>
              <w:rPr>
                <w:rFonts w:hint="eastAsia" w:ascii="仿宋" w:hAnsi="仿宋" w:eastAsia="仿宋" w:cs="仿宋"/>
                <w:color w:val="auto"/>
                <w:szCs w:val="21"/>
                <w:highlight w:val="none"/>
              </w:rPr>
            </w:pPr>
          </w:p>
        </w:tc>
        <w:tc>
          <w:tcPr>
            <w:tcW w:w="394" w:type="pct"/>
            <w:vAlign w:val="center"/>
          </w:tcPr>
          <w:p w14:paraId="3B085420">
            <w:pPr>
              <w:jc w:val="center"/>
              <w:rPr>
                <w:rFonts w:hint="eastAsia" w:ascii="仿宋" w:hAnsi="仿宋" w:eastAsia="仿宋" w:cs="仿宋"/>
                <w:color w:val="auto"/>
                <w:szCs w:val="21"/>
                <w:highlight w:val="none"/>
              </w:rPr>
            </w:pPr>
          </w:p>
        </w:tc>
        <w:tc>
          <w:tcPr>
            <w:tcW w:w="394" w:type="pct"/>
            <w:vAlign w:val="center"/>
          </w:tcPr>
          <w:p w14:paraId="3FDA3437">
            <w:pPr>
              <w:widowControl/>
              <w:spacing w:line="500" w:lineRule="exact"/>
              <w:jc w:val="center"/>
              <w:textAlignment w:val="center"/>
              <w:rPr>
                <w:rFonts w:hint="eastAsia" w:ascii="仿宋" w:hAnsi="仿宋" w:eastAsia="仿宋" w:cs="仿宋"/>
                <w:color w:val="auto"/>
                <w:szCs w:val="21"/>
                <w:highlight w:val="none"/>
              </w:rPr>
            </w:pPr>
          </w:p>
        </w:tc>
        <w:tc>
          <w:tcPr>
            <w:tcW w:w="551" w:type="pct"/>
          </w:tcPr>
          <w:p w14:paraId="0569DDF9">
            <w:pPr>
              <w:rPr>
                <w:rFonts w:hint="eastAsia" w:ascii="仿宋" w:hAnsi="仿宋" w:eastAsia="仿宋" w:cs="仿宋"/>
                <w:color w:val="auto"/>
                <w:sz w:val="24"/>
                <w:highlight w:val="none"/>
              </w:rPr>
            </w:pPr>
          </w:p>
        </w:tc>
        <w:tc>
          <w:tcPr>
            <w:tcW w:w="551" w:type="pct"/>
          </w:tcPr>
          <w:p w14:paraId="05EC644C">
            <w:pPr>
              <w:rPr>
                <w:rFonts w:hint="eastAsia" w:ascii="仿宋" w:hAnsi="仿宋" w:eastAsia="仿宋" w:cs="仿宋"/>
                <w:color w:val="auto"/>
                <w:sz w:val="24"/>
                <w:highlight w:val="none"/>
              </w:rPr>
            </w:pPr>
          </w:p>
        </w:tc>
        <w:tc>
          <w:tcPr>
            <w:tcW w:w="393" w:type="pct"/>
          </w:tcPr>
          <w:p w14:paraId="43CD43FD">
            <w:pPr>
              <w:rPr>
                <w:rFonts w:hint="eastAsia" w:ascii="仿宋" w:hAnsi="仿宋" w:eastAsia="仿宋" w:cs="仿宋"/>
                <w:color w:val="auto"/>
                <w:sz w:val="24"/>
                <w:highlight w:val="none"/>
              </w:rPr>
            </w:pPr>
          </w:p>
        </w:tc>
      </w:tr>
      <w:tr w14:paraId="5725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vAlign w:val="center"/>
          </w:tcPr>
          <w:p w14:paraId="101BED42">
            <w:pPr>
              <w:jc w:val="center"/>
              <w:rPr>
                <w:rFonts w:hint="eastAsia" w:ascii="仿宋" w:hAnsi="仿宋" w:eastAsia="仿宋" w:cs="仿宋"/>
                <w:color w:val="auto"/>
                <w:szCs w:val="21"/>
                <w:highlight w:val="none"/>
              </w:rPr>
            </w:pPr>
          </w:p>
        </w:tc>
        <w:tc>
          <w:tcPr>
            <w:tcW w:w="862" w:type="pct"/>
            <w:vAlign w:val="center"/>
          </w:tcPr>
          <w:p w14:paraId="79C4126A">
            <w:pPr>
              <w:widowControl/>
              <w:jc w:val="center"/>
              <w:rPr>
                <w:rFonts w:hint="eastAsia" w:ascii="仿宋" w:hAnsi="仿宋" w:eastAsia="仿宋" w:cs="仿宋"/>
                <w:color w:val="auto"/>
                <w:szCs w:val="21"/>
                <w:highlight w:val="none"/>
              </w:rPr>
            </w:pPr>
          </w:p>
        </w:tc>
        <w:tc>
          <w:tcPr>
            <w:tcW w:w="686" w:type="pct"/>
            <w:vAlign w:val="center"/>
          </w:tcPr>
          <w:p w14:paraId="07358DAF">
            <w:pPr>
              <w:widowControl/>
              <w:spacing w:line="500" w:lineRule="exact"/>
              <w:jc w:val="center"/>
              <w:textAlignment w:val="center"/>
              <w:rPr>
                <w:rFonts w:hint="eastAsia" w:ascii="仿宋" w:hAnsi="仿宋" w:eastAsia="仿宋" w:cs="仿宋"/>
                <w:color w:val="auto"/>
                <w:szCs w:val="21"/>
                <w:highlight w:val="none"/>
              </w:rPr>
            </w:pPr>
          </w:p>
        </w:tc>
        <w:tc>
          <w:tcPr>
            <w:tcW w:w="772" w:type="pct"/>
            <w:vAlign w:val="center"/>
          </w:tcPr>
          <w:p w14:paraId="63D18677">
            <w:pPr>
              <w:jc w:val="center"/>
              <w:rPr>
                <w:rFonts w:hint="eastAsia" w:ascii="仿宋" w:hAnsi="仿宋" w:eastAsia="仿宋" w:cs="仿宋"/>
                <w:color w:val="auto"/>
                <w:szCs w:val="21"/>
                <w:highlight w:val="none"/>
              </w:rPr>
            </w:pPr>
          </w:p>
        </w:tc>
        <w:tc>
          <w:tcPr>
            <w:tcW w:w="394" w:type="pct"/>
            <w:vAlign w:val="center"/>
          </w:tcPr>
          <w:p w14:paraId="414B5CCC">
            <w:pPr>
              <w:jc w:val="center"/>
              <w:rPr>
                <w:rFonts w:hint="eastAsia" w:ascii="仿宋" w:hAnsi="仿宋" w:eastAsia="仿宋" w:cs="仿宋"/>
                <w:color w:val="auto"/>
                <w:szCs w:val="21"/>
                <w:highlight w:val="none"/>
              </w:rPr>
            </w:pPr>
          </w:p>
        </w:tc>
        <w:tc>
          <w:tcPr>
            <w:tcW w:w="394" w:type="pct"/>
            <w:vAlign w:val="center"/>
          </w:tcPr>
          <w:p w14:paraId="477C7F02">
            <w:pPr>
              <w:widowControl/>
              <w:spacing w:line="500" w:lineRule="exact"/>
              <w:jc w:val="center"/>
              <w:textAlignment w:val="center"/>
              <w:rPr>
                <w:rFonts w:hint="eastAsia" w:ascii="仿宋" w:hAnsi="仿宋" w:eastAsia="仿宋" w:cs="仿宋"/>
                <w:color w:val="auto"/>
                <w:szCs w:val="21"/>
                <w:highlight w:val="none"/>
              </w:rPr>
            </w:pPr>
          </w:p>
        </w:tc>
        <w:tc>
          <w:tcPr>
            <w:tcW w:w="551" w:type="pct"/>
          </w:tcPr>
          <w:p w14:paraId="59D09578">
            <w:pPr>
              <w:rPr>
                <w:rFonts w:hint="eastAsia" w:ascii="仿宋" w:hAnsi="仿宋" w:eastAsia="仿宋" w:cs="仿宋"/>
                <w:color w:val="auto"/>
                <w:sz w:val="24"/>
                <w:highlight w:val="none"/>
              </w:rPr>
            </w:pPr>
          </w:p>
        </w:tc>
        <w:tc>
          <w:tcPr>
            <w:tcW w:w="551" w:type="pct"/>
          </w:tcPr>
          <w:p w14:paraId="1BF00A64">
            <w:pPr>
              <w:rPr>
                <w:rFonts w:hint="eastAsia" w:ascii="仿宋" w:hAnsi="仿宋" w:eastAsia="仿宋" w:cs="仿宋"/>
                <w:color w:val="auto"/>
                <w:sz w:val="24"/>
                <w:highlight w:val="none"/>
              </w:rPr>
            </w:pPr>
          </w:p>
        </w:tc>
        <w:tc>
          <w:tcPr>
            <w:tcW w:w="393" w:type="pct"/>
          </w:tcPr>
          <w:p w14:paraId="704B1269">
            <w:pPr>
              <w:rPr>
                <w:rFonts w:hint="eastAsia" w:ascii="仿宋" w:hAnsi="仿宋" w:eastAsia="仿宋" w:cs="仿宋"/>
                <w:color w:val="auto"/>
                <w:sz w:val="24"/>
                <w:highlight w:val="none"/>
              </w:rPr>
            </w:pPr>
          </w:p>
        </w:tc>
      </w:tr>
      <w:tr w14:paraId="4378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5" w:type="pct"/>
            <w:gridSpan w:val="7"/>
            <w:vAlign w:val="center"/>
          </w:tcPr>
          <w:p w14:paraId="59E77140">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合计金额（元）</w:t>
            </w:r>
          </w:p>
        </w:tc>
        <w:tc>
          <w:tcPr>
            <w:tcW w:w="944" w:type="pct"/>
            <w:gridSpan w:val="2"/>
          </w:tcPr>
          <w:p w14:paraId="288CD39B">
            <w:pPr>
              <w:rPr>
                <w:rFonts w:hint="eastAsia" w:ascii="仿宋" w:hAnsi="仿宋" w:eastAsia="仿宋" w:cs="仿宋"/>
                <w:color w:val="auto"/>
                <w:sz w:val="24"/>
                <w:highlight w:val="none"/>
              </w:rPr>
            </w:pPr>
          </w:p>
        </w:tc>
      </w:tr>
    </w:tbl>
    <w:p w14:paraId="5BAA6DFE">
      <w:pPr>
        <w:pStyle w:val="55"/>
        <w:rPr>
          <w:rFonts w:hint="eastAsia" w:ascii="仿宋" w:hAnsi="仿宋" w:eastAsia="仿宋" w:cs="仿宋"/>
          <w:b/>
          <w:bCs/>
          <w:i/>
          <w:iCs/>
          <w:color w:val="auto"/>
          <w:highlight w:val="none"/>
        </w:rPr>
      </w:pPr>
      <w:r>
        <w:rPr>
          <w:rFonts w:hint="eastAsia" w:ascii="仿宋" w:hAnsi="仿宋" w:eastAsia="仿宋" w:cs="仿宋"/>
          <w:b/>
          <w:bCs/>
          <w:color w:val="auto"/>
          <w:highlight w:val="none"/>
        </w:rPr>
        <w:t>5-2服务部分</w:t>
      </w:r>
      <w:r>
        <w:rPr>
          <w:rFonts w:hint="eastAsia" w:ascii="仿宋" w:hAnsi="仿宋" w:eastAsia="仿宋" w:cs="仿宋"/>
          <w:b/>
          <w:bCs/>
          <w:i/>
          <w:iCs/>
          <w:color w:val="auto"/>
          <w:highlight w:val="none"/>
        </w:rPr>
        <w:t>（仅供参考，投标人可自行制作格式）</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6"/>
        <w:gridCol w:w="1699"/>
        <w:gridCol w:w="1566"/>
      </w:tblGrid>
      <w:tr w14:paraId="5B6A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1BEAFEA2">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24" w:type="pct"/>
            <w:vAlign w:val="center"/>
          </w:tcPr>
          <w:p w14:paraId="1B539CEB">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服务内容</w:t>
            </w:r>
          </w:p>
        </w:tc>
        <w:tc>
          <w:tcPr>
            <w:tcW w:w="796" w:type="pct"/>
            <w:vAlign w:val="center"/>
          </w:tcPr>
          <w:p w14:paraId="1F7ED9D0">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w:t>
            </w:r>
          </w:p>
        </w:tc>
        <w:tc>
          <w:tcPr>
            <w:tcW w:w="996" w:type="pct"/>
            <w:vAlign w:val="center"/>
          </w:tcPr>
          <w:p w14:paraId="60A6DC8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w:t>
            </w:r>
          </w:p>
        </w:tc>
        <w:tc>
          <w:tcPr>
            <w:tcW w:w="919" w:type="pct"/>
            <w:vAlign w:val="center"/>
          </w:tcPr>
          <w:p w14:paraId="638D775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小计（元）</w:t>
            </w:r>
          </w:p>
        </w:tc>
      </w:tr>
      <w:tr w14:paraId="1D62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3200E25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824" w:type="pct"/>
            <w:vAlign w:val="center"/>
          </w:tcPr>
          <w:p w14:paraId="2F8877DC">
            <w:pPr>
              <w:jc w:val="center"/>
              <w:rPr>
                <w:rFonts w:hint="eastAsia" w:ascii="仿宋" w:hAnsi="仿宋" w:eastAsia="仿宋" w:cs="仿宋"/>
                <w:color w:val="auto"/>
                <w:sz w:val="24"/>
                <w:highlight w:val="none"/>
              </w:rPr>
            </w:pPr>
          </w:p>
        </w:tc>
        <w:tc>
          <w:tcPr>
            <w:tcW w:w="796" w:type="pct"/>
            <w:vAlign w:val="center"/>
          </w:tcPr>
          <w:p w14:paraId="74D63C25">
            <w:pPr>
              <w:jc w:val="center"/>
              <w:rPr>
                <w:rFonts w:hint="eastAsia" w:ascii="仿宋" w:hAnsi="仿宋" w:eastAsia="仿宋" w:cs="仿宋"/>
                <w:color w:val="auto"/>
                <w:sz w:val="24"/>
                <w:highlight w:val="none"/>
              </w:rPr>
            </w:pPr>
          </w:p>
        </w:tc>
        <w:tc>
          <w:tcPr>
            <w:tcW w:w="996" w:type="pct"/>
            <w:vAlign w:val="center"/>
          </w:tcPr>
          <w:p w14:paraId="3893799C">
            <w:pPr>
              <w:jc w:val="center"/>
              <w:rPr>
                <w:rFonts w:hint="eastAsia" w:ascii="仿宋" w:hAnsi="仿宋" w:eastAsia="仿宋" w:cs="仿宋"/>
                <w:color w:val="auto"/>
                <w:sz w:val="24"/>
                <w:highlight w:val="none"/>
              </w:rPr>
            </w:pPr>
          </w:p>
        </w:tc>
        <w:tc>
          <w:tcPr>
            <w:tcW w:w="919" w:type="pct"/>
            <w:vAlign w:val="center"/>
          </w:tcPr>
          <w:p w14:paraId="2CD4BBC0">
            <w:pPr>
              <w:jc w:val="center"/>
              <w:rPr>
                <w:rFonts w:hint="eastAsia" w:ascii="仿宋" w:hAnsi="仿宋" w:eastAsia="仿宋" w:cs="仿宋"/>
                <w:color w:val="auto"/>
                <w:sz w:val="24"/>
                <w:highlight w:val="none"/>
              </w:rPr>
            </w:pPr>
          </w:p>
        </w:tc>
      </w:tr>
      <w:tr w14:paraId="628C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7093819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824" w:type="pct"/>
            <w:vAlign w:val="center"/>
          </w:tcPr>
          <w:p w14:paraId="0420DA91">
            <w:pPr>
              <w:jc w:val="center"/>
              <w:rPr>
                <w:rFonts w:hint="eastAsia" w:ascii="仿宋" w:hAnsi="仿宋" w:eastAsia="仿宋" w:cs="仿宋"/>
                <w:color w:val="auto"/>
                <w:sz w:val="24"/>
                <w:highlight w:val="none"/>
              </w:rPr>
            </w:pPr>
          </w:p>
        </w:tc>
        <w:tc>
          <w:tcPr>
            <w:tcW w:w="796" w:type="pct"/>
            <w:vAlign w:val="center"/>
          </w:tcPr>
          <w:p w14:paraId="7861C691">
            <w:pPr>
              <w:jc w:val="center"/>
              <w:rPr>
                <w:rFonts w:hint="eastAsia" w:ascii="仿宋" w:hAnsi="仿宋" w:eastAsia="仿宋" w:cs="仿宋"/>
                <w:color w:val="auto"/>
                <w:sz w:val="24"/>
                <w:highlight w:val="none"/>
              </w:rPr>
            </w:pPr>
          </w:p>
        </w:tc>
        <w:tc>
          <w:tcPr>
            <w:tcW w:w="996" w:type="pct"/>
            <w:vAlign w:val="center"/>
          </w:tcPr>
          <w:p w14:paraId="1B17BBF0">
            <w:pPr>
              <w:jc w:val="center"/>
              <w:rPr>
                <w:rFonts w:hint="eastAsia" w:ascii="仿宋" w:hAnsi="仿宋" w:eastAsia="仿宋" w:cs="仿宋"/>
                <w:color w:val="auto"/>
                <w:sz w:val="24"/>
                <w:highlight w:val="none"/>
              </w:rPr>
            </w:pPr>
          </w:p>
        </w:tc>
        <w:tc>
          <w:tcPr>
            <w:tcW w:w="919" w:type="pct"/>
            <w:vAlign w:val="center"/>
          </w:tcPr>
          <w:p w14:paraId="7DA24519">
            <w:pPr>
              <w:jc w:val="center"/>
              <w:rPr>
                <w:rFonts w:hint="eastAsia" w:ascii="仿宋" w:hAnsi="仿宋" w:eastAsia="仿宋" w:cs="仿宋"/>
                <w:color w:val="auto"/>
                <w:sz w:val="24"/>
                <w:highlight w:val="none"/>
              </w:rPr>
            </w:pPr>
          </w:p>
        </w:tc>
      </w:tr>
      <w:tr w14:paraId="3030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2D41FC1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824" w:type="pct"/>
            <w:vAlign w:val="center"/>
          </w:tcPr>
          <w:p w14:paraId="0A4A1355">
            <w:pPr>
              <w:jc w:val="center"/>
              <w:rPr>
                <w:rFonts w:hint="eastAsia" w:ascii="仿宋" w:hAnsi="仿宋" w:eastAsia="仿宋" w:cs="仿宋"/>
                <w:color w:val="auto"/>
                <w:sz w:val="24"/>
                <w:highlight w:val="none"/>
              </w:rPr>
            </w:pPr>
          </w:p>
        </w:tc>
        <w:tc>
          <w:tcPr>
            <w:tcW w:w="796" w:type="pct"/>
            <w:vAlign w:val="center"/>
          </w:tcPr>
          <w:p w14:paraId="573A61DC">
            <w:pPr>
              <w:jc w:val="center"/>
              <w:rPr>
                <w:rFonts w:hint="eastAsia" w:ascii="仿宋" w:hAnsi="仿宋" w:eastAsia="仿宋" w:cs="仿宋"/>
                <w:color w:val="auto"/>
                <w:sz w:val="24"/>
                <w:highlight w:val="none"/>
              </w:rPr>
            </w:pPr>
          </w:p>
        </w:tc>
        <w:tc>
          <w:tcPr>
            <w:tcW w:w="996" w:type="pct"/>
            <w:vAlign w:val="center"/>
          </w:tcPr>
          <w:p w14:paraId="539B8700">
            <w:pPr>
              <w:jc w:val="center"/>
              <w:rPr>
                <w:rFonts w:hint="eastAsia" w:ascii="仿宋" w:hAnsi="仿宋" w:eastAsia="仿宋" w:cs="仿宋"/>
                <w:color w:val="auto"/>
                <w:sz w:val="24"/>
                <w:highlight w:val="none"/>
              </w:rPr>
            </w:pPr>
          </w:p>
        </w:tc>
        <w:tc>
          <w:tcPr>
            <w:tcW w:w="919" w:type="pct"/>
            <w:vAlign w:val="center"/>
          </w:tcPr>
          <w:p w14:paraId="6629A4A9">
            <w:pPr>
              <w:jc w:val="center"/>
              <w:rPr>
                <w:rFonts w:hint="eastAsia" w:ascii="仿宋" w:hAnsi="仿宋" w:eastAsia="仿宋" w:cs="仿宋"/>
                <w:color w:val="auto"/>
                <w:sz w:val="24"/>
                <w:highlight w:val="none"/>
              </w:rPr>
            </w:pPr>
          </w:p>
        </w:tc>
      </w:tr>
      <w:tr w14:paraId="39EE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4C920DB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824" w:type="pct"/>
            <w:vAlign w:val="center"/>
          </w:tcPr>
          <w:p w14:paraId="554988FC">
            <w:pPr>
              <w:jc w:val="center"/>
              <w:rPr>
                <w:rFonts w:hint="eastAsia" w:ascii="仿宋" w:hAnsi="仿宋" w:eastAsia="仿宋" w:cs="仿宋"/>
                <w:color w:val="auto"/>
                <w:sz w:val="24"/>
                <w:highlight w:val="none"/>
              </w:rPr>
            </w:pPr>
          </w:p>
        </w:tc>
        <w:tc>
          <w:tcPr>
            <w:tcW w:w="796" w:type="pct"/>
            <w:vAlign w:val="center"/>
          </w:tcPr>
          <w:p w14:paraId="30286F59">
            <w:pPr>
              <w:jc w:val="center"/>
              <w:rPr>
                <w:rFonts w:hint="eastAsia" w:ascii="仿宋" w:hAnsi="仿宋" w:eastAsia="仿宋" w:cs="仿宋"/>
                <w:color w:val="auto"/>
                <w:sz w:val="24"/>
                <w:highlight w:val="none"/>
              </w:rPr>
            </w:pPr>
          </w:p>
        </w:tc>
        <w:tc>
          <w:tcPr>
            <w:tcW w:w="996" w:type="pct"/>
            <w:vAlign w:val="center"/>
          </w:tcPr>
          <w:p w14:paraId="14E961E7">
            <w:pPr>
              <w:jc w:val="center"/>
              <w:rPr>
                <w:rFonts w:hint="eastAsia" w:ascii="仿宋" w:hAnsi="仿宋" w:eastAsia="仿宋" w:cs="仿宋"/>
                <w:color w:val="auto"/>
                <w:sz w:val="24"/>
                <w:highlight w:val="none"/>
              </w:rPr>
            </w:pPr>
          </w:p>
        </w:tc>
        <w:tc>
          <w:tcPr>
            <w:tcW w:w="919" w:type="pct"/>
            <w:vAlign w:val="center"/>
          </w:tcPr>
          <w:p w14:paraId="21C004F2">
            <w:pPr>
              <w:jc w:val="center"/>
              <w:rPr>
                <w:rFonts w:hint="eastAsia" w:ascii="仿宋" w:hAnsi="仿宋" w:eastAsia="仿宋" w:cs="仿宋"/>
                <w:color w:val="auto"/>
                <w:sz w:val="24"/>
                <w:highlight w:val="none"/>
              </w:rPr>
            </w:pPr>
          </w:p>
        </w:tc>
      </w:tr>
      <w:tr w14:paraId="7A74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6F3AF28F">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合计金额（元）</w:t>
            </w:r>
          </w:p>
        </w:tc>
        <w:tc>
          <w:tcPr>
            <w:tcW w:w="919" w:type="pct"/>
            <w:vAlign w:val="center"/>
          </w:tcPr>
          <w:p w14:paraId="484FB023">
            <w:pPr>
              <w:jc w:val="center"/>
              <w:rPr>
                <w:rFonts w:hint="eastAsia" w:ascii="仿宋" w:hAnsi="仿宋" w:eastAsia="仿宋" w:cs="仿宋"/>
                <w:color w:val="auto"/>
                <w:sz w:val="24"/>
                <w:highlight w:val="none"/>
              </w:rPr>
            </w:pPr>
          </w:p>
        </w:tc>
      </w:tr>
    </w:tbl>
    <w:p w14:paraId="3C8EAF2A">
      <w:pPr>
        <w:spacing w:line="360" w:lineRule="auto"/>
        <w:ind w:firstLine="435"/>
        <w:jc w:val="right"/>
        <w:rPr>
          <w:rFonts w:hint="eastAsia" w:ascii="仿宋" w:hAnsi="仿宋" w:eastAsia="仿宋" w:cs="仿宋"/>
          <w:b/>
          <w:bCs/>
          <w:color w:val="auto"/>
          <w:highlight w:val="none"/>
        </w:rPr>
      </w:pPr>
      <w:r>
        <w:rPr>
          <w:rFonts w:hint="eastAsia" w:ascii="仿宋" w:hAnsi="仿宋" w:eastAsia="仿宋" w:cs="仿宋"/>
          <w:bCs/>
          <w:color w:val="auto"/>
          <w:sz w:val="24"/>
          <w:szCs w:val="28"/>
          <w:highlight w:val="none"/>
          <w:u w:val="single"/>
        </w:rPr>
        <w:t xml:space="preserve">       </w:t>
      </w:r>
    </w:p>
    <w:p w14:paraId="1435DE40">
      <w:pPr>
        <w:pStyle w:val="55"/>
        <w:rPr>
          <w:rFonts w:hint="eastAsia" w:ascii="仿宋" w:hAnsi="仿宋" w:eastAsia="仿宋" w:cs="仿宋"/>
          <w:b/>
          <w:bCs/>
          <w:color w:val="auto"/>
          <w:highlight w:val="none"/>
        </w:rPr>
      </w:pPr>
      <w:r>
        <w:rPr>
          <w:rFonts w:hint="eastAsia" w:ascii="仿宋" w:hAnsi="仿宋" w:eastAsia="仿宋" w:cs="仿宋"/>
          <w:b/>
          <w:bCs/>
          <w:color w:val="auto"/>
          <w:highlight w:val="none"/>
        </w:rPr>
        <w:t>5-3 符合本国产品标准的产品成本之和占比</w:t>
      </w:r>
    </w:p>
    <w:tbl>
      <w:tblPr>
        <w:tblStyle w:val="30"/>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50AD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tcPr>
          <w:p w14:paraId="1F0FA48D">
            <w:pPr>
              <w:spacing w:line="360" w:lineRule="auto"/>
              <w:rPr>
                <w:rFonts w:hint="eastAsia" w:ascii="仿宋" w:hAnsi="仿宋" w:eastAsia="仿宋" w:cs="仿宋"/>
                <w:b/>
                <w:bCs/>
                <w:color w:val="auto"/>
                <w:szCs w:val="21"/>
                <w:highlight w:val="none"/>
              </w:rPr>
            </w:pPr>
            <w:r>
              <w:rPr>
                <w:rFonts w:hint="eastAsia" w:ascii="仿宋" w:hAnsi="仿宋" w:eastAsia="仿宋" w:cs="仿宋"/>
                <w:color w:val="auto"/>
                <w:sz w:val="24"/>
                <w:szCs w:val="24"/>
                <w:highlight w:val="none"/>
              </w:rPr>
              <w:t>本公司（单位）提供的符合本国产品标准的产品成本之和占提供的全部产品成本之和的比例</w:t>
            </w:r>
          </w:p>
        </w:tc>
        <w:tc>
          <w:tcPr>
            <w:tcW w:w="1766" w:type="dxa"/>
          </w:tcPr>
          <w:p w14:paraId="5466FD65">
            <w:pPr>
              <w:spacing w:line="360" w:lineRule="auto"/>
              <w:rPr>
                <w:rFonts w:hint="eastAsia" w:ascii="仿宋" w:hAnsi="仿宋" w:eastAsia="仿宋" w:cs="仿宋"/>
                <w:color w:val="auto"/>
                <w:sz w:val="24"/>
                <w:szCs w:val="24"/>
                <w:highlight w:val="none"/>
                <w:u w:val="single"/>
              </w:rPr>
            </w:pPr>
          </w:p>
          <w:p w14:paraId="59B7C819">
            <w:pPr>
              <w:spacing w:line="360" w:lineRule="auto"/>
              <w:rPr>
                <w:rFonts w:hint="eastAsia" w:ascii="仿宋" w:hAnsi="仿宋" w:eastAsia="仿宋" w:cs="仿宋"/>
                <w:b/>
                <w:bCs/>
                <w:color w:val="auto"/>
                <w:szCs w:val="21"/>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Cs w:val="24"/>
                <w:highlight w:val="none"/>
              </w:rPr>
              <w:t>%</w:t>
            </w:r>
          </w:p>
        </w:tc>
      </w:tr>
      <w:tr w14:paraId="3DCD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tcPr>
          <w:p w14:paraId="0FD3CFA7">
            <w:pPr>
              <w:tabs>
                <w:tab w:val="left" w:pos="4620"/>
              </w:tabs>
              <w:spacing w:line="360" w:lineRule="auto"/>
              <w:jc w:val="lef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提醒：</w:t>
            </w:r>
          </w:p>
          <w:p w14:paraId="40E17859">
            <w:pPr>
              <w:tabs>
                <w:tab w:val="left" w:pos="4620"/>
              </w:tabs>
              <w:spacing w:line="360" w:lineRule="auto"/>
              <w:jc w:val="left"/>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1.投标人为该采购项目或者采购包提供的符合本国产品标准的产品成本之和占该投标人提供的全部产品成本之和的比例达到80%以上时，对该投标人提供的全部产品给予价格评审优惠。</w:t>
            </w:r>
          </w:p>
          <w:p w14:paraId="00F4A315">
            <w:pPr>
              <w:spacing w:line="360" w:lineRule="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6B1EC773">
            <w:pPr>
              <w:spacing w:line="360" w:lineRule="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1"/>
                <w:highlight w:val="none"/>
                <w:lang w:bidi="ar"/>
              </w:rPr>
              <w:t>上表中全部产品成本之和是指表5-1和表5-2包含的全部货物、服务产品成本之和。</w:t>
            </w:r>
          </w:p>
        </w:tc>
      </w:tr>
    </w:tbl>
    <w:p w14:paraId="0B115B3A">
      <w:pPr>
        <w:spacing w:line="360" w:lineRule="auto"/>
        <w:rPr>
          <w:rFonts w:hint="eastAsia" w:ascii="仿宋" w:hAnsi="仿宋" w:eastAsia="仿宋" w:cs="仿宋"/>
          <w:b/>
          <w:bCs/>
          <w:color w:val="auto"/>
          <w:szCs w:val="21"/>
          <w:highlight w:val="none"/>
        </w:rPr>
      </w:pPr>
    </w:p>
    <w:p w14:paraId="6F2F7E05">
      <w:pPr>
        <w:spacing w:line="360" w:lineRule="auto"/>
        <w:ind w:firstLine="4800" w:firstLineChars="2000"/>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投标人电子签章：</w:t>
      </w:r>
      <w:r>
        <w:rPr>
          <w:rFonts w:hint="eastAsia" w:ascii="仿宋" w:hAnsi="仿宋" w:eastAsia="仿宋" w:cs="仿宋"/>
          <w:color w:val="auto"/>
          <w:sz w:val="24"/>
          <w:highlight w:val="none"/>
          <w:u w:val="single"/>
        </w:rPr>
        <w:t xml:space="preserve">             </w:t>
      </w:r>
    </w:p>
    <w:p w14:paraId="75D65ADA">
      <w:pPr>
        <w:tabs>
          <w:tab w:val="left" w:pos="630"/>
        </w:tabs>
        <w:spacing w:line="360" w:lineRule="auto"/>
        <w:ind w:firstLine="4800" w:firstLineChars="20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237924FA">
      <w:pPr>
        <w:spacing w:line="36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w:t>
      </w:r>
    </w:p>
    <w:p w14:paraId="2D65822F">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1.表5-1中须明确列出所投产品的货物名称、品牌、型号规格、原产地及生产厂商，否则可能导致</w:t>
      </w:r>
      <w:r>
        <w:rPr>
          <w:rFonts w:hint="eastAsia" w:ascii="仿宋" w:hAnsi="仿宋" w:eastAsia="仿宋" w:cs="仿宋"/>
          <w:b/>
          <w:bCs/>
          <w:color w:val="auto"/>
          <w:szCs w:val="21"/>
          <w:highlight w:val="none"/>
        </w:rPr>
        <w:t>投标无效。</w:t>
      </w:r>
    </w:p>
    <w:p w14:paraId="4DB4D73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2.上述报价为投标人完成本项目内容的全部费用（总报价为表5-1和表5-2合计金额之和），如有漏项或缺项，自行承担全部责任。</w:t>
      </w:r>
    </w:p>
    <w:p w14:paraId="70FC8F95">
      <w:pPr>
        <w:pStyle w:val="2"/>
        <w:ind w:left="0" w:leftChars="0" w:firstLine="0" w:firstLineChars="0"/>
        <w:rPr>
          <w:rFonts w:hint="default" w:eastAsia="仿宋"/>
          <w:b/>
          <w:bCs/>
          <w:color w:val="auto"/>
          <w:highlight w:val="none"/>
          <w:lang w:val="en-US" w:eastAsia="zh-CN"/>
        </w:rPr>
      </w:pPr>
      <w:r>
        <w:rPr>
          <w:rFonts w:hint="eastAsia" w:ascii="仿宋" w:hAnsi="仿宋" w:eastAsia="仿宋" w:cs="仿宋"/>
          <w:b/>
          <w:bCs/>
          <w:color w:val="auto"/>
          <w:szCs w:val="21"/>
          <w:highlight w:val="none"/>
          <w:lang w:val="en-US" w:eastAsia="zh-CN"/>
        </w:rPr>
        <w:t>3.投标人投标报价单价不得超过市直机关单位通用办公资产（办公家具）配置标准表中表二相对应的价格（按科级及以下报价），超过按无效标处理。未列明的投标人自行报价，市直机关单位通用办公资产（办公家具）配置标准表详见附件。</w:t>
      </w:r>
    </w:p>
    <w:p w14:paraId="38C0744F">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31F33EA">
      <w:pPr>
        <w:spacing w:line="360" w:lineRule="auto"/>
        <w:jc w:val="center"/>
        <w:outlineLvl w:val="1"/>
        <w:rPr>
          <w:rFonts w:hint="eastAsia" w:ascii="仿宋" w:hAnsi="仿宋" w:eastAsia="仿宋" w:cs="仿宋"/>
          <w:b/>
          <w:color w:val="auto"/>
          <w:sz w:val="24"/>
          <w:highlight w:val="none"/>
        </w:rPr>
      </w:pPr>
      <w:bookmarkStart w:id="43" w:name="_Toc11940"/>
      <w:bookmarkStart w:id="44" w:name="_Toc20329"/>
      <w:r>
        <w:rPr>
          <w:rFonts w:hint="eastAsia" w:ascii="仿宋" w:hAnsi="仿宋" w:eastAsia="仿宋" w:cs="仿宋"/>
          <w:b/>
          <w:color w:val="auto"/>
          <w:sz w:val="24"/>
          <w:highlight w:val="none"/>
        </w:rPr>
        <w:t>六、投标响应表</w:t>
      </w:r>
      <w:bookmarkEnd w:id="43"/>
      <w:bookmarkEnd w:id="44"/>
    </w:p>
    <w:p w14:paraId="60545A48">
      <w:pPr>
        <w:spacing w:line="360" w:lineRule="auto"/>
        <w:ind w:firstLine="435"/>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6.1商务响应表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400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4ABE961">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124" w:type="pct"/>
            <w:vAlign w:val="center"/>
          </w:tcPr>
          <w:p w14:paraId="1230C176">
            <w:pPr>
              <w:pStyle w:val="16"/>
              <w:jc w:val="center"/>
              <w:rPr>
                <w:rFonts w:hint="eastAsia" w:ascii="仿宋" w:hAnsi="仿宋" w:eastAsia="仿宋" w:cs="仿宋"/>
                <w:b/>
                <w:color w:val="auto"/>
                <w:sz w:val="24"/>
                <w:highlight w:val="none"/>
              </w:rPr>
            </w:pPr>
            <w:r>
              <w:rPr>
                <w:rFonts w:hint="eastAsia" w:ascii="仿宋" w:hAnsi="仿宋" w:eastAsia="仿宋" w:cs="仿宋"/>
                <w:b/>
                <w:bCs/>
                <w:color w:val="auto"/>
                <w:sz w:val="24"/>
                <w:szCs w:val="24"/>
                <w:highlight w:val="none"/>
              </w:rPr>
              <w:t>商务条款</w:t>
            </w:r>
          </w:p>
        </w:tc>
        <w:tc>
          <w:tcPr>
            <w:tcW w:w="1465" w:type="pct"/>
            <w:vAlign w:val="center"/>
          </w:tcPr>
          <w:p w14:paraId="6D79F899">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招标文件要求</w:t>
            </w:r>
          </w:p>
        </w:tc>
        <w:tc>
          <w:tcPr>
            <w:tcW w:w="1510" w:type="pct"/>
            <w:vAlign w:val="center"/>
          </w:tcPr>
          <w:p w14:paraId="0CA330A3">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投标人承诺</w:t>
            </w:r>
          </w:p>
        </w:tc>
        <w:tc>
          <w:tcPr>
            <w:tcW w:w="475" w:type="pct"/>
            <w:vAlign w:val="center"/>
          </w:tcPr>
          <w:p w14:paraId="14665152">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偏离说明</w:t>
            </w:r>
          </w:p>
        </w:tc>
      </w:tr>
      <w:tr w14:paraId="376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9C20A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124" w:type="pct"/>
            <w:vAlign w:val="center"/>
          </w:tcPr>
          <w:p w14:paraId="7A9FD59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1465" w:type="pct"/>
            <w:vAlign w:val="center"/>
          </w:tcPr>
          <w:p w14:paraId="6E262DB8">
            <w:pPr>
              <w:jc w:val="center"/>
              <w:rPr>
                <w:rFonts w:hint="eastAsia" w:ascii="仿宋" w:hAnsi="仿宋" w:eastAsia="仿宋" w:cs="仿宋"/>
                <w:color w:val="auto"/>
                <w:sz w:val="24"/>
                <w:highlight w:val="none"/>
              </w:rPr>
            </w:pPr>
          </w:p>
        </w:tc>
        <w:tc>
          <w:tcPr>
            <w:tcW w:w="1510" w:type="pct"/>
            <w:vAlign w:val="center"/>
          </w:tcPr>
          <w:p w14:paraId="6FC69904">
            <w:pPr>
              <w:jc w:val="center"/>
              <w:rPr>
                <w:rFonts w:hint="eastAsia" w:ascii="仿宋" w:hAnsi="仿宋" w:eastAsia="仿宋" w:cs="仿宋"/>
                <w:color w:val="auto"/>
                <w:sz w:val="24"/>
                <w:highlight w:val="none"/>
              </w:rPr>
            </w:pPr>
          </w:p>
        </w:tc>
        <w:tc>
          <w:tcPr>
            <w:tcW w:w="475" w:type="pct"/>
            <w:vAlign w:val="center"/>
          </w:tcPr>
          <w:p w14:paraId="5AAEF47D">
            <w:pPr>
              <w:jc w:val="center"/>
              <w:rPr>
                <w:rFonts w:hint="eastAsia" w:ascii="仿宋" w:hAnsi="仿宋" w:eastAsia="仿宋" w:cs="仿宋"/>
                <w:color w:val="auto"/>
                <w:sz w:val="24"/>
                <w:highlight w:val="none"/>
              </w:rPr>
            </w:pPr>
          </w:p>
        </w:tc>
      </w:tr>
      <w:tr w14:paraId="3CDA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AE03F0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124" w:type="pct"/>
            <w:vAlign w:val="center"/>
          </w:tcPr>
          <w:p w14:paraId="7AF7A0B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供货及安装地点</w:t>
            </w:r>
          </w:p>
        </w:tc>
        <w:tc>
          <w:tcPr>
            <w:tcW w:w="1465" w:type="pct"/>
            <w:vAlign w:val="center"/>
          </w:tcPr>
          <w:p w14:paraId="77DF16E7">
            <w:pPr>
              <w:jc w:val="center"/>
              <w:rPr>
                <w:rFonts w:hint="eastAsia" w:ascii="仿宋" w:hAnsi="仿宋" w:eastAsia="仿宋" w:cs="仿宋"/>
                <w:color w:val="auto"/>
                <w:sz w:val="24"/>
                <w:highlight w:val="none"/>
              </w:rPr>
            </w:pPr>
          </w:p>
        </w:tc>
        <w:tc>
          <w:tcPr>
            <w:tcW w:w="1510" w:type="pct"/>
            <w:vAlign w:val="center"/>
          </w:tcPr>
          <w:p w14:paraId="0E0D6ABD">
            <w:pPr>
              <w:jc w:val="center"/>
              <w:rPr>
                <w:rFonts w:hint="eastAsia" w:ascii="仿宋" w:hAnsi="仿宋" w:eastAsia="仿宋" w:cs="仿宋"/>
                <w:color w:val="auto"/>
                <w:sz w:val="24"/>
                <w:highlight w:val="none"/>
              </w:rPr>
            </w:pPr>
          </w:p>
        </w:tc>
        <w:tc>
          <w:tcPr>
            <w:tcW w:w="475" w:type="pct"/>
            <w:vAlign w:val="center"/>
          </w:tcPr>
          <w:p w14:paraId="775A1929">
            <w:pPr>
              <w:jc w:val="center"/>
              <w:rPr>
                <w:rFonts w:hint="eastAsia" w:ascii="仿宋" w:hAnsi="仿宋" w:eastAsia="仿宋" w:cs="仿宋"/>
                <w:color w:val="auto"/>
                <w:sz w:val="24"/>
                <w:highlight w:val="none"/>
              </w:rPr>
            </w:pPr>
          </w:p>
        </w:tc>
      </w:tr>
      <w:tr w14:paraId="1064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452FD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124" w:type="pct"/>
            <w:vAlign w:val="center"/>
          </w:tcPr>
          <w:p w14:paraId="17A40AF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供货及安装期限</w:t>
            </w:r>
          </w:p>
        </w:tc>
        <w:tc>
          <w:tcPr>
            <w:tcW w:w="1465" w:type="pct"/>
            <w:vAlign w:val="center"/>
          </w:tcPr>
          <w:p w14:paraId="71E6DBB4">
            <w:pPr>
              <w:jc w:val="center"/>
              <w:rPr>
                <w:rFonts w:hint="eastAsia" w:ascii="仿宋" w:hAnsi="仿宋" w:eastAsia="仿宋" w:cs="仿宋"/>
                <w:color w:val="auto"/>
                <w:sz w:val="24"/>
                <w:highlight w:val="none"/>
              </w:rPr>
            </w:pPr>
          </w:p>
        </w:tc>
        <w:tc>
          <w:tcPr>
            <w:tcW w:w="1510" w:type="pct"/>
            <w:vAlign w:val="center"/>
          </w:tcPr>
          <w:p w14:paraId="25E70A33">
            <w:pPr>
              <w:pStyle w:val="55"/>
              <w:jc w:val="center"/>
              <w:rPr>
                <w:rFonts w:hint="eastAsia" w:ascii="仿宋" w:hAnsi="仿宋" w:eastAsia="仿宋" w:cs="仿宋"/>
                <w:color w:val="auto"/>
                <w:highlight w:val="none"/>
              </w:rPr>
            </w:pPr>
          </w:p>
        </w:tc>
        <w:tc>
          <w:tcPr>
            <w:tcW w:w="475" w:type="pct"/>
            <w:vAlign w:val="center"/>
          </w:tcPr>
          <w:p w14:paraId="36AA3544">
            <w:pPr>
              <w:jc w:val="center"/>
              <w:rPr>
                <w:rFonts w:hint="eastAsia" w:ascii="仿宋" w:hAnsi="仿宋" w:eastAsia="仿宋" w:cs="仿宋"/>
                <w:color w:val="auto"/>
                <w:sz w:val="24"/>
                <w:highlight w:val="none"/>
              </w:rPr>
            </w:pPr>
          </w:p>
        </w:tc>
      </w:tr>
      <w:tr w14:paraId="3F95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8C371D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124" w:type="pct"/>
            <w:vAlign w:val="center"/>
          </w:tcPr>
          <w:p w14:paraId="55F5B9D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免费质保期</w:t>
            </w:r>
          </w:p>
        </w:tc>
        <w:tc>
          <w:tcPr>
            <w:tcW w:w="1465" w:type="pct"/>
            <w:vAlign w:val="center"/>
          </w:tcPr>
          <w:p w14:paraId="0084D77A">
            <w:pPr>
              <w:jc w:val="center"/>
              <w:rPr>
                <w:rFonts w:hint="eastAsia" w:ascii="仿宋" w:hAnsi="仿宋" w:eastAsia="仿宋" w:cs="仿宋"/>
                <w:color w:val="auto"/>
                <w:sz w:val="24"/>
                <w:highlight w:val="none"/>
              </w:rPr>
            </w:pPr>
          </w:p>
        </w:tc>
        <w:tc>
          <w:tcPr>
            <w:tcW w:w="1510" w:type="pct"/>
            <w:vAlign w:val="center"/>
          </w:tcPr>
          <w:p w14:paraId="0C6F9F95">
            <w:pPr>
              <w:jc w:val="center"/>
              <w:rPr>
                <w:rFonts w:hint="eastAsia" w:ascii="仿宋" w:hAnsi="仿宋" w:eastAsia="仿宋" w:cs="仿宋"/>
                <w:color w:val="auto"/>
                <w:sz w:val="24"/>
                <w:highlight w:val="none"/>
              </w:rPr>
            </w:pPr>
          </w:p>
        </w:tc>
        <w:tc>
          <w:tcPr>
            <w:tcW w:w="475" w:type="pct"/>
            <w:vAlign w:val="center"/>
          </w:tcPr>
          <w:p w14:paraId="17410CF9">
            <w:pPr>
              <w:jc w:val="center"/>
              <w:rPr>
                <w:rFonts w:hint="eastAsia" w:ascii="仿宋" w:hAnsi="仿宋" w:eastAsia="仿宋" w:cs="仿宋"/>
                <w:color w:val="auto"/>
                <w:sz w:val="24"/>
                <w:highlight w:val="none"/>
              </w:rPr>
            </w:pPr>
          </w:p>
        </w:tc>
      </w:tr>
      <w:tr w14:paraId="5065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DED59A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124" w:type="pct"/>
            <w:vAlign w:val="center"/>
          </w:tcPr>
          <w:p w14:paraId="1B57F20A">
            <w:pPr>
              <w:jc w:val="center"/>
              <w:rPr>
                <w:rFonts w:hint="eastAsia" w:ascii="仿宋" w:hAnsi="仿宋" w:eastAsia="仿宋" w:cs="仿宋"/>
                <w:color w:val="auto"/>
                <w:sz w:val="24"/>
                <w:highlight w:val="none"/>
              </w:rPr>
            </w:pPr>
          </w:p>
        </w:tc>
        <w:tc>
          <w:tcPr>
            <w:tcW w:w="1465" w:type="pct"/>
            <w:vAlign w:val="center"/>
          </w:tcPr>
          <w:p w14:paraId="71E1EDB8">
            <w:pPr>
              <w:jc w:val="center"/>
              <w:rPr>
                <w:rFonts w:hint="eastAsia" w:ascii="仿宋" w:hAnsi="仿宋" w:eastAsia="仿宋" w:cs="仿宋"/>
                <w:color w:val="auto"/>
                <w:sz w:val="24"/>
                <w:highlight w:val="none"/>
              </w:rPr>
            </w:pPr>
          </w:p>
        </w:tc>
        <w:tc>
          <w:tcPr>
            <w:tcW w:w="1510" w:type="pct"/>
            <w:vAlign w:val="center"/>
          </w:tcPr>
          <w:p w14:paraId="68F41E27">
            <w:pPr>
              <w:jc w:val="center"/>
              <w:rPr>
                <w:rFonts w:hint="eastAsia" w:ascii="仿宋" w:hAnsi="仿宋" w:eastAsia="仿宋" w:cs="仿宋"/>
                <w:color w:val="auto"/>
                <w:sz w:val="24"/>
                <w:highlight w:val="none"/>
              </w:rPr>
            </w:pPr>
          </w:p>
        </w:tc>
        <w:tc>
          <w:tcPr>
            <w:tcW w:w="475" w:type="pct"/>
            <w:vAlign w:val="center"/>
          </w:tcPr>
          <w:p w14:paraId="6A26CFDE">
            <w:pPr>
              <w:jc w:val="center"/>
              <w:rPr>
                <w:rFonts w:hint="eastAsia" w:ascii="仿宋" w:hAnsi="仿宋" w:eastAsia="仿宋" w:cs="仿宋"/>
                <w:color w:val="auto"/>
                <w:sz w:val="24"/>
                <w:highlight w:val="none"/>
              </w:rPr>
            </w:pPr>
          </w:p>
        </w:tc>
      </w:tr>
    </w:tbl>
    <w:p w14:paraId="0326C7AE">
      <w:pPr>
        <w:spacing w:line="360" w:lineRule="auto"/>
        <w:ind w:firstLine="435"/>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6.2技术响应表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6FFE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CD8E19A">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915" w:type="pct"/>
            <w:vAlign w:val="center"/>
          </w:tcPr>
          <w:p w14:paraId="696A1CD5">
            <w:pPr>
              <w:pStyle w:val="16"/>
              <w:jc w:val="center"/>
              <w:rPr>
                <w:rFonts w:hint="eastAsia" w:ascii="仿宋" w:hAnsi="仿宋" w:eastAsia="仿宋" w:cs="仿宋"/>
                <w:b/>
                <w:color w:val="auto"/>
                <w:sz w:val="24"/>
                <w:highlight w:val="none"/>
              </w:rPr>
            </w:pPr>
            <w:r>
              <w:rPr>
                <w:rFonts w:hint="eastAsia" w:ascii="仿宋" w:hAnsi="仿宋" w:eastAsia="仿宋" w:cs="仿宋"/>
                <w:b/>
                <w:bCs/>
                <w:color w:val="auto"/>
                <w:sz w:val="24"/>
                <w:szCs w:val="24"/>
                <w:highlight w:val="none"/>
              </w:rPr>
              <w:t>货物名称</w:t>
            </w:r>
          </w:p>
        </w:tc>
        <w:tc>
          <w:tcPr>
            <w:tcW w:w="1680" w:type="pct"/>
            <w:vAlign w:val="center"/>
          </w:tcPr>
          <w:p w14:paraId="0FE4E1BE">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招标文件规定的技术参数及要求</w:t>
            </w:r>
          </w:p>
        </w:tc>
        <w:tc>
          <w:tcPr>
            <w:tcW w:w="1456" w:type="pct"/>
            <w:vAlign w:val="center"/>
          </w:tcPr>
          <w:p w14:paraId="4D741DAC">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所投产品的品牌、型号及技术参数</w:t>
            </w:r>
          </w:p>
        </w:tc>
        <w:tc>
          <w:tcPr>
            <w:tcW w:w="502" w:type="pct"/>
            <w:vAlign w:val="center"/>
          </w:tcPr>
          <w:p w14:paraId="15765A46">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偏离说明</w:t>
            </w:r>
          </w:p>
        </w:tc>
      </w:tr>
      <w:tr w14:paraId="626E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46" w:type="pct"/>
            <w:vAlign w:val="center"/>
          </w:tcPr>
          <w:p w14:paraId="6A085E4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15" w:type="pct"/>
            <w:vAlign w:val="center"/>
          </w:tcPr>
          <w:p w14:paraId="2396BFF0">
            <w:pPr>
              <w:jc w:val="center"/>
              <w:rPr>
                <w:rFonts w:hint="eastAsia" w:ascii="仿宋" w:hAnsi="仿宋" w:eastAsia="仿宋" w:cs="仿宋"/>
                <w:color w:val="auto"/>
                <w:sz w:val="24"/>
                <w:highlight w:val="none"/>
              </w:rPr>
            </w:pPr>
          </w:p>
        </w:tc>
        <w:tc>
          <w:tcPr>
            <w:tcW w:w="1680" w:type="pct"/>
            <w:vAlign w:val="center"/>
          </w:tcPr>
          <w:p w14:paraId="6EFDFE4B">
            <w:pPr>
              <w:jc w:val="center"/>
              <w:rPr>
                <w:rFonts w:hint="eastAsia" w:ascii="仿宋" w:hAnsi="仿宋" w:eastAsia="仿宋" w:cs="仿宋"/>
                <w:color w:val="auto"/>
                <w:sz w:val="24"/>
                <w:highlight w:val="none"/>
              </w:rPr>
            </w:pPr>
          </w:p>
        </w:tc>
        <w:tc>
          <w:tcPr>
            <w:tcW w:w="1456" w:type="pct"/>
            <w:vAlign w:val="center"/>
          </w:tcPr>
          <w:p w14:paraId="5202C1DE">
            <w:pPr>
              <w:jc w:val="center"/>
              <w:rPr>
                <w:rFonts w:hint="eastAsia" w:ascii="仿宋" w:hAnsi="仿宋" w:eastAsia="仿宋" w:cs="仿宋"/>
                <w:color w:val="auto"/>
                <w:sz w:val="24"/>
                <w:highlight w:val="none"/>
              </w:rPr>
            </w:pPr>
          </w:p>
        </w:tc>
        <w:tc>
          <w:tcPr>
            <w:tcW w:w="502" w:type="pct"/>
            <w:vAlign w:val="center"/>
          </w:tcPr>
          <w:p w14:paraId="7DDEA4EC">
            <w:pPr>
              <w:jc w:val="center"/>
              <w:rPr>
                <w:rFonts w:hint="eastAsia" w:ascii="仿宋" w:hAnsi="仿宋" w:eastAsia="仿宋" w:cs="仿宋"/>
                <w:color w:val="auto"/>
                <w:sz w:val="24"/>
                <w:highlight w:val="none"/>
              </w:rPr>
            </w:pPr>
          </w:p>
        </w:tc>
      </w:tr>
      <w:tr w14:paraId="15D3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FE78BD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915" w:type="pct"/>
            <w:vAlign w:val="center"/>
          </w:tcPr>
          <w:p w14:paraId="7B0BE345">
            <w:pPr>
              <w:jc w:val="center"/>
              <w:rPr>
                <w:rFonts w:hint="eastAsia" w:ascii="仿宋" w:hAnsi="仿宋" w:eastAsia="仿宋" w:cs="仿宋"/>
                <w:color w:val="auto"/>
                <w:sz w:val="24"/>
                <w:highlight w:val="none"/>
              </w:rPr>
            </w:pPr>
          </w:p>
        </w:tc>
        <w:tc>
          <w:tcPr>
            <w:tcW w:w="1680" w:type="pct"/>
            <w:vAlign w:val="center"/>
          </w:tcPr>
          <w:p w14:paraId="690F17D4">
            <w:pPr>
              <w:jc w:val="center"/>
              <w:rPr>
                <w:rFonts w:hint="eastAsia" w:ascii="仿宋" w:hAnsi="仿宋" w:eastAsia="仿宋" w:cs="仿宋"/>
                <w:color w:val="auto"/>
                <w:sz w:val="24"/>
                <w:highlight w:val="none"/>
              </w:rPr>
            </w:pPr>
          </w:p>
        </w:tc>
        <w:tc>
          <w:tcPr>
            <w:tcW w:w="1456" w:type="pct"/>
            <w:vAlign w:val="center"/>
          </w:tcPr>
          <w:p w14:paraId="019CEEC7">
            <w:pPr>
              <w:jc w:val="center"/>
              <w:rPr>
                <w:rFonts w:hint="eastAsia" w:ascii="仿宋" w:hAnsi="仿宋" w:eastAsia="仿宋" w:cs="仿宋"/>
                <w:color w:val="auto"/>
                <w:sz w:val="24"/>
                <w:highlight w:val="none"/>
              </w:rPr>
            </w:pPr>
          </w:p>
        </w:tc>
        <w:tc>
          <w:tcPr>
            <w:tcW w:w="502" w:type="pct"/>
            <w:vAlign w:val="center"/>
          </w:tcPr>
          <w:p w14:paraId="21CD2C8B">
            <w:pPr>
              <w:jc w:val="center"/>
              <w:rPr>
                <w:rFonts w:hint="eastAsia" w:ascii="仿宋" w:hAnsi="仿宋" w:eastAsia="仿宋" w:cs="仿宋"/>
                <w:color w:val="auto"/>
                <w:sz w:val="24"/>
                <w:highlight w:val="none"/>
              </w:rPr>
            </w:pPr>
          </w:p>
        </w:tc>
      </w:tr>
      <w:tr w14:paraId="24D7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A12308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915" w:type="pct"/>
            <w:vAlign w:val="center"/>
          </w:tcPr>
          <w:p w14:paraId="1E932CC7">
            <w:pPr>
              <w:jc w:val="center"/>
              <w:rPr>
                <w:rFonts w:hint="eastAsia" w:ascii="仿宋" w:hAnsi="仿宋" w:eastAsia="仿宋" w:cs="仿宋"/>
                <w:color w:val="auto"/>
                <w:sz w:val="24"/>
                <w:highlight w:val="none"/>
              </w:rPr>
            </w:pPr>
          </w:p>
        </w:tc>
        <w:tc>
          <w:tcPr>
            <w:tcW w:w="1680" w:type="pct"/>
            <w:vAlign w:val="center"/>
          </w:tcPr>
          <w:p w14:paraId="2397213C">
            <w:pPr>
              <w:jc w:val="center"/>
              <w:rPr>
                <w:rFonts w:hint="eastAsia" w:ascii="仿宋" w:hAnsi="仿宋" w:eastAsia="仿宋" w:cs="仿宋"/>
                <w:color w:val="auto"/>
                <w:sz w:val="24"/>
                <w:highlight w:val="none"/>
              </w:rPr>
            </w:pPr>
          </w:p>
        </w:tc>
        <w:tc>
          <w:tcPr>
            <w:tcW w:w="1456" w:type="pct"/>
            <w:vAlign w:val="center"/>
          </w:tcPr>
          <w:p w14:paraId="1E591C39">
            <w:pPr>
              <w:pStyle w:val="55"/>
              <w:jc w:val="center"/>
              <w:rPr>
                <w:rFonts w:hint="eastAsia" w:ascii="仿宋" w:hAnsi="仿宋" w:eastAsia="仿宋" w:cs="仿宋"/>
                <w:color w:val="auto"/>
                <w:highlight w:val="none"/>
              </w:rPr>
            </w:pPr>
          </w:p>
        </w:tc>
        <w:tc>
          <w:tcPr>
            <w:tcW w:w="502" w:type="pct"/>
            <w:vAlign w:val="center"/>
          </w:tcPr>
          <w:p w14:paraId="28B1F849">
            <w:pPr>
              <w:jc w:val="center"/>
              <w:rPr>
                <w:rFonts w:hint="eastAsia" w:ascii="仿宋" w:hAnsi="仿宋" w:eastAsia="仿宋" w:cs="仿宋"/>
                <w:color w:val="auto"/>
                <w:sz w:val="24"/>
                <w:highlight w:val="none"/>
              </w:rPr>
            </w:pPr>
          </w:p>
        </w:tc>
      </w:tr>
      <w:tr w14:paraId="3A97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69990F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915" w:type="pct"/>
            <w:vAlign w:val="center"/>
          </w:tcPr>
          <w:p w14:paraId="1D0E6CD6">
            <w:pPr>
              <w:jc w:val="center"/>
              <w:rPr>
                <w:rFonts w:hint="eastAsia" w:ascii="仿宋" w:hAnsi="仿宋" w:eastAsia="仿宋" w:cs="仿宋"/>
                <w:color w:val="auto"/>
                <w:sz w:val="24"/>
                <w:highlight w:val="none"/>
              </w:rPr>
            </w:pPr>
          </w:p>
        </w:tc>
        <w:tc>
          <w:tcPr>
            <w:tcW w:w="1680" w:type="pct"/>
            <w:vAlign w:val="center"/>
          </w:tcPr>
          <w:p w14:paraId="637D0A49">
            <w:pPr>
              <w:jc w:val="center"/>
              <w:rPr>
                <w:rFonts w:hint="eastAsia" w:ascii="仿宋" w:hAnsi="仿宋" w:eastAsia="仿宋" w:cs="仿宋"/>
                <w:color w:val="auto"/>
                <w:sz w:val="24"/>
                <w:highlight w:val="none"/>
              </w:rPr>
            </w:pPr>
          </w:p>
        </w:tc>
        <w:tc>
          <w:tcPr>
            <w:tcW w:w="1456" w:type="pct"/>
            <w:vAlign w:val="center"/>
          </w:tcPr>
          <w:p w14:paraId="0003729D">
            <w:pPr>
              <w:pStyle w:val="55"/>
              <w:jc w:val="center"/>
              <w:rPr>
                <w:rFonts w:hint="eastAsia" w:ascii="仿宋" w:hAnsi="仿宋" w:eastAsia="仿宋" w:cs="仿宋"/>
                <w:color w:val="auto"/>
                <w:highlight w:val="none"/>
              </w:rPr>
            </w:pPr>
          </w:p>
        </w:tc>
        <w:tc>
          <w:tcPr>
            <w:tcW w:w="502" w:type="pct"/>
            <w:vAlign w:val="center"/>
          </w:tcPr>
          <w:p w14:paraId="22E11C34">
            <w:pPr>
              <w:jc w:val="center"/>
              <w:rPr>
                <w:rFonts w:hint="eastAsia" w:ascii="仿宋" w:hAnsi="仿宋" w:eastAsia="仿宋" w:cs="仿宋"/>
                <w:color w:val="auto"/>
                <w:sz w:val="24"/>
                <w:highlight w:val="none"/>
              </w:rPr>
            </w:pPr>
          </w:p>
        </w:tc>
      </w:tr>
      <w:tr w14:paraId="06B4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0CDAF6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915" w:type="pct"/>
            <w:vAlign w:val="center"/>
          </w:tcPr>
          <w:p w14:paraId="7878DCEE">
            <w:pPr>
              <w:jc w:val="center"/>
              <w:rPr>
                <w:rFonts w:hint="eastAsia" w:ascii="仿宋" w:hAnsi="仿宋" w:eastAsia="仿宋" w:cs="仿宋"/>
                <w:color w:val="auto"/>
                <w:sz w:val="24"/>
                <w:highlight w:val="none"/>
              </w:rPr>
            </w:pPr>
          </w:p>
        </w:tc>
        <w:tc>
          <w:tcPr>
            <w:tcW w:w="1680" w:type="pct"/>
            <w:vAlign w:val="center"/>
          </w:tcPr>
          <w:p w14:paraId="276701A2">
            <w:pPr>
              <w:jc w:val="center"/>
              <w:rPr>
                <w:rFonts w:hint="eastAsia" w:ascii="仿宋" w:hAnsi="仿宋" w:eastAsia="仿宋" w:cs="仿宋"/>
                <w:color w:val="auto"/>
                <w:sz w:val="24"/>
                <w:highlight w:val="none"/>
              </w:rPr>
            </w:pPr>
          </w:p>
        </w:tc>
        <w:tc>
          <w:tcPr>
            <w:tcW w:w="1456" w:type="pct"/>
            <w:vAlign w:val="center"/>
          </w:tcPr>
          <w:p w14:paraId="1E7000E9">
            <w:pPr>
              <w:jc w:val="center"/>
              <w:rPr>
                <w:rFonts w:hint="eastAsia" w:ascii="仿宋" w:hAnsi="仿宋" w:eastAsia="仿宋" w:cs="仿宋"/>
                <w:color w:val="auto"/>
                <w:sz w:val="24"/>
                <w:highlight w:val="none"/>
              </w:rPr>
            </w:pPr>
          </w:p>
        </w:tc>
        <w:tc>
          <w:tcPr>
            <w:tcW w:w="502" w:type="pct"/>
            <w:vAlign w:val="center"/>
          </w:tcPr>
          <w:p w14:paraId="3693818E">
            <w:pPr>
              <w:jc w:val="center"/>
              <w:rPr>
                <w:rFonts w:hint="eastAsia" w:ascii="仿宋" w:hAnsi="仿宋" w:eastAsia="仿宋" w:cs="仿宋"/>
                <w:color w:val="auto"/>
                <w:sz w:val="24"/>
                <w:highlight w:val="none"/>
              </w:rPr>
            </w:pPr>
          </w:p>
        </w:tc>
      </w:tr>
    </w:tbl>
    <w:p w14:paraId="13B823A7">
      <w:pPr>
        <w:spacing w:line="360" w:lineRule="auto"/>
        <w:ind w:firstLine="482" w:firstLineChars="200"/>
        <w:rPr>
          <w:rFonts w:hint="eastAsia" w:ascii="仿宋" w:hAnsi="仿宋" w:eastAsia="仿宋" w:cs="仿宋"/>
          <w:b/>
          <w:bCs/>
          <w:color w:val="auto"/>
          <w:sz w:val="24"/>
          <w:highlight w:val="none"/>
        </w:rPr>
      </w:pPr>
    </w:p>
    <w:p w14:paraId="757F2067">
      <w:pPr>
        <w:spacing w:line="360" w:lineRule="auto"/>
        <w:ind w:firstLine="482" w:firstLineChars="2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未标符号的为一般参数，投标文件中无需列明，但在合同签订后将作为履约验收的依据，投标人在投标文件中提供相关承诺函，承诺完全满足参数要求或逐条响应均可，承诺函格式自拟，否则投标无效</w:t>
      </w:r>
      <w:r>
        <w:rPr>
          <w:rFonts w:hint="eastAsia" w:ascii="仿宋" w:hAnsi="仿宋" w:eastAsia="仿宋" w:cs="仿宋"/>
          <w:b/>
          <w:bCs/>
          <w:color w:val="auto"/>
          <w:sz w:val="24"/>
          <w:highlight w:val="none"/>
          <w:lang w:eastAsia="zh-CN"/>
        </w:rPr>
        <w:t>。</w:t>
      </w:r>
    </w:p>
    <w:p w14:paraId="31692A09">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投标人电子签章：</w:t>
      </w:r>
      <w:r>
        <w:rPr>
          <w:rFonts w:hint="eastAsia" w:ascii="仿宋" w:hAnsi="仿宋" w:eastAsia="仿宋" w:cs="仿宋"/>
          <w:color w:val="auto"/>
          <w:sz w:val="24"/>
          <w:highlight w:val="none"/>
          <w:u w:val="single"/>
        </w:rPr>
        <w:t xml:space="preserve">             </w:t>
      </w:r>
    </w:p>
    <w:p w14:paraId="3AA7F99A">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6B6E7B29">
      <w:pPr>
        <w:pStyle w:val="17"/>
        <w:spacing w:line="360" w:lineRule="auto"/>
        <w:ind w:firstLine="240" w:firstLineChars="1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br w:type="page"/>
      </w:r>
    </w:p>
    <w:p w14:paraId="6E527731">
      <w:pPr>
        <w:spacing w:line="360" w:lineRule="auto"/>
        <w:jc w:val="center"/>
        <w:outlineLvl w:val="1"/>
        <w:rPr>
          <w:rFonts w:hint="eastAsia" w:ascii="仿宋" w:hAnsi="仿宋" w:eastAsia="仿宋" w:cs="仿宋"/>
          <w:b/>
          <w:color w:val="auto"/>
          <w:sz w:val="24"/>
          <w:highlight w:val="none"/>
        </w:rPr>
      </w:pPr>
      <w:bookmarkStart w:id="45" w:name="_Toc9573"/>
      <w:bookmarkStart w:id="46" w:name="_Toc31244"/>
      <w:bookmarkStart w:id="47" w:name="OLE_LINK13"/>
      <w:bookmarkStart w:id="48" w:name="OLE_LINK14"/>
      <w:r>
        <w:rPr>
          <w:rFonts w:hint="eastAsia" w:ascii="仿宋" w:hAnsi="仿宋" w:eastAsia="仿宋" w:cs="仿宋"/>
          <w:b/>
          <w:color w:val="auto"/>
          <w:sz w:val="24"/>
          <w:highlight w:val="none"/>
          <w:lang w:val="en-US" w:eastAsia="zh-CN"/>
        </w:rPr>
        <w:t>七、</w:t>
      </w:r>
      <w:r>
        <w:rPr>
          <w:rFonts w:hint="eastAsia" w:ascii="仿宋" w:hAnsi="仿宋" w:eastAsia="仿宋" w:cs="仿宋"/>
          <w:b/>
          <w:color w:val="auto"/>
          <w:sz w:val="24"/>
          <w:highlight w:val="none"/>
        </w:rPr>
        <w:t>服务承诺书</w:t>
      </w:r>
    </w:p>
    <w:p w14:paraId="7082AAB0">
      <w:pPr>
        <w:ind w:firstLine="480" w:firstLineChars="200"/>
        <w:rPr>
          <w:rFonts w:hint="eastAsia" w:ascii="仿宋" w:hAnsi="仿宋" w:eastAsia="仿宋" w:cs="仿宋"/>
          <w:color w:val="auto"/>
          <w:sz w:val="24"/>
          <w:highlight w:val="none"/>
        </w:rPr>
      </w:pPr>
    </w:p>
    <w:p w14:paraId="27718CFA">
      <w:pPr>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（采购人）</w:t>
      </w:r>
      <w:r>
        <w:rPr>
          <w:rFonts w:hint="eastAsia" w:ascii="仿宋" w:hAnsi="仿宋" w:eastAsia="仿宋" w:cs="仿宋"/>
          <w:color w:val="auto"/>
          <w:sz w:val="24"/>
          <w:szCs w:val="24"/>
          <w:highlight w:val="none"/>
        </w:rPr>
        <w:t>：</w:t>
      </w:r>
    </w:p>
    <w:p w14:paraId="21BBA7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本承诺声明：</w:t>
      </w:r>
    </w:p>
    <w:p w14:paraId="7649DF7F">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（投标人名称）除技术参数响应表中已列出的负偏离参数以外的其余均完全</w:t>
      </w:r>
      <w:r>
        <w:rPr>
          <w:rFonts w:hint="eastAsia" w:ascii="仿宋" w:hAnsi="仿宋" w:eastAsia="仿宋" w:cs="仿宋"/>
          <w:color w:val="auto"/>
          <w:sz w:val="24"/>
          <w:szCs w:val="24"/>
          <w:highlight w:val="none"/>
          <w:lang w:val="en-US" w:eastAsia="zh-CN"/>
        </w:rPr>
        <w:t>满足或优于</w:t>
      </w:r>
      <w:r>
        <w:rPr>
          <w:rFonts w:hint="eastAsia" w:ascii="仿宋" w:hAnsi="仿宋" w:eastAsia="仿宋" w:cs="仿宋"/>
          <w:color w:val="auto"/>
          <w:sz w:val="24"/>
          <w:szCs w:val="24"/>
          <w:highlight w:val="none"/>
        </w:rPr>
        <w:t>本招标文件（含第四章采购需求全部内容）的所有要求。</w:t>
      </w:r>
    </w:p>
    <w:p w14:paraId="7CE2546E">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none"/>
          <w:lang w:val="en-US" w:eastAsia="zh-CN"/>
        </w:rPr>
        <w:t>中标后</w:t>
      </w:r>
      <w:r>
        <w:rPr>
          <w:rFonts w:hint="eastAsia" w:ascii="仿宋" w:hAnsi="仿宋" w:eastAsia="仿宋" w:cs="仿宋"/>
          <w:b w:val="0"/>
          <w:color w:val="auto"/>
          <w:sz w:val="24"/>
          <w:szCs w:val="24"/>
          <w:highlight w:val="none"/>
          <w:u w:val="none"/>
          <w:lang w:val="en-US" w:eastAsia="zh-CN"/>
        </w:rPr>
        <w:t>根据产品技术参数和投标文件要求，在中标后七日内将采购清单中教师办公桌椅、文件柜、茶水柜绘制效果图或实物图报采购人确认，如不满足要求，按采购人要求进行修改，最终经采购人确认后按此要求生产、供货、安装、验收。上述产生的费用已包含在投标报价中，不在另行收取任何费用。</w:t>
      </w:r>
    </w:p>
    <w:p w14:paraId="6E30EC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若</w:t>
      </w:r>
      <w:r>
        <w:rPr>
          <w:rFonts w:hint="eastAsia" w:ascii="仿宋" w:hAnsi="仿宋" w:eastAsia="仿宋" w:cs="仿宋"/>
          <w:color w:val="auto"/>
          <w:sz w:val="24"/>
          <w:szCs w:val="24"/>
          <w:highlight w:val="none"/>
          <w:lang w:val="en-US" w:eastAsia="zh-CN"/>
        </w:rPr>
        <w:t>我公司</w:t>
      </w:r>
      <w:r>
        <w:rPr>
          <w:rFonts w:hint="eastAsia" w:ascii="仿宋" w:hAnsi="仿宋" w:eastAsia="仿宋" w:cs="仿宋"/>
          <w:color w:val="auto"/>
          <w:sz w:val="24"/>
          <w:szCs w:val="24"/>
          <w:highlight w:val="none"/>
        </w:rPr>
        <w:t>有幸中标将严格按照以上承诺进行供货和服务，否则招标人有权终止合同。</w:t>
      </w:r>
    </w:p>
    <w:p w14:paraId="406721CA">
      <w:pPr>
        <w:spacing w:line="8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DAC78C4">
      <w:pPr>
        <w:spacing w:line="6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14:paraId="0A621546">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14:paraId="47E7B60E">
      <w:pPr>
        <w:spacing w:line="48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(签章)</w:t>
      </w:r>
    </w:p>
    <w:p w14:paraId="14505282">
      <w:pPr>
        <w:spacing w:line="480" w:lineRule="auto"/>
        <w:jc w:val="righ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4B3FC05">
      <w:pPr>
        <w:spacing w:line="360" w:lineRule="auto"/>
        <w:jc w:val="center"/>
        <w:outlineLvl w:val="1"/>
        <w:rPr>
          <w:rFonts w:hint="eastAsia" w:ascii="仿宋" w:hAnsi="仿宋" w:eastAsia="仿宋" w:cs="仿宋"/>
          <w:b/>
          <w:color w:val="auto"/>
          <w:sz w:val="24"/>
          <w:highlight w:val="none"/>
        </w:rPr>
      </w:pPr>
    </w:p>
    <w:p w14:paraId="583D3E72">
      <w:pPr>
        <w:spacing w:line="360" w:lineRule="auto"/>
        <w:jc w:val="center"/>
        <w:outlineLvl w:val="1"/>
        <w:rPr>
          <w:rFonts w:hint="eastAsia" w:ascii="仿宋" w:hAnsi="仿宋" w:eastAsia="仿宋" w:cs="仿宋"/>
          <w:b/>
          <w:color w:val="auto"/>
          <w:sz w:val="24"/>
          <w:highlight w:val="none"/>
        </w:rPr>
      </w:pPr>
    </w:p>
    <w:p w14:paraId="2EC46B50">
      <w:pPr>
        <w:spacing w:line="360" w:lineRule="auto"/>
        <w:jc w:val="center"/>
        <w:outlineLvl w:val="1"/>
        <w:rPr>
          <w:rFonts w:hint="eastAsia" w:ascii="仿宋" w:hAnsi="仿宋" w:eastAsia="仿宋" w:cs="仿宋"/>
          <w:b/>
          <w:color w:val="auto"/>
          <w:sz w:val="24"/>
          <w:highlight w:val="none"/>
        </w:rPr>
      </w:pPr>
    </w:p>
    <w:p w14:paraId="3D6F2307">
      <w:pPr>
        <w:spacing w:line="360" w:lineRule="auto"/>
        <w:jc w:val="center"/>
        <w:outlineLvl w:val="1"/>
        <w:rPr>
          <w:rFonts w:hint="eastAsia" w:ascii="仿宋" w:hAnsi="仿宋" w:eastAsia="仿宋" w:cs="仿宋"/>
          <w:b/>
          <w:color w:val="auto"/>
          <w:sz w:val="24"/>
          <w:highlight w:val="none"/>
        </w:rPr>
      </w:pPr>
    </w:p>
    <w:p w14:paraId="7F68DBA5">
      <w:pPr>
        <w:spacing w:line="360" w:lineRule="auto"/>
        <w:jc w:val="center"/>
        <w:outlineLvl w:val="1"/>
        <w:rPr>
          <w:rFonts w:hint="eastAsia" w:ascii="仿宋" w:hAnsi="仿宋" w:eastAsia="仿宋" w:cs="仿宋"/>
          <w:b/>
          <w:color w:val="auto"/>
          <w:sz w:val="24"/>
          <w:highlight w:val="none"/>
        </w:rPr>
      </w:pPr>
    </w:p>
    <w:p w14:paraId="0F6FE073">
      <w:pPr>
        <w:spacing w:line="360" w:lineRule="auto"/>
        <w:jc w:val="center"/>
        <w:outlineLvl w:val="1"/>
        <w:rPr>
          <w:rFonts w:hint="eastAsia" w:ascii="仿宋" w:hAnsi="仿宋" w:eastAsia="仿宋" w:cs="仿宋"/>
          <w:b/>
          <w:color w:val="auto"/>
          <w:sz w:val="24"/>
          <w:highlight w:val="none"/>
        </w:rPr>
      </w:pPr>
    </w:p>
    <w:p w14:paraId="44ABF92D">
      <w:pPr>
        <w:spacing w:line="360" w:lineRule="auto"/>
        <w:jc w:val="center"/>
        <w:outlineLvl w:val="1"/>
        <w:rPr>
          <w:rFonts w:hint="eastAsia" w:ascii="仿宋" w:hAnsi="仿宋" w:eastAsia="仿宋" w:cs="仿宋"/>
          <w:b/>
          <w:color w:val="auto"/>
          <w:sz w:val="24"/>
          <w:highlight w:val="none"/>
        </w:rPr>
      </w:pPr>
    </w:p>
    <w:p w14:paraId="5EBBDB51">
      <w:pPr>
        <w:spacing w:line="360" w:lineRule="auto"/>
        <w:jc w:val="center"/>
        <w:outlineLvl w:val="1"/>
        <w:rPr>
          <w:rFonts w:hint="eastAsia" w:ascii="仿宋" w:hAnsi="仿宋" w:eastAsia="仿宋" w:cs="仿宋"/>
          <w:b/>
          <w:color w:val="auto"/>
          <w:sz w:val="24"/>
          <w:highlight w:val="none"/>
        </w:rPr>
      </w:pPr>
    </w:p>
    <w:p w14:paraId="76EFCE36">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八</w:t>
      </w:r>
      <w:r>
        <w:rPr>
          <w:rFonts w:hint="eastAsia" w:ascii="仿宋" w:hAnsi="仿宋" w:eastAsia="仿宋" w:cs="仿宋"/>
          <w:b/>
          <w:color w:val="auto"/>
          <w:sz w:val="24"/>
          <w:highlight w:val="none"/>
        </w:rPr>
        <w:t>、中小企业声明函</w:t>
      </w:r>
      <w:bookmarkEnd w:id="45"/>
      <w:bookmarkEnd w:id="46"/>
    </w:p>
    <w:p w14:paraId="18A5A9F5">
      <w:pPr>
        <w:pStyle w:val="11"/>
        <w:spacing w:line="360" w:lineRule="auto"/>
        <w:jc w:val="center"/>
        <w:rPr>
          <w:rFonts w:hint="eastAsia" w:ascii="仿宋" w:hAnsi="仿宋" w:eastAsia="仿宋" w:cs="仿宋"/>
          <w:i/>
          <w:color w:val="auto"/>
          <w:sz w:val="24"/>
          <w:highlight w:val="none"/>
          <w:lang w:val="en-US"/>
        </w:rPr>
      </w:pPr>
      <w:r>
        <w:rPr>
          <w:rFonts w:hint="eastAsia" w:ascii="仿宋" w:hAnsi="仿宋" w:eastAsia="仿宋" w:cs="仿宋"/>
          <w:i/>
          <w:color w:val="auto"/>
          <w:sz w:val="24"/>
          <w:highlight w:val="none"/>
          <w:lang w:val="en-US"/>
        </w:rPr>
        <w:t>（</w:t>
      </w:r>
      <w:r>
        <w:rPr>
          <w:rFonts w:hint="eastAsia" w:ascii="仿宋" w:hAnsi="仿宋" w:eastAsia="仿宋" w:cs="仿宋"/>
          <w:i/>
          <w:color w:val="auto"/>
          <w:sz w:val="24"/>
          <w:highlight w:val="none"/>
        </w:rPr>
        <w:t>非中小企业投标</w:t>
      </w:r>
      <w:r>
        <w:rPr>
          <w:rFonts w:hint="eastAsia" w:ascii="仿宋" w:hAnsi="仿宋" w:eastAsia="仿宋" w:cs="仿宋"/>
          <w:i/>
          <w:color w:val="auto"/>
          <w:sz w:val="24"/>
          <w:highlight w:val="none"/>
          <w:lang w:val="en-US"/>
        </w:rPr>
        <w:t>，不需此件，请删去“中小企业声明函”）</w:t>
      </w:r>
    </w:p>
    <w:p w14:paraId="52E7F1AD">
      <w:pPr>
        <w:rPr>
          <w:rFonts w:hint="eastAsia" w:ascii="仿宋" w:hAnsi="仿宋" w:eastAsia="仿宋" w:cs="仿宋"/>
          <w:color w:val="auto"/>
          <w:sz w:val="24"/>
          <w:szCs w:val="24"/>
          <w:highlight w:val="none"/>
        </w:rPr>
      </w:pPr>
    </w:p>
    <w:p w14:paraId="61D85244">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lang w:val="zh-CN"/>
        </w:rPr>
        <w:t>单位</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lang w:val="zh-CN"/>
        </w:rPr>
        <w:t>）的（</w:t>
      </w:r>
      <w:r>
        <w:rPr>
          <w:rFonts w:hint="eastAsia" w:ascii="仿宋" w:hAnsi="仿宋" w:eastAsia="仿宋" w:cs="仿宋"/>
          <w:color w:val="auto"/>
          <w:sz w:val="24"/>
          <w:szCs w:val="24"/>
          <w:highlight w:val="none"/>
          <w:u w:val="single"/>
          <w:lang w:val="zh-CN"/>
        </w:rPr>
        <w:t>项目</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02F6FF9F">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u w:val="single"/>
          <w:lang w:val="zh-CN"/>
        </w:rPr>
        <w:t xml:space="preserve"> （标的名称） </w:t>
      </w:r>
      <w:r>
        <w:rPr>
          <w:rFonts w:hint="eastAsia" w:ascii="仿宋" w:hAnsi="仿宋" w:eastAsia="仿宋" w:cs="仿宋"/>
          <w:color w:val="auto"/>
          <w:sz w:val="24"/>
          <w:szCs w:val="24"/>
          <w:highlight w:val="none"/>
          <w:lang w:val="zh-CN"/>
        </w:rPr>
        <w:t>，属于</w:t>
      </w:r>
      <w:r>
        <w:rPr>
          <w:rFonts w:hint="eastAsia" w:ascii="仿宋" w:hAnsi="仿宋" w:eastAsia="仿宋" w:cs="仿宋"/>
          <w:color w:val="auto"/>
          <w:sz w:val="24"/>
          <w:szCs w:val="24"/>
          <w:highlight w:val="none"/>
          <w:u w:val="single"/>
          <w:lang w:val="zh-CN"/>
        </w:rPr>
        <w:t>（采购文件中明确的所属行业）</w:t>
      </w:r>
      <w:r>
        <w:rPr>
          <w:rFonts w:hint="eastAsia" w:ascii="仿宋" w:hAnsi="仿宋" w:eastAsia="仿宋" w:cs="仿宋"/>
          <w:color w:val="auto"/>
          <w:sz w:val="24"/>
          <w:szCs w:val="24"/>
          <w:highlight w:val="none"/>
          <w:lang w:val="zh-CN"/>
        </w:rPr>
        <w:t>行业；制造商为</w:t>
      </w:r>
      <w:r>
        <w:rPr>
          <w:rFonts w:hint="eastAsia" w:ascii="仿宋" w:hAnsi="仿宋" w:eastAsia="仿宋" w:cs="仿宋"/>
          <w:color w:val="auto"/>
          <w:sz w:val="24"/>
          <w:szCs w:val="24"/>
          <w:highlight w:val="none"/>
          <w:u w:val="single"/>
          <w:lang w:val="zh-CN"/>
        </w:rPr>
        <w:t>（企业名称）</w:t>
      </w:r>
      <w:r>
        <w:rPr>
          <w:rFonts w:hint="eastAsia" w:ascii="仿宋" w:hAnsi="仿宋" w:eastAsia="仿宋" w:cs="仿宋"/>
          <w:color w:val="auto"/>
          <w:sz w:val="24"/>
          <w:szCs w:val="24"/>
          <w:highlight w:val="none"/>
          <w:lang w:val="zh-CN"/>
        </w:rPr>
        <w:t>，从业人员</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人，营业收入为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万元，资产总额为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万元，属于</w:t>
      </w:r>
      <w:r>
        <w:rPr>
          <w:rFonts w:hint="eastAsia" w:ascii="仿宋" w:hAnsi="仿宋" w:eastAsia="仿宋" w:cs="仿宋"/>
          <w:color w:val="auto"/>
          <w:sz w:val="24"/>
          <w:szCs w:val="24"/>
          <w:highlight w:val="none"/>
          <w:u w:val="single"/>
          <w:lang w:val="zh-CN"/>
        </w:rPr>
        <w:t>（中型企业、小型企业、微型企业）</w:t>
      </w:r>
      <w:r>
        <w:rPr>
          <w:rFonts w:hint="eastAsia" w:ascii="仿宋" w:hAnsi="仿宋" w:eastAsia="仿宋" w:cs="仿宋"/>
          <w:color w:val="auto"/>
          <w:sz w:val="24"/>
          <w:szCs w:val="24"/>
          <w:highlight w:val="none"/>
          <w:lang w:val="zh-CN"/>
        </w:rPr>
        <w:t xml:space="preserve">； </w:t>
      </w:r>
    </w:p>
    <w:p w14:paraId="3149F90B">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u w:val="single"/>
          <w:lang w:val="zh-CN"/>
        </w:rPr>
        <w:t xml:space="preserve"> （标的名称） </w:t>
      </w:r>
      <w:r>
        <w:rPr>
          <w:rFonts w:hint="eastAsia" w:ascii="仿宋" w:hAnsi="仿宋" w:eastAsia="仿宋" w:cs="仿宋"/>
          <w:color w:val="auto"/>
          <w:sz w:val="24"/>
          <w:szCs w:val="24"/>
          <w:highlight w:val="none"/>
          <w:lang w:val="zh-CN"/>
        </w:rPr>
        <w:t>，属于</w:t>
      </w:r>
      <w:r>
        <w:rPr>
          <w:rFonts w:hint="eastAsia" w:ascii="仿宋" w:hAnsi="仿宋" w:eastAsia="仿宋" w:cs="仿宋"/>
          <w:color w:val="auto"/>
          <w:sz w:val="24"/>
          <w:szCs w:val="24"/>
          <w:highlight w:val="none"/>
          <w:u w:val="single"/>
          <w:lang w:val="zh-CN"/>
        </w:rPr>
        <w:t>（采购文件中明确的所属行业）</w:t>
      </w:r>
      <w:r>
        <w:rPr>
          <w:rFonts w:hint="eastAsia" w:ascii="仿宋" w:hAnsi="仿宋" w:eastAsia="仿宋" w:cs="仿宋"/>
          <w:color w:val="auto"/>
          <w:sz w:val="24"/>
          <w:szCs w:val="24"/>
          <w:highlight w:val="none"/>
          <w:lang w:val="zh-CN"/>
        </w:rPr>
        <w:t>行业；制造商为</w:t>
      </w:r>
      <w:r>
        <w:rPr>
          <w:rFonts w:hint="eastAsia" w:ascii="仿宋" w:hAnsi="仿宋" w:eastAsia="仿宋" w:cs="仿宋"/>
          <w:color w:val="auto"/>
          <w:sz w:val="24"/>
          <w:szCs w:val="24"/>
          <w:highlight w:val="none"/>
          <w:u w:val="single"/>
          <w:lang w:val="zh-CN"/>
        </w:rPr>
        <w:t>（企业名称）</w:t>
      </w:r>
      <w:r>
        <w:rPr>
          <w:rFonts w:hint="eastAsia" w:ascii="仿宋" w:hAnsi="仿宋" w:eastAsia="仿宋" w:cs="仿宋"/>
          <w:color w:val="auto"/>
          <w:sz w:val="24"/>
          <w:szCs w:val="24"/>
          <w:highlight w:val="none"/>
          <w:lang w:val="zh-CN"/>
        </w:rPr>
        <w:t>，从业人员</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人，营业收入为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万元，资产总额为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万元，属于</w:t>
      </w:r>
      <w:r>
        <w:rPr>
          <w:rFonts w:hint="eastAsia" w:ascii="仿宋" w:hAnsi="仿宋" w:eastAsia="仿宋" w:cs="仿宋"/>
          <w:color w:val="auto"/>
          <w:sz w:val="24"/>
          <w:szCs w:val="24"/>
          <w:highlight w:val="none"/>
          <w:u w:val="single"/>
          <w:lang w:val="zh-CN"/>
        </w:rPr>
        <w:t>（中型企业、小型企业、微型企业）</w:t>
      </w:r>
      <w:r>
        <w:rPr>
          <w:rFonts w:hint="eastAsia" w:ascii="仿宋" w:hAnsi="仿宋" w:eastAsia="仿宋" w:cs="仿宋"/>
          <w:color w:val="auto"/>
          <w:sz w:val="24"/>
          <w:szCs w:val="24"/>
          <w:highlight w:val="none"/>
          <w:lang w:val="zh-CN"/>
        </w:rPr>
        <w:t xml:space="preserve">； </w:t>
      </w:r>
    </w:p>
    <w:p w14:paraId="1DDF039C">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p>
    <w:p w14:paraId="3580A98A">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以上企业，不属于大企业的分支机构，不存在控股股东为大企业的情形，也不存在与大企业的负责人为同一人的情形。</w:t>
      </w:r>
    </w:p>
    <w:p w14:paraId="29EFC390">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本企业对上述声明内容的真实性负责。如有虚假，将依法承担相应责任。 </w:t>
      </w:r>
    </w:p>
    <w:p w14:paraId="48925901">
      <w:pPr>
        <w:spacing w:line="360" w:lineRule="auto"/>
        <w:ind w:firstLine="435"/>
        <w:rPr>
          <w:rFonts w:hint="eastAsia" w:ascii="仿宋" w:hAnsi="仿宋" w:eastAsia="仿宋" w:cs="仿宋"/>
          <w:color w:val="auto"/>
          <w:sz w:val="24"/>
          <w:szCs w:val="24"/>
          <w:highlight w:val="none"/>
        </w:rPr>
      </w:pPr>
    </w:p>
    <w:p w14:paraId="778BAABB">
      <w:pPr>
        <w:spacing w:line="360" w:lineRule="auto"/>
        <w:ind w:firstLine="435"/>
        <w:rPr>
          <w:rFonts w:hint="eastAsia" w:ascii="仿宋" w:hAnsi="仿宋" w:eastAsia="仿宋" w:cs="仿宋"/>
          <w:color w:val="auto"/>
          <w:sz w:val="24"/>
          <w:szCs w:val="24"/>
          <w:highlight w:val="none"/>
        </w:rPr>
      </w:pPr>
    </w:p>
    <w:p w14:paraId="2CFDA128">
      <w:pPr>
        <w:spacing w:line="360" w:lineRule="auto"/>
        <w:ind w:firstLine="4228" w:firstLineChars="176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投标人电子签章：</w:t>
      </w:r>
      <w:r>
        <w:rPr>
          <w:rFonts w:hint="eastAsia" w:ascii="仿宋" w:hAnsi="仿宋" w:eastAsia="仿宋" w:cs="仿宋"/>
          <w:color w:val="auto"/>
          <w:sz w:val="24"/>
          <w:szCs w:val="24"/>
          <w:highlight w:val="none"/>
          <w:u w:val="single"/>
        </w:rPr>
        <w:t xml:space="preserve">             </w:t>
      </w:r>
    </w:p>
    <w:p w14:paraId="715B26FE">
      <w:pPr>
        <w:tabs>
          <w:tab w:val="left" w:pos="4620"/>
        </w:tabs>
        <w:spacing w:line="360" w:lineRule="auto"/>
        <w:ind w:firstLine="4252" w:firstLineChars="177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53C2AEA6">
      <w:pPr>
        <w:tabs>
          <w:tab w:val="left" w:pos="4620"/>
        </w:tabs>
        <w:spacing w:line="360" w:lineRule="auto"/>
        <w:jc w:val="left"/>
        <w:rPr>
          <w:rFonts w:hint="eastAsia" w:ascii="仿宋" w:hAnsi="仿宋" w:eastAsia="仿宋" w:cs="仿宋"/>
          <w:color w:val="auto"/>
          <w:sz w:val="24"/>
          <w:szCs w:val="24"/>
          <w:highlight w:val="none"/>
        </w:rPr>
      </w:pPr>
    </w:p>
    <w:p w14:paraId="4766F7E1">
      <w:pPr>
        <w:tabs>
          <w:tab w:val="left" w:pos="4620"/>
        </w:tabs>
        <w:spacing w:line="360" w:lineRule="auto"/>
        <w:jc w:val="left"/>
        <w:rPr>
          <w:rFonts w:hint="eastAsia" w:ascii="仿宋" w:hAnsi="仿宋" w:eastAsia="仿宋" w:cs="仿宋"/>
          <w:color w:val="auto"/>
          <w:sz w:val="24"/>
          <w:szCs w:val="24"/>
          <w:highlight w:val="none"/>
        </w:rPr>
      </w:pPr>
    </w:p>
    <w:p w14:paraId="7BCD61D5">
      <w:pPr>
        <w:tabs>
          <w:tab w:val="left" w:pos="4620"/>
        </w:tabs>
        <w:spacing w:line="360" w:lineRule="auto"/>
        <w:jc w:val="left"/>
        <w:rPr>
          <w:rFonts w:hint="eastAsia" w:ascii="仿宋" w:hAnsi="仿宋" w:eastAsia="仿宋" w:cs="仿宋"/>
          <w:color w:val="auto"/>
          <w:sz w:val="24"/>
          <w:szCs w:val="24"/>
          <w:highlight w:val="none"/>
        </w:rPr>
      </w:pPr>
    </w:p>
    <w:p w14:paraId="22F17B92">
      <w:pPr>
        <w:tabs>
          <w:tab w:val="left" w:pos="4620"/>
        </w:tabs>
        <w:spacing w:line="360" w:lineRule="auto"/>
        <w:jc w:val="left"/>
        <w:rPr>
          <w:rFonts w:hint="eastAsia" w:ascii="仿宋" w:hAnsi="仿宋" w:eastAsia="仿宋" w:cs="仿宋"/>
          <w:color w:val="auto"/>
          <w:sz w:val="24"/>
          <w:szCs w:val="24"/>
          <w:highlight w:val="none"/>
        </w:rPr>
      </w:pPr>
    </w:p>
    <w:p w14:paraId="19A2E245">
      <w:pPr>
        <w:tabs>
          <w:tab w:val="left" w:pos="4620"/>
        </w:tabs>
        <w:spacing w:line="360" w:lineRule="auto"/>
        <w:jc w:val="left"/>
        <w:rPr>
          <w:rFonts w:hint="eastAsia" w:ascii="仿宋" w:hAnsi="仿宋" w:eastAsia="仿宋" w:cs="仿宋"/>
          <w:color w:val="auto"/>
          <w:sz w:val="24"/>
          <w:szCs w:val="24"/>
          <w:highlight w:val="none"/>
        </w:rPr>
      </w:pPr>
    </w:p>
    <w:p w14:paraId="64EA6F32">
      <w:pPr>
        <w:tabs>
          <w:tab w:val="left" w:pos="4620"/>
        </w:tabs>
        <w:spacing w:line="360" w:lineRule="auto"/>
        <w:jc w:val="lef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注：</w:t>
      </w:r>
    </w:p>
    <w:p w14:paraId="29C38747">
      <w:pPr>
        <w:tabs>
          <w:tab w:val="left" w:pos="4620"/>
        </w:tabs>
        <w:spacing w:line="360" w:lineRule="auto"/>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1.从业人员、营业收入、资产总额填报上一年数据，无上一年数据的新成立企业可不填报。</w:t>
      </w:r>
    </w:p>
    <w:p w14:paraId="1C42E918">
      <w:pPr>
        <w:tabs>
          <w:tab w:val="left" w:pos="4620"/>
        </w:tabs>
        <w:spacing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仿宋" w:hAnsi="仿宋" w:eastAsia="仿宋" w:cs="仿宋"/>
          <w:b/>
          <w:bCs/>
          <w:color w:val="auto"/>
          <w:szCs w:val="21"/>
          <w:highlight w:val="none"/>
          <w:lang w:val="zh-CN"/>
        </w:rPr>
        <w:t>如有虚假，将依法承担相应责任。</w:t>
      </w:r>
      <w:r>
        <w:rPr>
          <w:rFonts w:hint="eastAsia" w:ascii="仿宋" w:hAnsi="仿宋" w:eastAsia="仿宋" w:cs="仿宋"/>
          <w:b/>
          <w:bCs/>
          <w:color w:val="auto"/>
          <w:szCs w:val="21"/>
          <w:highlight w:val="none"/>
        </w:rPr>
        <w:t>投标人自行登录工业和信息化部官网进行中小企业规模类型自测（查询网址https://www.miit.gov.cn/）。</w:t>
      </w:r>
    </w:p>
    <w:p w14:paraId="45AF2718">
      <w:pPr>
        <w:tabs>
          <w:tab w:val="left" w:pos="4620"/>
        </w:tabs>
        <w:spacing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3.上述“</w:t>
      </w:r>
      <w:r>
        <w:rPr>
          <w:rFonts w:hint="eastAsia" w:ascii="仿宋" w:hAnsi="仿宋" w:eastAsia="仿宋" w:cs="仿宋"/>
          <w:b/>
          <w:bCs/>
          <w:color w:val="auto"/>
          <w:szCs w:val="21"/>
          <w:highlight w:val="none"/>
          <w:u w:val="single"/>
          <w:lang w:val="zh-CN"/>
        </w:rPr>
        <w:t>标的名称</w:t>
      </w:r>
      <w:r>
        <w:rPr>
          <w:rFonts w:hint="eastAsia" w:ascii="仿宋" w:hAnsi="仿宋" w:eastAsia="仿宋" w:cs="仿宋"/>
          <w:b/>
          <w:bCs/>
          <w:color w:val="auto"/>
          <w:szCs w:val="21"/>
          <w:highlight w:val="none"/>
        </w:rPr>
        <w:t>”，详见第三章采购需求中明确的“货物名称”。</w:t>
      </w:r>
    </w:p>
    <w:p w14:paraId="0346DE89">
      <w:pPr>
        <w:tabs>
          <w:tab w:val="left" w:pos="4620"/>
        </w:tabs>
        <w:spacing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4.上述“</w:t>
      </w:r>
      <w:r>
        <w:rPr>
          <w:rFonts w:hint="eastAsia" w:ascii="仿宋" w:hAnsi="仿宋" w:eastAsia="仿宋" w:cs="仿宋"/>
          <w:b/>
          <w:bCs/>
          <w:color w:val="auto"/>
          <w:szCs w:val="21"/>
          <w:highlight w:val="none"/>
          <w:u w:val="single"/>
        </w:rPr>
        <w:t>采购文件中明确的所属行业</w:t>
      </w:r>
      <w:r>
        <w:rPr>
          <w:rFonts w:hint="eastAsia" w:ascii="仿宋" w:hAnsi="仿宋" w:eastAsia="仿宋" w:cs="仿宋"/>
          <w:b/>
          <w:bCs/>
          <w:color w:val="auto"/>
          <w:szCs w:val="21"/>
          <w:highlight w:val="none"/>
        </w:rPr>
        <w:t>”，详见第三章采购需求中明确的“所属行业”。</w:t>
      </w:r>
    </w:p>
    <w:p w14:paraId="6F5A3598">
      <w:pPr>
        <w:tabs>
          <w:tab w:val="left" w:pos="4620"/>
        </w:tabs>
        <w:spacing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5．填写示例：</w:t>
      </w:r>
      <w:r>
        <w:rPr>
          <w:rFonts w:hint="eastAsia" w:ascii="仿宋" w:hAnsi="仿宋" w:eastAsia="仿宋" w:cs="仿宋"/>
          <w:b/>
          <w:bCs/>
          <w:color w:val="auto"/>
          <w:szCs w:val="21"/>
          <w:highlight w:val="none"/>
          <w:u w:val="single"/>
          <w:lang w:val="zh-CN"/>
        </w:rPr>
        <w:t>某设备</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zh-CN"/>
        </w:rPr>
        <w:t>属于</w:t>
      </w:r>
      <w:r>
        <w:rPr>
          <w:rFonts w:hint="eastAsia" w:ascii="仿宋" w:hAnsi="仿宋" w:eastAsia="仿宋" w:cs="仿宋"/>
          <w:b/>
          <w:bCs/>
          <w:color w:val="auto"/>
          <w:szCs w:val="21"/>
          <w:highlight w:val="none"/>
          <w:u w:val="single"/>
        </w:rPr>
        <w:t>（填写第三章采购需求中对应货物的“所属行业”，如工业）</w:t>
      </w:r>
      <w:r>
        <w:rPr>
          <w:rFonts w:hint="eastAsia" w:ascii="仿宋" w:hAnsi="仿宋" w:eastAsia="仿宋" w:cs="仿宋"/>
          <w:b/>
          <w:bCs/>
          <w:color w:val="auto"/>
          <w:szCs w:val="21"/>
          <w:highlight w:val="none"/>
          <w:lang w:val="zh-CN"/>
        </w:rPr>
        <w:t>行业</w:t>
      </w:r>
      <w:r>
        <w:rPr>
          <w:rFonts w:hint="eastAsia" w:ascii="仿宋" w:hAnsi="仿宋" w:eastAsia="仿宋" w:cs="仿宋"/>
          <w:b/>
          <w:bCs/>
          <w:color w:val="auto"/>
          <w:szCs w:val="21"/>
          <w:highlight w:val="none"/>
        </w:rPr>
        <w:t>；制造</w:t>
      </w:r>
      <w:r>
        <w:rPr>
          <w:rFonts w:hint="eastAsia" w:ascii="仿宋" w:hAnsi="仿宋" w:eastAsia="仿宋" w:cs="仿宋"/>
          <w:b/>
          <w:bCs/>
          <w:color w:val="auto"/>
          <w:szCs w:val="21"/>
          <w:highlight w:val="none"/>
          <w:lang w:val="zh-CN"/>
        </w:rPr>
        <w:t>企业为</w:t>
      </w:r>
      <w:r>
        <w:rPr>
          <w:rFonts w:hint="eastAsia" w:ascii="仿宋" w:hAnsi="仿宋" w:eastAsia="仿宋" w:cs="仿宋"/>
          <w:b/>
          <w:bCs/>
          <w:color w:val="auto"/>
          <w:szCs w:val="21"/>
          <w:highlight w:val="none"/>
          <w:u w:val="single"/>
          <w:lang w:val="zh-CN"/>
        </w:rPr>
        <w:t>某</w:t>
      </w:r>
      <w:r>
        <w:rPr>
          <w:rFonts w:hint="eastAsia" w:ascii="仿宋" w:hAnsi="仿宋" w:eastAsia="仿宋" w:cs="仿宋"/>
          <w:b/>
          <w:bCs/>
          <w:color w:val="auto"/>
          <w:szCs w:val="21"/>
          <w:highlight w:val="none"/>
          <w:u w:val="single"/>
        </w:rPr>
        <w:t>企业</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zh-CN"/>
        </w:rPr>
        <w:t>从业人员</w:t>
      </w:r>
      <w:r>
        <w:rPr>
          <w:rFonts w:hint="eastAsia" w:ascii="仿宋" w:hAnsi="仿宋" w:eastAsia="仿宋" w:cs="仿宋"/>
          <w:b/>
          <w:bCs/>
          <w:color w:val="auto"/>
          <w:szCs w:val="21"/>
          <w:highlight w:val="none"/>
          <w:u w:val="single"/>
        </w:rPr>
        <w:t>100</w:t>
      </w:r>
      <w:r>
        <w:rPr>
          <w:rFonts w:hint="eastAsia" w:ascii="仿宋" w:hAnsi="仿宋" w:eastAsia="仿宋" w:cs="仿宋"/>
          <w:b/>
          <w:bCs/>
          <w:color w:val="auto"/>
          <w:szCs w:val="21"/>
          <w:highlight w:val="none"/>
          <w:lang w:val="zh-CN"/>
        </w:rPr>
        <w:t>人</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zh-CN"/>
        </w:rPr>
        <w:t>营业收入为</w:t>
      </w:r>
      <w:r>
        <w:rPr>
          <w:rFonts w:hint="eastAsia" w:ascii="仿宋" w:hAnsi="仿宋" w:eastAsia="仿宋" w:cs="仿宋"/>
          <w:b/>
          <w:bCs/>
          <w:color w:val="auto"/>
          <w:szCs w:val="21"/>
          <w:highlight w:val="none"/>
          <w:u w:val="single"/>
        </w:rPr>
        <w:t>10000</w:t>
      </w:r>
      <w:r>
        <w:rPr>
          <w:rFonts w:hint="eastAsia" w:ascii="仿宋" w:hAnsi="仿宋" w:eastAsia="仿宋" w:cs="仿宋"/>
          <w:b/>
          <w:bCs/>
          <w:color w:val="auto"/>
          <w:szCs w:val="21"/>
          <w:highlight w:val="none"/>
          <w:lang w:val="zh-CN"/>
        </w:rPr>
        <w:t>万元</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zh-CN"/>
        </w:rPr>
        <w:t>资产总额为</w:t>
      </w:r>
      <w:r>
        <w:rPr>
          <w:rFonts w:hint="eastAsia" w:ascii="仿宋" w:hAnsi="仿宋" w:eastAsia="仿宋" w:cs="仿宋"/>
          <w:b/>
          <w:bCs/>
          <w:color w:val="auto"/>
          <w:szCs w:val="21"/>
          <w:highlight w:val="none"/>
          <w:u w:val="single"/>
        </w:rPr>
        <w:t>5000</w:t>
      </w:r>
      <w:r>
        <w:rPr>
          <w:rFonts w:hint="eastAsia" w:ascii="仿宋" w:hAnsi="仿宋" w:eastAsia="仿宋" w:cs="仿宋"/>
          <w:b/>
          <w:bCs/>
          <w:color w:val="auto"/>
          <w:szCs w:val="21"/>
          <w:highlight w:val="none"/>
          <w:lang w:val="zh-CN"/>
        </w:rPr>
        <w:t>万元</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zh-CN"/>
        </w:rPr>
        <w:t>属于</w:t>
      </w:r>
      <w:r>
        <w:rPr>
          <w:rFonts w:hint="eastAsia" w:ascii="仿宋" w:hAnsi="仿宋" w:eastAsia="仿宋" w:cs="仿宋"/>
          <w:b/>
          <w:bCs/>
          <w:color w:val="auto"/>
          <w:szCs w:val="21"/>
          <w:highlight w:val="none"/>
          <w:u w:val="single"/>
          <w:lang w:val="zh-CN"/>
        </w:rPr>
        <w:t>小型</w:t>
      </w:r>
      <w:r>
        <w:rPr>
          <w:rFonts w:hint="eastAsia" w:ascii="仿宋" w:hAnsi="仿宋" w:eastAsia="仿宋" w:cs="仿宋"/>
          <w:b/>
          <w:bCs/>
          <w:color w:val="auto"/>
          <w:szCs w:val="21"/>
          <w:highlight w:val="none"/>
          <w:lang w:val="zh-CN"/>
        </w:rPr>
        <w:t>企业</w:t>
      </w:r>
      <w:r>
        <w:rPr>
          <w:rFonts w:hint="eastAsia" w:ascii="仿宋" w:hAnsi="仿宋" w:eastAsia="仿宋" w:cs="仿宋"/>
          <w:b/>
          <w:bCs/>
          <w:color w:val="auto"/>
          <w:szCs w:val="21"/>
          <w:highlight w:val="none"/>
        </w:rPr>
        <w:t>[投标人自行登录工业和信息化部官网进行中小企业规模类型自测（查询网址https://www.miit.gov.cn/）]</w:t>
      </w:r>
      <w:r>
        <w:rPr>
          <w:rFonts w:hint="eastAsia" w:ascii="仿宋" w:hAnsi="仿宋" w:eastAsia="仿宋" w:cs="仿宋"/>
          <w:b/>
          <w:bCs/>
          <w:color w:val="auto"/>
          <w:szCs w:val="21"/>
          <w:highlight w:val="none"/>
          <w:lang w:val="zh-CN"/>
        </w:rPr>
        <w:t>。</w:t>
      </w:r>
    </w:p>
    <w:p w14:paraId="77398FA7">
      <w:pP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br w:type="page"/>
      </w:r>
      <w:bookmarkEnd w:id="47"/>
      <w:bookmarkEnd w:id="48"/>
    </w:p>
    <w:p w14:paraId="7F8BDF8A">
      <w:pPr>
        <w:spacing w:line="360" w:lineRule="auto"/>
        <w:jc w:val="center"/>
        <w:outlineLvl w:val="1"/>
        <w:rPr>
          <w:rFonts w:hint="eastAsia" w:ascii="仿宋" w:hAnsi="仿宋" w:eastAsia="仿宋" w:cs="仿宋"/>
          <w:b/>
          <w:color w:val="auto"/>
          <w:sz w:val="24"/>
          <w:highlight w:val="none"/>
        </w:rPr>
      </w:pPr>
      <w:bookmarkStart w:id="49" w:name="_Toc16713"/>
      <w:bookmarkStart w:id="50" w:name="_Toc24563"/>
      <w:r>
        <w:rPr>
          <w:rFonts w:hint="eastAsia" w:ascii="仿宋" w:hAnsi="仿宋" w:eastAsia="仿宋" w:cs="仿宋"/>
          <w:b/>
          <w:color w:val="auto"/>
          <w:sz w:val="24"/>
          <w:highlight w:val="none"/>
          <w:lang w:val="en-US" w:eastAsia="zh-CN"/>
        </w:rPr>
        <w:t>九</w:t>
      </w:r>
      <w:r>
        <w:rPr>
          <w:rFonts w:hint="eastAsia" w:ascii="仿宋" w:hAnsi="仿宋" w:eastAsia="仿宋" w:cs="仿宋"/>
          <w:b/>
          <w:color w:val="auto"/>
          <w:sz w:val="24"/>
          <w:highlight w:val="none"/>
        </w:rPr>
        <w:t>、残疾人福利性单位声明函</w:t>
      </w:r>
      <w:bookmarkEnd w:id="49"/>
      <w:bookmarkEnd w:id="50"/>
    </w:p>
    <w:p w14:paraId="7766D6F9">
      <w:pPr>
        <w:pStyle w:val="11"/>
        <w:spacing w:line="360" w:lineRule="auto"/>
        <w:jc w:val="center"/>
        <w:rPr>
          <w:rFonts w:hint="eastAsia" w:ascii="仿宋" w:hAnsi="仿宋" w:eastAsia="仿宋" w:cs="仿宋"/>
          <w:i/>
          <w:color w:val="auto"/>
          <w:sz w:val="24"/>
          <w:highlight w:val="none"/>
          <w:lang w:val="en-US"/>
        </w:rPr>
      </w:pPr>
      <w:r>
        <w:rPr>
          <w:rFonts w:hint="eastAsia" w:ascii="仿宋" w:hAnsi="仿宋" w:eastAsia="仿宋" w:cs="仿宋"/>
          <w:i/>
          <w:color w:val="auto"/>
          <w:sz w:val="24"/>
          <w:highlight w:val="none"/>
          <w:lang w:val="en-US"/>
        </w:rPr>
        <w:t>（非残疾人福利性单位投标，请删去“残疾人福利性单位声明函”）</w:t>
      </w:r>
    </w:p>
    <w:p w14:paraId="14DCC099">
      <w:pPr>
        <w:spacing w:line="360" w:lineRule="auto"/>
        <w:ind w:firstLine="43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w:t>
      </w:r>
      <w:r>
        <w:rPr>
          <w:rFonts w:hint="eastAsia" w:ascii="仿宋" w:hAnsi="仿宋" w:eastAsia="仿宋" w:cs="仿宋"/>
          <w:color w:val="auto"/>
          <w:sz w:val="24"/>
          <w:highlight w:val="none"/>
        </w:rPr>
        <w:t>郑重</w:t>
      </w:r>
      <w:r>
        <w:rPr>
          <w:rFonts w:hint="eastAsia" w:ascii="仿宋" w:hAnsi="仿宋" w:eastAsia="仿宋" w:cs="仿宋"/>
          <w:color w:val="auto"/>
          <w:spacing w:val="6"/>
          <w:sz w:val="24"/>
          <w:szCs w:val="24"/>
          <w:highlight w:val="none"/>
        </w:rPr>
        <w:t>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号）的规定，本单位为</w:t>
      </w:r>
      <w:r>
        <w:rPr>
          <w:rFonts w:hint="eastAsia" w:ascii="仿宋" w:hAnsi="仿宋" w:eastAsia="仿宋" w:cs="仿宋"/>
          <w:bCs/>
          <w:color w:val="auto"/>
          <w:sz w:val="24"/>
          <w:szCs w:val="24"/>
          <w:highlight w:val="none"/>
        </w:rPr>
        <w:t>符合</w:t>
      </w:r>
      <w:r>
        <w:rPr>
          <w:rFonts w:hint="eastAsia" w:ascii="仿宋" w:hAnsi="仿宋" w:eastAsia="仿宋" w:cs="仿宋"/>
          <w:color w:val="auto"/>
          <w:spacing w:val="6"/>
          <w:sz w:val="24"/>
          <w:szCs w:val="24"/>
          <w:highlight w:val="none"/>
        </w:rPr>
        <w:t>条件的残疾人福利性单位，且本单位参加</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B809A8D">
      <w:pPr>
        <w:spacing w:line="360" w:lineRule="auto"/>
        <w:ind w:firstLine="43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021C5BEB">
      <w:pPr>
        <w:spacing w:line="360" w:lineRule="auto"/>
        <w:ind w:firstLine="4228" w:firstLineChars="1762"/>
        <w:rPr>
          <w:rFonts w:hint="eastAsia" w:ascii="仿宋" w:hAnsi="仿宋" w:eastAsia="仿宋" w:cs="仿宋"/>
          <w:color w:val="auto"/>
          <w:sz w:val="24"/>
          <w:szCs w:val="24"/>
          <w:highlight w:val="none"/>
        </w:rPr>
      </w:pPr>
    </w:p>
    <w:p w14:paraId="59787B25">
      <w:pPr>
        <w:spacing w:line="360" w:lineRule="auto"/>
        <w:ind w:firstLine="4228" w:firstLineChars="1762"/>
        <w:rPr>
          <w:rFonts w:hint="eastAsia" w:ascii="仿宋" w:hAnsi="仿宋" w:eastAsia="仿宋" w:cs="仿宋"/>
          <w:color w:val="auto"/>
          <w:sz w:val="24"/>
          <w:szCs w:val="24"/>
          <w:highlight w:val="none"/>
        </w:rPr>
      </w:pPr>
    </w:p>
    <w:p w14:paraId="52004096">
      <w:pPr>
        <w:spacing w:line="360" w:lineRule="auto"/>
        <w:ind w:firstLine="4228" w:firstLineChars="176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投标人电子签章：</w:t>
      </w:r>
      <w:r>
        <w:rPr>
          <w:rFonts w:hint="eastAsia" w:ascii="仿宋" w:hAnsi="仿宋" w:eastAsia="仿宋" w:cs="仿宋"/>
          <w:color w:val="auto"/>
          <w:sz w:val="24"/>
          <w:szCs w:val="24"/>
          <w:highlight w:val="none"/>
          <w:u w:val="single"/>
        </w:rPr>
        <w:t xml:space="preserve">             </w:t>
      </w:r>
    </w:p>
    <w:p w14:paraId="09628EED">
      <w:pPr>
        <w:tabs>
          <w:tab w:val="left" w:pos="4620"/>
        </w:tabs>
        <w:spacing w:line="360" w:lineRule="auto"/>
        <w:ind w:firstLine="4252" w:firstLineChars="177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166EBE17">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2BA3AE9">
      <w:pPr>
        <w:spacing w:line="360" w:lineRule="auto"/>
        <w:jc w:val="center"/>
        <w:outlineLvl w:val="1"/>
        <w:rPr>
          <w:rFonts w:hint="eastAsia" w:ascii="仿宋" w:hAnsi="仿宋" w:eastAsia="仿宋" w:cs="仿宋"/>
          <w:b/>
          <w:color w:val="auto"/>
          <w:sz w:val="24"/>
          <w:highlight w:val="none"/>
        </w:rPr>
      </w:pPr>
      <w:bookmarkStart w:id="51" w:name="_Toc300210382"/>
      <w:bookmarkStart w:id="52" w:name="_Toc457768004"/>
      <w:bookmarkStart w:id="53" w:name="_Toc520299348"/>
      <w:bookmarkStart w:id="54" w:name="_Toc25813"/>
      <w:bookmarkStart w:id="55" w:name="_Toc26536"/>
      <w:bookmarkStart w:id="56" w:name="_Hlk11701496"/>
      <w:r>
        <w:rPr>
          <w:rFonts w:hint="eastAsia" w:ascii="仿宋" w:hAnsi="仿宋" w:eastAsia="仿宋" w:cs="仿宋"/>
          <w:b/>
          <w:color w:val="auto"/>
          <w:sz w:val="24"/>
          <w:highlight w:val="none"/>
          <w:lang w:val="en-US" w:eastAsia="zh-CN"/>
        </w:rPr>
        <w:t>十</w:t>
      </w:r>
      <w:r>
        <w:rPr>
          <w:rFonts w:hint="eastAsia" w:ascii="仿宋" w:hAnsi="仿宋" w:eastAsia="仿宋" w:cs="仿宋"/>
          <w:b/>
          <w:color w:val="auto"/>
          <w:sz w:val="24"/>
          <w:highlight w:val="none"/>
        </w:rPr>
        <w:t>、关于符合本国产品标准的声明函</w:t>
      </w:r>
    </w:p>
    <w:p w14:paraId="40EA45CC">
      <w:pPr>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i/>
          <w:color w:val="auto"/>
          <w:sz w:val="24"/>
          <w:highlight w:val="none"/>
        </w:rPr>
        <w:t>（不符合本国产品扶持政策，不需此件）</w:t>
      </w:r>
    </w:p>
    <w:p w14:paraId="03E5DCF9">
      <w:pPr>
        <w:pStyle w:val="23"/>
        <w:widowControl/>
        <w:spacing w:before="0" w:beforeAutospacing="0" w:after="0" w:afterAutospacing="0" w:line="360" w:lineRule="auto"/>
        <w:ind w:firstLine="420"/>
        <w:textAlignment w:val="baseline"/>
        <w:rPr>
          <w:rFonts w:hint="eastAsia"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A2E6911">
      <w:pPr>
        <w:pStyle w:val="23"/>
        <w:widowControl/>
        <w:spacing w:before="0" w:beforeAutospacing="0" w:after="0" w:afterAutospacing="0" w:line="360" w:lineRule="auto"/>
        <w:ind w:firstLine="420"/>
        <w:textAlignment w:val="baseline"/>
        <w:rPr>
          <w:rFonts w:hint="eastAsia"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1.</w:t>
      </w:r>
      <w:r>
        <w:rPr>
          <w:rStyle w:val="34"/>
          <w:rFonts w:hint="eastAsia" w:ascii="仿宋" w:hAnsi="仿宋" w:eastAsia="仿宋" w:cs="仿宋"/>
          <w:color w:val="auto"/>
          <w:szCs w:val="24"/>
          <w:highlight w:val="none"/>
          <w:u w:val="single"/>
          <w:shd w:val="clear" w:color="auto" w:fill="FFFFFF"/>
        </w:rPr>
        <w:t>（产品名称1）</w:t>
      </w:r>
      <w:r>
        <w:rPr>
          <w:rStyle w:val="34"/>
          <w:rFonts w:hint="eastAsia" w:ascii="仿宋" w:hAnsi="仿宋" w:eastAsia="仿宋" w:cs="仿宋"/>
          <w:color w:val="auto"/>
          <w:szCs w:val="24"/>
          <w:highlight w:val="none"/>
          <w:shd w:val="clear" w:color="auto" w:fill="FFFFFF"/>
          <w:vertAlign w:val="superscript"/>
        </w:rPr>
        <w:t>1</w:t>
      </w:r>
      <w:r>
        <w:rPr>
          <w:rFonts w:hint="eastAsia" w:ascii="仿宋" w:hAnsi="仿宋" w:eastAsia="仿宋" w:cs="仿宋"/>
          <w:color w:val="auto"/>
          <w:szCs w:val="24"/>
          <w:highlight w:val="none"/>
          <w:shd w:val="clear" w:color="auto" w:fill="FFFFFF"/>
        </w:rPr>
        <w:t>，生产厂为</w:t>
      </w:r>
      <w:r>
        <w:rPr>
          <w:rStyle w:val="34"/>
          <w:rFonts w:hint="eastAsia" w:ascii="仿宋" w:hAnsi="仿宋" w:eastAsia="仿宋" w:cs="仿宋"/>
          <w:color w:val="auto"/>
          <w:szCs w:val="24"/>
          <w:highlight w:val="none"/>
          <w:u w:val="single"/>
          <w:shd w:val="clear" w:color="auto" w:fill="FFFFFF"/>
        </w:rPr>
        <w:t>（厂名）</w:t>
      </w:r>
      <w:r>
        <w:rPr>
          <w:rStyle w:val="34"/>
          <w:rFonts w:hint="eastAsia" w:ascii="仿宋" w:hAnsi="仿宋" w:eastAsia="仿宋" w:cs="仿宋"/>
          <w:color w:val="auto"/>
          <w:szCs w:val="24"/>
          <w:highlight w:val="none"/>
          <w:shd w:val="clear" w:color="auto" w:fill="FFFFFF"/>
          <w:vertAlign w:val="superscript"/>
        </w:rPr>
        <w:t>2</w:t>
      </w:r>
      <w:r>
        <w:rPr>
          <w:rFonts w:hint="eastAsia" w:ascii="仿宋" w:hAnsi="仿宋" w:eastAsia="仿宋" w:cs="仿宋"/>
          <w:color w:val="auto"/>
          <w:szCs w:val="24"/>
          <w:highlight w:val="none"/>
          <w:shd w:val="clear" w:color="auto" w:fill="FFFFFF"/>
        </w:rPr>
        <w:t>，厂址为</w:t>
      </w:r>
      <w:r>
        <w:rPr>
          <w:rStyle w:val="34"/>
          <w:rFonts w:hint="eastAsia" w:ascii="仿宋" w:hAnsi="仿宋" w:eastAsia="仿宋" w:cs="仿宋"/>
          <w:color w:val="auto"/>
          <w:szCs w:val="24"/>
          <w:highlight w:val="none"/>
          <w:u w:val="single"/>
          <w:shd w:val="clear" w:color="auto" w:fill="FFFFFF"/>
        </w:rPr>
        <w:t>（生产厂址）</w:t>
      </w:r>
      <w:r>
        <w:rPr>
          <w:rFonts w:hint="eastAsia" w:ascii="仿宋" w:hAnsi="仿宋" w:eastAsia="仿宋" w:cs="仿宋"/>
          <w:color w:val="auto"/>
          <w:szCs w:val="24"/>
          <w:highlight w:val="none"/>
          <w:shd w:val="clear" w:color="auto" w:fill="FFFFFF"/>
        </w:rPr>
        <w:t>。</w:t>
      </w:r>
      <w:r>
        <w:rPr>
          <w:rStyle w:val="34"/>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的中国境内生产的组件成本占比≥</w:t>
      </w:r>
      <w:r>
        <w:rPr>
          <w:rStyle w:val="34"/>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w:t>
      </w:r>
      <w:r>
        <w:rPr>
          <w:rStyle w:val="34"/>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的</w:t>
      </w:r>
      <w:r>
        <w:rPr>
          <w:rStyle w:val="34"/>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在中国境内生产。</w:t>
      </w:r>
      <w:r>
        <w:rPr>
          <w:rStyle w:val="34"/>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的</w:t>
      </w:r>
      <w:r>
        <w:rPr>
          <w:rStyle w:val="34"/>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在中国境内完成。</w:t>
      </w:r>
    </w:p>
    <w:p w14:paraId="5F339722">
      <w:pPr>
        <w:pStyle w:val="23"/>
        <w:widowControl/>
        <w:spacing w:before="0" w:beforeAutospacing="0" w:after="0" w:afterAutospacing="0" w:line="360" w:lineRule="auto"/>
        <w:ind w:firstLine="420"/>
        <w:textAlignment w:val="baseline"/>
        <w:rPr>
          <w:rFonts w:hint="eastAsia"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2.</w:t>
      </w:r>
      <w:r>
        <w:rPr>
          <w:rStyle w:val="34"/>
          <w:rFonts w:hint="eastAsia" w:ascii="仿宋" w:hAnsi="仿宋" w:eastAsia="仿宋" w:cs="仿宋"/>
          <w:color w:val="auto"/>
          <w:szCs w:val="24"/>
          <w:highlight w:val="none"/>
          <w:u w:val="single"/>
          <w:shd w:val="clear" w:color="auto" w:fill="FFFFFF"/>
        </w:rPr>
        <w:t>（产品名称2）</w:t>
      </w:r>
      <w:r>
        <w:rPr>
          <w:rFonts w:hint="eastAsia" w:ascii="仿宋" w:hAnsi="仿宋" w:eastAsia="仿宋" w:cs="仿宋"/>
          <w:color w:val="auto"/>
          <w:szCs w:val="24"/>
          <w:highlight w:val="none"/>
          <w:shd w:val="clear" w:color="auto" w:fill="FFFFFF"/>
        </w:rPr>
        <w:t>，生产厂为</w:t>
      </w:r>
      <w:r>
        <w:rPr>
          <w:rStyle w:val="34"/>
          <w:rFonts w:hint="eastAsia" w:ascii="仿宋" w:hAnsi="仿宋" w:eastAsia="仿宋" w:cs="仿宋"/>
          <w:color w:val="auto"/>
          <w:szCs w:val="24"/>
          <w:highlight w:val="none"/>
          <w:u w:val="single"/>
          <w:shd w:val="clear" w:color="auto" w:fill="FFFFFF"/>
        </w:rPr>
        <w:t>（厂名）</w:t>
      </w:r>
      <w:r>
        <w:rPr>
          <w:rFonts w:hint="eastAsia" w:ascii="仿宋" w:hAnsi="仿宋" w:eastAsia="仿宋" w:cs="仿宋"/>
          <w:color w:val="auto"/>
          <w:szCs w:val="24"/>
          <w:highlight w:val="none"/>
          <w:shd w:val="clear" w:color="auto" w:fill="FFFFFF"/>
        </w:rPr>
        <w:t>，厂址为</w:t>
      </w:r>
      <w:r>
        <w:rPr>
          <w:rStyle w:val="34"/>
          <w:rFonts w:hint="eastAsia" w:ascii="仿宋" w:hAnsi="仿宋" w:eastAsia="仿宋" w:cs="仿宋"/>
          <w:color w:val="auto"/>
          <w:szCs w:val="24"/>
          <w:highlight w:val="none"/>
          <w:u w:val="single"/>
          <w:shd w:val="clear" w:color="auto" w:fill="FFFFFF"/>
        </w:rPr>
        <w:t>（生产厂址）</w:t>
      </w:r>
      <w:r>
        <w:rPr>
          <w:rFonts w:hint="eastAsia" w:ascii="仿宋" w:hAnsi="仿宋" w:eastAsia="仿宋" w:cs="仿宋"/>
          <w:color w:val="auto"/>
          <w:szCs w:val="24"/>
          <w:highlight w:val="none"/>
          <w:shd w:val="clear" w:color="auto" w:fill="FFFFFF"/>
        </w:rPr>
        <w:t>。</w:t>
      </w:r>
      <w:r>
        <w:rPr>
          <w:rStyle w:val="34"/>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的中国境内生产的组件成本占比≥</w:t>
      </w:r>
      <w:r>
        <w:rPr>
          <w:rStyle w:val="34"/>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w:t>
      </w:r>
      <w:r>
        <w:rPr>
          <w:rStyle w:val="34"/>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的</w:t>
      </w:r>
      <w:r>
        <w:rPr>
          <w:rStyle w:val="34"/>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在中国境内生产。</w:t>
      </w:r>
      <w:r>
        <w:rPr>
          <w:rStyle w:val="34"/>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的</w:t>
      </w:r>
      <w:r>
        <w:rPr>
          <w:rStyle w:val="34"/>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在中国境内完成。</w:t>
      </w:r>
    </w:p>
    <w:p w14:paraId="0FE982D5">
      <w:pPr>
        <w:pStyle w:val="23"/>
        <w:widowControl/>
        <w:spacing w:before="0" w:beforeAutospacing="0" w:after="0" w:afterAutospacing="0" w:line="360" w:lineRule="auto"/>
        <w:ind w:firstLine="420"/>
        <w:textAlignment w:val="baseline"/>
        <w:rPr>
          <w:rFonts w:hint="eastAsia"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w:t>
      </w:r>
    </w:p>
    <w:p w14:paraId="4ABE8659">
      <w:pPr>
        <w:pStyle w:val="23"/>
        <w:widowControl/>
        <w:spacing w:before="0" w:beforeAutospacing="0" w:after="0" w:afterAutospacing="0" w:line="360" w:lineRule="auto"/>
        <w:ind w:firstLine="420"/>
        <w:textAlignment w:val="baseline"/>
        <w:rPr>
          <w:rFonts w:hint="eastAsia"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本公司（单位）对上述声明内容的真实性负责。如有虚假，愿承担相应法律责任。</w:t>
      </w:r>
    </w:p>
    <w:p w14:paraId="074DEFF8">
      <w:pPr>
        <w:spacing w:line="360" w:lineRule="auto"/>
        <w:ind w:firstLine="4228" w:firstLineChars="176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投标人电子签章：</w:t>
      </w:r>
      <w:r>
        <w:rPr>
          <w:rFonts w:hint="eastAsia" w:ascii="仿宋" w:hAnsi="仿宋" w:eastAsia="仿宋" w:cs="仿宋"/>
          <w:color w:val="auto"/>
          <w:sz w:val="24"/>
          <w:szCs w:val="24"/>
          <w:highlight w:val="none"/>
          <w:u w:val="single"/>
        </w:rPr>
        <w:t xml:space="preserve">             </w:t>
      </w:r>
    </w:p>
    <w:p w14:paraId="35CCD9C8">
      <w:pPr>
        <w:tabs>
          <w:tab w:val="left" w:pos="4620"/>
        </w:tabs>
        <w:spacing w:line="360" w:lineRule="auto"/>
        <w:ind w:firstLine="4252" w:firstLineChars="1772"/>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38E84EBD">
      <w:pPr>
        <w:tabs>
          <w:tab w:val="left" w:pos="4620"/>
        </w:tabs>
        <w:spacing w:line="360" w:lineRule="auto"/>
        <w:jc w:val="left"/>
        <w:rPr>
          <w:rFonts w:hint="eastAsia" w:ascii="仿宋" w:hAnsi="仿宋" w:eastAsia="仿宋" w:cs="仿宋"/>
          <w:bCs/>
          <w:color w:val="auto"/>
          <w:szCs w:val="24"/>
          <w:highlight w:val="none"/>
        </w:rPr>
      </w:pPr>
      <w:r>
        <w:rPr>
          <w:rFonts w:hint="eastAsia" w:ascii="仿宋" w:hAnsi="仿宋" w:eastAsia="仿宋" w:cs="仿宋"/>
          <w:b/>
          <w:color w:val="auto"/>
          <w:szCs w:val="24"/>
          <w:highlight w:val="none"/>
        </w:rPr>
        <w:t>注：</w:t>
      </w:r>
    </w:p>
    <w:p w14:paraId="5839B8EF">
      <w:pPr>
        <w:tabs>
          <w:tab w:val="left" w:pos="4620"/>
        </w:tabs>
        <w:spacing w:line="360" w:lineRule="auto"/>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1.产品如有型号，请在“产品名称”栏一并填写。</w:t>
      </w:r>
    </w:p>
    <w:p w14:paraId="53BC9F17">
      <w:pPr>
        <w:tabs>
          <w:tab w:val="left" w:pos="4620"/>
        </w:tabs>
        <w:spacing w:line="360" w:lineRule="auto"/>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2.生产厂名与厂址应与生产厂营业执照载明的相关信息保持一致。</w:t>
      </w:r>
    </w:p>
    <w:p w14:paraId="71D98561">
      <w:pPr>
        <w:tabs>
          <w:tab w:val="left" w:pos="4620"/>
        </w:tabs>
        <w:spacing w:line="360" w:lineRule="auto"/>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3.上述声明函中标注</w:t>
      </w:r>
      <w:r>
        <w:rPr>
          <w:rFonts w:hint="eastAsia" w:ascii="仿宋" w:hAnsi="仿宋" w:eastAsia="仿宋" w:cs="仿宋"/>
          <w:bCs/>
          <w:color w:val="auto"/>
          <w:szCs w:val="21"/>
          <w:highlight w:val="none"/>
          <w:u w:val="single"/>
        </w:rPr>
        <w:t xml:space="preserve">  /  </w:t>
      </w:r>
      <w:r>
        <w:rPr>
          <w:rFonts w:hint="eastAsia" w:ascii="仿宋" w:hAnsi="仿宋" w:eastAsia="仿宋" w:cs="仿宋"/>
          <w:bCs/>
          <w:color w:val="auto"/>
          <w:szCs w:val="21"/>
          <w:highlight w:val="none"/>
        </w:rPr>
        <w:t>的，无需填写。</w:t>
      </w:r>
    </w:p>
    <w:p w14:paraId="24919605">
      <w:pPr>
        <w:tabs>
          <w:tab w:val="left" w:pos="4620"/>
        </w:tabs>
        <w:spacing w:line="360" w:lineRule="auto"/>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4.投标人应当结合“五、投标分项报价表-货物部分”相关信息进行填写。</w:t>
      </w:r>
    </w:p>
    <w:p w14:paraId="155EF329">
      <w:pPr>
        <w:tabs>
          <w:tab w:val="left" w:pos="4620"/>
        </w:tabs>
        <w:spacing w:line="360" w:lineRule="auto"/>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2184CA">
      <w:pPr>
        <w:tabs>
          <w:tab w:val="left" w:pos="4620"/>
        </w:tabs>
        <w:spacing w:line="360" w:lineRule="auto"/>
        <w:jc w:val="left"/>
        <w:rPr>
          <w:rFonts w:hint="eastAsia" w:ascii="仿宋" w:hAnsi="仿宋" w:eastAsia="仿宋" w:cs="仿宋"/>
          <w:b/>
          <w:color w:val="auto"/>
          <w:sz w:val="24"/>
          <w:highlight w:val="none"/>
        </w:rPr>
      </w:pPr>
    </w:p>
    <w:p w14:paraId="106A6442">
      <w:pPr>
        <w:pStyle w:val="27"/>
        <w:ind w:firstLine="241"/>
        <w:rPr>
          <w:rFonts w:hint="eastAsia" w:ascii="仿宋" w:hAnsi="仿宋" w:eastAsia="仿宋" w:cs="仿宋"/>
          <w:b/>
          <w:color w:val="auto"/>
          <w:sz w:val="24"/>
          <w:highlight w:val="none"/>
          <w:lang w:val="en-US"/>
        </w:rPr>
      </w:pPr>
    </w:p>
    <w:p w14:paraId="3FA5513F">
      <w:pPr>
        <w:pStyle w:val="27"/>
        <w:ind w:firstLine="241"/>
        <w:rPr>
          <w:rFonts w:hint="eastAsia" w:ascii="仿宋" w:hAnsi="仿宋" w:eastAsia="仿宋" w:cs="仿宋"/>
          <w:b/>
          <w:color w:val="auto"/>
          <w:sz w:val="24"/>
          <w:highlight w:val="none"/>
          <w:lang w:val="en-US"/>
        </w:rPr>
      </w:pPr>
    </w:p>
    <w:p w14:paraId="2B239811">
      <w:pPr>
        <w:pStyle w:val="27"/>
        <w:ind w:firstLine="241"/>
        <w:rPr>
          <w:rFonts w:hint="eastAsia" w:ascii="仿宋" w:hAnsi="仿宋" w:eastAsia="仿宋" w:cs="仿宋"/>
          <w:b/>
          <w:color w:val="auto"/>
          <w:sz w:val="24"/>
          <w:highlight w:val="none"/>
          <w:lang w:val="en-US"/>
        </w:rPr>
      </w:pPr>
    </w:p>
    <w:p w14:paraId="4E15391A">
      <w:pPr>
        <w:pStyle w:val="27"/>
        <w:ind w:firstLine="241"/>
        <w:rPr>
          <w:rFonts w:hint="eastAsia" w:ascii="仿宋" w:hAnsi="仿宋" w:eastAsia="仿宋" w:cs="仿宋"/>
          <w:b/>
          <w:color w:val="auto"/>
          <w:sz w:val="24"/>
          <w:highlight w:val="none"/>
          <w:lang w:val="en-US"/>
        </w:rPr>
      </w:pPr>
    </w:p>
    <w:p w14:paraId="2ED734A0">
      <w:pPr>
        <w:pStyle w:val="27"/>
        <w:ind w:firstLine="241"/>
        <w:rPr>
          <w:rFonts w:hint="eastAsia" w:ascii="仿宋" w:hAnsi="仿宋" w:eastAsia="仿宋" w:cs="仿宋"/>
          <w:b/>
          <w:color w:val="auto"/>
          <w:sz w:val="24"/>
          <w:highlight w:val="none"/>
          <w:lang w:val="en-US"/>
        </w:rPr>
      </w:pPr>
    </w:p>
    <w:p w14:paraId="340A7F4F">
      <w:pPr>
        <w:pStyle w:val="27"/>
        <w:ind w:firstLine="241"/>
        <w:rPr>
          <w:rFonts w:hint="eastAsia" w:ascii="仿宋" w:hAnsi="仿宋" w:eastAsia="仿宋" w:cs="仿宋"/>
          <w:b/>
          <w:color w:val="auto"/>
          <w:sz w:val="24"/>
          <w:highlight w:val="none"/>
          <w:lang w:val="en-US"/>
        </w:rPr>
      </w:pPr>
    </w:p>
    <w:p w14:paraId="1FD47197">
      <w:pPr>
        <w:pStyle w:val="27"/>
        <w:ind w:firstLine="241"/>
        <w:rPr>
          <w:rFonts w:hint="eastAsia" w:ascii="仿宋" w:hAnsi="仿宋" w:eastAsia="仿宋" w:cs="仿宋"/>
          <w:b/>
          <w:color w:val="auto"/>
          <w:sz w:val="24"/>
          <w:highlight w:val="none"/>
          <w:lang w:val="en-US"/>
        </w:rPr>
      </w:pPr>
    </w:p>
    <w:p w14:paraId="42394348">
      <w:pPr>
        <w:pStyle w:val="27"/>
        <w:ind w:firstLine="241"/>
        <w:rPr>
          <w:rFonts w:hint="eastAsia" w:ascii="仿宋" w:hAnsi="仿宋" w:eastAsia="仿宋" w:cs="仿宋"/>
          <w:b/>
          <w:color w:val="auto"/>
          <w:sz w:val="24"/>
          <w:highlight w:val="none"/>
          <w:lang w:val="en-US"/>
        </w:rPr>
      </w:pPr>
    </w:p>
    <w:p w14:paraId="29B485F4">
      <w:pPr>
        <w:pStyle w:val="27"/>
        <w:ind w:firstLine="241"/>
        <w:rPr>
          <w:rFonts w:hint="eastAsia" w:ascii="仿宋" w:hAnsi="仿宋" w:eastAsia="仿宋" w:cs="仿宋"/>
          <w:b/>
          <w:color w:val="auto"/>
          <w:sz w:val="24"/>
          <w:highlight w:val="none"/>
          <w:lang w:val="en-US"/>
        </w:rPr>
      </w:pPr>
    </w:p>
    <w:p w14:paraId="3916155A">
      <w:pPr>
        <w:pStyle w:val="27"/>
        <w:ind w:firstLine="241"/>
        <w:rPr>
          <w:rFonts w:hint="eastAsia" w:ascii="仿宋" w:hAnsi="仿宋" w:eastAsia="仿宋" w:cs="仿宋"/>
          <w:b/>
          <w:color w:val="auto"/>
          <w:sz w:val="24"/>
          <w:highlight w:val="none"/>
          <w:lang w:val="en-US"/>
        </w:rPr>
      </w:pPr>
    </w:p>
    <w:p w14:paraId="355719D6">
      <w:pPr>
        <w:pStyle w:val="27"/>
        <w:ind w:firstLine="241"/>
        <w:rPr>
          <w:rFonts w:hint="eastAsia" w:ascii="仿宋" w:hAnsi="仿宋" w:eastAsia="仿宋" w:cs="仿宋"/>
          <w:b/>
          <w:color w:val="auto"/>
          <w:sz w:val="24"/>
          <w:highlight w:val="none"/>
          <w:lang w:val="en-US"/>
        </w:rPr>
      </w:pPr>
    </w:p>
    <w:p w14:paraId="343F834C">
      <w:pPr>
        <w:pStyle w:val="27"/>
        <w:ind w:firstLine="241"/>
        <w:rPr>
          <w:rFonts w:hint="eastAsia" w:ascii="仿宋" w:hAnsi="仿宋" w:eastAsia="仿宋" w:cs="仿宋"/>
          <w:b/>
          <w:color w:val="auto"/>
          <w:sz w:val="24"/>
          <w:highlight w:val="none"/>
          <w:lang w:val="en-US"/>
        </w:rPr>
      </w:pPr>
    </w:p>
    <w:p w14:paraId="4260B0F0">
      <w:pPr>
        <w:pStyle w:val="27"/>
        <w:ind w:firstLine="241"/>
        <w:rPr>
          <w:rFonts w:hint="eastAsia" w:ascii="仿宋" w:hAnsi="仿宋" w:eastAsia="仿宋" w:cs="仿宋"/>
          <w:b/>
          <w:color w:val="auto"/>
          <w:sz w:val="24"/>
          <w:highlight w:val="none"/>
          <w:lang w:val="en-US"/>
        </w:rPr>
      </w:pPr>
    </w:p>
    <w:p w14:paraId="2DBFD204">
      <w:pPr>
        <w:pStyle w:val="27"/>
        <w:ind w:firstLine="241"/>
        <w:rPr>
          <w:rFonts w:hint="eastAsia" w:ascii="仿宋" w:hAnsi="仿宋" w:eastAsia="仿宋" w:cs="仿宋"/>
          <w:b/>
          <w:color w:val="auto"/>
          <w:sz w:val="24"/>
          <w:highlight w:val="none"/>
          <w:lang w:val="en-US"/>
        </w:rPr>
      </w:pPr>
    </w:p>
    <w:p w14:paraId="599B3A26">
      <w:pPr>
        <w:pStyle w:val="27"/>
        <w:ind w:firstLine="241"/>
        <w:rPr>
          <w:rFonts w:hint="eastAsia" w:ascii="仿宋" w:hAnsi="仿宋" w:eastAsia="仿宋" w:cs="仿宋"/>
          <w:b/>
          <w:color w:val="auto"/>
          <w:sz w:val="24"/>
          <w:highlight w:val="none"/>
          <w:lang w:val="en-US"/>
        </w:rPr>
      </w:pPr>
    </w:p>
    <w:p w14:paraId="4C560EF7">
      <w:pPr>
        <w:pStyle w:val="27"/>
        <w:ind w:firstLine="241"/>
        <w:rPr>
          <w:rFonts w:hint="eastAsia" w:ascii="仿宋" w:hAnsi="仿宋" w:eastAsia="仿宋" w:cs="仿宋"/>
          <w:b/>
          <w:color w:val="auto"/>
          <w:sz w:val="24"/>
          <w:highlight w:val="none"/>
          <w:lang w:val="en-US"/>
        </w:rPr>
      </w:pPr>
    </w:p>
    <w:p w14:paraId="174FCAB8">
      <w:pPr>
        <w:pStyle w:val="27"/>
        <w:ind w:firstLine="241"/>
        <w:rPr>
          <w:rFonts w:hint="eastAsia" w:ascii="仿宋" w:hAnsi="仿宋" w:eastAsia="仿宋" w:cs="仿宋"/>
          <w:b/>
          <w:color w:val="auto"/>
          <w:sz w:val="24"/>
          <w:highlight w:val="none"/>
          <w:lang w:val="en-US"/>
        </w:rPr>
      </w:pPr>
    </w:p>
    <w:p w14:paraId="57C2AD2B">
      <w:pPr>
        <w:pStyle w:val="27"/>
        <w:ind w:firstLine="241"/>
        <w:rPr>
          <w:rFonts w:hint="eastAsia" w:ascii="仿宋" w:hAnsi="仿宋" w:eastAsia="仿宋" w:cs="仿宋"/>
          <w:b/>
          <w:color w:val="auto"/>
          <w:sz w:val="24"/>
          <w:highlight w:val="none"/>
          <w:lang w:val="en-US"/>
        </w:rPr>
      </w:pPr>
    </w:p>
    <w:p w14:paraId="61483988">
      <w:pPr>
        <w:pStyle w:val="27"/>
        <w:ind w:firstLine="241"/>
        <w:rPr>
          <w:rFonts w:hint="eastAsia" w:ascii="仿宋" w:hAnsi="仿宋" w:eastAsia="仿宋" w:cs="仿宋"/>
          <w:b/>
          <w:color w:val="auto"/>
          <w:sz w:val="24"/>
          <w:highlight w:val="none"/>
          <w:lang w:val="en-US"/>
        </w:rPr>
      </w:pPr>
    </w:p>
    <w:p w14:paraId="62FFD787">
      <w:pPr>
        <w:pStyle w:val="27"/>
        <w:ind w:firstLine="241"/>
        <w:rPr>
          <w:rFonts w:hint="eastAsia" w:ascii="仿宋" w:hAnsi="仿宋" w:eastAsia="仿宋" w:cs="仿宋"/>
          <w:b/>
          <w:color w:val="auto"/>
          <w:sz w:val="24"/>
          <w:highlight w:val="none"/>
          <w:lang w:val="en-US"/>
        </w:rPr>
      </w:pPr>
    </w:p>
    <w:p w14:paraId="4E0CA781">
      <w:pPr>
        <w:pStyle w:val="27"/>
        <w:ind w:firstLine="241"/>
        <w:rPr>
          <w:rFonts w:hint="eastAsia" w:ascii="仿宋" w:hAnsi="仿宋" w:eastAsia="仿宋" w:cs="仿宋"/>
          <w:b/>
          <w:color w:val="auto"/>
          <w:sz w:val="24"/>
          <w:highlight w:val="none"/>
          <w:lang w:val="en-US"/>
        </w:rPr>
      </w:pPr>
    </w:p>
    <w:p w14:paraId="512CB0A1">
      <w:pPr>
        <w:pStyle w:val="27"/>
        <w:ind w:firstLine="241"/>
        <w:rPr>
          <w:rFonts w:hint="eastAsia" w:ascii="仿宋" w:hAnsi="仿宋" w:eastAsia="仿宋" w:cs="仿宋"/>
          <w:b/>
          <w:color w:val="auto"/>
          <w:sz w:val="24"/>
          <w:highlight w:val="none"/>
          <w:lang w:val="en-US"/>
        </w:rPr>
      </w:pPr>
    </w:p>
    <w:p w14:paraId="1E87435C">
      <w:pPr>
        <w:pStyle w:val="27"/>
        <w:ind w:firstLine="241"/>
        <w:rPr>
          <w:rFonts w:hint="eastAsia" w:ascii="仿宋" w:hAnsi="仿宋" w:eastAsia="仿宋" w:cs="仿宋"/>
          <w:b/>
          <w:color w:val="auto"/>
          <w:sz w:val="24"/>
          <w:highlight w:val="none"/>
          <w:lang w:val="en-US"/>
        </w:rPr>
      </w:pPr>
    </w:p>
    <w:p w14:paraId="03BE18A2">
      <w:pPr>
        <w:pStyle w:val="27"/>
        <w:ind w:firstLine="241"/>
        <w:rPr>
          <w:rFonts w:hint="eastAsia" w:ascii="仿宋" w:hAnsi="仿宋" w:eastAsia="仿宋" w:cs="仿宋"/>
          <w:b/>
          <w:color w:val="auto"/>
          <w:sz w:val="24"/>
          <w:highlight w:val="none"/>
          <w:lang w:val="en-US"/>
        </w:rPr>
      </w:pPr>
    </w:p>
    <w:p w14:paraId="505B858D">
      <w:pPr>
        <w:pStyle w:val="27"/>
        <w:ind w:firstLine="241"/>
        <w:rPr>
          <w:rFonts w:hint="eastAsia" w:ascii="仿宋" w:hAnsi="仿宋" w:eastAsia="仿宋" w:cs="仿宋"/>
          <w:b/>
          <w:color w:val="auto"/>
          <w:sz w:val="24"/>
          <w:highlight w:val="none"/>
          <w:lang w:val="en-US"/>
        </w:rPr>
      </w:pPr>
    </w:p>
    <w:p w14:paraId="0F8B2C40">
      <w:pPr>
        <w:pStyle w:val="27"/>
        <w:ind w:firstLine="241"/>
        <w:rPr>
          <w:rFonts w:hint="eastAsia" w:ascii="仿宋" w:hAnsi="仿宋" w:eastAsia="仿宋" w:cs="仿宋"/>
          <w:b/>
          <w:color w:val="auto"/>
          <w:sz w:val="24"/>
          <w:highlight w:val="none"/>
          <w:lang w:val="en-US"/>
        </w:rPr>
      </w:pPr>
    </w:p>
    <w:p w14:paraId="0F4E20C2">
      <w:pPr>
        <w:pStyle w:val="27"/>
        <w:ind w:firstLine="241"/>
        <w:rPr>
          <w:rFonts w:hint="eastAsia" w:ascii="仿宋" w:hAnsi="仿宋" w:eastAsia="仿宋" w:cs="仿宋"/>
          <w:b/>
          <w:color w:val="auto"/>
          <w:sz w:val="24"/>
          <w:highlight w:val="none"/>
          <w:lang w:val="en-US"/>
        </w:rPr>
      </w:pPr>
    </w:p>
    <w:p w14:paraId="2AA359A7">
      <w:pPr>
        <w:pStyle w:val="27"/>
        <w:ind w:firstLine="241"/>
        <w:rPr>
          <w:rFonts w:hint="eastAsia" w:ascii="仿宋" w:hAnsi="仿宋" w:eastAsia="仿宋" w:cs="仿宋"/>
          <w:b/>
          <w:color w:val="auto"/>
          <w:sz w:val="24"/>
          <w:highlight w:val="none"/>
          <w:lang w:val="en-US"/>
        </w:rPr>
      </w:pPr>
    </w:p>
    <w:p w14:paraId="4C0621B3">
      <w:pPr>
        <w:pStyle w:val="27"/>
        <w:ind w:firstLine="241"/>
        <w:rPr>
          <w:rFonts w:hint="eastAsia" w:ascii="仿宋" w:hAnsi="仿宋" w:eastAsia="仿宋" w:cs="仿宋"/>
          <w:b/>
          <w:color w:val="auto"/>
          <w:sz w:val="24"/>
          <w:highlight w:val="none"/>
          <w:lang w:val="en-US"/>
        </w:rPr>
      </w:pPr>
    </w:p>
    <w:p w14:paraId="677125DB">
      <w:pPr>
        <w:pStyle w:val="27"/>
        <w:ind w:firstLine="0" w:firstLineChars="0"/>
        <w:rPr>
          <w:rFonts w:hint="eastAsia" w:ascii="仿宋" w:hAnsi="仿宋" w:eastAsia="仿宋" w:cs="仿宋"/>
          <w:b/>
          <w:color w:val="auto"/>
          <w:sz w:val="24"/>
          <w:highlight w:val="none"/>
          <w:lang w:val="en-US"/>
        </w:rPr>
      </w:pPr>
    </w:p>
    <w:p w14:paraId="41A4308F">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val="en-US" w:eastAsia="zh-CN"/>
        </w:rPr>
        <w:t>一</w:t>
      </w:r>
      <w:r>
        <w:rPr>
          <w:rFonts w:hint="eastAsia" w:ascii="仿宋" w:hAnsi="仿宋" w:eastAsia="仿宋" w:cs="仿宋"/>
          <w:b/>
          <w:color w:val="auto"/>
          <w:sz w:val="24"/>
          <w:highlight w:val="none"/>
        </w:rPr>
        <w:t>、</w:t>
      </w:r>
      <w:bookmarkEnd w:id="51"/>
      <w:bookmarkEnd w:id="52"/>
      <w:bookmarkEnd w:id="53"/>
      <w:r>
        <w:rPr>
          <w:rFonts w:hint="eastAsia" w:ascii="仿宋" w:hAnsi="仿宋" w:eastAsia="仿宋" w:cs="仿宋"/>
          <w:b/>
          <w:color w:val="auto"/>
          <w:sz w:val="24"/>
          <w:highlight w:val="none"/>
        </w:rPr>
        <w:t>诚信履约承诺函</w:t>
      </w:r>
      <w:bookmarkEnd w:id="54"/>
      <w:bookmarkEnd w:id="55"/>
    </w:p>
    <w:p w14:paraId="67A14D02">
      <w:pPr>
        <w:spacing w:line="360" w:lineRule="auto"/>
        <w:rPr>
          <w:rFonts w:hint="eastAsia" w:ascii="仿宋" w:hAnsi="仿宋" w:eastAsia="仿宋" w:cs="仿宋"/>
          <w:b/>
          <w:bCs/>
          <w:color w:val="auto"/>
          <w:sz w:val="24"/>
          <w:highlight w:val="none"/>
        </w:rPr>
      </w:pPr>
    </w:p>
    <w:p w14:paraId="54B3A998">
      <w:pPr>
        <w:spacing w:line="360" w:lineRule="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致：采购人</w:t>
      </w:r>
    </w:p>
    <w:p w14:paraId="3E1B055C">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4CFD33D">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（1）中标或者成交后无正当理由拒不与采购人签订政府采购合同；</w:t>
      </w:r>
    </w:p>
    <w:p w14:paraId="65824E96">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（2）未按照采购文件确定的事项签订政府采购合同；</w:t>
      </w:r>
    </w:p>
    <w:p w14:paraId="687F88FC">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（3）将政府采购合同转包；</w:t>
      </w:r>
    </w:p>
    <w:p w14:paraId="65B07F8D">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（4）提供假冒伪劣产品；</w:t>
      </w:r>
    </w:p>
    <w:p w14:paraId="0BBBC695">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（5）擅自变更、中止或者终止政府采购合同。</w:t>
      </w:r>
    </w:p>
    <w:p w14:paraId="5366FF4D">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A89E139">
      <w:pPr>
        <w:spacing w:line="360" w:lineRule="auto"/>
        <w:rPr>
          <w:rFonts w:hint="eastAsia" w:ascii="仿宋" w:hAnsi="仿宋" w:eastAsia="仿宋" w:cs="仿宋"/>
          <w:bCs/>
          <w:color w:val="auto"/>
          <w:sz w:val="24"/>
          <w:highlight w:val="none"/>
        </w:rPr>
      </w:pPr>
    </w:p>
    <w:p w14:paraId="5A8676B0">
      <w:pPr>
        <w:spacing w:line="360" w:lineRule="auto"/>
        <w:rPr>
          <w:rFonts w:hint="eastAsia" w:ascii="仿宋" w:hAnsi="仿宋" w:eastAsia="仿宋" w:cs="仿宋"/>
          <w:bCs/>
          <w:color w:val="auto"/>
          <w:sz w:val="24"/>
          <w:highlight w:val="none"/>
        </w:rPr>
      </w:pPr>
    </w:p>
    <w:p w14:paraId="29228CA5">
      <w:pPr>
        <w:spacing w:line="360" w:lineRule="auto"/>
        <w:ind w:firstLine="4320" w:firstLineChars="18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投标人电子签章：</w:t>
      </w:r>
      <w:r>
        <w:rPr>
          <w:rFonts w:hint="eastAsia" w:ascii="仿宋" w:hAnsi="仿宋" w:eastAsia="仿宋" w:cs="仿宋"/>
          <w:bCs/>
          <w:color w:val="auto"/>
          <w:sz w:val="24"/>
          <w:highlight w:val="none"/>
          <w:u w:val="single"/>
        </w:rPr>
        <w:t xml:space="preserve">             </w:t>
      </w:r>
    </w:p>
    <w:p w14:paraId="6F9FE43E">
      <w:pPr>
        <w:spacing w:line="360" w:lineRule="auto"/>
        <w:ind w:firstLine="4320" w:firstLineChars="18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r>
        <w:rPr>
          <w:rFonts w:hint="eastAsia" w:ascii="仿宋" w:hAnsi="仿宋" w:eastAsia="仿宋" w:cs="仿宋"/>
          <w:bCs/>
          <w:color w:val="auto"/>
          <w:sz w:val="24"/>
          <w:highlight w:val="none"/>
          <w:u w:val="single"/>
        </w:rPr>
        <w:t xml:space="preserve">             </w:t>
      </w:r>
    </w:p>
    <w:p w14:paraId="749ECB25">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35C24AC1">
      <w:pPr>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rPr>
        <w:t>、</w:t>
      </w:r>
      <w:r>
        <w:rPr>
          <w:rFonts w:hint="eastAsia" w:ascii="仿宋" w:hAnsi="仿宋" w:eastAsia="仿宋" w:cs="仿宋"/>
          <w:b/>
          <w:color w:val="auto"/>
          <w:sz w:val="24"/>
          <w:szCs w:val="24"/>
          <w:highlight w:val="none"/>
          <w:lang w:bidi="ar"/>
        </w:rPr>
        <w:t>诚信投标承诺书</w:t>
      </w:r>
    </w:p>
    <w:p w14:paraId="2201A1AE">
      <w:pPr>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本人以企业法定代表人的身份郑重承诺：</w:t>
      </w:r>
    </w:p>
    <w:p w14:paraId="587B3F93">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一、将遵循公开、公正和诚实信用的原则自愿参加</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项目的投标，所提供的一切材料都是真实、有效、合法的；</w:t>
      </w:r>
    </w:p>
    <w:p w14:paraId="32315953">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0596C12">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三、不出借、转让资质证书，不让他人挂靠投标，不以他人名义投标或者以其他方式弄虚作假，骗取中标；</w:t>
      </w:r>
    </w:p>
    <w:p w14:paraId="6E07AEE7">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四、不与其他投标人相互串通投标报价，不排挤其他投标人的公平竞争、损害招标人的合法权益；</w:t>
      </w:r>
    </w:p>
    <w:p w14:paraId="4171C2A4">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五、不与招标人、招标代理机构或其他投标人串通投标，损害国家利益、社会公共利益或者他人的合法权益；</w:t>
      </w:r>
    </w:p>
    <w:p w14:paraId="390BA59A">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六、</w:t>
      </w:r>
      <w:r>
        <w:rPr>
          <w:rFonts w:hint="eastAsia" w:ascii="仿宋" w:hAnsi="仿宋" w:eastAsia="仿宋" w:cs="仿宋"/>
          <w:color w:val="auto"/>
          <w:szCs w:val="21"/>
          <w:highlight w:val="none"/>
          <w:u w:val="single"/>
          <w:lang w:bidi="ar"/>
        </w:rPr>
        <w:t xml:space="preserve">       （企业名称）</w:t>
      </w:r>
      <w:r>
        <w:rPr>
          <w:rFonts w:hint="eastAsia" w:ascii="仿宋" w:hAnsi="仿宋" w:eastAsia="仿宋" w:cs="仿宋"/>
          <w:color w:val="auto"/>
          <w:szCs w:val="21"/>
          <w:highlight w:val="none"/>
          <w:lang w:bidi="ar"/>
        </w:rPr>
        <w:t>或</w:t>
      </w:r>
      <w:r>
        <w:rPr>
          <w:rFonts w:hint="eastAsia" w:ascii="仿宋" w:hAnsi="仿宋" w:eastAsia="仿宋" w:cs="仿宋"/>
          <w:color w:val="auto"/>
          <w:szCs w:val="21"/>
          <w:highlight w:val="none"/>
          <w:u w:val="single"/>
          <w:lang w:bidi="ar"/>
        </w:rPr>
        <w:t xml:space="preserve">       （企业名称）</w:t>
      </w:r>
      <w:r>
        <w:rPr>
          <w:rFonts w:hint="eastAsia" w:ascii="仿宋" w:hAnsi="仿宋" w:eastAsia="仿宋" w:cs="仿宋"/>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5E0961ED">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七、严格遵守开标现场纪律，服从监管人员管理；</w:t>
      </w:r>
    </w:p>
    <w:p w14:paraId="5030BB5D">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八、保证中标后不转包，若有分包征得招标人同意；</w:t>
      </w:r>
    </w:p>
    <w:p w14:paraId="7D6A1E09">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九、保证中标之后，按照投标文件要求提供相关后续服务；</w:t>
      </w:r>
    </w:p>
    <w:p w14:paraId="0A3387C7">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十、保证企业及所属相关人员在本次投标中无行贿等犯罪行为；</w:t>
      </w:r>
    </w:p>
    <w:p w14:paraId="5130B1A6">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E60D5DD">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2A6BB7A3">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 </w:t>
      </w:r>
    </w:p>
    <w:p w14:paraId="28253757">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开户银行：                      基本账户：</w:t>
      </w:r>
    </w:p>
    <w:p w14:paraId="35C993F0">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投标单位（签章）：               法定代表人（签章）：</w:t>
      </w:r>
    </w:p>
    <w:p w14:paraId="352BE669">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 </w:t>
      </w:r>
    </w:p>
    <w:p w14:paraId="412EFB96">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Cs w:val="21"/>
          <w:highlight w:val="none"/>
          <w:lang w:bidi="ar"/>
        </w:rPr>
        <w:t>日期：</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 xml:space="preserve">年 </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 xml:space="preserve">月 </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日</w:t>
      </w:r>
    </w:p>
    <w:p w14:paraId="19E0AE1B">
      <w:pPr>
        <w:pStyle w:val="14"/>
        <w:ind w:left="1260"/>
        <w:rPr>
          <w:rFonts w:hint="eastAsia" w:ascii="仿宋" w:hAnsi="仿宋" w:eastAsia="仿宋" w:cs="仿宋"/>
          <w:color w:val="auto"/>
          <w:highlight w:val="none"/>
        </w:rPr>
      </w:pPr>
    </w:p>
    <w:bookmarkEnd w:id="56"/>
    <w:p w14:paraId="755415A0">
      <w:pPr>
        <w:spacing w:line="360" w:lineRule="auto"/>
        <w:jc w:val="center"/>
        <w:outlineLvl w:val="1"/>
        <w:rPr>
          <w:rFonts w:hint="eastAsia" w:ascii="仿宋" w:hAnsi="仿宋" w:eastAsia="仿宋" w:cs="仿宋"/>
          <w:b/>
          <w:color w:val="auto"/>
          <w:sz w:val="24"/>
          <w:highlight w:val="none"/>
        </w:rPr>
      </w:pPr>
      <w:bookmarkStart w:id="57" w:name="_Toc32633"/>
      <w:bookmarkStart w:id="58" w:name="_Toc2683"/>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、其他相关证明材料</w:t>
      </w:r>
      <w:bookmarkEnd w:id="57"/>
      <w:bookmarkEnd w:id="58"/>
    </w:p>
    <w:p w14:paraId="60027CE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提供符合投标邀请、采购需求及评标方法和标准规定的相关证明文件。</w:t>
      </w:r>
    </w:p>
    <w:p w14:paraId="0338858B">
      <w:pPr>
        <w:spacing w:line="360" w:lineRule="auto"/>
        <w:ind w:firstLine="480" w:firstLineChars="200"/>
        <w:rPr>
          <w:rFonts w:hint="eastAsia" w:ascii="仿宋" w:hAnsi="仿宋" w:eastAsia="仿宋" w:cs="仿宋"/>
          <w:color w:val="auto"/>
          <w:sz w:val="24"/>
          <w:highlight w:val="none"/>
        </w:rPr>
      </w:pPr>
    </w:p>
    <w:p w14:paraId="0749B31F">
      <w:pPr>
        <w:spacing w:line="360" w:lineRule="auto"/>
        <w:ind w:firstLine="435"/>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特别提示：</w:t>
      </w:r>
    </w:p>
    <w:p w14:paraId="0DD1029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投标人在投标文件制作时可在此栏内上传招标文件要求上传的证明资料，如营业执照、证书等，应将上述证明材料制作成扫描件上传。</w:t>
      </w:r>
    </w:p>
    <w:p w14:paraId="6F10D8F4">
      <w:pPr>
        <w:widowControl/>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br w:type="page"/>
      </w:r>
    </w:p>
    <w:p w14:paraId="5F2F6743">
      <w:pPr>
        <w:spacing w:line="360" w:lineRule="auto"/>
        <w:jc w:val="center"/>
        <w:outlineLvl w:val="0"/>
        <w:rPr>
          <w:rFonts w:hint="eastAsia" w:ascii="仿宋" w:hAnsi="仿宋" w:eastAsia="仿宋" w:cs="仿宋"/>
          <w:b/>
          <w:bCs/>
          <w:color w:val="auto"/>
          <w:sz w:val="28"/>
          <w:highlight w:val="none"/>
        </w:rPr>
      </w:pPr>
      <w:bookmarkStart w:id="59" w:name="_Toc18131"/>
      <w:bookmarkStart w:id="60" w:name="_Toc6435"/>
      <w:r>
        <w:rPr>
          <w:rFonts w:hint="eastAsia" w:ascii="仿宋" w:hAnsi="仿宋" w:eastAsia="仿宋" w:cs="仿宋"/>
          <w:b/>
          <w:color w:val="auto"/>
          <w:sz w:val="28"/>
          <w:highlight w:val="none"/>
        </w:rPr>
        <w:t>第七章</w:t>
      </w:r>
      <w:r>
        <w:rPr>
          <w:rFonts w:hint="eastAsia" w:ascii="仿宋" w:hAnsi="仿宋" w:eastAsia="仿宋" w:cs="仿宋"/>
          <w:b/>
          <w:bCs/>
          <w:color w:val="auto"/>
          <w:sz w:val="28"/>
          <w:highlight w:val="none"/>
        </w:rPr>
        <w:t xml:space="preserve">  政府采购</w:t>
      </w:r>
      <w:r>
        <w:rPr>
          <w:rFonts w:hint="eastAsia" w:ascii="仿宋" w:hAnsi="仿宋" w:eastAsia="仿宋" w:cs="仿宋"/>
          <w:b/>
          <w:color w:val="auto"/>
          <w:sz w:val="28"/>
          <w:highlight w:val="none"/>
        </w:rPr>
        <w:t>供应</w:t>
      </w:r>
      <w:r>
        <w:rPr>
          <w:rFonts w:hint="eastAsia" w:ascii="仿宋" w:hAnsi="仿宋" w:eastAsia="仿宋" w:cs="仿宋"/>
          <w:b/>
          <w:bCs/>
          <w:color w:val="auto"/>
          <w:sz w:val="28"/>
          <w:highlight w:val="none"/>
        </w:rPr>
        <w:t>商询问函和质疑函范本</w:t>
      </w:r>
      <w:bookmarkEnd w:id="59"/>
      <w:bookmarkEnd w:id="60"/>
    </w:p>
    <w:p w14:paraId="20C62C71">
      <w:pPr>
        <w:spacing w:line="360" w:lineRule="auto"/>
        <w:jc w:val="center"/>
        <w:outlineLvl w:val="1"/>
        <w:rPr>
          <w:rFonts w:hint="eastAsia" w:ascii="仿宋" w:hAnsi="仿宋" w:eastAsia="仿宋" w:cs="仿宋"/>
          <w:b/>
          <w:bCs/>
          <w:color w:val="auto"/>
          <w:sz w:val="32"/>
          <w:szCs w:val="44"/>
          <w:highlight w:val="none"/>
        </w:rPr>
      </w:pPr>
      <w:bookmarkStart w:id="61" w:name="_Toc27159"/>
      <w:bookmarkStart w:id="62" w:name="_Toc27489"/>
      <w:r>
        <w:rPr>
          <w:rFonts w:hint="eastAsia" w:ascii="仿宋" w:hAnsi="仿宋" w:eastAsia="仿宋" w:cs="仿宋"/>
          <w:b/>
          <w:bCs/>
          <w:color w:val="auto"/>
          <w:sz w:val="32"/>
          <w:szCs w:val="44"/>
          <w:highlight w:val="none"/>
        </w:rPr>
        <w:t>询问函范本</w:t>
      </w:r>
      <w:bookmarkEnd w:id="61"/>
      <w:bookmarkEnd w:id="62"/>
    </w:p>
    <w:p w14:paraId="29AED95E">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ascii="仿宋" w:hAnsi="仿宋" w:eastAsia="仿宋" w:cs="仿宋"/>
          <w:i/>
          <w:iCs/>
          <w:color w:val="auto"/>
          <w:sz w:val="24"/>
          <w:szCs w:val="24"/>
          <w:highlight w:val="none"/>
        </w:rPr>
        <w:t>（如为对采购文件或采购程序的询问或疑问，请按询问函范本或电子交易系统中网上询问格式附件进行提交）</w:t>
      </w:r>
    </w:p>
    <w:p w14:paraId="09588AD7">
      <w:pPr>
        <w:adjustRightInd w:val="0"/>
        <w:snapToGrid w:val="0"/>
        <w:spacing w:line="360" w:lineRule="auto"/>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致：采购人</w:t>
      </w:r>
    </w:p>
    <w:p w14:paraId="5B39DC6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我单位拟参与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i/>
          <w:iCs/>
          <w:color w:val="auto"/>
          <w:sz w:val="24"/>
          <w:szCs w:val="24"/>
          <w:highlight w:val="none"/>
        </w:rPr>
        <w:t>项目名称、编号</w:t>
      </w:r>
      <w:r>
        <w:rPr>
          <w:rFonts w:hint="eastAsia" w:ascii="仿宋" w:hAnsi="仿宋" w:eastAsia="仿宋" w:cs="仿宋"/>
          <w:color w:val="auto"/>
          <w:sz w:val="24"/>
          <w:szCs w:val="24"/>
          <w:highlight w:val="none"/>
        </w:rPr>
        <w:t>）的采购活动，现有以下内容(或条款)存在疑问(或无法理解)，特提出询问。</w:t>
      </w:r>
    </w:p>
    <w:p w14:paraId="271E3FC5">
      <w:pPr>
        <w:adjustRightInd w:val="0"/>
        <w:snapToGrid w:val="0"/>
        <w:spacing w:line="360" w:lineRule="auto"/>
        <w:ind w:firstLine="480" w:firstLineChars="200"/>
        <w:rPr>
          <w:rFonts w:hint="eastAsia" w:ascii="仿宋" w:hAnsi="仿宋" w:eastAsia="仿宋" w:cs="仿宋"/>
          <w:color w:val="auto"/>
          <w:sz w:val="24"/>
          <w:szCs w:val="24"/>
          <w:highlight w:val="none"/>
        </w:rPr>
      </w:pPr>
      <w:bookmarkStart w:id="63" w:name="_Toc13899"/>
      <w:r>
        <w:rPr>
          <w:rFonts w:hint="eastAsia" w:ascii="仿宋" w:hAnsi="仿宋" w:eastAsia="仿宋" w:cs="仿宋"/>
          <w:color w:val="auto"/>
          <w:sz w:val="24"/>
          <w:szCs w:val="24"/>
          <w:highlight w:val="none"/>
        </w:rPr>
        <w:t>一、(事项一)</w:t>
      </w:r>
      <w:bookmarkEnd w:id="63"/>
    </w:p>
    <w:p w14:paraId="47539CC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1、(内容或条款)</w:t>
      </w:r>
    </w:p>
    <w:p w14:paraId="0F74A0C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2、(说明疑问或无法理解原因)</w:t>
      </w:r>
    </w:p>
    <w:p w14:paraId="1CB4EB4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3、(建议)</w:t>
      </w:r>
    </w:p>
    <w:p w14:paraId="4E0CD6B5">
      <w:pPr>
        <w:adjustRightInd w:val="0"/>
        <w:snapToGrid w:val="0"/>
        <w:spacing w:line="360" w:lineRule="auto"/>
        <w:ind w:firstLine="480" w:firstLineChars="200"/>
        <w:rPr>
          <w:rFonts w:hint="eastAsia" w:ascii="仿宋" w:hAnsi="仿宋" w:eastAsia="仿宋" w:cs="仿宋"/>
          <w:color w:val="auto"/>
          <w:sz w:val="24"/>
          <w:szCs w:val="24"/>
          <w:highlight w:val="none"/>
        </w:rPr>
      </w:pPr>
      <w:bookmarkStart w:id="64" w:name="_Toc3352"/>
      <w:r>
        <w:rPr>
          <w:rFonts w:hint="eastAsia" w:ascii="仿宋" w:hAnsi="仿宋" w:eastAsia="仿宋" w:cs="仿宋"/>
          <w:color w:val="auto"/>
          <w:sz w:val="24"/>
          <w:szCs w:val="24"/>
          <w:highlight w:val="none"/>
        </w:rPr>
        <w:t>二、(事项二)</w:t>
      </w:r>
      <w:bookmarkEnd w:id="64"/>
    </w:p>
    <w:p w14:paraId="03BDBA3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B5C8AE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随附相关证明材料如下： </w:t>
      </w:r>
    </w:p>
    <w:p w14:paraId="2EDD4224">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u w:val="single"/>
        </w:rPr>
        <w:t xml:space="preserve">              </w:t>
      </w:r>
    </w:p>
    <w:p w14:paraId="5778C0F1">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p>
    <w:p w14:paraId="40D9C8D5">
      <w:pPr>
        <w:tabs>
          <w:tab w:val="left" w:pos="630"/>
        </w:tabs>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333C4402">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6C8D3C4">
      <w:pPr>
        <w:jc w:val="center"/>
        <w:outlineLvl w:val="1"/>
        <w:rPr>
          <w:rFonts w:hint="eastAsia" w:ascii="仿宋" w:hAnsi="仿宋" w:eastAsia="仿宋" w:cs="仿宋"/>
          <w:b/>
          <w:bCs/>
          <w:color w:val="auto"/>
          <w:sz w:val="32"/>
          <w:szCs w:val="44"/>
          <w:highlight w:val="none"/>
        </w:rPr>
      </w:pPr>
      <w:bookmarkStart w:id="65" w:name="_Toc3245"/>
      <w:bookmarkStart w:id="66" w:name="_Toc1575"/>
      <w:r>
        <w:rPr>
          <w:rFonts w:hint="eastAsia" w:ascii="仿宋" w:hAnsi="仿宋" w:eastAsia="仿宋" w:cs="仿宋"/>
          <w:b/>
          <w:bCs/>
          <w:color w:val="auto"/>
          <w:sz w:val="32"/>
          <w:szCs w:val="44"/>
          <w:highlight w:val="none"/>
        </w:rPr>
        <w:t>质疑函范本</w:t>
      </w:r>
      <w:bookmarkEnd w:id="65"/>
      <w:bookmarkEnd w:id="66"/>
    </w:p>
    <w:p w14:paraId="26231B3F">
      <w:pPr>
        <w:adjustRightInd w:val="0"/>
        <w:snapToGrid w:val="0"/>
        <w:spacing w:before="312" w:beforeLines="100" w:line="360" w:lineRule="auto"/>
        <w:rPr>
          <w:rFonts w:hint="eastAsia" w:ascii="仿宋" w:hAnsi="仿宋" w:eastAsia="仿宋" w:cs="仿宋"/>
          <w:b/>
          <w:bCs/>
          <w:color w:val="auto"/>
          <w:sz w:val="24"/>
          <w:szCs w:val="24"/>
          <w:highlight w:val="none"/>
        </w:rPr>
      </w:pPr>
      <w:bookmarkStart w:id="67" w:name="_Toc21381"/>
      <w:r>
        <w:rPr>
          <w:rFonts w:hint="eastAsia" w:ascii="仿宋" w:hAnsi="仿宋" w:eastAsia="仿宋" w:cs="仿宋"/>
          <w:b/>
          <w:bCs/>
          <w:color w:val="auto"/>
          <w:sz w:val="24"/>
          <w:szCs w:val="24"/>
          <w:highlight w:val="none"/>
        </w:rPr>
        <w:t>一、质疑供应商基本信息</w:t>
      </w:r>
      <w:bookmarkEnd w:id="67"/>
    </w:p>
    <w:p w14:paraId="6C0C2EBE">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14:paraId="45A29801">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42E46D32">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22E373C1">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14:paraId="58AD30B5">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671FFC18">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385E3109">
      <w:pPr>
        <w:adjustRightInd w:val="0"/>
        <w:snapToGrid w:val="0"/>
        <w:spacing w:line="360" w:lineRule="auto"/>
        <w:rPr>
          <w:rFonts w:hint="eastAsia" w:ascii="仿宋" w:hAnsi="仿宋" w:eastAsia="仿宋" w:cs="仿宋"/>
          <w:b/>
          <w:bCs/>
          <w:color w:val="auto"/>
          <w:sz w:val="24"/>
          <w:szCs w:val="24"/>
          <w:highlight w:val="none"/>
        </w:rPr>
      </w:pPr>
      <w:bookmarkStart w:id="68" w:name="_Toc28415"/>
      <w:r>
        <w:rPr>
          <w:rFonts w:hint="eastAsia" w:ascii="仿宋" w:hAnsi="仿宋" w:eastAsia="仿宋" w:cs="仿宋"/>
          <w:b/>
          <w:bCs/>
          <w:color w:val="auto"/>
          <w:sz w:val="24"/>
          <w:szCs w:val="24"/>
          <w:highlight w:val="none"/>
        </w:rPr>
        <w:t>二、质疑项目基本情况</w:t>
      </w:r>
      <w:bookmarkEnd w:id="68"/>
    </w:p>
    <w:p w14:paraId="7AE3B1CA">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14:paraId="2E306265">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65962907">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14:paraId="0EC03AC3">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14:paraId="706A9133">
      <w:pPr>
        <w:adjustRightInd w:val="0"/>
        <w:snapToGrid w:val="0"/>
        <w:spacing w:line="360" w:lineRule="auto"/>
        <w:rPr>
          <w:rFonts w:hint="eastAsia" w:ascii="仿宋" w:hAnsi="仿宋" w:eastAsia="仿宋" w:cs="仿宋"/>
          <w:b/>
          <w:bCs/>
          <w:color w:val="auto"/>
          <w:sz w:val="24"/>
          <w:szCs w:val="24"/>
          <w:highlight w:val="none"/>
        </w:rPr>
      </w:pPr>
      <w:bookmarkStart w:id="69" w:name="_Toc19014"/>
      <w:r>
        <w:rPr>
          <w:rFonts w:hint="eastAsia" w:ascii="仿宋" w:hAnsi="仿宋" w:eastAsia="仿宋" w:cs="仿宋"/>
          <w:b/>
          <w:bCs/>
          <w:color w:val="auto"/>
          <w:sz w:val="24"/>
          <w:szCs w:val="24"/>
          <w:highlight w:val="none"/>
        </w:rPr>
        <w:t>三、质疑事项具体内容</w:t>
      </w:r>
      <w:bookmarkEnd w:id="69"/>
    </w:p>
    <w:p w14:paraId="03C3E62A">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14:paraId="1107CC3D">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6C597BD1">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 xml:space="preserve">                                                       </w:t>
      </w:r>
    </w:p>
    <w:p w14:paraId="5F3C11D5">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40522B4C">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6003CD93">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28B20AB6">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5ABA5E8">
      <w:pPr>
        <w:adjustRightInd w:val="0"/>
        <w:snapToGrid w:val="0"/>
        <w:spacing w:line="360" w:lineRule="auto"/>
        <w:rPr>
          <w:rFonts w:hint="eastAsia" w:ascii="仿宋" w:hAnsi="仿宋" w:eastAsia="仿宋" w:cs="仿宋"/>
          <w:b/>
          <w:bCs/>
          <w:color w:val="auto"/>
          <w:sz w:val="24"/>
          <w:szCs w:val="24"/>
          <w:highlight w:val="none"/>
        </w:rPr>
      </w:pPr>
      <w:bookmarkStart w:id="70" w:name="_Toc17919"/>
      <w:r>
        <w:rPr>
          <w:rFonts w:hint="eastAsia" w:ascii="仿宋" w:hAnsi="仿宋" w:eastAsia="仿宋" w:cs="仿宋"/>
          <w:b/>
          <w:bCs/>
          <w:color w:val="auto"/>
          <w:sz w:val="24"/>
          <w:szCs w:val="24"/>
          <w:highlight w:val="none"/>
        </w:rPr>
        <w:t>四、与质疑事项相关的质疑请求</w:t>
      </w:r>
      <w:bookmarkEnd w:id="70"/>
    </w:p>
    <w:p w14:paraId="32EE01F1">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14:paraId="5C3BF97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70765A8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01E98625">
      <w:pPr>
        <w:widowControl/>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64A8056">
      <w:pPr>
        <w:outlineLvl w:val="0"/>
        <w:rPr>
          <w:rFonts w:hint="eastAsia" w:ascii="仿宋" w:hAnsi="仿宋" w:eastAsia="仿宋" w:cs="仿宋"/>
          <w:b/>
          <w:color w:val="auto"/>
          <w:sz w:val="28"/>
          <w:szCs w:val="32"/>
          <w:highlight w:val="none"/>
        </w:rPr>
      </w:pPr>
      <w:bookmarkStart w:id="71" w:name="_Toc26836"/>
      <w:bookmarkStart w:id="72" w:name="_Toc9754"/>
      <w:r>
        <w:rPr>
          <w:rFonts w:hint="eastAsia" w:ascii="仿宋" w:hAnsi="仿宋" w:eastAsia="仿宋" w:cs="仿宋"/>
          <w:b/>
          <w:color w:val="auto"/>
          <w:sz w:val="28"/>
          <w:szCs w:val="32"/>
          <w:highlight w:val="none"/>
        </w:rPr>
        <w:t>质疑函制作说明：</w:t>
      </w:r>
      <w:bookmarkEnd w:id="71"/>
      <w:bookmarkEnd w:id="72"/>
    </w:p>
    <w:p w14:paraId="200B4A3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09BD919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F33EB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48BDB67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784D61A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0E290C8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783F761B">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6E1EF0D">
      <w:pPr>
        <w:keepNext/>
        <w:keepLines/>
        <w:spacing w:before="200" w:after="200" w:line="600" w:lineRule="exact"/>
        <w:outlineLvl w:val="0"/>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36"/>
          <w:szCs w:val="28"/>
          <w:highlight w:val="none"/>
        </w:rPr>
        <w:t>附件1 关于联合惩戒失信行为加强信用查询管理的通知</w:t>
      </w:r>
    </w:p>
    <w:p w14:paraId="0E532F4B">
      <w:pPr>
        <w:adjustRightInd w:val="0"/>
        <w:snapToGrid w:val="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一、失信行为联合惩戒的范围和查询渠道</w:t>
      </w:r>
    </w:p>
    <w:p w14:paraId="68905312">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在我市公共资源交易活动中对存在下列失信行为的投标人、法定代表人及其项目经理（建造师）实施联合惩戒，禁止参与我市公共资源交易活动。</w:t>
      </w:r>
    </w:p>
    <w:p w14:paraId="60CF3BED">
      <w:pPr>
        <w:adjustRightInd w:val="0"/>
        <w:snapToGrid w:val="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（一）工程建设项目</w:t>
      </w:r>
    </w:p>
    <w:p w14:paraId="3E740C3E">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1、“信用中国”网站（www.creditchina.gov.cn）查询</w:t>
      </w:r>
      <w:bookmarkStart w:id="73" w:name="OLE_LINK91"/>
      <w:bookmarkStart w:id="74" w:name="OLE_LINK93"/>
      <w:bookmarkStart w:id="75" w:name="OLE_LINK103"/>
      <w:bookmarkStart w:id="76" w:name="OLE_LINK92"/>
      <w:r>
        <w:rPr>
          <w:rFonts w:hint="eastAsia" w:ascii="仿宋" w:hAnsi="仿宋" w:eastAsia="仿宋" w:cs="仿宋"/>
          <w:color w:val="auto"/>
          <w:sz w:val="28"/>
          <w:szCs w:val="28"/>
          <w:highlight w:val="none"/>
        </w:rPr>
        <w:t>投标人、法定代表人及其项目经理(建造师)</w:t>
      </w:r>
      <w:bookmarkEnd w:id="73"/>
      <w:bookmarkEnd w:id="74"/>
      <w:bookmarkEnd w:id="75"/>
      <w:bookmarkEnd w:id="76"/>
      <w:r>
        <w:rPr>
          <w:rFonts w:hint="eastAsia" w:ascii="仿宋" w:hAnsi="仿宋" w:eastAsia="仿宋" w:cs="仿宋"/>
          <w:color w:val="auto"/>
          <w:sz w:val="28"/>
          <w:szCs w:val="28"/>
          <w:highlight w:val="none"/>
        </w:rPr>
        <w:t>以下失信行为：</w:t>
      </w:r>
    </w:p>
    <w:p w14:paraId="31054F37">
      <w:pPr>
        <w:adjustRightInd w:val="0"/>
        <w:snapToGrid w:val="0"/>
        <w:spacing w:line="560" w:lineRule="exact"/>
        <w:ind w:firstLine="560" w:firstLineChars="200"/>
        <w:rPr>
          <w:rFonts w:hint="eastAsia" w:ascii="仿宋" w:hAnsi="仿宋" w:eastAsia="仿宋" w:cs="仿宋"/>
          <w:color w:val="auto"/>
          <w:sz w:val="28"/>
          <w:szCs w:val="28"/>
          <w:highlight w:val="none"/>
        </w:rPr>
      </w:pPr>
      <w:bookmarkStart w:id="77" w:name="OLE_LINK86"/>
      <w:bookmarkStart w:id="78" w:name="OLE_LINK87"/>
      <w:bookmarkStart w:id="79" w:name="OLE_LINK119"/>
      <w:bookmarkStart w:id="80" w:name="OLE_LINK94"/>
      <w:r>
        <w:rPr>
          <w:rFonts w:hint="eastAsia" w:ascii="仿宋" w:hAnsi="仿宋" w:eastAsia="仿宋" w:cs="仿宋"/>
          <w:color w:val="auto"/>
          <w:sz w:val="28"/>
          <w:szCs w:val="28"/>
          <w:highlight w:val="none"/>
        </w:rPr>
        <w:t>①被列入“失信被执行人”的;</w:t>
      </w:r>
    </w:p>
    <w:p w14:paraId="14D5E360">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②被列入</w:t>
      </w:r>
      <w:bookmarkStart w:id="81" w:name="OLE_LINK117"/>
      <w:bookmarkStart w:id="82" w:name="OLE_LINK118"/>
      <w:bookmarkStart w:id="83" w:name="OLE_LINK115"/>
      <w:bookmarkStart w:id="84" w:name="OLE_LINK116"/>
      <w:r>
        <w:rPr>
          <w:rFonts w:hint="eastAsia" w:ascii="仿宋" w:hAnsi="仿宋" w:eastAsia="仿宋" w:cs="仿宋"/>
          <w:color w:val="auto"/>
          <w:sz w:val="28"/>
          <w:szCs w:val="28"/>
          <w:highlight w:val="none"/>
        </w:rPr>
        <w:t>“重大税收违法失信主体”</w:t>
      </w:r>
      <w:bookmarkEnd w:id="81"/>
      <w:bookmarkEnd w:id="82"/>
      <w:bookmarkEnd w:id="83"/>
      <w:bookmarkEnd w:id="84"/>
      <w:r>
        <w:rPr>
          <w:rFonts w:hint="eastAsia" w:ascii="仿宋" w:hAnsi="仿宋" w:eastAsia="仿宋" w:cs="仿宋"/>
          <w:color w:val="auto"/>
          <w:sz w:val="28"/>
          <w:szCs w:val="28"/>
          <w:highlight w:val="none"/>
        </w:rPr>
        <w:t>的；</w:t>
      </w:r>
    </w:p>
    <w:p w14:paraId="65D4D5A0">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③被列入“拖欠</w:t>
      </w:r>
      <w:bookmarkStart w:id="85" w:name="OLE_LINK85"/>
      <w:bookmarkStart w:id="86" w:name="OLE_LINK84"/>
      <w:r>
        <w:rPr>
          <w:rFonts w:hint="eastAsia" w:ascii="仿宋" w:hAnsi="仿宋" w:eastAsia="仿宋" w:cs="仿宋"/>
          <w:color w:val="auto"/>
          <w:sz w:val="28"/>
          <w:szCs w:val="28"/>
          <w:highlight w:val="none"/>
        </w:rPr>
        <w:t>农民工工资失信联合惩戒对象</w:t>
      </w:r>
      <w:bookmarkEnd w:id="85"/>
      <w:bookmarkEnd w:id="86"/>
      <w:r>
        <w:rPr>
          <w:rFonts w:hint="eastAsia" w:ascii="仿宋" w:hAnsi="仿宋" w:eastAsia="仿宋" w:cs="仿宋"/>
          <w:color w:val="auto"/>
          <w:sz w:val="28"/>
          <w:szCs w:val="28"/>
          <w:highlight w:val="none"/>
        </w:rPr>
        <w:t>名单”的；</w:t>
      </w:r>
    </w:p>
    <w:p w14:paraId="4B7D963D">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④被列入 “严重失信主体名单”的；</w:t>
      </w:r>
    </w:p>
    <w:p w14:paraId="25888483">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⑤在“信用中国”网站上披露的仍在公示期的严重失信行为(具体行为类别及判定依据见附件2)的。</w:t>
      </w:r>
    </w:p>
    <w:bookmarkEnd w:id="77"/>
    <w:bookmarkEnd w:id="78"/>
    <w:bookmarkEnd w:id="79"/>
    <w:bookmarkEnd w:id="80"/>
    <w:p w14:paraId="78814CF4">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bookmarkStart w:id="87" w:name="OLE_LINK130"/>
      <w:r>
        <w:rPr>
          <w:rFonts w:hint="eastAsia" w:ascii="仿宋" w:hAnsi="仿宋" w:eastAsia="仿宋" w:cs="仿宋"/>
          <w:color w:val="auto"/>
          <w:sz w:val="28"/>
          <w:szCs w:val="28"/>
          <w:highlight w:val="none"/>
        </w:rPr>
        <w:t>国家企业信用信息公示系统网站</w:t>
      </w:r>
      <w:bookmarkEnd w:id="87"/>
      <w:r>
        <w:rPr>
          <w:rFonts w:hint="eastAsia" w:ascii="仿宋" w:hAnsi="仿宋" w:eastAsia="仿宋" w:cs="仿宋"/>
          <w:color w:val="auto"/>
          <w:sz w:val="28"/>
          <w:szCs w:val="28"/>
          <w:highlight w:val="none"/>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"http://www.gsxt.gov.cn）查询" </w:instrText>
      </w:r>
      <w:r>
        <w:rPr>
          <w:rFonts w:hint="eastAsia" w:ascii="仿宋" w:hAnsi="仿宋" w:eastAsia="仿宋" w:cs="仿宋"/>
          <w:color w:val="auto"/>
          <w:highlight w:val="none"/>
        </w:rPr>
        <w:fldChar w:fldCharType="separate"/>
      </w:r>
      <w:bookmarkStart w:id="88" w:name="OLE_LINK89"/>
      <w:bookmarkStart w:id="89" w:name="OLE_LINK90"/>
      <w:r>
        <w:rPr>
          <w:rStyle w:val="39"/>
          <w:rFonts w:hint="eastAsia" w:ascii="仿宋" w:hAnsi="仿宋" w:eastAsia="仿宋" w:cs="仿宋"/>
          <w:color w:val="auto"/>
          <w:sz w:val="28"/>
          <w:szCs w:val="28"/>
          <w:highlight w:val="none"/>
        </w:rPr>
        <w:t>www.gsxt.gov.cn</w:t>
      </w:r>
      <w:bookmarkEnd w:id="88"/>
      <w:bookmarkEnd w:id="89"/>
      <w:r>
        <w:rPr>
          <w:rStyle w:val="39"/>
          <w:rFonts w:hint="eastAsia" w:ascii="仿宋" w:hAnsi="仿宋" w:eastAsia="仿宋" w:cs="仿宋"/>
          <w:color w:val="auto"/>
          <w:sz w:val="28"/>
          <w:szCs w:val="28"/>
          <w:highlight w:val="none"/>
        </w:rPr>
        <w:t>）</w:t>
      </w:r>
      <w:r>
        <w:rPr>
          <w:rStyle w:val="39"/>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查询投标人以下失信行为：</w:t>
      </w:r>
    </w:p>
    <w:p w14:paraId="4BE3F217">
      <w:pPr>
        <w:adjustRightInd w:val="0"/>
        <w:snapToGrid w:val="0"/>
        <w:spacing w:line="560" w:lineRule="exact"/>
        <w:ind w:firstLine="560" w:firstLineChars="200"/>
        <w:rPr>
          <w:rFonts w:hint="eastAsia" w:ascii="仿宋" w:hAnsi="仿宋" w:eastAsia="仿宋" w:cs="仿宋"/>
          <w:color w:val="auto"/>
          <w:sz w:val="28"/>
          <w:szCs w:val="28"/>
          <w:highlight w:val="none"/>
        </w:rPr>
      </w:pPr>
      <w:bookmarkStart w:id="90" w:name="OLE_LINK120"/>
      <w:bookmarkStart w:id="91" w:name="OLE_LINK121"/>
      <w:bookmarkStart w:id="92" w:name="OLE_LINK122"/>
      <w:r>
        <w:rPr>
          <w:rFonts w:hint="eastAsia" w:ascii="仿宋" w:hAnsi="仿宋" w:eastAsia="仿宋" w:cs="仿宋"/>
          <w:color w:val="auto"/>
          <w:sz w:val="28"/>
          <w:szCs w:val="28"/>
          <w:highlight w:val="none"/>
        </w:rPr>
        <w:t>①</w:t>
      </w:r>
      <w:bookmarkStart w:id="93" w:name="OLE_LINK114"/>
      <w:bookmarkStart w:id="94" w:name="OLE_LINK113"/>
      <w:r>
        <w:rPr>
          <w:rFonts w:hint="eastAsia" w:ascii="仿宋" w:hAnsi="仿宋" w:eastAsia="仿宋" w:cs="仿宋"/>
          <w:color w:val="auto"/>
          <w:sz w:val="28"/>
          <w:szCs w:val="28"/>
          <w:highlight w:val="none"/>
        </w:rPr>
        <w:t>被列入“经营异常名录”或者“严重违法失信名单”的</w:t>
      </w:r>
      <w:bookmarkEnd w:id="93"/>
      <w:bookmarkEnd w:id="94"/>
      <w:r>
        <w:rPr>
          <w:rFonts w:hint="eastAsia" w:ascii="仿宋" w:hAnsi="仿宋" w:eastAsia="仿宋" w:cs="仿宋"/>
          <w:color w:val="auto"/>
          <w:sz w:val="28"/>
          <w:szCs w:val="28"/>
          <w:highlight w:val="none"/>
        </w:rPr>
        <w:t>。</w:t>
      </w:r>
      <w:bookmarkEnd w:id="90"/>
      <w:bookmarkEnd w:id="91"/>
      <w:bookmarkEnd w:id="92"/>
    </w:p>
    <w:p w14:paraId="6F4C9E47">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3、由</w:t>
      </w:r>
      <w:r>
        <w:rPr>
          <w:rFonts w:hint="eastAsia" w:ascii="仿宋" w:hAnsi="仿宋" w:eastAsia="仿宋" w:cs="仿宋"/>
          <w:color w:val="auto"/>
          <w:kern w:val="0"/>
          <w:sz w:val="28"/>
          <w:szCs w:val="28"/>
          <w:highlight w:val="none"/>
        </w:rPr>
        <w:t>投标人、法定代表人及其项目经理(建造师)</w:t>
      </w:r>
      <w:r>
        <w:rPr>
          <w:rFonts w:hint="eastAsia" w:ascii="仿宋" w:hAnsi="仿宋" w:eastAsia="仿宋" w:cs="仿宋"/>
          <w:color w:val="auto"/>
          <w:sz w:val="28"/>
          <w:szCs w:val="28"/>
          <w:highlight w:val="none"/>
        </w:rPr>
        <w:t>进行承诺，不进行现场网上信用查询的失信行为：</w:t>
      </w:r>
    </w:p>
    <w:p w14:paraId="792F4B1D">
      <w:pPr>
        <w:adjustRightInd w:val="0"/>
        <w:snapToGrid w:val="0"/>
        <w:spacing w:line="560" w:lineRule="exact"/>
        <w:ind w:firstLine="560" w:firstLineChars="200"/>
        <w:rPr>
          <w:rFonts w:hint="eastAsia" w:ascii="仿宋" w:hAnsi="仿宋" w:eastAsia="仿宋" w:cs="仿宋"/>
          <w:color w:val="auto"/>
          <w:sz w:val="28"/>
          <w:szCs w:val="28"/>
          <w:highlight w:val="none"/>
        </w:rPr>
      </w:pPr>
      <w:bookmarkStart w:id="95" w:name="OLE_LINK123"/>
      <w:bookmarkStart w:id="96" w:name="OLE_LINK124"/>
      <w:r>
        <w:rPr>
          <w:rFonts w:hint="eastAsia" w:ascii="仿宋" w:hAnsi="仿宋" w:eastAsia="仿宋" w:cs="仿宋"/>
          <w:color w:val="auto"/>
          <w:sz w:val="28"/>
          <w:szCs w:val="28"/>
          <w:highlight w:val="none"/>
        </w:rPr>
        <w:t>①前三年有行贿犯罪行为的单位和个人；</w:t>
      </w:r>
    </w:p>
    <w:p w14:paraId="50FC0E92">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②被滁州市县两级公管部门取消在一定期限内的投标资格且在取消期限内的；</w:t>
      </w:r>
    </w:p>
    <w:p w14:paraId="44AFA1FA">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③被滁州市县两级各行业主管部门取消在一定期限内的投标资格且在取消期限内的；</w:t>
      </w:r>
    </w:p>
    <w:p w14:paraId="222FAC41">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④因拖欠农民工工资被</w:t>
      </w:r>
      <w:bookmarkStart w:id="97" w:name="OLE_LINK107"/>
      <w:bookmarkStart w:id="98" w:name="OLE_LINK108"/>
      <w:r>
        <w:rPr>
          <w:rFonts w:hint="eastAsia" w:ascii="仿宋" w:hAnsi="仿宋" w:eastAsia="仿宋" w:cs="仿宋"/>
          <w:color w:val="auto"/>
          <w:sz w:val="28"/>
          <w:szCs w:val="28"/>
          <w:highlight w:val="none"/>
        </w:rPr>
        <w:t>县级及以上有关行政主管部门限制投标资格且在限制期限内的</w:t>
      </w:r>
      <w:bookmarkEnd w:id="97"/>
      <w:bookmarkEnd w:id="98"/>
      <w:r>
        <w:rPr>
          <w:rFonts w:hint="eastAsia" w:ascii="仿宋" w:hAnsi="仿宋" w:eastAsia="仿宋" w:cs="仿宋"/>
          <w:color w:val="auto"/>
          <w:sz w:val="28"/>
          <w:szCs w:val="28"/>
          <w:highlight w:val="none"/>
        </w:rPr>
        <w:t>；</w:t>
      </w:r>
    </w:p>
    <w:p w14:paraId="7759CB3D">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5"/>
    <w:bookmarkEnd w:id="96"/>
    <w:p w14:paraId="3EB06AF8">
      <w:pPr>
        <w:adjustRightInd w:val="0"/>
        <w:snapToGrid w:val="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（二）政府采购项目</w:t>
      </w:r>
    </w:p>
    <w:p w14:paraId="045522DD">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1、“信用中国”网站（</w:t>
      </w:r>
      <w:r>
        <w:rPr>
          <w:rStyle w:val="39"/>
          <w:rFonts w:hint="eastAsia" w:ascii="仿宋" w:hAnsi="仿宋" w:eastAsia="仿宋" w:cs="仿宋"/>
          <w:color w:val="auto"/>
          <w:sz w:val="28"/>
          <w:szCs w:val="28"/>
          <w:highlight w:val="none"/>
        </w:rPr>
        <w:t>www.creditchina.gov.cn</w:t>
      </w:r>
      <w:r>
        <w:rPr>
          <w:rFonts w:hint="eastAsia" w:ascii="仿宋" w:hAnsi="仿宋" w:eastAsia="仿宋" w:cs="仿宋"/>
          <w:color w:val="auto"/>
          <w:sz w:val="28"/>
          <w:szCs w:val="28"/>
          <w:highlight w:val="none"/>
        </w:rPr>
        <w:t>）查询供应商、法定代表人及其项目负责人以下失信行为：</w:t>
      </w:r>
    </w:p>
    <w:p w14:paraId="5D1CD089">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①被列入“失信被执行人”的;</w:t>
      </w:r>
    </w:p>
    <w:p w14:paraId="51C57BAB">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②被列入“重大税收违法失信主体”的；</w:t>
      </w:r>
    </w:p>
    <w:p w14:paraId="206758CD">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③被列入 “严重失信主体名单”的；</w:t>
      </w:r>
    </w:p>
    <w:p w14:paraId="2D0FB83D">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④在“信用中国”网站上披露的仍在公示期的严重失信行为(具体行为类别及判定依据见附件2)的。</w:t>
      </w:r>
    </w:p>
    <w:p w14:paraId="34AA3146">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2、国家企业信用信息公示系统网站（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"http://www.gsxt.gov.cn）查询"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www.gsxt.gov.cn）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查询供应商以下失信行为：</w:t>
      </w:r>
    </w:p>
    <w:p w14:paraId="4138C7EA">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w:t>
      </w:r>
      <w:bookmarkStart w:id="99" w:name="OLE_LINK102"/>
      <w:bookmarkStart w:id="100" w:name="OLE_LINK101"/>
      <w:bookmarkStart w:id="101" w:name="OLE_LINK100"/>
      <w:r>
        <w:rPr>
          <w:rFonts w:hint="eastAsia" w:ascii="仿宋" w:hAnsi="仿宋" w:eastAsia="仿宋" w:cs="仿宋"/>
          <w:color w:val="auto"/>
          <w:sz w:val="28"/>
          <w:szCs w:val="28"/>
          <w:highlight w:val="none"/>
        </w:rPr>
        <w:t>被列入“经营异常名录”或者“严重违法失信名单”的</w:t>
      </w:r>
      <w:bookmarkEnd w:id="99"/>
      <w:bookmarkEnd w:id="100"/>
      <w:bookmarkEnd w:id="101"/>
      <w:r>
        <w:rPr>
          <w:rFonts w:hint="eastAsia" w:ascii="仿宋" w:hAnsi="仿宋" w:eastAsia="仿宋" w:cs="仿宋"/>
          <w:color w:val="auto"/>
          <w:sz w:val="28"/>
          <w:szCs w:val="28"/>
          <w:highlight w:val="none"/>
        </w:rPr>
        <w:t>。</w:t>
      </w:r>
    </w:p>
    <w:p w14:paraId="2F7A92A4">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3、中国政府采购网站（</w:t>
      </w:r>
      <w:bookmarkStart w:id="102" w:name="OLE_LINK95"/>
      <w:bookmarkStart w:id="103" w:name="OLE_LINK96"/>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"http://www.ccgp.gov.cn"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www.ccgp.gov.cn</w:t>
      </w:r>
      <w:r>
        <w:rPr>
          <w:rFonts w:hint="eastAsia" w:ascii="仿宋" w:hAnsi="仿宋" w:eastAsia="仿宋" w:cs="仿宋"/>
          <w:color w:val="auto"/>
          <w:sz w:val="28"/>
          <w:szCs w:val="28"/>
          <w:highlight w:val="none"/>
        </w:rPr>
        <w:fldChar w:fldCharType="end"/>
      </w:r>
      <w:bookmarkEnd w:id="102"/>
      <w:bookmarkEnd w:id="103"/>
      <w:r>
        <w:rPr>
          <w:rFonts w:hint="eastAsia" w:ascii="仿宋" w:hAnsi="仿宋" w:eastAsia="仿宋" w:cs="仿宋"/>
          <w:color w:val="auto"/>
          <w:sz w:val="28"/>
          <w:szCs w:val="28"/>
          <w:highlight w:val="none"/>
        </w:rPr>
        <w:t>）查询以下失信行为：</w:t>
      </w:r>
    </w:p>
    <w:p w14:paraId="0615D608">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w:t>
      </w:r>
      <w:bookmarkStart w:id="104" w:name="OLE_LINK104"/>
      <w:bookmarkStart w:id="105" w:name="OLE_LINK106"/>
      <w:bookmarkStart w:id="106" w:name="OLE_LINK105"/>
      <w:r>
        <w:rPr>
          <w:rFonts w:hint="eastAsia" w:ascii="仿宋" w:hAnsi="仿宋" w:eastAsia="仿宋" w:cs="仿宋"/>
          <w:color w:val="auto"/>
          <w:sz w:val="28"/>
          <w:szCs w:val="28"/>
          <w:highlight w:val="none"/>
        </w:rPr>
        <w:t>被列入“政府采购严重违法失信行为信息记录”的</w:t>
      </w:r>
      <w:bookmarkEnd w:id="104"/>
      <w:bookmarkEnd w:id="105"/>
      <w:bookmarkEnd w:id="106"/>
      <w:r>
        <w:rPr>
          <w:rFonts w:hint="eastAsia" w:ascii="仿宋" w:hAnsi="仿宋" w:eastAsia="仿宋" w:cs="仿宋"/>
          <w:color w:val="auto"/>
          <w:sz w:val="28"/>
          <w:szCs w:val="28"/>
          <w:highlight w:val="none"/>
        </w:rPr>
        <w:t>。</w:t>
      </w:r>
    </w:p>
    <w:p w14:paraId="76F20DAE">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4、由竞争主体进行承诺，不进行现场网上信用查询的失信行为：</w:t>
      </w:r>
    </w:p>
    <w:p w14:paraId="23A7B402">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①前三年有行贿犯罪行为的单位和个人。</w:t>
      </w:r>
    </w:p>
    <w:p w14:paraId="69A9A34A">
      <w:pPr>
        <w:adjustRightInd w:val="0"/>
        <w:snapToGrid w:val="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二、在开评标活动中的查询程序</w:t>
      </w:r>
    </w:p>
    <w:p w14:paraId="5AF2EC4E">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5FCF7DAE">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D38C00B">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3、项目单位及其委托的代理机构应当做好信用查询结果截图和记录留存。</w:t>
      </w:r>
    </w:p>
    <w:p w14:paraId="32E3C916">
      <w:pPr>
        <w:adjustRightInd w:val="0"/>
        <w:snapToGrid w:val="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三、相关要求</w:t>
      </w:r>
    </w:p>
    <w:p w14:paraId="07F8DE2E">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66CC3005">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EDD5E7D">
      <w:pPr>
        <w:wordWrap w:val="0"/>
        <w:adjustRightInd w:val="0"/>
        <w:snapToGrid w:val="0"/>
        <w:spacing w:line="560" w:lineRule="exact"/>
        <w:ind w:firstLine="560" w:firstLineChars="200"/>
        <w:rPr>
          <w:rFonts w:hint="eastAsia" w:ascii="仿宋" w:hAnsi="仿宋" w:eastAsia="仿宋" w:cs="仿宋"/>
          <w:color w:val="auto"/>
          <w:szCs w:val="24"/>
          <w:highlight w:val="none"/>
        </w:rPr>
      </w:pPr>
      <w:r>
        <w:rPr>
          <w:rFonts w:hint="eastAsia" w:ascii="仿宋" w:hAnsi="仿宋" w:eastAsia="仿宋" w:cs="仿宋"/>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"https://credit.ah.gov.cn/xinyong-fuwu/xvbahv/index.html"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https://credit.ah.gov.cn/xinyong-fuwu/xvbahv/index.html</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7229B14">
      <w:pPr>
        <w:adjustRightInd w:val="0"/>
        <w:snapToGrid w:val="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2、“信用中国”查询的严重失信行为判定依据为各行业主管部门下发的联合惩戒文件中规定的行为（按附件2执行）。</w:t>
      </w:r>
    </w:p>
    <w:p w14:paraId="0F4CFBC8">
      <w:pPr>
        <w:wordWrap w:val="0"/>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3、资格预审的项目以递交资格预审申请文件截止时间查询为准；资格后审的项目以递交投标文件截止时间查询为准。</w:t>
      </w:r>
    </w:p>
    <w:p w14:paraId="206F7635">
      <w:pPr>
        <w:wordWrap w:val="0"/>
        <w:adjustRightInd w:val="0"/>
        <w:snapToGrid w:val="0"/>
        <w:spacing w:line="560" w:lineRule="exact"/>
        <w:ind w:firstLine="560" w:firstLineChars="200"/>
        <w:rPr>
          <w:rFonts w:hint="eastAsia" w:ascii="仿宋" w:hAnsi="仿宋" w:eastAsia="仿宋" w:cs="仿宋"/>
          <w:color w:val="auto"/>
          <w:sz w:val="28"/>
          <w:szCs w:val="28"/>
          <w:highlight w:val="none"/>
        </w:rPr>
      </w:pPr>
    </w:p>
    <w:p w14:paraId="1A45319E">
      <w:pPr>
        <w:ind w:right="-92" w:rightChars="-44"/>
        <w:rPr>
          <w:rFonts w:hint="eastAsia" w:ascii="仿宋" w:hAnsi="仿宋" w:eastAsia="仿宋" w:cs="仿宋"/>
          <w:bCs/>
          <w:color w:val="auto"/>
          <w:szCs w:val="21"/>
          <w:highlight w:val="none"/>
        </w:rPr>
      </w:pPr>
    </w:p>
    <w:p w14:paraId="5CC50EEC">
      <w:pPr>
        <w:ind w:right="-92" w:rightChars="-44"/>
        <w:rPr>
          <w:rFonts w:hint="eastAsia" w:ascii="仿宋" w:hAnsi="仿宋" w:eastAsia="仿宋" w:cs="仿宋"/>
          <w:bCs/>
          <w:color w:val="auto"/>
          <w:sz w:val="32"/>
          <w:szCs w:val="32"/>
          <w:highlight w:val="none"/>
        </w:rPr>
      </w:pPr>
    </w:p>
    <w:p w14:paraId="2FD248A4">
      <w:pPr>
        <w:ind w:right="-92" w:rightChars="-44"/>
        <w:rPr>
          <w:rFonts w:hint="eastAsia" w:ascii="仿宋" w:hAnsi="仿宋" w:eastAsia="仿宋" w:cs="仿宋"/>
          <w:bCs/>
          <w:color w:val="auto"/>
          <w:sz w:val="32"/>
          <w:szCs w:val="32"/>
          <w:highlight w:val="none"/>
        </w:rPr>
      </w:pPr>
    </w:p>
    <w:p w14:paraId="70533F69">
      <w:pPr>
        <w:ind w:right="-92" w:rightChars="-44"/>
        <w:rPr>
          <w:rFonts w:hint="eastAsia" w:ascii="仿宋" w:hAnsi="仿宋" w:eastAsia="仿宋" w:cs="仿宋"/>
          <w:bCs/>
          <w:color w:val="auto"/>
          <w:sz w:val="32"/>
          <w:szCs w:val="32"/>
          <w:highlight w:val="none"/>
        </w:rPr>
      </w:pPr>
    </w:p>
    <w:p w14:paraId="331F1C53">
      <w:pPr>
        <w:ind w:right="-92" w:rightChars="-44"/>
        <w:rPr>
          <w:rFonts w:hint="eastAsia" w:ascii="仿宋" w:hAnsi="仿宋" w:eastAsia="仿宋" w:cs="仿宋"/>
          <w:bCs/>
          <w:color w:val="auto"/>
          <w:sz w:val="32"/>
          <w:szCs w:val="32"/>
          <w:highlight w:val="none"/>
        </w:rPr>
      </w:pPr>
    </w:p>
    <w:p w14:paraId="23271FC6">
      <w:pPr>
        <w:ind w:right="-92" w:rightChars="-44"/>
        <w:rPr>
          <w:rFonts w:hint="eastAsia" w:ascii="仿宋" w:hAnsi="仿宋" w:eastAsia="仿宋" w:cs="仿宋"/>
          <w:bCs/>
          <w:color w:val="auto"/>
          <w:sz w:val="32"/>
          <w:szCs w:val="32"/>
          <w:highlight w:val="none"/>
        </w:rPr>
      </w:pPr>
    </w:p>
    <w:p w14:paraId="33E2A8C6">
      <w:pPr>
        <w:ind w:right="-92" w:rightChars="-44"/>
        <w:rPr>
          <w:rFonts w:hint="eastAsia" w:ascii="仿宋" w:hAnsi="仿宋" w:eastAsia="仿宋" w:cs="仿宋"/>
          <w:bCs/>
          <w:color w:val="auto"/>
          <w:sz w:val="32"/>
          <w:szCs w:val="32"/>
          <w:highlight w:val="none"/>
        </w:rPr>
      </w:pPr>
    </w:p>
    <w:p w14:paraId="31FE1E4D">
      <w:pPr>
        <w:ind w:right="-92" w:rightChars="-44"/>
        <w:rPr>
          <w:rFonts w:hint="eastAsia" w:ascii="仿宋" w:hAnsi="仿宋" w:eastAsia="仿宋" w:cs="仿宋"/>
          <w:bCs/>
          <w:color w:val="auto"/>
          <w:sz w:val="32"/>
          <w:szCs w:val="32"/>
          <w:highlight w:val="none"/>
        </w:rPr>
      </w:pPr>
    </w:p>
    <w:p w14:paraId="536CDD9A">
      <w:pPr>
        <w:ind w:right="-92" w:rightChars="-44"/>
        <w:rPr>
          <w:rFonts w:hint="eastAsia" w:ascii="仿宋" w:hAnsi="仿宋" w:eastAsia="仿宋" w:cs="仿宋"/>
          <w:bCs/>
          <w:color w:val="auto"/>
          <w:sz w:val="32"/>
          <w:szCs w:val="32"/>
          <w:highlight w:val="none"/>
        </w:rPr>
      </w:pPr>
    </w:p>
    <w:p w14:paraId="6F4E2F3C">
      <w:pPr>
        <w:keepNext/>
        <w:keepLines/>
        <w:spacing w:before="200" w:after="200" w:line="600" w:lineRule="exact"/>
        <w:outlineLvl w:val="0"/>
        <w:rPr>
          <w:rFonts w:hint="eastAsia" w:ascii="仿宋" w:hAnsi="仿宋" w:eastAsia="仿宋" w:cs="仿宋"/>
          <w:b/>
          <w:bCs/>
          <w:color w:val="auto"/>
          <w:kern w:val="44"/>
          <w:sz w:val="36"/>
          <w:szCs w:val="28"/>
          <w:highlight w:val="none"/>
        </w:rPr>
      </w:pPr>
      <w:bookmarkStart w:id="107" w:name="_Toc95223549"/>
      <w:bookmarkStart w:id="108" w:name="OLE_LINK31"/>
      <w:bookmarkStart w:id="109" w:name="OLE_LINK41"/>
      <w:bookmarkStart w:id="110" w:name="OLE_LINK32"/>
      <w:r>
        <w:rPr>
          <w:rFonts w:hint="eastAsia" w:ascii="仿宋" w:hAnsi="仿宋" w:eastAsia="仿宋" w:cs="仿宋"/>
          <w:b/>
          <w:bCs/>
          <w:color w:val="auto"/>
          <w:kern w:val="44"/>
          <w:sz w:val="36"/>
          <w:szCs w:val="28"/>
          <w:highlight w:val="none"/>
        </w:rPr>
        <w:t xml:space="preserve">附件2 </w:t>
      </w:r>
      <w:bookmarkStart w:id="111" w:name="OLE_LINK75"/>
      <w:bookmarkStart w:id="112" w:name="OLE_LINK74"/>
      <w:r>
        <w:rPr>
          <w:rFonts w:hint="eastAsia" w:ascii="仿宋" w:hAnsi="仿宋" w:eastAsia="仿宋" w:cs="仿宋"/>
          <w:b/>
          <w:bCs/>
          <w:color w:val="auto"/>
          <w:kern w:val="44"/>
          <w:sz w:val="36"/>
          <w:szCs w:val="28"/>
          <w:highlight w:val="none"/>
        </w:rPr>
        <w:t>“信用中国”查询的严重失信行为</w:t>
      </w:r>
      <w:bookmarkStart w:id="113" w:name="OLE_LINK38"/>
      <w:bookmarkStart w:id="114" w:name="OLE_LINK39"/>
      <w:bookmarkStart w:id="115" w:name="OLE_LINK76"/>
      <w:bookmarkStart w:id="116" w:name="OLE_LINK40"/>
      <w:r>
        <w:rPr>
          <w:rFonts w:hint="eastAsia" w:ascii="仿宋" w:hAnsi="仿宋" w:eastAsia="仿宋" w:cs="仿宋"/>
          <w:b/>
          <w:bCs/>
          <w:color w:val="auto"/>
          <w:kern w:val="44"/>
          <w:sz w:val="36"/>
          <w:szCs w:val="28"/>
          <w:highlight w:val="none"/>
        </w:rPr>
        <w:t>类别及判定依据</w:t>
      </w:r>
      <w:bookmarkEnd w:id="107"/>
      <w:bookmarkEnd w:id="111"/>
      <w:bookmarkEnd w:id="112"/>
      <w:bookmarkEnd w:id="113"/>
      <w:bookmarkEnd w:id="114"/>
      <w:bookmarkEnd w:id="115"/>
      <w:bookmarkEnd w:id="116"/>
    </w:p>
    <w:bookmarkEnd w:id="108"/>
    <w:bookmarkEnd w:id="109"/>
    <w:bookmarkEnd w:id="110"/>
    <w:p w14:paraId="40C6A058">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28"/>
          <w:szCs w:val="28"/>
          <w:highlight w:val="none"/>
        </w:rPr>
        <w:t>信用中国”查询的严重失信行为判定依据为各行业主管部门下发的联合惩戒文件中规定的行为。下面将部分类别的严重失信行为列举如下：</w:t>
      </w:r>
    </w:p>
    <w:p w14:paraId="3849AA08">
      <w:pPr>
        <w:adjustRightInd w:val="0"/>
        <w:snapToGrid w:val="0"/>
        <w:spacing w:line="560" w:lineRule="exact"/>
        <w:ind w:firstLine="645"/>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一、安全生产领域严重失信行为：</w:t>
      </w:r>
    </w:p>
    <w:p w14:paraId="41B4BC2F">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（一）下列发生生产安全事故的生产经营单位及其有关人员应当列入严重失信主体名单：</w:t>
      </w:r>
    </w:p>
    <w:p w14:paraId="2D22C1CF">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1、发生特别重大、重大生产安全事故的生产经营单位及其主要负责人，以及经调查认定对该事故发生负有责任，应当列入名单的其他单位和人员；</w:t>
      </w:r>
    </w:p>
    <w:p w14:paraId="68547A14">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2、12个月内累计发生2起以上较大生产安全事故的生产经营单位及其主要负责人；</w:t>
      </w:r>
    </w:p>
    <w:p w14:paraId="68A1CDF7">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389F945E">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4、瞒报、谎报生产安全事故的生产经营单位及其有关责任人员；</w:t>
      </w:r>
    </w:p>
    <w:p w14:paraId="61DA2DC7">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5、发生生产安全事故后，不立即组织抢救或者在事故调查处理期间擅离职守或者逃匿的生产经营单位主要负责人。</w:t>
      </w:r>
    </w:p>
    <w:p w14:paraId="52F2DC8C">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（二）下列未发生生产安全事故，但因安全生产违法行为，受到行政处罚的生产经营单位或者机构及其有关人员，应当列入严重失信主体名单：</w:t>
      </w:r>
    </w:p>
    <w:p w14:paraId="243CA3FE">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1、未依法取得安全生产相关许可或者许可被暂扣、吊销期间从事相关生产经营活动的生产经营单位及其主要负责人；</w:t>
      </w:r>
    </w:p>
    <w:p w14:paraId="35F08590">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2、承担安全评价、认证、检测、检验职责的机构及其直接责任人员租借资质、挂靠、出具虚假报告或者证书的；</w:t>
      </w:r>
    </w:p>
    <w:p w14:paraId="2727AC5F">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3、在应急管理部门作出行政处罚后，有执行能力拒不执行或者逃避执行的生产经营单位及其主要负责人；</w:t>
      </w:r>
    </w:p>
    <w:p w14:paraId="31687E94">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4、其他违反安全生产法律法规受到行政处罚，且性质恶劣、情节严重的。</w:t>
      </w:r>
    </w:p>
    <w:p w14:paraId="0A43E8BC">
      <w:pPr>
        <w:adjustRightInd w:val="0"/>
        <w:snapToGrid w:val="0"/>
        <w:spacing w:line="560" w:lineRule="exact"/>
        <w:ind w:firstLine="645"/>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依据：《安全生产严重失信主体名单管理办法》（2023年8月8日应急管理部令第11号）</w:t>
      </w:r>
    </w:p>
    <w:p w14:paraId="7A18C4DB">
      <w:pPr>
        <w:adjustRightInd w:val="0"/>
        <w:snapToGrid w:val="0"/>
        <w:spacing w:line="560" w:lineRule="exact"/>
        <w:ind w:firstLine="645"/>
        <w:jc w:val="left"/>
        <w:rPr>
          <w:rFonts w:hint="eastAsia" w:ascii="仿宋" w:hAnsi="仿宋" w:eastAsia="仿宋" w:cs="仿宋"/>
          <w:b/>
          <w:color w:val="auto"/>
          <w:sz w:val="28"/>
          <w:szCs w:val="28"/>
          <w:highlight w:val="none"/>
        </w:rPr>
      </w:pPr>
    </w:p>
    <w:p w14:paraId="576DD2F2">
      <w:pPr>
        <w:adjustRightInd w:val="0"/>
        <w:snapToGrid w:val="0"/>
        <w:spacing w:line="560" w:lineRule="exact"/>
        <w:ind w:firstLine="645"/>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二、环境保护领域严重失信行为：</w:t>
      </w:r>
    </w:p>
    <w:p w14:paraId="359C02E9">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（一）因为环境违法构成</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"https://baike.sogou.com/m/fullLemma?lid=10403954&amp;g_ut=3"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环境犯罪</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的；</w:t>
      </w:r>
    </w:p>
    <w:p w14:paraId="51009748">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"https://baike.sogou.com/m/fullLemma?lid=76033123&amp;g_ut=3"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建设项目环境影响评价</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文件未按规定通过审批，擅自开工建设的；</w:t>
      </w:r>
    </w:p>
    <w:p w14:paraId="309F4244">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（三）建设项目环保设施未建成、环保措施未落实、未通过</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"https://baike.sogou.com/m/fullLemma?lid=6470550&amp;g_ut=3"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竣工环保验收</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或者验收不合格，主体工程正式投入生产或者使用的；</w:t>
      </w:r>
    </w:p>
    <w:p w14:paraId="741DAE3C">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（四）建设项目性质、规模、地点、采用的生产工艺或者防治污染、防止生态破坏的措施发生重大变动，未重新报批环境影响评价文件，擅自投入生产或者使用的；</w:t>
      </w:r>
    </w:p>
    <w:p w14:paraId="27AA5D96">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（五）主要污染物排放总量超过控制指标的；</w:t>
      </w:r>
    </w:p>
    <w:p w14:paraId="0FC8F287">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（六）私设暗管或者利用</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"https://baike.sogou.com/m/fullLemma?lid=41657319&amp;g_ut=3"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渗井</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、渗坑、裂隙、溶洞等排放、倾倒、处置水污染物，或者通过私设旁路排放</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"https://baike.sogou.com/m/fullLemma?lid=7758328&amp;g_ut=3"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大气污染物</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的；</w:t>
      </w:r>
    </w:p>
    <w:p w14:paraId="0B5A4B1E">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（七）非法排放、倾倒、处置危险废物，或者向无</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"https://baike.sogou.com/m/fullLemma?lid=5923292&amp;g_ut=3"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经营许可证</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或者超出经营许可范围的单位或个人提供或者委托其收集、贮存、利用、处置危险废物的；</w:t>
      </w:r>
    </w:p>
    <w:p w14:paraId="2F2B6D44">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"https://baike.sogou.com/m/fullLemma?lid=167759803&amp;g_ut=3"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环境违法行为</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造成集中式生活饮用水水源取水中断的；</w:t>
      </w:r>
    </w:p>
    <w:p w14:paraId="3C1C2D2B">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（九）环境违法行为对生活饮用水水源保护区、自然保护区、</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"https://baike.sogou.com/m/fullLemma?lid=155199213&amp;g_ut=3"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国家重点生态功能区</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、风景名胜区、居住功能区、</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"https://baike.sogou.com/m/fullLemma?lid=7757164&amp;g_ut=3"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基本农田保护区</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等环境敏感区造成重大不利影响的；</w:t>
      </w:r>
    </w:p>
    <w:p w14:paraId="2099B32B">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（十）违法从事自然资源开发、交通基础设施建设，以及其他开发建设活动，造成严重生态破坏的；</w:t>
      </w:r>
    </w:p>
    <w:p w14:paraId="16BA6792">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（十一）发生较大及以上突发环境事件的；</w:t>
      </w:r>
    </w:p>
    <w:p w14:paraId="2C2D341D">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（十二）被环保部门挂牌督办，整改逾期未完成的；</w:t>
      </w:r>
    </w:p>
    <w:p w14:paraId="3A9C7954">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（十三）以暴力、威胁等方式拒绝、阻挠环保部门工作人员现场检查的；</w:t>
      </w:r>
    </w:p>
    <w:p w14:paraId="14A05C90">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（十四）违反重污染天气应急预案有关规定，对重污染天气响应不力的。</w:t>
      </w:r>
    </w:p>
    <w:p w14:paraId="1B5ADE89">
      <w:pPr>
        <w:adjustRightInd w:val="0"/>
        <w:snapToGrid w:val="0"/>
        <w:spacing w:line="560" w:lineRule="exact"/>
        <w:ind w:firstLine="645"/>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依据：《</w:t>
      </w:r>
      <w:bookmarkStart w:id="117" w:name="OLE_LINK8"/>
      <w:bookmarkStart w:id="118" w:name="OLE_LINK9"/>
      <w:bookmarkStart w:id="119" w:name="OLE_LINK10"/>
      <w:r>
        <w:rPr>
          <w:rFonts w:hint="eastAsia" w:ascii="仿宋" w:hAnsi="仿宋" w:eastAsia="仿宋" w:cs="仿宋"/>
          <w:b/>
          <w:color w:val="auto"/>
          <w:sz w:val="28"/>
          <w:szCs w:val="28"/>
          <w:highlight w:val="none"/>
        </w:rPr>
        <w:t>关于对环境保护领域失信生产经营单位及其有关人员开展联合惩戒的合作备忘录</w:t>
      </w:r>
      <w:bookmarkEnd w:id="117"/>
      <w:bookmarkEnd w:id="118"/>
      <w:bookmarkEnd w:id="119"/>
      <w:r>
        <w:rPr>
          <w:rFonts w:hint="eastAsia" w:ascii="仿宋" w:hAnsi="仿宋" w:eastAsia="仿宋" w:cs="仿宋"/>
          <w:b/>
          <w:color w:val="auto"/>
          <w:sz w:val="28"/>
          <w:szCs w:val="28"/>
          <w:highlight w:val="none"/>
        </w:rPr>
        <w:t>》、《</w:t>
      </w:r>
      <w:bookmarkStart w:id="120" w:name="OLE_LINK12"/>
      <w:bookmarkStart w:id="121" w:name="OLE_LINK11"/>
      <w:r>
        <w:rPr>
          <w:rFonts w:hint="eastAsia" w:ascii="仿宋" w:hAnsi="仿宋" w:eastAsia="仿宋" w:cs="仿宋"/>
          <w:b/>
          <w:color w:val="auto"/>
          <w:sz w:val="28"/>
          <w:szCs w:val="28"/>
          <w:highlight w:val="none"/>
        </w:rPr>
        <w:t>企业环境信用评价办法（试行）</w:t>
      </w:r>
      <w:bookmarkEnd w:id="120"/>
      <w:bookmarkEnd w:id="121"/>
      <w:r>
        <w:rPr>
          <w:rFonts w:hint="eastAsia" w:ascii="仿宋" w:hAnsi="仿宋" w:eastAsia="仿宋" w:cs="仿宋"/>
          <w:b/>
          <w:color w:val="auto"/>
          <w:sz w:val="28"/>
          <w:szCs w:val="28"/>
          <w:highlight w:val="none"/>
        </w:rPr>
        <w:t>》（环发〔2013〕150号）</w:t>
      </w:r>
    </w:p>
    <w:p w14:paraId="2BD587FA">
      <w:pPr>
        <w:adjustRightInd w:val="0"/>
        <w:snapToGrid w:val="0"/>
        <w:spacing w:line="560" w:lineRule="exact"/>
        <w:ind w:firstLine="645"/>
        <w:jc w:val="left"/>
        <w:rPr>
          <w:rFonts w:hint="eastAsia" w:ascii="仿宋" w:hAnsi="仿宋" w:eastAsia="仿宋" w:cs="仿宋"/>
          <w:b/>
          <w:color w:val="auto"/>
          <w:sz w:val="28"/>
          <w:szCs w:val="28"/>
          <w:highlight w:val="none"/>
        </w:rPr>
      </w:pPr>
    </w:p>
    <w:p w14:paraId="5013EC20">
      <w:pPr>
        <w:adjustRightInd w:val="0"/>
        <w:snapToGrid w:val="0"/>
        <w:spacing w:line="560" w:lineRule="exact"/>
        <w:ind w:firstLine="645"/>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w:t>
      </w:r>
      <w:r>
        <w:rPr>
          <w:rFonts w:hint="eastAsia" w:ascii="仿宋" w:hAnsi="仿宋" w:eastAsia="仿宋" w:cs="仿宋"/>
          <w:b/>
          <w:bCs/>
          <w:color w:val="auto"/>
          <w:sz w:val="28"/>
          <w:szCs w:val="28"/>
          <w:highlight w:val="none"/>
        </w:rPr>
        <w:t>公共资源交易领域严重失信行为</w:t>
      </w:r>
    </w:p>
    <w:p w14:paraId="07A5E7A7">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（一）违反法律规定，必须进行招标的项目而不招标的，将必须进行招标的项目化整为零或者以其他任何方式规避招标的； </w:t>
      </w:r>
    </w:p>
    <w:p w14:paraId="742A6BED">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6B2639B4">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088E319A">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2F3E4AD">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（五）投标人相互串通投标或者与招标人串通投标的，投标人以向招标人或者评标委员会成员行贿的手段谋取中标的； </w:t>
      </w:r>
    </w:p>
    <w:p w14:paraId="1EC59C94">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（六）投标人以他人名义投标或者以其他方式弄虚作假，骗取中标的；</w:t>
      </w:r>
    </w:p>
    <w:p w14:paraId="02F249A3">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（七）依法必须进行招标的项目，招标人违反法律规定，与投标人就投标价格、投标方案等实质性内容进行谈判的；</w:t>
      </w:r>
    </w:p>
    <w:p w14:paraId="6BAC2B31">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9380E70">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7D90804F">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30667B42">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（十一）招标人与中标人不按照招标文件和中标人的投标文件订立合同的，或者招标人、中标人订立背离合同实质性内容的 协议的； </w:t>
      </w:r>
    </w:p>
    <w:p w14:paraId="095105F6">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（十二）中标人不按照与招标人订立的合同履行义务，情节严重的； </w:t>
      </w:r>
    </w:p>
    <w:p w14:paraId="2C1B048D">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F13D10F">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ED337E0">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（十五）采购人对应当实行集中采购的政府采购项目，不委托集中采购机构实行集中采购的； </w:t>
      </w:r>
    </w:p>
    <w:p w14:paraId="7853704F">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（十六）采购人、采购代理机构违反法律规定隐匿、销毁应当保存的采购文件或者伪造、变造采购文件的； </w:t>
      </w:r>
    </w:p>
    <w:p w14:paraId="165F19C5">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8C3F0F4">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（十八）疫苗生产企业向县级疾病预防控制机构以外的单位或者个人销售第二类疫苗的； </w:t>
      </w:r>
    </w:p>
    <w:p w14:paraId="3F187C32">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（十九）存在其他违反公共资源交易法律法规行为的。</w:t>
      </w:r>
    </w:p>
    <w:p w14:paraId="50C23351">
      <w:pPr>
        <w:adjustRightInd w:val="0"/>
        <w:snapToGrid w:val="0"/>
        <w:spacing w:line="560" w:lineRule="exact"/>
        <w:ind w:firstLine="894" w:firstLineChars="318"/>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依据：《关于对公共资源交易领域严重失信主体开展联合惩戒的备忘录》（发改法规〔2018〕457号）</w:t>
      </w:r>
    </w:p>
    <w:p w14:paraId="4B8C5052">
      <w:pPr>
        <w:adjustRightInd w:val="0"/>
        <w:snapToGrid w:val="0"/>
        <w:spacing w:line="560" w:lineRule="exact"/>
        <w:ind w:firstLine="645"/>
        <w:jc w:val="left"/>
        <w:rPr>
          <w:rFonts w:hint="eastAsia" w:ascii="仿宋" w:hAnsi="仿宋" w:eastAsia="仿宋" w:cs="仿宋"/>
          <w:color w:val="auto"/>
          <w:sz w:val="28"/>
          <w:szCs w:val="28"/>
          <w:highlight w:val="none"/>
        </w:rPr>
      </w:pPr>
    </w:p>
    <w:p w14:paraId="1ABCB1BD">
      <w:pPr>
        <w:adjustRightInd w:val="0"/>
        <w:snapToGrid w:val="0"/>
        <w:spacing w:line="560" w:lineRule="exact"/>
        <w:ind w:firstLine="645"/>
        <w:jc w:val="left"/>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四、</w:t>
      </w:r>
      <w:r>
        <w:rPr>
          <w:rFonts w:hint="eastAsia" w:ascii="仿宋" w:hAnsi="仿宋" w:eastAsia="仿宋" w:cs="仿宋"/>
          <w:b/>
          <w:bCs/>
          <w:color w:val="auto"/>
          <w:sz w:val="28"/>
          <w:szCs w:val="28"/>
          <w:highlight w:val="none"/>
        </w:rPr>
        <w:t>社会保险领域严重失信行为</w:t>
      </w:r>
    </w:p>
    <w:p w14:paraId="0060EE07">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（一）用人单位未按相关规定参加社会保险且拒不整改的； </w:t>
      </w:r>
    </w:p>
    <w:p w14:paraId="746F73C9">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（二）用人单位未如实申报社会保险缴费基数且拒不整改的； </w:t>
      </w:r>
    </w:p>
    <w:p w14:paraId="2DA506DD">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（三）应缴纳社会保险费却拒不缴纳的； </w:t>
      </w:r>
    </w:p>
    <w:p w14:paraId="376853C6">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（四）隐匿、转移、侵占、挪用社会保险费款、基金或者违规投资运营的；</w:t>
      </w:r>
    </w:p>
    <w:p w14:paraId="421E7A4F">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（五）以欺诈、伪造证明材料或者其他手段参加、申报社会保险和骗取社会保险基金支出或社会保险待遇的； </w:t>
      </w:r>
    </w:p>
    <w:p w14:paraId="18B02ED6">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（六）非法获取、出售或变相交易社会保险个人权益数据的； </w:t>
      </w:r>
    </w:p>
    <w:p w14:paraId="7A8F0FB0">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（七）社会保险服务机构违反服务协议或相关规定的； </w:t>
      </w:r>
    </w:p>
    <w:p w14:paraId="2906BA95">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13193798">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（九）其他违反法律法规规定的。</w:t>
      </w:r>
    </w:p>
    <w:p w14:paraId="7E0D21C6">
      <w:pPr>
        <w:adjustRightInd w:val="0"/>
        <w:snapToGrid w:val="0"/>
        <w:spacing w:line="560" w:lineRule="exact"/>
        <w:ind w:firstLine="551" w:firstLineChars="196"/>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依据：《</w:t>
      </w:r>
      <w:bookmarkStart w:id="122" w:name="OLE_LINK16"/>
      <w:bookmarkStart w:id="123" w:name="OLE_LINK15"/>
      <w:r>
        <w:rPr>
          <w:rFonts w:hint="eastAsia" w:ascii="仿宋" w:hAnsi="仿宋" w:eastAsia="仿宋" w:cs="仿宋"/>
          <w:b/>
          <w:color w:val="auto"/>
          <w:sz w:val="28"/>
          <w:szCs w:val="28"/>
          <w:highlight w:val="none"/>
        </w:rPr>
        <w:t>关于对社会保险领域严重失信企业及其有关人员实施联合惩戒的合作备忘录</w:t>
      </w:r>
      <w:bookmarkEnd w:id="122"/>
      <w:bookmarkEnd w:id="123"/>
      <w:r>
        <w:rPr>
          <w:rFonts w:hint="eastAsia" w:ascii="仿宋" w:hAnsi="仿宋" w:eastAsia="仿宋" w:cs="仿宋"/>
          <w:b/>
          <w:color w:val="auto"/>
          <w:sz w:val="28"/>
          <w:szCs w:val="28"/>
          <w:highlight w:val="none"/>
        </w:rPr>
        <w:t>》（发改财金〔2018〕1704号）</w:t>
      </w:r>
    </w:p>
    <w:p w14:paraId="0CE48855">
      <w:pPr>
        <w:adjustRightInd w:val="0"/>
        <w:snapToGrid w:val="0"/>
        <w:spacing w:line="56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4AD84145">
      <w:pPr>
        <w:adjustRightInd w:val="0"/>
        <w:snapToGrid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五、建筑市场领域</w:t>
      </w:r>
      <w:r>
        <w:rPr>
          <w:rFonts w:hint="eastAsia" w:ascii="仿宋" w:hAnsi="仿宋" w:eastAsia="仿宋" w:cs="仿宋"/>
          <w:b/>
          <w:bCs/>
          <w:color w:val="auto"/>
          <w:sz w:val="28"/>
          <w:szCs w:val="28"/>
          <w:highlight w:val="none"/>
        </w:rPr>
        <w:t>严重失信行为</w:t>
      </w:r>
    </w:p>
    <w:p w14:paraId="66CAB6D8">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（一）利用虚假材料、以欺骗手段取得企业资质的；</w:t>
      </w:r>
    </w:p>
    <w:p w14:paraId="5ED398CA">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（二）发生转包、出借资质，受到行政处罚的；</w:t>
      </w:r>
    </w:p>
    <w:p w14:paraId="52FD2227">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2037FD09">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（四）经法院判决或仲裁机构裁决，认定为拖欠工程款,且拒不履行生效法律文书确定的义务的。</w:t>
      </w:r>
    </w:p>
    <w:p w14:paraId="50BF2F35">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DBEF07D">
      <w:pPr>
        <w:ind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依据：《</w:t>
      </w:r>
      <w:bookmarkStart w:id="124" w:name="OLE_LINK18"/>
      <w:bookmarkStart w:id="125" w:name="OLE_LINK17"/>
      <w:r>
        <w:rPr>
          <w:rFonts w:hint="eastAsia" w:ascii="仿宋" w:hAnsi="仿宋" w:eastAsia="仿宋" w:cs="仿宋"/>
          <w:b/>
          <w:color w:val="auto"/>
          <w:sz w:val="28"/>
          <w:szCs w:val="28"/>
          <w:highlight w:val="none"/>
        </w:rPr>
        <w:t>建筑市场信用管理暂行办法</w:t>
      </w:r>
      <w:bookmarkEnd w:id="124"/>
      <w:bookmarkEnd w:id="125"/>
      <w:r>
        <w:rPr>
          <w:rFonts w:hint="eastAsia" w:ascii="仿宋" w:hAnsi="仿宋" w:eastAsia="仿宋" w:cs="仿宋"/>
          <w:b/>
          <w:color w:val="auto"/>
          <w:sz w:val="28"/>
          <w:szCs w:val="28"/>
          <w:highlight w:val="none"/>
        </w:rPr>
        <w:t>》（建市〔2017〕241号）</w:t>
      </w:r>
    </w:p>
    <w:p w14:paraId="74028B0D">
      <w:pPr>
        <w:adjustRightInd w:val="0"/>
        <w:snapToGrid w:val="0"/>
        <w:spacing w:line="560" w:lineRule="exact"/>
        <w:rPr>
          <w:rFonts w:hint="eastAsia" w:ascii="仿宋" w:hAnsi="仿宋" w:eastAsia="仿宋" w:cs="仿宋"/>
          <w:b/>
          <w:color w:val="auto"/>
          <w:sz w:val="28"/>
          <w:szCs w:val="28"/>
          <w:highlight w:val="none"/>
        </w:rPr>
      </w:pPr>
    </w:p>
    <w:p w14:paraId="2F6743DE">
      <w:pPr>
        <w:adjustRightInd w:val="0"/>
        <w:snapToGrid w:val="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w:t>
      </w:r>
      <w:bookmarkStart w:id="126" w:name="OLE_LINK20"/>
      <w:bookmarkStart w:id="127" w:name="OLE_LINK19"/>
      <w:r>
        <w:rPr>
          <w:rFonts w:hint="eastAsia" w:ascii="仿宋" w:hAnsi="仿宋" w:eastAsia="仿宋" w:cs="仿宋"/>
          <w:b/>
          <w:color w:val="auto"/>
          <w:sz w:val="28"/>
          <w:szCs w:val="28"/>
          <w:highlight w:val="none"/>
        </w:rPr>
        <w:t>政府采购严重失信行为</w:t>
      </w:r>
      <w:bookmarkEnd w:id="126"/>
      <w:bookmarkEnd w:id="127"/>
    </w:p>
    <w:p w14:paraId="7BED68F6">
      <w:pPr>
        <w:adjustRightInd w:val="0"/>
        <w:snapToGrid w:val="0"/>
        <w:spacing w:line="560" w:lineRule="exact"/>
        <w:ind w:firstLine="61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供应商、采购代理机构在三年内受到财政部门作出下列情形之一的行政处罚，列入政府采购严重违法失信行为记录名单。</w:t>
      </w:r>
    </w:p>
    <w:p w14:paraId="686E2FB4">
      <w:pPr>
        <w:adjustRightInd w:val="0"/>
        <w:snapToGrid w:val="0"/>
        <w:spacing w:line="560" w:lineRule="exact"/>
        <w:ind w:firstLine="61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（一）三万元以上罚款；</w:t>
      </w:r>
    </w:p>
    <w:p w14:paraId="6356CB8B">
      <w:pPr>
        <w:adjustRightInd w:val="0"/>
        <w:snapToGrid w:val="0"/>
        <w:spacing w:line="560" w:lineRule="exact"/>
        <w:ind w:firstLine="61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（二）在一至三年内禁止参加政府采购活动（处罚期限届满的除外）；</w:t>
      </w:r>
    </w:p>
    <w:p w14:paraId="32DC74AC">
      <w:pPr>
        <w:adjustRightInd w:val="0"/>
        <w:snapToGrid w:val="0"/>
        <w:spacing w:line="560" w:lineRule="exact"/>
        <w:ind w:firstLine="61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（三）在一至三年内禁止代理政府采购业务（处罚期限届满的除外）；</w:t>
      </w:r>
    </w:p>
    <w:p w14:paraId="6B3E1F9B">
      <w:pPr>
        <w:adjustRightInd w:val="0"/>
        <w:snapToGrid w:val="0"/>
        <w:spacing w:line="560" w:lineRule="exact"/>
        <w:ind w:firstLine="61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（四）撤销政府采购代理机构资格（仅针对《政府采购法》第78条修改前作出的处罚决定）。</w:t>
      </w:r>
    </w:p>
    <w:p w14:paraId="291807B6">
      <w:pPr>
        <w:adjustRightInd w:val="0"/>
        <w:snapToGrid w:val="0"/>
        <w:spacing w:line="560" w:lineRule="exact"/>
        <w:ind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依据：《关于报送政府采购严重违法失信行为信息记录的通知》（财办库〔2014〕526号）</w:t>
      </w:r>
    </w:p>
    <w:p w14:paraId="38B010D4">
      <w:pPr>
        <w:adjustRightInd w:val="0"/>
        <w:snapToGrid w:val="0"/>
        <w:spacing w:line="560" w:lineRule="exact"/>
        <w:rPr>
          <w:rFonts w:hint="eastAsia" w:ascii="仿宋" w:hAnsi="仿宋" w:eastAsia="仿宋" w:cs="仿宋"/>
          <w:b/>
          <w:color w:val="auto"/>
          <w:sz w:val="28"/>
          <w:szCs w:val="28"/>
          <w:highlight w:val="none"/>
        </w:rPr>
      </w:pPr>
    </w:p>
    <w:p w14:paraId="50CE36DA">
      <w:pPr>
        <w:spacing w:line="440" w:lineRule="exact"/>
        <w:ind w:right="-92" w:rightChars="-44" w:firstLine="615"/>
        <w:rPr>
          <w:rFonts w:hint="eastAsia" w:ascii="仿宋" w:hAnsi="仿宋" w:eastAsia="仿宋" w:cs="仿宋"/>
          <w:bCs/>
          <w:color w:val="auto"/>
          <w:sz w:val="24"/>
          <w:highlight w:val="none"/>
        </w:rPr>
      </w:pPr>
      <w:r>
        <w:rPr>
          <w:rFonts w:hint="eastAsia" w:ascii="仿宋" w:hAnsi="仿宋" w:eastAsia="仿宋" w:cs="仿宋"/>
          <w:b/>
          <w:color w:val="auto"/>
          <w:sz w:val="28"/>
          <w:szCs w:val="28"/>
          <w:highlight w:val="none"/>
        </w:rPr>
        <w:t>未列出的其他类别严重失信行为，由招标人（代理机构）根据各类别行业主管部门下发的联合惩戒文件进行判断。</w:t>
      </w:r>
    </w:p>
    <w:p w14:paraId="02F4CF9E">
      <w:pPr>
        <w:pStyle w:val="14"/>
        <w:ind w:left="1260"/>
        <w:rPr>
          <w:rFonts w:hint="eastAsia" w:ascii="仿宋" w:hAnsi="仿宋" w:eastAsia="仿宋" w:cs="仿宋"/>
          <w:color w:val="auto"/>
          <w:highlight w:val="none"/>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CE03A">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099F">
    <w:pPr>
      <w:pStyle w:val="1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59BE4">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E9DB8">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AE9DB8">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645AB">
    <w:pPr>
      <w:pStyle w:val="20"/>
      <w:jc w:val="left"/>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E18FE"/>
    <w:multiLevelType w:val="multilevel"/>
    <w:tmpl w:val="AC7E18FE"/>
    <w:lvl w:ilvl="0" w:tentative="0">
      <w:start w:val="16"/>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ACA0508"/>
    <w:multiLevelType w:val="multilevel"/>
    <w:tmpl w:val="BACA0508"/>
    <w:lvl w:ilvl="0" w:tentative="0">
      <w:start w:val="23"/>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C54EA2A8"/>
    <w:multiLevelType w:val="singleLevel"/>
    <w:tmpl w:val="C54EA2A8"/>
    <w:lvl w:ilvl="0" w:tentative="0">
      <w:start w:val="1"/>
      <w:numFmt w:val="decimal"/>
      <w:pStyle w:val="8"/>
      <w:lvlText w:val="%1."/>
      <w:lvlJc w:val="left"/>
      <w:pPr>
        <w:tabs>
          <w:tab w:val="left" w:pos="360"/>
        </w:tabs>
        <w:ind w:left="360" w:hanging="360"/>
      </w:pPr>
    </w:lvl>
  </w:abstractNum>
  <w:abstractNum w:abstractNumId="3">
    <w:nsid w:val="C666EA50"/>
    <w:multiLevelType w:val="multilevel"/>
    <w:tmpl w:val="C666EA50"/>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D6500D40"/>
    <w:multiLevelType w:val="multilevel"/>
    <w:tmpl w:val="D6500D40"/>
    <w:lvl w:ilvl="0" w:tentative="0">
      <w:start w:val="6"/>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FC9A424E"/>
    <w:multiLevelType w:val="singleLevel"/>
    <w:tmpl w:val="FC9A424E"/>
    <w:lvl w:ilvl="0" w:tentative="0">
      <w:start w:val="1"/>
      <w:numFmt w:val="decimal"/>
      <w:suff w:val="nothing"/>
      <w:lvlText w:val="（%1）"/>
      <w:lvlJc w:val="left"/>
    </w:lvl>
  </w:abstractNum>
  <w:abstractNum w:abstractNumId="6">
    <w:nsid w:val="08A2BD31"/>
    <w:multiLevelType w:val="singleLevel"/>
    <w:tmpl w:val="08A2BD31"/>
    <w:lvl w:ilvl="0" w:tentative="0">
      <w:start w:val="1"/>
      <w:numFmt w:val="decimal"/>
      <w:suff w:val="space"/>
      <w:lvlText w:val="%1、"/>
      <w:lvlJc w:val="left"/>
    </w:lvl>
  </w:abstractNum>
  <w:abstractNum w:abstractNumId="7">
    <w:nsid w:val="09649FA8"/>
    <w:multiLevelType w:val="multilevel"/>
    <w:tmpl w:val="09649FA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60A4A32"/>
    <w:multiLevelType w:val="singleLevel"/>
    <w:tmpl w:val="460A4A32"/>
    <w:lvl w:ilvl="0" w:tentative="0">
      <w:start w:val="1"/>
      <w:numFmt w:val="decimal"/>
      <w:lvlText w:val="(%1)"/>
      <w:lvlJc w:val="left"/>
      <w:pPr>
        <w:tabs>
          <w:tab w:val="left" w:pos="312"/>
        </w:tabs>
      </w:pPr>
    </w:lvl>
  </w:abstractNum>
  <w:abstractNum w:abstractNumId="9">
    <w:nsid w:val="65FEA4A1"/>
    <w:multiLevelType w:val="multilevel"/>
    <w:tmpl w:val="65FEA4A1"/>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8"/>
  </w:num>
  <w:num w:numId="3">
    <w:abstractNumId w:val="9"/>
  </w:num>
  <w:num w:numId="4">
    <w:abstractNumId w:val="5"/>
  </w:num>
  <w:num w:numId="5">
    <w:abstractNumId w:val="7"/>
  </w:num>
  <w:num w:numId="6">
    <w:abstractNumId w:val="3"/>
  </w:num>
  <w:num w:numId="7">
    <w:abstractNumId w:val="4"/>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lNzQ4MzcxNzg2OWFlODZiZmQ0MDE5ZTViOTE5MTEifQ=="/>
  </w:docVars>
  <w:rsids>
    <w:rsidRoot w:val="00276BA1"/>
    <w:rsid w:val="0000043F"/>
    <w:rsid w:val="00003F56"/>
    <w:rsid w:val="000049DA"/>
    <w:rsid w:val="00004F40"/>
    <w:rsid w:val="000056B7"/>
    <w:rsid w:val="00012942"/>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C3B27"/>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4B27"/>
    <w:rsid w:val="001A5D34"/>
    <w:rsid w:val="001A68E5"/>
    <w:rsid w:val="001B21DF"/>
    <w:rsid w:val="001B2A54"/>
    <w:rsid w:val="001B5014"/>
    <w:rsid w:val="001B7327"/>
    <w:rsid w:val="001C1409"/>
    <w:rsid w:val="001C66E0"/>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0C5A"/>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B21"/>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10A1"/>
    <w:rsid w:val="00556D4C"/>
    <w:rsid w:val="005614B4"/>
    <w:rsid w:val="005616B5"/>
    <w:rsid w:val="00571315"/>
    <w:rsid w:val="00582075"/>
    <w:rsid w:val="00584A63"/>
    <w:rsid w:val="00585EB3"/>
    <w:rsid w:val="00591688"/>
    <w:rsid w:val="00592509"/>
    <w:rsid w:val="00594986"/>
    <w:rsid w:val="00597B15"/>
    <w:rsid w:val="005A044C"/>
    <w:rsid w:val="005B5C95"/>
    <w:rsid w:val="005B636A"/>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56BB9"/>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43DB"/>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63DB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7683A"/>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C7C7A"/>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5C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D70C6"/>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B5139"/>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A84053"/>
    <w:rsid w:val="01E054EB"/>
    <w:rsid w:val="01E93A1B"/>
    <w:rsid w:val="0214602E"/>
    <w:rsid w:val="02DE5ECF"/>
    <w:rsid w:val="03465CF6"/>
    <w:rsid w:val="03486B27"/>
    <w:rsid w:val="03C2134C"/>
    <w:rsid w:val="040A094E"/>
    <w:rsid w:val="0420371F"/>
    <w:rsid w:val="056F201D"/>
    <w:rsid w:val="05B664D4"/>
    <w:rsid w:val="064B485A"/>
    <w:rsid w:val="068C65C4"/>
    <w:rsid w:val="07076C01"/>
    <w:rsid w:val="071C12AC"/>
    <w:rsid w:val="07A934B3"/>
    <w:rsid w:val="07BA4A57"/>
    <w:rsid w:val="07EB6287"/>
    <w:rsid w:val="0806421B"/>
    <w:rsid w:val="0980799C"/>
    <w:rsid w:val="09944B8E"/>
    <w:rsid w:val="09951550"/>
    <w:rsid w:val="0A0E19EA"/>
    <w:rsid w:val="0A6A18DB"/>
    <w:rsid w:val="0A825391"/>
    <w:rsid w:val="0A975B48"/>
    <w:rsid w:val="0AB17C0E"/>
    <w:rsid w:val="0AEF3828"/>
    <w:rsid w:val="0B406381"/>
    <w:rsid w:val="0BB452AA"/>
    <w:rsid w:val="0BBB665B"/>
    <w:rsid w:val="0BDC700F"/>
    <w:rsid w:val="0D3B1FC6"/>
    <w:rsid w:val="0EEA6FC1"/>
    <w:rsid w:val="0F790928"/>
    <w:rsid w:val="107E2F32"/>
    <w:rsid w:val="10CD72BB"/>
    <w:rsid w:val="12197477"/>
    <w:rsid w:val="131B5CD3"/>
    <w:rsid w:val="133E02C4"/>
    <w:rsid w:val="13776448"/>
    <w:rsid w:val="14263231"/>
    <w:rsid w:val="1466407E"/>
    <w:rsid w:val="14834E28"/>
    <w:rsid w:val="148E7D65"/>
    <w:rsid w:val="15231BF9"/>
    <w:rsid w:val="15C4546D"/>
    <w:rsid w:val="191173C1"/>
    <w:rsid w:val="19DD2D01"/>
    <w:rsid w:val="1A064976"/>
    <w:rsid w:val="1A3B68AA"/>
    <w:rsid w:val="1A3E1C1E"/>
    <w:rsid w:val="1ADF57AB"/>
    <w:rsid w:val="1B5A4701"/>
    <w:rsid w:val="1B6F4F40"/>
    <w:rsid w:val="1C00080C"/>
    <w:rsid w:val="1C141836"/>
    <w:rsid w:val="1C76537D"/>
    <w:rsid w:val="1D24052A"/>
    <w:rsid w:val="1D424280"/>
    <w:rsid w:val="1DEF28E6"/>
    <w:rsid w:val="1E577736"/>
    <w:rsid w:val="1E6B6A14"/>
    <w:rsid w:val="1EF430BB"/>
    <w:rsid w:val="1F6115C2"/>
    <w:rsid w:val="1FBD0837"/>
    <w:rsid w:val="1FE80168"/>
    <w:rsid w:val="20202956"/>
    <w:rsid w:val="20550D9A"/>
    <w:rsid w:val="205545EA"/>
    <w:rsid w:val="20842CAC"/>
    <w:rsid w:val="21020B82"/>
    <w:rsid w:val="215F7913"/>
    <w:rsid w:val="218E2416"/>
    <w:rsid w:val="21B75E11"/>
    <w:rsid w:val="21C31F1F"/>
    <w:rsid w:val="226915FE"/>
    <w:rsid w:val="229273EC"/>
    <w:rsid w:val="237D4BB0"/>
    <w:rsid w:val="23BC656D"/>
    <w:rsid w:val="241804A5"/>
    <w:rsid w:val="24B97929"/>
    <w:rsid w:val="24D632D7"/>
    <w:rsid w:val="2621364C"/>
    <w:rsid w:val="27323351"/>
    <w:rsid w:val="27D65DBA"/>
    <w:rsid w:val="285F40CA"/>
    <w:rsid w:val="289E1AF0"/>
    <w:rsid w:val="28C01ECB"/>
    <w:rsid w:val="290275F9"/>
    <w:rsid w:val="296138D0"/>
    <w:rsid w:val="298C1931"/>
    <w:rsid w:val="29BF71E3"/>
    <w:rsid w:val="29D6387F"/>
    <w:rsid w:val="2A127B63"/>
    <w:rsid w:val="2A451A6C"/>
    <w:rsid w:val="2A990D4C"/>
    <w:rsid w:val="2AAA4765"/>
    <w:rsid w:val="2AC21606"/>
    <w:rsid w:val="2AD63D42"/>
    <w:rsid w:val="2B3060CD"/>
    <w:rsid w:val="2B7E7608"/>
    <w:rsid w:val="2B7F04E9"/>
    <w:rsid w:val="2B822FEC"/>
    <w:rsid w:val="2B8B554A"/>
    <w:rsid w:val="2BB21BF0"/>
    <w:rsid w:val="2CDA07B4"/>
    <w:rsid w:val="2D496D68"/>
    <w:rsid w:val="2E6937E7"/>
    <w:rsid w:val="2E7A48DE"/>
    <w:rsid w:val="2EBA5177"/>
    <w:rsid w:val="2EDC3ED8"/>
    <w:rsid w:val="2F104B00"/>
    <w:rsid w:val="2F5B602D"/>
    <w:rsid w:val="2F6351B4"/>
    <w:rsid w:val="2FC86126"/>
    <w:rsid w:val="2FCF199E"/>
    <w:rsid w:val="2FE34275"/>
    <w:rsid w:val="2FE760BA"/>
    <w:rsid w:val="30483E83"/>
    <w:rsid w:val="30BF3991"/>
    <w:rsid w:val="310315DB"/>
    <w:rsid w:val="3111619A"/>
    <w:rsid w:val="319775DB"/>
    <w:rsid w:val="31B139DC"/>
    <w:rsid w:val="32497AF3"/>
    <w:rsid w:val="343C0775"/>
    <w:rsid w:val="356C50EC"/>
    <w:rsid w:val="36137E45"/>
    <w:rsid w:val="36376E0A"/>
    <w:rsid w:val="36965B9D"/>
    <w:rsid w:val="36AD7608"/>
    <w:rsid w:val="3700166C"/>
    <w:rsid w:val="37857B97"/>
    <w:rsid w:val="37985945"/>
    <w:rsid w:val="379A1012"/>
    <w:rsid w:val="38694EE9"/>
    <w:rsid w:val="38E069CE"/>
    <w:rsid w:val="3A517549"/>
    <w:rsid w:val="3A6818FA"/>
    <w:rsid w:val="3B365CC9"/>
    <w:rsid w:val="3B9A7B88"/>
    <w:rsid w:val="3D2C7AC8"/>
    <w:rsid w:val="3D855D12"/>
    <w:rsid w:val="3D8B42FF"/>
    <w:rsid w:val="3DE86C4C"/>
    <w:rsid w:val="3DF36A6E"/>
    <w:rsid w:val="3EBA1EE9"/>
    <w:rsid w:val="3F792F1E"/>
    <w:rsid w:val="40824826"/>
    <w:rsid w:val="40E63923"/>
    <w:rsid w:val="43A91E5B"/>
    <w:rsid w:val="449E0D39"/>
    <w:rsid w:val="4510387D"/>
    <w:rsid w:val="45E32B26"/>
    <w:rsid w:val="463A3650"/>
    <w:rsid w:val="46461627"/>
    <w:rsid w:val="469F0116"/>
    <w:rsid w:val="46E0714F"/>
    <w:rsid w:val="47315BD2"/>
    <w:rsid w:val="475259B7"/>
    <w:rsid w:val="47A14517"/>
    <w:rsid w:val="488302AE"/>
    <w:rsid w:val="48831CF9"/>
    <w:rsid w:val="49024C9C"/>
    <w:rsid w:val="49B1408D"/>
    <w:rsid w:val="4A7D4FD2"/>
    <w:rsid w:val="4A913C9A"/>
    <w:rsid w:val="4B1F70AC"/>
    <w:rsid w:val="4B240F94"/>
    <w:rsid w:val="4C0832E5"/>
    <w:rsid w:val="4C2555A1"/>
    <w:rsid w:val="4C3C565C"/>
    <w:rsid w:val="4C3E2B07"/>
    <w:rsid w:val="4CC254E6"/>
    <w:rsid w:val="4CCC79C7"/>
    <w:rsid w:val="4D7555C7"/>
    <w:rsid w:val="4EAE6DA0"/>
    <w:rsid w:val="4ECF79AE"/>
    <w:rsid w:val="4FE617D9"/>
    <w:rsid w:val="5016514B"/>
    <w:rsid w:val="50BD4329"/>
    <w:rsid w:val="50BD4DF3"/>
    <w:rsid w:val="50FC1A26"/>
    <w:rsid w:val="51723664"/>
    <w:rsid w:val="51AE7DE7"/>
    <w:rsid w:val="51CB1C78"/>
    <w:rsid w:val="51D35A9F"/>
    <w:rsid w:val="51FD6A51"/>
    <w:rsid w:val="522178BC"/>
    <w:rsid w:val="526B680A"/>
    <w:rsid w:val="52836F71"/>
    <w:rsid w:val="52D26B02"/>
    <w:rsid w:val="541A5D30"/>
    <w:rsid w:val="55C1559C"/>
    <w:rsid w:val="55F068CD"/>
    <w:rsid w:val="566C3136"/>
    <w:rsid w:val="568D04F2"/>
    <w:rsid w:val="58D04AE7"/>
    <w:rsid w:val="59807FA8"/>
    <w:rsid w:val="59D653D9"/>
    <w:rsid w:val="5A526582"/>
    <w:rsid w:val="5A5F5C77"/>
    <w:rsid w:val="5A711A0D"/>
    <w:rsid w:val="5B1613E4"/>
    <w:rsid w:val="5B50604C"/>
    <w:rsid w:val="5B78003B"/>
    <w:rsid w:val="5BC11A60"/>
    <w:rsid w:val="5BCD3503"/>
    <w:rsid w:val="5C7A4D54"/>
    <w:rsid w:val="5CD23B73"/>
    <w:rsid w:val="5E015734"/>
    <w:rsid w:val="5E53580B"/>
    <w:rsid w:val="5EEF6E69"/>
    <w:rsid w:val="5F00691E"/>
    <w:rsid w:val="5F127819"/>
    <w:rsid w:val="60350ED3"/>
    <w:rsid w:val="60B72AEE"/>
    <w:rsid w:val="60F03F78"/>
    <w:rsid w:val="61025188"/>
    <w:rsid w:val="61057D5F"/>
    <w:rsid w:val="6126068F"/>
    <w:rsid w:val="614D4977"/>
    <w:rsid w:val="62FD1A73"/>
    <w:rsid w:val="63133D14"/>
    <w:rsid w:val="63C60FC0"/>
    <w:rsid w:val="64BA3D7A"/>
    <w:rsid w:val="64D00194"/>
    <w:rsid w:val="64F179BC"/>
    <w:rsid w:val="65DF0A5F"/>
    <w:rsid w:val="665704D3"/>
    <w:rsid w:val="666D151C"/>
    <w:rsid w:val="67C065A4"/>
    <w:rsid w:val="67D359C9"/>
    <w:rsid w:val="68042537"/>
    <w:rsid w:val="68FE36DD"/>
    <w:rsid w:val="694E60FC"/>
    <w:rsid w:val="69E95A08"/>
    <w:rsid w:val="69F27303"/>
    <w:rsid w:val="69F954C4"/>
    <w:rsid w:val="6A256904"/>
    <w:rsid w:val="6A7D4A68"/>
    <w:rsid w:val="6AEE1907"/>
    <w:rsid w:val="6B656832"/>
    <w:rsid w:val="6BD66471"/>
    <w:rsid w:val="6C675CE6"/>
    <w:rsid w:val="6C733CAF"/>
    <w:rsid w:val="6D4F4321"/>
    <w:rsid w:val="6DF41B82"/>
    <w:rsid w:val="6DFF7360"/>
    <w:rsid w:val="6E7A5F73"/>
    <w:rsid w:val="6E873A42"/>
    <w:rsid w:val="6EE90F9D"/>
    <w:rsid w:val="6F880BDD"/>
    <w:rsid w:val="6FD74228"/>
    <w:rsid w:val="7021106F"/>
    <w:rsid w:val="70C1148D"/>
    <w:rsid w:val="70CD7E32"/>
    <w:rsid w:val="71633091"/>
    <w:rsid w:val="718801FD"/>
    <w:rsid w:val="72734A09"/>
    <w:rsid w:val="73081CA5"/>
    <w:rsid w:val="74201F7D"/>
    <w:rsid w:val="7487762D"/>
    <w:rsid w:val="74C33AA4"/>
    <w:rsid w:val="75210D7A"/>
    <w:rsid w:val="75385498"/>
    <w:rsid w:val="75F37776"/>
    <w:rsid w:val="76BC207F"/>
    <w:rsid w:val="76EB4904"/>
    <w:rsid w:val="771943C1"/>
    <w:rsid w:val="77645DCD"/>
    <w:rsid w:val="777378F5"/>
    <w:rsid w:val="777A2D3C"/>
    <w:rsid w:val="77C31748"/>
    <w:rsid w:val="78474930"/>
    <w:rsid w:val="78527CB1"/>
    <w:rsid w:val="79074B81"/>
    <w:rsid w:val="794F0939"/>
    <w:rsid w:val="79AF0FCA"/>
    <w:rsid w:val="7A9D05C5"/>
    <w:rsid w:val="7AF9279C"/>
    <w:rsid w:val="7B870811"/>
    <w:rsid w:val="7B994CF9"/>
    <w:rsid w:val="7CC51958"/>
    <w:rsid w:val="7CD53DF9"/>
    <w:rsid w:val="7D097C86"/>
    <w:rsid w:val="7D1110A6"/>
    <w:rsid w:val="7E2936C3"/>
    <w:rsid w:val="7E6411B9"/>
    <w:rsid w:val="7EB46836"/>
    <w:rsid w:val="7F8A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6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4"/>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9"/>
    <w:autoRedefine/>
    <w:qFormat/>
    <w:uiPriority w:val="0"/>
    <w:pPr>
      <w:keepNext/>
      <w:keepLines/>
      <w:spacing w:before="280" w:after="290" w:line="376" w:lineRule="auto"/>
      <w:outlineLvl w:val="3"/>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样式 ！正文 + 首行缩进:  2 字符"/>
    <w:basedOn w:val="1"/>
    <w:qFormat/>
    <w:uiPriority w:val="0"/>
    <w:pPr>
      <w:ind w:firstLine="480" w:firstLineChars="200"/>
    </w:pPr>
    <w:rPr>
      <w:rFonts w:hint="eastAsia" w:ascii="Arial" w:hAnsi="Arial" w:cs="宋体"/>
    </w:rPr>
  </w:style>
  <w:style w:type="paragraph" w:styleId="7">
    <w:name w:val="toc 7"/>
    <w:basedOn w:val="1"/>
    <w:next w:val="1"/>
    <w:autoRedefine/>
    <w:unhideWhenUsed/>
    <w:qFormat/>
    <w:uiPriority w:val="39"/>
    <w:pPr>
      <w:ind w:left="1260"/>
      <w:jc w:val="left"/>
    </w:pPr>
    <w:rPr>
      <w:rFonts w:ascii="Calibri" w:hAnsi="Calibri" w:cs="Calibri"/>
      <w:sz w:val="18"/>
      <w:szCs w:val="18"/>
    </w:rPr>
  </w:style>
  <w:style w:type="paragraph" w:styleId="8">
    <w:name w:val="List Number"/>
    <w:basedOn w:val="1"/>
    <w:autoRedefine/>
    <w:semiHidden/>
    <w:unhideWhenUsed/>
    <w:qFormat/>
    <w:uiPriority w:val="99"/>
    <w:pPr>
      <w:numPr>
        <w:ilvl w:val="0"/>
        <w:numId w:val="1"/>
      </w:numPr>
    </w:p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61"/>
    <w:autoRedefine/>
    <w:qFormat/>
    <w:uiPriority w:val="0"/>
    <w:pPr>
      <w:jc w:val="left"/>
    </w:pPr>
    <w:rPr>
      <w:rFonts w:ascii="Arial" w:hAnsi="Arial" w:eastAsia="黑体" w:cs="Arial"/>
      <w:color w:val="FF0000"/>
    </w:rPr>
  </w:style>
  <w:style w:type="paragraph" w:styleId="11">
    <w:name w:val="Body Text"/>
    <w:basedOn w:val="1"/>
    <w:autoRedefine/>
    <w:qFormat/>
    <w:uiPriority w:val="0"/>
    <w:pPr>
      <w:spacing w:after="120"/>
    </w:pPr>
    <w:rPr>
      <w:rFonts w:ascii="@微软简标宋" w:hAnsi="@微软简标宋" w:eastAsia="@微软简标宋" w:cs="@微软简标宋"/>
      <w:szCs w:val="24"/>
      <w:lang w:val="zh-CN"/>
    </w:rPr>
  </w:style>
  <w:style w:type="paragraph" w:styleId="12">
    <w:name w:val="Body Text Indent"/>
    <w:basedOn w:val="1"/>
    <w:next w:val="13"/>
    <w:autoRedefine/>
    <w:qFormat/>
    <w:uiPriority w:val="0"/>
    <w:pPr>
      <w:spacing w:after="120"/>
      <w:ind w:left="420" w:leftChars="200"/>
    </w:pPr>
  </w:style>
  <w:style w:type="paragraph" w:styleId="13">
    <w:name w:val="envelope return"/>
    <w:basedOn w:val="1"/>
    <w:next w:val="7"/>
    <w:qFormat/>
    <w:uiPriority w:val="0"/>
    <w:pPr>
      <w:snapToGrid w:val="0"/>
    </w:pPr>
    <w:rPr>
      <w:rFonts w:ascii="Arial" w:hAnsi="Arial"/>
    </w:rPr>
  </w:style>
  <w:style w:type="paragraph" w:styleId="14">
    <w:name w:val="index 4"/>
    <w:basedOn w:val="1"/>
    <w:next w:val="1"/>
    <w:qFormat/>
    <w:uiPriority w:val="0"/>
    <w:pPr>
      <w:ind w:left="600" w:leftChars="600"/>
    </w:pPr>
    <w:rPr>
      <w:rFonts w:ascii="Times New Roman" w:hAnsi="Times New Roman" w:eastAsia="宋体" w:cs="Times New Roman"/>
    </w:rPr>
  </w:style>
  <w:style w:type="paragraph" w:styleId="1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51"/>
    <w:autoRedefine/>
    <w:qFormat/>
    <w:uiPriority w:val="99"/>
    <w:rPr>
      <w:rFonts w:ascii="宋体" w:hAnsi="Courier New" w:eastAsiaTheme="minorEastAsia" w:cstheme="minorBidi"/>
      <w:szCs w:val="22"/>
    </w:rPr>
  </w:style>
  <w:style w:type="paragraph" w:styleId="17">
    <w:name w:val="Date"/>
    <w:basedOn w:val="1"/>
    <w:next w:val="1"/>
    <w:link w:val="58"/>
    <w:autoRedefine/>
    <w:qFormat/>
    <w:uiPriority w:val="0"/>
    <w:rPr>
      <w:rFonts w:ascii="Arial" w:hAnsi="Arial" w:eastAsia="宋体" w:cs="Arial"/>
      <w:b/>
      <w:sz w:val="28"/>
    </w:rPr>
  </w:style>
  <w:style w:type="paragraph" w:styleId="18">
    <w:name w:val="Balloon Text"/>
    <w:basedOn w:val="1"/>
    <w:link w:val="45"/>
    <w:autoRedefine/>
    <w:semiHidden/>
    <w:unhideWhenUsed/>
    <w:qFormat/>
    <w:uiPriority w:val="99"/>
    <w:rPr>
      <w:sz w:val="18"/>
      <w:szCs w:val="18"/>
    </w:rPr>
  </w:style>
  <w:style w:type="paragraph" w:styleId="19">
    <w:name w:val="footer"/>
    <w:basedOn w:val="1"/>
    <w:link w:val="50"/>
    <w:autoRedefine/>
    <w:unhideWhenUsed/>
    <w:qFormat/>
    <w:uiPriority w:val="99"/>
    <w:pPr>
      <w:tabs>
        <w:tab w:val="center" w:pos="4153"/>
        <w:tab w:val="right" w:pos="8306"/>
      </w:tabs>
      <w:snapToGrid w:val="0"/>
      <w:jc w:val="left"/>
    </w:pPr>
    <w:rPr>
      <w:sz w:val="18"/>
      <w:szCs w:val="18"/>
    </w:rPr>
  </w:style>
  <w:style w:type="paragraph" w:styleId="20">
    <w:name w:val="header"/>
    <w:basedOn w:val="1"/>
    <w:link w:val="4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next w:val="24"/>
    <w:autoRedefine/>
    <w:qFormat/>
    <w:uiPriority w:val="0"/>
    <w:pPr>
      <w:spacing w:before="100" w:beforeAutospacing="1" w:after="100" w:afterAutospacing="1"/>
      <w:jc w:val="left"/>
    </w:pPr>
    <w:rPr>
      <w:rFonts w:cs="Times New Roman"/>
      <w:kern w:val="0"/>
      <w:sz w:val="24"/>
    </w:rPr>
  </w:style>
  <w:style w:type="paragraph" w:customStyle="1" w:styleId="24">
    <w:name w:val="正文文字 8"/>
    <w:basedOn w:val="1"/>
    <w:next w:val="1"/>
    <w:qFormat/>
    <w:uiPriority w:val="0"/>
    <w:pPr>
      <w:ind w:left="240"/>
    </w:pPr>
    <w:rPr>
      <w:sz w:val="16"/>
    </w:rPr>
  </w:style>
  <w:style w:type="paragraph" w:styleId="25">
    <w:name w:val="index 1"/>
    <w:basedOn w:val="1"/>
    <w:next w:val="1"/>
    <w:autoRedefine/>
    <w:qFormat/>
    <w:uiPriority w:val="0"/>
    <w:pPr>
      <w:jc w:val="center"/>
    </w:pPr>
    <w:rPr>
      <w:rFonts w:ascii="Arial" w:hAnsi="Arial" w:eastAsia="Arial" w:cs="Arial"/>
      <w:b/>
      <w:bCs/>
      <w:sz w:val="28"/>
    </w:rPr>
  </w:style>
  <w:style w:type="paragraph" w:styleId="26">
    <w:name w:val="annotation subject"/>
    <w:basedOn w:val="10"/>
    <w:next w:val="10"/>
    <w:link w:val="72"/>
    <w:autoRedefine/>
    <w:semiHidden/>
    <w:unhideWhenUsed/>
    <w:qFormat/>
    <w:uiPriority w:val="99"/>
    <w:rPr>
      <w:rFonts w:ascii="@仿宋_GB2312" w:hAnsi="@仿宋_GB2312" w:eastAsia="@仿宋_GB2312" w:cs="@仿宋_GB2312"/>
      <w:b/>
      <w:bCs/>
    </w:rPr>
  </w:style>
  <w:style w:type="paragraph" w:styleId="27">
    <w:name w:val="Body Text First Indent"/>
    <w:basedOn w:val="11"/>
    <w:autoRedefine/>
    <w:unhideWhenUsed/>
    <w:qFormat/>
    <w:uiPriority w:val="99"/>
    <w:pPr>
      <w:ind w:firstLine="420" w:firstLineChars="100"/>
    </w:pPr>
  </w:style>
  <w:style w:type="paragraph" w:styleId="28">
    <w:name w:val="Body Text First Indent 2"/>
    <w:basedOn w:val="12"/>
    <w:next w:val="1"/>
    <w:qFormat/>
    <w:uiPriority w:val="0"/>
    <w:pPr>
      <w:spacing w:line="360" w:lineRule="auto"/>
      <w:ind w:firstLine="200"/>
    </w:pPr>
  </w:style>
  <w:style w:type="table" w:styleId="30">
    <w:name w:val="Table Grid"/>
    <w:basedOn w:val="29"/>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0"/>
    <w:rPr>
      <w:b/>
      <w:bCs/>
    </w:rPr>
  </w:style>
  <w:style w:type="character" w:styleId="33">
    <w:name w:val="FollowedHyperlink"/>
    <w:basedOn w:val="31"/>
    <w:semiHidden/>
    <w:unhideWhenUsed/>
    <w:qFormat/>
    <w:uiPriority w:val="99"/>
    <w:rPr>
      <w:color w:val="5C5C5C"/>
      <w:u w:val="none"/>
    </w:rPr>
  </w:style>
  <w:style w:type="character" w:styleId="34">
    <w:name w:val="Emphasis"/>
    <w:basedOn w:val="31"/>
    <w:qFormat/>
    <w:uiPriority w:val="0"/>
    <w:rPr>
      <w:b/>
      <w:bCs/>
    </w:rPr>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autoRedefine/>
    <w:unhideWhenUsed/>
    <w:qFormat/>
    <w:uiPriority w:val="99"/>
    <w:rPr>
      <w:color w:val="0000FF" w:themeColor="hyperlink"/>
      <w:u w:val="single"/>
      <w14:textFill>
        <w14:solidFill>
          <w14:schemeClr w14:val="hlink"/>
        </w14:solidFill>
      </w14:textFill>
    </w:rPr>
  </w:style>
  <w:style w:type="character" w:styleId="40">
    <w:name w:val="HTML Code"/>
    <w:basedOn w:val="31"/>
    <w:semiHidden/>
    <w:unhideWhenUsed/>
    <w:qFormat/>
    <w:uiPriority w:val="99"/>
    <w:rPr>
      <w:rFonts w:hint="default" w:ascii="monospace" w:hAnsi="monospace" w:eastAsia="monospace" w:cs="monospace"/>
      <w:sz w:val="20"/>
    </w:rPr>
  </w:style>
  <w:style w:type="character" w:styleId="41">
    <w:name w:val="annotation reference"/>
    <w:basedOn w:val="31"/>
    <w:autoRedefine/>
    <w:semiHidden/>
    <w:unhideWhenUsed/>
    <w:qFormat/>
    <w:uiPriority w:val="99"/>
    <w:rPr>
      <w:sz w:val="21"/>
      <w:szCs w:val="21"/>
    </w:rPr>
  </w:style>
  <w:style w:type="character" w:styleId="42">
    <w:name w:val="HTML Cite"/>
    <w:basedOn w:val="31"/>
    <w:semiHidden/>
    <w:unhideWhenUsed/>
    <w:qFormat/>
    <w:uiPriority w:val="99"/>
  </w:style>
  <w:style w:type="character" w:styleId="43">
    <w:name w:val="HTML Keyboard"/>
    <w:basedOn w:val="31"/>
    <w:semiHidden/>
    <w:unhideWhenUsed/>
    <w:qFormat/>
    <w:uiPriority w:val="99"/>
    <w:rPr>
      <w:rFonts w:hint="default" w:ascii="monospace" w:hAnsi="monospace" w:eastAsia="monospace" w:cs="monospace"/>
      <w:sz w:val="20"/>
    </w:rPr>
  </w:style>
  <w:style w:type="character" w:styleId="44">
    <w:name w:val="HTML Sample"/>
    <w:basedOn w:val="31"/>
    <w:semiHidden/>
    <w:unhideWhenUsed/>
    <w:qFormat/>
    <w:uiPriority w:val="99"/>
    <w:rPr>
      <w:rFonts w:ascii="monospace" w:hAnsi="monospace" w:eastAsia="monospace" w:cs="monospace"/>
    </w:rPr>
  </w:style>
  <w:style w:type="character" w:customStyle="1" w:styleId="45">
    <w:name w:val="批注框文本 Char"/>
    <w:basedOn w:val="31"/>
    <w:link w:val="18"/>
    <w:autoRedefine/>
    <w:semiHidden/>
    <w:qFormat/>
    <w:uiPriority w:val="99"/>
    <w:rPr>
      <w:rFonts w:ascii="@仿宋_GB2312" w:hAnsi="@仿宋_GB2312" w:eastAsia="@仿宋_GB2312" w:cs="@仿宋_GB2312"/>
      <w:sz w:val="18"/>
      <w:szCs w:val="18"/>
    </w:rPr>
  </w:style>
  <w:style w:type="paragraph" w:customStyle="1" w:styleId="46">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8">
    <w:name w:val="D&amp;L"/>
    <w:basedOn w:val="2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9">
    <w:name w:val="页眉 Char"/>
    <w:basedOn w:val="31"/>
    <w:link w:val="20"/>
    <w:autoRedefine/>
    <w:qFormat/>
    <w:uiPriority w:val="99"/>
    <w:rPr>
      <w:rFonts w:ascii="@仿宋_GB2312" w:hAnsi="@仿宋_GB2312" w:eastAsia="@仿宋_GB2312" w:cs="@仿宋_GB2312"/>
      <w:sz w:val="18"/>
      <w:szCs w:val="18"/>
    </w:rPr>
  </w:style>
  <w:style w:type="character" w:customStyle="1" w:styleId="50">
    <w:name w:val="页脚 Char"/>
    <w:basedOn w:val="31"/>
    <w:link w:val="19"/>
    <w:autoRedefine/>
    <w:qFormat/>
    <w:uiPriority w:val="99"/>
    <w:rPr>
      <w:rFonts w:ascii="@仿宋_GB2312" w:hAnsi="@仿宋_GB2312" w:eastAsia="@仿宋_GB2312" w:cs="@仿宋_GB2312"/>
      <w:sz w:val="18"/>
      <w:szCs w:val="18"/>
    </w:rPr>
  </w:style>
  <w:style w:type="character" w:customStyle="1" w:styleId="51">
    <w:name w:val="纯文本 Char"/>
    <w:link w:val="16"/>
    <w:autoRedefine/>
    <w:qFormat/>
    <w:uiPriority w:val="0"/>
    <w:rPr>
      <w:rFonts w:ascii="宋体" w:hAnsi="Courier New"/>
    </w:rPr>
  </w:style>
  <w:style w:type="character" w:customStyle="1" w:styleId="52">
    <w:name w:val="纯文本 字符1"/>
    <w:basedOn w:val="31"/>
    <w:autoRedefine/>
    <w:semiHidden/>
    <w:qFormat/>
    <w:uiPriority w:val="99"/>
    <w:rPr>
      <w:rFonts w:hAnsi="Courier New" w:cs="Courier New" w:asciiTheme="minorEastAsia"/>
      <w:szCs w:val="20"/>
    </w:rPr>
  </w:style>
  <w:style w:type="character" w:customStyle="1" w:styleId="53">
    <w:name w:val="未处理的提及1"/>
    <w:basedOn w:val="31"/>
    <w:autoRedefine/>
    <w:semiHidden/>
    <w:unhideWhenUsed/>
    <w:qFormat/>
    <w:uiPriority w:val="99"/>
    <w:rPr>
      <w:color w:val="605E5C"/>
      <w:shd w:val="clear" w:color="auto" w:fill="E1DFDD"/>
    </w:rPr>
  </w:style>
  <w:style w:type="paragraph" w:styleId="54">
    <w:name w:val="List Paragraph"/>
    <w:basedOn w:val="1"/>
    <w:autoRedefine/>
    <w:qFormat/>
    <w:uiPriority w:val="34"/>
    <w:pPr>
      <w:ind w:firstLine="420" w:firstLineChars="200"/>
    </w:pPr>
  </w:style>
  <w:style w:type="paragraph" w:customStyle="1" w:styleId="55">
    <w:name w:val="Char Char Char Char Char Char Char1 Char"/>
    <w:basedOn w:val="1"/>
    <w:autoRedefine/>
    <w:qFormat/>
    <w:uiPriority w:val="0"/>
    <w:rPr>
      <w:rFonts w:ascii="Arial" w:hAnsi="Arial" w:eastAsia="宋体" w:cs="Arial"/>
      <w:sz w:val="24"/>
    </w:rPr>
  </w:style>
  <w:style w:type="table" w:customStyle="1" w:styleId="56">
    <w:name w:val="网格表 1 浅色1"/>
    <w:basedOn w:val="29"/>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7">
    <w:name w:val="日期 字符"/>
    <w:basedOn w:val="31"/>
    <w:autoRedefine/>
    <w:semiHidden/>
    <w:qFormat/>
    <w:uiPriority w:val="99"/>
    <w:rPr>
      <w:rFonts w:ascii="@仿宋_GB2312" w:hAnsi="@仿宋_GB2312" w:eastAsia="@仿宋_GB2312" w:cs="@仿宋_GB2312"/>
      <w:szCs w:val="20"/>
    </w:rPr>
  </w:style>
  <w:style w:type="character" w:customStyle="1" w:styleId="58">
    <w:name w:val="日期 Char"/>
    <w:link w:val="17"/>
    <w:autoRedefine/>
    <w:qFormat/>
    <w:uiPriority w:val="0"/>
    <w:rPr>
      <w:rFonts w:ascii="Arial" w:hAnsi="Arial" w:eastAsia="宋体" w:cs="Arial"/>
      <w:b/>
      <w:sz w:val="28"/>
      <w:szCs w:val="20"/>
    </w:rPr>
  </w:style>
  <w:style w:type="character" w:customStyle="1" w:styleId="59">
    <w:name w:val="纯文本 Char1"/>
    <w:autoRedefine/>
    <w:qFormat/>
    <w:locked/>
    <w:uiPriority w:val="99"/>
    <w:rPr>
      <w:rFonts w:ascii="Arial" w:hAnsi="Arial" w:eastAsia="Arial"/>
      <w:kern w:val="2"/>
      <w:sz w:val="21"/>
      <w:lang w:val="en-US" w:eastAsia="zh-CN" w:bidi="ar-SA"/>
    </w:rPr>
  </w:style>
  <w:style w:type="character" w:customStyle="1" w:styleId="60">
    <w:name w:val="批注文字 Char"/>
    <w:basedOn w:val="31"/>
    <w:autoRedefine/>
    <w:semiHidden/>
    <w:qFormat/>
    <w:uiPriority w:val="99"/>
    <w:rPr>
      <w:rFonts w:ascii="@仿宋_GB2312" w:hAnsi="@仿宋_GB2312" w:eastAsia="@仿宋_GB2312" w:cs="@仿宋_GB2312"/>
      <w:szCs w:val="20"/>
    </w:rPr>
  </w:style>
  <w:style w:type="character" w:customStyle="1" w:styleId="61">
    <w:name w:val="批注文字 Char1"/>
    <w:link w:val="10"/>
    <w:autoRedefine/>
    <w:qFormat/>
    <w:uiPriority w:val="0"/>
    <w:rPr>
      <w:rFonts w:ascii="Arial" w:hAnsi="Arial" w:eastAsia="黑体" w:cs="Arial"/>
      <w:color w:val="FF0000"/>
      <w:kern w:val="2"/>
      <w:sz w:val="21"/>
    </w:rPr>
  </w:style>
  <w:style w:type="character" w:customStyle="1" w:styleId="62">
    <w:name w:val="标题 1 Char"/>
    <w:basedOn w:val="31"/>
    <w:link w:val="3"/>
    <w:autoRedefine/>
    <w:qFormat/>
    <w:uiPriority w:val="9"/>
    <w:rPr>
      <w:rFonts w:ascii="@仿宋_GB2312" w:hAnsi="@仿宋_GB2312" w:eastAsia="@仿宋_GB2312" w:cs="@仿宋_GB2312"/>
      <w:b/>
      <w:bCs/>
      <w:kern w:val="44"/>
      <w:sz w:val="44"/>
      <w:szCs w:val="44"/>
    </w:rPr>
  </w:style>
  <w:style w:type="paragraph" w:customStyle="1" w:styleId="63">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标题 3 Char"/>
    <w:basedOn w:val="31"/>
    <w:link w:val="5"/>
    <w:autoRedefine/>
    <w:semiHidden/>
    <w:qFormat/>
    <w:uiPriority w:val="9"/>
    <w:rPr>
      <w:rFonts w:ascii="@仿宋_GB2312" w:hAnsi="@仿宋_GB2312" w:eastAsia="@仿宋_GB2312" w:cs="@仿宋_GB2312"/>
      <w:b/>
      <w:bCs/>
      <w:sz w:val="32"/>
      <w:szCs w:val="32"/>
    </w:rPr>
  </w:style>
  <w:style w:type="character" w:customStyle="1" w:styleId="65">
    <w:name w:val="fontstyle01"/>
    <w:basedOn w:val="31"/>
    <w:autoRedefine/>
    <w:qFormat/>
    <w:uiPriority w:val="0"/>
    <w:rPr>
      <w:rFonts w:hint="eastAsia" w:ascii="宋体" w:hAnsi="宋体" w:eastAsia="宋体"/>
      <w:color w:val="000000"/>
      <w:sz w:val="22"/>
      <w:szCs w:val="22"/>
    </w:rPr>
  </w:style>
  <w:style w:type="character" w:customStyle="1" w:styleId="66">
    <w:name w:val="fontstyle21"/>
    <w:basedOn w:val="31"/>
    <w:autoRedefine/>
    <w:qFormat/>
    <w:uiPriority w:val="0"/>
    <w:rPr>
      <w:rFonts w:hint="default" w:ascii="TimesNewRomanPSMT" w:hAnsi="TimesNewRomanPSMT"/>
      <w:color w:val="000000"/>
      <w:sz w:val="22"/>
      <w:szCs w:val="22"/>
    </w:rPr>
  </w:style>
  <w:style w:type="character" w:customStyle="1" w:styleId="6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8">
    <w:name w:val="标题 4 字符"/>
    <w:basedOn w:val="31"/>
    <w:autoRedefine/>
    <w:semiHidden/>
    <w:qFormat/>
    <w:uiPriority w:val="9"/>
    <w:rPr>
      <w:rFonts w:asciiTheme="majorHAnsi" w:hAnsiTheme="majorHAnsi" w:eastAsiaTheme="majorEastAsia" w:cstheme="majorBidi"/>
      <w:b/>
      <w:bCs/>
      <w:sz w:val="28"/>
      <w:szCs w:val="28"/>
    </w:rPr>
  </w:style>
  <w:style w:type="character" w:customStyle="1" w:styleId="69">
    <w:name w:val="标题 4 Char1"/>
    <w:link w:val="6"/>
    <w:autoRedefine/>
    <w:qFormat/>
    <w:uiPriority w:val="0"/>
    <w:rPr>
      <w:rFonts w:ascii="@仿宋_GB2312" w:hAnsi="@仿宋_GB2312" w:eastAsia="@仿宋_GB2312" w:cs="@仿宋_GB2312"/>
      <w:b/>
      <w:bCs/>
      <w:sz w:val="28"/>
      <w:szCs w:val="28"/>
    </w:rPr>
  </w:style>
  <w:style w:type="character" w:customStyle="1" w:styleId="70">
    <w:name w:val="标题 4 Char"/>
    <w:autoRedefine/>
    <w:qFormat/>
    <w:uiPriority w:val="0"/>
    <w:rPr>
      <w:rFonts w:ascii="Arial" w:hAnsi="Arial" w:eastAsia="Arial"/>
      <w:b/>
      <w:bCs/>
      <w:kern w:val="2"/>
      <w:sz w:val="28"/>
      <w:szCs w:val="28"/>
      <w:lang w:val="en-US" w:eastAsia="zh-CN" w:bidi="ar-SA"/>
    </w:rPr>
  </w:style>
  <w:style w:type="table" w:customStyle="1" w:styleId="71">
    <w:name w:val="网格型1"/>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2">
    <w:name w:val="批注主题 Char"/>
    <w:basedOn w:val="61"/>
    <w:link w:val="26"/>
    <w:autoRedefine/>
    <w:semiHidden/>
    <w:qFormat/>
    <w:uiPriority w:val="99"/>
    <w:rPr>
      <w:rFonts w:ascii="@仿宋_GB2312" w:hAnsi="@仿宋_GB2312" w:eastAsia="@仿宋_GB2312" w:cs="@仿宋_GB2312"/>
      <w:b/>
      <w:bCs/>
      <w:color w:val="FF0000"/>
      <w:kern w:val="2"/>
      <w:sz w:val="21"/>
      <w:szCs w:val="20"/>
    </w:rPr>
  </w:style>
  <w:style w:type="table" w:customStyle="1" w:styleId="73">
    <w:name w:val="Table Normal"/>
    <w:autoRedefine/>
    <w:semiHidden/>
    <w:unhideWhenUsed/>
    <w:qFormat/>
    <w:uiPriority w:val="0"/>
    <w:tblPr>
      <w:tblCellMar>
        <w:top w:w="0" w:type="dxa"/>
        <w:left w:w="0" w:type="dxa"/>
        <w:bottom w:w="0" w:type="dxa"/>
        <w:right w:w="0" w:type="dxa"/>
      </w:tblCellMar>
    </w:tblPr>
  </w:style>
  <w:style w:type="paragraph" w:customStyle="1" w:styleId="74">
    <w:name w:val="Table Text"/>
    <w:basedOn w:val="1"/>
    <w:autoRedefine/>
    <w:semiHidden/>
    <w:qFormat/>
    <w:uiPriority w:val="0"/>
    <w:rPr>
      <w:rFonts w:ascii="Arial" w:hAnsi="Arial" w:eastAsia="Arial" w:cs="Arial"/>
      <w:szCs w:val="21"/>
      <w:lang w:eastAsia="en-US"/>
    </w:rPr>
  </w:style>
  <w:style w:type="paragraph" w:customStyle="1" w:styleId="7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6">
    <w:name w:val="列出段落1"/>
    <w:basedOn w:val="1"/>
    <w:autoRedefine/>
    <w:qFormat/>
    <w:uiPriority w:val="0"/>
    <w:pPr>
      <w:ind w:firstLine="420" w:firstLineChars="200"/>
    </w:pPr>
    <w:rPr>
      <w:szCs w:val="21"/>
    </w:rPr>
  </w:style>
  <w:style w:type="paragraph" w:customStyle="1" w:styleId="77">
    <w:name w:val="样式1无缩进"/>
    <w:basedOn w:val="1"/>
    <w:autoRedefine/>
    <w:qFormat/>
    <w:uiPriority w:val="0"/>
  </w:style>
  <w:style w:type="character" w:customStyle="1" w:styleId="78">
    <w:name w:val="hover"/>
    <w:basedOn w:val="31"/>
    <w:qFormat/>
    <w:uiPriority w:val="0"/>
  </w:style>
  <w:style w:type="character" w:customStyle="1" w:styleId="79">
    <w:name w:val="hover1"/>
    <w:basedOn w:val="31"/>
    <w:qFormat/>
    <w:uiPriority w:val="0"/>
    <w:rPr>
      <w:color w:val="2590EB"/>
    </w:rPr>
  </w:style>
  <w:style w:type="character" w:customStyle="1" w:styleId="80">
    <w:name w:val="hover2"/>
    <w:basedOn w:val="31"/>
    <w:qFormat/>
    <w:uiPriority w:val="0"/>
    <w:rPr>
      <w:color w:val="2590EB"/>
    </w:rPr>
  </w:style>
  <w:style w:type="character" w:customStyle="1" w:styleId="81">
    <w:name w:val="hover3"/>
    <w:basedOn w:val="31"/>
    <w:qFormat/>
    <w:uiPriority w:val="0"/>
    <w:rPr>
      <w:color w:val="2590EB"/>
      <w:shd w:val="clear" w:color="auto" w:fill="E9F4FD"/>
    </w:rPr>
  </w:style>
  <w:style w:type="character" w:customStyle="1" w:styleId="82">
    <w:name w:val="hover4"/>
    <w:basedOn w:val="31"/>
    <w:qFormat/>
    <w:uiPriority w:val="0"/>
    <w:rPr>
      <w:color w:val="2590EB"/>
      <w:shd w:val="clear" w:color="auto" w:fill="E9F4FD"/>
    </w:rPr>
  </w:style>
  <w:style w:type="paragraph" w:customStyle="1" w:styleId="8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6F7C6C-BFB6-4C4B-ADE7-E77FB7B7DC8C}">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92</Pages>
  <Words>2309</Words>
  <Characters>2666</Characters>
  <Lines>433</Lines>
  <Paragraphs>122</Paragraphs>
  <TotalTime>8</TotalTime>
  <ScaleCrop>false</ScaleCrop>
  <LinksUpToDate>false</LinksUpToDate>
  <CharactersWithSpaces>2762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2026-07-02T00:43:00Z</dcterms:created>
  <dc:creator>倪荣</dc:creator>
  <cp:lastModifiedBy>Pim Pom丶</cp:lastModifiedBy>
  <cp:lastPrinted>2026-06-22T10:58:00Z</cp:lastPrinted>
  <dcterms:modified xsi:type="dcterms:W3CDTF">2026-07-17T07:15:14Z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9FCD876391034F578D033911E2999F35_13</vt:lpwstr>
  </property>
  <property fmtid="{D5CDD505-2E9C-101B-9397-08002B2CF9AE}" pid="4" name="KSOTemplateDocerSaveRecord">
    <vt:lpwstr>eyJoZGlkIjoiOTk1OGJkZDZlMmJiZjgxZThhZWQ4YzE0YWIxYTUyMmQiLCJ1c2VySWQiOiI0MDkyMjI1MTkifQ==</vt:lpwstr>
  </property>
</Properties>
</file>