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5DBC1BB">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滁州学院会峰校区学生宿舍15、16号楼一楼家具采购及安装项目</w:t>
      </w:r>
    </w:p>
    <w:p w14:paraId="528E73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czsjcg202604-014</w:t>
      </w:r>
    </w:p>
    <w:p w14:paraId="76A1B78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滁州学院  </w:t>
      </w:r>
    </w:p>
    <w:p w14:paraId="092C3B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滁州市政府采购中心</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4</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20"/>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_Toc23443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_Toc23443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eastAsiaTheme="minorEastAsia"/>
          <w:color w:val="auto"/>
          <w:szCs w:val="24"/>
          <w:highlight w:val="none"/>
        </w:rPr>
        <w:fldChar w:fldCharType="end"/>
      </w:r>
    </w:p>
    <w:p w14:paraId="38C6091F">
      <w:pPr>
        <w:pStyle w:val="20"/>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_Toc31935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rFonts w:hint="eastAsia"/>
          <w:color w:val="auto"/>
          <w:highlight w:val="none"/>
          <w:lang w:val="en-US" w:eastAsia="zh-CN"/>
        </w:rPr>
        <w:t>7</w:t>
      </w:r>
      <w:r>
        <w:rPr>
          <w:rFonts w:asciiTheme="minorEastAsia" w:hAnsiTheme="minorEastAsia" w:eastAsiaTheme="minorEastAsia"/>
          <w:color w:val="auto"/>
          <w:szCs w:val="24"/>
          <w:highlight w:val="none"/>
        </w:rPr>
        <w:fldChar w:fldCharType="end"/>
      </w:r>
    </w:p>
    <w:p w14:paraId="540DF2B9">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_Toc10891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rFonts w:hint="eastAsia"/>
          <w:color w:val="auto"/>
          <w:highlight w:val="none"/>
          <w:lang w:val="en-US" w:eastAsia="zh-CN"/>
        </w:rPr>
        <w:t>2</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6</w:t>
      </w:r>
    </w:p>
    <w:p w14:paraId="2309FF48">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_Toc16417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rFonts w:hint="eastAsia"/>
          <w:color w:val="auto"/>
          <w:highlight w:val="none"/>
          <w:lang w:val="en-US" w:eastAsia="zh-CN"/>
        </w:rPr>
        <w:t>3</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8</w:t>
      </w:r>
    </w:p>
    <w:p w14:paraId="59DCF857">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_Toc4682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7</w:t>
      </w:r>
    </w:p>
    <w:p w14:paraId="3A96B3E5">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_Toc22492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rFonts w:hint="eastAsia"/>
          <w:color w:val="auto"/>
          <w:highlight w:val="none"/>
          <w:lang w:val="en-US" w:eastAsia="zh-CN"/>
        </w:rPr>
        <w:t>5</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7</w:t>
      </w:r>
    </w:p>
    <w:p w14:paraId="5E839302">
      <w:pPr>
        <w:pStyle w:val="20"/>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_Toc18131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7</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1</w:t>
      </w:r>
    </w:p>
    <w:p w14:paraId="65CB337E">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bookmarkStart w:id="1" w:name="_Toc23443"/>
    </w:p>
    <w:p w14:paraId="258AC35F">
      <w:pPr>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page"/>
      </w:r>
    </w:p>
    <w:p w14:paraId="5720CCC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67B9408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CF39A41">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czsjcg202604-014</w:t>
      </w:r>
    </w:p>
    <w:p w14:paraId="5CDF36A0">
      <w:pPr>
        <w:spacing w:line="360" w:lineRule="auto"/>
        <w:ind w:firstLine="435"/>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滁州学院会峰校区学生宿舍15、16号楼一楼家具采购及安装项目</w:t>
      </w:r>
    </w:p>
    <w:p w14:paraId="0286646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600000.00元</w:t>
      </w:r>
    </w:p>
    <w:p w14:paraId="747D5EE6">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lang w:val="en-US" w:eastAsia="zh-CN"/>
        </w:rPr>
        <w:t>600000.00元</w:t>
      </w:r>
    </w:p>
    <w:p w14:paraId="1FF7CDA5">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lang w:val="en-US" w:eastAsia="zh-CN"/>
        </w:rPr>
        <w:t>家具采购及安装项目</w:t>
      </w:r>
    </w:p>
    <w:p w14:paraId="1A0D76F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u w:val="single"/>
        </w:rPr>
        <w:t>自合同签订生效后，接到采购人通知之日起30个日历天内完成货物的供货、安装、调试工作，并验收合格交付使用</w:t>
      </w:r>
      <w:r>
        <w:rPr>
          <w:rFonts w:hint="eastAsia" w:asciiTheme="minorEastAsia" w:hAnsiTheme="minorEastAsia" w:eastAsiaTheme="minorEastAsia"/>
          <w:color w:val="auto"/>
          <w:sz w:val="24"/>
          <w:highlight w:val="none"/>
          <w:u w:val="single"/>
          <w:lang w:eastAsia="zh-CN"/>
        </w:rPr>
        <w:t>。</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530FAEC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7670A2F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57FB59A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Theme="minorEastAsia" w:hAnsiTheme="minorEastAsia" w:eastAsiaTheme="minorEastAsia"/>
          <w:color w:val="auto"/>
          <w:sz w:val="24"/>
          <w:highlight w:val="none"/>
          <w:u w:val="single"/>
          <w:lang w:val="en-US" w:eastAsia="zh-CN"/>
        </w:rPr>
        <w:t xml:space="preserve"> 中小企业 </w:t>
      </w:r>
      <w:r>
        <w:rPr>
          <w:rFonts w:hint="eastAsia" w:asciiTheme="minorEastAsia" w:hAnsiTheme="minorEastAsia" w:eastAsiaTheme="minorEastAsia"/>
          <w:color w:val="auto"/>
          <w:sz w:val="24"/>
          <w:highlight w:val="none"/>
          <w:lang w:val="en-US" w:eastAsia="zh-CN"/>
        </w:rPr>
        <w:t>采购。</w:t>
      </w:r>
    </w:p>
    <w:p w14:paraId="70156EC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____</w:t>
      </w:r>
      <w:r>
        <w:rPr>
          <w:rFonts w:hint="eastAsia" w:asciiTheme="minorEastAsia" w:hAnsiTheme="minorEastAsia" w:eastAsiaTheme="minorEastAsia"/>
          <w:color w:val="auto"/>
          <w:sz w:val="24"/>
          <w:highlight w:val="none"/>
          <w:u w:val="single"/>
          <w:lang w:val="en-US" w:eastAsia="zh-CN"/>
        </w:rPr>
        <w:t xml:space="preserve">/ </w:t>
      </w:r>
      <w:r>
        <w:rPr>
          <w:rFonts w:hint="default" w:asciiTheme="minorEastAsia" w:hAnsiTheme="minorEastAsia" w:eastAsiaTheme="minorEastAsia"/>
          <w:color w:val="auto"/>
          <w:sz w:val="24"/>
          <w:highlight w:val="none"/>
          <w:lang w:val="en-US" w:eastAsia="zh-CN"/>
        </w:rPr>
        <w:t>______</w:t>
      </w:r>
      <w:r>
        <w:rPr>
          <w:rFonts w:hint="eastAsia" w:asciiTheme="minorEastAsia" w:hAnsiTheme="minorEastAsia" w:eastAsiaTheme="minorEastAsia"/>
          <w:color w:val="auto"/>
          <w:sz w:val="24"/>
          <w:highlight w:val="none"/>
          <w:lang w:val="en-US" w:eastAsia="zh-CN"/>
        </w:rPr>
        <w:t>。</w:t>
      </w:r>
    </w:p>
    <w:p w14:paraId="5EE4E042">
      <w:pPr>
        <w:spacing w:line="360" w:lineRule="auto"/>
        <w:ind w:firstLine="435"/>
        <w:rPr>
          <w:rFonts w:hint="eastAsia"/>
          <w:color w:val="auto"/>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6E86A6A5">
      <w:pPr>
        <w:spacing w:line="360" w:lineRule="auto"/>
        <w:ind w:firstLine="435"/>
        <w:outlineLvl w:val="9"/>
        <w:rPr>
          <w:rFonts w:hint="eastAsia"/>
          <w:color w:val="auto"/>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u w:val="single"/>
          <w:lang w:val="en-US" w:eastAsia="zh-CN"/>
        </w:rPr>
        <w:t xml:space="preserve">    无    </w:t>
      </w:r>
      <w:r>
        <w:rPr>
          <w:rFonts w:hint="eastAsia" w:asciiTheme="minorEastAsia" w:hAnsiTheme="minorEastAsia" w:eastAsiaTheme="minorEastAsia"/>
          <w:color w:val="auto"/>
          <w:sz w:val="24"/>
          <w:highlight w:val="none"/>
          <w:u w:val="none"/>
          <w:lang w:val="en-US" w:eastAsia="zh-CN"/>
        </w:rPr>
        <w:t>。</w:t>
      </w:r>
    </w:p>
    <w:p w14:paraId="47D70EB5">
      <w:pPr>
        <w:spacing w:line="360" w:lineRule="auto"/>
        <w:ind w:firstLine="435"/>
        <w:outlineLvl w:val="9"/>
        <w:rPr>
          <w:rFonts w:hint="eastAsia" w:asciiTheme="minorEastAsia" w:hAnsiTheme="minorEastAsia" w:eastAsiaTheme="minorEastAsia"/>
          <w:color w:val="auto"/>
          <w:sz w:val="24"/>
          <w:highlight w:val="none"/>
          <w:lang w:val="en-US" w:eastAsia="zh-CN"/>
        </w:rPr>
      </w:pPr>
      <w:bookmarkStart w:id="6" w:name="_Toc30110"/>
      <w:bookmarkStart w:id="7" w:name="_Toc32089"/>
      <w:r>
        <w:rPr>
          <w:rFonts w:hint="eastAsia" w:asciiTheme="minorEastAsia" w:hAnsiTheme="minorEastAsia" w:eastAsiaTheme="minorEastAsia"/>
          <w:color w:val="auto"/>
          <w:sz w:val="24"/>
          <w:highlight w:val="none"/>
          <w:lang w:val="en-US" w:eastAsia="zh-CN"/>
        </w:rPr>
        <w:t>4.信誉要求：投标人不得存在以下情形：</w:t>
      </w:r>
    </w:p>
    <w:p w14:paraId="39D718FB">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①被列入“信用中国”网站“失信被执行人”的；</w:t>
      </w:r>
    </w:p>
    <w:p w14:paraId="71916845">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②被列入“信用中国”网站“重大税收违法失信主体”的；</w:t>
      </w:r>
    </w:p>
    <w:p w14:paraId="00722271">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③被列入“信用中国”网站 “严重失信主体名单”的；</w:t>
      </w:r>
    </w:p>
    <w:p w14:paraId="1B6D6597">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④在</w:t>
      </w:r>
      <w:bookmarkStart w:id="8" w:name="OLE_LINK128"/>
      <w:bookmarkStart w:id="9" w:name="OLE_LINK129"/>
      <w:bookmarkStart w:id="10" w:name="OLE_LINK127"/>
      <w:r>
        <w:rPr>
          <w:rFonts w:hint="eastAsia" w:asciiTheme="minorEastAsia" w:hAnsiTheme="minorEastAsia" w:eastAsiaTheme="minorEastAsia"/>
          <w:color w:val="auto"/>
          <w:sz w:val="24"/>
          <w:highlight w:val="none"/>
          <w:lang w:val="en-US" w:eastAsia="zh-CN"/>
        </w:rPr>
        <w:t>“信用中国”网站</w:t>
      </w:r>
      <w:bookmarkEnd w:id="8"/>
      <w:bookmarkEnd w:id="9"/>
      <w:bookmarkEnd w:id="10"/>
      <w:r>
        <w:rPr>
          <w:rFonts w:hint="eastAsia" w:asciiTheme="minorEastAsia" w:hAnsiTheme="minorEastAsia" w:eastAsiaTheme="minorEastAsia"/>
          <w:color w:val="auto"/>
          <w:sz w:val="24"/>
          <w:highlight w:val="none"/>
          <w:lang w:val="en-US" w:eastAsia="zh-CN"/>
        </w:rPr>
        <w:t>上披露的仍在公示期的严重失信行为(具体行为类别及判定依据见“信用中国”查询的严重失信行为类别及判定依据)的。</w:t>
      </w:r>
    </w:p>
    <w:p w14:paraId="55176AE1">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⑤被列入国家企业信用信息公示系统网站“经营异常名录”或者“严重违法失信名单”的。</w:t>
      </w:r>
    </w:p>
    <w:p w14:paraId="6B58B85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⑥被列入中国政府采购网站“政府采购严重违法失信行为信息记录”的。</w:t>
      </w:r>
    </w:p>
    <w:p w14:paraId="4EDE905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⑦前三年有行贿犯罪行为的单位和个人。</w:t>
      </w:r>
    </w:p>
    <w:p w14:paraId="5CC5CDD1">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5.投标人所属分公司、办事处等分支机构存在第4款信誉要求①-⑦项情形之一的，接受其被确定为中标人。</w:t>
      </w:r>
    </w:p>
    <w:p w14:paraId="2BF3D887">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备注：第4、5条按照“关于联合惩戒失信行为加强信用查询管理的通知”查询或承诺。</w:t>
      </w:r>
    </w:p>
    <w:p w14:paraId="3C4AAEE9">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D496128">
      <w:pPr>
        <w:spacing w:line="360" w:lineRule="auto"/>
        <w:ind w:firstLine="540"/>
        <w:rPr>
          <w:rFonts w:hint="eastAsia" w:asciiTheme="minorEastAsia" w:hAnsiTheme="minorEastAsia" w:eastAsiaTheme="minorEastAsia" w:cstheme="minorEastAsia"/>
          <w:i/>
          <w:iCs/>
          <w:color w:val="auto"/>
          <w:sz w:val="24"/>
          <w:szCs w:val="24"/>
          <w:highlight w:val="none"/>
        </w:rPr>
      </w:pPr>
      <w:bookmarkStart w:id="11" w:name="_Toc7957"/>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提供期限自本公告发布之日起不得少于5个工作日</w:t>
      </w:r>
      <w:r>
        <w:rPr>
          <w:rFonts w:hint="eastAsia" w:asciiTheme="minorEastAsia" w:hAnsiTheme="minorEastAsia" w:eastAsiaTheme="minorEastAsia" w:cstheme="minorEastAsia"/>
          <w:iCs/>
          <w:color w:val="auto"/>
          <w:sz w:val="24"/>
          <w:szCs w:val="24"/>
          <w:highlight w:val="none"/>
          <w:u w:val="none"/>
        </w:rPr>
        <w:t>）</w:t>
      </w:r>
    </w:p>
    <w:p w14:paraId="674C18F0">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u w:val="single"/>
        </w:rPr>
        <w:t>滁州市公共资源交易中心网</w:t>
      </w:r>
    </w:p>
    <w:p w14:paraId="1FFED869">
      <w:pPr>
        <w:spacing w:line="360" w:lineRule="auto"/>
        <w:ind w:firstLine="540"/>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lang w:val="en-US" w:eastAsia="zh-CN"/>
        </w:rPr>
        <w:t>网上下载</w:t>
      </w:r>
    </w:p>
    <w:p w14:paraId="2C8EDA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p>
    <w:p w14:paraId="481E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3" w:name="_Toc5082"/>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5</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13</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自招标文件开始发出之日起至投标人提交投标文件截止之日止，不得少于20日</w:t>
      </w:r>
      <w:r>
        <w:rPr>
          <w:rFonts w:hint="eastAsia" w:asciiTheme="minorEastAsia" w:hAnsiTheme="minorEastAsia" w:eastAsiaTheme="minorEastAsia" w:cstheme="minorEastAsia"/>
          <w:iCs/>
          <w:color w:val="auto"/>
          <w:sz w:val="24"/>
          <w:szCs w:val="24"/>
          <w:highlight w:val="none"/>
          <w:u w:val="none"/>
        </w:rPr>
        <w:t>）</w:t>
      </w:r>
    </w:p>
    <w:p w14:paraId="77C40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lang w:val="en-US" w:eastAsia="zh-CN"/>
        </w:rPr>
        <w:t>滁州市公共资源交易平台电子交易系统</w:t>
      </w:r>
    </w:p>
    <w:p w14:paraId="5E0C0E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28531"/>
      <w:r>
        <w:rPr>
          <w:rFonts w:hint="eastAsia" w:ascii="宋体" w:hAnsi="宋体" w:eastAsia="宋体"/>
          <w:b/>
          <w:bCs/>
          <w:color w:val="auto"/>
          <w:sz w:val="24"/>
          <w:szCs w:val="18"/>
          <w:highlight w:val="none"/>
        </w:rPr>
        <w:t>五、</w:t>
      </w:r>
      <w:bookmarkEnd w:id="13"/>
      <w:r>
        <w:rPr>
          <w:rFonts w:hint="eastAsia" w:ascii="宋体" w:hAnsi="宋体" w:eastAsia="宋体"/>
          <w:b/>
          <w:bCs/>
          <w:color w:val="auto"/>
          <w:sz w:val="24"/>
          <w:szCs w:val="18"/>
          <w:highlight w:val="none"/>
        </w:rPr>
        <w:t>公告期限</w:t>
      </w:r>
      <w:bookmarkEnd w:id="14"/>
    </w:p>
    <w:p w14:paraId="65085C7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5" w:name="_Toc1215"/>
      <w:r>
        <w:rPr>
          <w:rFonts w:hint="eastAsia" w:ascii="宋体" w:hAnsi="宋体" w:eastAsia="宋体"/>
          <w:b w:val="0"/>
          <w:bCs w:val="0"/>
          <w:color w:val="auto"/>
          <w:sz w:val="24"/>
          <w:szCs w:val="18"/>
          <w:highlight w:val="none"/>
        </w:rPr>
        <w:t>自本公告发布之日起5个工作日。</w:t>
      </w:r>
    </w:p>
    <w:p w14:paraId="565A10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6" w:name="_Toc8807"/>
      <w:bookmarkStart w:id="17" w:name="_Toc35393626"/>
      <w:bookmarkStart w:id="18" w:name="_Toc35393795"/>
      <w:r>
        <w:rPr>
          <w:rFonts w:hint="eastAsia" w:ascii="宋体" w:hAnsi="宋体" w:eastAsia="宋体"/>
          <w:b/>
          <w:bCs/>
          <w:color w:val="auto"/>
          <w:sz w:val="24"/>
          <w:szCs w:val="18"/>
          <w:highlight w:val="none"/>
        </w:rPr>
        <w:t>六、其他补充事宜</w:t>
      </w:r>
      <w:bookmarkEnd w:id="16"/>
      <w:bookmarkEnd w:id="17"/>
      <w:bookmarkEnd w:id="18"/>
    </w:p>
    <w:p w14:paraId="587BBEAD">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1.项目采用全流程电子化采购方式，相关操作说明如下：</w:t>
      </w:r>
    </w:p>
    <w:p w14:paraId="38C40627">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105F12D">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（2）请投标人登录滁州市公共资源交易中心网站查看参加本项目的程序（具体操作步骤和程序请参见服务指南&lt;交易须知&gt;投标人填写投标信息、下载文件及网上提问操作手册）。</w:t>
      </w:r>
    </w:p>
    <w:p w14:paraId="2F18928A">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2A09E8C6">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default" w:ascii="宋体" w:hAnsi="宋体" w:eastAsia="宋体"/>
          <w:color w:val="auto"/>
          <w:sz w:val="24"/>
          <w:szCs w:val="18"/>
          <w:highlight w:val="none"/>
          <w:lang w:val="en-US" w:eastAsia="zh-CN"/>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5"/>
    <w:p w14:paraId="1A07881E">
      <w:pPr>
        <w:spacing w:line="360" w:lineRule="auto"/>
        <w:ind w:firstLine="437"/>
        <w:outlineLvl w:val="1"/>
        <w:rPr>
          <w:rFonts w:hint="eastAsia" w:ascii="宋体" w:hAnsi="宋体" w:eastAsia="宋体"/>
          <w:b/>
          <w:bCs/>
          <w:color w:val="auto"/>
          <w:sz w:val="24"/>
          <w:szCs w:val="18"/>
          <w:highlight w:val="none"/>
        </w:rPr>
      </w:pPr>
      <w:bookmarkStart w:id="19" w:name="_Toc7265"/>
      <w:bookmarkStart w:id="20" w:name="_Toc3854"/>
      <w:r>
        <w:rPr>
          <w:rFonts w:hint="eastAsia" w:ascii="宋体" w:hAnsi="宋体" w:eastAsia="宋体"/>
          <w:b/>
          <w:bCs/>
          <w:color w:val="auto"/>
          <w:sz w:val="24"/>
          <w:szCs w:val="18"/>
          <w:highlight w:val="none"/>
        </w:rPr>
        <w:t>七、</w:t>
      </w:r>
      <w:bookmarkEnd w:id="19"/>
      <w:r>
        <w:rPr>
          <w:rFonts w:hint="eastAsia" w:ascii="宋体" w:hAnsi="宋体" w:eastAsia="宋体"/>
          <w:b/>
          <w:bCs/>
          <w:color w:val="auto"/>
          <w:sz w:val="24"/>
          <w:szCs w:val="18"/>
          <w:highlight w:val="none"/>
        </w:rPr>
        <w:t>对本次招标提出询问，请按以下方式联系</w:t>
      </w:r>
      <w:bookmarkEnd w:id="20"/>
    </w:p>
    <w:p w14:paraId="17163C33">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B51F39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滁州学院</w:t>
      </w:r>
    </w:p>
    <w:p w14:paraId="2F66E8F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安徽省滁州市会峰西路1号滁州学院会峰校区</w:t>
      </w:r>
    </w:p>
    <w:p w14:paraId="1999B4C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陈老师</w:t>
      </w:r>
      <w:r>
        <w:rPr>
          <w:rFonts w:ascii="宋体" w:hAnsi="宋体" w:eastAsia="宋体"/>
          <w:color w:val="auto"/>
          <w:sz w:val="24"/>
          <w:szCs w:val="18"/>
          <w:highlight w:val="none"/>
          <w:u w:val="single"/>
        </w:rPr>
        <w:t xml:space="preserve"> </w:t>
      </w:r>
    </w:p>
    <w:p w14:paraId="0ED5D25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0550-3512003</w:t>
      </w:r>
    </w:p>
    <w:p w14:paraId="72CE88C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53A522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滁州市政府采购中心</w:t>
      </w:r>
    </w:p>
    <w:p w14:paraId="6330F5D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color w:val="auto"/>
          <w:sz w:val="24"/>
          <w:szCs w:val="18"/>
          <w:highlight w:val="none"/>
          <w:u w:val="single"/>
          <w:lang w:val="en-US" w:eastAsia="zh-CN"/>
        </w:rPr>
        <w:t>滁州市龙蟠大道109号房产商务大厦2楼</w:t>
      </w:r>
    </w:p>
    <w:p w14:paraId="16569BBF">
      <w:pPr>
        <w:spacing w:line="360" w:lineRule="auto"/>
        <w:ind w:firstLine="435"/>
        <w:rPr>
          <w:rFonts w:hint="default" w:eastAsia="宋体"/>
          <w:color w:val="auto"/>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杨韦</w:t>
      </w:r>
    </w:p>
    <w:p w14:paraId="23D72F95">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0550-3519590、18005501210</w:t>
      </w:r>
    </w:p>
    <w:p w14:paraId="154F4FDE">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61A317E">
      <w:pPr>
        <w:spacing w:line="360" w:lineRule="auto"/>
        <w:ind w:firstLine="437"/>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安徽省财政厅</w:t>
      </w:r>
    </w:p>
    <w:p w14:paraId="748FB2C4">
      <w:pPr>
        <w:spacing w:line="360" w:lineRule="auto"/>
        <w:ind w:firstLine="437"/>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lang w:val="en-US" w:eastAsia="zh-CN"/>
        </w:rPr>
        <w:t>合肥市阜南西路238号</w:t>
      </w:r>
    </w:p>
    <w:p w14:paraId="6E44BB6D">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0551-68150413</w:t>
      </w: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1"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1"/>
    </w:p>
    <w:p w14:paraId="1C2B44DB">
      <w:pPr>
        <w:spacing w:line="360" w:lineRule="auto"/>
        <w:jc w:val="center"/>
        <w:outlineLvl w:val="1"/>
        <w:rPr>
          <w:rFonts w:asciiTheme="minorEastAsia" w:hAnsiTheme="minorEastAsia" w:eastAsiaTheme="minorEastAsia"/>
          <w:b/>
          <w:color w:val="auto"/>
          <w:sz w:val="24"/>
          <w:highlight w:val="none"/>
        </w:rPr>
      </w:pPr>
      <w:bookmarkStart w:id="22" w:name="_Toc7178"/>
      <w:bookmarkStart w:id="2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2"/>
      <w:bookmarkEnd w:id="23"/>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2368"/>
        <w:gridCol w:w="5621"/>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216F6B5C">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89" w:type="pct"/>
            <w:vAlign w:val="center"/>
          </w:tcPr>
          <w:p w14:paraId="6B4D4B7D">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060" w:type="pct"/>
            <w:vAlign w:val="center"/>
          </w:tcPr>
          <w:p w14:paraId="467D9BEB">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3EB3A31A">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89" w:type="pct"/>
            <w:vAlign w:val="center"/>
          </w:tcPr>
          <w:p w14:paraId="2B65B3B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060"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B94A396">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0020AE6E">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289" w:type="pct"/>
            <w:vAlign w:val="center"/>
          </w:tcPr>
          <w:p w14:paraId="6A4467E4">
            <w:pPr>
              <w:pStyle w:val="45"/>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060" w:type="pct"/>
            <w:vAlign w:val="center"/>
          </w:tcPr>
          <w:p w14:paraId="06B28AA9">
            <w:pPr>
              <w:pStyle w:val="45"/>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29</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37231623">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289" w:type="pct"/>
            <w:vAlign w:val="center"/>
          </w:tcPr>
          <w:p w14:paraId="7D418D49">
            <w:pPr>
              <w:pStyle w:val="45"/>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060" w:type="pct"/>
            <w:vAlign w:val="center"/>
          </w:tcPr>
          <w:p w14:paraId="05C2A4A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D8B005F">
            <w:pPr>
              <w:pStyle w:val="45"/>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9" w:type="pct"/>
            <w:vAlign w:val="center"/>
          </w:tcPr>
          <w:p w14:paraId="01E07874">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289" w:type="pct"/>
            <w:vAlign w:val="center"/>
          </w:tcPr>
          <w:p w14:paraId="65E9DB8A">
            <w:pPr>
              <w:pStyle w:val="4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060"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06278B6A">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289" w:type="pct"/>
            <w:vAlign w:val="center"/>
          </w:tcPr>
          <w:p w14:paraId="49DD7E9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060" w:type="pct"/>
            <w:vAlign w:val="center"/>
          </w:tcPr>
          <w:p w14:paraId="4DC007A3">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05EE5787">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289" w:type="pct"/>
            <w:vAlign w:val="center"/>
          </w:tcPr>
          <w:p w14:paraId="65AB894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060" w:type="pct"/>
            <w:vAlign w:val="center"/>
          </w:tcPr>
          <w:p w14:paraId="6280D24C">
            <w:pPr>
              <w:pStyle w:val="45"/>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1C5005F3">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89" w:type="pct"/>
            <w:vAlign w:val="center"/>
          </w:tcPr>
          <w:p w14:paraId="096C4419">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060" w:type="pct"/>
            <w:vAlign w:val="center"/>
          </w:tcPr>
          <w:p w14:paraId="7B7A520C">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07544248">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289" w:type="pct"/>
            <w:vAlign w:val="center"/>
          </w:tcPr>
          <w:p w14:paraId="14361BC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060" w:type="pct"/>
            <w:vAlign w:val="center"/>
          </w:tcPr>
          <w:p w14:paraId="3DCDCAA6">
            <w:pPr>
              <w:pStyle w:val="45"/>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265042D2">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289" w:type="pct"/>
            <w:vAlign w:val="center"/>
          </w:tcPr>
          <w:p w14:paraId="7A48F42F">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5"/>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060" w:type="pct"/>
            <w:vAlign w:val="center"/>
          </w:tcPr>
          <w:p w14:paraId="41948DD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98FF84C">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FDE3FD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62B97303">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1289" w:type="pct"/>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3060" w:type="pct"/>
            <w:vAlign w:val="center"/>
          </w:tcPr>
          <w:p w14:paraId="08D09935">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4C6E1350">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5F863C61">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289" w:type="pct"/>
            <w:vAlign w:val="center"/>
          </w:tcPr>
          <w:p w14:paraId="6422F33F">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060" w:type="pct"/>
            <w:vAlign w:val="center"/>
          </w:tcPr>
          <w:p w14:paraId="5289A58C">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评</w:t>
            </w:r>
            <w:r>
              <w:rPr>
                <w:rFonts w:hint="eastAsia" w:ascii="宋体" w:hAnsi="宋体" w:eastAsia="宋体"/>
                <w:b w:val="0"/>
                <w:color w:val="auto"/>
                <w:sz w:val="24"/>
                <w:highlight w:val="none"/>
                <w:u w:val="none"/>
              </w:rPr>
              <w:t>标委员会推荐3名中标候选人</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7857674C">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289" w:type="pct"/>
            <w:vAlign w:val="center"/>
          </w:tcPr>
          <w:p w14:paraId="4140DBC8">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060"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2F27320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1692662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289" w:type="pct"/>
            <w:vAlign w:val="center"/>
          </w:tcPr>
          <w:p w14:paraId="4F1035C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060" w:type="pct"/>
            <w:vAlign w:val="center"/>
          </w:tcPr>
          <w:p w14:paraId="3BF38972">
            <w:pPr>
              <w:pStyle w:val="45"/>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8C482A2">
            <w:pPr>
              <w:pStyle w:val="45"/>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7D0134B">
            <w:pPr>
              <w:pStyle w:val="45"/>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3A99AF53">
            <w:pPr>
              <w:pStyle w:val="45"/>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575B88ED">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289" w:type="pct"/>
            <w:vAlign w:val="center"/>
          </w:tcPr>
          <w:p w14:paraId="2999B21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060" w:type="pct"/>
            <w:vAlign w:val="center"/>
          </w:tcPr>
          <w:p w14:paraId="331BFCC4">
            <w:pPr>
              <w:pStyle w:val="45"/>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55D0FDD1">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289" w:type="pct"/>
            <w:vAlign w:val="center"/>
          </w:tcPr>
          <w:p w14:paraId="66EEB43F">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060"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9" w:type="pct"/>
            <w:vAlign w:val="center"/>
          </w:tcPr>
          <w:p w14:paraId="71FB940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289" w:type="pct"/>
            <w:vAlign w:val="center"/>
          </w:tcPr>
          <w:p w14:paraId="0EDB326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060"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滁州学院</w:t>
            </w:r>
            <w:r>
              <w:rPr>
                <w:rFonts w:hint="eastAsia" w:ascii="宋体" w:hAnsi="宋体" w:eastAsia="宋体"/>
                <w:bCs/>
                <w:color w:val="auto"/>
                <w:kern w:val="0"/>
                <w:sz w:val="24"/>
                <w:szCs w:val="28"/>
                <w:highlight w:val="none"/>
              </w:rPr>
              <w:t xml:space="preserve">              </w:t>
            </w:r>
          </w:p>
          <w:p w14:paraId="44A14F0B">
            <w:pPr>
              <w:spacing w:line="360" w:lineRule="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lang w:val="en-US" w:eastAsia="zh-CN"/>
              </w:rPr>
              <w:t>另行通知</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olor w:val="auto"/>
                <w:sz w:val="24"/>
                <w:highlight w:val="none"/>
                <w:u w:val="single"/>
              </w:rPr>
              <w:t>验收合格，一次性退还</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49" w:type="pct"/>
            <w:vAlign w:val="center"/>
          </w:tcPr>
          <w:p w14:paraId="691C91A2">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289" w:type="pct"/>
            <w:vAlign w:val="center"/>
          </w:tcPr>
          <w:p w14:paraId="1919AE48">
            <w:pPr>
              <w:pStyle w:val="4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060" w:type="pct"/>
          </w:tcPr>
          <w:p w14:paraId="75CA5AB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59C4D0DD">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289" w:type="pct"/>
            <w:vAlign w:val="center"/>
          </w:tcPr>
          <w:p w14:paraId="1A987307">
            <w:pPr>
              <w:pStyle w:val="4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060"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本项目不向采购人及中标人收取代理费用</w:t>
            </w:r>
          </w:p>
          <w:p w14:paraId="50CEC32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default" w:ascii="宋体" w:hAnsi="宋体" w:eastAsia="宋体" w:cs="@仿宋_GB2312"/>
                <w:b w:val="0"/>
                <w:bCs/>
                <w:color w:val="auto"/>
                <w:kern w:val="0"/>
                <w:sz w:val="24"/>
                <w:szCs w:val="28"/>
                <w:highlight w:val="none"/>
                <w:u w:val="single"/>
                <w:lang w:val="en-US" w:eastAsia="zh-CN" w:bidi="ar-SA"/>
              </w:rPr>
              <w:t>参考计价格【2002】1980号文件规定的</w:t>
            </w:r>
            <w:r>
              <w:rPr>
                <w:rFonts w:hint="eastAsia" w:ascii="宋体" w:hAnsi="宋体" w:eastAsia="宋体" w:cs="@仿宋_GB2312"/>
                <w:b w:val="0"/>
                <w:bCs/>
                <w:color w:val="auto"/>
                <w:kern w:val="0"/>
                <w:sz w:val="24"/>
                <w:szCs w:val="28"/>
                <w:highlight w:val="none"/>
                <w:u w:val="single"/>
                <w:lang w:val="en-US" w:eastAsia="zh-CN" w:bidi="ar-SA"/>
              </w:rPr>
              <w:t>50</w:t>
            </w:r>
            <w:r>
              <w:rPr>
                <w:rFonts w:hint="default" w:ascii="宋体" w:hAnsi="宋体" w:eastAsia="宋体" w:cs="@仿宋_GB2312"/>
                <w:b w:val="0"/>
                <w:bCs/>
                <w:color w:val="auto"/>
                <w:kern w:val="0"/>
                <w:sz w:val="24"/>
                <w:szCs w:val="28"/>
                <w:highlight w:val="none"/>
                <w:u w:val="single"/>
                <w:lang w:val="en-US" w:eastAsia="zh-CN" w:bidi="ar-SA"/>
              </w:rPr>
              <w:t>%（约</w:t>
            </w:r>
            <w:r>
              <w:rPr>
                <w:rFonts w:hint="eastAsia" w:ascii="宋体" w:hAnsi="宋体" w:eastAsia="宋体" w:cs="@仿宋_GB2312"/>
                <w:b w:val="0"/>
                <w:bCs/>
                <w:color w:val="auto"/>
                <w:kern w:val="0"/>
                <w:sz w:val="24"/>
                <w:szCs w:val="28"/>
                <w:highlight w:val="none"/>
                <w:u w:val="single"/>
                <w:lang w:val="en-US" w:eastAsia="zh-CN" w:bidi="ar-SA"/>
              </w:rPr>
              <w:t>4500</w:t>
            </w:r>
            <w:r>
              <w:rPr>
                <w:rFonts w:hint="default" w:ascii="宋体" w:hAnsi="宋体" w:eastAsia="宋体" w:cs="@仿宋_GB2312"/>
                <w:b w:val="0"/>
                <w:bCs/>
                <w:color w:val="auto"/>
                <w:kern w:val="0"/>
                <w:sz w:val="24"/>
                <w:szCs w:val="28"/>
                <w:highlight w:val="none"/>
                <w:u w:val="single"/>
                <w:lang w:val="en-US" w:eastAsia="zh-CN" w:bidi="ar-SA"/>
              </w:rPr>
              <w:t>元）</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306EC6AE">
            <w:pPr>
              <w:pStyle w:val="4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89" w:type="pct"/>
            <w:vAlign w:val="center"/>
          </w:tcPr>
          <w:p w14:paraId="5660439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060" w:type="pct"/>
            <w:vAlign w:val="center"/>
          </w:tcPr>
          <w:p w14:paraId="3958835D">
            <w:pPr>
              <w:pStyle w:val="4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供应商</w:t>
            </w:r>
            <w:r>
              <w:rPr>
                <w:rFonts w:hint="eastAsia" w:ascii="宋体" w:hAnsi="宋体" w:eastAsia="宋体"/>
                <w:b w:val="0"/>
                <w:color w:val="auto"/>
                <w:sz w:val="24"/>
                <w:highlight w:val="none"/>
                <w:u w:val="single"/>
                <w:lang w:val="en-US" w:eastAsia="zh-CN"/>
              </w:rPr>
              <w:t>可</w:t>
            </w:r>
            <w:r>
              <w:rPr>
                <w:rFonts w:hint="eastAsia" w:ascii="宋体" w:hAnsi="宋体" w:eastAsia="宋体"/>
                <w:b w:val="0"/>
                <w:color w:val="auto"/>
                <w:sz w:val="24"/>
                <w:highlight w:val="none"/>
                <w:u w:val="single"/>
              </w:rPr>
              <w:t>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2862DFB9">
            <w:pPr>
              <w:pStyle w:val="45"/>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b w:val="0"/>
                <w:color w:val="auto"/>
                <w:sz w:val="24"/>
                <w:highlight w:val="none"/>
              </w:rPr>
              <w:t>接收部门：</w:t>
            </w:r>
            <w:r>
              <w:rPr>
                <w:rFonts w:hint="eastAsia" w:ascii="宋体" w:hAnsi="宋体" w:eastAsia="宋体" w:cs="宋体"/>
                <w:b w:val="0"/>
                <w:bCs w:val="0"/>
                <w:color w:val="auto"/>
                <w:sz w:val="24"/>
                <w:szCs w:val="24"/>
                <w:highlight w:val="none"/>
                <w:u w:val="single"/>
                <w:lang w:val="en-US" w:eastAsia="zh-CN"/>
              </w:rPr>
              <w:t>滁州学院、滁州市政府采购中心</w:t>
            </w:r>
          </w:p>
          <w:p w14:paraId="0AE196BB">
            <w:pPr>
              <w:pStyle w:val="4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s="宋体"/>
                <w:b w:val="0"/>
                <w:bCs/>
                <w:color w:val="auto"/>
                <w:kern w:val="0"/>
                <w:sz w:val="24"/>
                <w:szCs w:val="24"/>
                <w:highlight w:val="none"/>
                <w:u w:val="single"/>
                <w:lang w:val="en-US" w:eastAsia="zh-CN"/>
              </w:rPr>
              <w:t>0550-3512003、0550-3159590</w:t>
            </w:r>
          </w:p>
          <w:p w14:paraId="454D68B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s="宋体"/>
                <w:b w:val="0"/>
                <w:bCs/>
                <w:color w:val="auto"/>
                <w:kern w:val="0"/>
                <w:sz w:val="24"/>
                <w:szCs w:val="24"/>
                <w:highlight w:val="none"/>
                <w:u w:val="single"/>
              </w:rPr>
              <w:t>安徽省滁州市会峰西路1号滁州学院会峰校区</w:t>
            </w:r>
            <w:r>
              <w:rPr>
                <w:rFonts w:hint="eastAsia" w:ascii="宋体" w:hAnsi="宋体" w:eastAsia="宋体" w:cs="宋体"/>
                <w:b w:val="0"/>
                <w:bCs/>
                <w:color w:val="auto"/>
                <w:kern w:val="0"/>
                <w:sz w:val="24"/>
                <w:szCs w:val="24"/>
                <w:highlight w:val="none"/>
                <w:u w:val="single"/>
                <w:lang w:eastAsia="zh-CN"/>
              </w:rPr>
              <w:t>、滁州市龙蟠大道109号房产大厦</w:t>
            </w:r>
            <w:r>
              <w:rPr>
                <w:rFonts w:hint="eastAsia" w:ascii="宋体" w:hAnsi="宋体" w:eastAsia="宋体" w:cs="宋体"/>
                <w:b w:val="0"/>
                <w:bCs/>
                <w:color w:val="auto"/>
                <w:kern w:val="0"/>
                <w:sz w:val="24"/>
                <w:szCs w:val="24"/>
                <w:highlight w:val="none"/>
                <w:u w:val="single"/>
                <w:lang w:val="en-US" w:eastAsia="zh-CN"/>
              </w:rPr>
              <w:t>2</w:t>
            </w:r>
            <w:r>
              <w:rPr>
                <w:rFonts w:hint="eastAsia" w:ascii="宋体" w:hAnsi="宋体" w:eastAsia="宋体" w:cs="宋体"/>
                <w:b w:val="0"/>
                <w:bCs/>
                <w:color w:val="auto"/>
                <w:kern w:val="0"/>
                <w:sz w:val="24"/>
                <w:szCs w:val="24"/>
                <w:highlight w:val="none"/>
                <w:u w:val="single"/>
                <w:lang w:eastAsia="zh-CN"/>
              </w:rPr>
              <w:t>楼</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9" w:type="pct"/>
            <w:vAlign w:val="center"/>
          </w:tcPr>
          <w:p w14:paraId="7D80F19C">
            <w:pPr>
              <w:pStyle w:val="46"/>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89" w:type="pct"/>
            <w:vAlign w:val="center"/>
          </w:tcPr>
          <w:p w14:paraId="746E8AD2">
            <w:pPr>
              <w:pStyle w:val="45"/>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060" w:type="pct"/>
            <w:vAlign w:val="center"/>
          </w:tcPr>
          <w:p w14:paraId="23ADAA09">
            <w:pPr>
              <w:pStyle w:val="45"/>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5"/>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5"/>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58C59361">
            <w:pPr>
              <w:pStyle w:val="45"/>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4、部分可提供线下政采贷的金融机构</w:t>
            </w:r>
          </w:p>
          <w:p w14:paraId="0C94E6FE">
            <w:pPr>
              <w:pStyle w:val="45"/>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市本级</w:t>
            </w:r>
          </w:p>
          <w:p w14:paraId="64A5063E">
            <w:pPr>
              <w:pStyle w:val="45"/>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金融机构名称：兴业银行滁州分行</w:t>
            </w:r>
          </w:p>
          <w:p w14:paraId="17BEEB89">
            <w:pPr>
              <w:pStyle w:val="45"/>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安徽省滁州市琅琊区丰乐大道1090号</w:t>
            </w:r>
          </w:p>
          <w:p w14:paraId="6DD992ED">
            <w:pPr>
              <w:pStyle w:val="45"/>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伏庚：17755080811</w:t>
            </w:r>
          </w:p>
          <w:p w14:paraId="460ADB64">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5</w:t>
            </w:r>
            <w:r>
              <w:rPr>
                <w:rFonts w:hint="eastAsia" w:ascii="宋体" w:hAnsi="宋体" w:eastAsia="宋体" w:cs="宋体"/>
                <w:b w:val="0"/>
                <w:color w:val="auto"/>
                <w:kern w:val="2"/>
                <w:sz w:val="24"/>
                <w:szCs w:val="24"/>
                <w:highlight w:val="none"/>
              </w:rPr>
              <w:t>、特别提示：</w:t>
            </w:r>
          </w:p>
          <w:p w14:paraId="280DBEE8">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w:t>
            </w:r>
            <w:r>
              <w:rPr>
                <w:rFonts w:hint="eastAsia" w:ascii="宋体" w:hAnsi="宋体" w:eastAsia="宋体" w:cs="宋体"/>
                <w:b w:val="0"/>
                <w:color w:val="auto"/>
                <w:kern w:val="2"/>
                <w:sz w:val="24"/>
                <w:szCs w:val="24"/>
                <w:highlight w:val="none"/>
                <w:lang w:val="en-US" w:eastAsia="zh-CN"/>
              </w:rPr>
              <w:t>0550-58188516</w:t>
            </w:r>
            <w:r>
              <w:rPr>
                <w:rFonts w:hint="eastAsia" w:ascii="宋体" w:hAnsi="宋体" w:eastAsia="宋体" w:cs="宋体"/>
                <w:b w:val="0"/>
                <w:color w:val="auto"/>
                <w:kern w:val="2"/>
                <w:sz w:val="24"/>
                <w:szCs w:val="24"/>
                <w:highlight w:val="none"/>
              </w:rPr>
              <w:t>。</w:t>
            </w:r>
          </w:p>
          <w:p w14:paraId="5615295D">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6</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评标过程中的澄清、说明或补正：</w:t>
            </w:r>
          </w:p>
          <w:p w14:paraId="6B6B8A5C">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7</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同义词语：</w:t>
            </w:r>
          </w:p>
          <w:p w14:paraId="43491F5D">
            <w:pPr>
              <w:pStyle w:val="45"/>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7721EF3C">
            <w:pPr>
              <w:pStyle w:val="45"/>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8</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落实政府采购支持节能产品、环境标志产品政策。</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14880"/>
      <w:bookmarkStart w:id="2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4"/>
      <w:bookmarkEnd w:id="25"/>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6"/>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lang w:val="en-US" w:eastAsia="zh-CN"/>
        </w:rPr>
        <w:t>等。</w:t>
      </w:r>
    </w:p>
    <w:bookmarkEnd w:id="27"/>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28"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8"/>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17.5同时符合17.4和17.5的价格评审优惠时，评标价为投标报价分别扣除促进中小企业发展政策的价格评审优惠和本国产品支持政策的价格评审优惠后的价格。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29" w:name="_Toc518923100"/>
      <w:bookmarkStart w:id="30"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9"/>
      <w:bookmarkEnd w:id="30"/>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31" w:name="_Toc2583662"/>
      <w:bookmarkStart w:id="32"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1"/>
      <w:bookmarkEnd w:id="32"/>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3" w:name="_Toc10891"/>
      <w:r>
        <w:rPr>
          <w:rFonts w:hint="eastAsia" w:asciiTheme="minorEastAsia" w:hAnsiTheme="minorEastAsia" w:eastAsiaTheme="minorEastAsia"/>
          <w:b/>
          <w:color w:val="auto"/>
          <w:sz w:val="28"/>
          <w:highlight w:val="none"/>
        </w:rPr>
        <w:t>第三章  采购需求</w:t>
      </w:r>
      <w:bookmarkEnd w:id="33"/>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34" w:name="_Toc2554"/>
      <w:bookmarkStart w:id="35" w:name="_Toc32151"/>
      <w:r>
        <w:rPr>
          <w:rFonts w:hint="eastAsia" w:ascii="宋体" w:hAnsi="宋体" w:eastAsia="宋体"/>
          <w:b/>
          <w:color w:val="auto"/>
          <w:sz w:val="24"/>
          <w:szCs w:val="18"/>
          <w:highlight w:val="none"/>
        </w:rPr>
        <w:t>一、采购需求前附表</w:t>
      </w:r>
      <w:bookmarkEnd w:id="34"/>
      <w:bookmarkEnd w:id="35"/>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4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45"/>
              <w:widowControl w:val="0"/>
              <w:spacing w:before="0" w:beforeAutospacing="0" w:after="0" w:afterAutospacing="0" w:line="360" w:lineRule="auto"/>
              <w:rPr>
                <w:rFonts w:ascii="宋体" w:hAnsi="宋体" w:eastAsia="宋体"/>
                <w:bCs w:val="0"/>
                <w:color w:val="auto"/>
                <w:sz w:val="24"/>
                <w:highlight w:val="none"/>
                <w:u w:val="none"/>
              </w:rPr>
            </w:pPr>
            <w:r>
              <w:rPr>
                <w:rFonts w:hint="eastAsia" w:ascii="宋体" w:hAnsi="宋体" w:eastAsia="宋体"/>
                <w:bCs w:val="0"/>
                <w:color w:val="auto"/>
                <w:sz w:val="24"/>
                <w:highlight w:val="none"/>
                <w:u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2B8C4E7">
            <w:pPr>
              <w:pStyle w:val="45"/>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合同签订后，具备实施条件后支付合同价的40%预付款（预付款支付前，中标人须提供同等金额的见索即付保函），全部供货安装调试完毕并由采购人验收合格后，一次性付清合同款。</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滁州学院会峰校区内，采购人指定地点。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4A45A1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自合同签订生效后，接到采购人通知之日起30个日历天内完 成货物的供货、安装、调试工作，并验收合格交付使用。</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D94A51E">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验收合格之日起不少于2年，具体以中标人投标承诺时间为准。</w:t>
            </w:r>
          </w:p>
        </w:tc>
      </w:tr>
    </w:tbl>
    <w:p w14:paraId="3E806DB2">
      <w:pPr>
        <w:spacing w:line="360" w:lineRule="auto"/>
        <w:ind w:firstLine="437"/>
        <w:outlineLvl w:val="1"/>
        <w:rPr>
          <w:rFonts w:ascii="宋体" w:hAnsi="宋体" w:eastAsia="宋体"/>
          <w:b/>
          <w:bCs/>
          <w:color w:val="auto"/>
          <w:sz w:val="24"/>
          <w:szCs w:val="18"/>
          <w:highlight w:val="none"/>
        </w:rPr>
      </w:pPr>
      <w:bookmarkStart w:id="36" w:name="_Toc5944"/>
      <w:bookmarkStart w:id="37"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6"/>
      <w:bookmarkEnd w:id="37"/>
    </w:p>
    <w:tbl>
      <w:tblPr>
        <w:tblStyle w:val="27"/>
        <w:tblW w:w="63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90"/>
        <w:gridCol w:w="5404"/>
        <w:gridCol w:w="1064"/>
        <w:gridCol w:w="825"/>
        <w:gridCol w:w="975"/>
        <w:gridCol w:w="626"/>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467B4F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95" w:type="pct"/>
            <w:vAlign w:val="center"/>
          </w:tcPr>
          <w:p w14:paraId="5F31DA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493" w:type="pct"/>
            <w:vAlign w:val="center"/>
          </w:tcPr>
          <w:p w14:paraId="6102B7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490" w:type="pct"/>
            <w:vAlign w:val="center"/>
          </w:tcPr>
          <w:p w14:paraId="5FAB4F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4469B5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380" w:type="pct"/>
            <w:vAlign w:val="center"/>
          </w:tcPr>
          <w:p w14:paraId="738F3E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732EB2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c>
          <w:tcPr>
            <w:tcW w:w="449" w:type="pct"/>
            <w:vAlign w:val="center"/>
          </w:tcPr>
          <w:p w14:paraId="5D58B7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是否为核心产品</w:t>
            </w:r>
          </w:p>
        </w:tc>
        <w:tc>
          <w:tcPr>
            <w:tcW w:w="288" w:type="pct"/>
            <w:vAlign w:val="center"/>
          </w:tcPr>
          <w:p w14:paraId="2FFBEB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1" w:type="pct"/>
            <w:vAlign w:val="center"/>
          </w:tcPr>
          <w:p w14:paraId="394605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95" w:type="pct"/>
            <w:vAlign w:val="center"/>
          </w:tcPr>
          <w:p w14:paraId="06CB9F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790863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公寓床</w:t>
            </w:r>
          </w:p>
        </w:tc>
        <w:tc>
          <w:tcPr>
            <w:tcW w:w="2493" w:type="pct"/>
            <w:vAlign w:val="center"/>
          </w:tcPr>
          <w:p w14:paraId="35391B0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★1.公寓床尺寸：单张床位净尺寸</w:t>
            </w:r>
            <w:r>
              <w:rPr>
                <w:rFonts w:hint="eastAsia" w:ascii="宋体" w:hAnsi="宋体" w:eastAsia="宋体" w:cs="宋体"/>
                <w:bCs/>
                <w:color w:val="auto"/>
                <w:sz w:val="21"/>
                <w:szCs w:val="21"/>
                <w:highlight w:val="none"/>
                <w:lang w:val="en-US" w:eastAsia="zh-CN"/>
              </w:rPr>
              <w:t>为</w:t>
            </w:r>
            <w:r>
              <w:rPr>
                <w:rFonts w:hint="eastAsia" w:ascii="宋体" w:hAnsi="宋体" w:eastAsia="宋体" w:cs="宋体"/>
                <w:bCs/>
                <w:color w:val="auto"/>
                <w:sz w:val="21"/>
                <w:szCs w:val="21"/>
                <w:highlight w:val="none"/>
              </w:rPr>
              <w:t>2000mm*900mm</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＋5mm</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。投标人依据所投床构件产品的规格尺寸，参照采购人的床位整体参考图优化设计。</w:t>
            </w:r>
            <w:r>
              <w:rPr>
                <w:rFonts w:hint="eastAsia" w:ascii="宋体" w:hAnsi="宋体" w:eastAsia="宋体" w:cs="宋体"/>
                <w:b/>
                <w:bCs w:val="0"/>
                <w:color w:val="auto"/>
                <w:sz w:val="21"/>
                <w:szCs w:val="21"/>
                <w:highlight w:val="none"/>
              </w:rPr>
              <w:t>投标文件中提供设计图和效果图，设计图标注尺寸。</w:t>
            </w:r>
          </w:p>
          <w:p w14:paraId="72ECC75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■2.公寓床钢构件质量检测要求：床构件中的床立柱、床横（框）梁、床侧横梁（后拉杆）床板支撑管理化</w:t>
            </w:r>
            <w:r>
              <w:rPr>
                <w:rFonts w:hint="eastAsia" w:ascii="宋体" w:hAnsi="宋体" w:eastAsia="宋体" w:cs="宋体"/>
                <w:bCs/>
                <w:color w:val="auto"/>
                <w:sz w:val="21"/>
                <w:szCs w:val="21"/>
                <w:highlight w:val="none"/>
                <w:lang w:val="en-US" w:eastAsia="zh-CN"/>
              </w:rPr>
              <w:t>性能及有害物质限量</w:t>
            </w:r>
            <w:r>
              <w:rPr>
                <w:rFonts w:hint="eastAsia" w:ascii="宋体" w:hAnsi="宋体" w:eastAsia="宋体" w:cs="宋体"/>
                <w:bCs/>
                <w:color w:val="auto"/>
                <w:sz w:val="21"/>
                <w:szCs w:val="21"/>
                <w:highlight w:val="none"/>
              </w:rPr>
              <w:t>，可溶性铅≤0.5mg/kg、可溶性镉≤0.1mg/kg、可溶性铬≤0.1mg/kg、可溶性汞≤0.1mg/kg。</w:t>
            </w:r>
            <w:r>
              <w:rPr>
                <w:rFonts w:hint="eastAsia" w:ascii="宋体" w:hAnsi="宋体" w:eastAsia="宋体" w:cs="宋体"/>
                <w:b/>
                <w:bCs w:val="0"/>
                <w:color w:val="auto"/>
                <w:sz w:val="21"/>
                <w:szCs w:val="21"/>
                <w:highlight w:val="none"/>
              </w:rPr>
              <w:t>投标文件中提供投标人或生产厂家委托检验的第三方有权机构出具“CMA”</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rPr>
              <w:t>“CNAS”标识的产品检测报告扫描件（检测报告中产品名称不做限制，但须能体现其与参数要求一致</w:t>
            </w:r>
            <w:r>
              <w:rPr>
                <w:rFonts w:hint="eastAsia" w:ascii="宋体" w:hAnsi="宋体" w:eastAsia="宋体" w:cs="宋体"/>
                <w:b/>
                <w:bCs w:val="0"/>
                <w:color w:val="auto"/>
                <w:sz w:val="21"/>
                <w:szCs w:val="21"/>
                <w:highlight w:val="none"/>
                <w:lang w:val="en-US" w:eastAsia="zh-CN"/>
              </w:rPr>
              <w:t>或优于参数要求</w:t>
            </w:r>
            <w:r>
              <w:rPr>
                <w:rFonts w:hint="eastAsia" w:ascii="宋体" w:hAnsi="宋体" w:eastAsia="宋体" w:cs="宋体"/>
                <w:b/>
                <w:bCs w:val="0"/>
                <w:color w:val="auto"/>
                <w:sz w:val="21"/>
                <w:szCs w:val="21"/>
                <w:highlight w:val="none"/>
              </w:rPr>
              <w:t>）</w:t>
            </w:r>
            <w:r>
              <w:rPr>
                <w:rFonts w:hint="eastAsia" w:ascii="宋体" w:hAnsi="宋体" w:eastAsia="宋体" w:cs="宋体"/>
                <w:bCs/>
                <w:color w:val="auto"/>
                <w:sz w:val="21"/>
                <w:szCs w:val="21"/>
                <w:highlight w:val="none"/>
                <w:lang w:eastAsia="zh-CN"/>
              </w:rPr>
              <w:t>。</w:t>
            </w:r>
          </w:p>
          <w:p w14:paraId="43383C9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3.床立柱：采用冷轧钢材（板）成型。外表应美观、光滑、防撞，强度必须符合安全要求，构件外表理化处理必须符合环保及消防要求，圆口或异形口立柱内应布设≥2根加强筋，提高承重性和结构刚度。连接件与立柱齐平整体美观、牢固。钢构件壁厚≥1.2mm。立面成型后周长≥240mm。</w:t>
            </w:r>
            <w:r>
              <w:rPr>
                <w:rFonts w:hint="eastAsia" w:ascii="宋体" w:hAnsi="宋体" w:eastAsia="宋体" w:cs="宋体"/>
                <w:b/>
                <w:bCs w:val="0"/>
                <w:color w:val="auto"/>
                <w:sz w:val="21"/>
                <w:szCs w:val="21"/>
                <w:highlight w:val="none"/>
              </w:rPr>
              <w:t>投标文件中提供构件横截面实物图和设计图，设计图标注尺寸。</w:t>
            </w:r>
          </w:p>
          <w:p w14:paraId="64014BB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4.床立柱脚套：立柱上下端均采用ABS工程塑料套（塞）或其他新型材料的静音内塞，紧密结合,内塞长度≥150mm。立柱上方预留有满足蚊帐杆插孔设计，确保蚊帐杆稳定、牢固、耐久，封口严密。下方脚套具有防滑、防潮、减噪、耐久等功能。</w:t>
            </w:r>
            <w:r>
              <w:rPr>
                <w:rFonts w:hint="eastAsia" w:ascii="宋体" w:hAnsi="宋体" w:eastAsia="宋体" w:cs="宋体"/>
                <w:b/>
                <w:bCs w:val="0"/>
                <w:color w:val="auto"/>
                <w:sz w:val="21"/>
                <w:szCs w:val="21"/>
                <w:highlight w:val="none"/>
              </w:rPr>
              <w:t>投标文件中提供实物图。</w:t>
            </w:r>
          </w:p>
          <w:p w14:paraId="291DF3D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■5.床横（框）梁：采用冷轧钢材（板）成型。外表应美观、光滑、防撞，强度必须符合安全要求，构件外表理化处理必须符合环保及消防要求。矩形管口或</w:t>
            </w:r>
            <w:r>
              <w:rPr>
                <w:rFonts w:hint="eastAsia" w:ascii="宋体" w:hAnsi="宋体" w:eastAsia="宋体" w:cs="宋体"/>
                <w:bCs/>
                <w:color w:val="auto"/>
                <w:sz w:val="21"/>
                <w:szCs w:val="21"/>
                <w:highlight w:val="none"/>
                <w:lang w:eastAsia="zh-CN"/>
              </w:rPr>
              <w:t>异形</w:t>
            </w:r>
            <w:r>
              <w:rPr>
                <w:rFonts w:hint="eastAsia" w:ascii="宋体" w:hAnsi="宋体" w:eastAsia="宋体" w:cs="宋体"/>
                <w:bCs/>
                <w:color w:val="auto"/>
                <w:sz w:val="21"/>
                <w:szCs w:val="21"/>
                <w:highlight w:val="none"/>
              </w:rPr>
              <w:t>管口，内布设≥2条加强筋，提高承重性和结构刚度，材料厚度≥1.2mm，立面成型后周长≥210mm。</w:t>
            </w:r>
            <w:r>
              <w:rPr>
                <w:rFonts w:hint="eastAsia" w:ascii="宋体" w:hAnsi="宋体" w:eastAsia="宋体" w:cs="宋体"/>
                <w:b/>
                <w:bCs w:val="0"/>
                <w:color w:val="auto"/>
                <w:sz w:val="21"/>
                <w:szCs w:val="21"/>
                <w:highlight w:val="none"/>
              </w:rPr>
              <w:t>投标文件中提供构件横截面实物图和设计图，设计图标注尺寸。</w:t>
            </w:r>
          </w:p>
          <w:p w14:paraId="74EE52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6.床侧横梁（后拉杆）：采用冷轧钢材（板）成型。外表应美观、光滑、防撞，强度必须符合安全要求，构件外表理化处理必须符合环保及消防要求。矩形管口或异形管口，内布设≥2根加强筋，提高承重性和结构刚度，材料厚度≥1.2mm，立面成型后周长≥220mm。</w:t>
            </w:r>
            <w:r>
              <w:rPr>
                <w:rFonts w:hint="eastAsia" w:ascii="宋体" w:hAnsi="宋体" w:eastAsia="宋体" w:cs="宋体"/>
                <w:b/>
                <w:bCs w:val="0"/>
                <w:color w:val="auto"/>
                <w:sz w:val="21"/>
                <w:szCs w:val="21"/>
                <w:highlight w:val="none"/>
              </w:rPr>
              <w:t>投标文件中提供构件横截面实物图和设计图，设计图标注尺寸。</w:t>
            </w:r>
          </w:p>
          <w:p w14:paraId="108EEA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■7.床板支撑管：方管钢材，立面成型后周长≥100mm，厚度≥1.0mm，根数≥5根。</w:t>
            </w:r>
          </w:p>
          <w:p w14:paraId="065B3AA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■8.床挂件：经冲压一次成型钢材，材料厚度≥2.0mm。采用3个位置连接、防退，将框梁与立柱通过卡式连接，实现越用越紧，防止松动弹出。</w:t>
            </w:r>
            <w:r>
              <w:rPr>
                <w:rFonts w:hint="eastAsia" w:ascii="宋体" w:hAnsi="宋体" w:eastAsia="宋体" w:cs="宋体"/>
                <w:b/>
                <w:bCs w:val="0"/>
                <w:color w:val="auto"/>
                <w:sz w:val="21"/>
                <w:szCs w:val="21"/>
                <w:highlight w:val="none"/>
              </w:rPr>
              <w:t>投标文件中提供实物图片和设计图，设计图标注尺寸。</w:t>
            </w:r>
          </w:p>
          <w:p w14:paraId="37A14DA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■9.前护栏：圆弧形边缘，规格尺寸≥L1600mm×H350mm×W30mm，与床体连接稳固，确保护栏强度与刚性且四周无任何接缝和刃口。</w:t>
            </w:r>
            <w:r>
              <w:rPr>
                <w:rFonts w:hint="eastAsia" w:ascii="宋体" w:hAnsi="宋体" w:eastAsia="宋体" w:cs="宋体"/>
                <w:bCs/>
                <w:color w:val="auto"/>
                <w:sz w:val="21"/>
                <w:szCs w:val="21"/>
                <w:highlight w:val="none"/>
                <w:lang w:val="en-US" w:eastAsia="zh-CN"/>
              </w:rPr>
              <w:t>基材用E0级≥18mm多层实木板覆三聚氰胺饰面。护栏左右两端和上方带有整根直径≥ 28mm 的喷塑钢圆管，板材和圆管采用整体一次注塑成型工艺，护栏两端钢管件插入床横（框）梁，与床体连接稳固，确保护栏强度与刚性且四周无任何接缝和刃口。</w:t>
            </w:r>
            <w:r>
              <w:rPr>
                <w:rFonts w:hint="eastAsia" w:ascii="宋体" w:hAnsi="宋体" w:eastAsia="宋体" w:cs="宋体"/>
                <w:b/>
                <w:bCs w:val="0"/>
                <w:color w:val="auto"/>
                <w:sz w:val="21"/>
                <w:szCs w:val="21"/>
                <w:highlight w:val="none"/>
              </w:rPr>
              <w:t>投标文件中提供实物图和设计图，设计图标注尺寸。</w:t>
            </w:r>
          </w:p>
          <w:p w14:paraId="3D2CDEF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★10.床头板</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弧形边缘且成型床头靠背，厚度为≥18mm</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宽度</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900mm，</w:t>
            </w:r>
            <w:r>
              <w:rPr>
                <w:rFonts w:hint="eastAsia" w:ascii="宋体" w:hAnsi="宋体" w:eastAsia="宋体" w:cs="宋体"/>
                <w:bCs/>
                <w:color w:val="auto"/>
                <w:sz w:val="21"/>
                <w:szCs w:val="21"/>
                <w:highlight w:val="none"/>
              </w:rPr>
              <w:t>高度≥350mm。可用E</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级</w:t>
            </w:r>
            <w:r>
              <w:rPr>
                <w:rFonts w:hint="eastAsia" w:ascii="宋体" w:hAnsi="宋体" w:eastAsia="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中密度饰面板或环保聚乙烯等材质，不同工艺、质材而成型的产品，与床体连接稳固，确保护栏强度与刚性且四周无任何接缝和刃口。</w:t>
            </w:r>
            <w:r>
              <w:rPr>
                <w:rFonts w:hint="eastAsia" w:ascii="宋体" w:hAnsi="宋体" w:eastAsia="宋体" w:cs="宋体"/>
                <w:bCs/>
                <w:color w:val="auto"/>
                <w:sz w:val="21"/>
                <w:szCs w:val="21"/>
                <w:highlight w:val="none"/>
                <w:lang w:val="en-US" w:eastAsia="zh-CN"/>
              </w:rPr>
              <w:t>靠背设计需符合人体工程学的舒适全塑靠板，规格≥L500mm×W130mm×H45mm。</w:t>
            </w:r>
            <w:r>
              <w:rPr>
                <w:rFonts w:hint="eastAsia" w:ascii="宋体" w:hAnsi="宋体" w:eastAsia="宋体" w:cs="宋体"/>
                <w:b/>
                <w:bCs w:val="0"/>
                <w:color w:val="auto"/>
                <w:sz w:val="21"/>
                <w:szCs w:val="21"/>
                <w:highlight w:val="none"/>
              </w:rPr>
              <w:t>投标文件中提供实物图和设计图，设计图标注尺寸。</w:t>
            </w:r>
          </w:p>
          <w:p w14:paraId="412B318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床横梁与床立柱连接方式：采用卡扣式连接（无需螺栓），卡式连接挂件经拉伸成型为3个接触面并带3个挂齿，挂齿由导向段和锁紧段组成，床横梁与卡式连接挂件焊接为一个整体，连接部位为满焊。通过与卡式连接挂下压连接，实现受压紧密稳定。</w:t>
            </w:r>
          </w:p>
          <w:p w14:paraId="113AEE1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■12.蚊帐杆：采用≥φ20×1.5mm的圆管制作，插入立柱内长度≥150mm，构造图形同采购人提供的床位整体参考图相符，转角增加斜支撑</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确保杆件的稳定性、牢固性、耐久性。应与床立柱连接牢固、不松动。蚊帐杆帽采用PP一次成型（葫芦形）。</w:t>
            </w:r>
          </w:p>
          <w:p w14:paraId="652EC72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■13.床板：采用厚≥18mm杉木板，双面抛光。床板数≤8块，下方4条加强方木，横截面规格≥30mm×50mm杉木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铺板与床架内空尺寸匹配。鼓励使用新型材料，应确保强度、稳定性、耐久性。</w:t>
            </w:r>
          </w:p>
        </w:tc>
        <w:tc>
          <w:tcPr>
            <w:tcW w:w="490" w:type="pct"/>
            <w:vAlign w:val="center"/>
          </w:tcPr>
          <w:p w14:paraId="007D5475">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232</w:t>
            </w:r>
            <w:r>
              <w:rPr>
                <w:rFonts w:hint="eastAsia" w:ascii="宋体" w:hAnsi="宋体" w:eastAsia="宋体" w:cs="宋体"/>
                <w:color w:val="auto"/>
                <w:sz w:val="21"/>
                <w:szCs w:val="21"/>
                <w:highlight w:val="none"/>
              </w:rPr>
              <w:t>组</w:t>
            </w:r>
          </w:p>
        </w:tc>
        <w:tc>
          <w:tcPr>
            <w:tcW w:w="380" w:type="pct"/>
            <w:vAlign w:val="center"/>
          </w:tcPr>
          <w:p w14:paraId="6B5967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449" w:type="pct"/>
            <w:vAlign w:val="center"/>
          </w:tcPr>
          <w:p w14:paraId="6C130D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288" w:type="pct"/>
            <w:vAlign w:val="center"/>
          </w:tcPr>
          <w:p w14:paraId="735B02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4BE84A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95" w:type="pct"/>
            <w:vAlign w:val="center"/>
          </w:tcPr>
          <w:p w14:paraId="0590B9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床走梯</w:t>
            </w:r>
          </w:p>
        </w:tc>
        <w:tc>
          <w:tcPr>
            <w:tcW w:w="2493" w:type="pct"/>
            <w:vAlign w:val="center"/>
          </w:tcPr>
          <w:p w14:paraId="6DEEBE5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14.楼梯支架及梯柜：支架方管截面周长≥100mm，壁厚≥1.5mm，方管焊接而成，四个踏板。楼梯踏步两侧需满封，即用环保E0级及以上实木多层板，板材厚度≥18mm，固定在楼梯踏步两边前后立柱之间从而达到满封效果。</w:t>
            </w:r>
            <w:r>
              <w:rPr>
                <w:rFonts w:hint="eastAsia" w:ascii="宋体" w:hAnsi="宋体" w:eastAsia="宋体" w:cs="宋体"/>
                <w:b/>
                <w:bCs w:val="0"/>
                <w:color w:val="auto"/>
                <w:sz w:val="21"/>
                <w:szCs w:val="21"/>
                <w:highlight w:val="none"/>
              </w:rPr>
              <w:t>投标文件中提供设计图和效果图，标注尺寸。</w:t>
            </w:r>
          </w:p>
          <w:p w14:paraId="3ED90E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15.脚踏板采用≥1.0mm厚冷轧钢板制作，踏步板采用内嵌木板一体注塑成型，木板厚度不低于25mm厚E0级三聚氰胺贴面环保板材。踏步上安装有≥5个二次止退圆孔，用于内嵌安装直径≥15mm圆形聚丙烯夜光点，起到防滑、夜晚发光醒目作用。</w:t>
            </w:r>
            <w:r>
              <w:rPr>
                <w:rFonts w:hint="eastAsia" w:ascii="宋体" w:hAnsi="宋体" w:eastAsia="宋体" w:cs="宋体"/>
                <w:b/>
                <w:bCs w:val="0"/>
                <w:color w:val="auto"/>
                <w:sz w:val="21"/>
                <w:szCs w:val="21"/>
                <w:highlight w:val="none"/>
              </w:rPr>
              <w:t>投标人提供实物图片。</w:t>
            </w:r>
          </w:p>
          <w:p w14:paraId="4B568ED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16.上1层踏板下安装翻板式楼梯柜；下3层踏板下安装抽屉，采用优质冷轧钢板，一二层抽屉深度不小于500mm，第三层抽屉深度不小于400mm，采用优质阻尼静音导轨，钢板厚度不低于1.0mm，门上配有拉手或一次成形的拉手。抽屉轨道：采用优质阻尼缓冲结构，搭配三节静音导轨，导轨厚度不低于1.0mm，导轨内置防回弹锁定装置，闭合后可牢牢固定抽屉。</w:t>
            </w:r>
            <w:r>
              <w:rPr>
                <w:rFonts w:hint="eastAsia" w:ascii="宋体" w:hAnsi="宋体" w:eastAsia="宋体" w:cs="宋体"/>
                <w:b/>
                <w:bCs w:val="0"/>
                <w:color w:val="auto"/>
                <w:sz w:val="21"/>
                <w:szCs w:val="21"/>
                <w:highlight w:val="none"/>
              </w:rPr>
              <w:t>投标文件中提供实物图。</w:t>
            </w:r>
          </w:p>
          <w:p w14:paraId="1CE7835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17.爬梯与地面接触的钢管端口安装专用塑料套，起到防潮、降噪作用。</w:t>
            </w:r>
          </w:p>
        </w:tc>
        <w:tc>
          <w:tcPr>
            <w:tcW w:w="490" w:type="pct"/>
            <w:vAlign w:val="center"/>
          </w:tcPr>
          <w:p w14:paraId="6BE62890">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116组</w:t>
            </w:r>
          </w:p>
        </w:tc>
        <w:tc>
          <w:tcPr>
            <w:tcW w:w="380" w:type="pct"/>
            <w:vAlign w:val="center"/>
          </w:tcPr>
          <w:p w14:paraId="159C1C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49" w:type="pct"/>
            <w:vAlign w:val="center"/>
          </w:tcPr>
          <w:p w14:paraId="26FDAB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否</w:t>
            </w:r>
          </w:p>
        </w:tc>
        <w:tc>
          <w:tcPr>
            <w:tcW w:w="288" w:type="pct"/>
            <w:vAlign w:val="center"/>
          </w:tcPr>
          <w:p w14:paraId="0DD9C8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40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114C97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95" w:type="pct"/>
            <w:vAlign w:val="center"/>
          </w:tcPr>
          <w:p w14:paraId="25C64B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床下书桌柜组合</w:t>
            </w:r>
          </w:p>
        </w:tc>
        <w:tc>
          <w:tcPr>
            <w:tcW w:w="2493" w:type="pct"/>
            <w:vAlign w:val="center"/>
          </w:tcPr>
          <w:p w14:paraId="6E30824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18.床下木制家具应须镶嵌在床架立柱内，增加稳定性、提高美观度,其缝隙≤20mm。外观颜色配置方案最终由采购人决定。投标人依据所投床构件产品的规格尺寸和爬梯的规格尺寸，家具底部应采取防潮措施，参照招标人的床下家具参考图优化设计。</w:t>
            </w:r>
            <w:r>
              <w:rPr>
                <w:rFonts w:hint="eastAsia" w:ascii="宋体" w:hAnsi="宋体" w:eastAsia="宋体" w:cs="宋体"/>
                <w:b/>
                <w:bCs w:val="0"/>
                <w:color w:val="auto"/>
                <w:sz w:val="21"/>
                <w:szCs w:val="21"/>
                <w:highlight w:val="none"/>
              </w:rPr>
              <w:t>投标文件中提供设计图和效果图，设计图需标注尺寸。</w:t>
            </w:r>
          </w:p>
          <w:p w14:paraId="6E75AB4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19.床下家具所有板材均为环保E0级及以上实木多层板，桌面板厚≥25mm,其他板材厚度均需≥18mm，所有板材为环保E0级及以上实木多层板。实木多层板有害物质限量：甲醛释放量≤0.05mg/m³，含水率≤13%，胶合强度≥0.5MPa，表面耐干热≥4级，总挥发性有机化合物（TVOC）≤0.5mg/（m².h)。</w:t>
            </w:r>
            <w:r>
              <w:rPr>
                <w:rFonts w:hint="eastAsia" w:ascii="宋体" w:hAnsi="宋体" w:eastAsia="宋体" w:cs="宋体"/>
                <w:b/>
                <w:bCs w:val="0"/>
                <w:color w:val="auto"/>
                <w:sz w:val="21"/>
                <w:szCs w:val="21"/>
                <w:highlight w:val="none"/>
              </w:rPr>
              <w:t>投标文件中提供投标人或生产厂家委托检验的第三方有权机构出具“CMA”</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rPr>
              <w:t>“CNAS”标识产品检验报告扫描件（检测报告中产品名称不作限制，但须能体现其与参数要求一致或优于参数要求），投标文件中注明板材的品牌。</w:t>
            </w:r>
          </w:p>
          <w:p w14:paraId="0915CB8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衣柜：L800×W895×H1690mm（＋5mm），因投标人所用立柱形状规格不同，但应保证柜体宽度与两个床立柱紧密接触，确保床体的稳定性。衣柜必须在床头侧，每个衣柜上下两层设计，下层柜中间纵向隔板分隔，每个柜子两个挂衣杆。挂衣杆为不锈钢管材或专用挂衣杆件，杆件壁厚≥0.4mm。挂衣杆扣件必须与柜体连接牢固、耐久。上下柜均采用不锈钢明锁挂件。上柜门安装不锈钢插销。</w:t>
            </w:r>
          </w:p>
          <w:p w14:paraId="5C239F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■21.衣柜门拉手：柜门拉手采用高新技术一次模压一体注塑成型，四周边部一次注塑成型且无接缝，上下自带内凹式整体成型拉手设计且拉手在门上下正面的边角部等新型技术。</w:t>
            </w:r>
          </w:p>
          <w:p w14:paraId="76AF8A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■22.衣柜门铰链：上柜门板2个铰位，下柜门板3个铰位。</w:t>
            </w:r>
            <w:r>
              <w:rPr>
                <w:rFonts w:hint="eastAsia" w:ascii="宋体" w:hAnsi="宋体" w:eastAsia="宋体" w:cs="宋体"/>
                <w:b/>
                <w:bCs w:val="0"/>
                <w:color w:val="auto"/>
                <w:sz w:val="21"/>
                <w:szCs w:val="21"/>
                <w:highlight w:val="none"/>
              </w:rPr>
              <w:t>投标文件中提供铰链品牌和实物图。</w:t>
            </w:r>
          </w:p>
          <w:p w14:paraId="4C43A2C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学习桌及书架：L1200×H1690mm（＋5mm），因投标人所用立柱形状规格不同，应按床下家具参考图中的书桌、书架、鞋柜、侧柜进行设计和制造，保证书桌侧与爬梯满封封挡形成一体，使柜体与两个床立柱紧密接触，确保床体的稳定性。桌面内侧挡条高度≥80mm，档条板厚≥18mm的环保E0级及以上实木多层板制作。</w:t>
            </w:r>
          </w:p>
          <w:p w14:paraId="0F76D4E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24.防止柜体底部与地面接触受潮，在柜体底部必须加防潮设施。</w:t>
            </w:r>
          </w:p>
          <w:p w14:paraId="3E0BDA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■25.家具封边要求：环保PVC封边带，厚度≥1.2mm，胶粘剂高温热熔胶，密实牢固耐久，中间不得有接缝，密实、牢固、耐久。</w:t>
            </w:r>
          </w:p>
        </w:tc>
        <w:tc>
          <w:tcPr>
            <w:tcW w:w="490" w:type="pct"/>
            <w:vAlign w:val="center"/>
          </w:tcPr>
          <w:p w14:paraId="38014081">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232组</w:t>
            </w:r>
          </w:p>
        </w:tc>
        <w:tc>
          <w:tcPr>
            <w:tcW w:w="380" w:type="pct"/>
            <w:vAlign w:val="center"/>
          </w:tcPr>
          <w:p w14:paraId="66A3B5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49" w:type="pct"/>
            <w:vAlign w:val="center"/>
          </w:tcPr>
          <w:p w14:paraId="1687BD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否</w:t>
            </w:r>
          </w:p>
        </w:tc>
        <w:tc>
          <w:tcPr>
            <w:tcW w:w="288" w:type="pct"/>
            <w:vAlign w:val="center"/>
          </w:tcPr>
          <w:p w14:paraId="7D9520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425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395680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95" w:type="pct"/>
            <w:vAlign w:val="center"/>
          </w:tcPr>
          <w:p w14:paraId="74F7AF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储物柜</w:t>
            </w:r>
          </w:p>
        </w:tc>
        <w:tc>
          <w:tcPr>
            <w:tcW w:w="2493" w:type="pct"/>
            <w:vAlign w:val="center"/>
          </w:tcPr>
          <w:p w14:paraId="3BA17B5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■26.整体外形尺寸L900*W600*H2200mm（＋30mm），投标人必须响应采购方要求。外观颜色配置方案最终由采购人决定。投标人参照招标人的储物柜参考图优化设计。</w:t>
            </w:r>
            <w:r>
              <w:rPr>
                <w:rFonts w:hint="eastAsia" w:ascii="宋体" w:hAnsi="宋体" w:eastAsia="宋体" w:cs="宋体"/>
                <w:b/>
                <w:bCs w:val="0"/>
                <w:color w:val="auto"/>
                <w:sz w:val="21"/>
                <w:szCs w:val="21"/>
                <w:highlight w:val="none"/>
              </w:rPr>
              <w:t>投标文件中提供设计图和效果图，设计图需标注尺寸。</w:t>
            </w:r>
          </w:p>
          <w:p w14:paraId="460AF2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★27.储物柜所有板材均为环保E0级及以上实木多层板，板厚≥18mm。</w:t>
            </w:r>
            <w:r>
              <w:rPr>
                <w:rFonts w:hint="eastAsia" w:ascii="宋体" w:hAnsi="宋体" w:eastAsia="宋体" w:cs="宋体"/>
                <w:b/>
                <w:bCs w:val="0"/>
                <w:color w:val="auto"/>
                <w:sz w:val="21"/>
                <w:szCs w:val="21"/>
                <w:highlight w:val="none"/>
              </w:rPr>
              <w:t>投标文件中提供投标人或生产厂家委托检验的第三方有权机构出具“CMA”</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rPr>
              <w:t>“CNAS”标识产品（检测报告中产品名称不做限制，但须能体现其与参数要求一致）检验报告扫描件，</w:t>
            </w:r>
            <w:r>
              <w:rPr>
                <w:rFonts w:hint="eastAsia" w:ascii="宋体" w:hAnsi="宋体" w:eastAsia="宋体" w:cs="宋体"/>
                <w:bCs/>
                <w:color w:val="auto"/>
                <w:sz w:val="21"/>
                <w:szCs w:val="21"/>
                <w:highlight w:val="none"/>
              </w:rPr>
              <w:t>检验检测项目内容须能体现实木多层板：甲醛释放量≤0.05mg/m³，含水率≤13%，胶合强度≥0.5MPa，表面耐干热≥4级，总挥发性有机化合物（TVOC）≤0.5mg/（m².h)。</w:t>
            </w:r>
            <w:r>
              <w:rPr>
                <w:rFonts w:hint="eastAsia" w:ascii="宋体" w:hAnsi="宋体" w:eastAsia="宋体" w:cs="宋体"/>
                <w:b/>
                <w:bCs w:val="0"/>
                <w:color w:val="auto"/>
                <w:sz w:val="21"/>
                <w:szCs w:val="21"/>
                <w:highlight w:val="none"/>
              </w:rPr>
              <w:t>投标文件中注明板材的品牌。</w:t>
            </w:r>
          </w:p>
          <w:p w14:paraId="268617B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储物柜：分为上下两个独立储物柜，每个储物柜外观尺寸L900*W600*H1100mm（＋30mm），下柜体必须设置防潮设施。每个柜体分左右结构，中间由隔板分隔，左柜安装挂衣杆，右柜中间安装一横隔板。挂衣杆为不锈钢管材或专用挂衣杆件，杆件壁厚≥0.4mm。挂衣杆件扣件必须与柜体连接牢固、耐久。上下柜均采用不锈钢明锁挂件。</w:t>
            </w:r>
          </w:p>
          <w:p w14:paraId="755168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■29.储物柜拉手：柜门拉手可采用高新技术一次模压一体注塑成型，四周边部一次注塑成型且无接缝，上下自带内凹式整体成型拉手设计且拉手在门上下正面的边角部等新型技术。</w:t>
            </w:r>
          </w:p>
          <w:p w14:paraId="485A1BE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30.储物柜门铰链：每个柜门板为3个铰位。</w:t>
            </w:r>
            <w:r>
              <w:rPr>
                <w:rFonts w:hint="eastAsia" w:ascii="宋体" w:hAnsi="宋体" w:eastAsia="宋体" w:cs="宋体"/>
                <w:b/>
                <w:bCs w:val="0"/>
                <w:color w:val="auto"/>
                <w:sz w:val="21"/>
                <w:szCs w:val="21"/>
                <w:highlight w:val="none"/>
              </w:rPr>
              <w:t>投标文件中提供铰链品牌和实物图。</w:t>
            </w:r>
          </w:p>
          <w:p w14:paraId="58084DE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31.防止柜体底部与地面接触受潮，在柜体底部必须加防潮设施。</w:t>
            </w:r>
            <w:r>
              <w:rPr>
                <w:rFonts w:hint="eastAsia" w:ascii="宋体" w:hAnsi="宋体" w:eastAsia="宋体" w:cs="宋体"/>
                <w:b/>
                <w:bCs w:val="0"/>
                <w:color w:val="auto"/>
                <w:sz w:val="21"/>
                <w:szCs w:val="21"/>
                <w:highlight w:val="none"/>
              </w:rPr>
              <w:t>投标文件中提供实物图片。</w:t>
            </w:r>
          </w:p>
          <w:p w14:paraId="2967DD9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■32.家具封边要求：环保PVC封边带，厚度≥1.2mm，胶粘剂高温热熔胶，密实牢固耐久，中间不得有接缝，密实、牢固、耐久。</w:t>
            </w:r>
          </w:p>
        </w:tc>
        <w:tc>
          <w:tcPr>
            <w:tcW w:w="490" w:type="pct"/>
            <w:vAlign w:val="center"/>
          </w:tcPr>
          <w:p w14:paraId="0DC36687">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116组</w:t>
            </w:r>
          </w:p>
        </w:tc>
        <w:tc>
          <w:tcPr>
            <w:tcW w:w="380" w:type="pct"/>
            <w:vAlign w:val="center"/>
          </w:tcPr>
          <w:p w14:paraId="56E343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49" w:type="pct"/>
            <w:vAlign w:val="center"/>
          </w:tcPr>
          <w:p w14:paraId="034009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否</w:t>
            </w:r>
          </w:p>
        </w:tc>
        <w:tc>
          <w:tcPr>
            <w:tcW w:w="288" w:type="pct"/>
            <w:vAlign w:val="center"/>
          </w:tcPr>
          <w:p w14:paraId="4C647C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r w14:paraId="5A18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2CF66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95" w:type="pct"/>
            <w:vAlign w:val="center"/>
          </w:tcPr>
          <w:p w14:paraId="68F656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方凳</w:t>
            </w:r>
          </w:p>
        </w:tc>
        <w:tc>
          <w:tcPr>
            <w:tcW w:w="2493" w:type="pct"/>
            <w:vAlign w:val="center"/>
          </w:tcPr>
          <w:p w14:paraId="4D13EC1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.外形尺寸</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L360mm*W260mm*H450mm</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方凳的外观尺寸长、宽、高不得负偏差。</w:t>
            </w:r>
            <w:r>
              <w:rPr>
                <w:rFonts w:hint="eastAsia" w:ascii="宋体" w:hAnsi="宋体" w:eastAsia="宋体" w:cs="宋体"/>
                <w:bCs/>
                <w:color w:val="auto"/>
                <w:sz w:val="21"/>
                <w:szCs w:val="21"/>
                <w:highlight w:val="none"/>
              </w:rPr>
              <w:t>颜色由采购人选定。</w:t>
            </w:r>
            <w:r>
              <w:rPr>
                <w:rFonts w:hint="eastAsia" w:ascii="宋体" w:hAnsi="宋体" w:eastAsia="宋体" w:cs="宋体"/>
                <w:b/>
                <w:bCs w:val="0"/>
                <w:color w:val="auto"/>
                <w:sz w:val="21"/>
                <w:szCs w:val="21"/>
                <w:highlight w:val="none"/>
              </w:rPr>
              <w:t>投标文件中提供设计图和效果图。</w:t>
            </w:r>
          </w:p>
          <w:p w14:paraId="0E4B787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.材质：方管。横截面长≥25mm、宽≥25mm，壁厚≥1.2mm。</w:t>
            </w:r>
          </w:p>
          <w:p w14:paraId="697055E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.焊接及工艺要求：CO2保护焊，5006镀铜焊丝，一级；无灰渣、气孔、焊瘤；无脱焊、虚焊、焊穿；精细打磨，光洁平整。</w:t>
            </w:r>
          </w:p>
          <w:p w14:paraId="7A87531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.涂装：磷化、钝化、环氧聚酯塑粉高温静电喷涂。</w:t>
            </w:r>
          </w:p>
          <w:p w14:paraId="1912B4D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.座板：采用E</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级</w:t>
            </w:r>
            <w:r>
              <w:rPr>
                <w:rFonts w:hint="eastAsia" w:ascii="宋体" w:hAnsi="宋体" w:eastAsia="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环保实木多层板，板厚≥18mm。座板四周圆角。</w:t>
            </w:r>
            <w:r>
              <w:rPr>
                <w:rFonts w:hint="eastAsia" w:ascii="宋体" w:hAnsi="宋体" w:eastAsia="宋体" w:cs="宋体"/>
                <w:b/>
                <w:bCs w:val="0"/>
                <w:color w:val="auto"/>
                <w:sz w:val="21"/>
                <w:szCs w:val="21"/>
                <w:highlight w:val="none"/>
              </w:rPr>
              <w:t>投标文件中注明板材品牌。</w:t>
            </w:r>
          </w:p>
          <w:p w14:paraId="0F110B8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.连接件：不锈钢自攻螺丝。</w:t>
            </w:r>
          </w:p>
          <w:p w14:paraId="2D2944F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39</w:t>
            </w:r>
            <w:r>
              <w:rPr>
                <w:rFonts w:hint="eastAsia" w:ascii="宋体" w:hAnsi="宋体" w:eastAsia="宋体" w:cs="宋体"/>
                <w:bCs/>
                <w:color w:val="auto"/>
                <w:sz w:val="21"/>
                <w:szCs w:val="21"/>
                <w:highlight w:val="none"/>
              </w:rPr>
              <w:t>.方凳脚套：安装防滑、降噪脚套，确保其耐久性、安全性。</w:t>
            </w:r>
            <w:r>
              <w:rPr>
                <w:rFonts w:hint="eastAsia" w:ascii="宋体" w:hAnsi="宋体" w:eastAsia="宋体" w:cs="宋体"/>
                <w:b/>
                <w:bCs w:val="0"/>
                <w:color w:val="auto"/>
                <w:sz w:val="21"/>
                <w:szCs w:val="21"/>
                <w:highlight w:val="none"/>
              </w:rPr>
              <w:t>投标文件中提供实物图片。</w:t>
            </w:r>
          </w:p>
        </w:tc>
        <w:tc>
          <w:tcPr>
            <w:tcW w:w="490" w:type="pct"/>
            <w:vAlign w:val="center"/>
          </w:tcPr>
          <w:p w14:paraId="173D3B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232张</w:t>
            </w:r>
          </w:p>
        </w:tc>
        <w:tc>
          <w:tcPr>
            <w:tcW w:w="380" w:type="pct"/>
            <w:vAlign w:val="center"/>
          </w:tcPr>
          <w:p w14:paraId="3BD027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449" w:type="pct"/>
            <w:vAlign w:val="center"/>
          </w:tcPr>
          <w:p w14:paraId="0898C7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否</w:t>
            </w:r>
          </w:p>
        </w:tc>
        <w:tc>
          <w:tcPr>
            <w:tcW w:w="288" w:type="pct"/>
            <w:vAlign w:val="center"/>
          </w:tcPr>
          <w:p w14:paraId="542408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p>
        </w:tc>
      </w:tr>
    </w:tbl>
    <w:p w14:paraId="45CB468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b/>
          <w:bCs w:val="0"/>
          <w:color w:val="auto"/>
          <w:sz w:val="21"/>
          <w:szCs w:val="21"/>
          <w:highlight w:val="none"/>
          <w:lang w:eastAsia="zh-CN"/>
        </w:rPr>
      </w:pPr>
      <w:bookmarkStart w:id="38" w:name="_Toc7421"/>
      <w:bookmarkStart w:id="39" w:name="_Toc4843"/>
      <w:r>
        <w:rPr>
          <w:rFonts w:hint="eastAsia" w:ascii="宋体" w:hAnsi="宋体" w:eastAsia="宋体"/>
          <w:b/>
          <w:bCs w:val="0"/>
          <w:color w:val="auto"/>
          <w:sz w:val="21"/>
          <w:szCs w:val="21"/>
          <w:highlight w:val="none"/>
          <w:lang w:val="en-US" w:eastAsia="zh-CN"/>
        </w:rPr>
        <w:t>注：1.</w:t>
      </w:r>
      <w:r>
        <w:rPr>
          <w:rFonts w:hint="eastAsia" w:ascii="宋体" w:hAnsi="宋体" w:eastAsia="宋体"/>
          <w:b/>
          <w:bCs w:val="0"/>
          <w:color w:val="auto"/>
          <w:sz w:val="21"/>
          <w:szCs w:val="21"/>
          <w:highlight w:val="none"/>
        </w:rPr>
        <w:t>参考示意图如与招标文件技术需求中的描述不一致的，以招标文件技术参数及要求中的描述为准。带★项参数及技术标准，不得有负偏差，否则视为不响应招标文件技术要求，按无效标处理</w:t>
      </w:r>
      <w:r>
        <w:rPr>
          <w:rFonts w:hint="eastAsia" w:ascii="宋体" w:hAnsi="宋体" w:eastAsia="宋体"/>
          <w:b/>
          <w:bCs w:val="0"/>
          <w:color w:val="auto"/>
          <w:sz w:val="21"/>
          <w:szCs w:val="21"/>
          <w:highlight w:val="none"/>
          <w:lang w:eastAsia="zh-CN"/>
        </w:rPr>
        <w:t>。</w:t>
      </w:r>
    </w:p>
    <w:p w14:paraId="7C18449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val="0"/>
          <w:color w:val="auto"/>
          <w:sz w:val="21"/>
          <w:szCs w:val="21"/>
          <w:highlight w:val="none"/>
          <w:lang w:val="en-US" w:eastAsia="zh-CN"/>
        </w:rPr>
        <w:t>2.合同签订且满足施工条件后5个日历天内，中标人按照招投标文件做一套样品供采购人审核，供应商提供不少于3种家具颜色供采购人选取。</w:t>
      </w:r>
    </w:p>
    <w:p w14:paraId="316E89EA">
      <w:pPr>
        <w:spacing w:line="360" w:lineRule="auto"/>
        <w:ind w:firstLine="437"/>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三、需求概况</w:t>
      </w:r>
    </w:p>
    <w:p w14:paraId="38DD5792">
      <w:pPr>
        <w:spacing w:line="360" w:lineRule="auto"/>
        <w:ind w:firstLine="437"/>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1.项目概况：</w:t>
      </w:r>
    </w:p>
    <w:p w14:paraId="0CFF2011">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1"/>
          <w:szCs w:val="21"/>
          <w:highlight w:val="none"/>
        </w:rPr>
        <w:t>本项目位于滁州市南谯区会峰西路1号（会峰校区），</w:t>
      </w:r>
      <w:r>
        <w:rPr>
          <w:rFonts w:hint="eastAsia" w:ascii="宋体" w:hAnsi="宋体" w:eastAsia="宋体"/>
          <w:bCs/>
          <w:color w:val="auto"/>
          <w:sz w:val="21"/>
          <w:szCs w:val="21"/>
          <w:highlight w:val="none"/>
          <w:lang w:val="en-US" w:eastAsia="zh-CN"/>
        </w:rPr>
        <w:t>学生宿舍15、16号楼一楼共一层</w:t>
      </w:r>
      <w:r>
        <w:rPr>
          <w:rFonts w:hint="eastAsia" w:ascii="宋体" w:hAnsi="宋体" w:eastAsia="宋体"/>
          <w:bCs/>
          <w:color w:val="auto"/>
          <w:sz w:val="21"/>
          <w:szCs w:val="21"/>
          <w:highlight w:val="none"/>
        </w:rPr>
        <w:t>，四人间</w:t>
      </w:r>
      <w:r>
        <w:rPr>
          <w:rFonts w:hint="eastAsia" w:ascii="宋体" w:hAnsi="宋体" w:eastAsia="宋体"/>
          <w:bCs/>
          <w:color w:val="auto"/>
          <w:sz w:val="21"/>
          <w:szCs w:val="21"/>
          <w:highlight w:val="none"/>
          <w:lang w:val="en-US" w:eastAsia="zh-CN"/>
        </w:rPr>
        <w:t>58</w:t>
      </w:r>
      <w:r>
        <w:rPr>
          <w:rFonts w:hint="eastAsia" w:ascii="宋体" w:hAnsi="宋体" w:eastAsia="宋体"/>
          <w:bCs/>
          <w:color w:val="auto"/>
          <w:sz w:val="21"/>
          <w:szCs w:val="21"/>
          <w:highlight w:val="none"/>
        </w:rPr>
        <w:t>间，入住学生数为</w:t>
      </w:r>
      <w:r>
        <w:rPr>
          <w:rFonts w:hint="eastAsia" w:ascii="宋体" w:hAnsi="宋体" w:eastAsia="宋体"/>
          <w:bCs/>
          <w:color w:val="auto"/>
          <w:sz w:val="21"/>
          <w:szCs w:val="21"/>
          <w:highlight w:val="none"/>
          <w:lang w:val="en-US" w:eastAsia="zh-CN"/>
        </w:rPr>
        <w:t>232</w:t>
      </w:r>
      <w:r>
        <w:rPr>
          <w:rFonts w:hint="eastAsia" w:ascii="宋体" w:hAnsi="宋体" w:eastAsia="宋体"/>
          <w:bCs/>
          <w:color w:val="auto"/>
          <w:sz w:val="21"/>
          <w:szCs w:val="21"/>
          <w:highlight w:val="none"/>
        </w:rPr>
        <w:t>人。室内家具按照一生一床一椅一书桌一储物柜标准配置。上床下书桌</w:t>
      </w:r>
      <w:r>
        <w:rPr>
          <w:rFonts w:hint="eastAsia" w:ascii="宋体" w:hAnsi="宋体" w:eastAsia="宋体"/>
          <w:bCs/>
          <w:color w:val="auto"/>
          <w:sz w:val="21"/>
          <w:szCs w:val="21"/>
          <w:highlight w:val="none"/>
          <w:lang w:val="en-US" w:eastAsia="zh-CN"/>
        </w:rPr>
        <w:t>柜</w:t>
      </w:r>
      <w:r>
        <w:rPr>
          <w:rFonts w:hint="eastAsia" w:ascii="宋体" w:hAnsi="宋体" w:eastAsia="宋体"/>
          <w:bCs/>
          <w:color w:val="auto"/>
          <w:sz w:val="21"/>
          <w:szCs w:val="21"/>
          <w:highlight w:val="none"/>
        </w:rPr>
        <w:t>，钢制床，实木多层板家具</w:t>
      </w:r>
      <w:r>
        <w:rPr>
          <w:rFonts w:hint="eastAsia" w:ascii="宋体" w:hAnsi="宋体" w:eastAsia="宋体"/>
          <w:bCs/>
          <w:color w:val="auto"/>
          <w:sz w:val="21"/>
          <w:szCs w:val="21"/>
          <w:highlight w:val="none"/>
          <w:lang w:val="en-US" w:eastAsia="zh-CN"/>
        </w:rPr>
        <w:t>。</w:t>
      </w:r>
    </w:p>
    <w:p w14:paraId="6140E2FB">
      <w:pPr>
        <w:spacing w:line="360" w:lineRule="auto"/>
        <w:ind w:firstLine="437"/>
        <w:jc w:val="center"/>
        <w:outlineLvl w:val="1"/>
        <w:rPr>
          <w:rFonts w:hint="eastAsia" w:ascii="宋体" w:hAnsi="宋体" w:eastAsia="宋体"/>
          <w:b/>
          <w:bCs/>
          <w:color w:val="auto"/>
          <w:sz w:val="24"/>
          <w:szCs w:val="18"/>
          <w:highlight w:val="none"/>
          <w:lang w:val="en-US" w:eastAsia="zh-CN"/>
        </w:rPr>
      </w:pPr>
      <w:r>
        <w:rPr>
          <w:rFonts w:hint="eastAsia" w:ascii="方正仿宋_GB2312" w:hAnsi="方正仿宋_GB2312" w:eastAsia="方正仿宋_GB2312" w:cs="方正仿宋_GB2312"/>
          <w:color w:val="auto"/>
          <w:sz w:val="32"/>
          <w:szCs w:val="32"/>
          <w:highlight w:val="none"/>
          <w:lang w:eastAsia="zh-CN"/>
        </w:rPr>
        <w:drawing>
          <wp:inline distT="0" distB="0" distL="114300" distR="114300">
            <wp:extent cx="5882640" cy="3558540"/>
            <wp:effectExtent l="0" t="0" r="3810" b="3810"/>
            <wp:docPr id="3" name="图片 3" descr="6417d350dc7b1a8105d9d04165bf35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17d350dc7b1a8105d9d04165bf351c"/>
                    <pic:cNvPicPr>
                      <a:picLocks noChangeAspect="1"/>
                    </pic:cNvPicPr>
                  </pic:nvPicPr>
                  <pic:blipFill>
                    <a:blip r:embed="rId6"/>
                    <a:stretch>
                      <a:fillRect/>
                    </a:stretch>
                  </pic:blipFill>
                  <pic:spPr>
                    <a:xfrm>
                      <a:off x="0" y="0"/>
                      <a:ext cx="5882640" cy="3558540"/>
                    </a:xfrm>
                    <a:prstGeom prst="rect">
                      <a:avLst/>
                    </a:prstGeom>
                  </pic:spPr>
                </pic:pic>
              </a:graphicData>
            </a:graphic>
          </wp:inline>
        </w:drawing>
      </w:r>
    </w:p>
    <w:p w14:paraId="58ACE214">
      <w:pPr>
        <w:pStyle w:val="2"/>
        <w:ind w:firstLine="2530" w:firstLineChars="900"/>
        <w:jc w:val="both"/>
        <w:rPr>
          <w:rFonts w:hint="default" w:ascii="宋体" w:hAnsi="宋体" w:eastAsia="宋体" w:cs="宋体"/>
          <w:b/>
          <w:bCs/>
          <w:color w:val="auto"/>
          <w:kern w:val="2"/>
          <w:sz w:val="28"/>
          <w:szCs w:val="28"/>
          <w:highlight w:val="none"/>
          <w:u w:val="none"/>
          <w:lang w:val="en-US" w:eastAsia="zh-CN" w:bidi="ar-SA"/>
        </w:rPr>
      </w:pPr>
      <w:r>
        <w:rPr>
          <w:rFonts w:hint="eastAsia" w:ascii="宋体" w:hAnsi="宋体" w:eastAsia="宋体" w:cs="宋体"/>
          <w:b/>
          <w:bCs/>
          <w:color w:val="auto"/>
          <w:kern w:val="2"/>
          <w:sz w:val="28"/>
          <w:szCs w:val="28"/>
          <w:highlight w:val="none"/>
          <w:u w:val="none"/>
          <w:lang w:val="en-US" w:eastAsia="zh-CN" w:bidi="ar-SA"/>
        </w:rPr>
        <w:t>室内分布平面图</w:t>
      </w:r>
    </w:p>
    <w:p w14:paraId="7B0EF873">
      <w:pPr>
        <w:spacing w:line="360" w:lineRule="auto"/>
        <w:ind w:firstLine="437"/>
        <w:jc w:val="left"/>
        <w:outlineLvl w:val="1"/>
        <w:rPr>
          <w:rFonts w:hint="eastAsia" w:ascii="宋体" w:hAnsi="宋体" w:eastAsia="宋体"/>
          <w:b/>
          <w:bCs/>
          <w:color w:val="auto"/>
          <w:sz w:val="24"/>
          <w:szCs w:val="18"/>
          <w:highlight w:val="none"/>
          <w:lang w:val="en-US" w:eastAsia="zh-CN"/>
        </w:rPr>
      </w:pPr>
      <w:r>
        <w:rPr>
          <w:color w:val="auto"/>
          <w:highlight w:val="none"/>
        </w:rPr>
        <w:drawing>
          <wp:inline distT="0" distB="0" distL="114300" distR="114300">
            <wp:extent cx="5881370" cy="2677160"/>
            <wp:effectExtent l="0" t="0" r="5080" b="889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7"/>
                    <a:stretch>
                      <a:fillRect/>
                    </a:stretch>
                  </pic:blipFill>
                  <pic:spPr>
                    <a:xfrm>
                      <a:off x="0" y="0"/>
                      <a:ext cx="5881370" cy="2677160"/>
                    </a:xfrm>
                    <a:prstGeom prst="rect">
                      <a:avLst/>
                    </a:prstGeom>
                    <a:noFill/>
                    <a:ln>
                      <a:noFill/>
                    </a:ln>
                  </pic:spPr>
                </pic:pic>
              </a:graphicData>
            </a:graphic>
          </wp:inline>
        </w:drawing>
      </w:r>
    </w:p>
    <w:p w14:paraId="63BE3E7B">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u w:val="none"/>
        </w:rPr>
        <w:t>家具配置效果图（</w:t>
      </w:r>
      <w:r>
        <w:rPr>
          <w:rFonts w:hint="eastAsia" w:ascii="宋体" w:hAnsi="宋体" w:eastAsia="宋体" w:cs="宋体"/>
          <w:b/>
          <w:bCs/>
          <w:color w:val="auto"/>
          <w:sz w:val="28"/>
          <w:szCs w:val="28"/>
          <w:highlight w:val="none"/>
          <w:u w:val="none"/>
          <w:lang w:val="en-US" w:eastAsia="zh-CN"/>
        </w:rPr>
        <w:t>参考图</w:t>
      </w:r>
      <w:r>
        <w:rPr>
          <w:rFonts w:hint="eastAsia" w:ascii="宋体" w:hAnsi="宋体" w:eastAsia="宋体" w:cs="宋体"/>
          <w:b/>
          <w:bCs/>
          <w:color w:val="auto"/>
          <w:sz w:val="28"/>
          <w:szCs w:val="28"/>
          <w:highlight w:val="none"/>
          <w:u w:val="none"/>
        </w:rPr>
        <w:t>）</w:t>
      </w:r>
    </w:p>
    <w:p w14:paraId="5893923E">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2.各货物参考图</w:t>
      </w:r>
    </w:p>
    <w:tbl>
      <w:tblPr>
        <w:tblStyle w:val="28"/>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695"/>
        <w:gridCol w:w="7710"/>
      </w:tblGrid>
      <w:tr w14:paraId="0EC2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14:paraId="5F104048">
            <w:pPr>
              <w:spacing w:line="5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szCs w:val="21"/>
                <w:highlight w:val="none"/>
              </w:rPr>
              <w:t>序号</w:t>
            </w:r>
          </w:p>
        </w:tc>
        <w:tc>
          <w:tcPr>
            <w:tcW w:w="1695" w:type="dxa"/>
            <w:noWrap w:val="0"/>
            <w:vAlign w:val="center"/>
          </w:tcPr>
          <w:p w14:paraId="4143C6A6">
            <w:pPr>
              <w:spacing w:line="5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szCs w:val="21"/>
                <w:highlight w:val="none"/>
              </w:rPr>
              <w:t>货物名称</w:t>
            </w:r>
          </w:p>
        </w:tc>
        <w:tc>
          <w:tcPr>
            <w:tcW w:w="7710" w:type="dxa"/>
            <w:noWrap w:val="0"/>
            <w:vAlign w:val="top"/>
          </w:tcPr>
          <w:p w14:paraId="1EE9B963">
            <w:pP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参考图</w:t>
            </w:r>
          </w:p>
        </w:tc>
      </w:tr>
      <w:tr w14:paraId="38C2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3" w:hRule="atLeast"/>
          <w:jc w:val="center"/>
        </w:trPr>
        <w:tc>
          <w:tcPr>
            <w:tcW w:w="830" w:type="dxa"/>
            <w:noWrap w:val="0"/>
            <w:vAlign w:val="center"/>
          </w:tcPr>
          <w:p w14:paraId="32A77A6C">
            <w:pPr>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1</w:t>
            </w:r>
          </w:p>
        </w:tc>
        <w:tc>
          <w:tcPr>
            <w:tcW w:w="1695" w:type="dxa"/>
            <w:noWrap w:val="0"/>
            <w:vAlign w:val="center"/>
          </w:tcPr>
          <w:p w14:paraId="77DD5B24">
            <w:pPr>
              <w:widowControl/>
              <w:spacing w:line="5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公寓床</w:t>
            </w:r>
          </w:p>
        </w:tc>
        <w:tc>
          <w:tcPr>
            <w:tcW w:w="7710" w:type="dxa"/>
            <w:noWrap w:val="0"/>
            <w:vAlign w:val="top"/>
          </w:tcPr>
          <w:p w14:paraId="0D15DF51">
            <w:pPr>
              <w:tabs>
                <w:tab w:val="left" w:pos="840"/>
              </w:tabs>
              <w:rPr>
                <w:rFonts w:hint="eastAsia"/>
                <w:color w:val="auto"/>
                <w:highlight w:val="none"/>
                <w:lang w:val="en-US" w:eastAsia="zh-CN"/>
              </w:rPr>
            </w:pPr>
          </w:p>
          <w:p w14:paraId="1EB4A5D7">
            <w:pPr>
              <w:pStyle w:val="2"/>
              <w:ind w:left="0" w:leftChars="0" w:firstLine="0" w:firstLineChars="0"/>
              <w:rPr>
                <w:rFonts w:hint="default"/>
                <w:color w:val="auto"/>
                <w:highlight w:val="none"/>
                <w:lang w:val="en-US" w:eastAsia="zh-CN"/>
              </w:rPr>
            </w:pPr>
            <w:r>
              <w:rPr>
                <w:rFonts w:hint="eastAsia"/>
                <w:color w:val="auto"/>
                <w:highlight w:val="none"/>
                <w:lang w:val="en-US" w:eastAsia="zh-CN"/>
              </w:rPr>
              <w:t>床位整体参考图                             前护栏参考图</w:t>
            </w:r>
          </w:p>
          <w:p w14:paraId="43909F0A">
            <w:pPr>
              <w:pStyle w:val="2"/>
              <w:ind w:left="0" w:leftChars="0" w:firstLine="0" w:firstLineChars="0"/>
              <w:rPr>
                <w:rFonts w:hint="eastAsia"/>
                <w:color w:val="auto"/>
                <w:highlight w:val="none"/>
                <w:lang w:val="en-US" w:eastAsia="zh-CN"/>
              </w:rPr>
            </w:pPr>
            <w:r>
              <w:rPr>
                <w:color w:val="auto"/>
                <w:sz w:val="24"/>
                <w:highlight w:val="none"/>
              </w:rPr>
              <w:drawing>
                <wp:inline distT="0" distB="0" distL="114300" distR="114300">
                  <wp:extent cx="2273935" cy="1600835"/>
                  <wp:effectExtent l="0" t="0" r="12065" b="18415"/>
                  <wp:docPr id="17" name="图片 17" descr="0591179672a431ca9ed87e7e373795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591179672a431ca9ed87e7e373795b5"/>
                          <pic:cNvPicPr>
                            <a:picLocks noChangeAspect="1"/>
                          </pic:cNvPicPr>
                        </pic:nvPicPr>
                        <pic:blipFill>
                          <a:blip r:embed="rId8"/>
                          <a:stretch>
                            <a:fillRect/>
                          </a:stretch>
                        </pic:blipFill>
                        <pic:spPr>
                          <a:xfrm>
                            <a:off x="0" y="0"/>
                            <a:ext cx="2273935" cy="1600835"/>
                          </a:xfrm>
                          <a:prstGeom prst="rect">
                            <a:avLst/>
                          </a:prstGeom>
                        </pic:spPr>
                      </pic:pic>
                    </a:graphicData>
                  </a:graphic>
                </wp:inline>
              </w:drawing>
            </w:r>
            <w:r>
              <w:rPr>
                <w:rFonts w:hint="eastAsia" w:ascii="宋体" w:hAnsi="宋体" w:eastAsia="宋体" w:cs="宋体"/>
                <w:bCs/>
                <w:color w:val="auto"/>
                <w:spacing w:val="-20"/>
                <w:kern w:val="0"/>
                <w:sz w:val="24"/>
                <w:szCs w:val="24"/>
                <w:highlight w:val="none"/>
                <w:lang w:val="en-US" w:eastAsia="zh-CN" w:bidi="ar-SA"/>
              </w:rPr>
              <w:drawing>
                <wp:inline distT="0" distB="0" distL="114300" distR="114300">
                  <wp:extent cx="2344420" cy="774700"/>
                  <wp:effectExtent l="0" t="0" r="17780" b="6350"/>
                  <wp:docPr id="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0"/>
                          <pic:cNvPicPr>
                            <a:picLocks noChangeAspect="1"/>
                          </pic:cNvPicPr>
                        </pic:nvPicPr>
                        <pic:blipFill>
                          <a:blip r:embed="rId9"/>
                          <a:stretch>
                            <a:fillRect/>
                          </a:stretch>
                        </pic:blipFill>
                        <pic:spPr>
                          <a:xfrm>
                            <a:off x="0" y="0"/>
                            <a:ext cx="2344420" cy="774700"/>
                          </a:xfrm>
                          <a:prstGeom prst="rect">
                            <a:avLst/>
                          </a:prstGeom>
                          <a:noFill/>
                          <a:ln>
                            <a:noFill/>
                          </a:ln>
                        </pic:spPr>
                      </pic:pic>
                    </a:graphicData>
                  </a:graphic>
                </wp:inline>
              </w:drawing>
            </w:r>
            <w:r>
              <w:rPr>
                <w:rFonts w:hint="eastAsia"/>
                <w:color w:val="auto"/>
                <w:highlight w:val="none"/>
                <w:lang w:val="en-US" w:eastAsia="zh-CN"/>
              </w:rPr>
              <w:t xml:space="preserve">                          </w:t>
            </w:r>
          </w:p>
        </w:tc>
      </w:tr>
      <w:tr w14:paraId="6936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830" w:type="dxa"/>
            <w:noWrap w:val="0"/>
            <w:vAlign w:val="center"/>
          </w:tcPr>
          <w:p w14:paraId="6047659C">
            <w:pPr>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2</w:t>
            </w:r>
          </w:p>
        </w:tc>
        <w:tc>
          <w:tcPr>
            <w:tcW w:w="1695" w:type="dxa"/>
            <w:noWrap w:val="0"/>
            <w:vAlign w:val="center"/>
          </w:tcPr>
          <w:p w14:paraId="21D7899D">
            <w:pPr>
              <w:widowControl/>
              <w:spacing w:line="5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床走梯</w:t>
            </w:r>
          </w:p>
        </w:tc>
        <w:tc>
          <w:tcPr>
            <w:tcW w:w="7710" w:type="dxa"/>
            <w:noWrap w:val="0"/>
            <w:vAlign w:val="top"/>
          </w:tcPr>
          <w:p w14:paraId="193730B3">
            <w:pPr>
              <w:jc w:val="both"/>
              <w:rPr>
                <w:rFonts w:hint="eastAsia" w:ascii="宋体" w:hAnsi="宋体" w:eastAsia="宋体" w:cs="宋体"/>
                <w:b/>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32"/>
                <w:szCs w:val="32"/>
                <w:highlight w:val="none"/>
                <w:vertAlign w:val="baseline"/>
                <w:lang w:eastAsia="zh-CN"/>
              </w:rPr>
              <w:drawing>
                <wp:inline distT="0" distB="0" distL="114300" distR="114300">
                  <wp:extent cx="2279650" cy="1504315"/>
                  <wp:effectExtent l="0" t="0" r="6350" b="635"/>
                  <wp:docPr id="4" name="图片 4" descr="30d1d234cf732b3bb374274e720fe9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0d1d234cf732b3bb374274e720fe9f1"/>
                          <pic:cNvPicPr>
                            <a:picLocks noChangeAspect="1"/>
                          </pic:cNvPicPr>
                        </pic:nvPicPr>
                        <pic:blipFill>
                          <a:blip r:embed="rId10"/>
                          <a:stretch>
                            <a:fillRect/>
                          </a:stretch>
                        </pic:blipFill>
                        <pic:spPr>
                          <a:xfrm>
                            <a:off x="0" y="0"/>
                            <a:ext cx="2279650" cy="1504315"/>
                          </a:xfrm>
                          <a:prstGeom prst="rect">
                            <a:avLst/>
                          </a:prstGeom>
                        </pic:spPr>
                      </pic:pic>
                    </a:graphicData>
                  </a:graphic>
                </wp:inline>
              </w:drawing>
            </w:r>
          </w:p>
        </w:tc>
      </w:tr>
      <w:tr w14:paraId="3660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830" w:type="dxa"/>
            <w:noWrap w:val="0"/>
            <w:vAlign w:val="center"/>
          </w:tcPr>
          <w:p w14:paraId="3AC6AB0E">
            <w:pPr>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3</w:t>
            </w:r>
          </w:p>
        </w:tc>
        <w:tc>
          <w:tcPr>
            <w:tcW w:w="1695" w:type="dxa"/>
            <w:noWrap w:val="0"/>
            <w:vAlign w:val="center"/>
          </w:tcPr>
          <w:p w14:paraId="764A3CB9">
            <w:pPr>
              <w:widowControl/>
              <w:spacing w:line="5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床下书桌柜组合</w:t>
            </w:r>
          </w:p>
        </w:tc>
        <w:tc>
          <w:tcPr>
            <w:tcW w:w="7710" w:type="dxa"/>
            <w:noWrap w:val="0"/>
            <w:vAlign w:val="top"/>
          </w:tcPr>
          <w:p w14:paraId="74FCBA2F">
            <w:pPr>
              <w:rPr>
                <w:rFonts w:hint="eastAsia" w:ascii="宋体" w:hAnsi="宋体" w:eastAsia="宋体" w:cs="宋体"/>
                <w:b/>
                <w:color w:val="auto"/>
                <w:sz w:val="24"/>
                <w:szCs w:val="24"/>
                <w:highlight w:val="none"/>
                <w:vertAlign w:val="baseline"/>
                <w:lang w:val="en-US" w:eastAsia="zh-CN"/>
              </w:rPr>
            </w:pPr>
            <w:r>
              <w:rPr>
                <w:rFonts w:hint="eastAsia" w:eastAsia="宋体"/>
                <w:color w:val="auto"/>
                <w:highlight w:val="none"/>
                <w:lang w:eastAsia="zh-CN"/>
              </w:rPr>
              <w:drawing>
                <wp:inline distT="0" distB="0" distL="114300" distR="114300">
                  <wp:extent cx="2279650" cy="2279650"/>
                  <wp:effectExtent l="0" t="0" r="6350" b="6350"/>
                  <wp:docPr id="20" name="图片 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1"/>
                          <pic:cNvPicPr>
                            <a:picLocks noChangeAspect="1"/>
                          </pic:cNvPicPr>
                        </pic:nvPicPr>
                        <pic:blipFill>
                          <a:blip r:embed="rId11"/>
                          <a:stretch>
                            <a:fillRect/>
                          </a:stretch>
                        </pic:blipFill>
                        <pic:spPr>
                          <a:xfrm>
                            <a:off x="0" y="0"/>
                            <a:ext cx="2279650" cy="2279650"/>
                          </a:xfrm>
                          <a:prstGeom prst="rect">
                            <a:avLst/>
                          </a:prstGeom>
                        </pic:spPr>
                      </pic:pic>
                    </a:graphicData>
                  </a:graphic>
                </wp:inline>
              </w:drawing>
            </w:r>
          </w:p>
        </w:tc>
      </w:tr>
      <w:tr w14:paraId="6EC4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830" w:type="dxa"/>
            <w:noWrap w:val="0"/>
            <w:vAlign w:val="center"/>
          </w:tcPr>
          <w:p w14:paraId="152D0E55">
            <w:pPr>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4</w:t>
            </w:r>
          </w:p>
        </w:tc>
        <w:tc>
          <w:tcPr>
            <w:tcW w:w="1695" w:type="dxa"/>
            <w:noWrap w:val="0"/>
            <w:vAlign w:val="center"/>
          </w:tcPr>
          <w:p w14:paraId="1A57449E">
            <w:pPr>
              <w:widowControl/>
              <w:spacing w:line="5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储物柜</w:t>
            </w:r>
          </w:p>
        </w:tc>
        <w:tc>
          <w:tcPr>
            <w:tcW w:w="7710" w:type="dxa"/>
            <w:noWrap w:val="0"/>
            <w:vAlign w:val="top"/>
          </w:tcPr>
          <w:p w14:paraId="217420B7">
            <w:pPr>
              <w:rPr>
                <w:rFonts w:hint="eastAsia" w:ascii="宋体" w:hAnsi="宋体" w:eastAsia="宋体" w:cs="宋体"/>
                <w:b/>
                <w:color w:val="auto"/>
                <w:sz w:val="24"/>
                <w:szCs w:val="24"/>
                <w:highlight w:val="none"/>
                <w:vertAlign w:val="baseline"/>
                <w:lang w:val="en-US" w:eastAsia="zh-CN"/>
              </w:rPr>
            </w:pPr>
            <w:r>
              <w:rPr>
                <w:color w:val="auto"/>
                <w:highlight w:val="none"/>
              </w:rPr>
              <w:drawing>
                <wp:inline distT="0" distB="0" distL="114300" distR="114300">
                  <wp:extent cx="1352550" cy="1925955"/>
                  <wp:effectExtent l="0" t="0" r="0" b="1714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2"/>
                          <a:stretch>
                            <a:fillRect/>
                          </a:stretch>
                        </pic:blipFill>
                        <pic:spPr>
                          <a:xfrm>
                            <a:off x="0" y="0"/>
                            <a:ext cx="1352550" cy="1925955"/>
                          </a:xfrm>
                          <a:prstGeom prst="rect">
                            <a:avLst/>
                          </a:prstGeom>
                          <a:noFill/>
                          <a:ln>
                            <a:noFill/>
                          </a:ln>
                        </pic:spPr>
                      </pic:pic>
                    </a:graphicData>
                  </a:graphic>
                </wp:inline>
              </w:drawing>
            </w:r>
          </w:p>
        </w:tc>
      </w:tr>
      <w:tr w14:paraId="0CB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0" w:type="dxa"/>
            <w:noWrap w:val="0"/>
            <w:vAlign w:val="center"/>
          </w:tcPr>
          <w:p w14:paraId="7F11DBF8">
            <w:pPr>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5</w:t>
            </w:r>
          </w:p>
        </w:tc>
        <w:tc>
          <w:tcPr>
            <w:tcW w:w="1695" w:type="dxa"/>
            <w:noWrap w:val="0"/>
            <w:vAlign w:val="center"/>
          </w:tcPr>
          <w:p w14:paraId="051A3125">
            <w:pPr>
              <w:widowControl/>
              <w:spacing w:line="5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方凳</w:t>
            </w:r>
          </w:p>
        </w:tc>
        <w:tc>
          <w:tcPr>
            <w:tcW w:w="7710" w:type="dxa"/>
            <w:noWrap w:val="0"/>
            <w:vAlign w:val="top"/>
          </w:tcPr>
          <w:p w14:paraId="5923F01D">
            <w:pPr>
              <w:rPr>
                <w:rFonts w:hint="eastAsia" w:ascii="宋体" w:hAnsi="宋体" w:eastAsia="宋体" w:cs="宋体"/>
                <w:b/>
                <w:color w:val="auto"/>
                <w:sz w:val="24"/>
                <w:szCs w:val="24"/>
                <w:highlight w:val="none"/>
                <w:vertAlign w:val="baseline"/>
                <w:lang w:val="en-US" w:eastAsia="zh-CN"/>
              </w:rPr>
            </w:pPr>
            <w:r>
              <w:rPr>
                <w:rFonts w:hint="eastAsia"/>
                <w:color w:val="auto"/>
                <w:sz w:val="24"/>
                <w:highlight w:val="none"/>
              </w:rPr>
              <w:drawing>
                <wp:inline distT="0" distB="0" distL="114300" distR="114300">
                  <wp:extent cx="2255520" cy="2044700"/>
                  <wp:effectExtent l="0" t="0" r="11430" b="12700"/>
                  <wp:docPr id="2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0"/>
                          <pic:cNvPicPr>
                            <a:picLocks noChangeAspect="1"/>
                          </pic:cNvPicPr>
                        </pic:nvPicPr>
                        <pic:blipFill>
                          <a:blip r:embed="rId13"/>
                          <a:srcRect t="11877"/>
                          <a:stretch>
                            <a:fillRect/>
                          </a:stretch>
                        </pic:blipFill>
                        <pic:spPr>
                          <a:xfrm>
                            <a:off x="0" y="0"/>
                            <a:ext cx="2255520" cy="2044700"/>
                          </a:xfrm>
                          <a:prstGeom prst="rect">
                            <a:avLst/>
                          </a:prstGeom>
                          <a:noFill/>
                          <a:ln>
                            <a:noFill/>
                          </a:ln>
                        </pic:spPr>
                      </pic:pic>
                    </a:graphicData>
                  </a:graphic>
                </wp:inline>
              </w:drawing>
            </w:r>
          </w:p>
        </w:tc>
      </w:tr>
      <w:tr w14:paraId="4D21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5" w:type="dxa"/>
            <w:gridSpan w:val="3"/>
            <w:noWrap w:val="0"/>
            <w:vAlign w:val="center"/>
          </w:tcPr>
          <w:p w14:paraId="1F962687">
            <w:pPr>
              <w:rPr>
                <w:rFonts w:hint="eastAsia"/>
                <w:color w:val="auto"/>
                <w:sz w:val="24"/>
                <w:highlight w:val="none"/>
              </w:rPr>
            </w:pPr>
            <w:r>
              <w:rPr>
                <w:rFonts w:hint="eastAsia" w:ascii="宋体" w:hAnsi="宋体" w:eastAsia="宋体" w:cs="宋体"/>
                <w:b/>
                <w:bCs w:val="0"/>
                <w:color w:val="auto"/>
                <w:sz w:val="21"/>
                <w:szCs w:val="21"/>
                <w:highlight w:val="none"/>
                <w:lang w:val="en-US" w:eastAsia="zh-CN"/>
              </w:rPr>
              <w:t>此表中，参考图中的图示尺寸仅作参考，不作评审依据。</w:t>
            </w:r>
          </w:p>
        </w:tc>
      </w:tr>
    </w:tbl>
    <w:p w14:paraId="7211EA8A">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四</w:t>
      </w:r>
      <w:r>
        <w:rPr>
          <w:rFonts w:hint="eastAsia" w:ascii="宋体" w:hAnsi="宋体" w:eastAsia="宋体"/>
          <w:b/>
          <w:bCs/>
          <w:color w:val="auto"/>
          <w:sz w:val="24"/>
          <w:szCs w:val="18"/>
          <w:highlight w:val="none"/>
        </w:rPr>
        <w:t>、报价要求</w:t>
      </w:r>
      <w:bookmarkEnd w:id="38"/>
      <w:bookmarkEnd w:id="39"/>
    </w:p>
    <w:p w14:paraId="6B85C7CE">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本项目总价包干，投标报价包括货物从设计、生产、运输、安装、交货、环境检测、工完场清、验收合格等至售后服务、税金等的一切费用。采购人后期不予追加任何费用。</w:t>
      </w:r>
    </w:p>
    <w:p w14:paraId="0C00EC5F">
      <w:pPr>
        <w:spacing w:line="360" w:lineRule="auto"/>
        <w:ind w:firstLine="437"/>
        <w:outlineLvl w:val="1"/>
        <w:rPr>
          <w:rFonts w:ascii="宋体" w:hAnsi="宋体" w:eastAsia="宋体"/>
          <w:b/>
          <w:bCs/>
          <w:color w:val="auto"/>
          <w:sz w:val="24"/>
          <w:szCs w:val="18"/>
          <w:highlight w:val="none"/>
        </w:rPr>
      </w:pPr>
      <w:bookmarkStart w:id="40" w:name="_Toc15293"/>
      <w:bookmarkStart w:id="41" w:name="_Toc14698"/>
      <w:r>
        <w:rPr>
          <w:rFonts w:hint="eastAsia" w:ascii="宋体" w:hAnsi="宋体" w:eastAsia="宋体"/>
          <w:b/>
          <w:bCs/>
          <w:color w:val="auto"/>
          <w:sz w:val="24"/>
          <w:szCs w:val="18"/>
          <w:highlight w:val="none"/>
          <w:lang w:val="en-US" w:eastAsia="zh-CN"/>
        </w:rPr>
        <w:t>五</w:t>
      </w:r>
      <w:r>
        <w:rPr>
          <w:rFonts w:hint="eastAsia" w:ascii="宋体" w:hAnsi="宋体" w:eastAsia="宋体"/>
          <w:b/>
          <w:bCs/>
          <w:color w:val="auto"/>
          <w:sz w:val="24"/>
          <w:szCs w:val="18"/>
          <w:highlight w:val="none"/>
        </w:rPr>
        <w:t>、其他要求</w:t>
      </w:r>
      <w:bookmarkEnd w:id="40"/>
      <w:bookmarkEnd w:id="41"/>
    </w:p>
    <w:p w14:paraId="2D9262BF">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自合同签订生效后，接到采购人通知之日起30个日历天内完成货物的供货、安装、调试工作，并验收合格交付使用。延期交付使用按5000元（伍仟元整）/天违约处置，费用直接从结算款中扣除。如延误工期超出合同工期的50%，采购人有权终止合同，不予支付项目尾款，并有权追回合同预付款。中标人有权将投入的设备拆除，拆除过程中不得破坏采购人建筑结构和设施设备的现状，如有破坏，应给予修复。如因采购人要求增加工程量、工程衔接、教育教学、重大活动、极端天气等不可抗拒因素造成，经采购人和中标人书面确认后，工期予以顺延，具体以实际发生时间为依据。</w:t>
      </w:r>
    </w:p>
    <w:p w14:paraId="3E319E7C">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中标人在施工期间，做好采购人既有建筑结构和设施设备的保护管理，因施工给采购人来损失的，应予以修复和赔偿，赔偿款从项目结算款价中抵扣。项目结束后提交验收前应做好现场保洁，确保整洁干净。</w:t>
      </w:r>
    </w:p>
    <w:p w14:paraId="0089904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本项目家具安装场地均为室内除旧刷新的宿舍，家具安装前，采购人提供宿舍除旧刷新完工后室内环境检测合格报告，中标人在完成所有的家具安装后，需委托经采购人审核同意的有资质的第三方对室内进行环境检测，出具室内环境检测合格的报告，并作为验收的必要条件。</w:t>
      </w:r>
    </w:p>
    <w:p w14:paraId="4687140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中标人自检合格后，向采购人提出书面验收申请。</w:t>
      </w:r>
    </w:p>
    <w:p w14:paraId="2F80F76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免费质保期为验收合格之日起不少于2年。具体期限以中标人投标承诺为准。在免费质保服务期限内，中标人应在合同货物出现故障和缺陷时，接到采购人通知后2小时内予以答复，如采购人有要求或必要时，中标人应在接到采购人通知后24小时内，进行维修，属于人为损坏的由采购人负责。</w:t>
      </w:r>
    </w:p>
    <w:p w14:paraId="2460457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免费质保期内，中标人每年须至少提供2次的上门巡检服务，巡检过程中须根据宿舍设备使用情况，免费更换常用配件，如抽屉滑轨、备用柜门板、铰链、镙丝、防潮架、蚊帐杆、蚊帐杆塑料插件、</w:t>
      </w:r>
      <w:r>
        <w:rPr>
          <w:rFonts w:hint="eastAsia" w:ascii="宋体" w:hAnsi="宋体" w:eastAsia="宋体"/>
          <w:bCs/>
          <w:color w:val="auto"/>
          <w:sz w:val="24"/>
          <w:szCs w:val="18"/>
          <w:highlight w:val="none"/>
          <w:lang w:val="en-US" w:eastAsia="zh-CN"/>
        </w:rPr>
        <w:t>方凳</w:t>
      </w:r>
      <w:r>
        <w:rPr>
          <w:rFonts w:hint="eastAsia" w:ascii="宋体" w:hAnsi="宋体" w:eastAsia="宋体"/>
          <w:bCs/>
          <w:color w:val="auto"/>
          <w:sz w:val="24"/>
          <w:szCs w:val="18"/>
          <w:highlight w:val="none"/>
        </w:rPr>
        <w:t>脚垫等产品备件及常用维修工具。无正当理由，中标人不得拒绝上门巡检服务及备品备件更换。</w:t>
      </w:r>
    </w:p>
    <w:p w14:paraId="15D04563">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7.中标人不履行免费质保期约定的，采购人有权依法依规追究中标人法律责任，由此产生的责任与后果均由中标人承担。</w:t>
      </w:r>
      <w:r>
        <w:rPr>
          <w:rFonts w:hint="eastAsia" w:ascii="宋体" w:hAnsi="宋体" w:eastAsia="宋体"/>
          <w:bCs/>
          <w:color w:val="auto"/>
          <w:sz w:val="24"/>
          <w:szCs w:val="18"/>
          <w:highlight w:val="none"/>
          <w:lang w:val="en-US" w:eastAsia="zh-CN"/>
        </w:rPr>
        <w:br w:type="page"/>
      </w:r>
    </w:p>
    <w:p w14:paraId="573E5EDD">
      <w:pPr>
        <w:pStyle w:val="2"/>
        <w:rPr>
          <w:rFonts w:hint="eastAsia"/>
          <w:color w:val="auto"/>
          <w:highlight w:val="none"/>
          <w:lang w:val="en-US" w:eastAsia="zh-CN"/>
        </w:rPr>
      </w:pPr>
    </w:p>
    <w:p w14:paraId="279C25AF">
      <w:pPr>
        <w:spacing w:line="360" w:lineRule="auto"/>
        <w:jc w:val="center"/>
        <w:outlineLvl w:val="0"/>
        <w:rPr>
          <w:rFonts w:asciiTheme="minorEastAsia" w:hAnsiTheme="minorEastAsia" w:eastAsiaTheme="minorEastAsia"/>
          <w:b/>
          <w:color w:val="auto"/>
          <w:sz w:val="28"/>
          <w:highlight w:val="none"/>
        </w:rPr>
      </w:pPr>
      <w:bookmarkStart w:id="42" w:name="_Toc16417"/>
      <w:r>
        <w:rPr>
          <w:rFonts w:hint="eastAsia" w:asciiTheme="minorEastAsia" w:hAnsiTheme="minorEastAsia" w:eastAsiaTheme="minorEastAsia"/>
          <w:b/>
          <w:color w:val="auto"/>
          <w:sz w:val="28"/>
          <w:highlight w:val="none"/>
        </w:rPr>
        <w:t>第四章  评标方法和标准（综合评分法）</w:t>
      </w:r>
      <w:bookmarkEnd w:id="42"/>
    </w:p>
    <w:p w14:paraId="36FB348D">
      <w:pPr>
        <w:spacing w:line="360" w:lineRule="auto"/>
        <w:ind w:firstLine="437"/>
        <w:outlineLvl w:val="1"/>
        <w:rPr>
          <w:rFonts w:asciiTheme="minorEastAsia" w:hAnsiTheme="minorEastAsia" w:eastAsiaTheme="minorEastAsia"/>
          <w:b/>
          <w:color w:val="auto"/>
          <w:sz w:val="24"/>
          <w:highlight w:val="none"/>
        </w:rPr>
      </w:pPr>
      <w:bookmarkStart w:id="43" w:name="_Toc1246"/>
      <w:bookmarkStart w:id="44" w:name="_Toc11823"/>
      <w:r>
        <w:rPr>
          <w:rFonts w:hint="eastAsia" w:asciiTheme="minorEastAsia" w:hAnsiTheme="minorEastAsia" w:eastAsiaTheme="minorEastAsia"/>
          <w:b/>
          <w:color w:val="auto"/>
          <w:sz w:val="24"/>
          <w:highlight w:val="none"/>
        </w:rPr>
        <w:t>一、总则</w:t>
      </w:r>
      <w:bookmarkEnd w:id="43"/>
      <w:bookmarkEnd w:id="44"/>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45" w:name="_Toc13117"/>
      <w:bookmarkStart w:id="46" w:name="_Toc31871"/>
      <w:r>
        <w:rPr>
          <w:rFonts w:hint="eastAsia" w:asciiTheme="minorEastAsia" w:hAnsiTheme="minorEastAsia" w:eastAsiaTheme="minorEastAsia"/>
          <w:b/>
          <w:color w:val="auto"/>
          <w:sz w:val="24"/>
          <w:highlight w:val="none"/>
        </w:rPr>
        <w:t>二、评标方法</w:t>
      </w:r>
      <w:bookmarkEnd w:id="45"/>
      <w:bookmarkEnd w:id="46"/>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48"/>
        <w:gridCol w:w="4558"/>
        <w:gridCol w:w="2218"/>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07" w:type="pct"/>
            <w:tcBorders>
              <w:bottom w:val="single" w:color="auto" w:sz="4" w:space="0"/>
            </w:tcBorders>
            <w:vAlign w:val="center"/>
          </w:tcPr>
          <w:p w14:paraId="11869532">
            <w:pPr>
              <w:pStyle w:val="46"/>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509"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219"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3"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07"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09" w:type="pct"/>
            <w:tcBorders>
              <w:bottom w:val="single" w:color="auto" w:sz="4" w:space="0"/>
            </w:tcBorders>
            <w:vAlign w:val="center"/>
          </w:tcPr>
          <w:p w14:paraId="2D206A2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AD4211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6E61916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11D3135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219"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3"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07"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09"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219"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07"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09" w:type="pct"/>
            <w:tcBorders>
              <w:bottom w:val="single" w:color="auto" w:sz="4" w:space="0"/>
            </w:tcBorders>
            <w:vAlign w:val="center"/>
          </w:tcPr>
          <w:p w14:paraId="090CE335">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19"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657B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23481B5F">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07" w:type="pct"/>
            <w:tcBorders>
              <w:bottom w:val="single" w:color="auto" w:sz="4" w:space="0"/>
            </w:tcBorders>
            <w:vAlign w:val="center"/>
          </w:tcPr>
          <w:p w14:paraId="0B427E62">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2509" w:type="pct"/>
            <w:tcBorders>
              <w:bottom w:val="single" w:color="auto" w:sz="4" w:space="0"/>
            </w:tcBorders>
            <w:vAlign w:val="top"/>
          </w:tcPr>
          <w:p w14:paraId="72980A91">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39EFF5F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2786988B">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219" w:type="pct"/>
            <w:tcBorders>
              <w:bottom w:val="single" w:color="auto" w:sz="4" w:space="0"/>
            </w:tcBorders>
            <w:vAlign w:val="center"/>
          </w:tcPr>
          <w:p w14:paraId="3D63A18C">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254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77C33C4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07" w:type="pct"/>
            <w:tcBorders>
              <w:bottom w:val="single" w:color="auto" w:sz="4" w:space="0"/>
            </w:tcBorders>
            <w:vAlign w:val="center"/>
          </w:tcPr>
          <w:p w14:paraId="2F5FD02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509" w:type="pct"/>
            <w:tcBorders>
              <w:bottom w:val="single" w:color="auto" w:sz="4" w:space="0"/>
            </w:tcBorders>
            <w:vAlign w:val="center"/>
          </w:tcPr>
          <w:p w14:paraId="18FF088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219" w:type="pct"/>
            <w:tcBorders>
              <w:bottom w:val="single" w:color="auto" w:sz="4" w:space="0"/>
            </w:tcBorders>
            <w:vAlign w:val="center"/>
          </w:tcPr>
          <w:p w14:paraId="7E76CF47">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07" w:type="pct"/>
            <w:vAlign w:val="center"/>
          </w:tcPr>
          <w:p w14:paraId="34D8973F">
            <w:pPr>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509" w:type="pct"/>
            <w:vAlign w:val="center"/>
          </w:tcPr>
          <w:p w14:paraId="6E4DCC4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219" w:type="pct"/>
            <w:vAlign w:val="center"/>
          </w:tcPr>
          <w:p w14:paraId="7EAB58B4">
            <w:pPr>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2B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EBF4EA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07" w:type="pct"/>
            <w:shd w:val="clear" w:color="auto" w:fill="auto"/>
            <w:vAlign w:val="center"/>
          </w:tcPr>
          <w:p w14:paraId="4EEB76F8">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z w:val="24"/>
                <w:szCs w:val="24"/>
                <w:highlight w:val="none"/>
              </w:rPr>
              <w:t>诚信投标承诺书</w:t>
            </w:r>
          </w:p>
        </w:tc>
        <w:tc>
          <w:tcPr>
            <w:tcW w:w="2509" w:type="pct"/>
            <w:shd w:val="clear" w:color="auto" w:fill="auto"/>
            <w:vAlign w:val="center"/>
          </w:tcPr>
          <w:p w14:paraId="33CAB7ED">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1219" w:type="pct"/>
            <w:shd w:val="clear" w:color="auto" w:fill="auto"/>
            <w:vAlign w:val="center"/>
          </w:tcPr>
          <w:p w14:paraId="71DB19B1">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55"/>
        <w:gridCol w:w="4065"/>
        <w:gridCol w:w="3292"/>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9"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888" w:type="pct"/>
            <w:tcBorders>
              <w:bottom w:val="single" w:color="auto" w:sz="4" w:space="0"/>
            </w:tcBorders>
            <w:vAlign w:val="center"/>
          </w:tcPr>
          <w:p w14:paraId="7EEA7CDE">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057"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664"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888"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057"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64"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888"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057"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64"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888"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057"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64"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888"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057"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664"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888"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057" w:type="pct"/>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664"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888" w:type="pct"/>
            <w:vAlign w:val="center"/>
          </w:tcPr>
          <w:p w14:paraId="5A915E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057" w:type="pct"/>
            <w:vAlign w:val="center"/>
          </w:tcPr>
          <w:p w14:paraId="67394AE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664"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888"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057" w:type="pct"/>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664"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7"/>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23C179B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0B014BAB">
            <w:pPr>
              <w:pStyle w:val="10"/>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1CABF23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262C078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7"/>
        <w:tblW w:w="5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221"/>
        <w:gridCol w:w="6322"/>
        <w:gridCol w:w="1185"/>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pct"/>
            <w:tcBorders>
              <w:top w:val="single" w:color="auto" w:sz="4" w:space="0"/>
              <w:left w:val="single" w:color="auto" w:sz="4" w:space="0"/>
              <w:bottom w:val="single" w:color="auto" w:sz="4" w:space="0"/>
              <w:right w:val="single" w:color="auto" w:sz="4" w:space="0"/>
            </w:tcBorders>
            <w:vAlign w:val="center"/>
          </w:tcPr>
          <w:p w14:paraId="3A89393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01" w:type="pct"/>
            <w:tcBorders>
              <w:top w:val="single" w:color="auto" w:sz="4" w:space="0"/>
              <w:left w:val="single" w:color="auto" w:sz="4" w:space="0"/>
              <w:bottom w:val="single" w:color="auto" w:sz="4" w:space="0"/>
              <w:right w:val="single" w:color="auto" w:sz="4" w:space="0"/>
            </w:tcBorders>
            <w:vAlign w:val="center"/>
          </w:tcPr>
          <w:p w14:paraId="14068F5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111" w:type="pct"/>
            <w:tcBorders>
              <w:top w:val="single" w:color="auto" w:sz="4" w:space="0"/>
              <w:left w:val="single" w:color="auto" w:sz="4" w:space="0"/>
              <w:bottom w:val="single" w:color="auto" w:sz="4" w:space="0"/>
              <w:right w:val="single" w:color="auto" w:sz="4" w:space="0"/>
            </w:tcBorders>
            <w:vAlign w:val="center"/>
          </w:tcPr>
          <w:p w14:paraId="2F9E0AE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83" w:type="pct"/>
            <w:tcBorders>
              <w:top w:val="single" w:color="auto" w:sz="4" w:space="0"/>
              <w:left w:val="single" w:color="auto" w:sz="4" w:space="0"/>
              <w:bottom w:val="single" w:color="auto" w:sz="4" w:space="0"/>
              <w:right w:val="single" w:color="auto" w:sz="4" w:space="0"/>
            </w:tcBorders>
            <w:vAlign w:val="center"/>
          </w:tcPr>
          <w:p w14:paraId="204AEBE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Merge w:val="restart"/>
            <w:tcBorders>
              <w:top w:val="single" w:color="auto" w:sz="4" w:space="0"/>
              <w:left w:val="single" w:color="auto" w:sz="4" w:space="0"/>
              <w:right w:val="single" w:color="auto" w:sz="4" w:space="0"/>
            </w:tcBorders>
            <w:vAlign w:val="center"/>
          </w:tcPr>
          <w:p w14:paraId="5C7CD23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127C554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w:t>
            </w:r>
          </w:p>
        </w:tc>
        <w:tc>
          <w:tcPr>
            <w:tcW w:w="601" w:type="pct"/>
            <w:tcBorders>
              <w:top w:val="single" w:color="auto" w:sz="4" w:space="0"/>
              <w:left w:val="single" w:color="auto" w:sz="4" w:space="0"/>
              <w:bottom w:val="single" w:color="auto" w:sz="4" w:space="0"/>
              <w:right w:val="single" w:color="auto" w:sz="4" w:space="0"/>
            </w:tcBorders>
            <w:vAlign w:val="center"/>
          </w:tcPr>
          <w:p w14:paraId="0BE8B62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投标人业绩</w:t>
            </w:r>
          </w:p>
        </w:tc>
        <w:tc>
          <w:tcPr>
            <w:tcW w:w="3111" w:type="pct"/>
            <w:tcBorders>
              <w:top w:val="single" w:color="auto" w:sz="4" w:space="0"/>
              <w:left w:val="single" w:color="auto" w:sz="4" w:space="0"/>
              <w:bottom w:val="single" w:color="auto" w:sz="4" w:space="0"/>
              <w:right w:val="single" w:color="auto" w:sz="4" w:space="0"/>
            </w:tcBorders>
            <w:vAlign w:val="center"/>
          </w:tcPr>
          <w:p w14:paraId="3847AEC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年1月1日以来（时间以合同签订时间为准），投标人</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zh-CN"/>
              </w:rPr>
              <w:t>公寓组合家具（须至少包含公寓床），每提供一份业绩得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19218EF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zh-CN"/>
              </w:rPr>
              <w:t>投标文件中提供合同扫描件，如上述材料无法体现供货内容、合同签订时间等评审内容的，须另附采购单位出具的证明材料。</w:t>
            </w:r>
            <w:r>
              <w:rPr>
                <w:rFonts w:hint="eastAsia" w:ascii="宋体" w:hAnsi="宋体" w:eastAsia="宋体" w:cs="宋体"/>
                <w:b/>
                <w:bCs/>
                <w:color w:val="auto"/>
                <w:sz w:val="21"/>
                <w:szCs w:val="21"/>
                <w:highlight w:val="none"/>
                <w:lang w:val="zh-CN" w:eastAsia="zh-CN"/>
              </w:rPr>
              <w:t>如因</w:t>
            </w:r>
            <w:r>
              <w:rPr>
                <w:rFonts w:hint="eastAsia" w:ascii="宋体" w:hAnsi="宋体" w:eastAsia="宋体" w:cs="宋体"/>
                <w:b/>
                <w:bCs/>
                <w:color w:val="auto"/>
                <w:sz w:val="21"/>
                <w:szCs w:val="21"/>
                <w:highlight w:val="none"/>
                <w:lang w:val="en-US" w:eastAsia="zh-CN"/>
              </w:rPr>
              <w:t>合同</w:t>
            </w:r>
            <w:r>
              <w:rPr>
                <w:rFonts w:hint="eastAsia" w:ascii="宋体" w:hAnsi="宋体" w:eastAsia="宋体" w:cs="宋体"/>
                <w:b/>
                <w:bCs/>
                <w:color w:val="auto"/>
                <w:sz w:val="21"/>
                <w:szCs w:val="21"/>
                <w:highlight w:val="none"/>
                <w:lang w:val="zh-CN" w:eastAsia="zh-CN"/>
              </w:rPr>
              <w:t>名称</w:t>
            </w:r>
            <w:r>
              <w:rPr>
                <w:rFonts w:hint="eastAsia" w:ascii="宋体" w:hAnsi="宋体" w:eastAsia="宋体" w:cs="宋体"/>
                <w:b/>
                <w:bCs/>
                <w:color w:val="auto"/>
                <w:sz w:val="21"/>
                <w:szCs w:val="21"/>
                <w:highlight w:val="none"/>
                <w:lang w:val="en-US" w:eastAsia="zh-CN"/>
              </w:rPr>
              <w:t>表述</w:t>
            </w:r>
            <w:r>
              <w:rPr>
                <w:rFonts w:hint="eastAsia" w:ascii="宋体" w:hAnsi="宋体" w:eastAsia="宋体" w:cs="宋体"/>
                <w:b/>
                <w:bCs/>
                <w:color w:val="auto"/>
                <w:sz w:val="21"/>
                <w:szCs w:val="21"/>
                <w:highlight w:val="none"/>
                <w:lang w:val="zh-CN" w:eastAsia="zh-CN"/>
              </w:rPr>
              <w:t>不同，但</w:t>
            </w:r>
            <w:r>
              <w:rPr>
                <w:rFonts w:hint="eastAsia" w:ascii="宋体" w:hAnsi="宋体" w:eastAsia="宋体" w:cs="宋体"/>
                <w:b/>
                <w:bCs/>
                <w:color w:val="auto"/>
                <w:sz w:val="21"/>
                <w:szCs w:val="21"/>
                <w:highlight w:val="none"/>
                <w:lang w:val="en-US" w:eastAsia="zh-CN"/>
              </w:rPr>
              <w:t>合同内容满足上述要求的，</w:t>
            </w:r>
            <w:r>
              <w:rPr>
                <w:rFonts w:hint="eastAsia" w:ascii="宋体" w:hAnsi="宋体" w:eastAsia="宋体" w:cs="宋体"/>
                <w:b/>
                <w:bCs/>
                <w:color w:val="auto"/>
                <w:sz w:val="21"/>
                <w:szCs w:val="21"/>
                <w:highlight w:val="none"/>
                <w:lang w:val="zh-CN" w:eastAsia="zh-CN"/>
              </w:rPr>
              <w:t>此类业绩予以认可。</w:t>
            </w:r>
          </w:p>
        </w:tc>
        <w:tc>
          <w:tcPr>
            <w:tcW w:w="583" w:type="pct"/>
            <w:tcBorders>
              <w:top w:val="single" w:color="auto" w:sz="4" w:space="0"/>
              <w:left w:val="single" w:color="auto" w:sz="4" w:space="0"/>
              <w:bottom w:val="single" w:color="auto" w:sz="4" w:space="0"/>
              <w:right w:val="single" w:color="auto" w:sz="4" w:space="0"/>
            </w:tcBorders>
            <w:vAlign w:val="center"/>
          </w:tcPr>
          <w:p w14:paraId="34053CF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6D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Merge w:val="continue"/>
            <w:tcBorders>
              <w:left w:val="single" w:color="auto" w:sz="4" w:space="0"/>
              <w:right w:val="single" w:color="auto" w:sz="4" w:space="0"/>
            </w:tcBorders>
            <w:vAlign w:val="center"/>
          </w:tcPr>
          <w:p w14:paraId="14CD28FE">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宋体" w:hAnsi="宋体" w:eastAsia="宋体" w:cs="宋体"/>
                <w:b/>
                <w:bCs/>
                <w:color w:val="auto"/>
                <w:sz w:val="21"/>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2594D88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eastAsia="zh-CN"/>
              </w:rPr>
              <w:t>认证证书</w:t>
            </w:r>
          </w:p>
        </w:tc>
        <w:tc>
          <w:tcPr>
            <w:tcW w:w="3111" w:type="pct"/>
            <w:tcBorders>
              <w:top w:val="single" w:color="auto" w:sz="4" w:space="0"/>
              <w:left w:val="single" w:color="auto" w:sz="4" w:space="0"/>
              <w:bottom w:val="single" w:color="auto" w:sz="4" w:space="0"/>
              <w:right w:val="single" w:color="auto" w:sz="4" w:space="0"/>
            </w:tcBorders>
            <w:vAlign w:val="center"/>
          </w:tcPr>
          <w:p w14:paraId="3B98A1D2">
            <w:pPr>
              <w:keepNext w:val="0"/>
              <w:keepLines w:val="0"/>
              <w:pageBreakBefore w:val="0"/>
              <w:widowControl w:val="0"/>
              <w:numPr>
                <w:ilvl w:val="0"/>
                <w:numId w:val="0"/>
              </w:numPr>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1.所投产品（公寓床）获得有效期内中国环境标志产品认证证书(“十环”标志)的得2分。</w:t>
            </w:r>
          </w:p>
          <w:p w14:paraId="595D9341">
            <w:pPr>
              <w:keepNext w:val="0"/>
              <w:keepLines w:val="0"/>
              <w:pageBreakBefore w:val="0"/>
              <w:widowControl w:val="0"/>
              <w:numPr>
                <w:ilvl w:val="0"/>
                <w:numId w:val="0"/>
              </w:numPr>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注：投标文件中提供证书扫描件，证书中产品名称不作限制，产品内容须与本次采购内容为同类产品。</w:t>
            </w:r>
          </w:p>
          <w:p w14:paraId="0B6A4011">
            <w:pPr>
              <w:keepNext w:val="0"/>
              <w:keepLines w:val="0"/>
              <w:pageBreakBefore w:val="0"/>
              <w:widowControl w:val="0"/>
              <w:numPr>
                <w:ilvl w:val="0"/>
                <w:numId w:val="0"/>
              </w:numPr>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2.所投产品（储物柜）获得有效期内中国环境标志产品认证证书(“十环”标志)的得2分。</w:t>
            </w:r>
          </w:p>
          <w:p w14:paraId="504B4D5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注：投标文件中提供证书扫</w:t>
            </w:r>
            <w:bookmarkStart w:id="298" w:name="_GoBack"/>
            <w:bookmarkEnd w:id="298"/>
            <w:r>
              <w:rPr>
                <w:rFonts w:hint="eastAsia" w:ascii="宋体" w:hAnsi="宋体" w:eastAsia="宋体" w:cs="宋体"/>
                <w:b/>
                <w:bCs/>
                <w:color w:val="auto"/>
                <w:sz w:val="21"/>
                <w:szCs w:val="21"/>
                <w:highlight w:val="none"/>
                <w:lang w:val="en-US" w:eastAsia="zh-CN"/>
              </w:rPr>
              <w:t>描件，证书中产品名称不作限制，产品内容须与本次采购内容为同类产品。</w:t>
            </w:r>
          </w:p>
        </w:tc>
        <w:tc>
          <w:tcPr>
            <w:tcW w:w="583" w:type="pct"/>
            <w:tcBorders>
              <w:top w:val="single" w:color="auto" w:sz="4" w:space="0"/>
              <w:left w:val="single" w:color="auto" w:sz="4" w:space="0"/>
              <w:bottom w:val="single" w:color="auto" w:sz="4" w:space="0"/>
              <w:right w:val="single" w:color="auto" w:sz="4" w:space="0"/>
            </w:tcBorders>
            <w:vAlign w:val="center"/>
          </w:tcPr>
          <w:p w14:paraId="717D62A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74F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Merge w:val="continue"/>
            <w:tcBorders>
              <w:left w:val="single" w:color="auto" w:sz="4" w:space="0"/>
              <w:right w:val="single" w:color="auto" w:sz="4" w:space="0"/>
            </w:tcBorders>
            <w:vAlign w:val="center"/>
          </w:tcPr>
          <w:p w14:paraId="4B1993BD">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宋体" w:hAnsi="宋体" w:eastAsia="宋体" w:cs="宋体"/>
                <w:b/>
                <w:bCs/>
                <w:color w:val="auto"/>
                <w:sz w:val="21"/>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65E868B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产品技术参数</w:t>
            </w:r>
          </w:p>
        </w:tc>
        <w:tc>
          <w:tcPr>
            <w:tcW w:w="3111" w:type="pct"/>
            <w:tcBorders>
              <w:top w:val="single" w:color="auto" w:sz="4" w:space="0"/>
              <w:left w:val="single" w:color="auto" w:sz="4" w:space="0"/>
              <w:bottom w:val="single" w:color="auto" w:sz="4" w:space="0"/>
              <w:right w:val="single" w:color="auto" w:sz="4" w:space="0"/>
            </w:tcBorders>
            <w:vAlign w:val="center"/>
          </w:tcPr>
          <w:p w14:paraId="3E56DC9F">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1.标注“★”的参数为必须响应参数，不得负偏离，否则投标无效；</w:t>
            </w:r>
          </w:p>
          <w:p w14:paraId="05AD2288">
            <w:pPr>
              <w:pStyle w:val="2"/>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2.标注“■”符号的参数，每满足一项得2分，共</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项，共</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分；</w:t>
            </w:r>
          </w:p>
          <w:p w14:paraId="27DA975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3.未标注符号的参数，最大允许偏离</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项，超过最大允许偏离项数的，投标无效。</w:t>
            </w:r>
          </w:p>
          <w:p w14:paraId="34EB5DF5">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注：①如某项标识中包含多条技术参数或要求，则该项标识所含内容均需满足或优于招标文件要求，否则不予认可。</w:t>
            </w:r>
          </w:p>
          <w:p w14:paraId="7901861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bCs/>
                <w:color w:val="auto"/>
                <w:sz w:val="21"/>
                <w:szCs w:val="21"/>
                <w:highlight w:val="none"/>
              </w:rPr>
              <w:t>以技术响应表、货物</w:t>
            </w:r>
            <w:r>
              <w:rPr>
                <w:rFonts w:hint="eastAsia" w:ascii="宋体" w:hAnsi="宋体" w:eastAsia="宋体" w:cs="宋体"/>
                <w:bCs/>
                <w:color w:val="auto"/>
                <w:sz w:val="21"/>
                <w:szCs w:val="21"/>
                <w:highlight w:val="none"/>
                <w:lang w:val="en-US" w:eastAsia="zh-CN"/>
              </w:rPr>
              <w:t>需求</w:t>
            </w:r>
            <w:r>
              <w:rPr>
                <w:rFonts w:hint="eastAsia" w:ascii="宋体" w:hAnsi="宋体" w:eastAsia="宋体" w:cs="宋体"/>
                <w:bCs/>
                <w:color w:val="auto"/>
                <w:sz w:val="21"/>
                <w:szCs w:val="21"/>
                <w:highlight w:val="none"/>
              </w:rPr>
              <w:t>中要求提供的证明材料作为评审依据。</w:t>
            </w:r>
          </w:p>
        </w:tc>
        <w:tc>
          <w:tcPr>
            <w:tcW w:w="583" w:type="pct"/>
            <w:tcBorders>
              <w:top w:val="single" w:color="auto" w:sz="4" w:space="0"/>
              <w:left w:val="single" w:color="auto" w:sz="4" w:space="0"/>
              <w:bottom w:val="single" w:color="auto" w:sz="4" w:space="0"/>
              <w:right w:val="single" w:color="auto" w:sz="4" w:space="0"/>
            </w:tcBorders>
            <w:vAlign w:val="center"/>
          </w:tcPr>
          <w:p w14:paraId="234B943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0-48</w:t>
            </w:r>
          </w:p>
        </w:tc>
      </w:tr>
      <w:tr w14:paraId="0656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Merge w:val="continue"/>
            <w:tcBorders>
              <w:left w:val="single" w:color="auto" w:sz="4" w:space="0"/>
              <w:right w:val="single" w:color="auto" w:sz="4" w:space="0"/>
            </w:tcBorders>
            <w:vAlign w:val="center"/>
          </w:tcPr>
          <w:p w14:paraId="136EBE0C">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宋体" w:hAnsi="宋体" w:eastAsia="宋体" w:cs="宋体"/>
                <w:b/>
                <w:bCs/>
                <w:color w:val="auto"/>
                <w:sz w:val="21"/>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29C15F0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实施方案</w:t>
            </w:r>
          </w:p>
        </w:tc>
        <w:tc>
          <w:tcPr>
            <w:tcW w:w="3111" w:type="pct"/>
            <w:tcBorders>
              <w:top w:val="single" w:color="auto" w:sz="4" w:space="0"/>
              <w:left w:val="single" w:color="auto" w:sz="4" w:space="0"/>
              <w:bottom w:val="single" w:color="auto" w:sz="4" w:space="0"/>
              <w:right w:val="single" w:color="auto" w:sz="4" w:space="0"/>
            </w:tcBorders>
            <w:vAlign w:val="center"/>
          </w:tcPr>
          <w:p w14:paraId="505106E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投标人需提供本项目详细实施方案，实施方案中明确实施步骤、人员配备和实施规范等。评审专家对本项目实施方案的完整性、合理性、可实施性和可扩展性进行综合评审：</w:t>
            </w:r>
          </w:p>
          <w:p w14:paraId="354C94C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1.投标人提供的实施方案完整，实施步骤明确，实施计划合理，符合项目实施规范，人员实力强、投入充足，符合项目实施需求，具有可实施性和可扩展性,实施内容包括后期的测试、验收等，得5分；</w:t>
            </w:r>
          </w:p>
          <w:p w14:paraId="1067B768">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供的实施方案基本完整，实施步骤清晰但未写明实施内容，实施计划基本满足项目进程要求，基本符合项目实施规范，人员实力和投入可满足实施需求，实施内容有综合考虑后期的测试、验收等，得3分；</w:t>
            </w:r>
          </w:p>
          <w:p w14:paraId="0C9E21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实施方案基本完成但出现非针对本项目内容，整体方案空洞，实施步骤未明确具体方案，人员实力一般、投入少，项目实施需求与实际要求结合不紧密,实施内容仅包括简单的后期测试、验收等，得1分；</w:t>
            </w:r>
          </w:p>
          <w:p w14:paraId="3A78669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4.方案不能满足项目要求或未提供的不得分。</w:t>
            </w:r>
          </w:p>
        </w:tc>
        <w:tc>
          <w:tcPr>
            <w:tcW w:w="583" w:type="pct"/>
            <w:tcBorders>
              <w:top w:val="single" w:color="auto" w:sz="4" w:space="0"/>
              <w:left w:val="single" w:color="auto" w:sz="4" w:space="0"/>
              <w:bottom w:val="single" w:color="auto" w:sz="4" w:space="0"/>
              <w:right w:val="single" w:color="auto" w:sz="4" w:space="0"/>
            </w:tcBorders>
            <w:vAlign w:val="center"/>
          </w:tcPr>
          <w:p w14:paraId="10AFA23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248E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Merge w:val="continue"/>
            <w:tcBorders>
              <w:left w:val="single" w:color="auto" w:sz="4" w:space="0"/>
              <w:right w:val="single" w:color="auto" w:sz="4" w:space="0"/>
            </w:tcBorders>
            <w:vAlign w:val="center"/>
          </w:tcPr>
          <w:p w14:paraId="0758E19B">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宋体" w:hAnsi="宋体" w:eastAsia="宋体" w:cs="宋体"/>
                <w:b/>
                <w:bCs/>
                <w:color w:val="auto"/>
                <w:sz w:val="21"/>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5E5B080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售后服务方案</w:t>
            </w:r>
          </w:p>
        </w:tc>
        <w:tc>
          <w:tcPr>
            <w:tcW w:w="3111" w:type="pct"/>
            <w:tcBorders>
              <w:top w:val="single" w:color="auto" w:sz="4" w:space="0"/>
              <w:left w:val="single" w:color="auto" w:sz="4" w:space="0"/>
              <w:bottom w:val="single" w:color="auto" w:sz="4" w:space="0"/>
              <w:right w:val="single" w:color="auto" w:sz="4" w:space="0"/>
            </w:tcBorders>
            <w:vAlign w:val="center"/>
          </w:tcPr>
          <w:p w14:paraId="202E82A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方案内容应详实、科学合理，售后服务响应时间，售后服务人员配备充足，能满足项目后期的维保需要。</w:t>
            </w:r>
          </w:p>
          <w:p w14:paraId="4F8357A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1.售后服务措施详尽、维修响应时间及时、备件供应保障充足、人员售后配置详细、远程报修服务方案全面、实时维修统计详尽，能保障采购人获得高质量售后服务的，得5分。</w:t>
            </w:r>
          </w:p>
          <w:p w14:paraId="729A7BF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2.售后服务措施完整、维修响应时间及时、具有备件供应保障措施、配置售后人员、具有远程报修服务的，得3分。 </w:t>
            </w:r>
          </w:p>
          <w:p w14:paraId="107236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3.售后服务措施、维修响应时间、备件供应保障、配置售后人员、远程报修服务措施不全或存在不足的，得1分。 </w:t>
            </w:r>
          </w:p>
          <w:p w14:paraId="669B291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4.方案不能满足项目要求或未提供的不得分。</w:t>
            </w:r>
          </w:p>
        </w:tc>
        <w:tc>
          <w:tcPr>
            <w:tcW w:w="583" w:type="pct"/>
            <w:tcBorders>
              <w:top w:val="single" w:color="auto" w:sz="4" w:space="0"/>
              <w:left w:val="single" w:color="auto" w:sz="4" w:space="0"/>
              <w:bottom w:val="single" w:color="auto" w:sz="4" w:space="0"/>
              <w:right w:val="single" w:color="auto" w:sz="4" w:space="0"/>
            </w:tcBorders>
            <w:vAlign w:val="center"/>
          </w:tcPr>
          <w:p w14:paraId="5680A17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568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Merge w:val="continue"/>
            <w:tcBorders>
              <w:left w:val="single" w:color="auto" w:sz="4" w:space="0"/>
              <w:right w:val="single" w:color="auto" w:sz="4" w:space="0"/>
            </w:tcBorders>
            <w:vAlign w:val="center"/>
          </w:tcPr>
          <w:p w14:paraId="59DE46FC">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宋体" w:hAnsi="宋体" w:eastAsia="宋体" w:cs="宋体"/>
                <w:b/>
                <w:bCs/>
                <w:color w:val="auto"/>
                <w:sz w:val="21"/>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3EC687B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质保期</w:t>
            </w:r>
          </w:p>
        </w:tc>
        <w:tc>
          <w:tcPr>
            <w:tcW w:w="3111" w:type="pct"/>
            <w:tcBorders>
              <w:top w:val="single" w:color="auto" w:sz="4" w:space="0"/>
              <w:left w:val="single" w:color="auto" w:sz="4" w:space="0"/>
              <w:bottom w:val="single" w:color="auto" w:sz="4" w:space="0"/>
              <w:right w:val="single" w:color="auto" w:sz="4" w:space="0"/>
            </w:tcBorders>
            <w:vAlign w:val="center"/>
          </w:tcPr>
          <w:p w14:paraId="57C2FAC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投标人所投所有产品质保期比招标文件规定免费质保期每延长1年得2分，最高得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分（所有产品质保期均做延长方予认可），延长不足一年的部分不得分。</w:t>
            </w:r>
          </w:p>
          <w:p w14:paraId="0E9617B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注：以投标人承诺的免费质保期为准。提供承诺函扫描件。</w:t>
            </w:r>
          </w:p>
        </w:tc>
        <w:tc>
          <w:tcPr>
            <w:tcW w:w="583" w:type="pct"/>
            <w:tcBorders>
              <w:top w:val="single" w:color="auto" w:sz="4" w:space="0"/>
              <w:left w:val="single" w:color="auto" w:sz="4" w:space="0"/>
              <w:bottom w:val="single" w:color="auto" w:sz="4" w:space="0"/>
              <w:right w:val="single" w:color="auto" w:sz="4" w:space="0"/>
            </w:tcBorders>
            <w:vAlign w:val="center"/>
          </w:tcPr>
          <w:p w14:paraId="26ABDF8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left w:val="single" w:color="auto" w:sz="4" w:space="0"/>
              <w:right w:val="single" w:color="auto" w:sz="4" w:space="0"/>
            </w:tcBorders>
            <w:vAlign w:val="center"/>
          </w:tcPr>
          <w:p w14:paraId="4DFF79F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462C62B4">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95" w:type="pct"/>
            <w:gridSpan w:val="3"/>
            <w:tcBorders>
              <w:top w:val="single" w:color="auto" w:sz="4" w:space="0"/>
              <w:left w:val="single" w:color="auto" w:sz="4" w:space="0"/>
              <w:bottom w:val="single" w:color="auto" w:sz="4" w:space="0"/>
              <w:right w:val="single" w:color="auto" w:sz="4" w:space="0"/>
            </w:tcBorders>
            <w:vAlign w:val="center"/>
          </w:tcPr>
          <w:p w14:paraId="12E83C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6399CD5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58362B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67755F01">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三、无效投标条款</w:t>
      </w:r>
    </w:p>
    <w:p w14:paraId="3F9275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投标文件有下列情形之一的,其投标文件拒收:</w:t>
      </w:r>
    </w:p>
    <w:p w14:paraId="2045E5E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未在开标截止时间前通过网上招标投标系统递交有效电子投标文件的，开标系统不予接收，投标将被拒绝。</w:t>
      </w:r>
    </w:p>
    <w:p w14:paraId="6453B1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4B3D269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3.2投标人有下列情形之一的,资格审查后其投标作无效投标处理：</w:t>
      </w:r>
    </w:p>
    <w:p w14:paraId="0EDB4B5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(1)投标人为本项目提供招标代理服务的；</w:t>
      </w:r>
    </w:p>
    <w:p w14:paraId="13A279D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(2)投标人与在本项目代理机构存在相互任职或工作的；</w:t>
      </w:r>
    </w:p>
    <w:p w14:paraId="021F73B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bidi="ar"/>
        </w:rPr>
        <w:t>与采购人存在利害关系可能影响采购公正性的法人、其他组织或者个人；</w:t>
      </w:r>
    </w:p>
    <w:p w14:paraId="048B3C8A">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)招标公告写明专门面向中小企业采购，投标人提供的货物非中小企业制造的；</w:t>
      </w:r>
    </w:p>
    <w:p w14:paraId="7199FF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)要求供应商以联合体形式参加采购活动，投标人非联合体或者联合协议中中小企业合同金额未达到应当达到的比例；</w:t>
      </w:r>
    </w:p>
    <w:p w14:paraId="757CD1A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)要求获得采购合同的供应商向中小企业分包，投标人未提供分包意向协议或者分包意向协议中中小企业合同金额未达到应当达到的比例；</w:t>
      </w:r>
    </w:p>
    <w:p w14:paraId="3216F893">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)评标专家无法查看并检验电子投标文件中相关资料的；</w:t>
      </w:r>
    </w:p>
    <w:p w14:paraId="4C66F12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)联合体投标未提交联合体协议的；</w:t>
      </w:r>
    </w:p>
    <w:p w14:paraId="0A9C22A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)责令停产停业的；</w:t>
      </w:r>
    </w:p>
    <w:p w14:paraId="4EADD86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)暂停或者取消参与政府采购项目资格的；</w:t>
      </w:r>
    </w:p>
    <w:p w14:paraId="4C3B928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)投标人单位负责人为同一人或者存在直接控股、管理关系的不同单位的；</w:t>
      </w:r>
    </w:p>
    <w:p w14:paraId="2217678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)投标人基本资格条件和特定资格条件中有一项及以上不符合要求的；</w:t>
      </w:r>
    </w:p>
    <w:p w14:paraId="5404516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B33711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41C201B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)投标人投标MAC地址</w:t>
      </w:r>
      <w:r>
        <w:rPr>
          <w:rFonts w:hint="eastAsia" w:ascii="宋体" w:hAnsi="宋体" w:eastAsia="宋体" w:cs="宋体"/>
          <w:color w:val="auto"/>
          <w:sz w:val="24"/>
          <w:highlight w:val="none"/>
          <w:lang w:val="en-US" w:eastAsia="zh-CN"/>
        </w:rPr>
        <w:t>一致</w:t>
      </w:r>
      <w:r>
        <w:rPr>
          <w:rFonts w:hint="eastAsia" w:ascii="宋体" w:hAnsi="宋体" w:eastAsia="宋体" w:cs="宋体"/>
          <w:color w:val="auto"/>
          <w:sz w:val="24"/>
          <w:highlight w:val="none"/>
          <w:lang w:eastAsia="zh-CN"/>
        </w:rPr>
        <w:t>，由评标委员会否决其投标；</w:t>
      </w:r>
    </w:p>
    <w:p w14:paraId="5C65B4C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)投标人单方面出现其他投标人材料的；</w:t>
      </w:r>
    </w:p>
    <w:p w14:paraId="07094F3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投标人联系人或联系电话相同的，</w:t>
      </w:r>
      <w:r>
        <w:rPr>
          <w:rFonts w:hint="eastAsia" w:ascii="宋体" w:hAnsi="宋体" w:eastAsia="宋体" w:cs="宋体"/>
          <w:color w:val="auto"/>
          <w:sz w:val="24"/>
          <w:highlight w:val="none"/>
          <w:lang w:eastAsia="zh-CN"/>
        </w:rPr>
        <w:t>由评标委员会否决其投标</w:t>
      </w:r>
      <w:r>
        <w:rPr>
          <w:rFonts w:hint="eastAsia" w:ascii="宋体" w:hAnsi="宋体" w:eastAsia="宋体" w:cs="宋体"/>
          <w:color w:val="auto"/>
          <w:sz w:val="24"/>
          <w:highlight w:val="none"/>
          <w:lang w:val="en-US" w:eastAsia="zh-CN"/>
        </w:rPr>
        <w:t>，并报告监管部门作不良行为处理和进一步调查；</w:t>
      </w:r>
    </w:p>
    <w:p w14:paraId="446CC0F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)招标公告未写明允许采购进口产品，投标人所投产品为进口产品的；</w:t>
      </w:r>
    </w:p>
    <w:p w14:paraId="7EFDEAD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)招标文件规定的其它无效投标情形。</w:t>
      </w:r>
    </w:p>
    <w:p w14:paraId="0CD8B37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投标人有下列情形之一的,符合性审查后其投标按无效投标处理：</w:t>
      </w:r>
    </w:p>
    <w:p w14:paraId="4AC4DB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(1)投标文件签字、盖章不全，经评标委员会一致认定对开评标内容有实质性影响并经公共资源交易监督部门核准的；</w:t>
      </w:r>
    </w:p>
    <w:p w14:paraId="103229B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(2)未按规定的格式填写导致实质性内容不全以及实质上不响应，或者关键字迹模糊、无法辨认； 经公共资源交易监督部门核准的；</w:t>
      </w:r>
    </w:p>
    <w:p w14:paraId="324545C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(3)同一投标人提交两个以上不同的投标文件或者投标报价，但招标文件规定提交备选方案的除外；</w:t>
      </w:r>
    </w:p>
    <w:p w14:paraId="56117AA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(4)投标文件没有对招标文件的实质性要求和条件作出响应;</w:t>
      </w:r>
    </w:p>
    <w:p w14:paraId="19E824D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(5)投标报价超出规定的投标限价或公布的采购预算的或投标人的投标报价各项单价高于招标文件给定的单价最高限价；</w:t>
      </w:r>
    </w:p>
    <w:p w14:paraId="44BCB3FC">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(6)不按评标委员会要求澄清、说明或补正的，或者评标委员会根据招标文件的规定对投标文件的计算错误进行修正后，投标人不接受修正的投标报价的。</w:t>
      </w:r>
    </w:p>
    <w:p w14:paraId="5D428E0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(7)其它情形，经评标委员会委提出按无效投标处理，并经公共资源交易监督部门核准的；</w:t>
      </w:r>
    </w:p>
    <w:p w14:paraId="678A346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(8)投标文件含有采购人不能接受的附加条件的；</w:t>
      </w:r>
    </w:p>
    <w:p w14:paraId="777E132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(9)招标文件规定的其它无效投标情形。</w:t>
      </w:r>
    </w:p>
    <w:p w14:paraId="5D33EE1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 投标人有下列情形之一的, 详细评审后其投标按无效投标处理：</w:t>
      </w:r>
    </w:p>
    <w:p w14:paraId="1845F68E">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(1)投标产品不符合必须强制执行的国家标准的；</w:t>
      </w:r>
    </w:p>
    <w:p w14:paraId="70B2452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(2)投标人有串通投标、弄虚作假、行贿等违法行为；</w:t>
      </w:r>
    </w:p>
    <w:p w14:paraId="19EBF40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(3)投标文件含有违反国家法律、法规的内容，或附有采购人不能接受的条件的；</w:t>
      </w:r>
    </w:p>
    <w:p w14:paraId="3BCDA4D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)拒不确认评标委员会评审修正的投标无效；</w:t>
      </w:r>
    </w:p>
    <w:p w14:paraId="221E3E2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641BF9D6">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)招标文件规定的其它无效投标情形。</w:t>
      </w: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47"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7"/>
    </w:p>
    <w:p w14:paraId="481E7F4D">
      <w:pPr>
        <w:pStyle w:val="11"/>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024A07">
      <w:pPr>
        <w:pStyle w:val="11"/>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78A44062">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029A7159">
      <w:pPr>
        <w:spacing w:line="480" w:lineRule="auto"/>
        <w:jc w:val="center"/>
        <w:rPr>
          <w:rFonts w:ascii="宋体" w:hAnsi="宋体" w:eastAsia="宋体" w:cs="Times New Roman"/>
          <w:b/>
          <w:color w:val="auto"/>
          <w:sz w:val="24"/>
          <w:szCs w:val="24"/>
          <w:highlight w:val="none"/>
        </w:rPr>
      </w:pPr>
    </w:p>
    <w:p w14:paraId="7EE9BADA">
      <w:pPr>
        <w:spacing w:line="480" w:lineRule="auto"/>
        <w:jc w:val="center"/>
        <w:rPr>
          <w:rFonts w:ascii="宋体" w:hAnsi="宋体" w:eastAsia="宋体" w:cs="Times New Roman"/>
          <w:b/>
          <w:color w:val="auto"/>
          <w:sz w:val="24"/>
          <w:szCs w:val="24"/>
          <w:highlight w:val="none"/>
        </w:rPr>
      </w:pPr>
    </w:p>
    <w:p w14:paraId="0FC38AE6">
      <w:pPr>
        <w:spacing w:line="480" w:lineRule="auto"/>
        <w:jc w:val="center"/>
        <w:rPr>
          <w:rFonts w:ascii="宋体" w:hAnsi="宋体" w:eastAsia="宋体" w:cs="Times New Roman"/>
          <w:b/>
          <w:color w:val="auto"/>
          <w:sz w:val="24"/>
          <w:szCs w:val="24"/>
          <w:highlight w:val="none"/>
        </w:rPr>
      </w:pPr>
    </w:p>
    <w:p w14:paraId="03DF9DFF">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rPr>
        <w:t>滁州学院                   采购项目</w:t>
      </w:r>
    </w:p>
    <w:p w14:paraId="71113F1D">
      <w:pPr>
        <w:spacing w:before="120" w:line="480" w:lineRule="auto"/>
        <w:ind w:left="96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rPr>
        <w:t>某编号</w:t>
      </w:r>
    </w:p>
    <w:p w14:paraId="5662E031">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rPr>
        <w:t xml:space="preserve">                              </w:t>
      </w:r>
    </w:p>
    <w:p w14:paraId="08C4C1FF">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03020C48">
      <w:pPr>
        <w:spacing w:before="120" w:line="480" w:lineRule="auto"/>
        <w:ind w:firstLine="960" w:firstLineChars="4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1D1407D2">
      <w:pPr>
        <w:spacing w:before="120" w:line="480" w:lineRule="auto"/>
        <w:ind w:firstLine="960" w:firstLineChars="4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637DD460">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0C6425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滁州学院</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s="Times New Roman"/>
          <w:i/>
          <w:iCs/>
          <w:color w:val="auto"/>
          <w:sz w:val="24"/>
          <w:szCs w:val="24"/>
          <w:highlight w:val="none"/>
          <w:u w:val="single"/>
        </w:rPr>
        <w:t>（中标人名称）</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413CF53F">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57C7DE66">
      <w:pPr>
        <w:spacing w:line="360" w:lineRule="auto"/>
        <w:ind w:firstLine="437"/>
        <w:outlineLvl w:val="2"/>
        <w:rPr>
          <w:rFonts w:ascii="宋体" w:hAnsi="宋体" w:eastAsia="宋体" w:cs="Times New Roman"/>
          <w:b/>
          <w:bCs/>
          <w:color w:val="auto"/>
          <w:sz w:val="24"/>
          <w:szCs w:val="24"/>
          <w:highlight w:val="none"/>
          <w:lang w:val="zh-CN"/>
        </w:rPr>
      </w:pPr>
      <w:bookmarkStart w:id="48" w:name="_Toc24059"/>
      <w:bookmarkStart w:id="49" w:name="_Toc3029"/>
      <w:bookmarkStart w:id="50" w:name="_Toc2232"/>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48"/>
      <w:bookmarkEnd w:id="49"/>
      <w:bookmarkEnd w:id="50"/>
    </w:p>
    <w:p w14:paraId="75C98F7F">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9E6F082">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48BD2510">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69CFC93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629954D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5AFFBBB1">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12635C7D">
      <w:pPr>
        <w:spacing w:line="360" w:lineRule="auto"/>
        <w:ind w:firstLine="437"/>
        <w:outlineLvl w:val="2"/>
        <w:rPr>
          <w:rFonts w:ascii="宋体" w:hAnsi="宋体" w:eastAsia="宋体" w:cs="Times New Roman"/>
          <w:b/>
          <w:bCs/>
          <w:color w:val="auto"/>
          <w:sz w:val="24"/>
          <w:szCs w:val="24"/>
          <w:highlight w:val="none"/>
          <w:lang w:val="zh-CN"/>
        </w:rPr>
      </w:pPr>
      <w:bookmarkStart w:id="51" w:name="_Toc24300"/>
      <w:bookmarkStart w:id="52" w:name="_Toc27126"/>
      <w:bookmarkStart w:id="53" w:name="_Toc21295"/>
      <w:r>
        <w:rPr>
          <w:rFonts w:hint="eastAsia" w:ascii="宋体" w:hAnsi="宋体" w:eastAsia="宋体" w:cs="Times New Roman"/>
          <w:b/>
          <w:bCs/>
          <w:color w:val="auto"/>
          <w:sz w:val="24"/>
          <w:szCs w:val="24"/>
          <w:highlight w:val="none"/>
          <w:lang w:val="zh-CN"/>
        </w:rPr>
        <w:t>1.2</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货物</w:t>
      </w:r>
      <w:bookmarkEnd w:id="51"/>
      <w:bookmarkEnd w:id="52"/>
      <w:bookmarkEnd w:id="53"/>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99C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46BD6A99">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序号</w:t>
            </w:r>
          </w:p>
        </w:tc>
        <w:tc>
          <w:tcPr>
            <w:tcW w:w="1515" w:type="dxa"/>
            <w:noWrap w:val="0"/>
            <w:vAlign w:val="center"/>
          </w:tcPr>
          <w:p w14:paraId="1AA5AFC3">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货物名称</w:t>
            </w:r>
          </w:p>
        </w:tc>
        <w:tc>
          <w:tcPr>
            <w:tcW w:w="1515" w:type="dxa"/>
            <w:noWrap w:val="0"/>
            <w:vAlign w:val="center"/>
          </w:tcPr>
          <w:p w14:paraId="42044A97">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规格型号</w:t>
            </w:r>
          </w:p>
        </w:tc>
        <w:tc>
          <w:tcPr>
            <w:tcW w:w="1512" w:type="dxa"/>
            <w:noWrap w:val="0"/>
            <w:vAlign w:val="center"/>
          </w:tcPr>
          <w:p w14:paraId="65ECF168">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单位</w:t>
            </w:r>
          </w:p>
        </w:tc>
        <w:tc>
          <w:tcPr>
            <w:tcW w:w="1512" w:type="dxa"/>
            <w:noWrap w:val="0"/>
            <w:vAlign w:val="center"/>
          </w:tcPr>
          <w:p w14:paraId="29C410AC">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数量</w:t>
            </w:r>
          </w:p>
        </w:tc>
        <w:tc>
          <w:tcPr>
            <w:tcW w:w="1508" w:type="dxa"/>
            <w:noWrap w:val="0"/>
            <w:vAlign w:val="center"/>
          </w:tcPr>
          <w:p w14:paraId="05F7958A">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生产厂商</w:t>
            </w:r>
          </w:p>
        </w:tc>
      </w:tr>
      <w:tr w14:paraId="47A4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2A54CA26">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1515" w:type="dxa"/>
            <w:noWrap w:val="0"/>
            <w:vAlign w:val="center"/>
          </w:tcPr>
          <w:p w14:paraId="1B8D7A00">
            <w:pPr>
              <w:jc w:val="center"/>
              <w:rPr>
                <w:rFonts w:ascii="宋体" w:hAnsi="宋体" w:eastAsia="宋体" w:cs="Times New Roman"/>
                <w:color w:val="auto"/>
                <w:sz w:val="24"/>
                <w:szCs w:val="24"/>
                <w:highlight w:val="none"/>
                <w:lang w:val="zh-CN"/>
              </w:rPr>
            </w:pPr>
          </w:p>
        </w:tc>
        <w:tc>
          <w:tcPr>
            <w:tcW w:w="1515" w:type="dxa"/>
            <w:noWrap w:val="0"/>
            <w:vAlign w:val="center"/>
          </w:tcPr>
          <w:p w14:paraId="5497F8B2">
            <w:pPr>
              <w:jc w:val="center"/>
              <w:rPr>
                <w:rFonts w:ascii="宋体" w:hAnsi="宋体" w:eastAsia="宋体" w:cs="Times New Roman"/>
                <w:color w:val="auto"/>
                <w:sz w:val="24"/>
                <w:szCs w:val="24"/>
                <w:highlight w:val="none"/>
                <w:lang w:val="zh-CN"/>
              </w:rPr>
            </w:pPr>
          </w:p>
        </w:tc>
        <w:tc>
          <w:tcPr>
            <w:tcW w:w="1512" w:type="dxa"/>
            <w:noWrap w:val="0"/>
            <w:vAlign w:val="center"/>
          </w:tcPr>
          <w:p w14:paraId="108B3C56">
            <w:pPr>
              <w:jc w:val="center"/>
              <w:rPr>
                <w:rFonts w:ascii="宋体" w:hAnsi="宋体" w:eastAsia="宋体" w:cs="Times New Roman"/>
                <w:color w:val="auto"/>
                <w:sz w:val="24"/>
                <w:szCs w:val="24"/>
                <w:highlight w:val="none"/>
                <w:lang w:val="zh-CN"/>
              </w:rPr>
            </w:pPr>
          </w:p>
        </w:tc>
        <w:tc>
          <w:tcPr>
            <w:tcW w:w="1512" w:type="dxa"/>
            <w:noWrap w:val="0"/>
            <w:vAlign w:val="center"/>
          </w:tcPr>
          <w:p w14:paraId="4A837744">
            <w:pPr>
              <w:jc w:val="center"/>
              <w:rPr>
                <w:rFonts w:ascii="宋体" w:hAnsi="宋体" w:eastAsia="宋体" w:cs="Times New Roman"/>
                <w:color w:val="auto"/>
                <w:sz w:val="24"/>
                <w:szCs w:val="24"/>
                <w:highlight w:val="none"/>
                <w:lang w:val="zh-CN"/>
              </w:rPr>
            </w:pPr>
          </w:p>
        </w:tc>
        <w:tc>
          <w:tcPr>
            <w:tcW w:w="1508" w:type="dxa"/>
            <w:noWrap w:val="0"/>
            <w:vAlign w:val="center"/>
          </w:tcPr>
          <w:p w14:paraId="65D22EB8">
            <w:pPr>
              <w:jc w:val="center"/>
              <w:rPr>
                <w:rFonts w:ascii="宋体" w:hAnsi="宋体" w:eastAsia="宋体" w:cs="Times New Roman"/>
                <w:color w:val="auto"/>
                <w:sz w:val="24"/>
                <w:szCs w:val="24"/>
                <w:highlight w:val="none"/>
                <w:lang w:val="zh-CN"/>
              </w:rPr>
            </w:pPr>
          </w:p>
        </w:tc>
      </w:tr>
      <w:tr w14:paraId="000A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2B5308AE">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1515" w:type="dxa"/>
            <w:noWrap w:val="0"/>
            <w:vAlign w:val="center"/>
          </w:tcPr>
          <w:p w14:paraId="38AE4A7B">
            <w:pPr>
              <w:jc w:val="center"/>
              <w:rPr>
                <w:rFonts w:ascii="宋体" w:hAnsi="宋体" w:eastAsia="宋体" w:cs="Times New Roman"/>
                <w:color w:val="auto"/>
                <w:sz w:val="24"/>
                <w:szCs w:val="24"/>
                <w:highlight w:val="none"/>
                <w:lang w:val="zh-CN"/>
              </w:rPr>
            </w:pPr>
          </w:p>
        </w:tc>
        <w:tc>
          <w:tcPr>
            <w:tcW w:w="1515" w:type="dxa"/>
            <w:noWrap w:val="0"/>
            <w:vAlign w:val="center"/>
          </w:tcPr>
          <w:p w14:paraId="241F976B">
            <w:pPr>
              <w:jc w:val="center"/>
              <w:rPr>
                <w:rFonts w:ascii="宋体" w:hAnsi="宋体" w:eastAsia="宋体" w:cs="Times New Roman"/>
                <w:color w:val="auto"/>
                <w:sz w:val="24"/>
                <w:szCs w:val="24"/>
                <w:highlight w:val="none"/>
                <w:lang w:val="zh-CN"/>
              </w:rPr>
            </w:pPr>
          </w:p>
        </w:tc>
        <w:tc>
          <w:tcPr>
            <w:tcW w:w="1512" w:type="dxa"/>
            <w:noWrap w:val="0"/>
            <w:vAlign w:val="center"/>
          </w:tcPr>
          <w:p w14:paraId="692A8E34">
            <w:pPr>
              <w:jc w:val="center"/>
              <w:rPr>
                <w:rFonts w:ascii="宋体" w:hAnsi="宋体" w:eastAsia="宋体" w:cs="Times New Roman"/>
                <w:color w:val="auto"/>
                <w:sz w:val="24"/>
                <w:szCs w:val="24"/>
                <w:highlight w:val="none"/>
                <w:lang w:val="zh-CN"/>
              </w:rPr>
            </w:pPr>
          </w:p>
        </w:tc>
        <w:tc>
          <w:tcPr>
            <w:tcW w:w="1512" w:type="dxa"/>
            <w:noWrap w:val="0"/>
            <w:vAlign w:val="center"/>
          </w:tcPr>
          <w:p w14:paraId="3F2D2F8F">
            <w:pPr>
              <w:jc w:val="center"/>
              <w:rPr>
                <w:rFonts w:ascii="宋体" w:hAnsi="宋体" w:eastAsia="宋体" w:cs="Times New Roman"/>
                <w:color w:val="auto"/>
                <w:sz w:val="24"/>
                <w:szCs w:val="24"/>
                <w:highlight w:val="none"/>
                <w:lang w:val="zh-CN"/>
              </w:rPr>
            </w:pPr>
          </w:p>
        </w:tc>
        <w:tc>
          <w:tcPr>
            <w:tcW w:w="1508" w:type="dxa"/>
            <w:noWrap w:val="0"/>
            <w:vAlign w:val="center"/>
          </w:tcPr>
          <w:p w14:paraId="55BA614F">
            <w:pPr>
              <w:jc w:val="center"/>
              <w:rPr>
                <w:rFonts w:ascii="宋体" w:hAnsi="宋体" w:eastAsia="宋体" w:cs="Times New Roman"/>
                <w:color w:val="auto"/>
                <w:sz w:val="24"/>
                <w:szCs w:val="24"/>
                <w:highlight w:val="none"/>
                <w:lang w:val="zh-CN"/>
              </w:rPr>
            </w:pPr>
          </w:p>
        </w:tc>
      </w:tr>
      <w:tr w14:paraId="2417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462714FD">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1515" w:type="dxa"/>
            <w:noWrap w:val="0"/>
            <w:vAlign w:val="center"/>
          </w:tcPr>
          <w:p w14:paraId="3BB5576C">
            <w:pPr>
              <w:jc w:val="center"/>
              <w:rPr>
                <w:rFonts w:ascii="宋体" w:hAnsi="宋体" w:eastAsia="宋体" w:cs="Times New Roman"/>
                <w:color w:val="auto"/>
                <w:sz w:val="24"/>
                <w:szCs w:val="24"/>
                <w:highlight w:val="none"/>
                <w:lang w:val="zh-CN"/>
              </w:rPr>
            </w:pPr>
          </w:p>
        </w:tc>
        <w:tc>
          <w:tcPr>
            <w:tcW w:w="1515" w:type="dxa"/>
            <w:noWrap w:val="0"/>
            <w:vAlign w:val="center"/>
          </w:tcPr>
          <w:p w14:paraId="595CB5FF">
            <w:pPr>
              <w:jc w:val="center"/>
              <w:rPr>
                <w:rFonts w:ascii="宋体" w:hAnsi="宋体" w:eastAsia="宋体" w:cs="Times New Roman"/>
                <w:color w:val="auto"/>
                <w:sz w:val="24"/>
                <w:szCs w:val="24"/>
                <w:highlight w:val="none"/>
                <w:lang w:val="zh-CN"/>
              </w:rPr>
            </w:pPr>
          </w:p>
        </w:tc>
        <w:tc>
          <w:tcPr>
            <w:tcW w:w="1512" w:type="dxa"/>
            <w:noWrap w:val="0"/>
            <w:vAlign w:val="center"/>
          </w:tcPr>
          <w:p w14:paraId="2B22F98B">
            <w:pPr>
              <w:jc w:val="center"/>
              <w:rPr>
                <w:rFonts w:ascii="宋体" w:hAnsi="宋体" w:eastAsia="宋体" w:cs="Times New Roman"/>
                <w:color w:val="auto"/>
                <w:sz w:val="24"/>
                <w:szCs w:val="24"/>
                <w:highlight w:val="none"/>
                <w:lang w:val="zh-CN"/>
              </w:rPr>
            </w:pPr>
          </w:p>
        </w:tc>
        <w:tc>
          <w:tcPr>
            <w:tcW w:w="1512" w:type="dxa"/>
            <w:noWrap w:val="0"/>
            <w:vAlign w:val="center"/>
          </w:tcPr>
          <w:p w14:paraId="49A5A648">
            <w:pPr>
              <w:jc w:val="center"/>
              <w:rPr>
                <w:rFonts w:ascii="宋体" w:hAnsi="宋体" w:eastAsia="宋体" w:cs="Times New Roman"/>
                <w:color w:val="auto"/>
                <w:sz w:val="24"/>
                <w:szCs w:val="24"/>
                <w:highlight w:val="none"/>
                <w:lang w:val="zh-CN"/>
              </w:rPr>
            </w:pPr>
          </w:p>
        </w:tc>
        <w:tc>
          <w:tcPr>
            <w:tcW w:w="1508" w:type="dxa"/>
            <w:noWrap w:val="0"/>
            <w:vAlign w:val="center"/>
          </w:tcPr>
          <w:p w14:paraId="7301BC17">
            <w:pPr>
              <w:jc w:val="center"/>
              <w:rPr>
                <w:rFonts w:ascii="宋体" w:hAnsi="宋体" w:eastAsia="宋体" w:cs="Times New Roman"/>
                <w:color w:val="auto"/>
                <w:sz w:val="24"/>
                <w:szCs w:val="24"/>
                <w:highlight w:val="none"/>
                <w:lang w:val="zh-CN"/>
              </w:rPr>
            </w:pPr>
          </w:p>
        </w:tc>
      </w:tr>
      <w:tr w14:paraId="7958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1A69E535">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1515" w:type="dxa"/>
            <w:noWrap w:val="0"/>
            <w:vAlign w:val="center"/>
          </w:tcPr>
          <w:p w14:paraId="4CB655F9">
            <w:pPr>
              <w:jc w:val="center"/>
              <w:rPr>
                <w:rFonts w:ascii="宋体" w:hAnsi="宋体" w:eastAsia="宋体" w:cs="Times New Roman"/>
                <w:color w:val="auto"/>
                <w:sz w:val="24"/>
                <w:szCs w:val="24"/>
                <w:highlight w:val="none"/>
                <w:lang w:val="zh-CN"/>
              </w:rPr>
            </w:pPr>
          </w:p>
        </w:tc>
        <w:tc>
          <w:tcPr>
            <w:tcW w:w="1515" w:type="dxa"/>
            <w:noWrap w:val="0"/>
            <w:vAlign w:val="center"/>
          </w:tcPr>
          <w:p w14:paraId="71FB34F6">
            <w:pPr>
              <w:jc w:val="center"/>
              <w:rPr>
                <w:rFonts w:ascii="宋体" w:hAnsi="宋体" w:eastAsia="宋体" w:cs="Times New Roman"/>
                <w:color w:val="auto"/>
                <w:sz w:val="24"/>
                <w:szCs w:val="24"/>
                <w:highlight w:val="none"/>
                <w:lang w:val="zh-CN"/>
              </w:rPr>
            </w:pPr>
          </w:p>
        </w:tc>
        <w:tc>
          <w:tcPr>
            <w:tcW w:w="1512" w:type="dxa"/>
            <w:noWrap w:val="0"/>
            <w:vAlign w:val="center"/>
          </w:tcPr>
          <w:p w14:paraId="73594EF3">
            <w:pPr>
              <w:jc w:val="center"/>
              <w:rPr>
                <w:rFonts w:ascii="宋体" w:hAnsi="宋体" w:eastAsia="宋体" w:cs="Times New Roman"/>
                <w:color w:val="auto"/>
                <w:sz w:val="24"/>
                <w:szCs w:val="24"/>
                <w:highlight w:val="none"/>
                <w:lang w:val="zh-CN"/>
              </w:rPr>
            </w:pPr>
          </w:p>
        </w:tc>
        <w:tc>
          <w:tcPr>
            <w:tcW w:w="1512" w:type="dxa"/>
            <w:noWrap w:val="0"/>
            <w:vAlign w:val="center"/>
          </w:tcPr>
          <w:p w14:paraId="6AD2115F">
            <w:pPr>
              <w:jc w:val="center"/>
              <w:rPr>
                <w:rFonts w:ascii="宋体" w:hAnsi="宋体" w:eastAsia="宋体" w:cs="Times New Roman"/>
                <w:color w:val="auto"/>
                <w:sz w:val="24"/>
                <w:szCs w:val="24"/>
                <w:highlight w:val="none"/>
                <w:lang w:val="zh-CN"/>
              </w:rPr>
            </w:pPr>
          </w:p>
        </w:tc>
        <w:tc>
          <w:tcPr>
            <w:tcW w:w="1508" w:type="dxa"/>
            <w:noWrap w:val="0"/>
            <w:vAlign w:val="center"/>
          </w:tcPr>
          <w:p w14:paraId="0B9D5225">
            <w:pPr>
              <w:jc w:val="center"/>
              <w:rPr>
                <w:rFonts w:ascii="宋体" w:hAnsi="宋体" w:eastAsia="宋体" w:cs="Times New Roman"/>
                <w:color w:val="auto"/>
                <w:sz w:val="24"/>
                <w:szCs w:val="24"/>
                <w:highlight w:val="none"/>
                <w:lang w:val="zh-CN"/>
              </w:rPr>
            </w:pPr>
          </w:p>
        </w:tc>
      </w:tr>
    </w:tbl>
    <w:p w14:paraId="41DA82D2">
      <w:pPr>
        <w:spacing w:line="360" w:lineRule="auto"/>
        <w:ind w:firstLine="437"/>
        <w:outlineLvl w:val="2"/>
        <w:rPr>
          <w:rFonts w:ascii="宋体" w:hAnsi="宋体" w:eastAsia="宋体" w:cs="Times New Roman"/>
          <w:b/>
          <w:bCs/>
          <w:color w:val="auto"/>
          <w:sz w:val="24"/>
          <w:szCs w:val="24"/>
          <w:highlight w:val="none"/>
          <w:lang w:val="zh-CN"/>
        </w:rPr>
      </w:pPr>
      <w:bookmarkStart w:id="54" w:name="_Toc23292"/>
      <w:bookmarkStart w:id="55" w:name="_Toc21551"/>
      <w:bookmarkStart w:id="56" w:name="_Toc2163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54"/>
      <w:bookmarkEnd w:id="55"/>
      <w:bookmarkEnd w:id="56"/>
    </w:p>
    <w:p w14:paraId="3F8B6CE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4B994CF0">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5A7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1FDE1BBF">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序号</w:t>
            </w:r>
          </w:p>
        </w:tc>
        <w:tc>
          <w:tcPr>
            <w:tcW w:w="4316" w:type="dxa"/>
            <w:noWrap w:val="0"/>
            <w:vAlign w:val="center"/>
          </w:tcPr>
          <w:p w14:paraId="06AC2597">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58E57CD4">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分项价格</w:t>
            </w:r>
          </w:p>
        </w:tc>
      </w:tr>
      <w:tr w14:paraId="4902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5790A31B">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77569752">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7E2926A3">
            <w:pPr>
              <w:ind w:firstLine="200"/>
              <w:jc w:val="center"/>
              <w:rPr>
                <w:rFonts w:ascii="宋体" w:hAnsi="宋体" w:eastAsia="宋体" w:cs="Times New Roman"/>
                <w:color w:val="auto"/>
                <w:sz w:val="24"/>
                <w:szCs w:val="24"/>
                <w:highlight w:val="none"/>
              </w:rPr>
            </w:pPr>
          </w:p>
        </w:tc>
      </w:tr>
      <w:tr w14:paraId="4601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3E5A3A7">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70AA0412">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414E1ABB">
            <w:pPr>
              <w:ind w:firstLine="200"/>
              <w:jc w:val="center"/>
              <w:rPr>
                <w:rFonts w:ascii="宋体" w:hAnsi="宋体" w:eastAsia="宋体" w:cs="Times New Roman"/>
                <w:color w:val="auto"/>
                <w:sz w:val="24"/>
                <w:szCs w:val="24"/>
                <w:highlight w:val="none"/>
              </w:rPr>
            </w:pPr>
          </w:p>
        </w:tc>
      </w:tr>
      <w:tr w14:paraId="0769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106AF70">
            <w:pPr>
              <w:jc w:val="center"/>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3</w:t>
            </w:r>
          </w:p>
        </w:tc>
        <w:tc>
          <w:tcPr>
            <w:tcW w:w="4316" w:type="dxa"/>
            <w:noWrap w:val="0"/>
            <w:vAlign w:val="center"/>
          </w:tcPr>
          <w:p w14:paraId="39916EED">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14A7A9E3">
            <w:pPr>
              <w:ind w:firstLine="200"/>
              <w:jc w:val="center"/>
              <w:rPr>
                <w:rFonts w:ascii="宋体" w:hAnsi="宋体" w:eastAsia="宋体" w:cs="Times New Roman"/>
                <w:color w:val="auto"/>
                <w:sz w:val="24"/>
                <w:szCs w:val="24"/>
                <w:highlight w:val="none"/>
              </w:rPr>
            </w:pPr>
          </w:p>
        </w:tc>
      </w:tr>
      <w:tr w14:paraId="793C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101B736">
            <w:pPr>
              <w:jc w:val="center"/>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4687DD2F">
            <w:pPr>
              <w:ind w:firstLine="200"/>
              <w:jc w:val="center"/>
              <w:rPr>
                <w:rFonts w:ascii="宋体" w:hAnsi="宋体" w:eastAsia="宋体" w:cs="Times New Roman"/>
                <w:color w:val="auto"/>
                <w:sz w:val="24"/>
                <w:szCs w:val="24"/>
                <w:highlight w:val="none"/>
              </w:rPr>
            </w:pPr>
          </w:p>
        </w:tc>
        <w:tc>
          <w:tcPr>
            <w:tcW w:w="3237" w:type="dxa"/>
            <w:gridSpan w:val="2"/>
            <w:noWrap w:val="0"/>
            <w:vAlign w:val="center"/>
          </w:tcPr>
          <w:p w14:paraId="3C90D30D">
            <w:pPr>
              <w:ind w:firstLine="200"/>
              <w:jc w:val="center"/>
              <w:rPr>
                <w:rFonts w:ascii="宋体" w:hAnsi="宋体" w:eastAsia="宋体" w:cs="Times New Roman"/>
                <w:color w:val="auto"/>
                <w:sz w:val="24"/>
                <w:szCs w:val="24"/>
                <w:highlight w:val="none"/>
              </w:rPr>
            </w:pPr>
          </w:p>
        </w:tc>
      </w:tr>
      <w:tr w14:paraId="6F8B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3C54D832">
            <w:pPr>
              <w:ind w:firstLine="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34514684">
            <w:pPr>
              <w:ind w:firstLine="200"/>
              <w:jc w:val="center"/>
              <w:rPr>
                <w:rFonts w:ascii="宋体" w:hAnsi="宋体" w:eastAsia="宋体" w:cs="Times New Roman"/>
                <w:color w:val="auto"/>
                <w:sz w:val="24"/>
                <w:szCs w:val="24"/>
                <w:highlight w:val="none"/>
              </w:rPr>
            </w:pPr>
          </w:p>
        </w:tc>
      </w:tr>
    </w:tbl>
    <w:p w14:paraId="2BC9F425">
      <w:pPr>
        <w:spacing w:line="360" w:lineRule="auto"/>
        <w:ind w:firstLine="437"/>
        <w:outlineLvl w:val="2"/>
        <w:rPr>
          <w:rFonts w:ascii="宋体" w:hAnsi="宋体" w:eastAsia="宋体" w:cs="Times New Roman"/>
          <w:b/>
          <w:bCs/>
          <w:color w:val="auto"/>
          <w:sz w:val="24"/>
          <w:szCs w:val="24"/>
          <w:highlight w:val="none"/>
          <w:lang w:val="zh-CN"/>
        </w:rPr>
      </w:pPr>
      <w:bookmarkStart w:id="57" w:name="_Toc1814"/>
      <w:bookmarkStart w:id="58" w:name="_Toc10340"/>
      <w:bookmarkStart w:id="59" w:name="_Toc22618"/>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57"/>
      <w:bookmarkEnd w:id="58"/>
      <w:bookmarkEnd w:id="59"/>
    </w:p>
    <w:p w14:paraId="371D9991">
      <w:pPr>
        <w:spacing w:line="360" w:lineRule="auto"/>
        <w:ind w:firstLine="435"/>
        <w:rPr>
          <w:rFonts w:hint="eastAsia" w:ascii="宋体" w:hAnsi="宋体" w:eastAsia="宋体" w:cs="Times New Roman"/>
          <w:color w:val="auto"/>
          <w:sz w:val="24"/>
          <w:szCs w:val="24"/>
          <w:highlight w:val="none"/>
          <w:u w:val="single"/>
          <w:lang w:eastAsia="zh-CN"/>
        </w:rPr>
      </w:pPr>
      <w:bookmarkStart w:id="60" w:name="_Toc19304"/>
      <w:bookmarkStart w:id="61" w:name="_Toc2846"/>
      <w:bookmarkStart w:id="62" w:name="_Toc32071"/>
      <w:bookmarkStart w:id="63" w:name="_Toc21423"/>
      <w:bookmarkStart w:id="64" w:name="_Toc19554"/>
      <w:bookmarkStart w:id="65" w:name="_Toc27250"/>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宋体"/>
          <w:b w:val="0"/>
          <w:bCs w:val="0"/>
          <w:color w:val="auto"/>
          <w:sz w:val="24"/>
          <w:szCs w:val="24"/>
          <w:highlight w:val="none"/>
          <w:u w:val="single"/>
        </w:rPr>
        <w:t>合同签订后，具备实施条件后支付合同价的40%预付款（预付款支付前，中标人须提供同等金额的见索即付保函），全部供货安装调试完毕并由采购人验收合格后，一次性付清合同款。</w:t>
      </w:r>
    </w:p>
    <w:p w14:paraId="7F049A5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增值税专用发票            </w:t>
      </w:r>
      <w:r>
        <w:rPr>
          <w:rFonts w:hint="eastAsia" w:ascii="宋体" w:hAnsi="宋体" w:eastAsia="宋体" w:cs="Times New Roman"/>
          <w:color w:val="auto"/>
          <w:sz w:val="24"/>
          <w:szCs w:val="24"/>
          <w:highlight w:val="none"/>
        </w:rPr>
        <w:t>。</w:t>
      </w:r>
    </w:p>
    <w:p w14:paraId="5B3CDB52">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5 货物交付期限</w:t>
      </w:r>
      <w:r>
        <w:rPr>
          <w:rFonts w:hint="eastAsia" w:ascii="宋体" w:hAnsi="宋体" w:eastAsia="宋体" w:cs="Times New Roman"/>
          <w:b/>
          <w:bCs/>
          <w:color w:val="auto"/>
          <w:sz w:val="24"/>
          <w:szCs w:val="24"/>
          <w:highlight w:val="none"/>
          <w:lang w:val="zh-CN"/>
        </w:rPr>
        <w:t>、地点和方式</w:t>
      </w:r>
      <w:bookmarkEnd w:id="60"/>
      <w:bookmarkEnd w:id="61"/>
      <w:bookmarkEnd w:id="62"/>
    </w:p>
    <w:p w14:paraId="23937C30">
      <w:pPr>
        <w:spacing w:line="360" w:lineRule="auto"/>
        <w:ind w:firstLine="435"/>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lang w:val="en-US" w:eastAsia="zh-CN"/>
        </w:rPr>
        <w:t>1.5.1交付期限：</w:t>
      </w:r>
      <w:r>
        <w:rPr>
          <w:rFonts w:hint="eastAsia" w:ascii="宋体" w:hAnsi="宋体" w:eastAsia="宋体" w:cs="Times New Roman"/>
          <w:color w:val="auto"/>
          <w:sz w:val="24"/>
          <w:szCs w:val="24"/>
          <w:highlight w:val="none"/>
          <w:u w:val="single"/>
          <w:lang w:val="en-US" w:eastAsia="zh-CN"/>
        </w:rPr>
        <w:t>自合同签订生效后，接到采购人通知之日起30个日历天内完成货物的供货、安装、调试工作，并验收合格交付使用。延期交付使用按5000元（伍仟元整）/天违约处置，费用直接从结算款中扣除。</w:t>
      </w:r>
    </w:p>
    <w:p w14:paraId="0F07299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1.5.2交付地点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滁州学院会峰校区内，采购人指定地点。            </w:t>
      </w:r>
      <w:r>
        <w:rPr>
          <w:rFonts w:hint="eastAsia" w:ascii="宋体" w:hAnsi="宋体" w:eastAsia="宋体" w:cs="Times New Roman"/>
          <w:color w:val="auto"/>
          <w:sz w:val="24"/>
          <w:szCs w:val="24"/>
          <w:highlight w:val="none"/>
        </w:rPr>
        <w:t>；</w:t>
      </w:r>
    </w:p>
    <w:p w14:paraId="425D828C">
      <w:pPr>
        <w:spacing w:line="360" w:lineRule="auto"/>
        <w:ind w:firstLine="43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1.5.3交付方式：</w:t>
      </w:r>
      <w:r>
        <w:rPr>
          <w:rFonts w:hint="eastAsia" w:ascii="宋体" w:hAnsi="宋体" w:eastAsia="宋体" w:cs="Times New Roman"/>
          <w:color w:val="auto"/>
          <w:sz w:val="24"/>
          <w:szCs w:val="24"/>
          <w:highlight w:val="none"/>
          <w:u w:val="single"/>
        </w:rPr>
        <w:t xml:space="preserve"> 现实交付                                     </w:t>
      </w:r>
      <w:r>
        <w:rPr>
          <w:rFonts w:hint="eastAsia" w:ascii="宋体" w:hAnsi="宋体" w:eastAsia="宋体" w:cs="Times New Roman"/>
          <w:color w:val="auto"/>
          <w:sz w:val="24"/>
          <w:szCs w:val="24"/>
          <w:highlight w:val="none"/>
        </w:rPr>
        <w:t>；</w:t>
      </w:r>
    </w:p>
    <w:p w14:paraId="08B0B1D3">
      <w:pPr>
        <w:spacing w:line="360" w:lineRule="auto"/>
        <w:ind w:firstLine="437"/>
        <w:outlineLvl w:val="2"/>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1.5.4免费质保期：</w:t>
      </w:r>
      <w:r>
        <w:rPr>
          <w:rFonts w:hint="eastAsia" w:ascii="宋体" w:hAnsi="宋体" w:eastAsia="宋体" w:cs="Times New Roman"/>
          <w:color w:val="auto"/>
          <w:sz w:val="24"/>
          <w:szCs w:val="24"/>
          <w:highlight w:val="none"/>
          <w:u w:val="single"/>
        </w:rPr>
        <w:t>验收合格之日起      年的免费质保服务。</w:t>
      </w:r>
    </w:p>
    <w:p w14:paraId="5A4A2478">
      <w:pPr>
        <w:spacing w:line="360" w:lineRule="auto"/>
        <w:ind w:firstLine="437"/>
        <w:outlineLvl w:val="2"/>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1.6 违约责任</w:t>
      </w:r>
      <w:bookmarkEnd w:id="63"/>
      <w:bookmarkEnd w:id="64"/>
      <w:bookmarkEnd w:id="65"/>
    </w:p>
    <w:p w14:paraId="162AEFD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地点和方式交付货物，那么甲方可要求乙方支付违约金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违约金按每迟延交付货物一日的应交付而未交付货物价格的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迟延交付货物的违约金计算数额达到前述最高限额之日起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62BD254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0.1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5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3B7E93F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8D4BE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D8EFD4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181389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592896D6">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736FA924">
      <w:pPr>
        <w:spacing w:line="360" w:lineRule="auto"/>
        <w:ind w:firstLine="437"/>
        <w:outlineLvl w:val="2"/>
        <w:rPr>
          <w:rFonts w:ascii="宋体" w:hAnsi="宋体" w:eastAsia="宋体" w:cs="Times New Roman"/>
          <w:b/>
          <w:bCs/>
          <w:color w:val="auto"/>
          <w:sz w:val="24"/>
          <w:szCs w:val="24"/>
          <w:highlight w:val="none"/>
          <w:lang w:val="zh-CN"/>
        </w:rPr>
      </w:pPr>
      <w:bookmarkStart w:id="66" w:name="_Toc16021"/>
      <w:bookmarkStart w:id="67" w:name="_Toc15583"/>
      <w:bookmarkStart w:id="68" w:name="_Toc28375"/>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66"/>
      <w:bookmarkEnd w:id="67"/>
      <w:bookmarkEnd w:id="68"/>
    </w:p>
    <w:p w14:paraId="3E34526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1.7.2 </w:t>
      </w:r>
      <w:r>
        <w:rPr>
          <w:rFonts w:hint="eastAsia" w:ascii="宋体" w:hAnsi="宋体" w:eastAsia="宋体" w:cs="Times New Roman"/>
          <w:color w:val="auto"/>
          <w:sz w:val="24"/>
          <w:szCs w:val="24"/>
          <w:highlight w:val="none"/>
        </w:rPr>
        <w:t>种方式解决：</w:t>
      </w:r>
    </w:p>
    <w:p w14:paraId="7F66905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仲裁委员会依申请仲裁时其现行有效的仲裁规则裁决；</w:t>
      </w:r>
    </w:p>
    <w:p w14:paraId="32738A7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人民法院起诉。</w:t>
      </w:r>
    </w:p>
    <w:p w14:paraId="4154D309">
      <w:pPr>
        <w:spacing w:line="360" w:lineRule="auto"/>
        <w:ind w:firstLine="437"/>
        <w:outlineLvl w:val="2"/>
        <w:rPr>
          <w:rFonts w:ascii="宋体" w:hAnsi="宋体" w:eastAsia="宋体" w:cs="Times New Roman"/>
          <w:b/>
          <w:bCs/>
          <w:color w:val="auto"/>
          <w:sz w:val="24"/>
          <w:szCs w:val="24"/>
          <w:highlight w:val="none"/>
          <w:lang w:val="zh-CN"/>
        </w:rPr>
      </w:pPr>
      <w:bookmarkStart w:id="69" w:name="_Toc11173"/>
      <w:bookmarkStart w:id="70" w:name="_Toc15322"/>
      <w:bookmarkStart w:id="71" w:name="_Toc7245"/>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69"/>
      <w:bookmarkEnd w:id="70"/>
      <w:bookmarkEnd w:id="71"/>
    </w:p>
    <w:p w14:paraId="08A24A9C">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584DB79F">
      <w:pPr>
        <w:autoSpaceDE w:val="0"/>
        <w:autoSpaceDN w:val="0"/>
        <w:adjustRightInd w:val="0"/>
        <w:spacing w:line="560" w:lineRule="exact"/>
        <w:rPr>
          <w:rFonts w:ascii="宋体" w:hAnsi="宋体" w:eastAsia="宋体" w:cs="Times New Roman"/>
          <w:color w:val="auto"/>
          <w:sz w:val="24"/>
          <w:szCs w:val="24"/>
          <w:highlight w:val="none"/>
          <w:lang w:val="zh-CN"/>
        </w:rPr>
      </w:pPr>
    </w:p>
    <w:p w14:paraId="675CDA7E">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3630DEE7">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000CA2CD">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2A06D0BF">
      <w:pPr>
        <w:widowControl/>
        <w:spacing w:line="560" w:lineRule="exact"/>
        <w:jc w:val="left"/>
        <w:rPr>
          <w:rFonts w:ascii="宋体" w:hAnsi="宋体" w:eastAsia="宋体" w:cs="Times New Roman"/>
          <w:bCs/>
          <w:color w:val="auto"/>
          <w:sz w:val="24"/>
          <w:szCs w:val="24"/>
          <w:highlight w:val="none"/>
        </w:rPr>
      </w:pPr>
      <w:bookmarkStart w:id="72"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630D5A12">
      <w:pPr>
        <w:widowControl/>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0D5F09A5">
      <w:pPr>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61900742">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72"/>
    </w:p>
    <w:p w14:paraId="187F3570">
      <w:pPr>
        <w:spacing w:line="500" w:lineRule="exact"/>
        <w:ind w:firstLine="437"/>
        <w:jc w:val="left"/>
        <w:outlineLvl w:val="2"/>
        <w:rPr>
          <w:rFonts w:ascii="宋体" w:hAnsi="宋体" w:eastAsia="宋体" w:cs="Times New Roman"/>
          <w:b/>
          <w:bCs/>
          <w:color w:val="auto"/>
          <w:sz w:val="24"/>
          <w:szCs w:val="24"/>
          <w:highlight w:val="none"/>
          <w:lang w:val="zh-CN"/>
        </w:rPr>
      </w:pPr>
      <w:bookmarkStart w:id="73" w:name="_Ref467379094"/>
      <w:bookmarkStart w:id="74" w:name="_Toc19614"/>
      <w:bookmarkStart w:id="75" w:name="_Ref467378404"/>
      <w:bookmarkStart w:id="76" w:name="_Toc259093669"/>
      <w:bookmarkStart w:id="77" w:name="_Ref467379205"/>
      <w:bookmarkStart w:id="78" w:name="_Ref467379225"/>
      <w:bookmarkStart w:id="79" w:name="_Ref467379109"/>
      <w:bookmarkStart w:id="80" w:name="_Ref467378463"/>
      <w:bookmarkStart w:id="81" w:name="_Ref467379101"/>
      <w:bookmarkStart w:id="82" w:name="_Ref467379214"/>
      <w:bookmarkStart w:id="83" w:name="_Toc279701240"/>
      <w:bookmarkStart w:id="84" w:name="_Toc28763"/>
      <w:bookmarkStart w:id="85" w:name="_Ref467378499"/>
      <w:bookmarkStart w:id="86" w:name="_Ref467379195"/>
      <w:bookmarkStart w:id="87" w:name="_Toc16917"/>
      <w:bookmarkStart w:id="88" w:name="_Toc487900349"/>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210CDCA">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272BEEB6">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546EA88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1A25290D">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1.3“货物”系指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根据合同约定应向采购人交付的一切</w:t>
      </w:r>
      <w:r>
        <w:rPr>
          <w:rFonts w:hint="eastAsia" w:ascii="宋体" w:hAnsi="宋体" w:eastAsia="宋体" w:cs="Times New Roman"/>
          <w:color w:val="auto"/>
          <w:sz w:val="24"/>
          <w:szCs w:val="24"/>
          <w:highlight w:val="none"/>
        </w:rPr>
        <w:t>各种形态和种类的物品，包括原材料、燃料、设备、</w:t>
      </w:r>
      <w:r>
        <w:rPr>
          <w:rFonts w:ascii="宋体" w:hAnsi="宋体" w:eastAsia="宋体" w:cs="Times New Roman"/>
          <w:color w:val="auto"/>
          <w:sz w:val="24"/>
          <w:szCs w:val="24"/>
          <w:highlight w:val="none"/>
        </w:rPr>
        <w:t>机械、仪表、备件</w:t>
      </w:r>
      <w:r>
        <w:rPr>
          <w:rFonts w:hint="eastAsia" w:ascii="宋体" w:hAnsi="宋体" w:eastAsia="宋体" w:cs="Times New Roman"/>
          <w:color w:val="auto"/>
          <w:sz w:val="24"/>
          <w:szCs w:val="24"/>
          <w:highlight w:val="none"/>
        </w:rPr>
        <w:t>、计算机软件、产品等</w:t>
      </w:r>
      <w:r>
        <w:rPr>
          <w:rFonts w:ascii="宋体" w:hAnsi="宋体" w:eastAsia="宋体" w:cs="Times New Roman"/>
          <w:color w:val="auto"/>
          <w:sz w:val="24"/>
          <w:szCs w:val="24"/>
          <w:highlight w:val="none"/>
        </w:rPr>
        <w:t>，并包括工具、手册等其他相关资料。</w:t>
      </w:r>
    </w:p>
    <w:p w14:paraId="5E504866">
      <w:pPr>
        <w:spacing w:line="500" w:lineRule="exact"/>
        <w:ind w:firstLine="435"/>
        <w:jc w:val="left"/>
        <w:rPr>
          <w:rFonts w:ascii="宋体" w:hAnsi="宋体" w:eastAsia="宋体" w:cs="Times New Roman"/>
          <w:color w:val="auto"/>
          <w:sz w:val="24"/>
          <w:szCs w:val="24"/>
          <w:highlight w:val="none"/>
        </w:rPr>
      </w:pPr>
      <w:bookmarkStart w:id="89"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89"/>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74BF29EE">
      <w:pPr>
        <w:spacing w:line="500" w:lineRule="exact"/>
        <w:ind w:firstLine="435"/>
        <w:jc w:val="left"/>
        <w:rPr>
          <w:rFonts w:ascii="宋体" w:hAnsi="宋体" w:eastAsia="宋体" w:cs="Times New Roman"/>
          <w:color w:val="auto"/>
          <w:sz w:val="24"/>
          <w:szCs w:val="24"/>
          <w:highlight w:val="none"/>
        </w:rPr>
      </w:pPr>
      <w:bookmarkStart w:id="90"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“乙方”系指根据合同约定交付货物的中标人</w:t>
      </w:r>
      <w:bookmarkEnd w:id="90"/>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DF1F35E">
      <w:pPr>
        <w:spacing w:line="500" w:lineRule="exact"/>
        <w:ind w:firstLine="435"/>
        <w:jc w:val="left"/>
        <w:rPr>
          <w:rFonts w:ascii="宋体" w:hAnsi="宋体" w:eastAsia="宋体" w:cs="Times New Roman"/>
          <w:color w:val="auto"/>
          <w:sz w:val="24"/>
          <w:szCs w:val="24"/>
          <w:highlight w:val="none"/>
        </w:rPr>
      </w:pPr>
      <w:bookmarkStart w:id="91"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“现场”系指合同约定货物将要运至</w:t>
      </w:r>
      <w:r>
        <w:rPr>
          <w:rFonts w:hint="eastAsia" w:ascii="宋体" w:hAnsi="宋体" w:eastAsia="宋体" w:cs="Times New Roman"/>
          <w:color w:val="auto"/>
          <w:sz w:val="24"/>
          <w:szCs w:val="24"/>
          <w:highlight w:val="none"/>
        </w:rPr>
        <w:t>或者</w:t>
      </w:r>
      <w:r>
        <w:rPr>
          <w:rFonts w:ascii="宋体" w:hAnsi="宋体" w:eastAsia="宋体" w:cs="Times New Roman"/>
          <w:color w:val="auto"/>
          <w:sz w:val="24"/>
          <w:szCs w:val="24"/>
          <w:highlight w:val="none"/>
        </w:rPr>
        <w:t>安装的地点。</w:t>
      </w:r>
      <w:bookmarkEnd w:id="91"/>
    </w:p>
    <w:p w14:paraId="3E42805D">
      <w:pPr>
        <w:spacing w:line="500" w:lineRule="exact"/>
        <w:ind w:firstLine="437"/>
        <w:jc w:val="left"/>
        <w:outlineLvl w:val="2"/>
        <w:rPr>
          <w:rFonts w:ascii="宋体" w:hAnsi="宋体" w:eastAsia="宋体" w:cs="Times New Roman"/>
          <w:b/>
          <w:bCs/>
          <w:color w:val="auto"/>
          <w:sz w:val="24"/>
          <w:szCs w:val="24"/>
          <w:highlight w:val="none"/>
          <w:lang w:val="zh-CN"/>
        </w:rPr>
      </w:pPr>
      <w:bookmarkStart w:id="92" w:name="_Toc32504"/>
      <w:bookmarkStart w:id="93" w:name="_Toc487900350"/>
      <w:bookmarkStart w:id="94" w:name="_Toc259093670"/>
      <w:bookmarkStart w:id="95" w:name="_Toc13336"/>
      <w:bookmarkStart w:id="96" w:name="_Toc279701241"/>
      <w:bookmarkStart w:id="97" w:name="_Toc2763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92"/>
      <w:bookmarkEnd w:id="93"/>
      <w:bookmarkEnd w:id="94"/>
      <w:bookmarkEnd w:id="95"/>
      <w:bookmarkEnd w:id="96"/>
      <w:bookmarkEnd w:id="97"/>
    </w:p>
    <w:p w14:paraId="1E390CFF">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2D0DA98D">
      <w:pPr>
        <w:spacing w:line="500" w:lineRule="exact"/>
        <w:ind w:firstLine="437"/>
        <w:jc w:val="left"/>
        <w:outlineLvl w:val="2"/>
        <w:rPr>
          <w:rFonts w:ascii="宋体" w:hAnsi="宋体" w:eastAsia="宋体" w:cs="Times New Roman"/>
          <w:b/>
          <w:bCs/>
          <w:color w:val="auto"/>
          <w:sz w:val="24"/>
          <w:szCs w:val="24"/>
          <w:highlight w:val="none"/>
          <w:lang w:val="zh-CN"/>
        </w:rPr>
      </w:pPr>
      <w:bookmarkStart w:id="98" w:name="_Toc487900351"/>
      <w:bookmarkStart w:id="99" w:name="_Toc31634"/>
      <w:bookmarkStart w:id="100" w:name="_Toc259093671"/>
      <w:bookmarkStart w:id="101" w:name="_Toc279701242"/>
      <w:bookmarkStart w:id="102" w:name="_Toc27853"/>
      <w:bookmarkStart w:id="103" w:name="_Toc982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98"/>
      <w:bookmarkEnd w:id="99"/>
      <w:bookmarkEnd w:id="100"/>
      <w:bookmarkEnd w:id="101"/>
      <w:bookmarkEnd w:id="102"/>
      <w:bookmarkEnd w:id="103"/>
    </w:p>
    <w:p w14:paraId="03FCA076">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11FE805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6106C10">
      <w:pPr>
        <w:spacing w:line="500" w:lineRule="exact"/>
        <w:ind w:firstLine="437"/>
        <w:jc w:val="left"/>
        <w:outlineLvl w:val="2"/>
        <w:rPr>
          <w:rFonts w:ascii="宋体" w:hAnsi="宋体" w:eastAsia="宋体" w:cs="Times New Roman"/>
          <w:b/>
          <w:color w:val="auto"/>
          <w:sz w:val="24"/>
          <w:szCs w:val="24"/>
          <w:highlight w:val="none"/>
        </w:rPr>
      </w:pPr>
      <w:bookmarkStart w:id="104" w:name="_Toc11932"/>
      <w:bookmarkStart w:id="105" w:name="_Toc4194"/>
      <w:bookmarkStart w:id="106" w:name="_Toc29149"/>
      <w:r>
        <w:rPr>
          <w:rFonts w:hint="eastAsia" w:ascii="宋体" w:hAnsi="宋体" w:eastAsia="宋体" w:cs="Times New Roman"/>
          <w:b/>
          <w:bCs/>
          <w:color w:val="auto"/>
          <w:sz w:val="24"/>
          <w:szCs w:val="24"/>
          <w:highlight w:val="none"/>
          <w:lang w:val="zh-CN"/>
        </w:rPr>
        <w:t>2.4</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包装和装运</w:t>
      </w:r>
      <w:bookmarkEnd w:id="104"/>
      <w:bookmarkEnd w:id="105"/>
      <w:bookmarkEnd w:id="106"/>
    </w:p>
    <w:p w14:paraId="5D8DDC9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2.4.1除</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E38465E">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2.4.2装运货物的要求和通知，详见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w:t>
      </w:r>
    </w:p>
    <w:p w14:paraId="726A8E58">
      <w:pPr>
        <w:spacing w:line="500" w:lineRule="exact"/>
        <w:ind w:firstLine="437"/>
        <w:jc w:val="left"/>
        <w:outlineLvl w:val="2"/>
        <w:rPr>
          <w:rFonts w:ascii="宋体" w:hAnsi="宋体" w:eastAsia="宋体" w:cs="Times New Roman"/>
          <w:b/>
          <w:bCs/>
          <w:color w:val="auto"/>
          <w:sz w:val="24"/>
          <w:szCs w:val="24"/>
          <w:highlight w:val="none"/>
          <w:lang w:val="zh-CN"/>
        </w:rPr>
      </w:pPr>
      <w:bookmarkStart w:id="107" w:name="_Ref467379536"/>
      <w:bookmarkStart w:id="108" w:name="_Ref467378541"/>
      <w:bookmarkStart w:id="109" w:name="_Ref467379542"/>
      <w:bookmarkStart w:id="110" w:name="_Toc487900354"/>
      <w:bookmarkStart w:id="111" w:name="_Toc259093674"/>
      <w:bookmarkStart w:id="112" w:name="_Ref467379527"/>
      <w:bookmarkStart w:id="113" w:name="_Ref467378591"/>
      <w:bookmarkStart w:id="114" w:name="_Toc279701245"/>
      <w:bookmarkStart w:id="115" w:name="_Toc26182"/>
      <w:bookmarkStart w:id="116" w:name="_Toc30272"/>
      <w:bookmarkStart w:id="117" w:name="_Toc19074"/>
      <w:r>
        <w:rPr>
          <w:rFonts w:hint="eastAsia" w:ascii="宋体" w:hAnsi="宋体" w:eastAsia="宋体" w:cs="Times New Roman"/>
          <w:b/>
          <w:bCs/>
          <w:color w:val="auto"/>
          <w:sz w:val="24"/>
          <w:szCs w:val="24"/>
          <w:highlight w:val="none"/>
          <w:lang w:val="zh-CN"/>
        </w:rPr>
        <w:t>2.</w:t>
      </w:r>
      <w:bookmarkEnd w:id="107"/>
      <w:bookmarkEnd w:id="108"/>
      <w:bookmarkEnd w:id="109"/>
      <w:bookmarkEnd w:id="110"/>
      <w:bookmarkEnd w:id="111"/>
      <w:bookmarkEnd w:id="112"/>
      <w:bookmarkEnd w:id="113"/>
      <w:bookmarkEnd w:id="114"/>
      <w:r>
        <w:rPr>
          <w:rFonts w:hint="eastAsia" w:ascii="宋体" w:hAnsi="宋体" w:eastAsia="宋体" w:cs="Times New Roman"/>
          <w:b/>
          <w:bCs/>
          <w:color w:val="auto"/>
          <w:sz w:val="24"/>
          <w:szCs w:val="24"/>
          <w:highlight w:val="none"/>
          <w:lang w:val="zh-CN"/>
        </w:rPr>
        <w:t>5</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履约检查和问题反馈</w:t>
      </w:r>
      <w:bookmarkEnd w:id="115"/>
      <w:bookmarkEnd w:id="116"/>
      <w:bookmarkEnd w:id="117"/>
    </w:p>
    <w:p w14:paraId="2B9ECFFF">
      <w:pPr>
        <w:spacing w:line="500" w:lineRule="exact"/>
        <w:ind w:firstLine="435"/>
        <w:jc w:val="left"/>
        <w:rPr>
          <w:rFonts w:ascii="宋体" w:hAnsi="宋体" w:eastAsia="宋体" w:cs="Times New Roman"/>
          <w:color w:val="auto"/>
          <w:sz w:val="24"/>
          <w:szCs w:val="24"/>
          <w:highlight w:val="none"/>
        </w:rPr>
      </w:pPr>
      <w:bookmarkStart w:id="118" w:name="_Ref467379657"/>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.1</w:t>
      </w:r>
      <w:bookmarkEnd w:id="118"/>
      <w:bookmarkStart w:id="119" w:name="_Toc186431854"/>
      <w:bookmarkStart w:id="120" w:name="_Toc279701247"/>
      <w:bookmarkStart w:id="121" w:name="_Ref467379807"/>
      <w:bookmarkStart w:id="122" w:name="_Toc259093676"/>
      <w:bookmarkStart w:id="123" w:name="_Ref467379793"/>
      <w:bookmarkStart w:id="124" w:name="_Toc487900357"/>
      <w:r>
        <w:rPr>
          <w:rFonts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，对乙方是否能够按照合同约定交付货物进行履约检查，以确保乙方所交付的货物能够依约满足甲方项目需求，但不得因履约检查妨碍乙方的正常工作，乙方应予积极配合；</w:t>
      </w:r>
    </w:p>
    <w:p w14:paraId="48AEEB7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2.5.2合同履行期间，甲方有权将履行过程中出现的问题反馈给乙方，双方当事人应以书面形式约定需要完善和改进的内容</w:t>
      </w:r>
      <w:bookmarkEnd w:id="119"/>
      <w:bookmarkStart w:id="125" w:name="_Toc186431855"/>
      <w:r>
        <w:rPr>
          <w:rFonts w:hint="eastAsia" w:ascii="宋体" w:hAnsi="宋体" w:eastAsia="宋体" w:cs="Times New Roman"/>
          <w:color w:val="auto"/>
          <w:sz w:val="24"/>
          <w:szCs w:val="24"/>
          <w:highlight w:val="none"/>
        </w:rPr>
        <w:t>。</w:t>
      </w:r>
    </w:p>
    <w:bookmarkEnd w:id="125"/>
    <w:p w14:paraId="770EAFC7">
      <w:pPr>
        <w:spacing w:line="500" w:lineRule="exact"/>
        <w:ind w:firstLine="437"/>
        <w:jc w:val="left"/>
        <w:outlineLvl w:val="2"/>
        <w:rPr>
          <w:rFonts w:ascii="宋体" w:hAnsi="宋体" w:eastAsia="宋体" w:cs="Times New Roman"/>
          <w:b/>
          <w:bCs/>
          <w:color w:val="auto"/>
          <w:sz w:val="24"/>
          <w:szCs w:val="24"/>
          <w:highlight w:val="none"/>
          <w:lang w:val="zh-CN"/>
        </w:rPr>
      </w:pPr>
      <w:bookmarkStart w:id="126" w:name="_Toc28451"/>
      <w:bookmarkStart w:id="127" w:name="_Toc7836"/>
      <w:bookmarkStart w:id="128" w:name="_Toc19219"/>
      <w:r>
        <w:rPr>
          <w:rFonts w:hint="eastAsia" w:ascii="宋体" w:hAnsi="宋体" w:eastAsia="宋体" w:cs="Times New Roman"/>
          <w:b/>
          <w:bCs/>
          <w:color w:val="auto"/>
          <w:sz w:val="24"/>
          <w:szCs w:val="24"/>
          <w:highlight w:val="none"/>
          <w:lang w:val="zh-CN"/>
        </w:rPr>
        <w:t xml:space="preserve">2.6 </w:t>
      </w:r>
      <w:r>
        <w:rPr>
          <w:rFonts w:ascii="宋体" w:hAnsi="宋体" w:eastAsia="宋体" w:cs="Times New Roman"/>
          <w:b/>
          <w:bCs/>
          <w:color w:val="auto"/>
          <w:sz w:val="24"/>
          <w:szCs w:val="24"/>
          <w:highlight w:val="none"/>
          <w:lang w:val="zh-CN"/>
        </w:rPr>
        <w:t>结算方式和付款条件</w:t>
      </w:r>
      <w:bookmarkEnd w:id="120"/>
      <w:bookmarkEnd w:id="121"/>
      <w:bookmarkEnd w:id="122"/>
      <w:bookmarkEnd w:id="123"/>
      <w:bookmarkEnd w:id="124"/>
      <w:bookmarkEnd w:id="126"/>
      <w:bookmarkEnd w:id="127"/>
      <w:bookmarkEnd w:id="128"/>
    </w:p>
    <w:p w14:paraId="5E6A4A9B">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302410EC">
      <w:pPr>
        <w:spacing w:line="500" w:lineRule="exact"/>
        <w:ind w:firstLine="437"/>
        <w:jc w:val="left"/>
        <w:outlineLvl w:val="2"/>
        <w:rPr>
          <w:rFonts w:ascii="宋体" w:hAnsi="宋体" w:eastAsia="宋体" w:cs="Times New Roman"/>
          <w:b/>
          <w:bCs/>
          <w:color w:val="auto"/>
          <w:sz w:val="24"/>
          <w:szCs w:val="24"/>
          <w:highlight w:val="none"/>
          <w:lang w:val="zh-CN"/>
        </w:rPr>
      </w:pPr>
      <w:bookmarkStart w:id="129" w:name="_Ref467379852"/>
      <w:bookmarkStart w:id="130" w:name="_Toc259093677"/>
      <w:bookmarkStart w:id="131" w:name="_Toc279701248"/>
      <w:bookmarkStart w:id="132" w:name="_Toc487900358"/>
      <w:bookmarkStart w:id="133" w:name="_Ref467379923"/>
      <w:bookmarkStart w:id="134" w:name="_Ref467379863"/>
      <w:bookmarkStart w:id="135" w:name="_Toc16110"/>
      <w:bookmarkStart w:id="136" w:name="_Toc774"/>
      <w:bookmarkStart w:id="137" w:name="_Toc3225"/>
      <w:r>
        <w:rPr>
          <w:rFonts w:hint="eastAsia" w:ascii="宋体" w:hAnsi="宋体" w:eastAsia="宋体" w:cs="Times New Roman"/>
          <w:b/>
          <w:bCs/>
          <w:color w:val="auto"/>
          <w:sz w:val="24"/>
          <w:szCs w:val="24"/>
          <w:highlight w:val="none"/>
          <w:lang w:val="zh-CN"/>
        </w:rPr>
        <w:t xml:space="preserve">2.7 </w:t>
      </w:r>
      <w:r>
        <w:rPr>
          <w:rFonts w:ascii="宋体" w:hAnsi="宋体" w:eastAsia="宋体" w:cs="Times New Roman"/>
          <w:b/>
          <w:bCs/>
          <w:color w:val="auto"/>
          <w:sz w:val="24"/>
          <w:szCs w:val="24"/>
          <w:highlight w:val="none"/>
          <w:lang w:val="zh-CN"/>
        </w:rPr>
        <w:t>技术资料</w:t>
      </w:r>
      <w:bookmarkEnd w:id="129"/>
      <w:bookmarkEnd w:id="130"/>
      <w:bookmarkEnd w:id="131"/>
      <w:bookmarkEnd w:id="132"/>
      <w:bookmarkEnd w:id="133"/>
      <w:bookmarkEnd w:id="134"/>
      <w:r>
        <w:rPr>
          <w:rFonts w:ascii="宋体" w:hAnsi="宋体" w:eastAsia="宋体" w:cs="Times New Roman"/>
          <w:b/>
          <w:bCs/>
          <w:color w:val="auto"/>
          <w:sz w:val="24"/>
          <w:szCs w:val="24"/>
          <w:highlight w:val="none"/>
          <w:lang w:val="zh-CN"/>
        </w:rPr>
        <w:t>和保密义务</w:t>
      </w:r>
      <w:bookmarkEnd w:id="135"/>
      <w:bookmarkEnd w:id="136"/>
      <w:bookmarkEnd w:id="137"/>
    </w:p>
    <w:p w14:paraId="4129CB4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F2CDE4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2.7.2乙方有义务妥善保管和保护由甲方提供的前款信息和资料等；</w:t>
      </w:r>
    </w:p>
    <w:p w14:paraId="6399C0F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1A862C9A">
      <w:pPr>
        <w:spacing w:line="500" w:lineRule="exact"/>
        <w:ind w:firstLine="437"/>
        <w:jc w:val="left"/>
        <w:outlineLvl w:val="2"/>
        <w:rPr>
          <w:rFonts w:ascii="宋体" w:hAnsi="宋体" w:eastAsia="宋体" w:cs="Times New Roman"/>
          <w:b/>
          <w:bCs/>
          <w:color w:val="auto"/>
          <w:sz w:val="24"/>
          <w:szCs w:val="24"/>
          <w:highlight w:val="none"/>
          <w:lang w:val="zh-CN"/>
        </w:rPr>
      </w:pPr>
      <w:bookmarkStart w:id="138" w:name="_Toc7860"/>
      <w:r>
        <w:rPr>
          <w:rFonts w:ascii="宋体" w:hAnsi="宋体" w:eastAsia="宋体" w:cs="Times New Roman"/>
          <w:b/>
          <w:bCs/>
          <w:color w:val="auto"/>
          <w:sz w:val="24"/>
          <w:szCs w:val="24"/>
          <w:highlight w:val="none"/>
          <w:lang w:val="zh-CN"/>
        </w:rPr>
        <w:t>2.8 质量保证</w:t>
      </w:r>
      <w:bookmarkEnd w:id="138"/>
    </w:p>
    <w:p w14:paraId="1DFE6D64">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2.8.1乙方应建立和完善履行合同的内部质量保证体系，并提供相关内部规章制度给甲方，以便甲方进行监督检查；</w:t>
      </w:r>
    </w:p>
    <w:p w14:paraId="26ADDD9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2.8.2乙方应保证履行合同的人员数量和素质、软件和硬件设备的配置、场地、环境和设施等满足全面履行合同的要求，并应接受甲方的监督检查。</w:t>
      </w:r>
    </w:p>
    <w:p w14:paraId="62AD45D1">
      <w:pPr>
        <w:spacing w:line="500" w:lineRule="exact"/>
        <w:ind w:firstLine="437"/>
        <w:jc w:val="left"/>
        <w:outlineLvl w:val="2"/>
        <w:rPr>
          <w:rFonts w:ascii="宋体" w:hAnsi="宋体" w:eastAsia="宋体" w:cs="Times New Roman"/>
          <w:b/>
          <w:bCs/>
          <w:color w:val="auto"/>
          <w:sz w:val="24"/>
          <w:szCs w:val="24"/>
          <w:highlight w:val="none"/>
          <w:lang w:val="zh-CN"/>
        </w:rPr>
      </w:pPr>
      <w:bookmarkStart w:id="139" w:name="_Toc17244"/>
      <w:bookmarkStart w:id="140" w:name="_Toc259093681"/>
      <w:bookmarkStart w:id="141" w:name="_Toc487900362"/>
      <w:bookmarkStart w:id="142" w:name="_Toc279701252"/>
      <w:r>
        <w:rPr>
          <w:rFonts w:ascii="宋体" w:hAnsi="宋体" w:eastAsia="宋体" w:cs="Times New Roman"/>
          <w:b/>
          <w:bCs/>
          <w:color w:val="auto"/>
          <w:sz w:val="24"/>
          <w:szCs w:val="24"/>
          <w:highlight w:val="none"/>
          <w:lang w:val="zh-CN"/>
        </w:rPr>
        <w:t>2.9 货物的风险负担</w:t>
      </w:r>
      <w:bookmarkEnd w:id="139"/>
    </w:p>
    <w:p w14:paraId="593F704A">
      <w:pPr>
        <w:spacing w:line="500" w:lineRule="exact"/>
        <w:ind w:firstLine="435"/>
        <w:jc w:val="left"/>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货物或者在途货物或者交付给第一承运人后的货物毁损、灭失的风险负担</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19C02E67">
      <w:pPr>
        <w:spacing w:line="500" w:lineRule="exact"/>
        <w:ind w:firstLine="437"/>
        <w:jc w:val="left"/>
        <w:outlineLvl w:val="2"/>
        <w:rPr>
          <w:rFonts w:ascii="宋体" w:hAnsi="宋体" w:eastAsia="宋体" w:cs="Times New Roman"/>
          <w:b/>
          <w:bCs/>
          <w:color w:val="auto"/>
          <w:sz w:val="24"/>
          <w:szCs w:val="24"/>
          <w:highlight w:val="none"/>
          <w:lang w:val="zh-CN"/>
        </w:rPr>
      </w:pPr>
      <w:bookmarkStart w:id="143" w:name="_Toc14055"/>
      <w:r>
        <w:rPr>
          <w:rFonts w:ascii="宋体" w:hAnsi="宋体" w:eastAsia="宋体" w:cs="Times New Roman"/>
          <w:b/>
          <w:bCs/>
          <w:color w:val="auto"/>
          <w:sz w:val="24"/>
          <w:szCs w:val="24"/>
          <w:highlight w:val="none"/>
          <w:lang w:val="zh-CN"/>
        </w:rPr>
        <w:t>2.10 延迟交货</w:t>
      </w:r>
      <w:bookmarkEnd w:id="140"/>
      <w:bookmarkEnd w:id="141"/>
      <w:bookmarkEnd w:id="142"/>
      <w:bookmarkEnd w:id="143"/>
    </w:p>
    <w:p w14:paraId="635AE910">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在合同履行过程中，如果乙方遇到不能按时交付货物的情况，应及时以书面形式将不能按时</w:t>
      </w:r>
      <w:r>
        <w:rPr>
          <w:rFonts w:hint="eastAsia" w:ascii="宋体" w:hAnsi="宋体" w:eastAsia="宋体" w:cs="Times New Roman"/>
          <w:color w:val="auto"/>
          <w:sz w:val="24"/>
          <w:szCs w:val="24"/>
          <w:highlight w:val="none"/>
        </w:rPr>
        <w:t>交付货物</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方收到乙方通知后，认为其理由正当的，可以书面形式酌情同意乙方可以延长交货的具体时间。</w:t>
      </w:r>
    </w:p>
    <w:p w14:paraId="2B80EC7E">
      <w:pPr>
        <w:spacing w:line="500" w:lineRule="exact"/>
        <w:ind w:firstLine="437"/>
        <w:jc w:val="left"/>
        <w:outlineLvl w:val="2"/>
        <w:rPr>
          <w:rFonts w:ascii="宋体" w:hAnsi="宋体" w:eastAsia="宋体" w:cs="Times New Roman"/>
          <w:b/>
          <w:bCs/>
          <w:color w:val="auto"/>
          <w:sz w:val="24"/>
          <w:szCs w:val="24"/>
          <w:highlight w:val="none"/>
          <w:lang w:val="zh-CN"/>
        </w:rPr>
      </w:pPr>
      <w:bookmarkStart w:id="144" w:name="_Toc7502"/>
      <w:bookmarkStart w:id="145" w:name="_Ref467378121"/>
      <w:bookmarkStart w:id="146" w:name="_Toc259093683"/>
      <w:bookmarkStart w:id="147" w:name="_Toc487900364"/>
      <w:bookmarkStart w:id="148" w:name="_Toc279701254"/>
      <w:r>
        <w:rPr>
          <w:rFonts w:ascii="宋体" w:hAnsi="宋体" w:eastAsia="宋体" w:cs="Times New Roman"/>
          <w:b/>
          <w:bCs/>
          <w:color w:val="auto"/>
          <w:sz w:val="24"/>
          <w:szCs w:val="24"/>
          <w:highlight w:val="none"/>
          <w:lang w:val="zh-CN"/>
        </w:rPr>
        <w:t>2.11 合同变更</w:t>
      </w:r>
      <w:bookmarkEnd w:id="144"/>
    </w:p>
    <w:p w14:paraId="2F319EF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2.11.1双方当事人协商一致，可以签订书面补充合同的形式变更合同，但不得违背采购文件确定的事项；</w:t>
      </w:r>
    </w:p>
    <w:p w14:paraId="452359BC">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49" w:name="_Toc279701259"/>
      <w:bookmarkStart w:id="150" w:name="_Toc487900369"/>
      <w:bookmarkStart w:id="151" w:name="_Toc259093688"/>
    </w:p>
    <w:p w14:paraId="13DF5C29">
      <w:pPr>
        <w:spacing w:line="500" w:lineRule="exact"/>
        <w:ind w:firstLine="437"/>
        <w:jc w:val="left"/>
        <w:outlineLvl w:val="2"/>
        <w:rPr>
          <w:rFonts w:ascii="宋体" w:hAnsi="宋体" w:eastAsia="宋体" w:cs="Times New Roman"/>
          <w:b/>
          <w:bCs/>
          <w:color w:val="auto"/>
          <w:sz w:val="24"/>
          <w:szCs w:val="24"/>
          <w:highlight w:val="none"/>
          <w:lang w:val="zh-CN"/>
        </w:rPr>
      </w:pPr>
      <w:bookmarkStart w:id="152" w:name="_Toc10366"/>
      <w:bookmarkStart w:id="153" w:name="_Toc15237"/>
      <w:bookmarkStart w:id="154" w:name="_Toc22955"/>
      <w:r>
        <w:rPr>
          <w:rFonts w:hint="eastAsia" w:ascii="宋体" w:hAnsi="宋体" w:eastAsia="宋体" w:cs="Times New Roman"/>
          <w:b/>
          <w:bCs/>
          <w:color w:val="auto"/>
          <w:sz w:val="24"/>
          <w:szCs w:val="24"/>
          <w:highlight w:val="none"/>
          <w:lang w:val="zh-CN"/>
        </w:rPr>
        <w:t xml:space="preserve">2.12 </w:t>
      </w:r>
      <w:r>
        <w:rPr>
          <w:rFonts w:ascii="宋体" w:hAnsi="宋体" w:eastAsia="宋体" w:cs="Times New Roman"/>
          <w:b/>
          <w:bCs/>
          <w:color w:val="auto"/>
          <w:sz w:val="24"/>
          <w:szCs w:val="24"/>
          <w:highlight w:val="none"/>
          <w:lang w:val="zh-CN"/>
        </w:rPr>
        <w:t>合同转让</w:t>
      </w:r>
      <w:bookmarkEnd w:id="149"/>
      <w:bookmarkEnd w:id="150"/>
      <w:bookmarkEnd w:id="151"/>
      <w:r>
        <w:rPr>
          <w:rFonts w:ascii="宋体" w:hAnsi="宋体" w:eastAsia="宋体" w:cs="Times New Roman"/>
          <w:b/>
          <w:bCs/>
          <w:color w:val="auto"/>
          <w:sz w:val="24"/>
          <w:szCs w:val="24"/>
          <w:highlight w:val="none"/>
          <w:lang w:val="zh-CN"/>
        </w:rPr>
        <w:t>和分包</w:t>
      </w:r>
      <w:bookmarkEnd w:id="152"/>
      <w:bookmarkEnd w:id="153"/>
      <w:bookmarkEnd w:id="154"/>
    </w:p>
    <w:p w14:paraId="7975CBCF">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2311388F">
      <w:pPr>
        <w:spacing w:line="500" w:lineRule="exact"/>
        <w:ind w:firstLine="437"/>
        <w:jc w:val="left"/>
        <w:outlineLvl w:val="2"/>
        <w:rPr>
          <w:rFonts w:ascii="宋体" w:hAnsi="宋体" w:eastAsia="宋体" w:cs="Times New Roman"/>
          <w:b/>
          <w:bCs/>
          <w:color w:val="auto"/>
          <w:sz w:val="24"/>
          <w:szCs w:val="24"/>
          <w:highlight w:val="none"/>
          <w:lang w:val="zh-CN"/>
        </w:rPr>
      </w:pPr>
      <w:bookmarkStart w:id="155" w:name="_Toc14066"/>
      <w:bookmarkStart w:id="156" w:name="_Toc13566"/>
      <w:bookmarkStart w:id="157" w:name="_Toc16508"/>
      <w:r>
        <w:rPr>
          <w:rFonts w:hint="eastAsia" w:ascii="宋体" w:hAnsi="宋体" w:eastAsia="宋体" w:cs="Times New Roman"/>
          <w:b/>
          <w:bCs/>
          <w:color w:val="auto"/>
          <w:sz w:val="24"/>
          <w:szCs w:val="24"/>
          <w:highlight w:val="none"/>
          <w:lang w:val="zh-CN"/>
        </w:rPr>
        <w:t>2.13</w:t>
      </w:r>
      <w:r>
        <w:rPr>
          <w:rFonts w:ascii="宋体" w:hAnsi="宋体" w:eastAsia="宋体" w:cs="Times New Roman"/>
          <w:b/>
          <w:bCs/>
          <w:color w:val="auto"/>
          <w:sz w:val="24"/>
          <w:szCs w:val="24"/>
          <w:highlight w:val="none"/>
          <w:lang w:val="zh-CN"/>
        </w:rPr>
        <w:t xml:space="preserve"> 不可抗力</w:t>
      </w:r>
      <w:bookmarkEnd w:id="155"/>
      <w:bookmarkEnd w:id="156"/>
      <w:bookmarkEnd w:id="157"/>
    </w:p>
    <w:p w14:paraId="4D787957">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3808FC87">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2.13.2因不可抗力致使不能实现合同目的的，当事人可以解除合同；</w:t>
      </w:r>
    </w:p>
    <w:p w14:paraId="77A894A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25B8B999">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2.13</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3892DE45">
      <w:pPr>
        <w:spacing w:line="500" w:lineRule="exact"/>
        <w:ind w:firstLine="437"/>
        <w:jc w:val="left"/>
        <w:outlineLvl w:val="2"/>
        <w:rPr>
          <w:rFonts w:ascii="宋体" w:hAnsi="宋体" w:eastAsia="宋体" w:cs="Times New Roman"/>
          <w:b/>
          <w:bCs/>
          <w:color w:val="auto"/>
          <w:sz w:val="24"/>
          <w:szCs w:val="24"/>
          <w:highlight w:val="none"/>
          <w:lang w:val="zh-CN"/>
        </w:rPr>
      </w:pPr>
      <w:bookmarkStart w:id="158" w:name="_Toc279701255"/>
      <w:bookmarkStart w:id="159" w:name="_Toc259093684"/>
      <w:bookmarkStart w:id="160" w:name="_Toc487900365"/>
      <w:bookmarkStart w:id="161" w:name="_Toc30676"/>
      <w:bookmarkStart w:id="162" w:name="_Toc689"/>
      <w:bookmarkStart w:id="163" w:name="_Toc696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4 </w:t>
      </w:r>
      <w:r>
        <w:rPr>
          <w:rFonts w:ascii="宋体" w:hAnsi="宋体" w:eastAsia="宋体" w:cs="Times New Roman"/>
          <w:b/>
          <w:bCs/>
          <w:color w:val="auto"/>
          <w:sz w:val="24"/>
          <w:szCs w:val="24"/>
          <w:highlight w:val="none"/>
          <w:lang w:val="zh-CN"/>
        </w:rPr>
        <w:t>税费</w:t>
      </w:r>
      <w:bookmarkEnd w:id="158"/>
      <w:bookmarkEnd w:id="159"/>
      <w:bookmarkEnd w:id="160"/>
      <w:bookmarkEnd w:id="161"/>
      <w:bookmarkEnd w:id="162"/>
      <w:bookmarkEnd w:id="163"/>
    </w:p>
    <w:p w14:paraId="64449072">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31026D41">
      <w:pPr>
        <w:spacing w:line="500" w:lineRule="exact"/>
        <w:ind w:firstLine="437"/>
        <w:jc w:val="left"/>
        <w:outlineLvl w:val="2"/>
        <w:rPr>
          <w:rFonts w:ascii="宋体" w:hAnsi="宋体" w:eastAsia="宋体" w:cs="Times New Roman"/>
          <w:b/>
          <w:bCs/>
          <w:color w:val="auto"/>
          <w:sz w:val="24"/>
          <w:szCs w:val="24"/>
          <w:highlight w:val="none"/>
          <w:lang w:val="zh-CN"/>
        </w:rPr>
      </w:pPr>
      <w:bookmarkStart w:id="164" w:name="_Toc487900368"/>
      <w:bookmarkStart w:id="165" w:name="_Toc7102"/>
      <w:bookmarkStart w:id="166" w:name="_Toc16959"/>
      <w:bookmarkStart w:id="167" w:name="_Toc8298"/>
      <w:bookmarkStart w:id="168" w:name="_Toc279701258"/>
      <w:bookmarkStart w:id="169" w:name="_Toc259093687"/>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5 </w:t>
      </w:r>
      <w:r>
        <w:rPr>
          <w:rFonts w:ascii="宋体" w:hAnsi="宋体" w:eastAsia="宋体" w:cs="Times New Roman"/>
          <w:b/>
          <w:bCs/>
          <w:color w:val="auto"/>
          <w:sz w:val="24"/>
          <w:szCs w:val="24"/>
          <w:highlight w:val="none"/>
          <w:lang w:val="zh-CN"/>
        </w:rPr>
        <w:t>乙方破产</w:t>
      </w:r>
      <w:bookmarkEnd w:id="164"/>
      <w:bookmarkEnd w:id="165"/>
      <w:bookmarkEnd w:id="166"/>
      <w:bookmarkEnd w:id="167"/>
      <w:bookmarkEnd w:id="168"/>
      <w:bookmarkEnd w:id="169"/>
    </w:p>
    <w:p w14:paraId="4673215D">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0FA11F6E">
      <w:pPr>
        <w:spacing w:line="500" w:lineRule="exact"/>
        <w:ind w:firstLine="437"/>
        <w:jc w:val="left"/>
        <w:outlineLvl w:val="2"/>
        <w:rPr>
          <w:rFonts w:ascii="宋体" w:hAnsi="宋体" w:eastAsia="宋体" w:cs="Times New Roman"/>
          <w:b/>
          <w:color w:val="auto"/>
          <w:sz w:val="24"/>
          <w:szCs w:val="24"/>
          <w:highlight w:val="none"/>
        </w:rPr>
      </w:pPr>
      <w:bookmarkStart w:id="170" w:name="_Toc6134"/>
      <w:bookmarkStart w:id="171" w:name="_Toc29333"/>
      <w:bookmarkStart w:id="172" w:name="_Toc15387"/>
      <w:r>
        <w:rPr>
          <w:rFonts w:hint="eastAsia" w:ascii="宋体" w:hAnsi="宋体" w:eastAsia="宋体" w:cs="Times New Roman"/>
          <w:b/>
          <w:bCs/>
          <w:color w:val="auto"/>
          <w:sz w:val="24"/>
          <w:szCs w:val="24"/>
          <w:highlight w:val="none"/>
          <w:lang w:val="zh-CN"/>
        </w:rPr>
        <w:t>2.16 合同中止、终止</w:t>
      </w:r>
      <w:bookmarkEnd w:id="170"/>
      <w:bookmarkEnd w:id="171"/>
      <w:bookmarkEnd w:id="172"/>
    </w:p>
    <w:p w14:paraId="222D477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2.16.1双方当事人不得擅自中止或者终止合同；</w:t>
      </w:r>
    </w:p>
    <w:p w14:paraId="7C6F6DBA">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1714246F">
      <w:pPr>
        <w:spacing w:line="500" w:lineRule="exact"/>
        <w:ind w:firstLine="437"/>
        <w:jc w:val="left"/>
        <w:outlineLvl w:val="2"/>
        <w:rPr>
          <w:rFonts w:ascii="宋体" w:hAnsi="宋体" w:eastAsia="宋体" w:cs="Times New Roman"/>
          <w:b/>
          <w:bCs/>
          <w:color w:val="auto"/>
          <w:sz w:val="24"/>
          <w:szCs w:val="24"/>
          <w:highlight w:val="none"/>
          <w:lang w:val="zh-CN"/>
        </w:rPr>
      </w:pPr>
      <w:bookmarkStart w:id="173" w:name="_Toc1125"/>
      <w:bookmarkStart w:id="174" w:name="_Toc14563"/>
      <w:bookmarkStart w:id="175" w:name="_Toc6596"/>
      <w:r>
        <w:rPr>
          <w:rFonts w:hint="eastAsia" w:ascii="宋体" w:hAnsi="宋体" w:eastAsia="宋体" w:cs="Times New Roman"/>
          <w:b/>
          <w:bCs/>
          <w:color w:val="auto"/>
          <w:sz w:val="24"/>
          <w:szCs w:val="24"/>
          <w:highlight w:val="none"/>
          <w:lang w:val="zh-CN"/>
        </w:rPr>
        <w:t>2.17 检验和验收</w:t>
      </w:r>
      <w:bookmarkEnd w:id="173"/>
      <w:bookmarkEnd w:id="174"/>
      <w:bookmarkEnd w:id="175"/>
    </w:p>
    <w:p w14:paraId="74D0AD60">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宋体" w:hAnsi="宋体" w:eastAsia="宋体" w:cs="Times New Roman"/>
          <w:b/>
          <w:i/>
          <w:color w:val="auto"/>
          <w:sz w:val="24"/>
          <w:szCs w:val="24"/>
          <w:highlight w:val="none"/>
          <w:u w:val="single"/>
        </w:rPr>
        <w:t>合同专用条款</w:t>
      </w:r>
      <w:r>
        <w:rPr>
          <w:rFonts w:hint="eastAsia" w:ascii="宋体" w:hAnsi="宋体" w:eastAsia="宋体" w:cs="Times New Roman"/>
          <w:color w:val="auto"/>
          <w:sz w:val="24"/>
          <w:szCs w:val="24"/>
          <w:highlight w:val="none"/>
        </w:rPr>
        <w:t>约定时间内组织验收，并可依法邀请相关方参加，验收应出具验收书。</w:t>
      </w:r>
    </w:p>
    <w:p w14:paraId="7235BB7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D13F2E8">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2.17.3检验和验收标准、程序等具体内容以及前述验收书的效力详见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45"/>
    <w:bookmarkEnd w:id="146"/>
    <w:bookmarkEnd w:id="147"/>
    <w:bookmarkEnd w:id="148"/>
    <w:p w14:paraId="04602FCA">
      <w:pPr>
        <w:spacing w:line="500" w:lineRule="exact"/>
        <w:ind w:firstLine="437"/>
        <w:jc w:val="left"/>
        <w:outlineLvl w:val="2"/>
        <w:rPr>
          <w:rFonts w:ascii="宋体" w:hAnsi="宋体" w:eastAsia="宋体" w:cs="Times New Roman"/>
          <w:b/>
          <w:color w:val="auto"/>
          <w:sz w:val="24"/>
          <w:szCs w:val="24"/>
          <w:highlight w:val="none"/>
        </w:rPr>
      </w:pPr>
      <w:bookmarkStart w:id="176" w:name="_Toc4355"/>
      <w:bookmarkStart w:id="177" w:name="_Toc30599"/>
      <w:bookmarkStart w:id="178" w:name="_Toc279701262"/>
      <w:bookmarkStart w:id="179" w:name="_Toc487900372"/>
      <w:bookmarkStart w:id="180" w:name="_Toc18540"/>
      <w:bookmarkStart w:id="181" w:name="_Toc259093691"/>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8</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计量单位</w:t>
      </w:r>
      <w:bookmarkEnd w:id="176"/>
      <w:bookmarkEnd w:id="177"/>
      <w:bookmarkEnd w:id="178"/>
      <w:bookmarkEnd w:id="179"/>
      <w:bookmarkEnd w:id="180"/>
      <w:bookmarkEnd w:id="181"/>
    </w:p>
    <w:p w14:paraId="1EC6F7AF">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除技术规范中另有规定外,合同的计量单位均使用国家法定计量单位。</w:t>
      </w:r>
    </w:p>
    <w:p w14:paraId="74A8BE0C">
      <w:pPr>
        <w:spacing w:line="500" w:lineRule="exact"/>
        <w:ind w:firstLine="437"/>
        <w:jc w:val="left"/>
        <w:outlineLvl w:val="2"/>
        <w:rPr>
          <w:rFonts w:ascii="宋体" w:hAnsi="宋体" w:eastAsia="宋体" w:cs="Times New Roman"/>
          <w:b/>
          <w:bCs/>
          <w:color w:val="auto"/>
          <w:sz w:val="24"/>
          <w:szCs w:val="24"/>
          <w:highlight w:val="none"/>
        </w:rPr>
      </w:pPr>
      <w:bookmarkStart w:id="182" w:name="_Toc487900373"/>
      <w:bookmarkStart w:id="183" w:name="_Toc12773"/>
      <w:bookmarkStart w:id="184" w:name="_Toc18567"/>
      <w:bookmarkStart w:id="185" w:name="_Toc10330"/>
      <w:bookmarkStart w:id="186" w:name="_Toc259093692"/>
      <w:bookmarkStart w:id="187" w:name="_Toc279701263"/>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19</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82"/>
      <w:bookmarkEnd w:id="183"/>
      <w:bookmarkEnd w:id="184"/>
      <w:bookmarkEnd w:id="185"/>
      <w:bookmarkEnd w:id="186"/>
      <w:bookmarkEnd w:id="187"/>
    </w:p>
    <w:p w14:paraId="71626F32">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0B047621">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19</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7856A46B">
      <w:pPr>
        <w:spacing w:line="500" w:lineRule="exact"/>
        <w:ind w:firstLine="437"/>
        <w:jc w:val="left"/>
        <w:outlineLvl w:val="2"/>
        <w:rPr>
          <w:rFonts w:ascii="宋体" w:hAnsi="宋体" w:eastAsia="宋体" w:cs="Times New Roman"/>
          <w:b/>
          <w:color w:val="auto"/>
          <w:sz w:val="24"/>
          <w:szCs w:val="24"/>
          <w:highlight w:val="none"/>
        </w:rPr>
      </w:pPr>
      <w:bookmarkStart w:id="188" w:name="_Toc16673"/>
      <w:bookmarkStart w:id="189" w:name="_Toc3148"/>
      <w:bookmarkStart w:id="190" w:name="_Toc12004"/>
      <w:bookmarkStart w:id="191" w:name="_Toc279701264"/>
      <w:bookmarkStart w:id="192" w:name="_Toc259093693"/>
      <w:bookmarkStart w:id="193" w:name="_Toc487900374"/>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188"/>
      <w:bookmarkEnd w:id="189"/>
      <w:bookmarkEnd w:id="190"/>
      <w:bookmarkEnd w:id="191"/>
      <w:bookmarkEnd w:id="192"/>
    </w:p>
    <w:p w14:paraId="16C6596F">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546ABE65">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约定期间内或者货物质量保证期内不予退还或者应完全有效</w:t>
      </w:r>
      <w:r>
        <w:rPr>
          <w:rFonts w:hint="eastAsia" w:ascii="宋体" w:hAnsi="宋体" w:eastAsia="宋体" w:cs="Times New Roman"/>
          <w:color w:val="auto"/>
          <w:sz w:val="24"/>
          <w:szCs w:val="24"/>
          <w:highlight w:val="none"/>
        </w:rPr>
        <w:t>，前述约定期间届满或者</w:t>
      </w:r>
      <w:r>
        <w:rPr>
          <w:rFonts w:ascii="宋体" w:hAnsi="宋体" w:eastAsia="宋体" w:cs="Times New Roman"/>
          <w:color w:val="auto"/>
          <w:sz w:val="24"/>
          <w:szCs w:val="24"/>
          <w:highlight w:val="none"/>
        </w:rPr>
        <w:t>货物质量保证期届满之日起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rPr>
        <w:t>；</w:t>
      </w:r>
    </w:p>
    <w:p w14:paraId="4E04A287">
      <w:pPr>
        <w:spacing w:line="500" w:lineRule="exact"/>
        <w:ind w:firstLine="435"/>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193"/>
    <w:p w14:paraId="0EFBF884">
      <w:pPr>
        <w:spacing w:line="500" w:lineRule="exact"/>
        <w:ind w:firstLine="437"/>
        <w:jc w:val="left"/>
        <w:outlineLvl w:val="2"/>
        <w:rPr>
          <w:rFonts w:ascii="宋体" w:hAnsi="宋体" w:eastAsia="宋体" w:cs="Times New Roman"/>
          <w:b/>
          <w:color w:val="auto"/>
          <w:sz w:val="24"/>
          <w:szCs w:val="24"/>
          <w:highlight w:val="none"/>
        </w:rPr>
      </w:pPr>
      <w:bookmarkStart w:id="194" w:name="_Toc19890"/>
      <w:bookmarkStart w:id="195" w:name="_Toc6885"/>
      <w:bookmarkStart w:id="196" w:name="_Toc14001"/>
      <w:r>
        <w:rPr>
          <w:rFonts w:hint="eastAsia" w:ascii="宋体" w:hAnsi="宋体" w:eastAsia="宋体" w:cs="Times New Roman"/>
          <w:b/>
          <w:bCs/>
          <w:color w:val="auto"/>
          <w:sz w:val="24"/>
          <w:szCs w:val="24"/>
          <w:highlight w:val="none"/>
          <w:lang w:val="zh-CN"/>
        </w:rPr>
        <w:t>2.2</w:t>
      </w:r>
      <w:r>
        <w:rPr>
          <w:rFonts w:ascii="宋体" w:hAnsi="宋体" w:eastAsia="宋体" w:cs="Times New Roman"/>
          <w:b/>
          <w:bCs/>
          <w:color w:val="auto"/>
          <w:sz w:val="24"/>
          <w:szCs w:val="24"/>
          <w:highlight w:val="none"/>
          <w:lang w:val="zh-CN"/>
        </w:rPr>
        <w:t>1</w:t>
      </w:r>
      <w:r>
        <w:rPr>
          <w:rFonts w:hint="eastAsia" w:ascii="宋体" w:hAnsi="宋体" w:eastAsia="宋体" w:cs="Times New Roman"/>
          <w:b/>
          <w:bCs/>
          <w:color w:val="auto"/>
          <w:sz w:val="24"/>
          <w:szCs w:val="24"/>
          <w:highlight w:val="none"/>
          <w:lang w:val="zh-CN"/>
        </w:rPr>
        <w:t xml:space="preserve"> 合同份数</w:t>
      </w:r>
      <w:bookmarkEnd w:id="194"/>
      <w:bookmarkEnd w:id="195"/>
      <w:bookmarkEnd w:id="196"/>
    </w:p>
    <w:p w14:paraId="4937090C">
      <w:pPr>
        <w:spacing w:line="500" w:lineRule="exact"/>
        <w:ind w:firstLine="435"/>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72A86E8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B680A74">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p>
    <w:p w14:paraId="36B17C44">
      <w:pPr>
        <w:spacing w:line="5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54E1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496BF16C">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noWrap w:val="0"/>
            <w:vAlign w:val="center"/>
          </w:tcPr>
          <w:p w14:paraId="6856376F">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75764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05D6BC3F">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2.6</w:t>
            </w:r>
          </w:p>
        </w:tc>
        <w:tc>
          <w:tcPr>
            <w:tcW w:w="7568" w:type="dxa"/>
            <w:noWrap w:val="0"/>
            <w:vAlign w:val="center"/>
          </w:tcPr>
          <w:p w14:paraId="369403B1">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合同签订后，具备实施条件后支付合同价的40%预付款（预付款支付前，中标人须提供同等金额的见索即付保函），全部供货安装调试完毕并由采购人验收合格后，一次性付清合同款。</w:t>
            </w:r>
          </w:p>
        </w:tc>
      </w:tr>
      <w:tr w14:paraId="5C99E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6FE1F42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w:t>
            </w:r>
          </w:p>
        </w:tc>
        <w:tc>
          <w:tcPr>
            <w:tcW w:w="7568" w:type="dxa"/>
            <w:noWrap w:val="0"/>
            <w:vAlign w:val="center"/>
          </w:tcPr>
          <w:p w14:paraId="1CA55FB6">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检验和验收标准根据项目</w:t>
            </w:r>
            <w:r>
              <w:rPr>
                <w:rFonts w:hint="eastAsia" w:ascii="宋体" w:hAnsi="宋体" w:eastAsia="宋体" w:cs="宋体"/>
                <w:color w:val="auto"/>
                <w:sz w:val="24"/>
                <w:szCs w:val="24"/>
                <w:highlight w:val="none"/>
                <w:lang w:val="zh-CN"/>
              </w:rPr>
              <w:t>投标文件及采购文件要求（含澄清或者说明文件、承诺书等）执行。验收程序</w:t>
            </w:r>
            <w:r>
              <w:rPr>
                <w:rFonts w:hint="eastAsia" w:ascii="宋体" w:hAnsi="宋体" w:eastAsia="宋体" w:cs="宋体"/>
                <w:color w:val="auto"/>
                <w:sz w:val="24"/>
                <w:szCs w:val="24"/>
                <w:highlight w:val="none"/>
              </w:rPr>
              <w:t>按《滁州学院采购项目验收管理办法》执行</w:t>
            </w:r>
            <w:r>
              <w:rPr>
                <w:rFonts w:hint="eastAsia" w:ascii="宋体" w:hAnsi="宋体" w:eastAsia="宋体" w:cs="宋体"/>
                <w:i/>
                <w:color w:val="auto"/>
                <w:sz w:val="24"/>
                <w:szCs w:val="24"/>
                <w:highlight w:val="none"/>
              </w:rPr>
              <w:t>。</w:t>
            </w:r>
          </w:p>
        </w:tc>
      </w:tr>
      <w:tr w14:paraId="144C7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CA7EF7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2.20.1</w:t>
            </w:r>
          </w:p>
        </w:tc>
        <w:tc>
          <w:tcPr>
            <w:tcW w:w="7568" w:type="dxa"/>
            <w:noWrap w:val="0"/>
            <w:vAlign w:val="center"/>
          </w:tcPr>
          <w:p w14:paraId="05A7406D">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本项目履约保证金为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 ），收受人为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，履约担保的形式为：</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转账/电汇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汇票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本票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保险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保函</w:t>
            </w:r>
          </w:p>
        </w:tc>
      </w:tr>
      <w:tr w14:paraId="2C7E0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2AEE6B2D">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w:t>
            </w:r>
          </w:p>
        </w:tc>
        <w:tc>
          <w:tcPr>
            <w:tcW w:w="7568" w:type="dxa"/>
            <w:noWrap w:val="0"/>
            <w:vAlign w:val="center"/>
          </w:tcPr>
          <w:p w14:paraId="71D0BA0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履约保证金期满后，乙方应向甲方提出申请，经甲方确认后，乙方自行至履约保证金收受方办理履约保证金退还手续。</w:t>
            </w:r>
          </w:p>
        </w:tc>
      </w:tr>
      <w:tr w14:paraId="18727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0A6E50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2.21</w:t>
            </w:r>
          </w:p>
        </w:tc>
        <w:tc>
          <w:tcPr>
            <w:tcW w:w="7568" w:type="dxa"/>
            <w:noWrap w:val="0"/>
            <w:vAlign w:val="center"/>
          </w:tcPr>
          <w:p w14:paraId="681E09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份，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tc>
      </w:tr>
      <w:tr w14:paraId="6DF66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72A6A32">
            <w:pPr>
              <w:spacing w:line="500" w:lineRule="exact"/>
              <w:rPr>
                <w:rFonts w:hint="eastAsia" w:ascii="宋体" w:hAnsi="宋体" w:eastAsia="宋体" w:cs="宋体"/>
                <w:color w:val="auto"/>
                <w:sz w:val="24"/>
                <w:szCs w:val="24"/>
                <w:highlight w:val="none"/>
              </w:rPr>
            </w:pPr>
          </w:p>
        </w:tc>
        <w:tc>
          <w:tcPr>
            <w:tcW w:w="7568" w:type="dxa"/>
            <w:noWrap w:val="0"/>
            <w:vAlign w:val="center"/>
          </w:tcPr>
          <w:p w14:paraId="787B5688">
            <w:pPr>
              <w:spacing w:line="500" w:lineRule="exact"/>
              <w:rPr>
                <w:rFonts w:hint="eastAsia" w:ascii="宋体" w:hAnsi="宋体" w:eastAsia="宋体" w:cs="宋体"/>
                <w:color w:val="auto"/>
                <w:sz w:val="24"/>
                <w:szCs w:val="24"/>
                <w:highlight w:val="none"/>
              </w:rPr>
            </w:pPr>
          </w:p>
        </w:tc>
      </w:tr>
      <w:tr w14:paraId="65D70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36F7BB05">
            <w:pPr>
              <w:spacing w:line="500" w:lineRule="exact"/>
              <w:rPr>
                <w:rFonts w:hint="eastAsia" w:ascii="宋体" w:hAnsi="宋体" w:eastAsia="宋体" w:cs="宋体"/>
                <w:color w:val="auto"/>
                <w:sz w:val="24"/>
                <w:szCs w:val="24"/>
                <w:highlight w:val="none"/>
              </w:rPr>
            </w:pPr>
          </w:p>
        </w:tc>
        <w:tc>
          <w:tcPr>
            <w:tcW w:w="7568" w:type="dxa"/>
            <w:noWrap w:val="0"/>
            <w:vAlign w:val="center"/>
          </w:tcPr>
          <w:p w14:paraId="04C569EF">
            <w:pPr>
              <w:spacing w:line="500" w:lineRule="exact"/>
              <w:rPr>
                <w:rFonts w:hint="eastAsia" w:ascii="宋体" w:hAnsi="宋体" w:eastAsia="宋体" w:cs="宋体"/>
                <w:color w:val="auto"/>
                <w:sz w:val="24"/>
                <w:szCs w:val="24"/>
                <w:highlight w:val="none"/>
                <w:u w:val="single"/>
              </w:rPr>
            </w:pPr>
          </w:p>
        </w:tc>
      </w:tr>
      <w:tr w14:paraId="5238D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68ADB6F">
            <w:pPr>
              <w:spacing w:line="500" w:lineRule="exact"/>
              <w:rPr>
                <w:rFonts w:hint="eastAsia" w:ascii="宋体" w:hAnsi="宋体" w:eastAsia="宋体" w:cs="宋体"/>
                <w:color w:val="auto"/>
                <w:sz w:val="24"/>
                <w:szCs w:val="24"/>
                <w:highlight w:val="none"/>
              </w:rPr>
            </w:pPr>
          </w:p>
        </w:tc>
        <w:tc>
          <w:tcPr>
            <w:tcW w:w="7568" w:type="dxa"/>
            <w:noWrap w:val="0"/>
            <w:vAlign w:val="center"/>
          </w:tcPr>
          <w:p w14:paraId="43EA9CCC">
            <w:pPr>
              <w:spacing w:line="500" w:lineRule="exact"/>
              <w:rPr>
                <w:rFonts w:hint="eastAsia" w:ascii="宋体" w:hAnsi="宋体" w:eastAsia="宋体" w:cs="宋体"/>
                <w:color w:val="auto"/>
                <w:sz w:val="24"/>
                <w:szCs w:val="24"/>
                <w:highlight w:val="none"/>
              </w:rPr>
            </w:pPr>
          </w:p>
        </w:tc>
      </w:tr>
      <w:tr w14:paraId="318B2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D0708CC">
            <w:pPr>
              <w:spacing w:line="500" w:lineRule="exact"/>
              <w:rPr>
                <w:rFonts w:hint="eastAsia" w:ascii="宋体" w:hAnsi="宋体" w:eastAsia="宋体" w:cs="宋体"/>
                <w:color w:val="auto"/>
                <w:sz w:val="24"/>
                <w:szCs w:val="24"/>
                <w:highlight w:val="none"/>
              </w:rPr>
            </w:pPr>
          </w:p>
        </w:tc>
        <w:tc>
          <w:tcPr>
            <w:tcW w:w="7568" w:type="dxa"/>
            <w:noWrap w:val="0"/>
            <w:vAlign w:val="center"/>
          </w:tcPr>
          <w:p w14:paraId="1BABC845">
            <w:pPr>
              <w:spacing w:line="500" w:lineRule="exact"/>
              <w:rPr>
                <w:rFonts w:hint="eastAsia" w:ascii="宋体" w:hAnsi="宋体" w:eastAsia="宋体" w:cs="宋体"/>
                <w:color w:val="auto"/>
                <w:sz w:val="24"/>
                <w:szCs w:val="24"/>
                <w:highlight w:val="none"/>
              </w:rPr>
            </w:pPr>
          </w:p>
        </w:tc>
      </w:tr>
      <w:tr w14:paraId="35147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E414040">
            <w:pPr>
              <w:spacing w:line="500" w:lineRule="exact"/>
              <w:rPr>
                <w:rFonts w:hint="eastAsia" w:ascii="宋体" w:hAnsi="宋体" w:eastAsia="宋体" w:cs="宋体"/>
                <w:color w:val="auto"/>
                <w:sz w:val="24"/>
                <w:szCs w:val="24"/>
                <w:highlight w:val="none"/>
              </w:rPr>
            </w:pPr>
          </w:p>
        </w:tc>
        <w:tc>
          <w:tcPr>
            <w:tcW w:w="7568" w:type="dxa"/>
            <w:noWrap w:val="0"/>
            <w:vAlign w:val="center"/>
          </w:tcPr>
          <w:p w14:paraId="30EE8E1E">
            <w:pPr>
              <w:spacing w:line="500" w:lineRule="exact"/>
              <w:rPr>
                <w:rFonts w:hint="eastAsia" w:ascii="宋体" w:hAnsi="宋体" w:eastAsia="宋体" w:cs="宋体"/>
                <w:color w:val="auto"/>
                <w:sz w:val="24"/>
                <w:szCs w:val="24"/>
                <w:highlight w:val="none"/>
              </w:rPr>
            </w:pPr>
          </w:p>
        </w:tc>
      </w:tr>
      <w:tr w14:paraId="33E58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32802EF0">
            <w:pPr>
              <w:spacing w:line="50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4E0AED9E">
            <w:pPr>
              <w:spacing w:line="500" w:lineRule="exact"/>
              <w:rPr>
                <w:rFonts w:hint="eastAsia" w:ascii="宋体" w:hAnsi="宋体" w:eastAsia="宋体" w:cs="宋体"/>
                <w:color w:val="auto"/>
                <w:sz w:val="24"/>
                <w:szCs w:val="24"/>
                <w:highlight w:val="none"/>
              </w:rPr>
            </w:pPr>
          </w:p>
        </w:tc>
      </w:tr>
      <w:tr w14:paraId="00BA4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06A1AC07">
            <w:pPr>
              <w:spacing w:line="50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11B712C3">
            <w:pPr>
              <w:spacing w:line="500" w:lineRule="exact"/>
              <w:rPr>
                <w:rFonts w:hint="eastAsia" w:ascii="宋体" w:hAnsi="宋体" w:eastAsia="宋体" w:cs="宋体"/>
                <w:color w:val="auto"/>
                <w:sz w:val="24"/>
                <w:szCs w:val="24"/>
                <w:highlight w:val="none"/>
              </w:rPr>
            </w:pPr>
          </w:p>
        </w:tc>
      </w:tr>
    </w:tbl>
    <w:p w14:paraId="7C653C04">
      <w:pPr>
        <w:pStyle w:val="2"/>
        <w:rPr>
          <w:rFonts w:hint="eastAsia"/>
          <w:color w:val="auto"/>
          <w:highlight w:val="none"/>
        </w:rPr>
      </w:pPr>
    </w:p>
    <w:p w14:paraId="0E6D920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197" w:name="_Toc22492"/>
      <w:r>
        <w:rPr>
          <w:rFonts w:hint="eastAsia" w:asciiTheme="minorEastAsia" w:hAnsiTheme="minorEastAsia" w:eastAsiaTheme="minorEastAsia"/>
          <w:b/>
          <w:color w:val="auto"/>
          <w:sz w:val="28"/>
          <w:highlight w:val="none"/>
        </w:rPr>
        <w:t>第六章  投标文件格式</w:t>
      </w:r>
      <w:bookmarkEnd w:id="197"/>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198" w:name="_Toc651"/>
      <w:r>
        <w:rPr>
          <w:rFonts w:hint="eastAsia" w:asciiTheme="minorEastAsia" w:hAnsiTheme="minorEastAsia" w:eastAsiaTheme="minorEastAsia"/>
          <w:b/>
          <w:color w:val="auto"/>
          <w:sz w:val="72"/>
          <w:highlight w:val="none"/>
        </w:rPr>
        <w:t>投</w:t>
      </w:r>
      <w:bookmarkEnd w:id="198"/>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199" w:name="_Toc6148"/>
      <w:r>
        <w:rPr>
          <w:rFonts w:hint="eastAsia" w:asciiTheme="minorEastAsia" w:hAnsiTheme="minorEastAsia" w:eastAsiaTheme="minorEastAsia"/>
          <w:b/>
          <w:color w:val="auto"/>
          <w:sz w:val="72"/>
          <w:highlight w:val="none"/>
        </w:rPr>
        <w:t>标</w:t>
      </w:r>
      <w:bookmarkEnd w:id="199"/>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200" w:name="_Toc1338"/>
      <w:r>
        <w:rPr>
          <w:rFonts w:hint="eastAsia" w:asciiTheme="minorEastAsia" w:hAnsiTheme="minorEastAsia" w:eastAsiaTheme="minorEastAsia"/>
          <w:b/>
          <w:color w:val="auto"/>
          <w:sz w:val="72"/>
          <w:highlight w:val="none"/>
        </w:rPr>
        <w:t>文</w:t>
      </w:r>
      <w:bookmarkEnd w:id="200"/>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201" w:name="_Toc10796"/>
      <w:r>
        <w:rPr>
          <w:rFonts w:hint="eastAsia" w:asciiTheme="minorEastAsia" w:hAnsiTheme="minorEastAsia" w:eastAsiaTheme="minorEastAsia"/>
          <w:b/>
          <w:color w:val="auto"/>
          <w:sz w:val="72"/>
          <w:highlight w:val="none"/>
        </w:rPr>
        <w:t>件</w:t>
      </w:r>
      <w:bookmarkEnd w:id="201"/>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 xml:space="preserve"> </w:t>
      </w: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02" w:name="_Toc8037"/>
      <w:bookmarkStart w:id="203"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02"/>
      <w:bookmarkEnd w:id="203"/>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204" w:name="_Toc28960"/>
      <w:bookmarkStart w:id="205" w:name="_Toc5555"/>
      <w:r>
        <w:rPr>
          <w:rFonts w:hint="eastAsia" w:asciiTheme="minorEastAsia" w:hAnsiTheme="minorEastAsia" w:eastAsiaTheme="minorEastAsia"/>
          <w:b/>
          <w:color w:val="auto"/>
          <w:sz w:val="24"/>
          <w:highlight w:val="none"/>
        </w:rPr>
        <w:t>一、开标一览表</w:t>
      </w:r>
      <w:bookmarkEnd w:id="204"/>
      <w:bookmarkEnd w:id="205"/>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8"/>
                <w:highlight w:val="none"/>
              </w:rPr>
              <w:t>全部</w:t>
            </w:r>
            <w:r>
              <w:rPr>
                <w:rFonts w:hint="eastAsia" w:asciiTheme="minorEastAsia" w:hAnsiTheme="minorEastAsia" w:eastAsiaTheme="minorEastAsia"/>
                <w:color w:val="auto"/>
                <w:sz w:val="24"/>
                <w:szCs w:val="28"/>
                <w:highlight w:val="none"/>
                <w:lang w:val="en-US" w:eastAsia="zh-CN"/>
              </w:rPr>
              <w:t xml:space="preserve"> </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206" w:name="_Toc18010"/>
      <w:bookmarkStart w:id="207" w:name="_Toc6441"/>
      <w:r>
        <w:rPr>
          <w:rFonts w:hint="eastAsia" w:asciiTheme="minorEastAsia" w:hAnsiTheme="minorEastAsia" w:eastAsiaTheme="minorEastAsia"/>
          <w:b/>
          <w:color w:val="auto"/>
          <w:sz w:val="24"/>
          <w:highlight w:val="none"/>
        </w:rPr>
        <w:t>二、投标函</w:t>
      </w:r>
      <w:bookmarkEnd w:id="206"/>
      <w:bookmarkEnd w:id="207"/>
    </w:p>
    <w:p w14:paraId="5A91387F">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208" w:name="_Toc1328"/>
      <w:r>
        <w:rPr>
          <w:rFonts w:hint="eastAsia" w:asciiTheme="minorEastAsia" w:hAnsiTheme="minorEastAsia" w:eastAsiaTheme="minorEastAsia"/>
          <w:b/>
          <w:color w:val="auto"/>
          <w:sz w:val="24"/>
          <w:highlight w:val="none"/>
          <w:lang w:val="en-US" w:eastAsia="zh-CN"/>
        </w:rPr>
        <w:t>三．投标人资格声明书</w:t>
      </w:r>
      <w:bookmarkEnd w:id="208"/>
      <w:r>
        <w:rPr>
          <w:rFonts w:hint="eastAsia" w:asciiTheme="minorEastAsia" w:hAnsiTheme="minorEastAsia" w:eastAsiaTheme="minorEastAsia"/>
          <w:b/>
          <w:color w:val="auto"/>
          <w:sz w:val="24"/>
          <w:highlight w:val="none"/>
          <w:lang w:val="en-US" w:eastAsia="zh-CN"/>
        </w:rPr>
        <w:t xml:space="preserve"> </w:t>
      </w:r>
    </w:p>
    <w:p w14:paraId="71C42E2A">
      <w:pPr>
        <w:pStyle w:val="16"/>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AB1403A">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9A8ACBA">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A13D49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9931D3C">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476754D">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70D37D4">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11"/>
        <w:rPr>
          <w:rFonts w:hint="eastAsia" w:asciiTheme="minorEastAsia" w:hAnsiTheme="minorEastAsia" w:eastAsiaTheme="minorEastAsia" w:cstheme="minorEastAsia"/>
          <w:color w:val="auto"/>
          <w:kern w:val="0"/>
          <w:sz w:val="24"/>
          <w:szCs w:val="24"/>
          <w:highlight w:val="none"/>
          <w:lang w:val="en-US" w:eastAsia="zh-CN" w:bidi="ar"/>
        </w:rPr>
      </w:pPr>
    </w:p>
    <w:p w14:paraId="62FACBB4">
      <w:pPr>
        <w:pStyle w:val="11"/>
        <w:rPr>
          <w:rFonts w:hint="eastAsia" w:asciiTheme="minorEastAsia" w:hAnsiTheme="minorEastAsia" w:eastAsiaTheme="minorEastAsia" w:cstheme="minorEastAsia"/>
          <w:color w:val="auto"/>
          <w:kern w:val="0"/>
          <w:sz w:val="24"/>
          <w:szCs w:val="24"/>
          <w:highlight w:val="none"/>
          <w:lang w:val="en-US" w:eastAsia="zh-CN" w:bidi="ar"/>
        </w:rPr>
      </w:pPr>
    </w:p>
    <w:p w14:paraId="29236E8F">
      <w:pPr>
        <w:pStyle w:val="11"/>
        <w:rPr>
          <w:rFonts w:hint="eastAsia" w:asciiTheme="minorEastAsia" w:hAnsiTheme="minorEastAsia" w:eastAsiaTheme="minorEastAsia" w:cstheme="minorEastAsia"/>
          <w:color w:val="auto"/>
          <w:kern w:val="0"/>
          <w:sz w:val="24"/>
          <w:szCs w:val="24"/>
          <w:highlight w:val="none"/>
          <w:lang w:val="en-US" w:eastAsia="zh-CN" w:bidi="ar"/>
        </w:rPr>
      </w:pPr>
    </w:p>
    <w:p w14:paraId="17F618DD">
      <w:pPr>
        <w:rPr>
          <w:rFonts w:hint="eastAsia" w:asciiTheme="minorEastAsia" w:hAnsiTheme="minorEastAsia" w:eastAsiaTheme="minorEastAsia"/>
          <w:b/>
          <w:color w:val="auto"/>
          <w:sz w:val="24"/>
          <w:highlight w:val="none"/>
        </w:rPr>
      </w:pPr>
      <w:bookmarkStart w:id="209"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210" w:name="_Toc16960"/>
      <w:r>
        <w:rPr>
          <w:rFonts w:hint="eastAsia" w:asciiTheme="minorEastAsia" w:hAnsiTheme="minorEastAsia" w:eastAsiaTheme="minorEastAsia"/>
          <w:b/>
          <w:color w:val="auto"/>
          <w:sz w:val="24"/>
          <w:highlight w:val="none"/>
        </w:rPr>
        <w:t>四、授权书</w:t>
      </w:r>
      <w:bookmarkEnd w:id="209"/>
      <w:bookmarkEnd w:id="210"/>
    </w:p>
    <w:p w14:paraId="08E8CC0E">
      <w:pPr>
        <w:pStyle w:val="15"/>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1" w:name="_Toc6796"/>
      <w:bookmarkStart w:id="212" w:name="_Toc31991"/>
      <w:r>
        <w:rPr>
          <w:rFonts w:hint="eastAsia" w:asciiTheme="minorEastAsia" w:hAnsiTheme="minorEastAsia" w:eastAsiaTheme="minorEastAsia"/>
          <w:b/>
          <w:color w:val="auto"/>
          <w:sz w:val="24"/>
          <w:highlight w:val="none"/>
        </w:rPr>
        <w:t>五、投标分项报价表</w:t>
      </w:r>
      <w:bookmarkEnd w:id="211"/>
      <w:bookmarkEnd w:id="212"/>
    </w:p>
    <w:p w14:paraId="7BFA8A4B">
      <w:pPr>
        <w:pStyle w:val="53"/>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7761E195">
            <w:pPr>
              <w:rPr>
                <w:rFonts w:ascii="宋体" w:hAnsi="宋体" w:eastAsia="宋体"/>
                <w:color w:val="auto"/>
                <w:sz w:val="24"/>
                <w:highlight w:val="none"/>
              </w:rPr>
            </w:pPr>
          </w:p>
        </w:tc>
        <w:tc>
          <w:tcPr>
            <w:tcW w:w="772" w:type="pct"/>
            <w:noWrap w:val="0"/>
            <w:vAlign w:val="top"/>
          </w:tcPr>
          <w:p w14:paraId="0375DE1C">
            <w:pPr>
              <w:rPr>
                <w:rFonts w:ascii="宋体" w:hAnsi="宋体" w:eastAsia="宋体"/>
                <w:color w:val="auto"/>
                <w:sz w:val="24"/>
                <w:highlight w:val="none"/>
              </w:rPr>
            </w:pPr>
          </w:p>
        </w:tc>
        <w:tc>
          <w:tcPr>
            <w:tcW w:w="772" w:type="pct"/>
            <w:noWrap w:val="0"/>
            <w:vAlign w:val="top"/>
          </w:tcPr>
          <w:p w14:paraId="52FF1C92">
            <w:pPr>
              <w:rPr>
                <w:rFonts w:ascii="宋体" w:hAnsi="宋体" w:eastAsia="宋体"/>
                <w:color w:val="auto"/>
                <w:sz w:val="24"/>
                <w:highlight w:val="none"/>
              </w:rPr>
            </w:pPr>
          </w:p>
        </w:tc>
        <w:tc>
          <w:tcPr>
            <w:tcW w:w="394" w:type="pct"/>
            <w:noWrap w:val="0"/>
            <w:vAlign w:val="top"/>
          </w:tcPr>
          <w:p w14:paraId="7C01FFE9">
            <w:pPr>
              <w:rPr>
                <w:rFonts w:ascii="宋体" w:hAnsi="宋体" w:eastAsia="宋体"/>
                <w:color w:val="auto"/>
                <w:sz w:val="24"/>
                <w:highlight w:val="none"/>
              </w:rPr>
            </w:pPr>
          </w:p>
        </w:tc>
        <w:tc>
          <w:tcPr>
            <w:tcW w:w="394" w:type="pct"/>
            <w:noWrap w:val="0"/>
            <w:vAlign w:val="top"/>
          </w:tcPr>
          <w:p w14:paraId="4DE5AC10">
            <w:pPr>
              <w:rPr>
                <w:rFonts w:ascii="宋体" w:hAnsi="宋体" w:eastAsia="宋体"/>
                <w:color w:val="auto"/>
                <w:sz w:val="24"/>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C5F27B4">
            <w:pPr>
              <w:rPr>
                <w:rFonts w:ascii="宋体" w:hAnsi="宋体" w:eastAsia="宋体"/>
                <w:color w:val="auto"/>
                <w:sz w:val="24"/>
                <w:highlight w:val="none"/>
              </w:rPr>
            </w:pPr>
          </w:p>
        </w:tc>
        <w:tc>
          <w:tcPr>
            <w:tcW w:w="772" w:type="pct"/>
            <w:noWrap w:val="0"/>
            <w:vAlign w:val="top"/>
          </w:tcPr>
          <w:p w14:paraId="439F3115">
            <w:pPr>
              <w:rPr>
                <w:rFonts w:ascii="宋体" w:hAnsi="宋体" w:eastAsia="宋体"/>
                <w:color w:val="auto"/>
                <w:sz w:val="24"/>
                <w:highlight w:val="none"/>
              </w:rPr>
            </w:pPr>
          </w:p>
        </w:tc>
        <w:tc>
          <w:tcPr>
            <w:tcW w:w="772" w:type="pct"/>
            <w:noWrap w:val="0"/>
            <w:vAlign w:val="top"/>
          </w:tcPr>
          <w:p w14:paraId="0B5EF6A2">
            <w:pPr>
              <w:rPr>
                <w:rFonts w:ascii="宋体" w:hAnsi="宋体" w:eastAsia="宋体"/>
                <w:color w:val="auto"/>
                <w:sz w:val="24"/>
                <w:highlight w:val="none"/>
              </w:rPr>
            </w:pPr>
          </w:p>
        </w:tc>
        <w:tc>
          <w:tcPr>
            <w:tcW w:w="394" w:type="pct"/>
            <w:noWrap w:val="0"/>
            <w:vAlign w:val="top"/>
          </w:tcPr>
          <w:p w14:paraId="66BA4716">
            <w:pPr>
              <w:rPr>
                <w:rFonts w:ascii="宋体" w:hAnsi="宋体" w:eastAsia="宋体"/>
                <w:color w:val="auto"/>
                <w:sz w:val="24"/>
                <w:highlight w:val="none"/>
              </w:rPr>
            </w:pPr>
          </w:p>
        </w:tc>
        <w:tc>
          <w:tcPr>
            <w:tcW w:w="394" w:type="pct"/>
            <w:noWrap w:val="0"/>
            <w:vAlign w:val="top"/>
          </w:tcPr>
          <w:p w14:paraId="4981F119">
            <w:pPr>
              <w:rPr>
                <w:rFonts w:ascii="宋体" w:hAnsi="宋体" w:eastAsia="宋体"/>
                <w:color w:val="auto"/>
                <w:sz w:val="24"/>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6" w:type="pct"/>
            <w:noWrap w:val="0"/>
            <w:vAlign w:val="top"/>
          </w:tcPr>
          <w:p w14:paraId="3F508895">
            <w:pPr>
              <w:rPr>
                <w:rFonts w:ascii="宋体" w:hAnsi="宋体" w:eastAsia="宋体"/>
                <w:color w:val="auto"/>
                <w:sz w:val="24"/>
                <w:highlight w:val="none"/>
              </w:rPr>
            </w:pPr>
          </w:p>
        </w:tc>
        <w:tc>
          <w:tcPr>
            <w:tcW w:w="772" w:type="pct"/>
            <w:noWrap w:val="0"/>
            <w:vAlign w:val="top"/>
          </w:tcPr>
          <w:p w14:paraId="20B310BD">
            <w:pPr>
              <w:rPr>
                <w:rFonts w:ascii="宋体" w:hAnsi="宋体" w:eastAsia="宋体"/>
                <w:color w:val="auto"/>
                <w:sz w:val="24"/>
                <w:highlight w:val="none"/>
              </w:rPr>
            </w:pPr>
          </w:p>
        </w:tc>
        <w:tc>
          <w:tcPr>
            <w:tcW w:w="772" w:type="pct"/>
            <w:noWrap w:val="0"/>
            <w:vAlign w:val="top"/>
          </w:tcPr>
          <w:p w14:paraId="09A7230D">
            <w:pPr>
              <w:rPr>
                <w:rFonts w:ascii="宋体" w:hAnsi="宋体" w:eastAsia="宋体"/>
                <w:color w:val="auto"/>
                <w:sz w:val="24"/>
                <w:highlight w:val="none"/>
              </w:rPr>
            </w:pPr>
          </w:p>
        </w:tc>
        <w:tc>
          <w:tcPr>
            <w:tcW w:w="394" w:type="pct"/>
            <w:noWrap w:val="0"/>
            <w:vAlign w:val="top"/>
          </w:tcPr>
          <w:p w14:paraId="275F91C4">
            <w:pPr>
              <w:rPr>
                <w:rFonts w:ascii="宋体" w:hAnsi="宋体" w:eastAsia="宋体"/>
                <w:color w:val="auto"/>
                <w:sz w:val="24"/>
                <w:highlight w:val="none"/>
              </w:rPr>
            </w:pPr>
          </w:p>
        </w:tc>
        <w:tc>
          <w:tcPr>
            <w:tcW w:w="394" w:type="pct"/>
            <w:noWrap w:val="0"/>
            <w:vAlign w:val="top"/>
          </w:tcPr>
          <w:p w14:paraId="6E9B5D37">
            <w:pPr>
              <w:rPr>
                <w:rFonts w:ascii="宋体" w:hAnsi="宋体" w:eastAsia="宋体"/>
                <w:color w:val="auto"/>
                <w:sz w:val="24"/>
                <w:highlight w:val="none"/>
              </w:rPr>
            </w:pPr>
          </w:p>
        </w:tc>
        <w:tc>
          <w:tcPr>
            <w:tcW w:w="551" w:type="pct"/>
            <w:noWrap w:val="0"/>
            <w:vAlign w:val="top"/>
          </w:tcPr>
          <w:p w14:paraId="7D351FDC">
            <w:pPr>
              <w:rPr>
                <w:rFonts w:ascii="宋体" w:hAnsi="宋体" w:eastAsia="宋体"/>
                <w:color w:val="auto"/>
                <w:sz w:val="24"/>
                <w:highlight w:val="none"/>
              </w:rPr>
            </w:pPr>
          </w:p>
        </w:tc>
        <w:tc>
          <w:tcPr>
            <w:tcW w:w="551" w:type="pct"/>
            <w:noWrap w:val="0"/>
            <w:vAlign w:val="top"/>
          </w:tcPr>
          <w:p w14:paraId="68D6AC0F">
            <w:pPr>
              <w:rPr>
                <w:rFonts w:ascii="宋体" w:hAnsi="宋体" w:eastAsia="宋体"/>
                <w:color w:val="auto"/>
                <w:sz w:val="24"/>
                <w:highlight w:val="none"/>
              </w:rPr>
            </w:pPr>
          </w:p>
        </w:tc>
        <w:tc>
          <w:tcPr>
            <w:tcW w:w="393" w:type="pct"/>
            <w:noWrap w:val="0"/>
            <w:vAlign w:val="top"/>
          </w:tcPr>
          <w:p w14:paraId="2EB92AF3">
            <w:pPr>
              <w:rPr>
                <w:rFonts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52FDDD29">
            <w:pPr>
              <w:rPr>
                <w:rFonts w:ascii="宋体" w:hAnsi="宋体" w:eastAsia="宋体"/>
                <w:color w:val="auto"/>
                <w:sz w:val="24"/>
                <w:highlight w:val="none"/>
              </w:rPr>
            </w:pPr>
          </w:p>
        </w:tc>
        <w:tc>
          <w:tcPr>
            <w:tcW w:w="772" w:type="pct"/>
            <w:noWrap w:val="0"/>
            <w:vAlign w:val="top"/>
          </w:tcPr>
          <w:p w14:paraId="0F448206">
            <w:pPr>
              <w:rPr>
                <w:rFonts w:ascii="宋体" w:hAnsi="宋体" w:eastAsia="宋体"/>
                <w:color w:val="auto"/>
                <w:sz w:val="24"/>
                <w:highlight w:val="none"/>
              </w:rPr>
            </w:pPr>
          </w:p>
        </w:tc>
        <w:tc>
          <w:tcPr>
            <w:tcW w:w="772" w:type="pct"/>
            <w:noWrap w:val="0"/>
            <w:vAlign w:val="top"/>
          </w:tcPr>
          <w:p w14:paraId="6F4523F1">
            <w:pPr>
              <w:rPr>
                <w:rFonts w:ascii="宋体" w:hAnsi="宋体" w:eastAsia="宋体"/>
                <w:color w:val="auto"/>
                <w:sz w:val="24"/>
                <w:highlight w:val="none"/>
              </w:rPr>
            </w:pPr>
          </w:p>
        </w:tc>
        <w:tc>
          <w:tcPr>
            <w:tcW w:w="394" w:type="pct"/>
            <w:noWrap w:val="0"/>
            <w:vAlign w:val="top"/>
          </w:tcPr>
          <w:p w14:paraId="5713503A">
            <w:pPr>
              <w:rPr>
                <w:rFonts w:ascii="宋体" w:hAnsi="宋体" w:eastAsia="宋体"/>
                <w:color w:val="auto"/>
                <w:sz w:val="24"/>
                <w:highlight w:val="none"/>
              </w:rPr>
            </w:pPr>
          </w:p>
        </w:tc>
        <w:tc>
          <w:tcPr>
            <w:tcW w:w="394" w:type="pct"/>
            <w:noWrap w:val="0"/>
            <w:vAlign w:val="top"/>
          </w:tcPr>
          <w:p w14:paraId="44B66D33">
            <w:pPr>
              <w:rPr>
                <w:rFonts w:ascii="宋体" w:hAnsi="宋体" w:eastAsia="宋体"/>
                <w:color w:val="auto"/>
                <w:sz w:val="24"/>
                <w:highlight w:val="none"/>
              </w:rPr>
            </w:pPr>
          </w:p>
        </w:tc>
        <w:tc>
          <w:tcPr>
            <w:tcW w:w="551" w:type="pct"/>
            <w:noWrap w:val="0"/>
            <w:vAlign w:val="top"/>
          </w:tcPr>
          <w:p w14:paraId="4D3028A2">
            <w:pPr>
              <w:rPr>
                <w:rFonts w:ascii="宋体" w:hAnsi="宋体" w:eastAsia="宋体"/>
                <w:color w:val="auto"/>
                <w:sz w:val="24"/>
                <w:highlight w:val="none"/>
              </w:rPr>
            </w:pPr>
          </w:p>
        </w:tc>
        <w:tc>
          <w:tcPr>
            <w:tcW w:w="551" w:type="pct"/>
            <w:noWrap w:val="0"/>
            <w:vAlign w:val="top"/>
          </w:tcPr>
          <w:p w14:paraId="1790092E">
            <w:pPr>
              <w:rPr>
                <w:rFonts w:ascii="宋体" w:hAnsi="宋体" w:eastAsia="宋体"/>
                <w:color w:val="auto"/>
                <w:sz w:val="24"/>
                <w:highlight w:val="none"/>
              </w:rPr>
            </w:pPr>
          </w:p>
        </w:tc>
        <w:tc>
          <w:tcPr>
            <w:tcW w:w="393" w:type="pct"/>
            <w:noWrap w:val="0"/>
            <w:vAlign w:val="top"/>
          </w:tcPr>
          <w:p w14:paraId="578F6552">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5" w:type="pct"/>
            <w:gridSpan w:val="2"/>
            <w:noWrap w:val="0"/>
            <w:vAlign w:val="top"/>
          </w:tcPr>
          <w:p w14:paraId="559957D4">
            <w:pPr>
              <w:rPr>
                <w:rFonts w:ascii="宋体" w:hAnsi="宋体" w:eastAsia="宋体"/>
                <w:color w:val="auto"/>
                <w:sz w:val="24"/>
                <w:highlight w:val="none"/>
              </w:rPr>
            </w:pPr>
          </w:p>
        </w:tc>
      </w:tr>
    </w:tbl>
    <w:p w14:paraId="4C7090A7">
      <w:pPr>
        <w:pStyle w:val="53"/>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53"/>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8"/>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color w:val="auto"/>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213" w:name="_Toc20329"/>
      <w:bookmarkStart w:id="214" w:name="_Toc11940"/>
      <w:r>
        <w:rPr>
          <w:rFonts w:hint="eastAsia" w:asciiTheme="minorEastAsia" w:hAnsiTheme="minorEastAsia" w:eastAsiaTheme="minorEastAsia"/>
          <w:b/>
          <w:color w:val="auto"/>
          <w:sz w:val="24"/>
          <w:highlight w:val="none"/>
        </w:rPr>
        <w:t>六、投标响应表</w:t>
      </w:r>
      <w:bookmarkEnd w:id="213"/>
      <w:bookmarkEnd w:id="214"/>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53"/>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53"/>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53"/>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6"/>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215" w:name="_Toc31244"/>
      <w:bookmarkStart w:id="216" w:name="_Toc9573"/>
      <w:bookmarkStart w:id="217" w:name="OLE_LINK13"/>
      <w:bookmarkStart w:id="218" w:name="OLE_LINK14"/>
      <w:r>
        <w:rPr>
          <w:rFonts w:hint="eastAsia" w:asciiTheme="minorEastAsia" w:hAnsiTheme="minorEastAsia" w:eastAsiaTheme="minorEastAsia"/>
          <w:b/>
          <w:color w:val="auto"/>
          <w:sz w:val="24"/>
          <w:highlight w:val="none"/>
          <w:lang w:val="en-US" w:eastAsia="zh-CN"/>
        </w:rPr>
        <w:t>七、中小企业声明函</w:t>
      </w:r>
      <w:bookmarkEnd w:id="215"/>
      <w:bookmarkEnd w:id="216"/>
    </w:p>
    <w:p w14:paraId="7313C94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FAB130D">
      <w:pPr>
        <w:spacing w:line="360" w:lineRule="auto"/>
        <w:ind w:left="-199" w:leftChars="-95" w:right="-313" w:rightChars="-149" w:firstLine="435" w:firstLineChars="0"/>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left="-199" w:leftChars="-95" w:right="-313" w:rightChars="-149" w:firstLine="435" w:firstLineChars="0"/>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left="-199" w:leftChars="-95" w:right="-313" w:rightChars="-149" w:firstLine="435" w:firstLineChars="0"/>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left="-199" w:leftChars="-95" w:right="-313" w:rightChars="-149" w:firstLine="435" w:firstLineChars="0"/>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left="-199" w:leftChars="-95" w:right="-313" w:rightChars="-149" w:firstLine="435" w:firstLineChars="0"/>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E5A3731">
      <w:pPr>
        <w:spacing w:line="360" w:lineRule="auto"/>
        <w:ind w:left="-199" w:leftChars="-95" w:right="-313" w:rightChars="-149" w:firstLine="435" w:firstLineChars="0"/>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63D840E">
      <w:pPr>
        <w:tabs>
          <w:tab w:val="left" w:pos="4620"/>
        </w:tabs>
        <w:spacing w:line="360" w:lineRule="auto"/>
        <w:ind w:left="-420" w:leftChars="-200" w:right="-733" w:rightChars="-349" w:firstLine="0" w:firstLineChars="0"/>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ind w:left="-420" w:leftChars="-200" w:right="-733" w:rightChars="-349" w:firstLine="0" w:firstLineChars="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ind w:left="-420" w:leftChars="-200" w:right="-733" w:rightChars="-349" w:firstLine="0" w:firstLineChars="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ind w:left="-420" w:leftChars="-200" w:right="-733" w:rightChars="-349" w:firstLine="0" w:firstLineChars="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ind w:left="-420" w:leftChars="-200" w:right="-733" w:rightChars="-349" w:firstLine="0" w:firstLineChars="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ind w:left="-420" w:leftChars="-200" w:right="-733" w:rightChars="-349" w:firstLine="0" w:firstLineChars="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217"/>
      <w:bookmarkEnd w:id="218"/>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219" w:name="_Toc24563"/>
      <w:bookmarkStart w:id="220" w:name="_Toc16713"/>
      <w:r>
        <w:rPr>
          <w:rFonts w:hint="eastAsia" w:asciiTheme="minorEastAsia" w:hAnsiTheme="minorEastAsia" w:eastAsiaTheme="minorEastAsia"/>
          <w:b/>
          <w:color w:val="auto"/>
          <w:sz w:val="24"/>
          <w:highlight w:val="none"/>
          <w:lang w:val="en-US" w:eastAsia="zh-CN"/>
        </w:rPr>
        <w:t>八、残疾人福利性单位声明函</w:t>
      </w:r>
      <w:bookmarkEnd w:id="219"/>
      <w:bookmarkEnd w:id="220"/>
    </w:p>
    <w:p w14:paraId="1BDECF4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bookmarkStart w:id="221" w:name="_Toc300210382"/>
      <w:bookmarkStart w:id="222" w:name="_Toc457768004"/>
      <w:bookmarkStart w:id="223" w:name="_Toc520299348"/>
      <w:bookmarkStart w:id="224" w:name="_Toc26536"/>
      <w:bookmarkStart w:id="225" w:name="_Toc25813"/>
      <w:bookmarkStart w:id="226" w:name="_Hlk11701496"/>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42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42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2"/>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2"/>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42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42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42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228CB750">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1E0836C2">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w:t>
      </w:r>
      <w:bookmarkEnd w:id="221"/>
      <w:bookmarkEnd w:id="222"/>
      <w:bookmarkEnd w:id="223"/>
      <w:r>
        <w:rPr>
          <w:rFonts w:hint="eastAsia" w:asciiTheme="minorEastAsia" w:hAnsiTheme="minorEastAsia" w:eastAsiaTheme="minorEastAsia"/>
          <w:b/>
          <w:color w:val="auto"/>
          <w:sz w:val="24"/>
          <w:highlight w:val="none"/>
          <w:lang w:val="en-US" w:eastAsia="zh-CN"/>
        </w:rPr>
        <w:t>诚信履约承诺函</w:t>
      </w:r>
      <w:bookmarkEnd w:id="224"/>
      <w:bookmarkEnd w:id="225"/>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rPr>
          <w:rFonts w:ascii="宋体" w:hAnsi="宋体" w:eastAsia="宋体" w:cs="Arial"/>
          <w:color w:val="auto"/>
          <w:sz w:val="24"/>
          <w:highlight w:val="none"/>
        </w:rPr>
      </w:pPr>
      <w:r>
        <w:rPr>
          <w:rFonts w:ascii="宋体" w:hAnsi="宋体" w:eastAsia="宋体" w:cs="Arial"/>
          <w:color w:val="auto"/>
          <w:sz w:val="24"/>
          <w:highlight w:val="none"/>
        </w:rPr>
        <w:br w:type="page"/>
      </w:r>
    </w:p>
    <w:p w14:paraId="7393438E">
      <w:pPr>
        <w:spacing w:line="360" w:lineRule="auto"/>
        <w:jc w:val="center"/>
        <w:outlineLvl w:val="1"/>
        <w:rPr>
          <w:rFonts w:hint="eastAsia" w:ascii="宋体" w:hAnsi="宋体" w:eastAsia="宋体"/>
          <w:b/>
          <w:color w:val="auto"/>
          <w:sz w:val="24"/>
          <w:szCs w:val="24"/>
          <w:highlight w:val="none"/>
        </w:rPr>
      </w:pPr>
      <w:r>
        <w:rPr>
          <w:rFonts w:hint="eastAsia" w:asciiTheme="minorEastAsia" w:hAnsiTheme="minorEastAsia" w:eastAsiaTheme="minorEastAsia"/>
          <w:b/>
          <w:color w:val="auto"/>
          <w:sz w:val="24"/>
          <w:highlight w:val="none"/>
          <w:lang w:val="en-US" w:eastAsia="zh-CN"/>
        </w:rPr>
        <w:t>十一、</w:t>
      </w:r>
      <w:r>
        <w:rPr>
          <w:rFonts w:hint="eastAsia" w:ascii="宋体" w:hAnsi="宋体" w:eastAsia="宋体" w:cs="宋体"/>
          <w:b/>
          <w:color w:val="auto"/>
          <w:sz w:val="24"/>
          <w:szCs w:val="24"/>
          <w:highlight w:val="none"/>
          <w:lang w:bidi="ar"/>
        </w:rPr>
        <w:t>诚信投标承诺书</w:t>
      </w:r>
    </w:p>
    <w:p w14:paraId="7908E88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06539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4FA097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371DA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3BF9A0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64F17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264A02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391BA2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DFC1A6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6831EA1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9627F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621FB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21B22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79D5D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1E911E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378430">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189F4DCB">
      <w:pPr>
        <w:pStyle w:val="2"/>
        <w:rPr>
          <w:color w:val="auto"/>
          <w:highlight w:val="none"/>
        </w:rPr>
      </w:pPr>
    </w:p>
    <w:bookmarkEnd w:id="226"/>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7" w:name="_Toc32633"/>
      <w:bookmarkStart w:id="228" w:name="_Toc2683"/>
      <w:r>
        <w:rPr>
          <w:rFonts w:hint="eastAsia" w:asciiTheme="minorEastAsia" w:hAnsiTheme="minorEastAsia" w:eastAsiaTheme="minorEastAsia"/>
          <w:b/>
          <w:color w:val="auto"/>
          <w:sz w:val="24"/>
          <w:highlight w:val="none"/>
          <w:lang w:val="en-US" w:eastAsia="zh-CN"/>
        </w:rPr>
        <w:t>十二、其他相关证明材料</w:t>
      </w:r>
      <w:bookmarkEnd w:id="227"/>
      <w:bookmarkEnd w:id="228"/>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229" w:name="_Toc18131"/>
      <w:bookmarkStart w:id="230"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9"/>
      <w:bookmarkEnd w:id="230"/>
    </w:p>
    <w:p w14:paraId="7A40B900">
      <w:pPr>
        <w:spacing w:line="360" w:lineRule="auto"/>
        <w:jc w:val="center"/>
        <w:outlineLvl w:val="1"/>
        <w:rPr>
          <w:rFonts w:ascii="仿宋" w:hAnsi="仿宋" w:eastAsia="仿宋" w:cs="仿宋"/>
          <w:b/>
          <w:bCs/>
          <w:color w:val="auto"/>
          <w:sz w:val="32"/>
          <w:szCs w:val="44"/>
          <w:highlight w:val="none"/>
        </w:rPr>
      </w:pPr>
      <w:bookmarkStart w:id="231" w:name="_Toc27159"/>
      <w:bookmarkStart w:id="232" w:name="_Toc27489"/>
      <w:r>
        <w:rPr>
          <w:rFonts w:hint="eastAsia" w:ascii="仿宋" w:hAnsi="仿宋" w:eastAsia="仿宋" w:cs="仿宋"/>
          <w:b/>
          <w:bCs/>
          <w:color w:val="auto"/>
          <w:sz w:val="32"/>
          <w:szCs w:val="44"/>
          <w:highlight w:val="none"/>
        </w:rPr>
        <w:t>询问函范本</w:t>
      </w:r>
      <w:bookmarkEnd w:id="231"/>
      <w:bookmarkEnd w:id="232"/>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3" w:name="_Toc13899"/>
      <w:r>
        <w:rPr>
          <w:rFonts w:hint="eastAsia" w:cs="仿宋" w:asciiTheme="minorEastAsia" w:hAnsiTheme="minorEastAsia" w:eastAsiaTheme="minorEastAsia"/>
          <w:color w:val="auto"/>
          <w:sz w:val="24"/>
          <w:szCs w:val="24"/>
          <w:highlight w:val="none"/>
        </w:rPr>
        <w:t>一、(事项一)</w:t>
      </w:r>
      <w:bookmarkEnd w:id="233"/>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4" w:name="_Toc3352"/>
      <w:r>
        <w:rPr>
          <w:rFonts w:hint="eastAsia" w:cs="仿宋" w:asciiTheme="minorEastAsia" w:hAnsiTheme="minorEastAsia" w:eastAsiaTheme="minorEastAsia"/>
          <w:color w:val="auto"/>
          <w:sz w:val="24"/>
          <w:szCs w:val="24"/>
          <w:highlight w:val="none"/>
        </w:rPr>
        <w:t>二、(事项二)</w:t>
      </w:r>
      <w:bookmarkEnd w:id="234"/>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235" w:name="_Toc1575"/>
      <w:bookmarkStart w:id="236" w:name="_Toc3245"/>
      <w:r>
        <w:rPr>
          <w:rFonts w:hint="eastAsia" w:ascii="仿宋" w:hAnsi="仿宋" w:eastAsia="仿宋" w:cs="仿宋"/>
          <w:b/>
          <w:bCs/>
          <w:color w:val="auto"/>
          <w:sz w:val="32"/>
          <w:szCs w:val="44"/>
          <w:highlight w:val="none"/>
        </w:rPr>
        <w:t>质疑函范本</w:t>
      </w:r>
      <w:bookmarkEnd w:id="235"/>
      <w:bookmarkEnd w:id="236"/>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37" w:name="_Toc21381"/>
      <w:r>
        <w:rPr>
          <w:rFonts w:hint="eastAsia" w:cs="仿宋" w:asciiTheme="minorEastAsia" w:hAnsiTheme="minorEastAsia" w:eastAsiaTheme="minorEastAsia"/>
          <w:b/>
          <w:bCs/>
          <w:color w:val="auto"/>
          <w:sz w:val="24"/>
          <w:szCs w:val="24"/>
          <w:highlight w:val="none"/>
        </w:rPr>
        <w:t>一、质疑供应商基本信息</w:t>
      </w:r>
      <w:bookmarkEnd w:id="237"/>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8" w:name="_Toc28415"/>
      <w:r>
        <w:rPr>
          <w:rFonts w:hint="eastAsia" w:cs="仿宋" w:asciiTheme="minorEastAsia" w:hAnsiTheme="minorEastAsia" w:eastAsiaTheme="minorEastAsia"/>
          <w:b/>
          <w:bCs/>
          <w:color w:val="auto"/>
          <w:sz w:val="24"/>
          <w:szCs w:val="24"/>
          <w:highlight w:val="none"/>
        </w:rPr>
        <w:t>二、质疑项目基本情况</w:t>
      </w:r>
      <w:bookmarkEnd w:id="238"/>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9" w:name="_Toc19014"/>
      <w:r>
        <w:rPr>
          <w:rFonts w:hint="eastAsia" w:cs="仿宋" w:asciiTheme="minorEastAsia" w:hAnsiTheme="minorEastAsia" w:eastAsiaTheme="minorEastAsia"/>
          <w:b/>
          <w:bCs/>
          <w:color w:val="auto"/>
          <w:sz w:val="24"/>
          <w:szCs w:val="24"/>
          <w:highlight w:val="none"/>
        </w:rPr>
        <w:t>三、质疑事项具体内容</w:t>
      </w:r>
      <w:bookmarkEnd w:id="239"/>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40" w:name="_Toc17919"/>
      <w:r>
        <w:rPr>
          <w:rFonts w:hint="eastAsia" w:cs="仿宋" w:asciiTheme="minorEastAsia" w:hAnsiTheme="minorEastAsia" w:eastAsiaTheme="minorEastAsia"/>
          <w:b/>
          <w:bCs/>
          <w:color w:val="auto"/>
          <w:sz w:val="24"/>
          <w:szCs w:val="24"/>
          <w:highlight w:val="none"/>
        </w:rPr>
        <w:t>四、与质疑事项相关的质疑请求</w:t>
      </w:r>
      <w:bookmarkEnd w:id="240"/>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241" w:name="_Toc26836"/>
      <w:bookmarkStart w:id="242" w:name="_Toc9754"/>
      <w:r>
        <w:rPr>
          <w:rFonts w:hint="eastAsia" w:asciiTheme="minorEastAsia" w:hAnsiTheme="minorEastAsia" w:eastAsiaTheme="minorEastAsia"/>
          <w:b/>
          <w:color w:val="auto"/>
          <w:sz w:val="28"/>
          <w:szCs w:val="32"/>
          <w:highlight w:val="none"/>
        </w:rPr>
        <w:t>质疑函制作说明：</w:t>
      </w:r>
      <w:bookmarkEnd w:id="241"/>
      <w:bookmarkEnd w:id="242"/>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CDB3CC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1BA5323">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43" w:name="OLE_LINK92"/>
      <w:bookmarkStart w:id="244" w:name="OLE_LINK93"/>
      <w:bookmarkStart w:id="245" w:name="OLE_LINK91"/>
      <w:bookmarkStart w:id="246" w:name="OLE_LINK103"/>
      <w:r>
        <w:rPr>
          <w:rFonts w:hint="eastAsia" w:ascii="仿宋_GB2312" w:hAnsi="宋体" w:eastAsia="仿宋_GB2312" w:cs="Times New Roman"/>
          <w:color w:val="auto"/>
          <w:sz w:val="28"/>
          <w:szCs w:val="28"/>
          <w:highlight w:val="none"/>
        </w:rPr>
        <w:t>投标人、法定代表人及其项目经理(建造师)</w:t>
      </w:r>
      <w:bookmarkEnd w:id="243"/>
      <w:bookmarkEnd w:id="244"/>
      <w:bookmarkEnd w:id="245"/>
      <w:bookmarkEnd w:id="246"/>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47" w:name="OLE_LINK94"/>
      <w:bookmarkStart w:id="248" w:name="OLE_LINK86"/>
      <w:bookmarkStart w:id="249" w:name="OLE_LINK87"/>
      <w:bookmarkStart w:id="250" w:name="OLE_LINK119"/>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51" w:name="OLE_LINK115"/>
      <w:bookmarkStart w:id="252" w:name="OLE_LINK116"/>
      <w:bookmarkStart w:id="253" w:name="OLE_LINK118"/>
      <w:bookmarkStart w:id="254" w:name="OLE_LINK117"/>
      <w:r>
        <w:rPr>
          <w:rFonts w:hint="eastAsia" w:ascii="仿宋_GB2312" w:hAnsi="宋体" w:eastAsia="仿宋_GB2312" w:cs="Times New Roman"/>
          <w:color w:val="auto"/>
          <w:sz w:val="28"/>
          <w:szCs w:val="28"/>
          <w:highlight w:val="none"/>
        </w:rPr>
        <w:t>“重大税收违法失信主体”</w:t>
      </w:r>
      <w:bookmarkEnd w:id="251"/>
      <w:bookmarkEnd w:id="252"/>
      <w:bookmarkEnd w:id="253"/>
      <w:bookmarkEnd w:id="254"/>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55" w:name="OLE_LINK85"/>
      <w:bookmarkStart w:id="256" w:name="OLE_LINK84"/>
      <w:r>
        <w:rPr>
          <w:rFonts w:hint="eastAsia" w:ascii="仿宋_GB2312" w:hAnsi="宋体" w:eastAsia="仿宋_GB2312" w:cs="Times New Roman"/>
          <w:color w:val="auto"/>
          <w:sz w:val="28"/>
          <w:szCs w:val="28"/>
          <w:highlight w:val="none"/>
        </w:rPr>
        <w:t>农民工工资失信联合惩戒对象</w:t>
      </w:r>
      <w:bookmarkEnd w:id="255"/>
      <w:bookmarkEnd w:id="256"/>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47"/>
    <w:bookmarkEnd w:id="248"/>
    <w:bookmarkEnd w:id="249"/>
    <w:bookmarkEnd w:id="250"/>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57" w:name="OLE_LINK130"/>
      <w:r>
        <w:rPr>
          <w:rFonts w:hint="eastAsia" w:ascii="仿宋_GB2312" w:hAnsi="宋体" w:eastAsia="仿宋_GB2312" w:cs="Times New Roman"/>
          <w:color w:val="auto"/>
          <w:sz w:val="28"/>
          <w:szCs w:val="28"/>
          <w:highlight w:val="none"/>
        </w:rPr>
        <w:t>国家企业信用信息公示系统网站</w:t>
      </w:r>
      <w:bookmarkEnd w:id="257"/>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58" w:name="OLE_LINK90"/>
      <w:bookmarkStart w:id="259" w:name="OLE_LINK89"/>
      <w:r>
        <w:rPr>
          <w:rStyle w:val="37"/>
          <w:rFonts w:hint="eastAsia" w:ascii="仿宋_GB2312" w:hAnsi="宋体" w:eastAsia="仿宋_GB2312" w:cs="Times New Roman"/>
          <w:color w:val="auto"/>
          <w:sz w:val="28"/>
          <w:szCs w:val="28"/>
          <w:highlight w:val="none"/>
        </w:rPr>
        <w:t>www.gsxt.gov.cn</w:t>
      </w:r>
      <w:bookmarkEnd w:id="258"/>
      <w:bookmarkEnd w:id="259"/>
      <w:r>
        <w:rPr>
          <w:rStyle w:val="37"/>
          <w:rFonts w:hint="eastAsia" w:ascii="仿宋_GB2312" w:hAnsi="宋体" w:eastAsia="仿宋_GB2312" w:cs="Times New Roman"/>
          <w:color w:val="auto"/>
          <w:sz w:val="28"/>
          <w:szCs w:val="28"/>
          <w:highlight w:val="none"/>
        </w:rPr>
        <w:t>）</w:t>
      </w:r>
      <w:r>
        <w:rPr>
          <w:rStyle w:val="37"/>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60" w:name="OLE_LINK120"/>
      <w:bookmarkStart w:id="261" w:name="OLE_LINK122"/>
      <w:bookmarkStart w:id="262" w:name="OLE_LINK121"/>
      <w:r>
        <w:rPr>
          <w:rFonts w:hint="eastAsia" w:ascii="仿宋_GB2312" w:hAnsi="宋体" w:eastAsia="仿宋_GB2312" w:cs="Times New Roman"/>
          <w:color w:val="auto"/>
          <w:sz w:val="28"/>
          <w:szCs w:val="28"/>
          <w:highlight w:val="none"/>
        </w:rPr>
        <w:t>①</w:t>
      </w:r>
      <w:bookmarkStart w:id="263" w:name="OLE_LINK114"/>
      <w:bookmarkStart w:id="264" w:name="OLE_LINK113"/>
      <w:r>
        <w:rPr>
          <w:rFonts w:hint="eastAsia" w:ascii="仿宋_GB2312" w:hAnsi="宋体" w:eastAsia="仿宋_GB2312" w:cs="Times New Roman"/>
          <w:color w:val="auto"/>
          <w:sz w:val="28"/>
          <w:szCs w:val="28"/>
          <w:highlight w:val="none"/>
        </w:rPr>
        <w:t>被列入“经营异常名录”或者“严重违法失信名单”的</w:t>
      </w:r>
      <w:bookmarkEnd w:id="263"/>
      <w:bookmarkEnd w:id="264"/>
      <w:r>
        <w:rPr>
          <w:rFonts w:hint="eastAsia" w:ascii="仿宋_GB2312" w:hAnsi="宋体" w:eastAsia="仿宋_GB2312" w:cs="Times New Roman"/>
          <w:color w:val="auto"/>
          <w:sz w:val="28"/>
          <w:szCs w:val="28"/>
          <w:highlight w:val="none"/>
        </w:rPr>
        <w:t>。</w:t>
      </w:r>
      <w:bookmarkEnd w:id="260"/>
      <w:bookmarkEnd w:id="261"/>
      <w:bookmarkEnd w:id="262"/>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65" w:name="OLE_LINK123"/>
      <w:bookmarkStart w:id="266"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67" w:name="OLE_LINK107"/>
      <w:bookmarkStart w:id="268"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267"/>
      <w:bookmarkEnd w:id="268"/>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5"/>
    <w:bookmarkEnd w:id="266"/>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7"/>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69" w:name="OLE_LINK100"/>
      <w:bookmarkStart w:id="270" w:name="OLE_LINK102"/>
      <w:bookmarkStart w:id="271" w:name="OLE_LINK101"/>
      <w:r>
        <w:rPr>
          <w:rFonts w:hint="eastAsia" w:ascii="仿宋_GB2312" w:hAnsi="宋体" w:eastAsia="仿宋_GB2312" w:cs="Times New Roman"/>
          <w:color w:val="auto"/>
          <w:sz w:val="28"/>
          <w:szCs w:val="28"/>
          <w:highlight w:val="none"/>
        </w:rPr>
        <w:t>被列入“经营异常名录”或者“严重违法失信名单”的</w:t>
      </w:r>
      <w:bookmarkEnd w:id="269"/>
      <w:bookmarkEnd w:id="270"/>
      <w:bookmarkEnd w:id="271"/>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72" w:name="OLE_LINK96"/>
      <w:bookmarkStart w:id="273"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72"/>
      <w:bookmarkEnd w:id="273"/>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74" w:name="OLE_LINK104"/>
      <w:bookmarkStart w:id="275" w:name="OLE_LINK106"/>
      <w:bookmarkStart w:id="276" w:name="OLE_LINK105"/>
      <w:r>
        <w:rPr>
          <w:rFonts w:hint="eastAsia" w:ascii="仿宋_GB2312" w:hAnsi="宋体" w:eastAsia="仿宋_GB2312" w:cs="Times New Roman"/>
          <w:color w:val="auto"/>
          <w:sz w:val="28"/>
          <w:szCs w:val="28"/>
          <w:highlight w:val="none"/>
        </w:rPr>
        <w:t>被列入“政府采购严重违法失信行为信息记录”的</w:t>
      </w:r>
      <w:bookmarkEnd w:id="274"/>
      <w:bookmarkEnd w:id="275"/>
      <w:bookmarkEnd w:id="276"/>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390728C5">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77" w:name="_Toc95223549"/>
      <w:bookmarkStart w:id="278" w:name="OLE_LINK31"/>
      <w:bookmarkStart w:id="279" w:name="OLE_LINK32"/>
      <w:bookmarkStart w:id="280" w:name="OLE_LINK41"/>
      <w:r>
        <w:rPr>
          <w:rFonts w:hint="eastAsia" w:ascii="黑体" w:hAnsi="黑体" w:eastAsia="黑体" w:cs="Times New Roman"/>
          <w:b/>
          <w:bCs/>
          <w:color w:val="auto"/>
          <w:kern w:val="44"/>
          <w:sz w:val="36"/>
          <w:szCs w:val="28"/>
          <w:highlight w:val="none"/>
        </w:rPr>
        <w:t xml:space="preserve">附件2 </w:t>
      </w:r>
      <w:bookmarkStart w:id="281" w:name="OLE_LINK75"/>
      <w:bookmarkStart w:id="282" w:name="OLE_LINK74"/>
      <w:r>
        <w:rPr>
          <w:rFonts w:hint="eastAsia" w:ascii="黑体" w:hAnsi="黑体" w:eastAsia="黑体" w:cs="Times New Roman"/>
          <w:b/>
          <w:bCs/>
          <w:color w:val="auto"/>
          <w:kern w:val="44"/>
          <w:sz w:val="36"/>
          <w:szCs w:val="28"/>
          <w:highlight w:val="none"/>
        </w:rPr>
        <w:t>“信用中国”查询的严重失信行为</w:t>
      </w:r>
      <w:bookmarkStart w:id="283" w:name="OLE_LINK39"/>
      <w:bookmarkStart w:id="284" w:name="OLE_LINK76"/>
      <w:bookmarkStart w:id="285" w:name="OLE_LINK38"/>
      <w:bookmarkStart w:id="286" w:name="OLE_LINK40"/>
      <w:r>
        <w:rPr>
          <w:rFonts w:hint="eastAsia" w:ascii="黑体" w:hAnsi="黑体" w:eastAsia="黑体" w:cs="Times New Roman"/>
          <w:b/>
          <w:bCs/>
          <w:color w:val="auto"/>
          <w:kern w:val="44"/>
          <w:sz w:val="36"/>
          <w:szCs w:val="28"/>
          <w:highlight w:val="none"/>
        </w:rPr>
        <w:t>类别及判定依据</w:t>
      </w:r>
      <w:bookmarkEnd w:id="277"/>
      <w:bookmarkEnd w:id="281"/>
      <w:bookmarkEnd w:id="282"/>
      <w:bookmarkEnd w:id="283"/>
      <w:bookmarkEnd w:id="284"/>
      <w:bookmarkEnd w:id="285"/>
      <w:bookmarkEnd w:id="286"/>
    </w:p>
    <w:bookmarkEnd w:id="278"/>
    <w:bookmarkEnd w:id="279"/>
    <w:bookmarkEnd w:id="280"/>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87" w:name="OLE_LINK8"/>
      <w:bookmarkStart w:id="288" w:name="OLE_LINK10"/>
      <w:bookmarkStart w:id="289" w:name="OLE_LINK9"/>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87"/>
      <w:bookmarkEnd w:id="288"/>
      <w:bookmarkEnd w:id="289"/>
      <w:r>
        <w:rPr>
          <w:rFonts w:hint="eastAsia" w:ascii="仿宋_GB2312" w:hAnsi="宋体" w:eastAsia="仿宋_GB2312" w:cs="Times New Roman"/>
          <w:b/>
          <w:color w:val="auto"/>
          <w:sz w:val="28"/>
          <w:szCs w:val="28"/>
          <w:highlight w:val="none"/>
        </w:rPr>
        <w:t>》、《</w:t>
      </w:r>
      <w:bookmarkStart w:id="290" w:name="OLE_LINK11"/>
      <w:bookmarkStart w:id="291" w:name="OLE_LINK12"/>
      <w:r>
        <w:rPr>
          <w:rFonts w:hint="eastAsia" w:ascii="仿宋_GB2312" w:hAnsi="宋体" w:eastAsia="仿宋_GB2312" w:cs="Times New Roman"/>
          <w:b/>
          <w:color w:val="auto"/>
          <w:sz w:val="28"/>
          <w:szCs w:val="28"/>
          <w:highlight w:val="none"/>
        </w:rPr>
        <w:t>企业环境信用评价办法（试行）</w:t>
      </w:r>
      <w:bookmarkEnd w:id="290"/>
      <w:bookmarkEnd w:id="291"/>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2" w:name="OLE_LINK16"/>
      <w:bookmarkStart w:id="293"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92"/>
      <w:bookmarkEnd w:id="293"/>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4" w:name="OLE_LINK17"/>
      <w:bookmarkStart w:id="295" w:name="OLE_LINK18"/>
      <w:r>
        <w:rPr>
          <w:rFonts w:hint="eastAsia" w:ascii="仿宋_GB2312" w:hAnsi="Calibri" w:eastAsia="仿宋_GB2312" w:cs="Times New Roman"/>
          <w:b/>
          <w:color w:val="auto"/>
          <w:sz w:val="28"/>
          <w:szCs w:val="28"/>
          <w:highlight w:val="none"/>
        </w:rPr>
        <w:t>建筑市场信用管理暂行办法</w:t>
      </w:r>
      <w:bookmarkEnd w:id="294"/>
      <w:bookmarkEnd w:id="295"/>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96" w:name="OLE_LINK19"/>
      <w:bookmarkStart w:id="297" w:name="OLE_LINK20"/>
      <w:r>
        <w:rPr>
          <w:rFonts w:hint="eastAsia" w:ascii="仿宋_GB2312" w:hAnsi="宋体" w:eastAsia="仿宋_GB2312" w:cs="Times New Roman"/>
          <w:b/>
          <w:color w:val="auto"/>
          <w:sz w:val="28"/>
          <w:szCs w:val="28"/>
          <w:highlight w:val="none"/>
        </w:rPr>
        <w:t>政府采购严重失信行为</w:t>
      </w:r>
      <w:bookmarkEnd w:id="296"/>
      <w:bookmarkEnd w:id="297"/>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2920C1A1">
      <w:pPr>
        <w:pStyle w:val="2"/>
        <w:rPr>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8"/>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8"/>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9"/>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EA2A8"/>
    <w:multiLevelType w:val="singleLevel"/>
    <w:tmpl w:val="C54EA2A8"/>
    <w:lvl w:ilvl="0" w:tentative="0">
      <w:start w:val="1"/>
      <w:numFmt w:val="decimal"/>
      <w:pStyle w:val="8"/>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D70C6"/>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57CFC"/>
    <w:rsid w:val="03486B27"/>
    <w:rsid w:val="03C2134C"/>
    <w:rsid w:val="040A094E"/>
    <w:rsid w:val="056F201D"/>
    <w:rsid w:val="05B664D4"/>
    <w:rsid w:val="064B485A"/>
    <w:rsid w:val="068C65C4"/>
    <w:rsid w:val="07076C01"/>
    <w:rsid w:val="071C12AC"/>
    <w:rsid w:val="07A934B3"/>
    <w:rsid w:val="07EB6287"/>
    <w:rsid w:val="0806421B"/>
    <w:rsid w:val="0870399B"/>
    <w:rsid w:val="0900005C"/>
    <w:rsid w:val="0980799C"/>
    <w:rsid w:val="09944B8E"/>
    <w:rsid w:val="0A6A18DB"/>
    <w:rsid w:val="0A825391"/>
    <w:rsid w:val="0A975B48"/>
    <w:rsid w:val="0AEF3828"/>
    <w:rsid w:val="0B114967"/>
    <w:rsid w:val="0B406381"/>
    <w:rsid w:val="0BB452AA"/>
    <w:rsid w:val="0BBB665B"/>
    <w:rsid w:val="0EEA6FC1"/>
    <w:rsid w:val="0F790928"/>
    <w:rsid w:val="10047CEC"/>
    <w:rsid w:val="10CD72BB"/>
    <w:rsid w:val="12197477"/>
    <w:rsid w:val="131B5CD3"/>
    <w:rsid w:val="133E02C4"/>
    <w:rsid w:val="13776448"/>
    <w:rsid w:val="14263231"/>
    <w:rsid w:val="1466407E"/>
    <w:rsid w:val="14834E28"/>
    <w:rsid w:val="148E7D65"/>
    <w:rsid w:val="15231BF9"/>
    <w:rsid w:val="15C4546D"/>
    <w:rsid w:val="18F46DA1"/>
    <w:rsid w:val="19DD2D01"/>
    <w:rsid w:val="1A064976"/>
    <w:rsid w:val="1A3B68AA"/>
    <w:rsid w:val="1A3E1C1E"/>
    <w:rsid w:val="1B6F4F40"/>
    <w:rsid w:val="1C141836"/>
    <w:rsid w:val="1C76537D"/>
    <w:rsid w:val="1DEF28E6"/>
    <w:rsid w:val="1E6B6A14"/>
    <w:rsid w:val="1F6115C2"/>
    <w:rsid w:val="20550D9A"/>
    <w:rsid w:val="205545EA"/>
    <w:rsid w:val="218E2416"/>
    <w:rsid w:val="21B75E11"/>
    <w:rsid w:val="21C31F1F"/>
    <w:rsid w:val="226915FE"/>
    <w:rsid w:val="229273EC"/>
    <w:rsid w:val="23BC656D"/>
    <w:rsid w:val="241804A5"/>
    <w:rsid w:val="24B97929"/>
    <w:rsid w:val="24D632D7"/>
    <w:rsid w:val="258D771A"/>
    <w:rsid w:val="2621364C"/>
    <w:rsid w:val="27D65DBA"/>
    <w:rsid w:val="285F40CA"/>
    <w:rsid w:val="289E1AF0"/>
    <w:rsid w:val="28C01ECB"/>
    <w:rsid w:val="296138D0"/>
    <w:rsid w:val="29BF71E3"/>
    <w:rsid w:val="29D6387F"/>
    <w:rsid w:val="2A127B63"/>
    <w:rsid w:val="2A451A6C"/>
    <w:rsid w:val="2A990D4C"/>
    <w:rsid w:val="2AAA4765"/>
    <w:rsid w:val="2AC21606"/>
    <w:rsid w:val="2AD63D42"/>
    <w:rsid w:val="2B7E7608"/>
    <w:rsid w:val="2B7F04E9"/>
    <w:rsid w:val="2B8B554A"/>
    <w:rsid w:val="2CBE24AC"/>
    <w:rsid w:val="2D496D68"/>
    <w:rsid w:val="2E7A48DE"/>
    <w:rsid w:val="2EBA5177"/>
    <w:rsid w:val="2EDC3ED8"/>
    <w:rsid w:val="2F104B00"/>
    <w:rsid w:val="2F6351B4"/>
    <w:rsid w:val="2FC86126"/>
    <w:rsid w:val="2FCF199E"/>
    <w:rsid w:val="2FE34275"/>
    <w:rsid w:val="30483E83"/>
    <w:rsid w:val="30BF3991"/>
    <w:rsid w:val="3111619A"/>
    <w:rsid w:val="319775DB"/>
    <w:rsid w:val="31B139DC"/>
    <w:rsid w:val="32497AF3"/>
    <w:rsid w:val="343C0775"/>
    <w:rsid w:val="356C50EC"/>
    <w:rsid w:val="36137E45"/>
    <w:rsid w:val="36376E0A"/>
    <w:rsid w:val="3700166C"/>
    <w:rsid w:val="37985945"/>
    <w:rsid w:val="379A1012"/>
    <w:rsid w:val="38694EE9"/>
    <w:rsid w:val="38E069CE"/>
    <w:rsid w:val="3A6818FA"/>
    <w:rsid w:val="3B365CC9"/>
    <w:rsid w:val="3B64270E"/>
    <w:rsid w:val="3B9A7B88"/>
    <w:rsid w:val="3D2C7AC8"/>
    <w:rsid w:val="3D855D12"/>
    <w:rsid w:val="3D8B42FF"/>
    <w:rsid w:val="3DE86C4C"/>
    <w:rsid w:val="3DF36A6E"/>
    <w:rsid w:val="3EBA1EE9"/>
    <w:rsid w:val="3F792F1E"/>
    <w:rsid w:val="40824826"/>
    <w:rsid w:val="40E63923"/>
    <w:rsid w:val="422121BE"/>
    <w:rsid w:val="43A91E5B"/>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3E2B07"/>
    <w:rsid w:val="4CC254E6"/>
    <w:rsid w:val="4CCC79C7"/>
    <w:rsid w:val="4D7555C7"/>
    <w:rsid w:val="4EAE6DA0"/>
    <w:rsid w:val="4FE617D9"/>
    <w:rsid w:val="5016514B"/>
    <w:rsid w:val="50BD4DF3"/>
    <w:rsid w:val="50FC1A26"/>
    <w:rsid w:val="51723664"/>
    <w:rsid w:val="51CB1C78"/>
    <w:rsid w:val="51D35A9F"/>
    <w:rsid w:val="51FD6A51"/>
    <w:rsid w:val="524644C3"/>
    <w:rsid w:val="526B680A"/>
    <w:rsid w:val="52836F71"/>
    <w:rsid w:val="52D26B02"/>
    <w:rsid w:val="530E2837"/>
    <w:rsid w:val="541A5D30"/>
    <w:rsid w:val="55C1559C"/>
    <w:rsid w:val="55F068CD"/>
    <w:rsid w:val="566C3136"/>
    <w:rsid w:val="568D04F2"/>
    <w:rsid w:val="57AC2A2F"/>
    <w:rsid w:val="59CA7558"/>
    <w:rsid w:val="5A526582"/>
    <w:rsid w:val="5A5F5C77"/>
    <w:rsid w:val="5A711A0D"/>
    <w:rsid w:val="5B1613E4"/>
    <w:rsid w:val="5B50604C"/>
    <w:rsid w:val="5B78003B"/>
    <w:rsid w:val="5BC11A60"/>
    <w:rsid w:val="5BF172E7"/>
    <w:rsid w:val="5C7A4D54"/>
    <w:rsid w:val="5CD23B73"/>
    <w:rsid w:val="5E6F62E0"/>
    <w:rsid w:val="5F00691E"/>
    <w:rsid w:val="5F127819"/>
    <w:rsid w:val="60350ED3"/>
    <w:rsid w:val="60B72AEE"/>
    <w:rsid w:val="61025188"/>
    <w:rsid w:val="61057D5F"/>
    <w:rsid w:val="6126068F"/>
    <w:rsid w:val="614D4977"/>
    <w:rsid w:val="62FD1A73"/>
    <w:rsid w:val="63C60FC0"/>
    <w:rsid w:val="64A56079"/>
    <w:rsid w:val="64B360E5"/>
    <w:rsid w:val="64BA3D7A"/>
    <w:rsid w:val="64F179BC"/>
    <w:rsid w:val="665704D3"/>
    <w:rsid w:val="67C065A4"/>
    <w:rsid w:val="67D359C9"/>
    <w:rsid w:val="68042537"/>
    <w:rsid w:val="688349F7"/>
    <w:rsid w:val="68FE36DD"/>
    <w:rsid w:val="694E60FC"/>
    <w:rsid w:val="69E95A08"/>
    <w:rsid w:val="6A256904"/>
    <w:rsid w:val="6B656832"/>
    <w:rsid w:val="6BD66471"/>
    <w:rsid w:val="6C675CE6"/>
    <w:rsid w:val="6D4F4321"/>
    <w:rsid w:val="6DF41B82"/>
    <w:rsid w:val="6DFF7360"/>
    <w:rsid w:val="6E7A5F73"/>
    <w:rsid w:val="6E873A42"/>
    <w:rsid w:val="6EE90F9D"/>
    <w:rsid w:val="6FD74228"/>
    <w:rsid w:val="7021106F"/>
    <w:rsid w:val="71633091"/>
    <w:rsid w:val="72734A09"/>
    <w:rsid w:val="73081CA5"/>
    <w:rsid w:val="73C3551C"/>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9D05C5"/>
    <w:rsid w:val="7AF9279C"/>
    <w:rsid w:val="7CC51958"/>
    <w:rsid w:val="7CD53DF9"/>
    <w:rsid w:val="7D020E63"/>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Times New Roman" w:hAnsi="Times New Roman" w:eastAsia="宋体" w:cs="Times New Roman"/>
    </w:rPr>
  </w:style>
  <w:style w:type="paragraph" w:styleId="7">
    <w:name w:val="toc 7"/>
    <w:basedOn w:val="1"/>
    <w:next w:val="1"/>
    <w:unhideWhenUsed/>
    <w:qFormat/>
    <w:uiPriority w:val="39"/>
    <w:pPr>
      <w:ind w:left="1260"/>
      <w:jc w:val="left"/>
    </w:pPr>
    <w:rPr>
      <w:rFonts w:ascii="Calibri" w:hAnsi="Calibri" w:cs="Calibri"/>
      <w:kern w:val="2"/>
      <w:sz w:val="18"/>
      <w:szCs w:val="18"/>
    </w:rPr>
  </w:style>
  <w:style w:type="paragraph" w:styleId="8">
    <w:name w:val="List Number"/>
    <w:basedOn w:val="1"/>
    <w:semiHidden/>
    <w:unhideWhenUsed/>
    <w:qFormat/>
    <w:uiPriority w:val="99"/>
    <w:pPr>
      <w:numPr>
        <w:ilvl w:val="0"/>
        <w:numId w:val="1"/>
      </w:numPr>
    </w:p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9"/>
    <w:autoRedefine/>
    <w:qFormat/>
    <w:uiPriority w:val="0"/>
    <w:pPr>
      <w:jc w:val="left"/>
    </w:pPr>
    <w:rPr>
      <w:rFonts w:ascii="Arial" w:hAnsi="Arial" w:eastAsia="黑体" w:cs="Arial"/>
    </w:rPr>
  </w:style>
  <w:style w:type="paragraph" w:styleId="11">
    <w:name w:val="Body Text"/>
    <w:basedOn w:val="1"/>
    <w:autoRedefine/>
    <w:qFormat/>
    <w:uiPriority w:val="0"/>
    <w:pPr>
      <w:spacing w:after="120"/>
    </w:pPr>
    <w:rPr>
      <w:rFonts w:ascii="@微软简标宋" w:hAnsi="@微软简标宋" w:eastAsia="@微软简标宋" w:cs="@微软简标宋"/>
      <w:szCs w:val="24"/>
      <w:lang w:val="zh-CN"/>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next w:val="7"/>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9"/>
    <w:autoRedefine/>
    <w:qFormat/>
    <w:uiPriority w:val="99"/>
    <w:rPr>
      <w:rFonts w:ascii="宋体" w:hAnsi="Courier New" w:eastAsiaTheme="minorEastAsia" w:cstheme="minorBidi"/>
      <w:szCs w:val="22"/>
    </w:rPr>
  </w:style>
  <w:style w:type="paragraph" w:styleId="16">
    <w:name w:val="Date"/>
    <w:basedOn w:val="1"/>
    <w:next w:val="1"/>
    <w:link w:val="56"/>
    <w:autoRedefine/>
    <w:qFormat/>
    <w:uiPriority w:val="0"/>
    <w:rPr>
      <w:rFonts w:ascii="Arial" w:hAnsi="Arial" w:eastAsia="宋体" w:cs="Arial"/>
      <w:b/>
      <w:sz w:val="28"/>
    </w:rPr>
  </w:style>
  <w:style w:type="paragraph" w:styleId="17">
    <w:name w:val="Balloon Text"/>
    <w:basedOn w:val="1"/>
    <w:link w:val="43"/>
    <w:autoRedefine/>
    <w:semiHidden/>
    <w:unhideWhenUsed/>
    <w:qFormat/>
    <w:uiPriority w:val="99"/>
    <w:rPr>
      <w:sz w:val="18"/>
      <w:szCs w:val="18"/>
    </w:rPr>
  </w:style>
  <w:style w:type="paragraph" w:styleId="18">
    <w:name w:val="footer"/>
    <w:basedOn w:val="1"/>
    <w:link w:val="48"/>
    <w:autoRedefine/>
    <w:unhideWhenUsed/>
    <w:qFormat/>
    <w:uiPriority w:val="99"/>
    <w:pPr>
      <w:tabs>
        <w:tab w:val="center" w:pos="4153"/>
        <w:tab w:val="right" w:pos="8306"/>
      </w:tabs>
      <w:snapToGrid w:val="0"/>
      <w:jc w:val="left"/>
    </w:pPr>
    <w:rPr>
      <w:sz w:val="18"/>
      <w:szCs w:val="18"/>
    </w:rPr>
  </w:style>
  <w:style w:type="paragraph" w:styleId="19">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10"/>
    <w:next w:val="10"/>
    <w:link w:val="70"/>
    <w:autoRedefine/>
    <w:semiHidden/>
    <w:unhideWhenUsed/>
    <w:qFormat/>
    <w:uiPriority w:val="99"/>
    <w:rPr>
      <w:rFonts w:ascii="@仿宋_GB2312" w:hAnsi="@仿宋_GB2312" w:eastAsia="@仿宋_GB2312" w:cs="@仿宋_GB2312"/>
      <w:b/>
      <w:bCs/>
    </w:rPr>
  </w:style>
  <w:style w:type="paragraph" w:styleId="25">
    <w:name w:val="Body Text First Indent"/>
    <w:basedOn w:val="11"/>
    <w:autoRedefine/>
    <w:unhideWhenUsed/>
    <w:qFormat/>
    <w:uiPriority w:val="99"/>
    <w:pPr>
      <w:ind w:firstLine="420" w:firstLineChars="100"/>
    </w:pPr>
  </w:style>
  <w:style w:type="paragraph" w:styleId="26">
    <w:name w:val="Body Text First Indent 2"/>
    <w:basedOn w:val="12"/>
    <w:next w:val="1"/>
    <w:qFormat/>
    <w:uiPriority w:val="0"/>
    <w:pPr>
      <w:spacing w:line="360" w:lineRule="auto"/>
      <w:ind w:firstLine="200"/>
    </w:pPr>
    <w:rPr>
      <w:sz w:val="21"/>
    </w:r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b/>
      <w:bCs/>
    </w:rPr>
  </w:style>
  <w:style w:type="character" w:styleId="31">
    <w:name w:val="FollowedHyperlink"/>
    <w:basedOn w:val="29"/>
    <w:semiHidden/>
    <w:unhideWhenUsed/>
    <w:uiPriority w:val="99"/>
    <w:rPr>
      <w:color w:val="5C5C5C"/>
      <w:u w:val="none"/>
    </w:rPr>
  </w:style>
  <w:style w:type="character" w:styleId="32">
    <w:name w:val="Emphasis"/>
    <w:basedOn w:val="29"/>
    <w:qFormat/>
    <w:uiPriority w:val="0"/>
    <w:rPr>
      <w:b/>
      <w:bCs/>
    </w:rPr>
  </w:style>
  <w:style w:type="character" w:styleId="33">
    <w:name w:val="HTML Definition"/>
    <w:basedOn w:val="29"/>
    <w:semiHidden/>
    <w:unhideWhenUsed/>
    <w:uiPriority w:val="99"/>
  </w:style>
  <w:style w:type="character" w:styleId="34">
    <w:name w:val="HTML Typewriter"/>
    <w:basedOn w:val="29"/>
    <w:semiHidden/>
    <w:unhideWhenUsed/>
    <w:uiPriority w:val="99"/>
    <w:rPr>
      <w:rFonts w:hint="default" w:ascii="monospace" w:hAnsi="monospace" w:eastAsia="monospace" w:cs="monospace"/>
      <w:sz w:val="20"/>
    </w:rPr>
  </w:style>
  <w:style w:type="character" w:styleId="35">
    <w:name w:val="HTML Acronym"/>
    <w:basedOn w:val="29"/>
    <w:semiHidden/>
    <w:unhideWhenUsed/>
    <w:uiPriority w:val="99"/>
  </w:style>
  <w:style w:type="character" w:styleId="36">
    <w:name w:val="HTML Variable"/>
    <w:basedOn w:val="29"/>
    <w:semiHidden/>
    <w:unhideWhenUsed/>
    <w:uiPriority w:val="99"/>
  </w:style>
  <w:style w:type="character" w:styleId="37">
    <w:name w:val="Hyperlink"/>
    <w:basedOn w:val="29"/>
    <w:autoRedefine/>
    <w:unhideWhenUsed/>
    <w:qFormat/>
    <w:uiPriority w:val="99"/>
    <w:rPr>
      <w:color w:val="0000FF" w:themeColor="hyperlink"/>
      <w:u w:val="single"/>
      <w14:textFill>
        <w14:solidFill>
          <w14:schemeClr w14:val="hlink"/>
        </w14:solidFill>
      </w14:textFill>
    </w:rPr>
  </w:style>
  <w:style w:type="character" w:styleId="38">
    <w:name w:val="HTML Code"/>
    <w:basedOn w:val="29"/>
    <w:semiHidden/>
    <w:unhideWhenUsed/>
    <w:uiPriority w:val="99"/>
    <w:rPr>
      <w:rFonts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semiHidden/>
    <w:unhideWhenUsed/>
    <w:uiPriority w:val="99"/>
  </w:style>
  <w:style w:type="character" w:styleId="41">
    <w:name w:val="HTML Keyboard"/>
    <w:basedOn w:val="29"/>
    <w:semiHidden/>
    <w:unhideWhenUsed/>
    <w:uiPriority w:val="99"/>
    <w:rPr>
      <w:rFonts w:hint="default" w:ascii="monospace" w:hAnsi="monospace" w:eastAsia="monospace" w:cs="monospace"/>
      <w:sz w:val="20"/>
    </w:rPr>
  </w:style>
  <w:style w:type="character" w:styleId="42">
    <w:name w:val="HTML Sample"/>
    <w:basedOn w:val="29"/>
    <w:semiHidden/>
    <w:unhideWhenUsed/>
    <w:uiPriority w:val="99"/>
    <w:rPr>
      <w:rFonts w:hint="default" w:ascii="monospace" w:hAnsi="monospace" w:eastAsia="monospace" w:cs="monospace"/>
    </w:rPr>
  </w:style>
  <w:style w:type="character" w:customStyle="1" w:styleId="43">
    <w:name w:val="批注框文本 Char"/>
    <w:basedOn w:val="29"/>
    <w:link w:val="17"/>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9"/>
    <w:link w:val="19"/>
    <w:autoRedefine/>
    <w:qFormat/>
    <w:uiPriority w:val="99"/>
    <w:rPr>
      <w:rFonts w:ascii="@仿宋_GB2312" w:hAnsi="@仿宋_GB2312" w:eastAsia="@仿宋_GB2312" w:cs="@仿宋_GB2312"/>
      <w:sz w:val="18"/>
      <w:szCs w:val="18"/>
    </w:rPr>
  </w:style>
  <w:style w:type="character" w:customStyle="1" w:styleId="48">
    <w:name w:val="页脚 Char"/>
    <w:basedOn w:val="29"/>
    <w:link w:val="18"/>
    <w:autoRedefine/>
    <w:qFormat/>
    <w:uiPriority w:val="99"/>
    <w:rPr>
      <w:rFonts w:ascii="@仿宋_GB2312" w:hAnsi="@仿宋_GB2312" w:eastAsia="@仿宋_GB2312" w:cs="@仿宋_GB2312"/>
      <w:sz w:val="18"/>
      <w:szCs w:val="18"/>
    </w:rPr>
  </w:style>
  <w:style w:type="character" w:customStyle="1" w:styleId="49">
    <w:name w:val="纯文本 Char"/>
    <w:link w:val="15"/>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Char"/>
    <w:link w:val="16"/>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Char1"/>
    <w:link w:val="10"/>
    <w:autoRedefine/>
    <w:qFormat/>
    <w:uiPriority w:val="0"/>
    <w:rPr>
      <w:rFonts w:ascii="Arial" w:hAnsi="Arial" w:eastAsia="黑体" w:cs="Arial"/>
      <w:szCs w:val="20"/>
    </w:rPr>
  </w:style>
  <w:style w:type="character" w:customStyle="1" w:styleId="60">
    <w:name w:val="标题 1 Char"/>
    <w:basedOn w:val="29"/>
    <w:link w:val="3"/>
    <w:autoRedefine/>
    <w:qFormat/>
    <w:uiPriority w:val="9"/>
    <w:rPr>
      <w:rFonts w:ascii="@仿宋_GB2312" w:hAnsi="@仿宋_GB2312" w:eastAsia="@仿宋_GB2312" w:cs="@仿宋_GB2312"/>
      <w:b/>
      <w:bCs/>
      <w:kern w:val="44"/>
      <w:sz w:val="44"/>
      <w:szCs w:val="44"/>
    </w:rPr>
  </w:style>
  <w:style w:type="paragraph" w:customStyle="1" w:styleId="61">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Char"/>
    <w:basedOn w:val="29"/>
    <w:link w:val="5"/>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Char1"/>
    <w:link w:val="6"/>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批注主题 Char"/>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 w:val="21"/>
      <w:szCs w:val="21"/>
      <w:lang w:val="en-US" w:eastAsia="en-US" w:bidi="ar-SA"/>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hover"/>
    <w:basedOn w:val="29"/>
    <w:uiPriority w:val="0"/>
    <w:rPr>
      <w:color w:val="2590EB"/>
    </w:rPr>
  </w:style>
  <w:style w:type="character" w:customStyle="1" w:styleId="76">
    <w:name w:val="hover1"/>
    <w:basedOn w:val="29"/>
    <w:uiPriority w:val="0"/>
    <w:rPr>
      <w:color w:val="2590EB"/>
      <w:shd w:val="clear" w:fill="E9F4FD"/>
    </w:rPr>
  </w:style>
  <w:style w:type="character" w:customStyle="1" w:styleId="77">
    <w:name w:val="hover2"/>
    <w:basedOn w:val="29"/>
    <w:uiPriority w:val="0"/>
  </w:style>
  <w:style w:type="character" w:customStyle="1" w:styleId="78">
    <w:name w:val="hover3"/>
    <w:basedOn w:val="29"/>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84</Pages>
  <Words>2314</Words>
  <Characters>2672</Characters>
  <Lines>244</Lines>
  <Paragraphs>68</Paragraphs>
  <TotalTime>6</TotalTime>
  <ScaleCrop>false</ScaleCrop>
  <LinksUpToDate>false</LinksUpToDate>
  <CharactersWithSpaces>2794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韦韦</cp:lastModifiedBy>
  <cp:lastPrinted>2019-12-07T15:18:00Z</cp:lastPrinted>
  <dcterms:modified xsi:type="dcterms:W3CDTF">2026-04-22T06:04:11Z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04D758B3B5834AAE9CDBAA39A277B3DF_13</vt:lpwstr>
  </property>
  <property fmtid="{D5CDD505-2E9C-101B-9397-08002B2CF9AE}" pid="4" name="KSOTemplateDocerSaveRecord">
    <vt:lpwstr>eyJoZGlkIjoiZmQ5MGI3YTdkMjVkZTZjM2ZjZTQ5YjMxYTJjZjRlOWEiLCJ1c2VySWQiOiIzNjE4MjQ5In0=</vt:lpwstr>
  </property>
</Properties>
</file>