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08674A66">
      <w:pPr>
        <w:pStyle w:val="14"/>
        <w:ind w:left="0" w:leftChars="0" w:firstLine="0" w:firstLineChars="0"/>
        <w:jc w:val="both"/>
        <w:rPr>
          <w:rFonts w:hint="eastAsia" w:hAnsi="宋体" w:cs="宋体"/>
          <w:b/>
          <w:color w:val="auto"/>
          <w:kern w:val="0"/>
          <w:sz w:val="56"/>
          <w:szCs w:val="56"/>
          <w:highlight w:val="none"/>
          <w:lang w:eastAsia="zh-CN"/>
        </w:rPr>
      </w:pPr>
      <w:bookmarkStart w:id="0" w:name="_Toc246996898"/>
      <w:bookmarkStart w:id="1" w:name="_Toc15058843"/>
      <w:bookmarkStart w:id="2" w:name="_Toc296602400"/>
      <w:bookmarkStart w:id="3" w:name="_Toc461631222"/>
      <w:bookmarkStart w:id="4" w:name="_Toc324404811"/>
      <w:bookmarkStart w:id="5" w:name="_Toc506107265"/>
      <w:bookmarkStart w:id="6" w:name="_Toc247085669"/>
      <w:bookmarkStart w:id="7" w:name="OLE_LINK5"/>
      <w:bookmarkStart w:id="8" w:name="OLE_LINK3"/>
      <w:bookmarkStart w:id="9" w:name="OLE_LINK2"/>
      <w:bookmarkStart w:id="10" w:name="OLE_LINK1"/>
      <w:bookmarkStart w:id="11" w:name="OLE_LINK4"/>
    </w:p>
    <w:p w14:paraId="2A2621CC">
      <w:pPr>
        <w:pStyle w:val="14"/>
        <w:ind w:left="0" w:leftChars="0" w:firstLine="0" w:firstLineChars="0"/>
        <w:jc w:val="center"/>
        <w:rPr>
          <w:color w:val="auto"/>
          <w:sz w:val="22"/>
          <w:szCs w:val="21"/>
          <w:highlight w:val="none"/>
        </w:rPr>
      </w:pPr>
      <w:r>
        <w:rPr>
          <w:rFonts w:hint="eastAsia" w:hAnsi="宋体" w:cs="宋体"/>
          <w:b/>
          <w:color w:val="auto"/>
          <w:kern w:val="0"/>
          <w:sz w:val="56"/>
          <w:szCs w:val="56"/>
          <w:highlight w:val="none"/>
          <w:lang w:eastAsia="zh-CN"/>
        </w:rPr>
        <w:t>琅琊区健康食品产业园（二期）屋顶分布式光伏发电项目</w:t>
      </w:r>
    </w:p>
    <w:p w14:paraId="36A74743">
      <w:pPr>
        <w:jc w:val="both"/>
        <w:rPr>
          <w:rFonts w:hint="eastAsia" w:ascii="宋体" w:hAnsi="宋体"/>
          <w:b/>
          <w:bCs/>
          <w:color w:val="auto"/>
          <w:sz w:val="96"/>
          <w:szCs w:val="96"/>
          <w:highlight w:val="none"/>
        </w:rPr>
      </w:pPr>
    </w:p>
    <w:p w14:paraId="6558EE1F">
      <w:pPr>
        <w:jc w:val="both"/>
        <w:rPr>
          <w:rFonts w:hint="eastAsia" w:ascii="宋体" w:hAnsi="宋体"/>
          <w:b/>
          <w:bCs/>
          <w:color w:val="auto"/>
          <w:sz w:val="96"/>
          <w:szCs w:val="96"/>
          <w:highlight w:val="none"/>
        </w:rPr>
      </w:pPr>
    </w:p>
    <w:p w14:paraId="47293161">
      <w:pPr>
        <w:shd w:val="clear" w:color="auto" w:fill="FFFFFF"/>
        <w:jc w:val="center"/>
        <w:rPr>
          <w:rFonts w:hint="eastAsia" w:ascii="宋体" w:hAnsi="宋体" w:eastAsia="宋体" w:cs="宋体"/>
          <w:b/>
          <w:bCs/>
          <w:color w:val="auto"/>
          <w:sz w:val="24"/>
          <w:highlight w:val="none"/>
        </w:rPr>
      </w:pPr>
      <w:r>
        <w:rPr>
          <w:rFonts w:hint="eastAsia" w:ascii="宋体" w:hAnsi="宋体" w:eastAsia="宋体" w:cs="宋体"/>
          <w:b/>
          <w:bCs/>
          <w:color w:val="auto"/>
          <w:sz w:val="84"/>
          <w:szCs w:val="84"/>
          <w:highlight w:val="none"/>
        </w:rPr>
        <w:t>招 标 文 件</w:t>
      </w:r>
      <w:r>
        <w:rPr>
          <w:rFonts w:hint="eastAsia" w:ascii="宋体" w:hAnsi="宋体" w:eastAsia="宋体" w:cs="宋体"/>
          <w:b/>
          <w:bCs/>
          <w:color w:val="auto"/>
          <w:sz w:val="24"/>
          <w:highlight w:val="none"/>
        </w:rPr>
        <w:t xml:space="preserve"> </w:t>
      </w:r>
    </w:p>
    <w:p w14:paraId="5685388F">
      <w:pPr>
        <w:spacing w:after="156" w:afterLines="50"/>
        <w:ind w:left="-850" w:leftChars="-405" w:right="-625"/>
        <w:jc w:val="center"/>
        <w:rPr>
          <w:rFonts w:hint="eastAsia"/>
          <w:color w:val="auto"/>
          <w:highlight w:val="none"/>
        </w:rPr>
      </w:pPr>
      <w:r>
        <w:rPr>
          <w:rFonts w:hint="eastAsia" w:ascii="宋体" w:hAnsi="宋体"/>
          <w:color w:val="auto"/>
          <w:sz w:val="40"/>
          <w:szCs w:val="36"/>
          <w:highlight w:val="none"/>
        </w:rPr>
        <w:t>（电子招标投标）</w:t>
      </w:r>
    </w:p>
    <w:p w14:paraId="338BBF73">
      <w:pPr>
        <w:shd w:val="clear" w:color="auto" w:fill="FFFFFF"/>
        <w:kinsoku/>
        <w:overflowPunct/>
        <w:bidi w:val="0"/>
        <w:adjustRightInd w:val="0"/>
        <w:snapToGrid w:val="0"/>
        <w:spacing w:line="240" w:lineRule="auto"/>
        <w:jc w:val="center"/>
        <w:rPr>
          <w:rFonts w:hint="eastAsia" w:ascii="宋体" w:hAnsi="宋体" w:eastAsia="宋体" w:cs="宋体"/>
          <w:color w:val="auto"/>
          <w:sz w:val="30"/>
          <w:szCs w:val="30"/>
          <w:highlight w:val="none"/>
          <w:lang w:eastAsia="zh-CN"/>
        </w:rPr>
      </w:pPr>
      <w:r>
        <w:rPr>
          <w:rFonts w:hint="eastAsia" w:ascii="宋体" w:hAnsi="宋体" w:cs="宋体"/>
          <w:color w:val="auto"/>
          <w:sz w:val="30"/>
          <w:szCs w:val="30"/>
          <w:highlight w:val="none"/>
        </w:rPr>
        <w:t>招标项目编</w:t>
      </w:r>
      <w:r>
        <w:rPr>
          <w:rFonts w:hint="eastAsia" w:ascii="宋体" w:hAnsi="宋体" w:eastAsia="宋体" w:cs="宋体"/>
          <w:color w:val="auto"/>
          <w:sz w:val="30"/>
          <w:szCs w:val="30"/>
          <w:highlight w:val="none"/>
        </w:rPr>
        <w:t>号：HXJY1110001062687001</w:t>
      </w:r>
    </w:p>
    <w:p w14:paraId="575203A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jc w:val="center"/>
        <w:textAlignment w:val="top"/>
        <w:rPr>
          <w:rFonts w:hint="eastAsia"/>
          <w:color w:val="auto"/>
          <w:sz w:val="22"/>
          <w:szCs w:val="21"/>
          <w:highlight w:val="none"/>
          <w:lang w:val="en-US" w:eastAsia="zh-CN"/>
        </w:rPr>
      </w:pPr>
    </w:p>
    <w:p w14:paraId="307F53F6">
      <w:pPr>
        <w:pStyle w:val="14"/>
        <w:jc w:val="center"/>
        <w:rPr>
          <w:rFonts w:hint="default" w:eastAsia="宋体"/>
          <w:color w:val="auto"/>
          <w:highlight w:val="none"/>
          <w:lang w:val="en-US" w:eastAsia="zh-CN"/>
        </w:rPr>
      </w:pPr>
    </w:p>
    <w:p w14:paraId="571765BF">
      <w:pPr>
        <w:rPr>
          <w:rFonts w:hint="default" w:eastAsia="宋体"/>
          <w:color w:val="auto"/>
          <w:highlight w:val="none"/>
          <w:lang w:val="en-US" w:eastAsia="zh-CN"/>
        </w:rPr>
      </w:pPr>
    </w:p>
    <w:p w14:paraId="20D064BB">
      <w:pPr>
        <w:rPr>
          <w:rFonts w:hint="default" w:eastAsia="宋体"/>
          <w:color w:val="auto"/>
          <w:highlight w:val="none"/>
          <w:lang w:val="en-US" w:eastAsia="zh-CN"/>
        </w:rPr>
      </w:pPr>
    </w:p>
    <w:p w14:paraId="691FE4D6">
      <w:pPr>
        <w:rPr>
          <w:color w:val="auto"/>
          <w:highlight w:val="none"/>
        </w:rPr>
      </w:pPr>
    </w:p>
    <w:p w14:paraId="7E411827">
      <w:pPr>
        <w:pStyle w:val="14"/>
        <w:rPr>
          <w:color w:val="auto"/>
          <w:highlight w:val="none"/>
        </w:rPr>
      </w:pPr>
    </w:p>
    <w:p w14:paraId="2E7ABD1A">
      <w:pPr>
        <w:keepNext w:val="0"/>
        <w:keepLines w:val="0"/>
        <w:pageBreakBefore w:val="0"/>
        <w:widowControl w:val="0"/>
        <w:shd w:val="clear" w:color="auto" w:fill="FFFFFF"/>
        <w:kinsoku/>
        <w:wordWrap/>
        <w:overflowPunct/>
        <w:topLinePunct w:val="0"/>
        <w:autoSpaceDE/>
        <w:autoSpaceDN/>
        <w:bidi w:val="0"/>
        <w:adjustRightInd/>
        <w:snapToGrid/>
        <w:spacing w:line="800" w:lineRule="exact"/>
        <w:ind w:firstLine="321" w:firstLineChars="100"/>
        <w:textAlignment w:val="auto"/>
        <w:rPr>
          <w:rFonts w:hint="eastAsia" w:ascii="宋体" w:hAnsi="Times New Roman" w:eastAsia="宋体" w:cs="Times New Roman"/>
          <w:b/>
          <w:color w:val="auto"/>
          <w:sz w:val="32"/>
          <w:szCs w:val="32"/>
          <w:highlight w:val="none"/>
          <w:u w:val="thick"/>
          <w:lang w:val="en-US" w:eastAsia="zh-CN"/>
        </w:rPr>
      </w:pPr>
      <w:r>
        <w:rPr>
          <w:rFonts w:hint="eastAsia" w:ascii="Times New Roman" w:hAnsi="Times New Roman" w:eastAsia="宋体" w:cs="Times New Roman"/>
          <w:b/>
          <w:bCs/>
          <w:color w:val="auto"/>
          <w:sz w:val="32"/>
          <w:szCs w:val="32"/>
          <w:highlight w:val="none"/>
          <w:lang w:val="en-US" w:eastAsia="zh-CN"/>
        </w:rPr>
        <w:t xml:space="preserve">招  </w:t>
      </w:r>
      <w:r>
        <w:rPr>
          <w:rFonts w:hint="eastAsia" w:cs="Times New Roman"/>
          <w:b/>
          <w:bCs/>
          <w:color w:val="auto"/>
          <w:sz w:val="32"/>
          <w:szCs w:val="32"/>
          <w:highlight w:val="none"/>
          <w:lang w:val="en-US" w:eastAsia="zh-CN"/>
        </w:rPr>
        <w:t xml:space="preserve"> </w:t>
      </w:r>
      <w:r>
        <w:rPr>
          <w:rFonts w:hint="eastAsia" w:ascii="Times New Roman" w:hAnsi="Times New Roman" w:eastAsia="宋体" w:cs="Times New Roman"/>
          <w:b/>
          <w:bCs/>
          <w:color w:val="auto"/>
          <w:sz w:val="32"/>
          <w:szCs w:val="32"/>
          <w:highlight w:val="none"/>
          <w:lang w:val="en-US" w:eastAsia="zh-CN"/>
        </w:rPr>
        <w:t>标</w:t>
      </w:r>
      <w:r>
        <w:rPr>
          <w:rFonts w:hint="eastAsia" w:cs="Times New Roman"/>
          <w:b/>
          <w:bCs/>
          <w:color w:val="auto"/>
          <w:sz w:val="32"/>
          <w:szCs w:val="32"/>
          <w:highlight w:val="none"/>
          <w:lang w:val="en-US" w:eastAsia="zh-CN"/>
        </w:rPr>
        <w:t xml:space="preserve"> </w:t>
      </w:r>
      <w:r>
        <w:rPr>
          <w:rFonts w:hint="eastAsia" w:ascii="Times New Roman" w:hAnsi="Times New Roman" w:eastAsia="宋体" w:cs="Times New Roman"/>
          <w:b/>
          <w:bCs/>
          <w:color w:val="auto"/>
          <w:sz w:val="32"/>
          <w:szCs w:val="32"/>
          <w:highlight w:val="none"/>
          <w:lang w:val="en-US" w:eastAsia="zh-CN"/>
        </w:rPr>
        <w:t xml:space="preserve"> 人</w:t>
      </w:r>
      <w:r>
        <w:rPr>
          <w:rFonts w:hint="eastAsia"/>
          <w:b/>
          <w:bCs/>
          <w:color w:val="auto"/>
          <w:sz w:val="32"/>
          <w:szCs w:val="32"/>
          <w:highlight w:val="none"/>
        </w:rPr>
        <w:t>：</w:t>
      </w:r>
      <w:r>
        <w:rPr>
          <w:rFonts w:hint="eastAsia" w:ascii="宋体" w:hAnsi="Times New Roman" w:eastAsia="宋体" w:cs="Times New Roman"/>
          <w:b/>
          <w:color w:val="auto"/>
          <w:sz w:val="32"/>
          <w:szCs w:val="32"/>
          <w:highlight w:val="none"/>
          <w:u w:val="thick"/>
          <w:lang w:val="en-US" w:eastAsia="zh-CN"/>
        </w:rPr>
        <w:t>安徽富邦建设工程有限公司 （盖章）</w:t>
      </w:r>
    </w:p>
    <w:p w14:paraId="4016B03C">
      <w:pPr>
        <w:keepNext w:val="0"/>
        <w:keepLines w:val="0"/>
        <w:pageBreakBefore w:val="0"/>
        <w:widowControl w:val="0"/>
        <w:shd w:val="clear" w:color="auto" w:fill="FFFFFF"/>
        <w:kinsoku/>
        <w:wordWrap/>
        <w:overflowPunct/>
        <w:topLinePunct w:val="0"/>
        <w:autoSpaceDE/>
        <w:autoSpaceDN/>
        <w:bidi w:val="0"/>
        <w:adjustRightInd/>
        <w:snapToGrid/>
        <w:spacing w:line="800" w:lineRule="exact"/>
        <w:ind w:firstLine="321" w:firstLineChars="100"/>
        <w:textAlignment w:val="auto"/>
        <w:rPr>
          <w:rFonts w:hint="default" w:eastAsia="宋体"/>
          <w:b/>
          <w:bCs/>
          <w:color w:val="auto"/>
          <w:sz w:val="32"/>
          <w:szCs w:val="32"/>
          <w:highlight w:val="none"/>
          <w:lang w:val="en-US" w:eastAsia="zh-CN"/>
        </w:rPr>
      </w:pPr>
      <w:r>
        <w:rPr>
          <w:rFonts w:hint="eastAsia"/>
          <w:b/>
          <w:bCs/>
          <w:color w:val="auto"/>
          <w:sz w:val="32"/>
          <w:szCs w:val="32"/>
          <w:highlight w:val="none"/>
          <w:lang w:val="en-US" w:eastAsia="zh-CN"/>
        </w:rPr>
        <w:t>建 设 单 位：</w:t>
      </w:r>
      <w:r>
        <w:rPr>
          <w:rFonts w:hint="eastAsia" w:ascii="宋体" w:hAnsi="Times New Roman" w:eastAsia="宋体" w:cs="Times New Roman"/>
          <w:b/>
          <w:color w:val="auto"/>
          <w:sz w:val="32"/>
          <w:szCs w:val="32"/>
          <w:highlight w:val="none"/>
          <w:u w:val="thick"/>
          <w:lang w:val="en-US" w:eastAsia="zh-CN"/>
        </w:rPr>
        <w:t>滁州市琅琊区国控发展集团有限公司（盖章）</w:t>
      </w:r>
    </w:p>
    <w:p w14:paraId="064AF27E">
      <w:pPr>
        <w:keepNext w:val="0"/>
        <w:keepLines w:val="0"/>
        <w:pageBreakBefore w:val="0"/>
        <w:widowControl w:val="0"/>
        <w:shd w:val="clear" w:color="auto" w:fill="FFFFFF"/>
        <w:kinsoku/>
        <w:wordWrap/>
        <w:overflowPunct/>
        <w:topLinePunct w:val="0"/>
        <w:autoSpaceDE/>
        <w:autoSpaceDN/>
        <w:bidi w:val="0"/>
        <w:adjustRightInd/>
        <w:snapToGrid/>
        <w:spacing w:line="800" w:lineRule="exact"/>
        <w:ind w:firstLine="321" w:firstLineChars="100"/>
        <w:textAlignment w:val="auto"/>
        <w:rPr>
          <w:rFonts w:hint="eastAsia" w:ascii="宋体" w:hAnsi="Times New Roman" w:eastAsia="宋体" w:cs="Times New Roman"/>
          <w:b/>
          <w:color w:val="auto"/>
          <w:sz w:val="32"/>
          <w:szCs w:val="32"/>
          <w:highlight w:val="none"/>
          <w:u w:val="thick"/>
          <w:lang w:val="en-US" w:eastAsia="zh-CN"/>
        </w:rPr>
      </w:pPr>
      <w:r>
        <w:rPr>
          <w:rFonts w:hint="eastAsia" w:ascii="Times New Roman" w:hAnsi="Times New Roman" w:eastAsia="宋体" w:cs="Times New Roman"/>
          <w:b/>
          <w:bCs/>
          <w:color w:val="auto"/>
          <w:sz w:val="32"/>
          <w:szCs w:val="32"/>
          <w:highlight w:val="none"/>
          <w:lang w:val="en-US" w:eastAsia="zh-CN"/>
        </w:rPr>
        <w:t>招标代理机构</w:t>
      </w:r>
      <w:r>
        <w:rPr>
          <w:rFonts w:hint="eastAsia"/>
          <w:b/>
          <w:bCs/>
          <w:color w:val="auto"/>
          <w:spacing w:val="-20"/>
          <w:sz w:val="32"/>
          <w:szCs w:val="32"/>
          <w:highlight w:val="none"/>
          <w:lang w:val="en-US" w:eastAsia="zh-CN"/>
        </w:rPr>
        <w:t xml:space="preserve"> </w:t>
      </w:r>
      <w:r>
        <w:rPr>
          <w:rFonts w:hint="eastAsia"/>
          <w:b/>
          <w:bCs/>
          <w:color w:val="auto"/>
          <w:sz w:val="32"/>
          <w:szCs w:val="32"/>
          <w:highlight w:val="none"/>
          <w:lang w:val="en-US" w:eastAsia="zh-CN"/>
        </w:rPr>
        <w:t>：</w:t>
      </w:r>
      <w:r>
        <w:rPr>
          <w:rFonts w:hint="eastAsia" w:ascii="宋体" w:hAnsi="Times New Roman" w:eastAsia="宋体" w:cs="Times New Roman"/>
          <w:b/>
          <w:color w:val="auto"/>
          <w:sz w:val="32"/>
          <w:szCs w:val="32"/>
          <w:highlight w:val="none"/>
          <w:u w:val="thick"/>
          <w:lang w:val="en-US" w:eastAsia="zh-CN"/>
        </w:rPr>
        <w:t>滁州市城投工程咨询管理有限公司 （盖章）</w:t>
      </w:r>
    </w:p>
    <w:p w14:paraId="7AAE9C3D">
      <w:pPr>
        <w:shd w:val="clear" w:color="auto" w:fill="FFFFFF"/>
        <w:spacing w:line="900" w:lineRule="exact"/>
        <w:ind w:firstLine="321" w:firstLineChars="100"/>
        <w:rPr>
          <w:b/>
          <w:bCs/>
          <w:color w:val="auto"/>
          <w:spacing w:val="60"/>
          <w:sz w:val="32"/>
          <w:szCs w:val="32"/>
          <w:highlight w:val="none"/>
          <w:u w:val="thick"/>
        </w:rPr>
        <w:sectPr>
          <w:headerReference r:id="rId3" w:type="default"/>
          <w:footerReference r:id="rId5" w:type="default"/>
          <w:headerReference r:id="rId4" w:type="even"/>
          <w:footerReference r:id="rId6" w:type="even"/>
          <w:pgSz w:w="11907" w:h="16840"/>
          <w:pgMar w:top="1644" w:right="1418" w:bottom="1644" w:left="1701" w:header="851" w:footer="1134" w:gutter="0"/>
          <w:pgBorders>
            <w:top w:val="none" w:sz="0" w:space="0"/>
            <w:left w:val="none" w:sz="0" w:space="0"/>
            <w:bottom w:val="none" w:sz="0" w:space="0"/>
            <w:right w:val="none" w:sz="0" w:space="0"/>
          </w:pgBorders>
          <w:pgNumType w:fmt="decimal" w:start="1"/>
          <w:cols w:space="720" w:num="1"/>
          <w:titlePg/>
          <w:docGrid w:type="lines" w:linePitch="312" w:charSpace="0"/>
        </w:sectPr>
      </w:pPr>
      <w:r>
        <w:rPr>
          <w:rFonts w:hint="eastAsia" w:ascii="Times New Roman" w:hAnsi="Times New Roman" w:eastAsia="宋体" w:cs="Times New Roman"/>
          <w:b/>
          <w:bCs/>
          <w:color w:val="auto"/>
          <w:sz w:val="32"/>
          <w:szCs w:val="32"/>
          <w:highlight w:val="none"/>
          <w:lang w:val="en-US" w:eastAsia="zh-CN"/>
        </w:rPr>
        <w:t>发 布 日 期</w:t>
      </w:r>
      <w:r>
        <w:rPr>
          <w:rFonts w:hint="eastAsia"/>
          <w:b/>
          <w:bCs/>
          <w:color w:val="auto"/>
          <w:spacing w:val="-20"/>
          <w:sz w:val="32"/>
          <w:szCs w:val="32"/>
          <w:highlight w:val="none"/>
        </w:rPr>
        <w:t>：</w:t>
      </w:r>
      <w:r>
        <w:rPr>
          <w:rFonts w:hint="eastAsia" w:ascii="宋体" w:hAnsi="Times New Roman" w:eastAsia="宋体" w:cs="Times New Roman"/>
          <w:b/>
          <w:color w:val="auto"/>
          <w:sz w:val="32"/>
          <w:szCs w:val="32"/>
          <w:highlight w:val="none"/>
          <w:u w:val="thick"/>
          <w:lang w:val="en-US" w:eastAsia="zh-CN"/>
        </w:rPr>
        <w:t xml:space="preserve">          </w:t>
      </w:r>
      <w:r>
        <w:rPr>
          <w:rFonts w:hint="eastAsia" w:ascii="宋体" w:cs="Times New Roman"/>
          <w:b/>
          <w:color w:val="auto"/>
          <w:sz w:val="32"/>
          <w:szCs w:val="32"/>
          <w:highlight w:val="none"/>
          <w:u w:val="thick"/>
          <w:lang w:val="en-US" w:eastAsia="zh-CN"/>
        </w:rPr>
        <w:t>2026年9月</w:t>
      </w:r>
      <w:r>
        <w:rPr>
          <w:rFonts w:hint="eastAsia" w:ascii="宋体" w:hAnsi="Times New Roman" w:eastAsia="宋体" w:cs="Times New Roman"/>
          <w:b/>
          <w:color w:val="auto"/>
          <w:sz w:val="32"/>
          <w:szCs w:val="32"/>
          <w:highlight w:val="none"/>
          <w:u w:val="thick"/>
          <w:lang w:val="en-US" w:eastAsia="zh-CN"/>
        </w:rPr>
        <w:t xml:space="preserve">             </w:t>
      </w:r>
    </w:p>
    <w:p w14:paraId="3F4C49C6">
      <w:pPr>
        <w:spacing w:line="700" w:lineRule="exact"/>
        <w:jc w:val="center"/>
        <w:rPr>
          <w:rFonts w:hint="eastAsia"/>
          <w:color w:val="auto"/>
          <w:sz w:val="44"/>
          <w:szCs w:val="44"/>
          <w:highlight w:val="none"/>
        </w:rPr>
      </w:pPr>
    </w:p>
    <w:p w14:paraId="09796EC2">
      <w:pPr>
        <w:spacing w:line="700" w:lineRule="exact"/>
        <w:jc w:val="center"/>
        <w:rPr>
          <w:color w:val="auto"/>
          <w:sz w:val="44"/>
          <w:szCs w:val="44"/>
          <w:highlight w:val="none"/>
        </w:rPr>
      </w:pPr>
      <w:r>
        <w:rPr>
          <w:rFonts w:hint="eastAsia"/>
          <w:color w:val="auto"/>
          <w:sz w:val="44"/>
          <w:szCs w:val="44"/>
          <w:highlight w:val="none"/>
        </w:rPr>
        <w:t>目   录</w:t>
      </w:r>
      <w:bookmarkEnd w:id="0"/>
      <w:bookmarkEnd w:id="1"/>
      <w:bookmarkEnd w:id="2"/>
      <w:bookmarkEnd w:id="3"/>
      <w:bookmarkEnd w:id="4"/>
      <w:bookmarkEnd w:id="5"/>
      <w:bookmarkEnd w:id="6"/>
      <w:bookmarkStart w:id="12" w:name="_Toc152042287"/>
      <w:bookmarkStart w:id="13" w:name="_Toc179632527"/>
      <w:bookmarkStart w:id="14" w:name="_Toc152045511"/>
      <w:bookmarkStart w:id="15" w:name="_Toc144974479"/>
    </w:p>
    <w:p w14:paraId="3C53E9AE">
      <w:pPr>
        <w:pStyle w:val="31"/>
        <w:tabs>
          <w:tab w:val="right" w:leader="dot" w:pos="9460"/>
        </w:tabs>
        <w:rPr>
          <w:rFonts w:ascii="Calibri" w:hAnsi="Calibri"/>
          <w:b w:val="0"/>
          <w:bCs w:val="0"/>
          <w:caps w:val="0"/>
          <w:color w:val="auto"/>
          <w:sz w:val="32"/>
          <w:szCs w:val="22"/>
          <w:highlight w:val="none"/>
        </w:rPr>
      </w:pPr>
      <w:r>
        <w:rPr>
          <w:rStyle w:val="58"/>
          <w:color w:val="auto"/>
          <w:sz w:val="28"/>
          <w:highlight w:val="none"/>
        </w:rPr>
        <w:fldChar w:fldCharType="begin"/>
      </w:r>
      <w:r>
        <w:rPr>
          <w:rStyle w:val="58"/>
          <w:color w:val="auto"/>
          <w:sz w:val="28"/>
          <w:highlight w:val="none"/>
        </w:rPr>
        <w:instrText xml:space="preserve"> </w:instrText>
      </w:r>
      <w:r>
        <w:rPr>
          <w:color w:val="auto"/>
          <w:sz w:val="28"/>
          <w:highlight w:val="none"/>
        </w:rPr>
        <w:instrText xml:space="preserve">HYPERLINK \l "_Toc95223332"</w:instrText>
      </w:r>
      <w:r>
        <w:rPr>
          <w:rStyle w:val="58"/>
          <w:color w:val="auto"/>
          <w:sz w:val="28"/>
          <w:highlight w:val="none"/>
        </w:rPr>
        <w:instrText xml:space="preserve"> </w:instrText>
      </w:r>
      <w:r>
        <w:rPr>
          <w:rStyle w:val="58"/>
          <w:color w:val="auto"/>
          <w:sz w:val="28"/>
          <w:highlight w:val="none"/>
        </w:rPr>
        <w:fldChar w:fldCharType="separate"/>
      </w:r>
      <w:r>
        <w:rPr>
          <w:rStyle w:val="58"/>
          <w:rFonts w:hint="eastAsia"/>
          <w:color w:val="auto"/>
          <w:sz w:val="28"/>
          <w:highlight w:val="none"/>
        </w:rPr>
        <w:t>第一章</w:t>
      </w:r>
      <w:r>
        <w:rPr>
          <w:rStyle w:val="58"/>
          <w:color w:val="auto"/>
          <w:sz w:val="28"/>
          <w:highlight w:val="none"/>
        </w:rPr>
        <w:t xml:space="preserve"> </w:t>
      </w:r>
      <w:r>
        <w:rPr>
          <w:rStyle w:val="58"/>
          <w:rFonts w:hint="eastAsia"/>
          <w:color w:val="auto"/>
          <w:sz w:val="28"/>
          <w:highlight w:val="none"/>
        </w:rPr>
        <w:t>招标公告</w:t>
      </w:r>
      <w:r>
        <w:rPr>
          <w:color w:val="auto"/>
          <w:sz w:val="28"/>
          <w:highlight w:val="none"/>
        </w:rPr>
        <w:tab/>
      </w:r>
      <w:r>
        <w:rPr>
          <w:rFonts w:hint="eastAsia"/>
          <w:color w:val="auto"/>
          <w:sz w:val="28"/>
          <w:highlight w:val="none"/>
          <w:lang w:val="en-US" w:eastAsia="zh-CN"/>
        </w:rPr>
        <w:t>1</w:t>
      </w:r>
      <w:r>
        <w:rPr>
          <w:rStyle w:val="58"/>
          <w:color w:val="auto"/>
          <w:sz w:val="28"/>
          <w:highlight w:val="none"/>
        </w:rPr>
        <w:fldChar w:fldCharType="end"/>
      </w:r>
    </w:p>
    <w:p w14:paraId="0460FC51">
      <w:pPr>
        <w:pStyle w:val="31"/>
        <w:tabs>
          <w:tab w:val="right" w:leader="dot" w:pos="9460"/>
        </w:tabs>
        <w:rPr>
          <w:rFonts w:ascii="Calibri" w:hAnsi="Calibri"/>
          <w:b w:val="0"/>
          <w:bCs w:val="0"/>
          <w:caps w:val="0"/>
          <w:color w:val="auto"/>
          <w:sz w:val="32"/>
          <w:szCs w:val="22"/>
          <w:highlight w:val="none"/>
        </w:rPr>
      </w:pPr>
      <w:r>
        <w:rPr>
          <w:rStyle w:val="58"/>
          <w:color w:val="auto"/>
          <w:sz w:val="28"/>
          <w:highlight w:val="none"/>
        </w:rPr>
        <w:fldChar w:fldCharType="begin"/>
      </w:r>
      <w:r>
        <w:rPr>
          <w:rStyle w:val="58"/>
          <w:color w:val="auto"/>
          <w:sz w:val="28"/>
          <w:highlight w:val="none"/>
        </w:rPr>
        <w:instrText xml:space="preserve"> </w:instrText>
      </w:r>
      <w:r>
        <w:rPr>
          <w:color w:val="auto"/>
          <w:sz w:val="28"/>
          <w:highlight w:val="none"/>
        </w:rPr>
        <w:instrText xml:space="preserve">HYPERLINK \l "_Toc95223333"</w:instrText>
      </w:r>
      <w:r>
        <w:rPr>
          <w:rStyle w:val="58"/>
          <w:color w:val="auto"/>
          <w:sz w:val="28"/>
          <w:highlight w:val="none"/>
        </w:rPr>
        <w:instrText xml:space="preserve"> </w:instrText>
      </w:r>
      <w:r>
        <w:rPr>
          <w:rStyle w:val="58"/>
          <w:color w:val="auto"/>
          <w:sz w:val="28"/>
          <w:highlight w:val="none"/>
        </w:rPr>
        <w:fldChar w:fldCharType="separate"/>
      </w:r>
      <w:r>
        <w:rPr>
          <w:rStyle w:val="58"/>
          <w:rFonts w:hint="eastAsia"/>
          <w:color w:val="auto"/>
          <w:sz w:val="28"/>
          <w:highlight w:val="none"/>
        </w:rPr>
        <w:t>第二章</w:t>
      </w:r>
      <w:r>
        <w:rPr>
          <w:rStyle w:val="58"/>
          <w:color w:val="auto"/>
          <w:sz w:val="28"/>
          <w:highlight w:val="none"/>
        </w:rPr>
        <w:t xml:space="preserve"> </w:t>
      </w:r>
      <w:r>
        <w:rPr>
          <w:rStyle w:val="58"/>
          <w:rFonts w:hint="eastAsia"/>
          <w:color w:val="auto"/>
          <w:sz w:val="28"/>
          <w:highlight w:val="none"/>
        </w:rPr>
        <w:t>投标人须知</w:t>
      </w:r>
      <w:r>
        <w:rPr>
          <w:color w:val="auto"/>
          <w:sz w:val="28"/>
          <w:highlight w:val="none"/>
        </w:rPr>
        <w:tab/>
      </w:r>
      <w:r>
        <w:rPr>
          <w:rFonts w:hint="eastAsia"/>
          <w:color w:val="auto"/>
          <w:sz w:val="28"/>
          <w:highlight w:val="none"/>
          <w:lang w:val="en-US" w:eastAsia="zh-CN"/>
        </w:rPr>
        <w:t>4</w:t>
      </w:r>
      <w:r>
        <w:rPr>
          <w:rStyle w:val="58"/>
          <w:color w:val="auto"/>
          <w:sz w:val="28"/>
          <w:highlight w:val="none"/>
        </w:rPr>
        <w:fldChar w:fldCharType="end"/>
      </w:r>
    </w:p>
    <w:p w14:paraId="4117FED1">
      <w:pPr>
        <w:pStyle w:val="31"/>
        <w:tabs>
          <w:tab w:val="right" w:leader="dot" w:pos="9460"/>
        </w:tabs>
        <w:rPr>
          <w:rFonts w:hint="default" w:ascii="Calibri" w:hAnsi="Calibri" w:eastAsia="宋体"/>
          <w:b w:val="0"/>
          <w:bCs w:val="0"/>
          <w:caps w:val="0"/>
          <w:color w:val="auto"/>
          <w:sz w:val="32"/>
          <w:szCs w:val="22"/>
          <w:highlight w:val="none"/>
          <w:lang w:val="en-US" w:eastAsia="zh-CN"/>
        </w:rPr>
      </w:pPr>
      <w:r>
        <w:rPr>
          <w:rStyle w:val="58"/>
          <w:color w:val="auto"/>
          <w:sz w:val="28"/>
          <w:highlight w:val="none"/>
        </w:rPr>
        <w:fldChar w:fldCharType="begin"/>
      </w:r>
      <w:r>
        <w:rPr>
          <w:rStyle w:val="58"/>
          <w:color w:val="auto"/>
          <w:sz w:val="28"/>
          <w:highlight w:val="none"/>
        </w:rPr>
        <w:instrText xml:space="preserve"> </w:instrText>
      </w:r>
      <w:r>
        <w:rPr>
          <w:color w:val="auto"/>
          <w:sz w:val="28"/>
          <w:highlight w:val="none"/>
        </w:rPr>
        <w:instrText xml:space="preserve">HYPERLINK \l "_Toc95223391"</w:instrText>
      </w:r>
      <w:r>
        <w:rPr>
          <w:rStyle w:val="58"/>
          <w:color w:val="auto"/>
          <w:sz w:val="28"/>
          <w:highlight w:val="none"/>
        </w:rPr>
        <w:instrText xml:space="preserve"> </w:instrText>
      </w:r>
      <w:r>
        <w:rPr>
          <w:rStyle w:val="58"/>
          <w:color w:val="auto"/>
          <w:sz w:val="28"/>
          <w:highlight w:val="none"/>
        </w:rPr>
        <w:fldChar w:fldCharType="separate"/>
      </w:r>
      <w:r>
        <w:rPr>
          <w:rStyle w:val="58"/>
          <w:rFonts w:hint="eastAsia"/>
          <w:color w:val="auto"/>
          <w:sz w:val="28"/>
          <w:highlight w:val="none"/>
        </w:rPr>
        <w:t>第三章</w:t>
      </w:r>
      <w:r>
        <w:rPr>
          <w:rStyle w:val="58"/>
          <w:color w:val="auto"/>
          <w:sz w:val="28"/>
          <w:highlight w:val="none"/>
        </w:rPr>
        <w:t xml:space="preserve"> </w:t>
      </w:r>
      <w:r>
        <w:rPr>
          <w:rStyle w:val="58"/>
          <w:rFonts w:hint="eastAsia"/>
          <w:color w:val="auto"/>
          <w:sz w:val="28"/>
          <w:highlight w:val="none"/>
        </w:rPr>
        <w:t>资格审查办法</w:t>
      </w:r>
      <w:r>
        <w:rPr>
          <w:color w:val="auto"/>
          <w:sz w:val="28"/>
          <w:highlight w:val="none"/>
        </w:rPr>
        <w:tab/>
      </w:r>
      <w:r>
        <w:rPr>
          <w:rStyle w:val="58"/>
          <w:color w:val="auto"/>
          <w:sz w:val="28"/>
          <w:highlight w:val="none"/>
        </w:rPr>
        <w:fldChar w:fldCharType="end"/>
      </w:r>
      <w:r>
        <w:rPr>
          <w:rStyle w:val="58"/>
          <w:rFonts w:hint="eastAsia"/>
          <w:color w:val="auto"/>
          <w:sz w:val="28"/>
          <w:highlight w:val="none"/>
          <w:lang w:val="en-US" w:eastAsia="zh-CN"/>
        </w:rPr>
        <w:t>19</w:t>
      </w:r>
    </w:p>
    <w:p w14:paraId="278F67BB">
      <w:pPr>
        <w:pStyle w:val="31"/>
        <w:tabs>
          <w:tab w:val="right" w:leader="dot" w:pos="9460"/>
        </w:tabs>
        <w:rPr>
          <w:rFonts w:hint="eastAsia" w:ascii="Calibri" w:hAnsi="Calibri" w:eastAsia="宋体"/>
          <w:b w:val="0"/>
          <w:bCs w:val="0"/>
          <w:caps w:val="0"/>
          <w:color w:val="auto"/>
          <w:sz w:val="32"/>
          <w:szCs w:val="22"/>
          <w:highlight w:val="none"/>
          <w:lang w:val="en-US" w:eastAsia="zh-CN"/>
        </w:rPr>
      </w:pPr>
      <w:r>
        <w:rPr>
          <w:rStyle w:val="58"/>
          <w:color w:val="auto"/>
          <w:sz w:val="28"/>
          <w:highlight w:val="none"/>
        </w:rPr>
        <w:fldChar w:fldCharType="begin"/>
      </w:r>
      <w:r>
        <w:rPr>
          <w:rStyle w:val="58"/>
          <w:color w:val="auto"/>
          <w:sz w:val="28"/>
          <w:highlight w:val="none"/>
        </w:rPr>
        <w:instrText xml:space="preserve"> </w:instrText>
      </w:r>
      <w:r>
        <w:rPr>
          <w:color w:val="auto"/>
          <w:sz w:val="28"/>
          <w:highlight w:val="none"/>
        </w:rPr>
        <w:instrText xml:space="preserve">HYPERLINK \l "_Toc95223398"</w:instrText>
      </w:r>
      <w:r>
        <w:rPr>
          <w:rStyle w:val="58"/>
          <w:color w:val="auto"/>
          <w:sz w:val="28"/>
          <w:highlight w:val="none"/>
        </w:rPr>
        <w:instrText xml:space="preserve"> </w:instrText>
      </w:r>
      <w:r>
        <w:rPr>
          <w:rStyle w:val="58"/>
          <w:color w:val="auto"/>
          <w:sz w:val="28"/>
          <w:highlight w:val="none"/>
        </w:rPr>
        <w:fldChar w:fldCharType="separate"/>
      </w:r>
      <w:r>
        <w:rPr>
          <w:rStyle w:val="58"/>
          <w:rFonts w:hint="eastAsia"/>
          <w:color w:val="auto"/>
          <w:sz w:val="28"/>
          <w:highlight w:val="none"/>
        </w:rPr>
        <w:t>第四章</w:t>
      </w:r>
      <w:r>
        <w:rPr>
          <w:rStyle w:val="58"/>
          <w:color w:val="auto"/>
          <w:sz w:val="28"/>
          <w:highlight w:val="none"/>
        </w:rPr>
        <w:t xml:space="preserve"> </w:t>
      </w:r>
      <w:r>
        <w:rPr>
          <w:rStyle w:val="58"/>
          <w:rFonts w:hint="eastAsia"/>
          <w:color w:val="auto"/>
          <w:sz w:val="28"/>
          <w:highlight w:val="none"/>
        </w:rPr>
        <w:t>评标办法</w:t>
      </w:r>
      <w:bookmarkStart w:id="16" w:name="_Hlt95225442"/>
      <w:r>
        <w:rPr>
          <w:color w:val="auto"/>
          <w:sz w:val="28"/>
          <w:highlight w:val="none"/>
        </w:rPr>
        <w:tab/>
      </w:r>
      <w:bookmarkEnd w:id="16"/>
      <w:r>
        <w:rPr>
          <w:rFonts w:hint="eastAsia"/>
          <w:color w:val="auto"/>
          <w:sz w:val="28"/>
          <w:highlight w:val="none"/>
          <w:lang w:val="en-US" w:eastAsia="zh-CN"/>
        </w:rPr>
        <w:t>2</w:t>
      </w:r>
      <w:r>
        <w:rPr>
          <w:rStyle w:val="58"/>
          <w:color w:val="auto"/>
          <w:sz w:val="28"/>
          <w:highlight w:val="none"/>
        </w:rPr>
        <w:fldChar w:fldCharType="end"/>
      </w:r>
      <w:r>
        <w:rPr>
          <w:rStyle w:val="58"/>
          <w:rFonts w:hint="eastAsia"/>
          <w:color w:val="auto"/>
          <w:sz w:val="28"/>
          <w:highlight w:val="none"/>
          <w:lang w:val="en-US" w:eastAsia="zh-CN"/>
        </w:rPr>
        <w:t>1</w:t>
      </w:r>
    </w:p>
    <w:p w14:paraId="50BF535A">
      <w:pPr>
        <w:pStyle w:val="31"/>
        <w:tabs>
          <w:tab w:val="right" w:leader="dot" w:pos="9460"/>
        </w:tabs>
        <w:rPr>
          <w:rFonts w:hint="eastAsia" w:ascii="Calibri" w:hAnsi="Calibri" w:eastAsia="宋体"/>
          <w:b w:val="0"/>
          <w:bCs w:val="0"/>
          <w:caps w:val="0"/>
          <w:color w:val="auto"/>
          <w:sz w:val="32"/>
          <w:szCs w:val="22"/>
          <w:highlight w:val="none"/>
          <w:lang w:val="en-US" w:eastAsia="zh-CN"/>
        </w:rPr>
      </w:pPr>
      <w:r>
        <w:rPr>
          <w:rStyle w:val="58"/>
          <w:color w:val="auto"/>
          <w:sz w:val="28"/>
          <w:highlight w:val="none"/>
        </w:rPr>
        <w:fldChar w:fldCharType="begin"/>
      </w:r>
      <w:r>
        <w:rPr>
          <w:rStyle w:val="58"/>
          <w:color w:val="auto"/>
          <w:sz w:val="28"/>
          <w:highlight w:val="none"/>
        </w:rPr>
        <w:instrText xml:space="preserve"> </w:instrText>
      </w:r>
      <w:r>
        <w:rPr>
          <w:color w:val="auto"/>
          <w:sz w:val="28"/>
          <w:highlight w:val="none"/>
        </w:rPr>
        <w:instrText xml:space="preserve">HYPERLINK \l "_Toc95223458"</w:instrText>
      </w:r>
      <w:r>
        <w:rPr>
          <w:rStyle w:val="58"/>
          <w:color w:val="auto"/>
          <w:sz w:val="28"/>
          <w:highlight w:val="none"/>
        </w:rPr>
        <w:instrText xml:space="preserve"> </w:instrText>
      </w:r>
      <w:r>
        <w:rPr>
          <w:rStyle w:val="58"/>
          <w:color w:val="auto"/>
          <w:sz w:val="28"/>
          <w:highlight w:val="none"/>
        </w:rPr>
        <w:fldChar w:fldCharType="separate"/>
      </w:r>
      <w:r>
        <w:rPr>
          <w:rStyle w:val="58"/>
          <w:rFonts w:hint="eastAsia"/>
          <w:color w:val="auto"/>
          <w:sz w:val="28"/>
          <w:highlight w:val="none"/>
        </w:rPr>
        <w:t>第五章</w:t>
      </w:r>
      <w:r>
        <w:rPr>
          <w:rStyle w:val="58"/>
          <w:color w:val="auto"/>
          <w:sz w:val="28"/>
          <w:highlight w:val="none"/>
        </w:rPr>
        <w:t xml:space="preserve"> </w:t>
      </w:r>
      <w:r>
        <w:rPr>
          <w:rStyle w:val="58"/>
          <w:rFonts w:hint="eastAsia"/>
          <w:color w:val="auto"/>
          <w:sz w:val="28"/>
          <w:highlight w:val="none"/>
        </w:rPr>
        <w:t>合同条款及格式</w:t>
      </w:r>
      <w:r>
        <w:rPr>
          <w:color w:val="auto"/>
          <w:sz w:val="28"/>
          <w:highlight w:val="none"/>
        </w:rPr>
        <w:tab/>
      </w:r>
      <w:r>
        <w:rPr>
          <w:rFonts w:hint="eastAsia"/>
          <w:color w:val="auto"/>
          <w:sz w:val="28"/>
          <w:highlight w:val="none"/>
          <w:lang w:val="en-US" w:eastAsia="zh-CN"/>
        </w:rPr>
        <w:t>2</w:t>
      </w:r>
      <w:r>
        <w:rPr>
          <w:rStyle w:val="58"/>
          <w:color w:val="auto"/>
          <w:sz w:val="28"/>
          <w:highlight w:val="none"/>
        </w:rPr>
        <w:fldChar w:fldCharType="end"/>
      </w:r>
      <w:r>
        <w:rPr>
          <w:rStyle w:val="58"/>
          <w:rFonts w:hint="eastAsia"/>
          <w:color w:val="auto"/>
          <w:sz w:val="28"/>
          <w:highlight w:val="none"/>
          <w:lang w:val="en-US" w:eastAsia="zh-CN"/>
        </w:rPr>
        <w:t>9</w:t>
      </w:r>
    </w:p>
    <w:p w14:paraId="2E624EDC">
      <w:pPr>
        <w:pStyle w:val="31"/>
        <w:tabs>
          <w:tab w:val="right" w:leader="dot" w:pos="9460"/>
        </w:tabs>
        <w:rPr>
          <w:rFonts w:hint="eastAsia" w:ascii="Calibri" w:hAnsi="Calibri" w:eastAsia="宋体"/>
          <w:b w:val="0"/>
          <w:bCs w:val="0"/>
          <w:caps w:val="0"/>
          <w:color w:val="auto"/>
          <w:sz w:val="32"/>
          <w:szCs w:val="22"/>
          <w:highlight w:val="none"/>
          <w:lang w:val="en-US" w:eastAsia="zh-CN"/>
        </w:rPr>
      </w:pPr>
      <w:r>
        <w:rPr>
          <w:rStyle w:val="58"/>
          <w:color w:val="auto"/>
          <w:sz w:val="28"/>
          <w:highlight w:val="none"/>
        </w:rPr>
        <w:fldChar w:fldCharType="begin"/>
      </w:r>
      <w:r>
        <w:rPr>
          <w:rStyle w:val="58"/>
          <w:color w:val="auto"/>
          <w:sz w:val="28"/>
          <w:highlight w:val="none"/>
        </w:rPr>
        <w:instrText xml:space="preserve"> </w:instrText>
      </w:r>
      <w:r>
        <w:rPr>
          <w:color w:val="auto"/>
          <w:sz w:val="28"/>
          <w:highlight w:val="none"/>
        </w:rPr>
        <w:instrText xml:space="preserve">HYPERLINK \l "_Toc95223515"</w:instrText>
      </w:r>
      <w:r>
        <w:rPr>
          <w:rStyle w:val="58"/>
          <w:color w:val="auto"/>
          <w:sz w:val="28"/>
          <w:highlight w:val="none"/>
        </w:rPr>
        <w:instrText xml:space="preserve"> </w:instrText>
      </w:r>
      <w:r>
        <w:rPr>
          <w:rStyle w:val="58"/>
          <w:color w:val="auto"/>
          <w:sz w:val="28"/>
          <w:highlight w:val="none"/>
        </w:rPr>
        <w:fldChar w:fldCharType="separate"/>
      </w:r>
      <w:r>
        <w:rPr>
          <w:rStyle w:val="58"/>
          <w:rFonts w:hint="eastAsia" w:ascii="宋体" w:hAnsi="宋体" w:cs="宋体"/>
          <w:color w:val="auto"/>
          <w:kern w:val="44"/>
          <w:sz w:val="28"/>
          <w:highlight w:val="none"/>
        </w:rPr>
        <w:t>第六章 工程量清单</w:t>
      </w:r>
      <w:r>
        <w:rPr>
          <w:color w:val="auto"/>
          <w:sz w:val="28"/>
          <w:highlight w:val="none"/>
        </w:rPr>
        <w:tab/>
      </w:r>
      <w:r>
        <w:rPr>
          <w:rFonts w:hint="eastAsia"/>
          <w:color w:val="auto"/>
          <w:sz w:val="28"/>
          <w:highlight w:val="none"/>
          <w:lang w:val="en-US" w:eastAsia="zh-CN"/>
        </w:rPr>
        <w:t>7</w:t>
      </w:r>
      <w:r>
        <w:rPr>
          <w:rStyle w:val="58"/>
          <w:color w:val="auto"/>
          <w:sz w:val="28"/>
          <w:highlight w:val="none"/>
        </w:rPr>
        <w:fldChar w:fldCharType="end"/>
      </w:r>
      <w:r>
        <w:rPr>
          <w:rStyle w:val="58"/>
          <w:rFonts w:hint="eastAsia"/>
          <w:color w:val="auto"/>
          <w:sz w:val="28"/>
          <w:highlight w:val="none"/>
          <w:lang w:val="en-US" w:eastAsia="zh-CN"/>
        </w:rPr>
        <w:t>2</w:t>
      </w:r>
    </w:p>
    <w:p w14:paraId="3DCF61C3">
      <w:pPr>
        <w:pStyle w:val="31"/>
        <w:tabs>
          <w:tab w:val="right" w:leader="dot" w:pos="9460"/>
        </w:tabs>
        <w:rPr>
          <w:rFonts w:hint="eastAsia" w:ascii="Calibri" w:hAnsi="Calibri" w:eastAsia="宋体"/>
          <w:b w:val="0"/>
          <w:bCs w:val="0"/>
          <w:caps w:val="0"/>
          <w:color w:val="auto"/>
          <w:sz w:val="32"/>
          <w:szCs w:val="22"/>
          <w:highlight w:val="none"/>
          <w:lang w:val="en-US" w:eastAsia="zh-CN"/>
        </w:rPr>
      </w:pPr>
      <w:r>
        <w:rPr>
          <w:rStyle w:val="58"/>
          <w:color w:val="auto"/>
          <w:sz w:val="28"/>
          <w:highlight w:val="none"/>
        </w:rPr>
        <w:fldChar w:fldCharType="begin"/>
      </w:r>
      <w:r>
        <w:rPr>
          <w:rStyle w:val="58"/>
          <w:color w:val="auto"/>
          <w:sz w:val="28"/>
          <w:highlight w:val="none"/>
        </w:rPr>
        <w:instrText xml:space="preserve"> </w:instrText>
      </w:r>
      <w:r>
        <w:rPr>
          <w:color w:val="auto"/>
          <w:sz w:val="28"/>
          <w:highlight w:val="none"/>
        </w:rPr>
        <w:instrText xml:space="preserve">HYPERLINK \l "_Toc95223522"</w:instrText>
      </w:r>
      <w:r>
        <w:rPr>
          <w:rStyle w:val="58"/>
          <w:color w:val="auto"/>
          <w:sz w:val="28"/>
          <w:highlight w:val="none"/>
        </w:rPr>
        <w:instrText xml:space="preserve"> </w:instrText>
      </w:r>
      <w:r>
        <w:rPr>
          <w:rStyle w:val="58"/>
          <w:color w:val="auto"/>
          <w:sz w:val="28"/>
          <w:highlight w:val="none"/>
        </w:rPr>
        <w:fldChar w:fldCharType="separate"/>
      </w:r>
      <w:r>
        <w:rPr>
          <w:rStyle w:val="58"/>
          <w:rFonts w:hint="eastAsia" w:ascii="宋体" w:hAnsi="宋体" w:cs="宋体"/>
          <w:color w:val="auto"/>
          <w:kern w:val="44"/>
          <w:sz w:val="28"/>
          <w:highlight w:val="none"/>
        </w:rPr>
        <w:t>第七章</w:t>
      </w:r>
      <w:r>
        <w:rPr>
          <w:rStyle w:val="58"/>
          <w:rFonts w:ascii="宋体" w:hAnsi="宋体" w:cs="宋体"/>
          <w:color w:val="auto"/>
          <w:kern w:val="44"/>
          <w:sz w:val="28"/>
          <w:highlight w:val="none"/>
        </w:rPr>
        <w:t xml:space="preserve"> </w:t>
      </w:r>
      <w:r>
        <w:rPr>
          <w:rStyle w:val="58"/>
          <w:rFonts w:hint="eastAsia" w:ascii="宋体" w:hAnsi="宋体" w:cs="宋体"/>
          <w:color w:val="auto"/>
          <w:kern w:val="44"/>
          <w:sz w:val="28"/>
          <w:highlight w:val="none"/>
        </w:rPr>
        <w:t>图纸</w:t>
      </w:r>
      <w:r>
        <w:rPr>
          <w:color w:val="auto"/>
          <w:sz w:val="28"/>
          <w:highlight w:val="none"/>
        </w:rPr>
        <w:tab/>
      </w:r>
      <w:r>
        <w:rPr>
          <w:rFonts w:hint="eastAsia"/>
          <w:color w:val="auto"/>
          <w:sz w:val="28"/>
          <w:highlight w:val="none"/>
          <w:lang w:val="en-US" w:eastAsia="zh-CN"/>
        </w:rPr>
        <w:t>7</w:t>
      </w:r>
      <w:r>
        <w:rPr>
          <w:rStyle w:val="58"/>
          <w:color w:val="auto"/>
          <w:sz w:val="28"/>
          <w:highlight w:val="none"/>
        </w:rPr>
        <w:fldChar w:fldCharType="end"/>
      </w:r>
      <w:r>
        <w:rPr>
          <w:rStyle w:val="58"/>
          <w:rFonts w:hint="eastAsia"/>
          <w:color w:val="auto"/>
          <w:sz w:val="28"/>
          <w:highlight w:val="none"/>
          <w:lang w:val="en-US" w:eastAsia="zh-CN"/>
        </w:rPr>
        <w:t>2</w:t>
      </w:r>
    </w:p>
    <w:p w14:paraId="3AB8456F">
      <w:pPr>
        <w:pStyle w:val="31"/>
        <w:tabs>
          <w:tab w:val="right" w:leader="dot" w:pos="9460"/>
        </w:tabs>
        <w:rPr>
          <w:rFonts w:hint="eastAsia" w:ascii="Calibri" w:hAnsi="Calibri" w:eastAsia="宋体"/>
          <w:b w:val="0"/>
          <w:bCs w:val="0"/>
          <w:caps w:val="0"/>
          <w:color w:val="auto"/>
          <w:sz w:val="32"/>
          <w:szCs w:val="22"/>
          <w:highlight w:val="none"/>
          <w:lang w:val="en-US" w:eastAsia="zh-CN"/>
        </w:rPr>
      </w:pPr>
      <w:r>
        <w:rPr>
          <w:rStyle w:val="58"/>
          <w:color w:val="auto"/>
          <w:sz w:val="28"/>
          <w:highlight w:val="none"/>
        </w:rPr>
        <w:fldChar w:fldCharType="begin"/>
      </w:r>
      <w:r>
        <w:rPr>
          <w:rStyle w:val="58"/>
          <w:color w:val="auto"/>
          <w:sz w:val="28"/>
          <w:highlight w:val="none"/>
        </w:rPr>
        <w:instrText xml:space="preserve"> </w:instrText>
      </w:r>
      <w:r>
        <w:rPr>
          <w:color w:val="auto"/>
          <w:sz w:val="28"/>
          <w:highlight w:val="none"/>
        </w:rPr>
        <w:instrText xml:space="preserve">HYPERLINK \l "_Toc95223525"</w:instrText>
      </w:r>
      <w:r>
        <w:rPr>
          <w:rStyle w:val="58"/>
          <w:color w:val="auto"/>
          <w:sz w:val="28"/>
          <w:highlight w:val="none"/>
        </w:rPr>
        <w:instrText xml:space="preserve"> </w:instrText>
      </w:r>
      <w:r>
        <w:rPr>
          <w:rStyle w:val="58"/>
          <w:color w:val="auto"/>
          <w:sz w:val="28"/>
          <w:highlight w:val="none"/>
        </w:rPr>
        <w:fldChar w:fldCharType="separate"/>
      </w:r>
      <w:r>
        <w:rPr>
          <w:rStyle w:val="58"/>
          <w:rFonts w:hint="eastAsia" w:ascii="宋体" w:hAnsi="宋体" w:cs="宋体"/>
          <w:color w:val="auto"/>
          <w:kern w:val="44"/>
          <w:sz w:val="28"/>
          <w:highlight w:val="none"/>
        </w:rPr>
        <w:t>第八章 技术标准和要求</w:t>
      </w:r>
      <w:r>
        <w:rPr>
          <w:color w:val="auto"/>
          <w:sz w:val="28"/>
          <w:highlight w:val="none"/>
        </w:rPr>
        <w:tab/>
      </w:r>
      <w:r>
        <w:rPr>
          <w:rFonts w:hint="eastAsia"/>
          <w:color w:val="auto"/>
          <w:sz w:val="28"/>
          <w:highlight w:val="none"/>
          <w:lang w:val="en-US" w:eastAsia="zh-CN"/>
        </w:rPr>
        <w:t>7</w:t>
      </w:r>
      <w:r>
        <w:rPr>
          <w:rStyle w:val="58"/>
          <w:color w:val="auto"/>
          <w:sz w:val="28"/>
          <w:highlight w:val="none"/>
        </w:rPr>
        <w:fldChar w:fldCharType="end"/>
      </w:r>
      <w:r>
        <w:rPr>
          <w:rStyle w:val="58"/>
          <w:rFonts w:hint="eastAsia"/>
          <w:color w:val="auto"/>
          <w:sz w:val="28"/>
          <w:highlight w:val="none"/>
          <w:lang w:val="en-US" w:eastAsia="zh-CN"/>
        </w:rPr>
        <w:t>3</w:t>
      </w:r>
    </w:p>
    <w:p w14:paraId="7B73DFB9">
      <w:pPr>
        <w:pStyle w:val="31"/>
        <w:tabs>
          <w:tab w:val="right" w:leader="dot" w:pos="9460"/>
        </w:tabs>
        <w:rPr>
          <w:rFonts w:hint="eastAsia" w:ascii="Calibri" w:hAnsi="Calibri" w:eastAsia="宋体"/>
          <w:b w:val="0"/>
          <w:bCs w:val="0"/>
          <w:caps w:val="0"/>
          <w:color w:val="auto"/>
          <w:sz w:val="32"/>
          <w:szCs w:val="22"/>
          <w:highlight w:val="none"/>
          <w:lang w:val="en-US" w:eastAsia="zh-CN"/>
        </w:rPr>
      </w:pPr>
      <w:r>
        <w:rPr>
          <w:rStyle w:val="58"/>
          <w:color w:val="auto"/>
          <w:sz w:val="28"/>
          <w:highlight w:val="none"/>
        </w:rPr>
        <w:fldChar w:fldCharType="begin"/>
      </w:r>
      <w:r>
        <w:rPr>
          <w:rStyle w:val="58"/>
          <w:color w:val="auto"/>
          <w:sz w:val="28"/>
          <w:highlight w:val="none"/>
        </w:rPr>
        <w:instrText xml:space="preserve"> </w:instrText>
      </w:r>
      <w:r>
        <w:rPr>
          <w:color w:val="auto"/>
          <w:sz w:val="28"/>
          <w:highlight w:val="none"/>
        </w:rPr>
        <w:instrText xml:space="preserve">HYPERLINK \l "_Toc95223531"</w:instrText>
      </w:r>
      <w:r>
        <w:rPr>
          <w:rStyle w:val="58"/>
          <w:color w:val="auto"/>
          <w:sz w:val="28"/>
          <w:highlight w:val="none"/>
        </w:rPr>
        <w:instrText xml:space="preserve"> </w:instrText>
      </w:r>
      <w:r>
        <w:rPr>
          <w:rStyle w:val="58"/>
          <w:color w:val="auto"/>
          <w:sz w:val="28"/>
          <w:highlight w:val="none"/>
        </w:rPr>
        <w:fldChar w:fldCharType="separate"/>
      </w:r>
      <w:r>
        <w:rPr>
          <w:rStyle w:val="58"/>
          <w:rFonts w:hint="eastAsia"/>
          <w:color w:val="auto"/>
          <w:sz w:val="28"/>
          <w:highlight w:val="none"/>
        </w:rPr>
        <w:t>第九章 投标文件格式</w:t>
      </w:r>
      <w:r>
        <w:rPr>
          <w:color w:val="auto"/>
          <w:sz w:val="28"/>
          <w:highlight w:val="none"/>
        </w:rPr>
        <w:tab/>
      </w:r>
      <w:r>
        <w:rPr>
          <w:rStyle w:val="58"/>
          <w:color w:val="auto"/>
          <w:sz w:val="28"/>
          <w:highlight w:val="none"/>
        </w:rPr>
        <w:fldChar w:fldCharType="end"/>
      </w:r>
      <w:r>
        <w:rPr>
          <w:rStyle w:val="58"/>
          <w:rFonts w:hint="eastAsia"/>
          <w:color w:val="auto"/>
          <w:sz w:val="28"/>
          <w:highlight w:val="none"/>
          <w:lang w:val="en-US" w:eastAsia="zh-CN"/>
        </w:rPr>
        <w:t>74</w:t>
      </w:r>
    </w:p>
    <w:p w14:paraId="63D8DA84">
      <w:pPr>
        <w:pStyle w:val="31"/>
        <w:tabs>
          <w:tab w:val="right" w:leader="dot" w:pos="9460"/>
        </w:tabs>
        <w:rPr>
          <w:rFonts w:hint="eastAsia" w:ascii="Calibri" w:hAnsi="Calibri" w:eastAsia="宋体"/>
          <w:b w:val="0"/>
          <w:bCs w:val="0"/>
          <w:caps w:val="0"/>
          <w:color w:val="auto"/>
          <w:sz w:val="32"/>
          <w:szCs w:val="22"/>
          <w:highlight w:val="none"/>
          <w:lang w:val="en-US" w:eastAsia="zh-CN"/>
        </w:rPr>
      </w:pPr>
      <w:r>
        <w:rPr>
          <w:rStyle w:val="58"/>
          <w:color w:val="auto"/>
          <w:sz w:val="28"/>
          <w:highlight w:val="none"/>
        </w:rPr>
        <w:fldChar w:fldCharType="begin"/>
      </w:r>
      <w:r>
        <w:rPr>
          <w:rStyle w:val="58"/>
          <w:color w:val="auto"/>
          <w:sz w:val="28"/>
          <w:highlight w:val="none"/>
        </w:rPr>
        <w:instrText xml:space="preserve"> </w:instrText>
      </w:r>
      <w:r>
        <w:rPr>
          <w:color w:val="auto"/>
          <w:sz w:val="28"/>
          <w:highlight w:val="none"/>
        </w:rPr>
        <w:instrText xml:space="preserve">HYPERLINK \l "_Toc95223547"</w:instrText>
      </w:r>
      <w:r>
        <w:rPr>
          <w:rStyle w:val="58"/>
          <w:color w:val="auto"/>
          <w:sz w:val="28"/>
          <w:highlight w:val="none"/>
        </w:rPr>
        <w:instrText xml:space="preserve"> </w:instrText>
      </w:r>
      <w:r>
        <w:rPr>
          <w:rStyle w:val="58"/>
          <w:color w:val="auto"/>
          <w:sz w:val="28"/>
          <w:highlight w:val="none"/>
        </w:rPr>
        <w:fldChar w:fldCharType="separate"/>
      </w:r>
      <w:r>
        <w:rPr>
          <w:rStyle w:val="58"/>
          <w:rFonts w:hint="eastAsia" w:eastAsia="黑体"/>
          <w:color w:val="auto"/>
          <w:sz w:val="28"/>
          <w:highlight w:val="none"/>
        </w:rPr>
        <w:t>第十章</w:t>
      </w:r>
      <w:r>
        <w:rPr>
          <w:rStyle w:val="58"/>
          <w:rFonts w:eastAsia="黑体"/>
          <w:color w:val="auto"/>
          <w:sz w:val="28"/>
          <w:highlight w:val="none"/>
        </w:rPr>
        <w:t xml:space="preserve"> </w:t>
      </w:r>
      <w:r>
        <w:rPr>
          <w:rStyle w:val="58"/>
          <w:rFonts w:hint="eastAsia" w:eastAsia="黑体"/>
          <w:color w:val="auto"/>
          <w:sz w:val="28"/>
          <w:highlight w:val="none"/>
        </w:rPr>
        <w:t>招标人、招标代理机构对本招标文件的确认</w:t>
      </w:r>
      <w:bookmarkStart w:id="17" w:name="_Hlt95223551"/>
      <w:bookmarkStart w:id="18" w:name="_Hlt95223550"/>
      <w:r>
        <w:rPr>
          <w:color w:val="auto"/>
          <w:sz w:val="28"/>
          <w:highlight w:val="none"/>
        </w:rPr>
        <w:tab/>
      </w:r>
      <w:bookmarkEnd w:id="17"/>
      <w:bookmarkEnd w:id="18"/>
      <w:r>
        <w:rPr>
          <w:rFonts w:hint="eastAsia"/>
          <w:color w:val="auto"/>
          <w:sz w:val="28"/>
          <w:highlight w:val="none"/>
          <w:lang w:val="en-US" w:eastAsia="zh-CN"/>
        </w:rPr>
        <w:t>8</w:t>
      </w:r>
      <w:r>
        <w:rPr>
          <w:rStyle w:val="58"/>
          <w:color w:val="auto"/>
          <w:sz w:val="28"/>
          <w:highlight w:val="none"/>
        </w:rPr>
        <w:fldChar w:fldCharType="end"/>
      </w:r>
      <w:r>
        <w:rPr>
          <w:rStyle w:val="58"/>
          <w:rFonts w:hint="eastAsia"/>
          <w:color w:val="auto"/>
          <w:sz w:val="28"/>
          <w:highlight w:val="none"/>
          <w:lang w:val="en-US" w:eastAsia="zh-CN"/>
        </w:rPr>
        <w:t>3</w:t>
      </w:r>
    </w:p>
    <w:p w14:paraId="5052B2D4">
      <w:pPr>
        <w:pStyle w:val="14"/>
        <w:spacing w:line="700" w:lineRule="exact"/>
        <w:ind w:left="0" w:leftChars="0" w:firstLine="480"/>
        <w:jc w:val="left"/>
        <w:rPr>
          <w:color w:val="auto"/>
          <w:sz w:val="24"/>
          <w:szCs w:val="24"/>
          <w:highlight w:val="none"/>
        </w:rPr>
      </w:pPr>
    </w:p>
    <w:p w14:paraId="3004C8EC">
      <w:pPr>
        <w:pStyle w:val="44"/>
        <w:spacing w:line="700" w:lineRule="exact"/>
        <w:jc w:val="left"/>
        <w:rPr>
          <w:color w:val="auto"/>
          <w:sz w:val="24"/>
          <w:szCs w:val="24"/>
          <w:highlight w:val="none"/>
        </w:rPr>
        <w:sectPr>
          <w:headerReference r:id="rId7" w:type="default"/>
          <w:footerReference r:id="rId8" w:type="default"/>
          <w:pgSz w:w="11906" w:h="16838"/>
          <w:pgMar w:top="1134" w:right="1417" w:bottom="1134" w:left="1417" w:header="851" w:footer="992" w:gutter="0"/>
          <w:pgNumType w:start="1"/>
          <w:cols w:space="720" w:num="1"/>
          <w:docGrid w:type="lines" w:linePitch="312" w:charSpace="0"/>
        </w:sectPr>
      </w:pPr>
    </w:p>
    <w:bookmarkEnd w:id="12"/>
    <w:bookmarkEnd w:id="13"/>
    <w:bookmarkEnd w:id="14"/>
    <w:bookmarkEnd w:id="15"/>
    <w:p w14:paraId="2EC261B3">
      <w:pPr>
        <w:pStyle w:val="44"/>
        <w:spacing w:beforeLines="50" w:afterLines="50" w:line="440" w:lineRule="exact"/>
        <w:rPr>
          <w:rFonts w:hint="eastAsia" w:eastAsia="宋体" w:cs="Times New Roman"/>
          <w:bCs/>
          <w:color w:val="auto"/>
          <w:szCs w:val="32"/>
          <w:highlight w:val="none"/>
        </w:rPr>
      </w:pPr>
      <w:bookmarkStart w:id="19" w:name="_Toc78803320"/>
      <w:bookmarkStart w:id="20" w:name="_Toc152045527"/>
      <w:bookmarkStart w:id="21" w:name="_Toc179632544"/>
      <w:bookmarkStart w:id="22" w:name="_Toc144974495"/>
      <w:bookmarkStart w:id="23" w:name="_Toc35424883"/>
      <w:bookmarkStart w:id="24" w:name="_Toc246996173"/>
      <w:bookmarkStart w:id="25" w:name="_Toc324404813"/>
      <w:bookmarkStart w:id="26" w:name="_Toc152042303"/>
      <w:bookmarkStart w:id="27" w:name="_Toc247085687"/>
      <w:bookmarkStart w:id="28" w:name="_Toc506107267"/>
      <w:bookmarkStart w:id="29" w:name="_Toc35425050"/>
      <w:bookmarkStart w:id="30" w:name="_Toc15058844"/>
      <w:bookmarkStart w:id="31" w:name="_Toc246996916"/>
      <w:r>
        <w:rPr>
          <w:rFonts w:hint="eastAsia" w:eastAsia="宋体" w:cs="Times New Roman"/>
          <w:bCs/>
          <w:color w:val="auto"/>
          <w:szCs w:val="32"/>
          <w:highlight w:val="none"/>
          <w:lang w:val="en-US" w:eastAsia="zh-CN"/>
        </w:rPr>
        <w:t xml:space="preserve">第一章 </w:t>
      </w:r>
      <w:r>
        <w:rPr>
          <w:rFonts w:hint="eastAsia" w:eastAsia="宋体" w:cs="Times New Roman"/>
          <w:bCs/>
          <w:color w:val="auto"/>
          <w:szCs w:val="32"/>
          <w:highlight w:val="none"/>
        </w:rPr>
        <w:t>招标公告</w:t>
      </w:r>
      <w:bookmarkEnd w:id="19"/>
    </w:p>
    <w:tbl>
      <w:tblPr>
        <w:tblStyle w:val="47"/>
        <w:tblW w:w="961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33"/>
        <w:gridCol w:w="7677"/>
      </w:tblGrid>
      <w:tr w14:paraId="48A33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610" w:type="dxa"/>
            <w:gridSpan w:val="2"/>
            <w:noWrap w:val="0"/>
            <w:vAlign w:val="center"/>
          </w:tcPr>
          <w:p w14:paraId="4E31D11C">
            <w:pPr>
              <w:keepNext w:val="0"/>
              <w:keepLines w:val="0"/>
              <w:pageBreakBefore w:val="0"/>
              <w:kinsoku/>
              <w:wordWrap w:val="0"/>
              <w:overflowPunct/>
              <w:topLinePunct w:val="0"/>
              <w:autoSpaceDE/>
              <w:autoSpaceDN/>
              <w:bidi w:val="0"/>
              <w:adjustRightInd/>
              <w:snapToGrid/>
              <w:spacing w:line="380" w:lineRule="exact"/>
              <w:jc w:val="center"/>
              <w:textAlignment w:val="auto"/>
              <w:rPr>
                <w:rFonts w:hint="eastAsia" w:ascii="宋体" w:hAnsi="宋体" w:eastAsia="宋体" w:cs="宋体"/>
                <w:bCs/>
                <w:color w:val="auto"/>
                <w:kern w:val="1"/>
                <w:sz w:val="21"/>
                <w:szCs w:val="21"/>
                <w:highlight w:val="none"/>
              </w:rPr>
            </w:pPr>
            <w:r>
              <w:rPr>
                <w:rFonts w:hint="eastAsia" w:ascii="宋体" w:hAnsi="宋体" w:eastAsia="宋体" w:cs="宋体"/>
                <w:b/>
                <w:bCs/>
                <w:color w:val="auto"/>
                <w:sz w:val="21"/>
                <w:szCs w:val="21"/>
                <w:highlight w:val="none"/>
              </w:rPr>
              <w:t>招标条件</w:t>
            </w:r>
          </w:p>
        </w:tc>
      </w:tr>
      <w:tr w14:paraId="07E822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1933" w:type="dxa"/>
            <w:noWrap w:val="0"/>
            <w:vAlign w:val="center"/>
          </w:tcPr>
          <w:p w14:paraId="2E39E459">
            <w:pPr>
              <w:keepNext w:val="0"/>
              <w:keepLines w:val="0"/>
              <w:pageBreakBefore w:val="0"/>
              <w:kinsoku/>
              <w:wordWrap w:val="0"/>
              <w:overflowPunct/>
              <w:topLinePunct w:val="0"/>
              <w:autoSpaceDE/>
              <w:autoSpaceDN/>
              <w:bidi w:val="0"/>
              <w:adjustRightInd/>
              <w:snapToGrid/>
              <w:spacing w:line="380" w:lineRule="exact"/>
              <w:jc w:val="center"/>
              <w:textAlignment w:val="auto"/>
              <w:rPr>
                <w:rFonts w:hint="eastAsia" w:ascii="宋体" w:hAnsi="宋体" w:eastAsia="宋体" w:cs="宋体"/>
                <w:bCs/>
                <w:color w:val="auto"/>
                <w:kern w:val="1"/>
                <w:sz w:val="21"/>
                <w:szCs w:val="21"/>
                <w:highlight w:val="none"/>
              </w:rPr>
            </w:pPr>
            <w:r>
              <w:rPr>
                <w:rFonts w:hint="eastAsia" w:ascii="宋体" w:hAnsi="宋体" w:eastAsia="宋体" w:cs="宋体"/>
                <w:bCs/>
                <w:color w:val="auto"/>
                <w:kern w:val="1"/>
                <w:sz w:val="21"/>
                <w:szCs w:val="21"/>
                <w:highlight w:val="none"/>
              </w:rPr>
              <w:t>项目</w:t>
            </w:r>
            <w:r>
              <w:rPr>
                <w:rFonts w:hint="eastAsia" w:ascii="宋体" w:hAnsi="宋体" w:eastAsia="宋体" w:cs="宋体"/>
                <w:color w:val="auto"/>
                <w:kern w:val="0"/>
                <w:sz w:val="21"/>
                <w:szCs w:val="21"/>
                <w:highlight w:val="none"/>
              </w:rPr>
              <w:t>名称</w:t>
            </w:r>
          </w:p>
        </w:tc>
        <w:tc>
          <w:tcPr>
            <w:tcW w:w="7677" w:type="dxa"/>
            <w:noWrap w:val="0"/>
            <w:vAlign w:val="top"/>
          </w:tcPr>
          <w:p w14:paraId="223FE30B">
            <w:pPr>
              <w:keepNext w:val="0"/>
              <w:keepLines w:val="0"/>
              <w:pageBreakBefore w:val="0"/>
              <w:kinsoku/>
              <w:wordWrap w:val="0"/>
              <w:overflowPunct/>
              <w:topLinePunct w:val="0"/>
              <w:autoSpaceDE/>
              <w:autoSpaceDN/>
              <w:bidi w:val="0"/>
              <w:adjustRightInd/>
              <w:snapToGrid/>
              <w:spacing w:line="380" w:lineRule="exact"/>
              <w:jc w:val="left"/>
              <w:textAlignment w:val="auto"/>
              <w:rPr>
                <w:rFonts w:hint="eastAsia" w:ascii="宋体" w:hAnsi="宋体" w:eastAsia="宋体" w:cs="宋体"/>
                <w:bCs/>
                <w:color w:val="auto"/>
                <w:kern w:val="1"/>
                <w:sz w:val="21"/>
                <w:szCs w:val="21"/>
                <w:highlight w:val="none"/>
              </w:rPr>
            </w:pPr>
            <w:r>
              <w:rPr>
                <w:rFonts w:hint="eastAsia" w:ascii="宋体" w:hAnsi="宋体" w:cs="宋体"/>
                <w:bCs/>
                <w:color w:val="auto"/>
                <w:kern w:val="1"/>
                <w:sz w:val="21"/>
                <w:szCs w:val="21"/>
                <w:highlight w:val="none"/>
                <w:lang w:eastAsia="zh-CN"/>
              </w:rPr>
              <w:t xml:space="preserve">琅琊区健康食品产业园（二期）屋顶分布式光伏发电项目 </w:t>
            </w:r>
          </w:p>
        </w:tc>
      </w:tr>
      <w:tr w14:paraId="2A808A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3" w:type="dxa"/>
            <w:noWrap w:val="0"/>
            <w:vAlign w:val="center"/>
          </w:tcPr>
          <w:p w14:paraId="37AC4153">
            <w:pPr>
              <w:keepNext w:val="0"/>
              <w:keepLines w:val="0"/>
              <w:pageBreakBefore w:val="0"/>
              <w:widowControl/>
              <w:kinsoku/>
              <w:wordWrap w:val="0"/>
              <w:overflowPunct/>
              <w:topLinePunct w:val="0"/>
              <w:autoSpaceDE/>
              <w:autoSpaceDN/>
              <w:bidi w:val="0"/>
              <w:adjustRightInd/>
              <w:snapToGrid/>
              <w:spacing w:line="380" w:lineRule="exact"/>
              <w:jc w:val="center"/>
              <w:textAlignment w:val="auto"/>
              <w:rPr>
                <w:rFonts w:hint="eastAsia" w:ascii="宋体" w:hAnsi="宋体" w:eastAsia="宋体" w:cs="宋体"/>
                <w:bCs/>
                <w:snapToGrid w:val="0"/>
                <w:color w:val="auto"/>
                <w:kern w:val="0"/>
                <w:sz w:val="21"/>
                <w:szCs w:val="21"/>
                <w:highlight w:val="none"/>
              </w:rPr>
            </w:pPr>
            <w:r>
              <w:rPr>
                <w:rFonts w:hint="eastAsia" w:ascii="宋体" w:hAnsi="宋体" w:eastAsia="宋体" w:cs="宋体"/>
                <w:bCs/>
                <w:snapToGrid w:val="0"/>
                <w:color w:val="auto"/>
                <w:kern w:val="0"/>
                <w:sz w:val="21"/>
                <w:szCs w:val="21"/>
                <w:highlight w:val="none"/>
              </w:rPr>
              <w:t>项目编号</w:t>
            </w:r>
          </w:p>
        </w:tc>
        <w:tc>
          <w:tcPr>
            <w:tcW w:w="7677" w:type="dxa"/>
            <w:noWrap w:val="0"/>
            <w:vAlign w:val="center"/>
          </w:tcPr>
          <w:p w14:paraId="5E46C7BE">
            <w:pPr>
              <w:keepNext w:val="0"/>
              <w:keepLines w:val="0"/>
              <w:pageBreakBefore w:val="0"/>
              <w:tabs>
                <w:tab w:val="left" w:pos="1107"/>
              </w:tabs>
              <w:kinsoku/>
              <w:wordWrap/>
              <w:overflowPunct/>
              <w:topLinePunct w:val="0"/>
              <w:autoSpaceDE/>
              <w:autoSpaceDN/>
              <w:bidi w:val="0"/>
              <w:adjustRightInd/>
              <w:snapToGrid/>
              <w:spacing w:line="380" w:lineRule="exact"/>
              <w:jc w:val="left"/>
              <w:textAlignment w:val="auto"/>
              <w:rPr>
                <w:rFonts w:hint="eastAsia" w:ascii="宋体" w:hAnsi="宋体" w:cs="宋体"/>
                <w:bCs/>
                <w:color w:val="auto"/>
                <w:kern w:val="1"/>
                <w:sz w:val="21"/>
                <w:szCs w:val="21"/>
                <w:highlight w:val="none"/>
                <w:lang w:eastAsia="zh-CN"/>
              </w:rPr>
            </w:pPr>
            <w:r>
              <w:rPr>
                <w:rFonts w:hint="eastAsia" w:ascii="宋体" w:hAnsi="宋体" w:cs="宋体"/>
                <w:bCs/>
                <w:color w:val="auto"/>
                <w:kern w:val="1"/>
                <w:sz w:val="21"/>
                <w:szCs w:val="21"/>
                <w:highlight w:val="none"/>
                <w:lang w:eastAsia="zh-CN"/>
              </w:rPr>
              <w:t>HXJY1110001062687001</w:t>
            </w:r>
          </w:p>
        </w:tc>
      </w:tr>
      <w:tr w14:paraId="3EF6D3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3" w:type="dxa"/>
            <w:noWrap w:val="0"/>
            <w:vAlign w:val="center"/>
          </w:tcPr>
          <w:p w14:paraId="2832571D">
            <w:pPr>
              <w:keepNext w:val="0"/>
              <w:keepLines w:val="0"/>
              <w:pageBreakBefore w:val="0"/>
              <w:widowControl/>
              <w:kinsoku/>
              <w:wordWrap w:val="0"/>
              <w:overflowPunct/>
              <w:topLinePunct w:val="0"/>
              <w:autoSpaceDE/>
              <w:autoSpaceDN/>
              <w:bidi w:val="0"/>
              <w:adjustRightInd/>
              <w:snapToGrid/>
              <w:spacing w:line="38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bCs/>
                <w:snapToGrid w:val="0"/>
                <w:color w:val="auto"/>
                <w:kern w:val="0"/>
                <w:sz w:val="21"/>
                <w:szCs w:val="21"/>
                <w:highlight w:val="none"/>
              </w:rPr>
              <w:t>招标人</w:t>
            </w:r>
          </w:p>
        </w:tc>
        <w:tc>
          <w:tcPr>
            <w:tcW w:w="7677" w:type="dxa"/>
            <w:noWrap w:val="0"/>
            <w:vAlign w:val="center"/>
          </w:tcPr>
          <w:p w14:paraId="41AA07EF">
            <w:pPr>
              <w:keepNext w:val="0"/>
              <w:keepLines w:val="0"/>
              <w:pageBreakBefore w:val="0"/>
              <w:kinsoku/>
              <w:wordWrap/>
              <w:overflowPunct/>
              <w:topLinePunct w:val="0"/>
              <w:autoSpaceDE/>
              <w:autoSpaceDN/>
              <w:bidi w:val="0"/>
              <w:adjustRightInd/>
              <w:snapToGrid/>
              <w:spacing w:line="380" w:lineRule="exact"/>
              <w:jc w:val="left"/>
              <w:textAlignment w:val="auto"/>
              <w:rPr>
                <w:rFonts w:hint="eastAsia" w:ascii="宋体" w:hAnsi="宋体" w:eastAsia="宋体" w:cs="宋体"/>
                <w:color w:val="auto"/>
                <w:sz w:val="21"/>
                <w:szCs w:val="21"/>
                <w:highlight w:val="none"/>
                <w:lang w:eastAsia="zh-CN"/>
              </w:rPr>
            </w:pPr>
            <w:r>
              <w:rPr>
                <w:rFonts w:hint="eastAsia" w:ascii="宋体" w:hAnsi="宋体" w:cs="宋体"/>
                <w:bCs/>
                <w:color w:val="auto"/>
                <w:kern w:val="1"/>
                <w:sz w:val="21"/>
                <w:szCs w:val="21"/>
                <w:highlight w:val="none"/>
                <w:lang w:eastAsia="zh-CN"/>
              </w:rPr>
              <w:t>安徽富邦建设工程有限公司</w:t>
            </w:r>
          </w:p>
        </w:tc>
      </w:tr>
      <w:tr w14:paraId="2A24F6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3" w:type="dxa"/>
            <w:noWrap w:val="0"/>
            <w:vAlign w:val="center"/>
          </w:tcPr>
          <w:p w14:paraId="12638D1C">
            <w:pPr>
              <w:keepNext w:val="0"/>
              <w:keepLines w:val="0"/>
              <w:pageBreakBefore w:val="0"/>
              <w:widowControl/>
              <w:kinsoku/>
              <w:wordWrap w:val="0"/>
              <w:overflowPunct/>
              <w:topLinePunct w:val="0"/>
              <w:autoSpaceDE/>
              <w:autoSpaceDN/>
              <w:bidi w:val="0"/>
              <w:adjustRightInd/>
              <w:snapToGrid/>
              <w:spacing w:line="38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项目业主</w:t>
            </w:r>
          </w:p>
        </w:tc>
        <w:tc>
          <w:tcPr>
            <w:tcW w:w="7677" w:type="dxa"/>
            <w:noWrap w:val="0"/>
            <w:vAlign w:val="center"/>
          </w:tcPr>
          <w:p w14:paraId="3EF79F1D">
            <w:pPr>
              <w:keepNext w:val="0"/>
              <w:keepLines w:val="0"/>
              <w:pageBreakBefore w:val="0"/>
              <w:widowControl/>
              <w:shd w:val="clear" w:color="auto" w:fill="auto"/>
              <w:kinsoku/>
              <w:wordWrap/>
              <w:overflowPunct/>
              <w:topLinePunct w:val="0"/>
              <w:autoSpaceDE/>
              <w:autoSpaceDN/>
              <w:bidi w:val="0"/>
              <w:adjustRightInd/>
              <w:snapToGrid/>
              <w:spacing w:line="380" w:lineRule="exact"/>
              <w:jc w:val="left"/>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滁州市琅琊区国控发展集团有限公司</w:t>
            </w:r>
          </w:p>
        </w:tc>
      </w:tr>
      <w:tr w14:paraId="515C1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3" w:type="dxa"/>
            <w:noWrap w:val="0"/>
            <w:vAlign w:val="center"/>
          </w:tcPr>
          <w:p w14:paraId="6ECD1AE3">
            <w:pPr>
              <w:keepNext w:val="0"/>
              <w:keepLines w:val="0"/>
              <w:pageBreakBefore w:val="0"/>
              <w:widowControl/>
              <w:kinsoku/>
              <w:wordWrap w:val="0"/>
              <w:overflowPunct/>
              <w:topLinePunct w:val="0"/>
              <w:autoSpaceDE/>
              <w:autoSpaceDN/>
              <w:bidi w:val="0"/>
              <w:adjustRightInd/>
              <w:snapToGrid/>
              <w:spacing w:line="38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资金来源</w:t>
            </w:r>
          </w:p>
        </w:tc>
        <w:tc>
          <w:tcPr>
            <w:tcW w:w="7677" w:type="dxa"/>
            <w:noWrap w:val="0"/>
            <w:vAlign w:val="center"/>
          </w:tcPr>
          <w:p w14:paraId="13E4CD21">
            <w:pPr>
              <w:keepNext w:val="0"/>
              <w:keepLines w:val="0"/>
              <w:pageBreakBefore w:val="0"/>
              <w:widowControl/>
              <w:kinsoku/>
              <w:overflowPunct/>
              <w:topLinePunct w:val="0"/>
              <w:autoSpaceDE/>
              <w:autoSpaceDN/>
              <w:bidi w:val="0"/>
              <w:adjustRightInd/>
              <w:snapToGrid/>
              <w:spacing w:line="380" w:lineRule="exact"/>
              <w:jc w:val="left"/>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自筹资金</w:t>
            </w:r>
          </w:p>
        </w:tc>
      </w:tr>
      <w:tr w14:paraId="1CA8BD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3" w:type="dxa"/>
            <w:noWrap w:val="0"/>
            <w:vAlign w:val="center"/>
          </w:tcPr>
          <w:p w14:paraId="0F489FD2">
            <w:pPr>
              <w:keepNext w:val="0"/>
              <w:keepLines w:val="0"/>
              <w:pageBreakBefore w:val="0"/>
              <w:widowControl/>
              <w:kinsoku/>
              <w:wordWrap w:val="0"/>
              <w:overflowPunct/>
              <w:topLinePunct w:val="0"/>
              <w:autoSpaceDE/>
              <w:autoSpaceDN/>
              <w:bidi w:val="0"/>
              <w:adjustRightInd/>
              <w:snapToGrid/>
              <w:spacing w:line="38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项目出资比例</w:t>
            </w:r>
          </w:p>
        </w:tc>
        <w:tc>
          <w:tcPr>
            <w:tcW w:w="7677" w:type="dxa"/>
            <w:noWrap w:val="0"/>
            <w:vAlign w:val="center"/>
          </w:tcPr>
          <w:p w14:paraId="612A619C">
            <w:pPr>
              <w:keepNext w:val="0"/>
              <w:keepLines w:val="0"/>
              <w:pageBreakBefore w:val="0"/>
              <w:widowControl/>
              <w:kinsoku/>
              <w:overflowPunct/>
              <w:topLinePunct w:val="0"/>
              <w:autoSpaceDE/>
              <w:autoSpaceDN/>
              <w:bidi w:val="0"/>
              <w:adjustRightInd/>
              <w:snapToGrid/>
              <w:spacing w:line="38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100%</w:t>
            </w:r>
          </w:p>
        </w:tc>
      </w:tr>
      <w:tr w14:paraId="2F993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3" w:type="dxa"/>
            <w:noWrap w:val="0"/>
            <w:vAlign w:val="center"/>
          </w:tcPr>
          <w:p w14:paraId="3DEFCFF6">
            <w:pPr>
              <w:keepNext w:val="0"/>
              <w:keepLines w:val="0"/>
              <w:pageBreakBefore w:val="0"/>
              <w:widowControl/>
              <w:kinsoku/>
              <w:wordWrap w:val="0"/>
              <w:overflowPunct/>
              <w:topLinePunct w:val="0"/>
              <w:autoSpaceDE/>
              <w:autoSpaceDN/>
              <w:bidi w:val="0"/>
              <w:adjustRightInd/>
              <w:snapToGrid/>
              <w:spacing w:line="38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招标方式</w:t>
            </w:r>
          </w:p>
        </w:tc>
        <w:tc>
          <w:tcPr>
            <w:tcW w:w="7677" w:type="dxa"/>
            <w:noWrap w:val="0"/>
            <w:vAlign w:val="center"/>
          </w:tcPr>
          <w:p w14:paraId="53A0BB3B">
            <w:pPr>
              <w:keepNext w:val="0"/>
              <w:keepLines w:val="0"/>
              <w:pageBreakBefore w:val="0"/>
              <w:widowControl/>
              <w:kinsoku/>
              <w:overflowPunct/>
              <w:topLinePunct w:val="0"/>
              <w:autoSpaceDE/>
              <w:autoSpaceDN/>
              <w:bidi w:val="0"/>
              <w:adjustRightInd/>
              <w:snapToGrid/>
              <w:spacing w:line="380" w:lineRule="exact"/>
              <w:jc w:val="left"/>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kern w:val="0"/>
                <w:sz w:val="21"/>
                <w:szCs w:val="21"/>
                <w:highlight w:val="none"/>
                <w:lang w:val="en-US" w:eastAsia="zh-CN"/>
              </w:rPr>
              <w:t>公开招标</w:t>
            </w:r>
          </w:p>
        </w:tc>
      </w:tr>
      <w:tr w14:paraId="62884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3" w:type="dxa"/>
            <w:noWrap w:val="0"/>
            <w:vAlign w:val="center"/>
          </w:tcPr>
          <w:p w14:paraId="70C4438E">
            <w:pPr>
              <w:keepNext w:val="0"/>
              <w:keepLines w:val="0"/>
              <w:pageBreakBefore w:val="0"/>
              <w:widowControl/>
              <w:kinsoku/>
              <w:wordWrap w:val="0"/>
              <w:overflowPunct/>
              <w:topLinePunct w:val="0"/>
              <w:autoSpaceDE/>
              <w:autoSpaceDN/>
              <w:bidi w:val="0"/>
              <w:adjustRightInd/>
              <w:snapToGrid/>
              <w:spacing w:line="38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评标办法</w:t>
            </w:r>
          </w:p>
        </w:tc>
        <w:tc>
          <w:tcPr>
            <w:tcW w:w="7677" w:type="dxa"/>
            <w:noWrap w:val="0"/>
            <w:vAlign w:val="center"/>
          </w:tcPr>
          <w:p w14:paraId="64728417">
            <w:pPr>
              <w:keepNext w:val="0"/>
              <w:keepLines w:val="0"/>
              <w:pageBreakBefore w:val="0"/>
              <w:widowControl/>
              <w:kinsoku/>
              <w:overflowPunct/>
              <w:topLinePunct w:val="0"/>
              <w:autoSpaceDE/>
              <w:autoSpaceDN/>
              <w:bidi w:val="0"/>
              <w:adjustRightInd/>
              <w:snapToGrid/>
              <w:spacing w:line="380" w:lineRule="exact"/>
              <w:jc w:val="left"/>
              <w:textAlignment w:val="auto"/>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综合评估法</w:t>
            </w:r>
          </w:p>
        </w:tc>
      </w:tr>
      <w:tr w14:paraId="3CB3E7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610" w:type="dxa"/>
            <w:gridSpan w:val="2"/>
            <w:noWrap w:val="0"/>
            <w:vAlign w:val="center"/>
          </w:tcPr>
          <w:p w14:paraId="1EBFED8D">
            <w:pPr>
              <w:keepNext w:val="0"/>
              <w:keepLines w:val="0"/>
              <w:pageBreakBefore w:val="0"/>
              <w:widowControl/>
              <w:kinsoku/>
              <w:wordWrap w:val="0"/>
              <w:overflowPunct/>
              <w:topLinePunct w:val="0"/>
              <w:autoSpaceDE/>
              <w:autoSpaceDN/>
              <w:bidi w:val="0"/>
              <w:adjustRightInd/>
              <w:snapToGrid/>
              <w:spacing w:line="38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项目概况与招标范围</w:t>
            </w:r>
          </w:p>
        </w:tc>
      </w:tr>
      <w:tr w14:paraId="1B5420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3" w:type="dxa"/>
            <w:noWrap w:val="0"/>
            <w:vAlign w:val="center"/>
          </w:tcPr>
          <w:p w14:paraId="4A1F1B52">
            <w:pPr>
              <w:keepNext w:val="0"/>
              <w:keepLines w:val="0"/>
              <w:pageBreakBefore w:val="0"/>
              <w:widowControl/>
              <w:kinsoku/>
              <w:wordWrap w:val="0"/>
              <w:overflowPunct/>
              <w:topLinePunct w:val="0"/>
              <w:autoSpaceDE/>
              <w:autoSpaceDN/>
              <w:bidi w:val="0"/>
              <w:adjustRightInd/>
              <w:snapToGrid/>
              <w:spacing w:line="38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招标项目名称</w:t>
            </w:r>
          </w:p>
        </w:tc>
        <w:tc>
          <w:tcPr>
            <w:tcW w:w="7677" w:type="dxa"/>
            <w:noWrap w:val="0"/>
            <w:vAlign w:val="center"/>
          </w:tcPr>
          <w:p w14:paraId="3BB4B767">
            <w:pPr>
              <w:keepNext w:val="0"/>
              <w:keepLines w:val="0"/>
              <w:pageBreakBefore w:val="0"/>
              <w:widowControl/>
              <w:kinsoku/>
              <w:wordWrap w:val="0"/>
              <w:overflowPunct/>
              <w:topLinePunct w:val="0"/>
              <w:autoSpaceDE/>
              <w:autoSpaceDN/>
              <w:bidi w:val="0"/>
              <w:adjustRightInd/>
              <w:snapToGrid/>
              <w:spacing w:line="380" w:lineRule="exact"/>
              <w:jc w:val="left"/>
              <w:textAlignment w:val="auto"/>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eastAsia="zh-CN"/>
              </w:rPr>
              <w:t xml:space="preserve">琅琊区健康食品产业园（二期）屋顶分布式光伏发电项目 </w:t>
            </w:r>
          </w:p>
        </w:tc>
      </w:tr>
      <w:tr w14:paraId="488A54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933" w:type="dxa"/>
            <w:noWrap w:val="0"/>
            <w:vAlign w:val="center"/>
          </w:tcPr>
          <w:p w14:paraId="40B1C46C">
            <w:pPr>
              <w:keepNext w:val="0"/>
              <w:keepLines w:val="0"/>
              <w:pageBreakBefore w:val="0"/>
              <w:widowControl/>
              <w:kinsoku/>
              <w:wordWrap w:val="0"/>
              <w:overflowPunct/>
              <w:topLinePunct w:val="0"/>
              <w:autoSpaceDE/>
              <w:autoSpaceDN/>
              <w:bidi w:val="0"/>
              <w:adjustRightInd/>
              <w:snapToGrid/>
              <w:spacing w:line="38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标段划分</w:t>
            </w:r>
          </w:p>
        </w:tc>
        <w:tc>
          <w:tcPr>
            <w:tcW w:w="7677" w:type="dxa"/>
            <w:noWrap w:val="0"/>
            <w:vAlign w:val="center"/>
          </w:tcPr>
          <w:p w14:paraId="062D55A9">
            <w:pPr>
              <w:keepNext w:val="0"/>
              <w:keepLines w:val="0"/>
              <w:pageBreakBefore w:val="0"/>
              <w:widowControl/>
              <w:kinsoku/>
              <w:wordWrap w:val="0"/>
              <w:overflowPunct/>
              <w:topLinePunct w:val="0"/>
              <w:autoSpaceDE/>
              <w:autoSpaceDN/>
              <w:bidi w:val="0"/>
              <w:adjustRightInd/>
              <w:snapToGrid/>
              <w:spacing w:line="380" w:lineRule="exact"/>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szCs w:val="21"/>
                <w:highlight w:val="none"/>
                <w:lang w:val="en-US" w:eastAsia="zh-CN"/>
              </w:rPr>
              <w:t>一个标段</w:t>
            </w:r>
          </w:p>
        </w:tc>
      </w:tr>
      <w:tr w14:paraId="40733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3" w:type="dxa"/>
            <w:noWrap w:val="0"/>
            <w:vAlign w:val="center"/>
          </w:tcPr>
          <w:p w14:paraId="74A4EA69">
            <w:pPr>
              <w:keepNext w:val="0"/>
              <w:keepLines w:val="0"/>
              <w:pageBreakBefore w:val="0"/>
              <w:widowControl/>
              <w:kinsoku/>
              <w:wordWrap w:val="0"/>
              <w:overflowPunct/>
              <w:topLinePunct w:val="0"/>
              <w:autoSpaceDE/>
              <w:autoSpaceDN/>
              <w:bidi w:val="0"/>
              <w:adjustRightInd/>
              <w:snapToGrid/>
              <w:spacing w:line="38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建设地点</w:t>
            </w:r>
          </w:p>
        </w:tc>
        <w:tc>
          <w:tcPr>
            <w:tcW w:w="7677" w:type="dxa"/>
            <w:noWrap w:val="0"/>
            <w:vAlign w:val="center"/>
          </w:tcPr>
          <w:p w14:paraId="2C527A97">
            <w:pPr>
              <w:pStyle w:val="14"/>
              <w:keepNext w:val="0"/>
              <w:keepLines w:val="0"/>
              <w:pageBreakBefore w:val="0"/>
              <w:kinsoku/>
              <w:wordWrap w:val="0"/>
              <w:overflowPunct/>
              <w:topLinePunct w:val="0"/>
              <w:autoSpaceDE/>
              <w:autoSpaceDN/>
              <w:bidi w:val="0"/>
              <w:adjustRightInd/>
              <w:snapToGrid/>
              <w:spacing w:after="0" w:afterLines="0" w:line="380" w:lineRule="exact"/>
              <w:ind w:left="0" w:leftChars="0" w:firstLine="0" w:firstLineChars="0"/>
              <w:textAlignment w:val="auto"/>
              <w:rPr>
                <w:rFonts w:hint="eastAsia" w:ascii="宋体" w:hAnsi="宋体" w:eastAsia="宋体" w:cs="宋体"/>
                <w:color w:val="auto"/>
                <w:szCs w:val="21"/>
                <w:highlight w:val="none"/>
              </w:rPr>
            </w:pPr>
            <w:r>
              <w:rPr>
                <w:rFonts w:hint="eastAsia" w:hAnsi="宋体" w:cs="宋体"/>
                <w:color w:val="auto"/>
                <w:szCs w:val="21"/>
                <w:highlight w:val="none"/>
                <w:lang w:val="en-US" w:eastAsia="zh-CN"/>
              </w:rPr>
              <w:t>滁州市琅琊区</w:t>
            </w:r>
            <w:r>
              <w:rPr>
                <w:rFonts w:hint="eastAsia" w:hAnsi="宋体" w:cs="宋体"/>
                <w:color w:val="auto"/>
                <w:sz w:val="21"/>
                <w:szCs w:val="21"/>
                <w:highlight w:val="none"/>
                <w:lang w:eastAsia="zh-CN"/>
              </w:rPr>
              <w:t>，</w:t>
            </w:r>
            <w:r>
              <w:rPr>
                <w:rFonts w:hint="eastAsia" w:ascii="宋体" w:hAnsi="宋体" w:eastAsia="宋体" w:cs="宋体"/>
                <w:color w:val="auto"/>
                <w:szCs w:val="21"/>
                <w:highlight w:val="none"/>
                <w:lang w:val="en-US" w:eastAsia="zh-CN"/>
              </w:rPr>
              <w:t>招标人指定地点</w:t>
            </w:r>
          </w:p>
        </w:tc>
      </w:tr>
      <w:tr w14:paraId="3A6ED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3" w:type="dxa"/>
            <w:noWrap w:val="0"/>
            <w:vAlign w:val="center"/>
          </w:tcPr>
          <w:p w14:paraId="3BBF1A7D">
            <w:pPr>
              <w:keepNext w:val="0"/>
              <w:keepLines w:val="0"/>
              <w:pageBreakBefore w:val="0"/>
              <w:widowControl/>
              <w:kinsoku/>
              <w:wordWrap w:val="0"/>
              <w:overflowPunct/>
              <w:topLinePunct w:val="0"/>
              <w:autoSpaceDE/>
              <w:autoSpaceDN/>
              <w:bidi w:val="0"/>
              <w:adjustRightInd/>
              <w:snapToGrid/>
              <w:spacing w:line="380" w:lineRule="exact"/>
              <w:jc w:val="center"/>
              <w:textAlignment w:val="auto"/>
              <w:rPr>
                <w:rFonts w:hint="eastAsia" w:ascii="宋体" w:hAnsi="宋体" w:eastAsia="宋体" w:cs="宋体"/>
                <w:color w:val="auto"/>
                <w:kern w:val="0"/>
                <w:sz w:val="21"/>
                <w:szCs w:val="21"/>
                <w:highlight w:val="none"/>
                <w:lang w:val="en-US" w:eastAsia="zh-CN"/>
              </w:rPr>
            </w:pPr>
            <w:r>
              <w:rPr>
                <w:rFonts w:hint="eastAsia" w:ascii="宋体" w:hAnsi="宋体" w:cs="宋体"/>
                <w:color w:val="auto"/>
                <w:kern w:val="0"/>
                <w:sz w:val="21"/>
                <w:szCs w:val="21"/>
                <w:highlight w:val="none"/>
                <w:lang w:val="en-US" w:eastAsia="zh-CN"/>
              </w:rPr>
              <w:t>建设规模</w:t>
            </w:r>
          </w:p>
        </w:tc>
        <w:tc>
          <w:tcPr>
            <w:tcW w:w="7677" w:type="dxa"/>
            <w:noWrap w:val="0"/>
            <w:vAlign w:val="center"/>
          </w:tcPr>
          <w:p w14:paraId="56AC02AD">
            <w:pPr>
              <w:pStyle w:val="14"/>
              <w:keepNext w:val="0"/>
              <w:keepLines w:val="0"/>
              <w:pageBreakBefore w:val="0"/>
              <w:kinsoku/>
              <w:wordWrap w:val="0"/>
              <w:overflowPunct/>
              <w:topLinePunct w:val="0"/>
              <w:autoSpaceDE/>
              <w:autoSpaceDN/>
              <w:bidi w:val="0"/>
              <w:adjustRightInd/>
              <w:snapToGrid/>
              <w:spacing w:after="0" w:afterLines="0" w:line="380" w:lineRule="exact"/>
              <w:ind w:left="0" w:leftChars="0" w:firstLine="0" w:firstLineChars="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Cs w:val="21"/>
                <w:highlight w:val="none"/>
                <w:lang w:val="en-US" w:eastAsia="zh-CN"/>
              </w:rPr>
              <w:t>本工程为</w:t>
            </w:r>
            <w:r>
              <w:rPr>
                <w:rFonts w:hint="eastAsia" w:ascii="宋体" w:hAnsi="宋体" w:cs="宋体"/>
                <w:bCs/>
                <w:color w:val="auto"/>
                <w:kern w:val="1"/>
                <w:sz w:val="21"/>
                <w:szCs w:val="21"/>
                <w:highlight w:val="none"/>
                <w:lang w:eastAsia="zh-CN"/>
              </w:rPr>
              <w:t>琅琊区健康食品产业园（二期）</w:t>
            </w:r>
            <w:r>
              <w:rPr>
                <w:rFonts w:hint="eastAsia" w:hAnsi="宋体" w:cs="宋体"/>
                <w:color w:val="auto"/>
                <w:szCs w:val="21"/>
                <w:highlight w:val="none"/>
                <w:lang w:val="en-US" w:eastAsia="zh-CN"/>
              </w:rPr>
              <w:t>1.74</w:t>
            </w:r>
            <w:r>
              <w:rPr>
                <w:rFonts w:hint="eastAsia"/>
                <w:color w:val="auto"/>
                <w:szCs w:val="21"/>
                <w:highlight w:val="none"/>
                <w:lang w:eastAsia="zh-CN"/>
              </w:rPr>
              <w:t>MWp</w:t>
            </w:r>
            <w:r>
              <w:rPr>
                <w:rFonts w:hint="eastAsia" w:ascii="宋体" w:hAnsi="宋体" w:cs="宋体"/>
                <w:bCs/>
                <w:color w:val="auto"/>
                <w:kern w:val="1"/>
                <w:sz w:val="21"/>
                <w:szCs w:val="21"/>
                <w:highlight w:val="none"/>
                <w:lang w:eastAsia="zh-CN"/>
              </w:rPr>
              <w:t>屋顶分布式光伏发电项目</w:t>
            </w:r>
            <w:r>
              <w:rPr>
                <w:rFonts w:hint="eastAsia" w:ascii="宋体" w:hAnsi="宋体" w:eastAsia="宋体" w:cs="宋体"/>
                <w:color w:val="auto"/>
                <w:szCs w:val="21"/>
                <w:highlight w:val="none"/>
                <w:lang w:val="en-US" w:eastAsia="zh-CN"/>
              </w:rPr>
              <w:t>，项目位于安徽省</w:t>
            </w:r>
            <w:r>
              <w:rPr>
                <w:rFonts w:hint="eastAsia" w:hAnsi="宋体" w:cs="宋体"/>
                <w:color w:val="auto"/>
                <w:szCs w:val="21"/>
                <w:highlight w:val="none"/>
                <w:lang w:val="en-US" w:eastAsia="zh-CN"/>
              </w:rPr>
              <w:t>滁州市琅琊区</w:t>
            </w:r>
            <w:r>
              <w:rPr>
                <w:rFonts w:hint="eastAsia"/>
                <w:color w:val="auto"/>
                <w:szCs w:val="21"/>
                <w:highlight w:val="none"/>
              </w:rPr>
              <w:t>金山路和六安路交叉口西南侧</w:t>
            </w:r>
            <w:r>
              <w:rPr>
                <w:rFonts w:hint="eastAsia"/>
                <w:color w:val="auto"/>
                <w:szCs w:val="21"/>
                <w:highlight w:val="none"/>
                <w:lang w:eastAsia="zh-CN"/>
              </w:rPr>
              <w:t>。</w:t>
            </w:r>
          </w:p>
        </w:tc>
      </w:tr>
      <w:tr w14:paraId="5DC77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3" w:type="dxa"/>
            <w:noWrap w:val="0"/>
            <w:vAlign w:val="center"/>
          </w:tcPr>
          <w:p w14:paraId="03230461">
            <w:pPr>
              <w:keepNext w:val="0"/>
              <w:keepLines w:val="0"/>
              <w:pageBreakBefore w:val="0"/>
              <w:widowControl/>
              <w:kinsoku/>
              <w:wordWrap w:val="0"/>
              <w:overflowPunct/>
              <w:topLinePunct w:val="0"/>
              <w:autoSpaceDE/>
              <w:autoSpaceDN/>
              <w:bidi w:val="0"/>
              <w:adjustRightInd/>
              <w:snapToGrid/>
              <w:spacing w:line="38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合同估算价</w:t>
            </w:r>
          </w:p>
        </w:tc>
        <w:tc>
          <w:tcPr>
            <w:tcW w:w="7677" w:type="dxa"/>
            <w:noWrap w:val="0"/>
            <w:vAlign w:val="center"/>
          </w:tcPr>
          <w:p w14:paraId="2618AED0">
            <w:pPr>
              <w:keepNext w:val="0"/>
              <w:keepLines w:val="0"/>
              <w:pageBreakBefore w:val="0"/>
              <w:widowControl/>
              <w:kinsoku/>
              <w:wordWrap w:val="0"/>
              <w:overflowPunct/>
              <w:topLinePunct w:val="0"/>
              <w:autoSpaceDE/>
              <w:autoSpaceDN/>
              <w:bidi w:val="0"/>
              <w:adjustRightInd/>
              <w:snapToGrid/>
              <w:spacing w:line="380" w:lineRule="exact"/>
              <w:jc w:val="left"/>
              <w:textAlignment w:val="auto"/>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约190.00万元</w:t>
            </w:r>
          </w:p>
        </w:tc>
      </w:tr>
      <w:tr w14:paraId="6BEC3D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3" w:type="dxa"/>
            <w:noWrap w:val="0"/>
            <w:vAlign w:val="center"/>
          </w:tcPr>
          <w:p w14:paraId="06F6947A">
            <w:pPr>
              <w:keepNext w:val="0"/>
              <w:keepLines w:val="0"/>
              <w:pageBreakBefore w:val="0"/>
              <w:widowControl/>
              <w:kinsoku/>
              <w:wordWrap w:val="0"/>
              <w:overflowPunct/>
              <w:topLinePunct w:val="0"/>
              <w:autoSpaceDE/>
              <w:autoSpaceDN/>
              <w:bidi w:val="0"/>
              <w:adjustRightInd/>
              <w:snapToGrid/>
              <w:spacing w:line="38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计划工期</w:t>
            </w:r>
          </w:p>
        </w:tc>
        <w:tc>
          <w:tcPr>
            <w:tcW w:w="7677" w:type="dxa"/>
            <w:noWrap w:val="0"/>
            <w:vAlign w:val="center"/>
          </w:tcPr>
          <w:p w14:paraId="241300BA">
            <w:pPr>
              <w:keepNext w:val="0"/>
              <w:keepLines w:val="0"/>
              <w:pageBreakBefore w:val="0"/>
              <w:widowControl/>
              <w:kinsoku/>
              <w:wordWrap/>
              <w:overflowPunct/>
              <w:topLinePunct w:val="0"/>
              <w:autoSpaceDE/>
              <w:autoSpaceDN/>
              <w:bidi w:val="0"/>
              <w:adjustRightInd/>
              <w:snapToGrid/>
              <w:spacing w:line="380" w:lineRule="exact"/>
              <w:jc w:val="left"/>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不高于60个日历天</w:t>
            </w:r>
          </w:p>
        </w:tc>
      </w:tr>
      <w:tr w14:paraId="42C904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3" w:type="dxa"/>
            <w:noWrap w:val="0"/>
            <w:vAlign w:val="center"/>
          </w:tcPr>
          <w:p w14:paraId="43CAB737">
            <w:pPr>
              <w:keepNext w:val="0"/>
              <w:keepLines w:val="0"/>
              <w:pageBreakBefore w:val="0"/>
              <w:widowControl/>
              <w:kinsoku/>
              <w:wordWrap w:val="0"/>
              <w:overflowPunct/>
              <w:topLinePunct w:val="0"/>
              <w:autoSpaceDE/>
              <w:autoSpaceDN/>
              <w:bidi w:val="0"/>
              <w:adjustRightInd/>
              <w:snapToGrid/>
              <w:spacing w:line="38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招标范围</w:t>
            </w:r>
          </w:p>
        </w:tc>
        <w:tc>
          <w:tcPr>
            <w:tcW w:w="7677" w:type="dxa"/>
            <w:noWrap w:val="0"/>
            <w:vAlign w:val="center"/>
          </w:tcPr>
          <w:p w14:paraId="2450FD06">
            <w:pPr>
              <w:pStyle w:val="14"/>
              <w:keepNext w:val="0"/>
              <w:keepLines w:val="0"/>
              <w:pageBreakBefore w:val="0"/>
              <w:kinsoku/>
              <w:wordWrap/>
              <w:overflowPunct/>
              <w:topLinePunct w:val="0"/>
              <w:autoSpaceDE/>
              <w:autoSpaceDN/>
              <w:bidi w:val="0"/>
              <w:adjustRightInd/>
              <w:snapToGrid/>
              <w:spacing w:after="0" w:afterLines="0" w:line="380" w:lineRule="exact"/>
              <w:ind w:left="0" w:leftChars="0" w:firstLine="0" w:firstLineChars="0"/>
              <w:textAlignment w:val="auto"/>
              <w:rPr>
                <w:rFonts w:hint="eastAsia" w:ascii="宋体" w:hAnsi="宋体" w:eastAsia="宋体" w:cs="宋体"/>
                <w:color w:val="auto"/>
                <w:sz w:val="21"/>
                <w:szCs w:val="21"/>
                <w:highlight w:val="none"/>
              </w:rPr>
            </w:pPr>
            <w:r>
              <w:rPr>
                <w:rFonts w:hint="eastAsia" w:ascii="宋体" w:hAnsi="宋体" w:cs="宋体"/>
                <w:color w:val="auto"/>
                <w:szCs w:val="21"/>
                <w:highlight w:val="none"/>
                <w:lang w:val="en-US" w:eastAsia="zh-CN"/>
              </w:rPr>
              <w:t>本工程施工图纸和工程量清单中的所有内容</w:t>
            </w:r>
          </w:p>
        </w:tc>
      </w:tr>
      <w:tr w14:paraId="39737C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933" w:type="dxa"/>
            <w:noWrap w:val="0"/>
            <w:vAlign w:val="center"/>
          </w:tcPr>
          <w:p w14:paraId="6B3C45EE">
            <w:pPr>
              <w:keepNext w:val="0"/>
              <w:keepLines w:val="0"/>
              <w:pageBreakBefore w:val="0"/>
              <w:widowControl/>
              <w:kinsoku/>
              <w:wordWrap w:val="0"/>
              <w:overflowPunct/>
              <w:topLinePunct w:val="0"/>
              <w:autoSpaceDE/>
              <w:autoSpaceDN/>
              <w:bidi w:val="0"/>
              <w:adjustRightInd/>
              <w:snapToGrid/>
              <w:spacing w:line="380" w:lineRule="exact"/>
              <w:jc w:val="center"/>
              <w:textAlignment w:val="auto"/>
              <w:rPr>
                <w:rFonts w:hint="eastAsia" w:ascii="宋体" w:hAnsi="宋体" w:eastAsia="宋体" w:cs="宋体"/>
                <w:color w:val="auto"/>
                <w:kern w:val="0"/>
                <w:sz w:val="21"/>
                <w:szCs w:val="21"/>
                <w:highlight w:val="none"/>
                <w:lang w:eastAsia="zh-CN"/>
              </w:rPr>
            </w:pPr>
            <w:r>
              <w:rPr>
                <w:rFonts w:hint="eastAsia" w:ascii="宋体" w:hAnsi="宋体" w:cs="宋体"/>
                <w:color w:val="auto"/>
                <w:kern w:val="0"/>
                <w:sz w:val="21"/>
                <w:szCs w:val="21"/>
                <w:highlight w:val="none"/>
                <w:lang w:val="en-US" w:eastAsia="zh-CN"/>
              </w:rPr>
              <w:t>项目类别</w:t>
            </w:r>
          </w:p>
        </w:tc>
        <w:tc>
          <w:tcPr>
            <w:tcW w:w="7677" w:type="dxa"/>
            <w:noWrap w:val="0"/>
            <w:vAlign w:val="center"/>
          </w:tcPr>
          <w:p w14:paraId="6D56053B">
            <w:pPr>
              <w:keepNext w:val="0"/>
              <w:keepLines w:val="0"/>
              <w:pageBreakBefore w:val="0"/>
              <w:widowControl/>
              <w:kinsoku/>
              <w:wordWrap/>
              <w:overflowPunct/>
              <w:topLinePunct w:val="0"/>
              <w:autoSpaceDE/>
              <w:autoSpaceDN/>
              <w:bidi w:val="0"/>
              <w:adjustRightInd/>
              <w:snapToGrid/>
              <w:spacing w:line="380" w:lineRule="exact"/>
              <w:jc w:val="left"/>
              <w:textAlignment w:val="auto"/>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工程施工</w:t>
            </w:r>
          </w:p>
        </w:tc>
      </w:tr>
      <w:tr w14:paraId="48969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3" w:type="dxa"/>
            <w:noWrap w:val="0"/>
            <w:vAlign w:val="center"/>
          </w:tcPr>
          <w:p w14:paraId="7211EA0D">
            <w:pPr>
              <w:keepNext w:val="0"/>
              <w:keepLines w:val="0"/>
              <w:pageBreakBefore w:val="0"/>
              <w:widowControl/>
              <w:kinsoku/>
              <w:wordWrap w:val="0"/>
              <w:overflowPunct/>
              <w:topLinePunct w:val="0"/>
              <w:autoSpaceDE/>
              <w:autoSpaceDN/>
              <w:bidi w:val="0"/>
              <w:adjustRightInd/>
              <w:snapToGrid/>
              <w:spacing w:line="38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其他</w:t>
            </w:r>
          </w:p>
        </w:tc>
        <w:tc>
          <w:tcPr>
            <w:tcW w:w="7677" w:type="dxa"/>
            <w:noWrap w:val="0"/>
            <w:vAlign w:val="center"/>
          </w:tcPr>
          <w:p w14:paraId="27D131B1">
            <w:pPr>
              <w:keepNext w:val="0"/>
              <w:keepLines w:val="0"/>
              <w:pageBreakBefore w:val="0"/>
              <w:widowControl/>
              <w:kinsoku/>
              <w:wordWrap w:val="0"/>
              <w:overflowPunct/>
              <w:topLinePunct w:val="0"/>
              <w:autoSpaceDE/>
              <w:autoSpaceDN/>
              <w:bidi w:val="0"/>
              <w:adjustRightInd/>
              <w:snapToGrid/>
              <w:spacing w:line="380" w:lineRule="exact"/>
              <w:jc w:val="left"/>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w:t>
            </w:r>
          </w:p>
        </w:tc>
      </w:tr>
      <w:tr w14:paraId="440085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610" w:type="dxa"/>
            <w:gridSpan w:val="2"/>
            <w:noWrap w:val="0"/>
            <w:vAlign w:val="center"/>
          </w:tcPr>
          <w:p w14:paraId="24CBF6E1">
            <w:pPr>
              <w:keepNext w:val="0"/>
              <w:keepLines w:val="0"/>
              <w:pageBreakBefore w:val="0"/>
              <w:widowControl/>
              <w:kinsoku/>
              <w:wordWrap w:val="0"/>
              <w:overflowPunct/>
              <w:topLinePunct w:val="0"/>
              <w:autoSpaceDE/>
              <w:autoSpaceDN/>
              <w:bidi w:val="0"/>
              <w:adjustRightInd/>
              <w:snapToGrid/>
              <w:spacing w:line="380" w:lineRule="exact"/>
              <w:jc w:val="center"/>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投标人资格要求</w:t>
            </w:r>
          </w:p>
        </w:tc>
      </w:tr>
      <w:tr w14:paraId="54BAD4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3" w:type="dxa"/>
            <w:noWrap w:val="0"/>
            <w:vAlign w:val="center"/>
          </w:tcPr>
          <w:p w14:paraId="3D8EAA9E">
            <w:pPr>
              <w:keepNext w:val="0"/>
              <w:keepLines w:val="0"/>
              <w:pageBreakBefore w:val="0"/>
              <w:widowControl/>
              <w:kinsoku/>
              <w:wordWrap/>
              <w:overflowPunct/>
              <w:topLinePunct w:val="0"/>
              <w:autoSpaceDE/>
              <w:autoSpaceDN/>
              <w:bidi w:val="0"/>
              <w:adjustRightInd/>
              <w:snapToGrid/>
              <w:spacing w:line="38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投标人资质要求</w:t>
            </w:r>
          </w:p>
        </w:tc>
        <w:tc>
          <w:tcPr>
            <w:tcW w:w="7677" w:type="dxa"/>
            <w:noWrap w:val="0"/>
            <w:vAlign w:val="center"/>
          </w:tcPr>
          <w:p w14:paraId="479CD322">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80" w:lineRule="exact"/>
              <w:ind w:left="0" w:right="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投标人同时满足下列要求：</w:t>
            </w:r>
          </w:p>
          <w:p w14:paraId="563115CB">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80" w:lineRule="exact"/>
              <w:ind w:left="0" w:right="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①具备电力工程施工总承包叁级（或以上）资质，并具有有效的安全生产许可证；</w:t>
            </w:r>
          </w:p>
          <w:p w14:paraId="400B5342">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80" w:lineRule="exact"/>
              <w:ind w:left="0" w:right="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②具备有效的《承装（修、试）电力设施许可证》，且承装类、承修类、承试类许可等级均须达到三级及以上（按照现行有效的《承装（修、试）电力设施许可证》等级标准认定）</w:t>
            </w:r>
            <w:r>
              <w:rPr>
                <w:rFonts w:hint="eastAsia" w:ascii="宋体" w:hAnsi="宋体" w:cs="宋体"/>
                <w:color w:val="auto"/>
                <w:sz w:val="21"/>
                <w:szCs w:val="21"/>
                <w:highlight w:val="none"/>
                <w:lang w:val="en-US" w:eastAsia="zh-CN"/>
              </w:rPr>
              <w:t>。</w:t>
            </w:r>
          </w:p>
          <w:p w14:paraId="15FBBACA">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80" w:lineRule="exact"/>
              <w:ind w:left="0" w:right="0"/>
              <w:jc w:val="left"/>
              <w:textAlignment w:val="auto"/>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注：</w:t>
            </w:r>
            <w:r>
              <w:rPr>
                <w:rFonts w:hint="eastAsia" w:ascii="宋体" w:hAnsi="宋体" w:eastAsia="宋体" w:cs="宋体"/>
                <w:color w:val="auto"/>
                <w:sz w:val="21"/>
                <w:szCs w:val="21"/>
                <w:highlight w:val="none"/>
                <w:lang w:val="en-US" w:eastAsia="zh-CN"/>
              </w:rPr>
              <w:t>对于持有尚未换发新证、且仍在有效期内的旧版《承装（修、试）电力设施许可证》的投标人，承装类、承修类、承试类许可等级均须达到五级及以上。</w:t>
            </w:r>
          </w:p>
        </w:tc>
      </w:tr>
      <w:tr w14:paraId="07C28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3" w:type="dxa"/>
            <w:noWrap w:val="0"/>
            <w:vAlign w:val="center"/>
          </w:tcPr>
          <w:p w14:paraId="15414018">
            <w:pPr>
              <w:keepNext w:val="0"/>
              <w:keepLines w:val="0"/>
              <w:pageBreakBefore w:val="0"/>
              <w:widowControl/>
              <w:kinsoku/>
              <w:wordWrap/>
              <w:overflowPunct/>
              <w:topLinePunct w:val="0"/>
              <w:autoSpaceDE/>
              <w:autoSpaceDN/>
              <w:bidi w:val="0"/>
              <w:adjustRightInd/>
              <w:snapToGrid/>
              <w:spacing w:line="38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bCs/>
                <w:snapToGrid w:val="0"/>
                <w:color w:val="auto"/>
                <w:kern w:val="0"/>
                <w:sz w:val="21"/>
                <w:szCs w:val="21"/>
                <w:highlight w:val="none"/>
              </w:rPr>
              <w:t>项目</w:t>
            </w:r>
            <w:r>
              <w:rPr>
                <w:rFonts w:hint="eastAsia" w:ascii="宋体" w:hAnsi="宋体" w:cs="宋体"/>
                <w:bCs/>
                <w:snapToGrid w:val="0"/>
                <w:color w:val="auto"/>
                <w:kern w:val="0"/>
                <w:sz w:val="21"/>
                <w:szCs w:val="21"/>
                <w:highlight w:val="none"/>
                <w:lang w:val="en-US" w:eastAsia="zh-CN"/>
              </w:rPr>
              <w:t>经理</w:t>
            </w:r>
            <w:r>
              <w:rPr>
                <w:rFonts w:hint="eastAsia" w:ascii="宋体" w:hAnsi="宋体" w:eastAsia="宋体" w:cs="宋体"/>
                <w:bCs/>
                <w:snapToGrid w:val="0"/>
                <w:color w:val="auto"/>
                <w:kern w:val="0"/>
                <w:sz w:val="21"/>
                <w:szCs w:val="21"/>
                <w:highlight w:val="none"/>
              </w:rPr>
              <w:t>资格要求</w:t>
            </w:r>
          </w:p>
        </w:tc>
        <w:tc>
          <w:tcPr>
            <w:tcW w:w="7677" w:type="dxa"/>
            <w:noWrap w:val="0"/>
            <w:vAlign w:val="center"/>
          </w:tcPr>
          <w:p w14:paraId="645BF33C">
            <w:pPr>
              <w:keepNext w:val="0"/>
              <w:keepLines w:val="0"/>
              <w:pageBreakBefore w:val="0"/>
              <w:numPr>
                <w:ilvl w:val="0"/>
                <w:numId w:val="0"/>
              </w:numPr>
              <w:kinsoku/>
              <w:wordWrap/>
              <w:overflowPunct/>
              <w:topLinePunct w:val="0"/>
              <w:autoSpaceDE/>
              <w:autoSpaceDN/>
              <w:bidi w:val="0"/>
              <w:adjustRightInd/>
              <w:snapToGrid/>
              <w:spacing w:line="380" w:lineRule="exact"/>
              <w:textAlignment w:val="auto"/>
              <w:outlineLvl w:val="9"/>
              <w:rPr>
                <w:rFonts w:hint="eastAsia" w:ascii="宋体" w:hAnsi="宋体" w:eastAsia="宋体" w:cs="Times New Roman"/>
                <w:color w:val="auto"/>
                <w:szCs w:val="21"/>
                <w:highlight w:val="none"/>
                <w:lang w:val="en-US" w:eastAsia="zh-CN"/>
              </w:rPr>
            </w:pPr>
            <w:r>
              <w:rPr>
                <w:rFonts w:hint="eastAsia" w:ascii="宋体" w:hAnsi="宋体" w:eastAsia="宋体" w:cs="Times New Roman"/>
                <w:color w:val="auto"/>
                <w:szCs w:val="21"/>
                <w:highlight w:val="none"/>
                <w:lang w:val="en-US" w:eastAsia="zh-CN"/>
              </w:rPr>
              <w:t>拟派的项目经理具备注册在投标单位的</w:t>
            </w:r>
            <w:r>
              <w:rPr>
                <w:rFonts w:hint="eastAsia" w:ascii="宋体" w:hAnsi="宋体" w:eastAsia="宋体" w:cs="宋体"/>
                <w:color w:val="auto"/>
                <w:sz w:val="21"/>
                <w:szCs w:val="21"/>
                <w:highlight w:val="none"/>
                <w:lang w:val="en-US" w:eastAsia="zh-CN"/>
              </w:rPr>
              <w:t>机电工程</w:t>
            </w:r>
            <w:r>
              <w:rPr>
                <w:rFonts w:hint="eastAsia" w:ascii="宋体" w:hAnsi="宋体" w:eastAsia="宋体" w:cs="Times New Roman"/>
                <w:color w:val="auto"/>
                <w:szCs w:val="21"/>
                <w:highlight w:val="none"/>
                <w:lang w:val="en-US" w:eastAsia="zh-CN"/>
              </w:rPr>
              <w:t>专业二级（或以上）注册建造师资格</w:t>
            </w:r>
            <w:r>
              <w:rPr>
                <w:rFonts w:hint="eastAsia" w:ascii="宋体" w:hAnsi="宋体" w:cs="Times New Roman"/>
                <w:color w:val="auto"/>
                <w:szCs w:val="21"/>
                <w:highlight w:val="none"/>
                <w:lang w:val="en-US" w:eastAsia="zh-CN"/>
              </w:rPr>
              <w:t>，具备有效的安全生产考核合格(B类)证书。</w:t>
            </w:r>
          </w:p>
          <w:p w14:paraId="4E70B304">
            <w:pPr>
              <w:keepNext w:val="0"/>
              <w:keepLines w:val="0"/>
              <w:pageBreakBefore w:val="0"/>
              <w:numPr>
                <w:ilvl w:val="0"/>
                <w:numId w:val="0"/>
              </w:numPr>
              <w:kinsoku/>
              <w:wordWrap/>
              <w:overflowPunct/>
              <w:topLinePunct w:val="0"/>
              <w:autoSpaceDE/>
              <w:autoSpaceDN/>
              <w:bidi w:val="0"/>
              <w:adjustRightInd/>
              <w:snapToGrid/>
              <w:spacing w:line="380" w:lineRule="exact"/>
              <w:textAlignment w:val="auto"/>
              <w:outlineLvl w:val="9"/>
              <w:rPr>
                <w:rFonts w:hint="eastAsia" w:ascii="宋体" w:hAnsi="宋体" w:eastAsia="宋体" w:cs="宋体"/>
                <w:color w:val="auto"/>
                <w:sz w:val="21"/>
                <w:szCs w:val="21"/>
                <w:highlight w:val="none"/>
              </w:rPr>
            </w:pPr>
            <w:r>
              <w:rPr>
                <w:rFonts w:hint="eastAsia" w:ascii="宋体" w:hAnsi="宋体" w:cs="Times New Roman"/>
                <w:color w:val="auto"/>
                <w:szCs w:val="21"/>
                <w:highlight w:val="none"/>
                <w:lang w:val="en-US" w:eastAsia="zh-CN"/>
              </w:rPr>
              <w:t>注：</w:t>
            </w:r>
            <w:r>
              <w:rPr>
                <w:rFonts w:hint="eastAsia" w:ascii="宋体" w:hAnsi="宋体" w:eastAsia="宋体" w:cs="宋体"/>
                <w:color w:val="auto"/>
                <w:sz w:val="21"/>
                <w:szCs w:val="21"/>
                <w:highlight w:val="none"/>
                <w:lang w:val="en-US" w:eastAsia="zh-CN"/>
              </w:rPr>
              <w:t>本项目不接受投标截止时间前六个月内在滁州市区域内办理过项目经理（建造师）变更备案手续的原项目经理（建造师）作为拟任项目经理（建造师）参加投标。</w:t>
            </w:r>
          </w:p>
        </w:tc>
      </w:tr>
      <w:tr w14:paraId="5D76E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3" w:type="dxa"/>
            <w:noWrap w:val="0"/>
            <w:vAlign w:val="center"/>
          </w:tcPr>
          <w:p w14:paraId="61FF232E">
            <w:pPr>
              <w:keepNext w:val="0"/>
              <w:keepLines w:val="0"/>
              <w:pageBreakBefore w:val="0"/>
              <w:widowControl/>
              <w:kinsoku/>
              <w:overflowPunct/>
              <w:topLinePunct w:val="0"/>
              <w:autoSpaceDN/>
              <w:bidi w:val="0"/>
              <w:adjustRightInd/>
              <w:snapToGrid/>
              <w:spacing w:line="380" w:lineRule="exact"/>
              <w:jc w:val="center"/>
              <w:textAlignment w:val="auto"/>
              <w:rPr>
                <w:rFonts w:hint="eastAsia" w:ascii="宋体" w:hAnsi="宋体" w:eastAsia="宋体" w:cs="宋体"/>
                <w:bCs/>
                <w:snapToGrid w:val="0"/>
                <w:color w:val="auto"/>
                <w:kern w:val="0"/>
                <w:sz w:val="21"/>
                <w:szCs w:val="21"/>
                <w:highlight w:val="none"/>
              </w:rPr>
            </w:pPr>
            <w:r>
              <w:rPr>
                <w:rFonts w:hint="eastAsia" w:ascii="宋体" w:hAnsi="宋体" w:cs="宋体"/>
                <w:color w:val="auto"/>
                <w:kern w:val="0"/>
                <w:szCs w:val="21"/>
                <w:highlight w:val="none"/>
              </w:rPr>
              <w:t>信誉要求</w:t>
            </w:r>
          </w:p>
        </w:tc>
        <w:tc>
          <w:tcPr>
            <w:tcW w:w="7677" w:type="dxa"/>
            <w:noWrap w:val="0"/>
            <w:vAlign w:val="center"/>
          </w:tcPr>
          <w:p w14:paraId="6AD3A473">
            <w:pPr>
              <w:widowControl/>
              <w:spacing w:line="560" w:lineRule="exact"/>
              <w:jc w:val="left"/>
              <w:rPr>
                <w:color w:val="auto"/>
                <w:szCs w:val="21"/>
                <w:highlight w:val="none"/>
              </w:rPr>
            </w:pPr>
            <w:r>
              <w:rPr>
                <w:rFonts w:hint="eastAsia"/>
                <w:color w:val="auto"/>
                <w:szCs w:val="21"/>
                <w:highlight w:val="none"/>
              </w:rPr>
              <w:t>1、</w:t>
            </w:r>
            <w:bookmarkStart w:id="32" w:name="OLE_LINK36"/>
            <w:bookmarkStart w:id="33" w:name="OLE_LINK35"/>
            <w:r>
              <w:rPr>
                <w:rFonts w:hint="eastAsia"/>
                <w:color w:val="auto"/>
                <w:szCs w:val="21"/>
                <w:highlight w:val="none"/>
              </w:rPr>
              <w:t>投标人</w:t>
            </w:r>
            <w:r>
              <w:rPr>
                <w:rFonts w:hint="eastAsia" w:ascii="Times New Roman" w:hAnsi="Times New Roman"/>
                <w:smallCaps w:val="0"/>
                <w:color w:val="auto"/>
                <w:highlight w:val="none"/>
              </w:rPr>
              <w:t>（包括联合体各成员）</w:t>
            </w:r>
            <w:r>
              <w:rPr>
                <w:rFonts w:hint="eastAsia"/>
                <w:color w:val="auto"/>
                <w:szCs w:val="21"/>
                <w:highlight w:val="none"/>
              </w:rPr>
              <w:t>存在以下情形之一的，不得被确定为中标人：</w:t>
            </w:r>
          </w:p>
          <w:p w14:paraId="39C78AA3">
            <w:pPr>
              <w:widowControl/>
              <w:spacing w:line="560" w:lineRule="exact"/>
              <w:jc w:val="left"/>
              <w:rPr>
                <w:rFonts w:hint="eastAsia" w:eastAsia="宋体"/>
                <w:color w:val="auto"/>
                <w:szCs w:val="21"/>
                <w:highlight w:val="none"/>
                <w:lang w:eastAsia="zh-CN"/>
              </w:rPr>
            </w:pPr>
            <w:r>
              <w:rPr>
                <w:rFonts w:hint="eastAsia"/>
                <w:color w:val="auto"/>
                <w:szCs w:val="21"/>
                <w:highlight w:val="none"/>
              </w:rPr>
              <w:t>①被列入“信用中国”网站</w:t>
            </w:r>
            <w:r>
              <w:rPr>
                <w:rFonts w:hint="eastAsia" w:ascii="宋体" w:hAnsi="宋体" w:eastAsia="宋体" w:cs="宋体"/>
                <w:color w:val="auto"/>
                <w:sz w:val="21"/>
                <w:szCs w:val="21"/>
                <w:highlight w:val="none"/>
              </w:rPr>
              <w:t>（www.creditchina.gov.cn）</w:t>
            </w:r>
            <w:r>
              <w:rPr>
                <w:rFonts w:hint="eastAsia"/>
                <w:color w:val="auto"/>
                <w:szCs w:val="21"/>
                <w:highlight w:val="none"/>
              </w:rPr>
              <w:t>“失信被执行人”的</w:t>
            </w:r>
            <w:r>
              <w:rPr>
                <w:rFonts w:hint="eastAsia"/>
                <w:color w:val="auto"/>
                <w:szCs w:val="21"/>
                <w:highlight w:val="none"/>
                <w:lang w:eastAsia="zh-CN"/>
              </w:rPr>
              <w:t>；</w:t>
            </w:r>
          </w:p>
          <w:p w14:paraId="43AFE402">
            <w:pPr>
              <w:widowControl/>
              <w:spacing w:line="560" w:lineRule="exact"/>
              <w:jc w:val="left"/>
              <w:rPr>
                <w:rFonts w:hint="eastAsia"/>
                <w:color w:val="auto"/>
                <w:szCs w:val="21"/>
                <w:highlight w:val="none"/>
              </w:rPr>
            </w:pPr>
            <w:r>
              <w:rPr>
                <w:rFonts w:hint="eastAsia"/>
                <w:color w:val="auto"/>
                <w:szCs w:val="21"/>
                <w:highlight w:val="none"/>
              </w:rPr>
              <w:t>②被列入“信用中国”网站</w:t>
            </w:r>
            <w:r>
              <w:rPr>
                <w:rFonts w:hint="eastAsia" w:ascii="宋体" w:hAnsi="宋体" w:eastAsia="宋体" w:cs="宋体"/>
                <w:color w:val="auto"/>
                <w:sz w:val="21"/>
                <w:szCs w:val="21"/>
                <w:highlight w:val="none"/>
              </w:rPr>
              <w:t>（www.creditchina.gov.cn）</w:t>
            </w:r>
            <w:r>
              <w:rPr>
                <w:rFonts w:hint="eastAsia"/>
                <w:color w:val="auto"/>
                <w:szCs w:val="21"/>
                <w:highlight w:val="none"/>
              </w:rPr>
              <w:t>“重大税收违法失信主体”的；</w:t>
            </w:r>
          </w:p>
          <w:p w14:paraId="3941D1DB">
            <w:pPr>
              <w:widowControl/>
              <w:spacing w:line="560" w:lineRule="exact"/>
              <w:jc w:val="left"/>
              <w:rPr>
                <w:rFonts w:hint="eastAsia"/>
                <w:color w:val="auto"/>
                <w:szCs w:val="21"/>
                <w:highlight w:val="none"/>
              </w:rPr>
            </w:pPr>
            <w:r>
              <w:rPr>
                <w:rFonts w:hint="eastAsia"/>
                <w:color w:val="auto"/>
                <w:szCs w:val="21"/>
                <w:highlight w:val="none"/>
              </w:rPr>
              <w:t>③被列入“信用中国”网站</w:t>
            </w:r>
            <w:r>
              <w:rPr>
                <w:rFonts w:hint="eastAsia" w:ascii="宋体" w:hAnsi="宋体" w:eastAsia="宋体" w:cs="宋体"/>
                <w:color w:val="auto"/>
                <w:sz w:val="21"/>
                <w:szCs w:val="21"/>
                <w:highlight w:val="none"/>
              </w:rPr>
              <w:t>（www.creditchina.gov.cn）</w:t>
            </w:r>
            <w:r>
              <w:rPr>
                <w:rFonts w:hint="eastAsia"/>
                <w:color w:val="auto"/>
                <w:szCs w:val="21"/>
                <w:highlight w:val="none"/>
              </w:rPr>
              <w:t>“拖欠农民工工资失信联合惩戒对象名单”的；</w:t>
            </w:r>
          </w:p>
          <w:p w14:paraId="790C3636">
            <w:pPr>
              <w:widowControl/>
              <w:spacing w:line="560" w:lineRule="exact"/>
              <w:jc w:val="left"/>
              <w:rPr>
                <w:rFonts w:hint="eastAsia"/>
                <w:color w:val="auto"/>
                <w:szCs w:val="21"/>
                <w:highlight w:val="none"/>
              </w:rPr>
            </w:pPr>
            <w:r>
              <w:rPr>
                <w:rFonts w:hint="eastAsia"/>
                <w:color w:val="auto"/>
                <w:szCs w:val="21"/>
                <w:highlight w:val="none"/>
              </w:rPr>
              <w:t>④被列入“信用中国”网站</w:t>
            </w:r>
            <w:r>
              <w:rPr>
                <w:rFonts w:hint="eastAsia" w:ascii="宋体" w:hAnsi="宋体" w:eastAsia="宋体" w:cs="宋体"/>
                <w:color w:val="auto"/>
                <w:sz w:val="21"/>
                <w:szCs w:val="21"/>
                <w:highlight w:val="none"/>
              </w:rPr>
              <w:t>（www.creditchina.gov.cn）</w:t>
            </w:r>
            <w:r>
              <w:rPr>
                <w:rFonts w:hint="eastAsia"/>
                <w:color w:val="auto"/>
                <w:szCs w:val="21"/>
                <w:highlight w:val="none"/>
              </w:rPr>
              <w:t xml:space="preserve"> “</w:t>
            </w:r>
            <w:r>
              <w:rPr>
                <w:rFonts w:hint="eastAsia" w:ascii="Times New Roman" w:hAnsi="Times New Roman"/>
                <w:smallCaps w:val="0"/>
                <w:color w:val="auto"/>
                <w:highlight w:val="none"/>
                <w:lang w:eastAsia="zh-CN"/>
              </w:rPr>
              <w:t>安全生产严重失信主体名单</w:t>
            </w:r>
            <w:r>
              <w:rPr>
                <w:rFonts w:hint="eastAsia"/>
                <w:color w:val="auto"/>
                <w:szCs w:val="21"/>
                <w:highlight w:val="none"/>
              </w:rPr>
              <w:t>”的；</w:t>
            </w:r>
          </w:p>
          <w:p w14:paraId="7171C4AF">
            <w:pPr>
              <w:widowControl/>
              <w:spacing w:line="560" w:lineRule="exact"/>
              <w:jc w:val="left"/>
              <w:rPr>
                <w:rFonts w:hint="eastAsia"/>
                <w:color w:val="auto"/>
                <w:szCs w:val="21"/>
                <w:highlight w:val="none"/>
              </w:rPr>
            </w:pPr>
            <w:r>
              <w:rPr>
                <w:rFonts w:hint="eastAsia"/>
                <w:color w:val="auto"/>
                <w:szCs w:val="21"/>
                <w:highlight w:val="none"/>
              </w:rPr>
              <w:t>⑤被列入国家企业信用信息公示系统网站</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"http://www.gsxt.gov.cn）查询" </w:instrText>
            </w:r>
            <w:r>
              <w:rPr>
                <w:rFonts w:hint="eastAsia" w:ascii="宋体" w:hAnsi="宋体" w:eastAsia="宋体" w:cs="宋体"/>
                <w:color w:val="auto"/>
                <w:sz w:val="21"/>
                <w:szCs w:val="21"/>
                <w:highlight w:val="none"/>
              </w:rPr>
              <w:fldChar w:fldCharType="separate"/>
            </w:r>
            <w:r>
              <w:rPr>
                <w:rStyle w:val="58"/>
                <w:rFonts w:hint="eastAsia" w:ascii="宋体" w:hAnsi="宋体" w:eastAsia="宋体" w:cs="宋体"/>
                <w:color w:val="auto"/>
                <w:sz w:val="21"/>
                <w:szCs w:val="21"/>
                <w:highlight w:val="none"/>
              </w:rPr>
              <w:t>www.gsxt.gov.cn）</w:t>
            </w:r>
            <w:r>
              <w:rPr>
                <w:rFonts w:hint="eastAsia" w:ascii="宋体" w:hAnsi="宋体" w:eastAsia="宋体" w:cs="宋体"/>
                <w:color w:val="auto"/>
                <w:sz w:val="21"/>
                <w:szCs w:val="21"/>
                <w:highlight w:val="none"/>
              </w:rPr>
              <w:fldChar w:fldCharType="end"/>
            </w:r>
            <w:r>
              <w:rPr>
                <w:rFonts w:hint="eastAsia"/>
                <w:color w:val="auto"/>
                <w:szCs w:val="21"/>
                <w:highlight w:val="none"/>
              </w:rPr>
              <w:t>“严重违法失信名单”的。</w:t>
            </w:r>
          </w:p>
          <w:p w14:paraId="00FD0DD5">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80" w:lineRule="exact"/>
              <w:ind w:left="0" w:right="0"/>
              <w:jc w:val="left"/>
              <w:textAlignment w:val="auto"/>
              <w:rPr>
                <w:rFonts w:hint="eastAsia" w:ascii="宋体" w:hAnsi="宋体"/>
                <w:color w:val="auto"/>
                <w:szCs w:val="21"/>
                <w:highlight w:val="none"/>
                <w:lang w:val="en-US" w:eastAsia="zh-CN"/>
              </w:rPr>
            </w:pPr>
            <w:r>
              <w:rPr>
                <w:rFonts w:hint="eastAsia"/>
                <w:color w:val="auto"/>
                <w:szCs w:val="21"/>
                <w:highlight w:val="none"/>
              </w:rPr>
              <w:t>2、投标人</w:t>
            </w:r>
            <w:r>
              <w:rPr>
                <w:rFonts w:hint="eastAsia" w:ascii="Times New Roman" w:hAnsi="Times New Roman"/>
                <w:smallCaps w:val="0"/>
                <w:color w:val="auto"/>
                <w:highlight w:val="none"/>
              </w:rPr>
              <w:t>（包括联合体各成员）</w:t>
            </w:r>
            <w:r>
              <w:rPr>
                <w:rFonts w:hint="eastAsia"/>
                <w:color w:val="auto"/>
                <w:szCs w:val="21"/>
                <w:highlight w:val="none"/>
              </w:rPr>
              <w:t>所属分公司、办事处等分支机构存在第1条信誉要求①-⑤项情形之一的，</w:t>
            </w:r>
            <w:r>
              <w:rPr>
                <w:rFonts w:hint="eastAsia"/>
                <w:color w:val="auto"/>
                <w:szCs w:val="21"/>
                <w:highlight w:val="none"/>
                <w:u w:val="single"/>
                <w:lang w:val="en-US" w:eastAsia="zh-CN"/>
              </w:rPr>
              <w:t xml:space="preserve"> </w:t>
            </w:r>
            <w:r>
              <w:rPr>
                <w:rFonts w:hint="eastAsia" w:ascii="宋体" w:hAnsi="宋体" w:cs="宋体"/>
                <w:color w:val="auto"/>
                <w:kern w:val="0"/>
                <w:szCs w:val="21"/>
                <w:highlight w:val="none"/>
                <w:u w:val="single"/>
              </w:rPr>
              <w:t>接受</w:t>
            </w:r>
            <w:r>
              <w:rPr>
                <w:rFonts w:hint="eastAsia" w:ascii="宋体" w:hAnsi="宋体" w:cs="宋体"/>
                <w:color w:val="auto"/>
                <w:kern w:val="0"/>
                <w:szCs w:val="21"/>
                <w:highlight w:val="none"/>
                <w:u w:val="single"/>
                <w:lang w:val="en-US" w:eastAsia="zh-CN"/>
              </w:rPr>
              <w:t xml:space="preserve"> </w:t>
            </w:r>
            <w:r>
              <w:rPr>
                <w:rFonts w:hint="eastAsia"/>
                <w:color w:val="auto"/>
                <w:szCs w:val="21"/>
                <w:highlight w:val="none"/>
              </w:rPr>
              <w:t>其被确定为中标人。</w:t>
            </w:r>
            <w:bookmarkEnd w:id="32"/>
            <w:bookmarkEnd w:id="33"/>
          </w:p>
        </w:tc>
      </w:tr>
      <w:tr w14:paraId="4DC6C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3" w:type="dxa"/>
            <w:noWrap w:val="0"/>
            <w:vAlign w:val="center"/>
          </w:tcPr>
          <w:p w14:paraId="0199D4CC">
            <w:pPr>
              <w:keepNext w:val="0"/>
              <w:keepLines w:val="0"/>
              <w:pageBreakBefore w:val="0"/>
              <w:widowControl/>
              <w:kinsoku/>
              <w:wordWrap/>
              <w:overflowPunct/>
              <w:topLinePunct w:val="0"/>
              <w:autoSpaceDE/>
              <w:autoSpaceDN/>
              <w:bidi w:val="0"/>
              <w:adjustRightInd/>
              <w:snapToGrid/>
              <w:spacing w:line="38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联合体投标</w:t>
            </w:r>
          </w:p>
        </w:tc>
        <w:tc>
          <w:tcPr>
            <w:tcW w:w="7677" w:type="dxa"/>
            <w:noWrap w:val="0"/>
            <w:vAlign w:val="center"/>
          </w:tcPr>
          <w:p w14:paraId="74209755">
            <w:pPr>
              <w:keepNext w:val="0"/>
              <w:keepLines w:val="0"/>
              <w:pageBreakBefore w:val="0"/>
              <w:widowControl/>
              <w:kinsoku/>
              <w:wordWrap/>
              <w:overflowPunct/>
              <w:topLinePunct w:val="0"/>
              <w:autoSpaceDE/>
              <w:autoSpaceDN/>
              <w:bidi w:val="0"/>
              <w:adjustRightInd/>
              <w:snapToGrid/>
              <w:spacing w:line="380" w:lineRule="exact"/>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本次招标不接受联合体投标。</w:t>
            </w:r>
          </w:p>
        </w:tc>
      </w:tr>
      <w:tr w14:paraId="7DAEBC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3" w:type="dxa"/>
            <w:noWrap w:val="0"/>
            <w:vAlign w:val="center"/>
          </w:tcPr>
          <w:p w14:paraId="044733C9">
            <w:pPr>
              <w:keepNext w:val="0"/>
              <w:keepLines w:val="0"/>
              <w:pageBreakBefore w:val="0"/>
              <w:widowControl/>
              <w:kinsoku/>
              <w:wordWrap w:val="0"/>
              <w:overflowPunct/>
              <w:topLinePunct w:val="0"/>
              <w:autoSpaceDE/>
              <w:autoSpaceDN/>
              <w:bidi w:val="0"/>
              <w:adjustRightInd/>
              <w:snapToGrid/>
              <w:spacing w:line="380" w:lineRule="exact"/>
              <w:jc w:val="center"/>
              <w:textAlignment w:val="auto"/>
              <w:rPr>
                <w:rFonts w:hint="eastAsia" w:ascii="宋体" w:hAnsi="宋体" w:eastAsia="宋体" w:cs="宋体"/>
                <w:color w:val="auto"/>
                <w:kern w:val="0"/>
                <w:sz w:val="21"/>
                <w:szCs w:val="21"/>
                <w:highlight w:val="none"/>
                <w:lang w:eastAsia="zh-CN"/>
              </w:rPr>
            </w:pPr>
            <w:r>
              <w:rPr>
                <w:rFonts w:hint="eastAsia" w:ascii="宋体" w:hAnsi="宋体" w:eastAsia="宋体" w:cs="宋体"/>
                <w:color w:val="auto"/>
                <w:kern w:val="0"/>
                <w:sz w:val="21"/>
                <w:szCs w:val="21"/>
                <w:highlight w:val="none"/>
              </w:rPr>
              <w:t>多标段投标</w:t>
            </w:r>
          </w:p>
        </w:tc>
        <w:tc>
          <w:tcPr>
            <w:tcW w:w="7677" w:type="dxa"/>
            <w:noWrap w:val="0"/>
            <w:vAlign w:val="center"/>
          </w:tcPr>
          <w:p w14:paraId="42579C26">
            <w:pPr>
              <w:keepNext w:val="0"/>
              <w:keepLines w:val="0"/>
              <w:pageBreakBefore w:val="0"/>
              <w:widowControl/>
              <w:kinsoku/>
              <w:wordWrap w:val="0"/>
              <w:overflowPunct/>
              <w:topLinePunct w:val="0"/>
              <w:autoSpaceDE/>
              <w:autoSpaceDN/>
              <w:bidi w:val="0"/>
              <w:adjustRightInd/>
              <w:snapToGrid/>
              <w:spacing w:line="380" w:lineRule="exact"/>
              <w:jc w:val="left"/>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w:t>
            </w:r>
          </w:p>
        </w:tc>
      </w:tr>
      <w:tr w14:paraId="23297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610" w:type="dxa"/>
            <w:gridSpan w:val="2"/>
            <w:noWrap w:val="0"/>
            <w:vAlign w:val="center"/>
          </w:tcPr>
          <w:p w14:paraId="2E77D0C0">
            <w:pPr>
              <w:keepNext w:val="0"/>
              <w:keepLines w:val="0"/>
              <w:pageBreakBefore w:val="0"/>
              <w:widowControl/>
              <w:kinsoku/>
              <w:wordWrap w:val="0"/>
              <w:overflowPunct/>
              <w:topLinePunct w:val="0"/>
              <w:autoSpaceDE/>
              <w:autoSpaceDN/>
              <w:bidi w:val="0"/>
              <w:adjustRightInd/>
              <w:snapToGrid/>
              <w:spacing w:line="380" w:lineRule="exact"/>
              <w:jc w:val="center"/>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招标文件的获取</w:t>
            </w:r>
          </w:p>
        </w:tc>
      </w:tr>
      <w:tr w14:paraId="1729BC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jc w:val="center"/>
        </w:trPr>
        <w:tc>
          <w:tcPr>
            <w:tcW w:w="1933" w:type="dxa"/>
            <w:noWrap w:val="0"/>
            <w:vAlign w:val="center"/>
          </w:tcPr>
          <w:p w14:paraId="00B9B13C">
            <w:pPr>
              <w:keepNext w:val="0"/>
              <w:keepLines w:val="0"/>
              <w:pageBreakBefore w:val="0"/>
              <w:widowControl/>
              <w:kinsoku/>
              <w:wordWrap w:val="0"/>
              <w:overflowPunct/>
              <w:topLinePunct w:val="0"/>
              <w:autoSpaceDE/>
              <w:autoSpaceDN/>
              <w:bidi w:val="0"/>
              <w:adjustRightInd/>
              <w:snapToGrid/>
              <w:spacing w:line="38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获取时间</w:t>
            </w:r>
          </w:p>
        </w:tc>
        <w:tc>
          <w:tcPr>
            <w:tcW w:w="7677" w:type="dxa"/>
            <w:noWrap w:val="0"/>
            <w:vAlign w:val="center"/>
          </w:tcPr>
          <w:p w14:paraId="257A5F9C">
            <w:pPr>
              <w:keepNext w:val="0"/>
              <w:keepLines w:val="0"/>
              <w:pageBreakBefore w:val="0"/>
              <w:widowControl/>
              <w:kinsoku/>
              <w:wordWrap w:val="0"/>
              <w:overflowPunct/>
              <w:topLinePunct w:val="0"/>
              <w:autoSpaceDE/>
              <w:autoSpaceDN/>
              <w:bidi w:val="0"/>
              <w:adjustRightInd/>
              <w:snapToGrid/>
              <w:spacing w:line="38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bCs/>
                <w:snapToGrid w:val="0"/>
                <w:color w:val="auto"/>
                <w:kern w:val="0"/>
                <w:szCs w:val="21"/>
                <w:highlight w:val="none"/>
                <w:u w:val="single"/>
              </w:rPr>
              <w:t xml:space="preserve"> </w:t>
            </w:r>
            <w:r>
              <w:rPr>
                <w:rFonts w:hint="eastAsia" w:ascii="宋体" w:hAnsi="宋体" w:cs="宋体"/>
                <w:bCs/>
                <w:snapToGrid w:val="0"/>
                <w:color w:val="auto"/>
                <w:kern w:val="0"/>
                <w:szCs w:val="21"/>
                <w:highlight w:val="none"/>
                <w:u w:val="single"/>
                <w:lang w:val="en-US" w:eastAsia="zh-CN"/>
              </w:rPr>
              <w:t xml:space="preserve">2026 年 9 </w:t>
            </w:r>
            <w:r>
              <w:rPr>
                <w:rFonts w:hint="eastAsia" w:ascii="宋体" w:hAnsi="宋体" w:eastAsia="宋体" w:cs="宋体"/>
                <w:bCs/>
                <w:snapToGrid w:val="0"/>
                <w:color w:val="auto"/>
                <w:kern w:val="0"/>
                <w:szCs w:val="21"/>
                <w:highlight w:val="none"/>
              </w:rPr>
              <w:t>月</w:t>
            </w:r>
            <w:r>
              <w:rPr>
                <w:rFonts w:hint="eastAsia" w:ascii="宋体" w:hAnsi="宋体" w:cs="宋体"/>
                <w:bCs/>
                <w:snapToGrid w:val="0"/>
                <w:color w:val="auto"/>
                <w:kern w:val="0"/>
                <w:szCs w:val="21"/>
                <w:highlight w:val="none"/>
                <w:u w:val="single"/>
                <w:lang w:val="en-US" w:eastAsia="zh-CN"/>
              </w:rPr>
              <w:t xml:space="preserve"> 2 </w:t>
            </w:r>
            <w:r>
              <w:rPr>
                <w:rFonts w:hint="eastAsia" w:ascii="宋体" w:hAnsi="宋体" w:eastAsia="宋体" w:cs="宋体"/>
                <w:bCs/>
                <w:snapToGrid w:val="0"/>
                <w:color w:val="auto"/>
                <w:kern w:val="0"/>
                <w:szCs w:val="21"/>
                <w:highlight w:val="none"/>
              </w:rPr>
              <w:t>日</w:t>
            </w:r>
            <w:r>
              <w:rPr>
                <w:rFonts w:hint="eastAsia" w:ascii="宋体" w:hAnsi="宋体" w:eastAsia="宋体" w:cs="宋体"/>
                <w:bCs/>
                <w:snapToGrid w:val="0"/>
                <w:color w:val="auto"/>
                <w:kern w:val="0"/>
                <w:szCs w:val="21"/>
                <w:highlight w:val="none"/>
                <w:u w:val="single"/>
              </w:rPr>
              <w:t xml:space="preserve"> </w:t>
            </w:r>
            <w:r>
              <w:rPr>
                <w:rFonts w:hint="eastAsia" w:ascii="宋体" w:hAnsi="宋体" w:eastAsia="宋体" w:cs="宋体"/>
                <w:bCs/>
                <w:snapToGrid w:val="0"/>
                <w:color w:val="auto"/>
                <w:kern w:val="0"/>
                <w:szCs w:val="21"/>
                <w:highlight w:val="none"/>
                <w:u w:val="single"/>
                <w:lang w:val="en-US" w:eastAsia="zh-CN"/>
              </w:rPr>
              <w:t>17</w:t>
            </w:r>
            <w:r>
              <w:rPr>
                <w:rFonts w:hint="eastAsia" w:ascii="宋体" w:hAnsi="宋体" w:eastAsia="宋体" w:cs="宋体"/>
                <w:bCs/>
                <w:snapToGrid w:val="0"/>
                <w:color w:val="auto"/>
                <w:kern w:val="0"/>
                <w:szCs w:val="21"/>
                <w:highlight w:val="none"/>
                <w:u w:val="single"/>
              </w:rPr>
              <w:t xml:space="preserve"> </w:t>
            </w:r>
            <w:r>
              <w:rPr>
                <w:rFonts w:hint="eastAsia" w:ascii="宋体" w:hAnsi="宋体" w:eastAsia="宋体" w:cs="宋体"/>
                <w:bCs/>
                <w:snapToGrid w:val="0"/>
                <w:color w:val="auto"/>
                <w:kern w:val="0"/>
                <w:szCs w:val="21"/>
                <w:highlight w:val="none"/>
              </w:rPr>
              <w:t>时</w:t>
            </w:r>
            <w:r>
              <w:rPr>
                <w:rFonts w:hint="eastAsia" w:ascii="宋体" w:hAnsi="宋体" w:eastAsia="宋体" w:cs="宋体"/>
                <w:bCs/>
                <w:snapToGrid w:val="0"/>
                <w:color w:val="auto"/>
                <w:kern w:val="0"/>
                <w:szCs w:val="21"/>
                <w:highlight w:val="none"/>
                <w:u w:val="single"/>
              </w:rPr>
              <w:t xml:space="preserve"> </w:t>
            </w:r>
            <w:r>
              <w:rPr>
                <w:rFonts w:hint="eastAsia" w:ascii="宋体" w:hAnsi="宋体" w:eastAsia="宋体" w:cs="宋体"/>
                <w:bCs/>
                <w:snapToGrid w:val="0"/>
                <w:color w:val="auto"/>
                <w:kern w:val="0"/>
                <w:szCs w:val="21"/>
                <w:highlight w:val="none"/>
                <w:u w:val="single"/>
                <w:lang w:val="en-US" w:eastAsia="zh-CN"/>
              </w:rPr>
              <w:t>00</w:t>
            </w:r>
            <w:r>
              <w:rPr>
                <w:rFonts w:hint="eastAsia" w:ascii="宋体" w:hAnsi="宋体" w:eastAsia="宋体" w:cs="宋体"/>
                <w:bCs/>
                <w:snapToGrid w:val="0"/>
                <w:color w:val="auto"/>
                <w:kern w:val="0"/>
                <w:szCs w:val="21"/>
                <w:highlight w:val="none"/>
                <w:u w:val="single"/>
              </w:rPr>
              <w:t xml:space="preserve"> </w:t>
            </w:r>
            <w:r>
              <w:rPr>
                <w:rFonts w:hint="eastAsia" w:ascii="宋体" w:hAnsi="宋体" w:eastAsia="宋体" w:cs="宋体"/>
                <w:bCs/>
                <w:snapToGrid w:val="0"/>
                <w:color w:val="auto"/>
                <w:kern w:val="0"/>
                <w:szCs w:val="21"/>
                <w:highlight w:val="none"/>
              </w:rPr>
              <w:t>分至</w:t>
            </w:r>
            <w:r>
              <w:rPr>
                <w:rFonts w:hint="eastAsia" w:ascii="宋体" w:hAnsi="宋体" w:eastAsia="宋体" w:cs="宋体"/>
                <w:bCs/>
                <w:snapToGrid w:val="0"/>
                <w:color w:val="auto"/>
                <w:kern w:val="0"/>
                <w:szCs w:val="21"/>
                <w:highlight w:val="none"/>
                <w:u w:val="single"/>
              </w:rPr>
              <w:t xml:space="preserve"> </w:t>
            </w:r>
            <w:r>
              <w:rPr>
                <w:rFonts w:hint="eastAsia" w:ascii="宋体" w:hAnsi="宋体" w:cs="宋体"/>
                <w:bCs/>
                <w:snapToGrid w:val="0"/>
                <w:color w:val="auto"/>
                <w:kern w:val="0"/>
                <w:szCs w:val="21"/>
                <w:highlight w:val="none"/>
                <w:u w:val="single"/>
                <w:lang w:val="en-US" w:eastAsia="zh-CN"/>
              </w:rPr>
              <w:t xml:space="preserve">2026 年 9 </w:t>
            </w:r>
            <w:r>
              <w:rPr>
                <w:rFonts w:hint="eastAsia" w:ascii="宋体" w:hAnsi="宋体" w:eastAsia="宋体" w:cs="宋体"/>
                <w:bCs/>
                <w:snapToGrid w:val="0"/>
                <w:color w:val="auto"/>
                <w:kern w:val="0"/>
                <w:szCs w:val="21"/>
                <w:highlight w:val="none"/>
              </w:rPr>
              <w:t>月</w:t>
            </w:r>
            <w:r>
              <w:rPr>
                <w:rFonts w:hint="eastAsia" w:ascii="宋体" w:hAnsi="宋体" w:cs="宋体"/>
                <w:bCs/>
                <w:snapToGrid w:val="0"/>
                <w:color w:val="auto"/>
                <w:kern w:val="0"/>
                <w:szCs w:val="21"/>
                <w:highlight w:val="none"/>
                <w:u w:val="single"/>
                <w:lang w:val="en-US" w:eastAsia="zh-CN"/>
              </w:rPr>
              <w:t xml:space="preserve"> 7 </w:t>
            </w:r>
            <w:r>
              <w:rPr>
                <w:rFonts w:hint="eastAsia" w:ascii="宋体" w:hAnsi="宋体" w:eastAsia="宋体" w:cs="宋体"/>
                <w:bCs/>
                <w:snapToGrid w:val="0"/>
                <w:color w:val="auto"/>
                <w:kern w:val="0"/>
                <w:szCs w:val="21"/>
                <w:highlight w:val="none"/>
              </w:rPr>
              <w:t>日</w:t>
            </w:r>
            <w:r>
              <w:rPr>
                <w:rFonts w:hint="eastAsia" w:ascii="宋体" w:hAnsi="宋体" w:eastAsia="宋体" w:cs="宋体"/>
                <w:bCs/>
                <w:snapToGrid w:val="0"/>
                <w:color w:val="auto"/>
                <w:kern w:val="0"/>
                <w:szCs w:val="21"/>
                <w:highlight w:val="none"/>
                <w:u w:val="single"/>
              </w:rPr>
              <w:t xml:space="preserve"> </w:t>
            </w:r>
            <w:r>
              <w:rPr>
                <w:rFonts w:hint="eastAsia" w:ascii="宋体" w:hAnsi="宋体" w:cs="宋体"/>
                <w:bCs/>
                <w:snapToGrid w:val="0"/>
                <w:color w:val="auto"/>
                <w:kern w:val="0"/>
                <w:szCs w:val="21"/>
                <w:highlight w:val="none"/>
                <w:u w:val="single"/>
                <w:lang w:val="en-US" w:eastAsia="zh-CN"/>
              </w:rPr>
              <w:t>15</w:t>
            </w:r>
            <w:r>
              <w:rPr>
                <w:rFonts w:hint="eastAsia" w:ascii="宋体" w:hAnsi="宋体" w:eastAsia="宋体" w:cs="宋体"/>
                <w:bCs/>
                <w:snapToGrid w:val="0"/>
                <w:color w:val="auto"/>
                <w:kern w:val="0"/>
                <w:szCs w:val="21"/>
                <w:highlight w:val="none"/>
                <w:u w:val="single"/>
              </w:rPr>
              <w:t xml:space="preserve"> </w:t>
            </w:r>
            <w:r>
              <w:rPr>
                <w:rFonts w:hint="eastAsia" w:ascii="宋体" w:hAnsi="宋体" w:eastAsia="宋体" w:cs="宋体"/>
                <w:bCs/>
                <w:snapToGrid w:val="0"/>
                <w:color w:val="auto"/>
                <w:kern w:val="0"/>
                <w:szCs w:val="21"/>
                <w:highlight w:val="none"/>
              </w:rPr>
              <w:t>时</w:t>
            </w:r>
            <w:r>
              <w:rPr>
                <w:rFonts w:hint="eastAsia" w:ascii="宋体" w:hAnsi="宋体" w:eastAsia="宋体" w:cs="宋体"/>
                <w:bCs/>
                <w:snapToGrid w:val="0"/>
                <w:color w:val="auto"/>
                <w:kern w:val="0"/>
                <w:szCs w:val="21"/>
                <w:highlight w:val="none"/>
                <w:u w:val="single"/>
              </w:rPr>
              <w:t xml:space="preserve"> </w:t>
            </w:r>
            <w:r>
              <w:rPr>
                <w:rFonts w:hint="eastAsia" w:ascii="宋体" w:hAnsi="宋体" w:eastAsia="宋体" w:cs="宋体"/>
                <w:bCs/>
                <w:snapToGrid w:val="0"/>
                <w:color w:val="auto"/>
                <w:kern w:val="0"/>
                <w:szCs w:val="21"/>
                <w:highlight w:val="none"/>
                <w:u w:val="single"/>
                <w:lang w:val="en-US" w:eastAsia="zh-CN"/>
              </w:rPr>
              <w:t>00</w:t>
            </w:r>
            <w:r>
              <w:rPr>
                <w:rFonts w:hint="eastAsia" w:ascii="宋体" w:hAnsi="宋体" w:eastAsia="宋体" w:cs="宋体"/>
                <w:bCs/>
                <w:snapToGrid w:val="0"/>
                <w:color w:val="auto"/>
                <w:kern w:val="0"/>
                <w:szCs w:val="21"/>
                <w:highlight w:val="none"/>
                <w:u w:val="single"/>
              </w:rPr>
              <w:t xml:space="preserve"> </w:t>
            </w:r>
            <w:r>
              <w:rPr>
                <w:rFonts w:hint="eastAsia" w:ascii="宋体" w:hAnsi="宋体" w:eastAsia="宋体" w:cs="宋体"/>
                <w:bCs/>
                <w:snapToGrid w:val="0"/>
                <w:color w:val="auto"/>
                <w:kern w:val="0"/>
                <w:szCs w:val="21"/>
                <w:highlight w:val="none"/>
              </w:rPr>
              <w:t>分。</w:t>
            </w:r>
          </w:p>
        </w:tc>
      </w:tr>
      <w:tr w14:paraId="1AFD9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3" w:type="dxa"/>
            <w:noWrap w:val="0"/>
            <w:vAlign w:val="center"/>
          </w:tcPr>
          <w:p w14:paraId="30724589">
            <w:pPr>
              <w:keepNext w:val="0"/>
              <w:keepLines w:val="0"/>
              <w:pageBreakBefore w:val="0"/>
              <w:widowControl/>
              <w:kinsoku/>
              <w:wordWrap w:val="0"/>
              <w:overflowPunct/>
              <w:topLinePunct w:val="0"/>
              <w:autoSpaceDE/>
              <w:autoSpaceDN/>
              <w:bidi w:val="0"/>
              <w:adjustRightInd/>
              <w:snapToGrid/>
              <w:spacing w:line="380" w:lineRule="exact"/>
              <w:jc w:val="center"/>
              <w:textAlignment w:val="auto"/>
              <w:rPr>
                <w:rFonts w:hint="eastAsia" w:ascii="宋体" w:hAnsi="宋体" w:eastAsia="宋体" w:cs="宋体"/>
                <w:color w:val="auto"/>
                <w:kern w:val="0"/>
                <w:sz w:val="21"/>
                <w:szCs w:val="21"/>
                <w:highlight w:val="none"/>
              </w:rPr>
            </w:pPr>
            <w:r>
              <w:rPr>
                <w:rFonts w:hint="eastAsia" w:ascii="宋体" w:hAnsi="宋体" w:cs="宋体"/>
                <w:color w:val="auto"/>
                <w:kern w:val="0"/>
                <w:szCs w:val="21"/>
                <w:highlight w:val="none"/>
              </w:rPr>
              <w:t>获取方式</w:t>
            </w:r>
          </w:p>
        </w:tc>
        <w:tc>
          <w:tcPr>
            <w:tcW w:w="7677" w:type="dxa"/>
            <w:noWrap w:val="0"/>
            <w:vAlign w:val="center"/>
          </w:tcPr>
          <w:p w14:paraId="5AC4F371">
            <w:pPr>
              <w:keepNext w:val="0"/>
              <w:keepLines w:val="0"/>
              <w:pageBreakBefore w:val="0"/>
              <w:widowControl/>
              <w:kinsoku/>
              <w:wordWrap w:val="0"/>
              <w:overflowPunct/>
              <w:topLinePunct w:val="0"/>
              <w:autoSpaceDE/>
              <w:autoSpaceDN/>
              <w:bidi w:val="0"/>
              <w:adjustRightInd/>
              <w:snapToGrid/>
              <w:spacing w:line="380" w:lineRule="exact"/>
              <w:jc w:val="left"/>
              <w:textAlignment w:val="auto"/>
              <w:rPr>
                <w:rFonts w:hint="default"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请于公告发布之日起从滁州市城投工程咨询管理有限公司</w:t>
            </w:r>
            <w:r>
              <w:rPr>
                <w:rFonts w:hint="eastAsia" w:cs="Times New Roman"/>
                <w:color w:val="auto"/>
                <w:highlight w:val="none"/>
                <w:lang w:val="en-US" w:eastAsia="zh-CN"/>
              </w:rPr>
              <w:t>网站</w:t>
            </w:r>
            <w:r>
              <w:rPr>
                <w:rFonts w:hint="eastAsia" w:ascii="Times New Roman" w:hAnsi="Times New Roman" w:eastAsia="宋体" w:cs="Times New Roman"/>
                <w:color w:val="auto"/>
                <w:highlight w:val="none"/>
                <w:lang w:val="en-US" w:eastAsia="zh-CN"/>
              </w:rPr>
              <w:t>（https://www.czctgczx.com/）下载</w:t>
            </w:r>
            <w:r>
              <w:rPr>
                <w:rFonts w:hint="eastAsia" w:cs="Times New Roman"/>
                <w:color w:val="auto"/>
                <w:highlight w:val="none"/>
                <w:lang w:val="en-US" w:eastAsia="zh-CN"/>
              </w:rPr>
              <w:t>。</w:t>
            </w:r>
          </w:p>
          <w:p w14:paraId="06D33B50">
            <w:pPr>
              <w:keepNext w:val="0"/>
              <w:keepLines w:val="0"/>
              <w:pageBreakBefore w:val="0"/>
              <w:widowControl/>
              <w:kinsoku/>
              <w:wordWrap w:val="0"/>
              <w:overflowPunct/>
              <w:topLinePunct w:val="0"/>
              <w:autoSpaceDE/>
              <w:autoSpaceDN/>
              <w:bidi w:val="0"/>
              <w:adjustRightInd/>
              <w:snapToGrid/>
              <w:spacing w:line="380" w:lineRule="exact"/>
              <w:jc w:val="left"/>
              <w:textAlignment w:val="auto"/>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lang w:val="en-US" w:eastAsia="zh-CN"/>
              </w:rPr>
              <w:t>方式：（1）投标人须登录新点电子交易平台【滁州专区】查询、获取</w:t>
            </w:r>
            <w:r>
              <w:rPr>
                <w:rFonts w:hint="eastAsia" w:cs="Times New Roman"/>
                <w:color w:val="auto"/>
                <w:highlight w:val="none"/>
                <w:lang w:val="en-US" w:eastAsia="zh-CN"/>
              </w:rPr>
              <w:t>招标</w:t>
            </w:r>
            <w:r>
              <w:rPr>
                <w:rFonts w:hint="eastAsia" w:ascii="Times New Roman" w:hAnsi="Times New Roman" w:eastAsia="宋体" w:cs="Times New Roman"/>
                <w:color w:val="auto"/>
                <w:highlight w:val="none"/>
                <w:lang w:val="en-US" w:eastAsia="zh-CN"/>
              </w:rPr>
              <w:t>文件。首次登录办理入库手续，办理入库不收取任何费用。新点电子招投标统一认证平台使用相关问题（如系统登录、信息登记、录入及提交、数字证书关联等）请拨打服务电话：</w:t>
            </w:r>
            <w:r>
              <w:rPr>
                <w:rFonts w:hint="eastAsia" w:cs="Times New Roman"/>
                <w:color w:val="auto"/>
                <w:highlight w:val="none"/>
                <w:lang w:val="en-US" w:eastAsia="zh-CN"/>
              </w:rPr>
              <w:t>0512-58151515</w:t>
            </w:r>
            <w:r>
              <w:rPr>
                <w:rFonts w:hint="eastAsia" w:ascii="Times New Roman" w:hAnsi="Times New Roman" w:eastAsia="宋体" w:cs="Times New Roman"/>
                <w:color w:val="auto"/>
                <w:highlight w:val="none"/>
                <w:lang w:val="en-US" w:eastAsia="zh-CN"/>
              </w:rPr>
              <w:t>（工作日）。  </w:t>
            </w:r>
          </w:p>
          <w:p w14:paraId="1CA3EC44">
            <w:pPr>
              <w:keepNext w:val="0"/>
              <w:keepLines w:val="0"/>
              <w:pageBreakBefore w:val="0"/>
              <w:widowControl/>
              <w:kinsoku/>
              <w:wordWrap w:val="0"/>
              <w:overflowPunct/>
              <w:topLinePunct w:val="0"/>
              <w:autoSpaceDE/>
              <w:autoSpaceDN/>
              <w:bidi w:val="0"/>
              <w:adjustRightInd/>
              <w:snapToGrid/>
              <w:spacing w:line="380" w:lineRule="exact"/>
              <w:jc w:val="left"/>
              <w:textAlignment w:val="auto"/>
              <w:rPr>
                <w:rFonts w:hint="eastAsia" w:ascii="宋体" w:hAnsi="宋体" w:eastAsia="宋体" w:cs="宋体"/>
                <w:color w:val="auto"/>
                <w:sz w:val="21"/>
                <w:szCs w:val="21"/>
                <w:highlight w:val="none"/>
              </w:rPr>
            </w:pPr>
            <w:r>
              <w:rPr>
                <w:rFonts w:hint="eastAsia" w:ascii="Times New Roman" w:hAnsi="Times New Roman" w:eastAsia="宋体" w:cs="Times New Roman"/>
                <w:color w:val="auto"/>
                <w:highlight w:val="none"/>
                <w:lang w:val="en-US" w:eastAsia="zh-CN"/>
              </w:rPr>
              <w:t>（2）投标人登录新点电子交易平台【滁州专区】获取招标文件及其它资料（含澄清和补充说明等）。如在招标文件获取过程中遇到系统问题，请拨打技术支持服务热线 </w:t>
            </w:r>
            <w:r>
              <w:rPr>
                <w:rFonts w:hint="eastAsia" w:cs="Times New Roman"/>
                <w:color w:val="auto"/>
                <w:highlight w:val="none"/>
                <w:lang w:val="en-US" w:eastAsia="zh-CN"/>
              </w:rPr>
              <w:t>0512-58151515</w:t>
            </w:r>
            <w:r>
              <w:rPr>
                <w:rFonts w:hint="eastAsia" w:ascii="Times New Roman" w:hAnsi="Times New Roman" w:eastAsia="宋体" w:cs="Times New Roman"/>
                <w:color w:val="auto"/>
                <w:highlight w:val="none"/>
                <w:lang w:val="en-US" w:eastAsia="zh-CN"/>
              </w:rPr>
              <w:t>或者网站首页在线客服。</w:t>
            </w:r>
          </w:p>
        </w:tc>
      </w:tr>
      <w:tr w14:paraId="552DCB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3" w:type="dxa"/>
            <w:noWrap w:val="0"/>
            <w:vAlign w:val="center"/>
          </w:tcPr>
          <w:p w14:paraId="77C699FD">
            <w:pPr>
              <w:keepNext w:val="0"/>
              <w:keepLines w:val="0"/>
              <w:pageBreakBefore w:val="0"/>
              <w:widowControl/>
              <w:kinsoku/>
              <w:wordWrap w:val="0"/>
              <w:overflowPunct/>
              <w:topLinePunct w:val="0"/>
              <w:autoSpaceDE/>
              <w:autoSpaceDN/>
              <w:bidi w:val="0"/>
              <w:adjustRightInd/>
              <w:snapToGrid/>
              <w:spacing w:line="38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招标公告发布时间</w:t>
            </w:r>
          </w:p>
        </w:tc>
        <w:tc>
          <w:tcPr>
            <w:tcW w:w="7677" w:type="dxa"/>
            <w:noWrap w:val="0"/>
            <w:vAlign w:val="center"/>
          </w:tcPr>
          <w:p w14:paraId="0CB3AD82">
            <w:pPr>
              <w:keepNext w:val="0"/>
              <w:keepLines w:val="0"/>
              <w:pageBreakBefore w:val="0"/>
              <w:widowControl/>
              <w:kinsoku/>
              <w:wordWrap w:val="0"/>
              <w:overflowPunct/>
              <w:topLinePunct w:val="0"/>
              <w:autoSpaceDE/>
              <w:autoSpaceDN/>
              <w:bidi w:val="0"/>
              <w:adjustRightInd/>
              <w:snapToGrid/>
              <w:spacing w:line="380" w:lineRule="exact"/>
              <w:jc w:val="left"/>
              <w:textAlignment w:val="auto"/>
              <w:rPr>
                <w:rFonts w:hint="eastAsia" w:ascii="宋体" w:hAnsi="宋体" w:eastAsia="宋体" w:cs="宋体"/>
                <w:color w:val="auto"/>
                <w:kern w:val="0"/>
                <w:sz w:val="21"/>
                <w:szCs w:val="21"/>
                <w:highlight w:val="none"/>
              </w:rPr>
            </w:pPr>
            <w:r>
              <w:rPr>
                <w:rFonts w:hint="eastAsia" w:ascii="宋体" w:hAnsi="宋体" w:cs="宋体"/>
                <w:color w:val="auto"/>
                <w:szCs w:val="21"/>
                <w:highlight w:val="none"/>
                <w:lang w:eastAsia="zh-CN"/>
              </w:rPr>
              <w:t>2026年9月</w:t>
            </w:r>
            <w:r>
              <w:rPr>
                <w:rFonts w:hint="eastAsia" w:ascii="宋体" w:hAnsi="宋体" w:cs="宋体"/>
                <w:color w:val="auto"/>
                <w:szCs w:val="21"/>
                <w:highlight w:val="none"/>
                <w:lang w:val="en-US" w:eastAsia="zh-CN"/>
              </w:rPr>
              <w:t>2</w:t>
            </w:r>
            <w:r>
              <w:rPr>
                <w:rFonts w:hint="eastAsia" w:ascii="宋体" w:hAnsi="宋体" w:eastAsia="宋体" w:cs="宋体"/>
                <w:color w:val="auto"/>
                <w:szCs w:val="21"/>
                <w:highlight w:val="none"/>
              </w:rPr>
              <w:t>日</w:t>
            </w:r>
          </w:p>
        </w:tc>
      </w:tr>
      <w:tr w14:paraId="2E377A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3" w:type="dxa"/>
            <w:noWrap w:val="0"/>
            <w:vAlign w:val="center"/>
          </w:tcPr>
          <w:p w14:paraId="7B970DA1">
            <w:pPr>
              <w:keepNext w:val="0"/>
              <w:keepLines w:val="0"/>
              <w:pageBreakBefore w:val="0"/>
              <w:widowControl/>
              <w:kinsoku/>
              <w:wordWrap w:val="0"/>
              <w:overflowPunct/>
              <w:topLinePunct w:val="0"/>
              <w:autoSpaceDE/>
              <w:autoSpaceDN/>
              <w:bidi w:val="0"/>
              <w:adjustRightInd/>
              <w:snapToGrid/>
              <w:spacing w:line="38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投标文件递交的截止时间</w:t>
            </w:r>
          </w:p>
        </w:tc>
        <w:tc>
          <w:tcPr>
            <w:tcW w:w="7677" w:type="dxa"/>
            <w:noWrap w:val="0"/>
            <w:vAlign w:val="center"/>
          </w:tcPr>
          <w:p w14:paraId="78350ADB">
            <w:pPr>
              <w:keepNext w:val="0"/>
              <w:keepLines w:val="0"/>
              <w:pageBreakBefore w:val="0"/>
              <w:widowControl/>
              <w:kinsoku/>
              <w:wordWrap w:val="0"/>
              <w:overflowPunct/>
              <w:topLinePunct w:val="0"/>
              <w:autoSpaceDE/>
              <w:autoSpaceDN/>
              <w:bidi w:val="0"/>
              <w:adjustRightInd/>
              <w:snapToGrid/>
              <w:spacing w:line="380" w:lineRule="exact"/>
              <w:jc w:val="left"/>
              <w:textAlignment w:val="auto"/>
              <w:rPr>
                <w:rFonts w:hint="eastAsia" w:ascii="宋体" w:hAnsi="宋体" w:eastAsia="宋体" w:cs="宋体"/>
                <w:color w:val="auto"/>
                <w:szCs w:val="21"/>
                <w:highlight w:val="none"/>
                <w:lang w:val="en-US" w:eastAsia="zh-CN"/>
              </w:rPr>
            </w:pPr>
            <w:r>
              <w:rPr>
                <w:rFonts w:hint="eastAsia" w:ascii="宋体" w:hAnsi="宋体" w:cs="宋体"/>
                <w:b w:val="0"/>
                <w:bCs w:val="0"/>
                <w:color w:val="auto"/>
                <w:szCs w:val="21"/>
                <w:highlight w:val="none"/>
                <w:lang w:val="en-US" w:eastAsia="zh-CN"/>
              </w:rPr>
              <w:t>2026年9月7</w:t>
            </w:r>
            <w:r>
              <w:rPr>
                <w:rFonts w:hint="eastAsia" w:ascii="宋体" w:hAnsi="宋体" w:eastAsia="宋体" w:cs="宋体"/>
                <w:b w:val="0"/>
                <w:bCs w:val="0"/>
                <w:color w:val="auto"/>
                <w:szCs w:val="21"/>
                <w:highlight w:val="none"/>
                <w:lang w:val="en-US" w:eastAsia="zh-CN"/>
              </w:rPr>
              <w:t>日</w:t>
            </w:r>
            <w:r>
              <w:rPr>
                <w:rFonts w:hint="eastAsia" w:ascii="宋体" w:hAnsi="宋体" w:cs="宋体"/>
                <w:b w:val="0"/>
                <w:bCs w:val="0"/>
                <w:color w:val="auto"/>
                <w:szCs w:val="21"/>
                <w:highlight w:val="none"/>
                <w:lang w:val="en-US" w:eastAsia="zh-CN"/>
              </w:rPr>
              <w:t>15</w:t>
            </w:r>
            <w:r>
              <w:rPr>
                <w:rFonts w:hint="eastAsia" w:ascii="宋体" w:hAnsi="宋体" w:eastAsia="宋体" w:cs="宋体"/>
                <w:b w:val="0"/>
                <w:bCs w:val="0"/>
                <w:color w:val="auto"/>
                <w:szCs w:val="21"/>
                <w:highlight w:val="none"/>
                <w:lang w:val="en-US" w:eastAsia="zh-CN"/>
              </w:rPr>
              <w:t>时00分</w:t>
            </w:r>
          </w:p>
        </w:tc>
      </w:tr>
      <w:tr w14:paraId="1D302E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3" w:type="dxa"/>
            <w:noWrap w:val="0"/>
            <w:vAlign w:val="center"/>
          </w:tcPr>
          <w:p w14:paraId="4CC335A0">
            <w:pPr>
              <w:keepNext w:val="0"/>
              <w:keepLines w:val="0"/>
              <w:pageBreakBefore w:val="0"/>
              <w:widowControl/>
              <w:kinsoku/>
              <w:wordWrap w:val="0"/>
              <w:overflowPunct/>
              <w:topLinePunct w:val="0"/>
              <w:autoSpaceDE/>
              <w:autoSpaceDN/>
              <w:bidi w:val="0"/>
              <w:adjustRightInd/>
              <w:snapToGrid/>
              <w:spacing w:line="380" w:lineRule="exact"/>
              <w:jc w:val="left"/>
              <w:textAlignment w:val="auto"/>
              <w:rPr>
                <w:rFonts w:hint="eastAsia"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投标文件递交的方式</w:t>
            </w:r>
          </w:p>
        </w:tc>
        <w:tc>
          <w:tcPr>
            <w:tcW w:w="7677" w:type="dxa"/>
            <w:noWrap w:val="0"/>
            <w:vAlign w:val="center"/>
          </w:tcPr>
          <w:p w14:paraId="46F556DE">
            <w:pPr>
              <w:keepNext w:val="0"/>
              <w:keepLines w:val="0"/>
              <w:pageBreakBefore w:val="0"/>
              <w:widowControl/>
              <w:kinsoku/>
              <w:wordWrap w:val="0"/>
              <w:overflowPunct/>
              <w:topLinePunct w:val="0"/>
              <w:autoSpaceDE/>
              <w:autoSpaceDN/>
              <w:bidi w:val="0"/>
              <w:adjustRightInd/>
              <w:snapToGrid/>
              <w:spacing w:line="380" w:lineRule="exact"/>
              <w:jc w:val="left"/>
              <w:textAlignment w:val="auto"/>
              <w:rPr>
                <w:rFonts w:hint="eastAsia"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本项目仅接受投标人在投标截止时间前登录新点电子交易平台【滁州专区】（https://www.etrading.cn/BREpointSSO/login/oauth2login?regioncode=DQ_ChuZhou）交易系统递交的加密电子投标文件。</w:t>
            </w:r>
          </w:p>
        </w:tc>
      </w:tr>
      <w:tr w14:paraId="7CED5C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 w:hRule="atLeast"/>
          <w:jc w:val="center"/>
        </w:trPr>
        <w:tc>
          <w:tcPr>
            <w:tcW w:w="1933" w:type="dxa"/>
            <w:noWrap w:val="0"/>
            <w:vAlign w:val="center"/>
          </w:tcPr>
          <w:p w14:paraId="746D341E">
            <w:pPr>
              <w:keepNext w:val="0"/>
              <w:keepLines w:val="0"/>
              <w:pageBreakBefore w:val="0"/>
              <w:widowControl/>
              <w:kinsoku/>
              <w:wordWrap w:val="0"/>
              <w:overflowPunct/>
              <w:topLinePunct w:val="0"/>
              <w:autoSpaceDE/>
              <w:autoSpaceDN/>
              <w:bidi w:val="0"/>
              <w:adjustRightInd/>
              <w:snapToGrid/>
              <w:spacing w:line="38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开标时间</w:t>
            </w:r>
          </w:p>
        </w:tc>
        <w:tc>
          <w:tcPr>
            <w:tcW w:w="7677" w:type="dxa"/>
            <w:noWrap w:val="0"/>
            <w:vAlign w:val="center"/>
          </w:tcPr>
          <w:p w14:paraId="1DA66740">
            <w:pPr>
              <w:keepNext w:val="0"/>
              <w:keepLines w:val="0"/>
              <w:pageBreakBefore w:val="0"/>
              <w:widowControl/>
              <w:kinsoku/>
              <w:wordWrap w:val="0"/>
              <w:overflowPunct/>
              <w:topLinePunct w:val="0"/>
              <w:autoSpaceDE/>
              <w:autoSpaceDN/>
              <w:bidi w:val="0"/>
              <w:adjustRightInd/>
              <w:snapToGrid/>
              <w:spacing w:line="380" w:lineRule="exact"/>
              <w:jc w:val="left"/>
              <w:textAlignment w:val="auto"/>
              <w:rPr>
                <w:rFonts w:hint="eastAsia" w:ascii="宋体" w:hAnsi="宋体" w:eastAsia="宋体" w:cs="宋体"/>
                <w:color w:val="auto"/>
                <w:kern w:val="0"/>
                <w:sz w:val="21"/>
                <w:szCs w:val="21"/>
                <w:highlight w:val="none"/>
              </w:rPr>
            </w:pPr>
            <w:r>
              <w:rPr>
                <w:rFonts w:hint="eastAsia" w:ascii="宋体" w:hAnsi="宋体" w:cs="宋体"/>
                <w:color w:val="auto"/>
                <w:szCs w:val="21"/>
                <w:highlight w:val="none"/>
                <w:lang w:eastAsia="zh-CN"/>
              </w:rPr>
              <w:t>2026年9月</w:t>
            </w:r>
            <w:r>
              <w:rPr>
                <w:rFonts w:hint="eastAsia" w:ascii="宋体" w:hAnsi="宋体" w:cs="宋体"/>
                <w:color w:val="auto"/>
                <w:szCs w:val="21"/>
                <w:highlight w:val="none"/>
                <w:lang w:val="en-US" w:eastAsia="zh-CN"/>
              </w:rPr>
              <w:t>7</w:t>
            </w:r>
            <w:r>
              <w:rPr>
                <w:rFonts w:hint="eastAsia" w:ascii="宋体" w:hAnsi="宋体" w:eastAsia="宋体" w:cs="宋体"/>
                <w:color w:val="auto"/>
                <w:szCs w:val="21"/>
                <w:highlight w:val="none"/>
              </w:rPr>
              <w:t>日</w:t>
            </w:r>
            <w:r>
              <w:rPr>
                <w:rFonts w:hint="eastAsia" w:ascii="宋体" w:hAnsi="宋体" w:cs="宋体"/>
                <w:color w:val="auto"/>
                <w:szCs w:val="21"/>
                <w:highlight w:val="none"/>
                <w:lang w:val="en-US" w:eastAsia="zh-CN"/>
              </w:rPr>
              <w:t>15</w:t>
            </w:r>
            <w:r>
              <w:rPr>
                <w:rFonts w:hint="eastAsia" w:ascii="宋体" w:hAnsi="宋体" w:eastAsia="宋体" w:cs="宋体"/>
                <w:color w:val="auto"/>
                <w:szCs w:val="21"/>
                <w:highlight w:val="none"/>
              </w:rPr>
              <w:t>时</w:t>
            </w:r>
            <w:r>
              <w:rPr>
                <w:rFonts w:hint="eastAsia" w:ascii="宋体" w:hAnsi="宋体" w:eastAsia="宋体" w:cs="宋体"/>
                <w:color w:val="auto"/>
                <w:szCs w:val="21"/>
                <w:highlight w:val="none"/>
                <w:lang w:val="en-US" w:eastAsia="zh-CN"/>
              </w:rPr>
              <w:t>00</w:t>
            </w:r>
            <w:r>
              <w:rPr>
                <w:rFonts w:hint="eastAsia" w:ascii="宋体" w:hAnsi="宋体" w:eastAsia="宋体" w:cs="宋体"/>
                <w:color w:val="auto"/>
                <w:szCs w:val="21"/>
                <w:highlight w:val="none"/>
              </w:rPr>
              <w:t>分</w:t>
            </w:r>
          </w:p>
        </w:tc>
      </w:tr>
      <w:tr w14:paraId="5C7D41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1" w:hRule="atLeast"/>
          <w:jc w:val="center"/>
        </w:trPr>
        <w:tc>
          <w:tcPr>
            <w:tcW w:w="1933" w:type="dxa"/>
            <w:noWrap w:val="0"/>
            <w:vAlign w:val="center"/>
          </w:tcPr>
          <w:p w14:paraId="77B6227A">
            <w:pPr>
              <w:keepNext w:val="0"/>
              <w:keepLines w:val="0"/>
              <w:pageBreakBefore w:val="0"/>
              <w:widowControl/>
              <w:kinsoku/>
              <w:wordWrap w:val="0"/>
              <w:overflowPunct/>
              <w:topLinePunct w:val="0"/>
              <w:autoSpaceDE/>
              <w:autoSpaceDN/>
              <w:bidi w:val="0"/>
              <w:adjustRightInd/>
              <w:snapToGrid/>
              <w:spacing w:line="38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开标地点</w:t>
            </w:r>
          </w:p>
        </w:tc>
        <w:tc>
          <w:tcPr>
            <w:tcW w:w="7677" w:type="dxa"/>
            <w:noWrap w:val="0"/>
            <w:vAlign w:val="center"/>
          </w:tcPr>
          <w:p w14:paraId="3D3F20FE">
            <w:pPr>
              <w:keepNext w:val="0"/>
              <w:keepLines w:val="0"/>
              <w:pageBreakBefore w:val="0"/>
              <w:widowControl/>
              <w:kinsoku/>
              <w:wordWrap w:val="0"/>
              <w:overflowPunct/>
              <w:topLinePunct w:val="0"/>
              <w:autoSpaceDE w:val="0"/>
              <w:autoSpaceDN/>
              <w:bidi w:val="0"/>
              <w:adjustRightInd/>
              <w:snapToGrid/>
              <w:spacing w:line="380" w:lineRule="exact"/>
              <w:textAlignment w:val="auto"/>
              <w:rPr>
                <w:rFonts w:hint="eastAsia" w:ascii="宋体" w:hAnsi="宋体" w:eastAsia="宋体" w:cs="宋体"/>
                <w:color w:val="auto"/>
                <w:szCs w:val="21"/>
                <w:highlight w:val="none"/>
                <w:lang w:val="en-US" w:eastAsia="zh-CN"/>
              </w:rPr>
            </w:pPr>
            <w:r>
              <w:rPr>
                <w:rFonts w:hint="eastAsia" w:ascii="Times New Roman" w:hAnsi="Times New Roman" w:eastAsia="宋体" w:cs="Times New Roman"/>
                <w:color w:val="auto"/>
                <w:highlight w:val="none"/>
                <w:lang w:val="en-US" w:eastAsia="zh-CN"/>
              </w:rPr>
              <w:t>采用不见面开标，投标人登录滁州市城投工程咨询有限公司不见面开标系统参与网上开标（网址：http://js.etrading.cn/EpointBidOpening/bidopeninghallaction/hall/login）。</w:t>
            </w:r>
          </w:p>
        </w:tc>
      </w:tr>
      <w:tr w14:paraId="4E312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3" w:type="dxa"/>
            <w:noWrap w:val="0"/>
            <w:vAlign w:val="center"/>
          </w:tcPr>
          <w:p w14:paraId="59163777">
            <w:pPr>
              <w:keepNext w:val="0"/>
              <w:keepLines w:val="0"/>
              <w:pageBreakBefore w:val="0"/>
              <w:widowControl/>
              <w:kinsoku/>
              <w:wordWrap w:val="0"/>
              <w:overflowPunct/>
              <w:topLinePunct w:val="0"/>
              <w:autoSpaceDE/>
              <w:autoSpaceDN/>
              <w:bidi w:val="0"/>
              <w:adjustRightInd/>
              <w:snapToGrid/>
              <w:spacing w:line="380" w:lineRule="exact"/>
              <w:jc w:val="center"/>
              <w:textAlignment w:val="auto"/>
              <w:rPr>
                <w:rFonts w:hint="eastAsia" w:ascii="宋体" w:hAnsi="宋体" w:eastAsia="宋体" w:cs="宋体"/>
                <w:color w:val="auto"/>
                <w:kern w:val="0"/>
                <w:sz w:val="21"/>
                <w:szCs w:val="21"/>
                <w:highlight w:val="none"/>
                <w:lang w:eastAsia="zh-CN"/>
              </w:rPr>
            </w:pPr>
            <w:r>
              <w:rPr>
                <w:rFonts w:hint="eastAsia" w:ascii="宋体" w:hAnsi="宋体" w:eastAsia="宋体" w:cs="宋体"/>
                <w:color w:val="auto"/>
                <w:sz w:val="21"/>
                <w:szCs w:val="21"/>
                <w:highlight w:val="none"/>
              </w:rPr>
              <w:t>招标文件</w:t>
            </w:r>
            <w:r>
              <w:rPr>
                <w:rFonts w:hint="eastAsia" w:ascii="宋体" w:hAnsi="宋体" w:cs="宋体"/>
                <w:color w:val="auto"/>
                <w:sz w:val="21"/>
                <w:szCs w:val="21"/>
                <w:highlight w:val="none"/>
                <w:lang w:val="en-US" w:eastAsia="zh-CN"/>
              </w:rPr>
              <w:t>售价</w:t>
            </w:r>
          </w:p>
        </w:tc>
        <w:tc>
          <w:tcPr>
            <w:tcW w:w="7677" w:type="dxa"/>
            <w:noWrap w:val="0"/>
            <w:vAlign w:val="center"/>
          </w:tcPr>
          <w:p w14:paraId="0FF1405C">
            <w:pPr>
              <w:keepNext w:val="0"/>
              <w:keepLines w:val="0"/>
              <w:pageBreakBefore w:val="0"/>
              <w:widowControl/>
              <w:kinsoku/>
              <w:wordWrap w:val="0"/>
              <w:overflowPunct/>
              <w:topLinePunct w:val="0"/>
              <w:autoSpaceDE/>
              <w:autoSpaceDN/>
              <w:bidi w:val="0"/>
              <w:adjustRightInd/>
              <w:snapToGrid/>
              <w:spacing w:line="380" w:lineRule="exact"/>
              <w:jc w:val="left"/>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0元</w:t>
            </w:r>
          </w:p>
        </w:tc>
      </w:tr>
      <w:tr w14:paraId="7177AB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3" w:type="dxa"/>
            <w:noWrap w:val="0"/>
            <w:vAlign w:val="center"/>
          </w:tcPr>
          <w:p w14:paraId="17C4373F">
            <w:pPr>
              <w:keepNext w:val="0"/>
              <w:keepLines w:val="0"/>
              <w:pageBreakBefore w:val="0"/>
              <w:widowControl/>
              <w:kinsoku/>
              <w:wordWrap w:val="0"/>
              <w:overflowPunct/>
              <w:topLinePunct w:val="0"/>
              <w:autoSpaceDE/>
              <w:autoSpaceDN/>
              <w:bidi w:val="0"/>
              <w:adjustRightInd/>
              <w:snapToGrid/>
              <w:spacing w:line="38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发布公告的媒介</w:t>
            </w:r>
          </w:p>
        </w:tc>
        <w:tc>
          <w:tcPr>
            <w:tcW w:w="7677" w:type="dxa"/>
            <w:noWrap w:val="0"/>
            <w:vAlign w:val="center"/>
          </w:tcPr>
          <w:p w14:paraId="1EB02BED">
            <w:pPr>
              <w:keepNext w:val="0"/>
              <w:keepLines w:val="0"/>
              <w:pageBreakBefore w:val="0"/>
              <w:widowControl/>
              <w:kinsoku/>
              <w:wordWrap w:val="0"/>
              <w:overflowPunct/>
              <w:topLinePunct w:val="0"/>
              <w:autoSpaceDE/>
              <w:autoSpaceDN/>
              <w:bidi w:val="0"/>
              <w:adjustRightInd/>
              <w:snapToGrid/>
              <w:spacing w:line="380" w:lineRule="exact"/>
              <w:jc w:val="left"/>
              <w:textAlignment w:val="auto"/>
              <w:rPr>
                <w:rFonts w:hint="eastAsia"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滁州市琅琊区人民政府（https://www.lyq.gov.cn/）</w:t>
            </w:r>
          </w:p>
          <w:p w14:paraId="4E624FFB">
            <w:pPr>
              <w:keepNext w:val="0"/>
              <w:keepLines w:val="0"/>
              <w:pageBreakBefore w:val="0"/>
              <w:widowControl/>
              <w:kinsoku/>
              <w:wordWrap w:val="0"/>
              <w:overflowPunct/>
              <w:topLinePunct w:val="0"/>
              <w:autoSpaceDE/>
              <w:autoSpaceDN/>
              <w:bidi w:val="0"/>
              <w:adjustRightInd/>
              <w:snapToGrid/>
              <w:spacing w:line="380" w:lineRule="exact"/>
              <w:jc w:val="left"/>
              <w:textAlignment w:val="auto"/>
              <w:rPr>
                <w:rFonts w:hint="eastAsia"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中国招标公共服务平台（http://www.cebpubservice.com/）</w:t>
            </w:r>
          </w:p>
          <w:p w14:paraId="41625809">
            <w:pPr>
              <w:keepNext w:val="0"/>
              <w:keepLines w:val="0"/>
              <w:pageBreakBefore w:val="0"/>
              <w:widowControl/>
              <w:kinsoku/>
              <w:wordWrap w:val="0"/>
              <w:overflowPunct/>
              <w:topLinePunct w:val="0"/>
              <w:autoSpaceDE/>
              <w:autoSpaceDN/>
              <w:bidi w:val="0"/>
              <w:adjustRightInd/>
              <w:snapToGrid/>
              <w:spacing w:line="380" w:lineRule="exact"/>
              <w:jc w:val="left"/>
              <w:textAlignment w:val="auto"/>
              <w:rPr>
                <w:rFonts w:hint="eastAsia"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安徽省招标投标信息网（www.ahtba.org.cn）</w:t>
            </w:r>
          </w:p>
          <w:p w14:paraId="50C6D68C">
            <w:pPr>
              <w:keepNext w:val="0"/>
              <w:keepLines w:val="0"/>
              <w:pageBreakBefore w:val="0"/>
              <w:widowControl/>
              <w:kinsoku/>
              <w:wordWrap w:val="0"/>
              <w:overflowPunct/>
              <w:topLinePunct w:val="0"/>
              <w:autoSpaceDE/>
              <w:autoSpaceDN/>
              <w:bidi w:val="0"/>
              <w:adjustRightInd/>
              <w:snapToGrid/>
              <w:spacing w:line="380" w:lineRule="exact"/>
              <w:jc w:val="left"/>
              <w:textAlignment w:val="auto"/>
              <w:rPr>
                <w:rFonts w:hint="eastAsia" w:ascii="宋体" w:hAnsi="宋体" w:eastAsia="宋体" w:cs="宋体"/>
                <w:color w:val="auto"/>
                <w:szCs w:val="21"/>
                <w:highlight w:val="none"/>
                <w:lang w:val="en-US" w:eastAsia="zh-CN"/>
              </w:rPr>
            </w:pPr>
            <w:r>
              <w:rPr>
                <w:rFonts w:hint="eastAsia" w:ascii="Times New Roman" w:hAnsi="Times New Roman" w:eastAsia="宋体" w:cs="Times New Roman"/>
                <w:color w:val="auto"/>
                <w:highlight w:val="none"/>
                <w:lang w:val="en-US" w:eastAsia="zh-CN"/>
              </w:rPr>
              <w:t>滁州市城投工程咨询管理有限公司（https://www.czctgczx.com/）</w:t>
            </w:r>
          </w:p>
        </w:tc>
      </w:tr>
      <w:tr w14:paraId="0857C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610" w:type="dxa"/>
            <w:gridSpan w:val="2"/>
            <w:noWrap w:val="0"/>
            <w:vAlign w:val="center"/>
          </w:tcPr>
          <w:p w14:paraId="1930D497">
            <w:pPr>
              <w:keepNext w:val="0"/>
              <w:keepLines w:val="0"/>
              <w:pageBreakBefore w:val="0"/>
              <w:widowControl/>
              <w:kinsoku/>
              <w:wordWrap w:val="0"/>
              <w:overflowPunct/>
              <w:topLinePunct w:val="0"/>
              <w:autoSpaceDE/>
              <w:autoSpaceDN/>
              <w:bidi w:val="0"/>
              <w:adjustRightInd/>
              <w:snapToGrid/>
              <w:spacing w:line="380" w:lineRule="exact"/>
              <w:jc w:val="center"/>
              <w:textAlignment w:val="auto"/>
              <w:rPr>
                <w:rFonts w:hint="eastAsia" w:ascii="宋体" w:hAnsi="宋体" w:eastAsia="宋体" w:cs="宋体"/>
                <w:b/>
                <w:color w:val="auto"/>
                <w:kern w:val="0"/>
                <w:sz w:val="21"/>
                <w:szCs w:val="21"/>
                <w:highlight w:val="none"/>
              </w:rPr>
            </w:pPr>
            <w:r>
              <w:rPr>
                <w:rFonts w:hint="eastAsia" w:ascii="宋体" w:hAnsi="宋体" w:eastAsia="宋体" w:cs="宋体"/>
                <w:b/>
                <w:color w:val="auto"/>
                <w:sz w:val="21"/>
                <w:szCs w:val="21"/>
                <w:highlight w:val="none"/>
              </w:rPr>
              <w:t>投标保证金收取</w:t>
            </w:r>
          </w:p>
        </w:tc>
      </w:tr>
      <w:tr w14:paraId="453B2B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3" w:type="dxa"/>
            <w:noWrap w:val="0"/>
            <w:vAlign w:val="center"/>
          </w:tcPr>
          <w:p w14:paraId="0FC7C453">
            <w:pPr>
              <w:keepNext w:val="0"/>
              <w:keepLines w:val="0"/>
              <w:pageBreakBefore w:val="0"/>
              <w:widowControl/>
              <w:kinsoku/>
              <w:wordWrap w:val="0"/>
              <w:overflowPunct/>
              <w:topLinePunct w:val="0"/>
              <w:autoSpaceDE/>
              <w:autoSpaceDN/>
              <w:bidi w:val="0"/>
              <w:adjustRightInd/>
              <w:snapToGrid/>
              <w:spacing w:line="38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保证金收取</w:t>
            </w:r>
          </w:p>
        </w:tc>
        <w:tc>
          <w:tcPr>
            <w:tcW w:w="7677" w:type="dxa"/>
            <w:noWrap w:val="0"/>
            <w:vAlign w:val="center"/>
          </w:tcPr>
          <w:p w14:paraId="14C6C619">
            <w:pPr>
              <w:keepNext w:val="0"/>
              <w:keepLines w:val="0"/>
              <w:pageBreakBefore w:val="0"/>
              <w:widowControl/>
              <w:kinsoku/>
              <w:wordWrap w:val="0"/>
              <w:overflowPunct/>
              <w:topLinePunct w:val="0"/>
              <w:autoSpaceDE/>
              <w:autoSpaceDN/>
              <w:bidi w:val="0"/>
              <w:adjustRightInd/>
              <w:snapToGrid/>
              <w:spacing w:line="380" w:lineRule="exact"/>
              <w:jc w:val="left"/>
              <w:textAlignment w:val="auto"/>
              <w:rPr>
                <w:rFonts w:hint="eastAsia" w:ascii="宋体" w:hAnsi="宋体" w:eastAsia="宋体" w:cs="宋体"/>
                <w:color w:val="auto"/>
                <w:sz w:val="21"/>
                <w:szCs w:val="21"/>
                <w:highlight w:val="none"/>
                <w:lang w:val="en-US" w:eastAsia="zh-CN"/>
              </w:rPr>
            </w:pPr>
            <w:r>
              <w:rPr>
                <w:rFonts w:hint="eastAsia" w:cs="Times New Roman"/>
                <w:color w:val="auto"/>
                <w:highlight w:val="none"/>
                <w:lang w:val="en-US" w:eastAsia="zh-CN"/>
              </w:rPr>
              <w:t>本项目不</w:t>
            </w:r>
            <w:r>
              <w:rPr>
                <w:rFonts w:hint="eastAsia" w:ascii="Times New Roman" w:hAnsi="Times New Roman" w:eastAsia="宋体" w:cs="Times New Roman"/>
                <w:color w:val="auto"/>
                <w:highlight w:val="none"/>
                <w:lang w:val="en-US" w:eastAsia="zh-CN"/>
              </w:rPr>
              <w:t>要求提交投标保证金</w:t>
            </w:r>
          </w:p>
        </w:tc>
      </w:tr>
      <w:tr w14:paraId="711C95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610" w:type="dxa"/>
            <w:gridSpan w:val="2"/>
            <w:noWrap w:val="0"/>
            <w:vAlign w:val="center"/>
          </w:tcPr>
          <w:p w14:paraId="05DB97D6">
            <w:pPr>
              <w:keepNext w:val="0"/>
              <w:keepLines w:val="0"/>
              <w:pageBreakBefore w:val="0"/>
              <w:widowControl/>
              <w:kinsoku/>
              <w:wordWrap w:val="0"/>
              <w:overflowPunct/>
              <w:topLinePunct w:val="0"/>
              <w:autoSpaceDE/>
              <w:autoSpaceDN/>
              <w:bidi w:val="0"/>
              <w:adjustRightInd/>
              <w:snapToGrid/>
              <w:spacing w:line="380" w:lineRule="exact"/>
              <w:jc w:val="center"/>
              <w:textAlignment w:val="auto"/>
              <w:rPr>
                <w:rFonts w:hint="eastAsia" w:ascii="宋体" w:hAnsi="宋体" w:eastAsia="宋体" w:cs="宋体"/>
                <w:b/>
                <w:color w:val="auto"/>
                <w:kern w:val="0"/>
                <w:sz w:val="21"/>
                <w:szCs w:val="21"/>
                <w:highlight w:val="none"/>
              </w:rPr>
            </w:pPr>
            <w:r>
              <w:rPr>
                <w:rFonts w:hint="eastAsia" w:ascii="宋体" w:hAnsi="宋体" w:eastAsia="宋体" w:cs="宋体"/>
                <w:b/>
                <w:color w:val="auto"/>
                <w:kern w:val="0"/>
                <w:sz w:val="21"/>
                <w:szCs w:val="21"/>
                <w:highlight w:val="none"/>
              </w:rPr>
              <w:t>联系方式</w:t>
            </w:r>
          </w:p>
        </w:tc>
      </w:tr>
      <w:tr w14:paraId="6F247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3" w:type="dxa"/>
            <w:noWrap w:val="0"/>
            <w:vAlign w:val="center"/>
          </w:tcPr>
          <w:p w14:paraId="42E16C3F">
            <w:pPr>
              <w:keepNext w:val="0"/>
              <w:keepLines w:val="0"/>
              <w:pageBreakBefore w:val="0"/>
              <w:widowControl/>
              <w:kinsoku/>
              <w:wordWrap w:val="0"/>
              <w:overflowPunct/>
              <w:topLinePunct w:val="0"/>
              <w:autoSpaceDE/>
              <w:autoSpaceDN/>
              <w:bidi w:val="0"/>
              <w:adjustRightInd/>
              <w:snapToGrid/>
              <w:spacing w:line="380" w:lineRule="exact"/>
              <w:jc w:val="center"/>
              <w:textAlignment w:val="auto"/>
              <w:rPr>
                <w:rFonts w:hint="eastAsia" w:ascii="宋体" w:hAnsi="宋体" w:eastAsia="宋体" w:cs="宋体"/>
                <w:bCs/>
                <w:color w:val="auto"/>
                <w:spacing w:val="-6"/>
                <w:sz w:val="21"/>
                <w:szCs w:val="21"/>
                <w:highlight w:val="none"/>
              </w:rPr>
            </w:pPr>
            <w:r>
              <w:rPr>
                <w:rFonts w:hint="eastAsia" w:ascii="宋体" w:hAnsi="宋体" w:eastAsia="宋体" w:cs="宋体"/>
                <w:bCs/>
                <w:color w:val="auto"/>
                <w:spacing w:val="-6"/>
                <w:sz w:val="21"/>
                <w:szCs w:val="21"/>
                <w:highlight w:val="none"/>
              </w:rPr>
              <w:t>招标人名称</w:t>
            </w:r>
          </w:p>
        </w:tc>
        <w:tc>
          <w:tcPr>
            <w:tcW w:w="7677" w:type="dxa"/>
            <w:noWrap w:val="0"/>
            <w:vAlign w:val="center"/>
          </w:tcPr>
          <w:p w14:paraId="2D2A6C29">
            <w:pPr>
              <w:keepNext w:val="0"/>
              <w:keepLines w:val="0"/>
              <w:pageBreakBefore w:val="0"/>
              <w:widowControl/>
              <w:shd w:val="clear" w:color="auto" w:fill="auto"/>
              <w:kinsoku/>
              <w:wordWrap w:val="0"/>
              <w:overflowPunct/>
              <w:topLinePunct w:val="0"/>
              <w:autoSpaceDE/>
              <w:autoSpaceDN/>
              <w:bidi w:val="0"/>
              <w:adjustRightInd/>
              <w:snapToGrid/>
              <w:spacing w:line="380" w:lineRule="exact"/>
              <w:jc w:val="left"/>
              <w:textAlignment w:val="auto"/>
              <w:rPr>
                <w:rFonts w:hint="eastAsia" w:ascii="宋体" w:hAnsi="宋体" w:eastAsia="宋体" w:cs="宋体"/>
                <w:color w:val="auto"/>
                <w:kern w:val="0"/>
                <w:sz w:val="21"/>
                <w:szCs w:val="21"/>
                <w:highlight w:val="none"/>
                <w:lang w:eastAsia="zh-CN"/>
              </w:rPr>
            </w:pPr>
            <w:r>
              <w:rPr>
                <w:rFonts w:hint="eastAsia" w:ascii="宋体" w:hAnsi="宋体" w:cs="宋体"/>
                <w:color w:val="auto"/>
                <w:kern w:val="0"/>
                <w:sz w:val="21"/>
                <w:szCs w:val="21"/>
                <w:highlight w:val="none"/>
                <w:lang w:eastAsia="zh-CN"/>
              </w:rPr>
              <w:t>安徽富邦建设工程有限公司</w:t>
            </w:r>
            <w:r>
              <w:rPr>
                <w:rFonts w:hint="eastAsia" w:ascii="宋体" w:hAnsi="宋体" w:eastAsia="宋体" w:cs="宋体"/>
                <w:color w:val="auto"/>
                <w:kern w:val="0"/>
                <w:sz w:val="21"/>
                <w:szCs w:val="21"/>
                <w:highlight w:val="none"/>
                <w:lang w:eastAsia="zh-CN"/>
              </w:rPr>
              <w:t xml:space="preserve"> </w:t>
            </w:r>
          </w:p>
        </w:tc>
      </w:tr>
      <w:tr w14:paraId="5C15C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3" w:type="dxa"/>
            <w:noWrap w:val="0"/>
            <w:vAlign w:val="center"/>
          </w:tcPr>
          <w:p w14:paraId="28A63B0F">
            <w:pPr>
              <w:keepNext w:val="0"/>
              <w:keepLines w:val="0"/>
              <w:pageBreakBefore w:val="0"/>
              <w:widowControl/>
              <w:kinsoku/>
              <w:wordWrap w:val="0"/>
              <w:overflowPunct/>
              <w:topLinePunct w:val="0"/>
              <w:autoSpaceDE/>
              <w:autoSpaceDN/>
              <w:bidi w:val="0"/>
              <w:adjustRightInd/>
              <w:snapToGrid/>
              <w:spacing w:line="380" w:lineRule="exact"/>
              <w:jc w:val="center"/>
              <w:textAlignment w:val="auto"/>
              <w:rPr>
                <w:rFonts w:hint="eastAsia" w:ascii="宋体" w:hAnsi="宋体" w:eastAsia="宋体" w:cs="宋体"/>
                <w:bCs/>
                <w:color w:val="auto"/>
                <w:spacing w:val="-6"/>
                <w:sz w:val="21"/>
                <w:szCs w:val="21"/>
                <w:highlight w:val="none"/>
              </w:rPr>
            </w:pPr>
            <w:r>
              <w:rPr>
                <w:rFonts w:hint="eastAsia" w:ascii="宋体" w:hAnsi="宋体" w:eastAsia="宋体" w:cs="宋体"/>
                <w:bCs/>
                <w:color w:val="auto"/>
                <w:spacing w:val="-6"/>
                <w:sz w:val="21"/>
                <w:szCs w:val="21"/>
                <w:highlight w:val="none"/>
              </w:rPr>
              <w:t>招标人地址</w:t>
            </w:r>
          </w:p>
        </w:tc>
        <w:tc>
          <w:tcPr>
            <w:tcW w:w="7677" w:type="dxa"/>
            <w:noWrap w:val="0"/>
            <w:vAlign w:val="center"/>
          </w:tcPr>
          <w:p w14:paraId="721F56AB">
            <w:pPr>
              <w:keepNext w:val="0"/>
              <w:keepLines w:val="0"/>
              <w:pageBreakBefore w:val="0"/>
              <w:widowControl/>
              <w:shd w:val="clear" w:color="auto" w:fill="auto"/>
              <w:kinsoku/>
              <w:wordWrap w:val="0"/>
              <w:overflowPunct/>
              <w:topLinePunct w:val="0"/>
              <w:autoSpaceDE/>
              <w:autoSpaceDN/>
              <w:bidi w:val="0"/>
              <w:adjustRightInd/>
              <w:snapToGrid/>
              <w:spacing w:line="380" w:lineRule="exact"/>
              <w:jc w:val="left"/>
              <w:textAlignment w:val="auto"/>
              <w:rPr>
                <w:rFonts w:hint="eastAsia" w:ascii="宋体" w:hAnsi="宋体" w:eastAsia="宋体" w:cs="宋体"/>
                <w:color w:val="auto"/>
                <w:kern w:val="0"/>
                <w:sz w:val="21"/>
                <w:szCs w:val="21"/>
                <w:highlight w:val="none"/>
                <w:lang w:eastAsia="zh-CN"/>
              </w:rPr>
            </w:pPr>
            <w:r>
              <w:rPr>
                <w:rFonts w:hint="eastAsia" w:ascii="宋体" w:hAnsi="宋体" w:eastAsia="宋体" w:cs="宋体"/>
                <w:color w:val="auto"/>
                <w:kern w:val="0"/>
                <w:sz w:val="21"/>
                <w:szCs w:val="21"/>
                <w:highlight w:val="none"/>
                <w:lang w:eastAsia="zh-CN"/>
              </w:rPr>
              <w:t>安徽省滁州市琅琊区104国道和铜陵路交叉口西南侧</w:t>
            </w:r>
          </w:p>
        </w:tc>
      </w:tr>
      <w:tr w14:paraId="53D11F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3" w:type="dxa"/>
            <w:noWrap w:val="0"/>
            <w:vAlign w:val="center"/>
          </w:tcPr>
          <w:p w14:paraId="0C32FFCA">
            <w:pPr>
              <w:keepNext w:val="0"/>
              <w:keepLines w:val="0"/>
              <w:pageBreakBefore w:val="0"/>
              <w:widowControl/>
              <w:kinsoku/>
              <w:wordWrap w:val="0"/>
              <w:overflowPunct/>
              <w:topLinePunct w:val="0"/>
              <w:autoSpaceDE/>
              <w:autoSpaceDN/>
              <w:bidi w:val="0"/>
              <w:adjustRightInd/>
              <w:snapToGrid/>
              <w:spacing w:line="380" w:lineRule="exact"/>
              <w:jc w:val="center"/>
              <w:textAlignment w:val="auto"/>
              <w:rPr>
                <w:rFonts w:hint="eastAsia" w:ascii="宋体" w:hAnsi="宋体" w:eastAsia="宋体" w:cs="宋体"/>
                <w:bCs/>
                <w:color w:val="auto"/>
                <w:spacing w:val="-6"/>
                <w:sz w:val="21"/>
                <w:szCs w:val="21"/>
                <w:highlight w:val="none"/>
              </w:rPr>
            </w:pPr>
            <w:r>
              <w:rPr>
                <w:rFonts w:hint="eastAsia" w:ascii="宋体" w:hAnsi="宋体" w:eastAsia="宋体" w:cs="宋体"/>
                <w:bCs/>
                <w:color w:val="auto"/>
                <w:spacing w:val="-6"/>
                <w:sz w:val="21"/>
                <w:szCs w:val="21"/>
                <w:highlight w:val="none"/>
              </w:rPr>
              <w:t>招标人联系人</w:t>
            </w:r>
          </w:p>
        </w:tc>
        <w:tc>
          <w:tcPr>
            <w:tcW w:w="7677" w:type="dxa"/>
            <w:noWrap w:val="0"/>
            <w:vAlign w:val="center"/>
          </w:tcPr>
          <w:p w14:paraId="0CA615D4">
            <w:pPr>
              <w:keepNext w:val="0"/>
              <w:keepLines w:val="0"/>
              <w:pageBreakBefore w:val="0"/>
              <w:widowControl/>
              <w:shd w:val="clear" w:color="auto" w:fill="auto"/>
              <w:kinsoku/>
              <w:wordWrap w:val="0"/>
              <w:overflowPunct/>
              <w:topLinePunct w:val="0"/>
              <w:autoSpaceDE/>
              <w:autoSpaceDN/>
              <w:bidi w:val="0"/>
              <w:adjustRightInd/>
              <w:snapToGrid/>
              <w:spacing w:line="380" w:lineRule="exact"/>
              <w:jc w:val="left"/>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杨飞</w:t>
            </w:r>
          </w:p>
        </w:tc>
      </w:tr>
      <w:tr w14:paraId="79E3C9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933" w:type="dxa"/>
            <w:noWrap w:val="0"/>
            <w:vAlign w:val="center"/>
          </w:tcPr>
          <w:p w14:paraId="6C0D56E8">
            <w:pPr>
              <w:keepNext w:val="0"/>
              <w:keepLines w:val="0"/>
              <w:pageBreakBefore w:val="0"/>
              <w:widowControl/>
              <w:kinsoku/>
              <w:wordWrap w:val="0"/>
              <w:overflowPunct/>
              <w:topLinePunct w:val="0"/>
              <w:autoSpaceDE/>
              <w:autoSpaceDN/>
              <w:bidi w:val="0"/>
              <w:adjustRightInd/>
              <w:snapToGrid/>
              <w:spacing w:line="380" w:lineRule="exact"/>
              <w:jc w:val="center"/>
              <w:textAlignment w:val="auto"/>
              <w:rPr>
                <w:rFonts w:hint="eastAsia" w:ascii="宋体" w:hAnsi="宋体" w:eastAsia="宋体" w:cs="宋体"/>
                <w:bCs/>
                <w:color w:val="auto"/>
                <w:spacing w:val="-6"/>
                <w:sz w:val="21"/>
                <w:szCs w:val="21"/>
                <w:highlight w:val="none"/>
              </w:rPr>
            </w:pPr>
            <w:r>
              <w:rPr>
                <w:rFonts w:hint="eastAsia" w:ascii="宋体" w:hAnsi="宋体" w:eastAsia="宋体" w:cs="宋体"/>
                <w:color w:val="auto"/>
                <w:kern w:val="0"/>
                <w:szCs w:val="21"/>
                <w:highlight w:val="none"/>
                <w:lang w:val="en-US" w:eastAsia="zh-CN"/>
              </w:rPr>
              <w:t>招标人</w:t>
            </w:r>
            <w:r>
              <w:rPr>
                <w:rFonts w:hint="eastAsia" w:ascii="宋体" w:hAnsi="宋体" w:eastAsia="宋体" w:cs="宋体"/>
                <w:bCs/>
                <w:color w:val="auto"/>
                <w:spacing w:val="-6"/>
                <w:sz w:val="21"/>
                <w:szCs w:val="21"/>
                <w:highlight w:val="none"/>
              </w:rPr>
              <w:t>电话</w:t>
            </w:r>
          </w:p>
        </w:tc>
        <w:tc>
          <w:tcPr>
            <w:tcW w:w="7677" w:type="dxa"/>
            <w:noWrap w:val="0"/>
            <w:vAlign w:val="center"/>
          </w:tcPr>
          <w:p w14:paraId="0786EC85">
            <w:pPr>
              <w:keepNext w:val="0"/>
              <w:keepLines w:val="0"/>
              <w:pageBreakBefore w:val="0"/>
              <w:widowControl/>
              <w:shd w:val="clear" w:color="auto" w:fill="auto"/>
              <w:kinsoku/>
              <w:wordWrap w:val="0"/>
              <w:overflowPunct/>
              <w:topLinePunct w:val="0"/>
              <w:autoSpaceDE/>
              <w:autoSpaceDN/>
              <w:bidi w:val="0"/>
              <w:adjustRightInd/>
              <w:snapToGrid/>
              <w:spacing w:line="38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18656564307</w:t>
            </w:r>
          </w:p>
        </w:tc>
      </w:tr>
      <w:tr w14:paraId="5A8EF6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3" w:type="dxa"/>
            <w:shd w:val="clear" w:color="auto" w:fill="auto"/>
            <w:noWrap w:val="0"/>
            <w:vAlign w:val="center"/>
          </w:tcPr>
          <w:p w14:paraId="34E3BA3D">
            <w:pPr>
              <w:keepNext w:val="0"/>
              <w:keepLines w:val="0"/>
              <w:pageBreakBefore w:val="0"/>
              <w:widowControl/>
              <w:kinsoku/>
              <w:wordWrap w:val="0"/>
              <w:overflowPunct/>
              <w:topLinePunct w:val="0"/>
              <w:autoSpaceDE/>
              <w:autoSpaceDN/>
              <w:bidi w:val="0"/>
              <w:adjustRightInd/>
              <w:snapToGrid/>
              <w:spacing w:line="380" w:lineRule="exact"/>
              <w:jc w:val="center"/>
              <w:textAlignment w:val="auto"/>
              <w:rPr>
                <w:rFonts w:hint="eastAsia" w:ascii="宋体" w:hAnsi="宋体" w:eastAsia="宋体" w:cs="宋体"/>
                <w:bCs/>
                <w:color w:val="auto"/>
                <w:spacing w:val="-6"/>
                <w:kern w:val="2"/>
                <w:sz w:val="21"/>
                <w:szCs w:val="21"/>
                <w:highlight w:val="none"/>
                <w:lang w:val="en-US" w:eastAsia="zh-CN" w:bidi="ar-SA"/>
              </w:rPr>
            </w:pPr>
            <w:r>
              <w:rPr>
                <w:rFonts w:hint="eastAsia" w:ascii="宋体" w:hAnsi="宋体" w:eastAsia="宋体" w:cs="宋体"/>
                <w:color w:val="auto"/>
                <w:kern w:val="0"/>
                <w:szCs w:val="21"/>
                <w:highlight w:val="none"/>
                <w:lang w:val="en-US" w:eastAsia="zh-CN"/>
              </w:rPr>
              <w:t>建设单位</w:t>
            </w:r>
            <w:r>
              <w:rPr>
                <w:rFonts w:hint="eastAsia" w:ascii="宋体" w:hAnsi="宋体" w:eastAsia="宋体" w:cs="宋体"/>
                <w:bCs/>
                <w:color w:val="auto"/>
                <w:spacing w:val="-6"/>
                <w:sz w:val="21"/>
                <w:szCs w:val="21"/>
                <w:highlight w:val="none"/>
              </w:rPr>
              <w:t>名称</w:t>
            </w:r>
          </w:p>
        </w:tc>
        <w:tc>
          <w:tcPr>
            <w:tcW w:w="7677" w:type="dxa"/>
            <w:noWrap w:val="0"/>
            <w:vAlign w:val="center"/>
          </w:tcPr>
          <w:p w14:paraId="16066E0A">
            <w:pPr>
              <w:keepNext w:val="0"/>
              <w:keepLines w:val="0"/>
              <w:pageBreakBefore w:val="0"/>
              <w:widowControl/>
              <w:kinsoku/>
              <w:wordWrap w:val="0"/>
              <w:overflowPunct/>
              <w:topLinePunct w:val="0"/>
              <w:autoSpaceDE/>
              <w:autoSpaceDN/>
              <w:bidi w:val="0"/>
              <w:adjustRightInd/>
              <w:snapToGrid/>
              <w:spacing w:line="380" w:lineRule="exact"/>
              <w:jc w:val="left"/>
              <w:textAlignment w:val="auto"/>
              <w:rPr>
                <w:rFonts w:hint="eastAsia" w:ascii="宋体" w:hAnsi="宋体" w:eastAsia="宋体" w:cs="宋体"/>
                <w:color w:val="auto"/>
                <w:sz w:val="21"/>
                <w:szCs w:val="21"/>
                <w:highlight w:val="none"/>
              </w:rPr>
            </w:pPr>
            <w:r>
              <w:rPr>
                <w:rFonts w:hint="eastAsia" w:ascii="宋体" w:hAnsi="宋体" w:cs="宋体"/>
                <w:color w:val="auto"/>
                <w:szCs w:val="21"/>
                <w:highlight w:val="none"/>
                <w:lang w:eastAsia="zh-CN"/>
              </w:rPr>
              <w:t>滁州市琅琊区国控发展集团有限公司</w:t>
            </w:r>
          </w:p>
        </w:tc>
      </w:tr>
      <w:tr w14:paraId="15CDE1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3" w:type="dxa"/>
            <w:shd w:val="clear" w:color="auto" w:fill="auto"/>
            <w:noWrap w:val="0"/>
            <w:vAlign w:val="center"/>
          </w:tcPr>
          <w:p w14:paraId="6BC5FDE7">
            <w:pPr>
              <w:keepNext w:val="0"/>
              <w:keepLines w:val="0"/>
              <w:pageBreakBefore w:val="0"/>
              <w:widowControl/>
              <w:kinsoku/>
              <w:wordWrap w:val="0"/>
              <w:overflowPunct/>
              <w:topLinePunct w:val="0"/>
              <w:autoSpaceDE/>
              <w:autoSpaceDN/>
              <w:bidi w:val="0"/>
              <w:adjustRightInd/>
              <w:snapToGrid/>
              <w:spacing w:line="380" w:lineRule="exact"/>
              <w:jc w:val="center"/>
              <w:textAlignment w:val="auto"/>
              <w:rPr>
                <w:rFonts w:hint="default" w:ascii="宋体" w:hAnsi="宋体" w:eastAsia="宋体" w:cs="宋体"/>
                <w:bCs/>
                <w:color w:val="auto"/>
                <w:spacing w:val="-6"/>
                <w:kern w:val="2"/>
                <w:sz w:val="21"/>
                <w:szCs w:val="21"/>
                <w:highlight w:val="none"/>
                <w:lang w:val="en-US" w:eastAsia="zh-CN" w:bidi="ar-SA"/>
              </w:rPr>
            </w:pPr>
            <w:r>
              <w:rPr>
                <w:rFonts w:hint="eastAsia" w:ascii="宋体" w:hAnsi="宋体" w:eastAsia="宋体" w:cs="宋体"/>
                <w:color w:val="auto"/>
                <w:kern w:val="0"/>
                <w:szCs w:val="21"/>
                <w:highlight w:val="none"/>
                <w:lang w:val="en-US" w:eastAsia="zh-CN"/>
              </w:rPr>
              <w:t>建设单位地址</w:t>
            </w:r>
          </w:p>
        </w:tc>
        <w:tc>
          <w:tcPr>
            <w:tcW w:w="7677" w:type="dxa"/>
            <w:noWrap w:val="0"/>
            <w:vAlign w:val="center"/>
          </w:tcPr>
          <w:p w14:paraId="6FB8A2C3">
            <w:pPr>
              <w:keepNext w:val="0"/>
              <w:keepLines w:val="0"/>
              <w:pageBreakBefore w:val="0"/>
              <w:widowControl/>
              <w:kinsoku/>
              <w:wordWrap w:val="0"/>
              <w:overflowPunct/>
              <w:topLinePunct w:val="0"/>
              <w:autoSpaceDE/>
              <w:autoSpaceDN/>
              <w:bidi w:val="0"/>
              <w:adjustRightInd/>
              <w:snapToGrid/>
              <w:spacing w:line="380" w:lineRule="exact"/>
              <w:jc w:val="left"/>
              <w:textAlignment w:val="auto"/>
              <w:rPr>
                <w:rFonts w:hint="eastAsia" w:ascii="宋体" w:hAnsi="宋体" w:eastAsia="宋体" w:cs="宋体"/>
                <w:color w:val="auto"/>
                <w:sz w:val="21"/>
                <w:szCs w:val="21"/>
                <w:highlight w:val="none"/>
              </w:rPr>
            </w:pPr>
            <w:r>
              <w:rPr>
                <w:rFonts w:hint="eastAsia" w:ascii="宋体" w:hAnsi="宋体" w:cs="宋体"/>
                <w:color w:val="auto"/>
                <w:szCs w:val="21"/>
                <w:highlight w:val="none"/>
                <w:lang w:eastAsia="zh-CN"/>
              </w:rPr>
              <w:t>滁州市琅琊区濠河路99号</w:t>
            </w:r>
          </w:p>
        </w:tc>
      </w:tr>
      <w:tr w14:paraId="41142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3" w:type="dxa"/>
            <w:shd w:val="clear" w:color="auto" w:fill="auto"/>
            <w:noWrap w:val="0"/>
            <w:vAlign w:val="center"/>
          </w:tcPr>
          <w:p w14:paraId="67A26CBE">
            <w:pPr>
              <w:keepNext w:val="0"/>
              <w:keepLines w:val="0"/>
              <w:pageBreakBefore w:val="0"/>
              <w:widowControl/>
              <w:kinsoku/>
              <w:wordWrap w:val="0"/>
              <w:overflowPunct/>
              <w:topLinePunct w:val="0"/>
              <w:autoSpaceDE/>
              <w:autoSpaceDN/>
              <w:bidi w:val="0"/>
              <w:adjustRightInd/>
              <w:snapToGrid/>
              <w:spacing w:line="380" w:lineRule="exact"/>
              <w:jc w:val="center"/>
              <w:textAlignment w:val="auto"/>
              <w:rPr>
                <w:rFonts w:hint="eastAsia" w:ascii="宋体" w:hAnsi="宋体" w:eastAsia="宋体" w:cs="宋体"/>
                <w:bCs/>
                <w:color w:val="auto"/>
                <w:spacing w:val="-6"/>
                <w:kern w:val="2"/>
                <w:sz w:val="21"/>
                <w:szCs w:val="21"/>
                <w:highlight w:val="none"/>
                <w:lang w:val="en-US" w:eastAsia="zh-CN" w:bidi="ar-SA"/>
              </w:rPr>
            </w:pPr>
            <w:r>
              <w:rPr>
                <w:rFonts w:hint="eastAsia" w:ascii="宋体" w:hAnsi="宋体" w:eastAsia="宋体" w:cs="宋体"/>
                <w:color w:val="auto"/>
                <w:kern w:val="0"/>
                <w:szCs w:val="21"/>
                <w:highlight w:val="none"/>
                <w:lang w:val="en-US" w:eastAsia="zh-CN"/>
              </w:rPr>
              <w:t>建设单位</w:t>
            </w:r>
            <w:r>
              <w:rPr>
                <w:rFonts w:hint="eastAsia" w:ascii="宋体" w:hAnsi="宋体" w:eastAsia="宋体" w:cs="宋体"/>
                <w:bCs/>
                <w:color w:val="auto"/>
                <w:spacing w:val="-6"/>
                <w:sz w:val="21"/>
                <w:szCs w:val="21"/>
                <w:highlight w:val="none"/>
                <w:lang w:val="en-US" w:eastAsia="zh-CN"/>
              </w:rPr>
              <w:t>联系人</w:t>
            </w:r>
          </w:p>
        </w:tc>
        <w:tc>
          <w:tcPr>
            <w:tcW w:w="7677" w:type="dxa"/>
            <w:noWrap w:val="0"/>
            <w:vAlign w:val="center"/>
          </w:tcPr>
          <w:p w14:paraId="27DC181C">
            <w:pPr>
              <w:keepNext w:val="0"/>
              <w:keepLines w:val="0"/>
              <w:pageBreakBefore w:val="0"/>
              <w:widowControl/>
              <w:kinsoku/>
              <w:wordWrap w:val="0"/>
              <w:overflowPunct/>
              <w:topLinePunct w:val="0"/>
              <w:autoSpaceDE/>
              <w:autoSpaceDN/>
              <w:bidi w:val="0"/>
              <w:adjustRightInd/>
              <w:snapToGrid/>
              <w:spacing w:line="380" w:lineRule="exact"/>
              <w:jc w:val="left"/>
              <w:textAlignment w:val="auto"/>
              <w:rPr>
                <w:rFonts w:hint="eastAsia" w:ascii="宋体" w:hAnsi="宋体" w:eastAsia="宋体" w:cs="宋体"/>
                <w:color w:val="auto"/>
                <w:sz w:val="21"/>
                <w:szCs w:val="21"/>
                <w:highlight w:val="none"/>
              </w:rPr>
            </w:pPr>
            <w:r>
              <w:rPr>
                <w:rFonts w:hint="eastAsia" w:ascii="宋体" w:hAnsi="宋体" w:cs="宋体"/>
                <w:color w:val="auto"/>
                <w:szCs w:val="21"/>
                <w:highlight w:val="none"/>
                <w:lang w:eastAsia="zh-CN"/>
              </w:rPr>
              <w:t>黎天畅</w:t>
            </w:r>
          </w:p>
        </w:tc>
      </w:tr>
      <w:tr w14:paraId="343ED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3" w:type="dxa"/>
            <w:shd w:val="clear" w:color="auto" w:fill="auto"/>
            <w:noWrap w:val="0"/>
            <w:vAlign w:val="center"/>
          </w:tcPr>
          <w:p w14:paraId="38980494">
            <w:pPr>
              <w:keepNext w:val="0"/>
              <w:keepLines w:val="0"/>
              <w:pageBreakBefore w:val="0"/>
              <w:widowControl/>
              <w:kinsoku/>
              <w:wordWrap w:val="0"/>
              <w:overflowPunct/>
              <w:topLinePunct w:val="0"/>
              <w:autoSpaceDE/>
              <w:autoSpaceDN/>
              <w:bidi w:val="0"/>
              <w:adjustRightInd/>
              <w:snapToGrid/>
              <w:spacing w:line="380" w:lineRule="exact"/>
              <w:jc w:val="center"/>
              <w:textAlignment w:val="auto"/>
              <w:rPr>
                <w:rFonts w:hint="eastAsia" w:ascii="宋体" w:hAnsi="宋体" w:eastAsia="宋体" w:cs="宋体"/>
                <w:bCs/>
                <w:color w:val="auto"/>
                <w:spacing w:val="-6"/>
                <w:kern w:val="2"/>
                <w:sz w:val="21"/>
                <w:szCs w:val="21"/>
                <w:highlight w:val="none"/>
                <w:lang w:val="en-US" w:eastAsia="zh-CN" w:bidi="ar-SA"/>
              </w:rPr>
            </w:pPr>
            <w:r>
              <w:rPr>
                <w:rFonts w:hint="eastAsia" w:ascii="宋体" w:hAnsi="宋体" w:eastAsia="宋体" w:cs="宋体"/>
                <w:color w:val="auto"/>
                <w:kern w:val="0"/>
                <w:szCs w:val="21"/>
                <w:highlight w:val="none"/>
                <w:lang w:val="en-US" w:eastAsia="zh-CN"/>
              </w:rPr>
              <w:t>建设单位</w:t>
            </w:r>
            <w:r>
              <w:rPr>
                <w:rFonts w:hint="eastAsia" w:ascii="宋体" w:hAnsi="宋体" w:eastAsia="宋体" w:cs="宋体"/>
                <w:bCs/>
                <w:color w:val="auto"/>
                <w:spacing w:val="-6"/>
                <w:sz w:val="21"/>
                <w:szCs w:val="21"/>
                <w:highlight w:val="none"/>
              </w:rPr>
              <w:t>联系</w:t>
            </w:r>
            <w:r>
              <w:rPr>
                <w:rFonts w:hint="eastAsia" w:ascii="宋体" w:hAnsi="宋体" w:eastAsia="宋体" w:cs="宋体"/>
                <w:bCs/>
                <w:color w:val="auto"/>
                <w:spacing w:val="-6"/>
                <w:sz w:val="21"/>
                <w:szCs w:val="21"/>
                <w:highlight w:val="none"/>
                <w:lang w:val="en-US" w:eastAsia="zh-CN"/>
              </w:rPr>
              <w:t>电话</w:t>
            </w:r>
          </w:p>
        </w:tc>
        <w:tc>
          <w:tcPr>
            <w:tcW w:w="7677" w:type="dxa"/>
            <w:noWrap w:val="0"/>
            <w:vAlign w:val="center"/>
          </w:tcPr>
          <w:p w14:paraId="419046AC">
            <w:pPr>
              <w:keepNext w:val="0"/>
              <w:keepLines w:val="0"/>
              <w:pageBreakBefore w:val="0"/>
              <w:widowControl/>
              <w:kinsoku/>
              <w:wordWrap w:val="0"/>
              <w:overflowPunct/>
              <w:topLinePunct w:val="0"/>
              <w:autoSpaceDE/>
              <w:autoSpaceDN/>
              <w:bidi w:val="0"/>
              <w:adjustRightInd/>
              <w:snapToGrid/>
              <w:spacing w:line="380" w:lineRule="exact"/>
              <w:jc w:val="left"/>
              <w:textAlignment w:val="auto"/>
              <w:rPr>
                <w:rFonts w:hint="eastAsia" w:ascii="宋体" w:hAnsi="宋体" w:eastAsia="宋体" w:cs="宋体"/>
                <w:color w:val="auto"/>
                <w:sz w:val="21"/>
                <w:szCs w:val="21"/>
                <w:highlight w:val="none"/>
              </w:rPr>
            </w:pPr>
            <w:r>
              <w:rPr>
                <w:rFonts w:hint="eastAsia" w:ascii="宋体" w:hAnsi="宋体" w:cs="宋体"/>
                <w:color w:val="auto"/>
                <w:szCs w:val="21"/>
                <w:highlight w:val="none"/>
                <w:lang w:eastAsia="zh-CN"/>
              </w:rPr>
              <w:t>0550-3318150</w:t>
            </w:r>
          </w:p>
        </w:tc>
      </w:tr>
      <w:tr w14:paraId="555FA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933" w:type="dxa"/>
            <w:noWrap w:val="0"/>
            <w:vAlign w:val="center"/>
          </w:tcPr>
          <w:p w14:paraId="0D32F697">
            <w:pPr>
              <w:keepNext w:val="0"/>
              <w:keepLines w:val="0"/>
              <w:pageBreakBefore w:val="0"/>
              <w:widowControl/>
              <w:kinsoku/>
              <w:wordWrap w:val="0"/>
              <w:overflowPunct/>
              <w:topLinePunct w:val="0"/>
              <w:autoSpaceDE/>
              <w:autoSpaceDN/>
              <w:bidi w:val="0"/>
              <w:adjustRightInd/>
              <w:snapToGrid/>
              <w:spacing w:line="380" w:lineRule="exact"/>
              <w:jc w:val="center"/>
              <w:textAlignment w:val="auto"/>
              <w:rPr>
                <w:rFonts w:hint="eastAsia" w:ascii="宋体" w:hAnsi="宋体" w:eastAsia="宋体" w:cs="宋体"/>
                <w:bCs/>
                <w:color w:val="auto"/>
                <w:spacing w:val="-6"/>
                <w:sz w:val="21"/>
                <w:szCs w:val="21"/>
                <w:highlight w:val="none"/>
              </w:rPr>
            </w:pPr>
            <w:r>
              <w:rPr>
                <w:rFonts w:hint="eastAsia" w:ascii="宋体" w:hAnsi="宋体" w:eastAsia="宋体" w:cs="宋体"/>
                <w:bCs/>
                <w:color w:val="auto"/>
                <w:spacing w:val="-6"/>
                <w:sz w:val="21"/>
                <w:szCs w:val="21"/>
                <w:highlight w:val="none"/>
              </w:rPr>
              <w:t>招标代理机构名称</w:t>
            </w:r>
          </w:p>
        </w:tc>
        <w:tc>
          <w:tcPr>
            <w:tcW w:w="7677" w:type="dxa"/>
            <w:noWrap w:val="0"/>
            <w:vAlign w:val="center"/>
          </w:tcPr>
          <w:p w14:paraId="6FF9C0EE">
            <w:pPr>
              <w:keepNext w:val="0"/>
              <w:keepLines w:val="0"/>
              <w:pageBreakBefore w:val="0"/>
              <w:widowControl/>
              <w:kinsoku/>
              <w:wordWrap w:val="0"/>
              <w:overflowPunct/>
              <w:topLinePunct w:val="0"/>
              <w:autoSpaceDE/>
              <w:autoSpaceDN/>
              <w:bidi w:val="0"/>
              <w:adjustRightInd/>
              <w:snapToGrid/>
              <w:spacing w:line="380" w:lineRule="exact"/>
              <w:jc w:val="left"/>
              <w:textAlignment w:val="auto"/>
              <w:rPr>
                <w:rFonts w:hint="eastAsia" w:ascii="宋体" w:hAnsi="宋体" w:eastAsia="宋体" w:cs="宋体"/>
                <w:color w:val="auto"/>
                <w:kern w:val="0"/>
                <w:sz w:val="21"/>
                <w:szCs w:val="21"/>
                <w:highlight w:val="none"/>
                <w:lang w:eastAsia="zh-CN"/>
              </w:rPr>
            </w:pPr>
            <w:r>
              <w:rPr>
                <w:rFonts w:hint="eastAsia" w:ascii="宋体" w:hAnsi="宋体" w:eastAsia="宋体" w:cs="宋体"/>
                <w:color w:val="auto"/>
                <w:sz w:val="21"/>
                <w:szCs w:val="21"/>
                <w:highlight w:val="none"/>
              </w:rPr>
              <w:t>滁州市城投工程咨询管理有限公司</w:t>
            </w:r>
          </w:p>
        </w:tc>
      </w:tr>
      <w:tr w14:paraId="2D8B7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3" w:type="dxa"/>
            <w:noWrap w:val="0"/>
            <w:vAlign w:val="center"/>
          </w:tcPr>
          <w:p w14:paraId="5C1F41F8">
            <w:pPr>
              <w:keepNext w:val="0"/>
              <w:keepLines w:val="0"/>
              <w:pageBreakBefore w:val="0"/>
              <w:widowControl/>
              <w:kinsoku/>
              <w:wordWrap w:val="0"/>
              <w:overflowPunct/>
              <w:topLinePunct w:val="0"/>
              <w:autoSpaceDE/>
              <w:autoSpaceDN/>
              <w:bidi w:val="0"/>
              <w:adjustRightInd/>
              <w:snapToGrid/>
              <w:spacing w:line="380" w:lineRule="exact"/>
              <w:jc w:val="center"/>
              <w:textAlignment w:val="auto"/>
              <w:rPr>
                <w:rFonts w:hint="eastAsia" w:ascii="宋体" w:hAnsi="宋体" w:eastAsia="宋体" w:cs="宋体"/>
                <w:bCs/>
                <w:color w:val="auto"/>
                <w:spacing w:val="-6"/>
                <w:sz w:val="21"/>
                <w:szCs w:val="21"/>
                <w:highlight w:val="none"/>
              </w:rPr>
            </w:pPr>
            <w:r>
              <w:rPr>
                <w:rFonts w:hint="eastAsia" w:ascii="宋体" w:hAnsi="宋体" w:eastAsia="宋体" w:cs="宋体"/>
                <w:bCs/>
                <w:color w:val="auto"/>
                <w:spacing w:val="-6"/>
                <w:sz w:val="21"/>
                <w:szCs w:val="21"/>
                <w:highlight w:val="none"/>
              </w:rPr>
              <w:t>招标代理机构地址</w:t>
            </w:r>
          </w:p>
        </w:tc>
        <w:tc>
          <w:tcPr>
            <w:tcW w:w="7677" w:type="dxa"/>
            <w:noWrap w:val="0"/>
            <w:vAlign w:val="center"/>
          </w:tcPr>
          <w:p w14:paraId="6D12C6BB">
            <w:pPr>
              <w:keepNext w:val="0"/>
              <w:keepLines w:val="0"/>
              <w:pageBreakBefore w:val="0"/>
              <w:widowControl/>
              <w:kinsoku/>
              <w:wordWrap w:val="0"/>
              <w:overflowPunct/>
              <w:topLinePunct w:val="0"/>
              <w:autoSpaceDE/>
              <w:autoSpaceDN/>
              <w:bidi w:val="0"/>
              <w:adjustRightInd/>
              <w:snapToGrid/>
              <w:spacing w:line="380" w:lineRule="exact"/>
              <w:jc w:val="left"/>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sz w:val="21"/>
                <w:szCs w:val="21"/>
                <w:highlight w:val="none"/>
              </w:rPr>
              <w:t>滁州市龙蟠大道109号房产大厦6楼</w:t>
            </w:r>
            <w:r>
              <w:rPr>
                <w:rFonts w:hint="eastAsia" w:ascii="宋体" w:hAnsi="宋体" w:eastAsia="宋体" w:cs="宋体"/>
                <w:color w:val="auto"/>
                <w:sz w:val="21"/>
                <w:szCs w:val="21"/>
                <w:highlight w:val="none"/>
                <w:lang w:val="en-US" w:eastAsia="zh-CN"/>
              </w:rPr>
              <w:t>605室</w:t>
            </w:r>
          </w:p>
        </w:tc>
      </w:tr>
      <w:tr w14:paraId="5ECC4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3" w:type="dxa"/>
            <w:noWrap w:val="0"/>
            <w:vAlign w:val="center"/>
          </w:tcPr>
          <w:p w14:paraId="59B20423">
            <w:pPr>
              <w:keepNext w:val="0"/>
              <w:keepLines w:val="0"/>
              <w:pageBreakBefore w:val="0"/>
              <w:widowControl/>
              <w:kinsoku/>
              <w:wordWrap w:val="0"/>
              <w:overflowPunct/>
              <w:topLinePunct w:val="0"/>
              <w:autoSpaceDE/>
              <w:autoSpaceDN/>
              <w:bidi w:val="0"/>
              <w:adjustRightInd/>
              <w:snapToGrid/>
              <w:spacing w:line="380" w:lineRule="exact"/>
              <w:jc w:val="center"/>
              <w:textAlignment w:val="auto"/>
              <w:rPr>
                <w:rFonts w:hint="eastAsia" w:ascii="宋体" w:hAnsi="宋体" w:eastAsia="宋体" w:cs="宋体"/>
                <w:bCs/>
                <w:color w:val="auto"/>
                <w:spacing w:val="-6"/>
                <w:sz w:val="21"/>
                <w:szCs w:val="21"/>
                <w:highlight w:val="none"/>
              </w:rPr>
            </w:pPr>
            <w:r>
              <w:rPr>
                <w:rFonts w:hint="eastAsia" w:ascii="宋体" w:hAnsi="宋体" w:eastAsia="宋体" w:cs="宋体"/>
                <w:bCs/>
                <w:color w:val="auto"/>
                <w:spacing w:val="-6"/>
                <w:sz w:val="21"/>
                <w:szCs w:val="21"/>
                <w:highlight w:val="none"/>
              </w:rPr>
              <w:t>招标代理机构联系人</w:t>
            </w:r>
          </w:p>
        </w:tc>
        <w:tc>
          <w:tcPr>
            <w:tcW w:w="7677" w:type="dxa"/>
            <w:noWrap w:val="0"/>
            <w:vAlign w:val="center"/>
          </w:tcPr>
          <w:p w14:paraId="508420A3">
            <w:pPr>
              <w:keepNext w:val="0"/>
              <w:keepLines w:val="0"/>
              <w:pageBreakBefore w:val="0"/>
              <w:widowControl/>
              <w:kinsoku/>
              <w:wordWrap w:val="0"/>
              <w:overflowPunct/>
              <w:topLinePunct w:val="0"/>
              <w:autoSpaceDE/>
              <w:autoSpaceDN/>
              <w:bidi w:val="0"/>
              <w:adjustRightInd/>
              <w:snapToGrid/>
              <w:spacing w:line="380" w:lineRule="exact"/>
              <w:jc w:val="left"/>
              <w:textAlignment w:val="auto"/>
              <w:rPr>
                <w:rFonts w:hint="default" w:ascii="宋体" w:hAnsi="宋体" w:eastAsia="宋体" w:cs="宋体"/>
                <w:color w:val="auto"/>
                <w:kern w:val="0"/>
                <w:sz w:val="21"/>
                <w:szCs w:val="21"/>
                <w:highlight w:val="none"/>
                <w:lang w:val="en-US" w:eastAsia="zh-CN"/>
              </w:rPr>
            </w:pPr>
            <w:r>
              <w:rPr>
                <w:rFonts w:hint="eastAsia" w:ascii="宋体" w:hAnsi="宋体" w:cs="宋体"/>
                <w:color w:val="auto"/>
                <w:kern w:val="0"/>
                <w:sz w:val="21"/>
                <w:szCs w:val="21"/>
                <w:highlight w:val="none"/>
                <w:lang w:val="en-US" w:eastAsia="zh-CN"/>
              </w:rPr>
              <w:t>周晓培</w:t>
            </w:r>
          </w:p>
        </w:tc>
      </w:tr>
      <w:tr w14:paraId="2DBA5B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3" w:type="dxa"/>
            <w:noWrap w:val="0"/>
            <w:vAlign w:val="center"/>
          </w:tcPr>
          <w:p w14:paraId="4D7E1BD9">
            <w:pPr>
              <w:keepNext w:val="0"/>
              <w:keepLines w:val="0"/>
              <w:pageBreakBefore w:val="0"/>
              <w:widowControl/>
              <w:kinsoku/>
              <w:wordWrap w:val="0"/>
              <w:overflowPunct/>
              <w:topLinePunct w:val="0"/>
              <w:autoSpaceDE/>
              <w:autoSpaceDN/>
              <w:bidi w:val="0"/>
              <w:adjustRightInd/>
              <w:snapToGrid/>
              <w:spacing w:line="380" w:lineRule="exact"/>
              <w:jc w:val="center"/>
              <w:textAlignment w:val="auto"/>
              <w:rPr>
                <w:rFonts w:hint="eastAsia" w:ascii="宋体" w:hAnsi="宋体" w:eastAsia="宋体" w:cs="宋体"/>
                <w:bCs/>
                <w:color w:val="auto"/>
                <w:spacing w:val="-6"/>
                <w:sz w:val="21"/>
                <w:szCs w:val="21"/>
                <w:highlight w:val="none"/>
              </w:rPr>
            </w:pPr>
            <w:r>
              <w:rPr>
                <w:rFonts w:hint="eastAsia" w:ascii="宋体" w:hAnsi="宋体" w:eastAsia="宋体" w:cs="宋体"/>
                <w:bCs/>
                <w:color w:val="auto"/>
                <w:spacing w:val="-6"/>
                <w:sz w:val="21"/>
                <w:szCs w:val="21"/>
                <w:highlight w:val="none"/>
              </w:rPr>
              <w:t>代理机构电话</w:t>
            </w:r>
          </w:p>
        </w:tc>
        <w:tc>
          <w:tcPr>
            <w:tcW w:w="7677" w:type="dxa"/>
            <w:noWrap w:val="0"/>
            <w:vAlign w:val="center"/>
          </w:tcPr>
          <w:p w14:paraId="57DEDBE8">
            <w:pPr>
              <w:keepNext w:val="0"/>
              <w:keepLines w:val="0"/>
              <w:pageBreakBefore w:val="0"/>
              <w:widowControl/>
              <w:kinsoku/>
              <w:wordWrap w:val="0"/>
              <w:overflowPunct/>
              <w:topLinePunct w:val="0"/>
              <w:autoSpaceDE/>
              <w:autoSpaceDN/>
              <w:bidi w:val="0"/>
              <w:adjustRightInd/>
              <w:snapToGrid/>
              <w:spacing w:line="380" w:lineRule="exact"/>
              <w:jc w:val="left"/>
              <w:textAlignment w:val="auto"/>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eastAsia="zh-CN"/>
              </w:rPr>
              <w:t>0550-3519512</w:t>
            </w:r>
            <w:r>
              <w:rPr>
                <w:rFonts w:hint="eastAsia" w:ascii="宋体" w:hAnsi="宋体" w:eastAsia="宋体" w:cs="宋体"/>
                <w:color w:val="auto"/>
                <w:sz w:val="21"/>
                <w:szCs w:val="21"/>
                <w:highlight w:val="none"/>
                <w:lang w:val="en-US" w:eastAsia="zh-CN"/>
              </w:rPr>
              <w:t>、</w:t>
            </w:r>
            <w:r>
              <w:rPr>
                <w:rFonts w:hint="eastAsia" w:ascii="宋体" w:hAnsi="宋体" w:cs="宋体"/>
                <w:color w:val="auto"/>
                <w:sz w:val="21"/>
                <w:szCs w:val="21"/>
                <w:highlight w:val="none"/>
                <w:lang w:val="en-US" w:eastAsia="zh-CN"/>
              </w:rPr>
              <w:t>18255055896</w:t>
            </w:r>
          </w:p>
        </w:tc>
      </w:tr>
    </w:tbl>
    <w:p w14:paraId="043F8082">
      <w:pPr>
        <w:jc w:val="left"/>
        <w:rPr>
          <w:color w:val="auto"/>
          <w:highlight w:val="none"/>
        </w:rPr>
      </w:pPr>
    </w:p>
    <w:p w14:paraId="32A53F0D">
      <w:pPr>
        <w:pStyle w:val="44"/>
        <w:spacing w:beforeLines="50" w:afterLines="50" w:line="440" w:lineRule="exact"/>
        <w:rPr>
          <w:bCs/>
          <w:color w:val="auto"/>
          <w:szCs w:val="32"/>
          <w:highlight w:val="none"/>
        </w:rPr>
      </w:pPr>
      <w:bookmarkStart w:id="34" w:name="_Toc78803321"/>
      <w:r>
        <w:rPr>
          <w:rFonts w:hint="eastAsia"/>
          <w:bCs/>
          <w:color w:val="auto"/>
          <w:szCs w:val="32"/>
          <w:highlight w:val="none"/>
        </w:rPr>
        <w:br w:type="page"/>
      </w:r>
      <w:r>
        <w:rPr>
          <w:rFonts w:hint="eastAsia"/>
          <w:bCs/>
          <w:color w:val="auto"/>
          <w:szCs w:val="32"/>
          <w:highlight w:val="none"/>
        </w:rPr>
        <w:t>第</w:t>
      </w:r>
      <w:r>
        <w:rPr>
          <w:rFonts w:hint="eastAsia"/>
          <w:bCs/>
          <w:color w:val="auto"/>
          <w:szCs w:val="32"/>
          <w:highlight w:val="none"/>
          <w:lang w:val="en-US" w:eastAsia="zh-CN"/>
        </w:rPr>
        <w:t>二</w:t>
      </w:r>
      <w:r>
        <w:rPr>
          <w:rFonts w:hint="eastAsia"/>
          <w:bCs/>
          <w:color w:val="auto"/>
          <w:szCs w:val="32"/>
          <w:highlight w:val="none"/>
        </w:rPr>
        <w:t>章  投标人须知</w:t>
      </w:r>
      <w:bookmarkEnd w:id="20"/>
      <w:bookmarkEnd w:id="21"/>
      <w:bookmarkEnd w:id="22"/>
      <w:bookmarkEnd w:id="23"/>
      <w:bookmarkEnd w:id="24"/>
      <w:bookmarkEnd w:id="25"/>
      <w:bookmarkEnd w:id="26"/>
      <w:bookmarkEnd w:id="27"/>
      <w:bookmarkEnd w:id="28"/>
      <w:bookmarkEnd w:id="29"/>
      <w:bookmarkEnd w:id="30"/>
      <w:bookmarkEnd w:id="31"/>
      <w:bookmarkEnd w:id="34"/>
    </w:p>
    <w:p w14:paraId="594BBBF6">
      <w:pPr>
        <w:spacing w:beforeLines="50" w:afterLines="50" w:line="440" w:lineRule="exact"/>
        <w:jc w:val="center"/>
        <w:rPr>
          <w:b/>
          <w:bCs/>
          <w:color w:val="auto"/>
          <w:sz w:val="28"/>
          <w:szCs w:val="28"/>
          <w:highlight w:val="none"/>
        </w:rPr>
      </w:pPr>
      <w:bookmarkStart w:id="35" w:name="_Toc144974496"/>
      <w:bookmarkStart w:id="36" w:name="_Toc152042304"/>
      <w:bookmarkStart w:id="37" w:name="_Toc35425051"/>
      <w:bookmarkStart w:id="38" w:name="_Toc152045528"/>
      <w:bookmarkStart w:id="39" w:name="_Toc246996174"/>
      <w:bookmarkStart w:id="40" w:name="_Toc246996917"/>
      <w:bookmarkStart w:id="41" w:name="_Toc324404814"/>
      <w:bookmarkStart w:id="42" w:name="_Toc247085688"/>
      <w:bookmarkStart w:id="43" w:name="_Toc179632545"/>
      <w:bookmarkStart w:id="44" w:name="_Toc15058845"/>
      <w:bookmarkStart w:id="45" w:name="_Toc35424884"/>
      <w:bookmarkStart w:id="46" w:name="_Toc506107268"/>
      <w:r>
        <w:rPr>
          <w:rFonts w:hint="eastAsia"/>
          <w:b/>
          <w:bCs/>
          <w:color w:val="auto"/>
          <w:sz w:val="28"/>
          <w:szCs w:val="28"/>
          <w:highlight w:val="none"/>
        </w:rPr>
        <w:t>投标人须知前附表</w:t>
      </w:r>
      <w:bookmarkEnd w:id="35"/>
      <w:bookmarkEnd w:id="36"/>
      <w:bookmarkEnd w:id="37"/>
      <w:bookmarkEnd w:id="38"/>
      <w:bookmarkEnd w:id="39"/>
      <w:bookmarkEnd w:id="40"/>
      <w:bookmarkEnd w:id="41"/>
      <w:bookmarkEnd w:id="42"/>
      <w:bookmarkEnd w:id="43"/>
      <w:bookmarkEnd w:id="44"/>
      <w:bookmarkEnd w:id="45"/>
      <w:bookmarkEnd w:id="46"/>
    </w:p>
    <w:tbl>
      <w:tblPr>
        <w:tblStyle w:val="47"/>
        <w:tblW w:w="10328" w:type="dxa"/>
        <w:jc w:val="center"/>
        <w:tblLayout w:type="fixed"/>
        <w:tblCellMar>
          <w:top w:w="0" w:type="dxa"/>
          <w:left w:w="108" w:type="dxa"/>
          <w:bottom w:w="0" w:type="dxa"/>
          <w:right w:w="108" w:type="dxa"/>
        </w:tblCellMar>
      </w:tblPr>
      <w:tblGrid>
        <w:gridCol w:w="868"/>
        <w:gridCol w:w="910"/>
        <w:gridCol w:w="1299"/>
        <w:gridCol w:w="7251"/>
      </w:tblGrid>
      <w:tr w14:paraId="37A3BBD6">
        <w:tblPrEx>
          <w:tblCellMar>
            <w:top w:w="0" w:type="dxa"/>
            <w:left w:w="108" w:type="dxa"/>
            <w:bottom w:w="0" w:type="dxa"/>
            <w:right w:w="108" w:type="dxa"/>
          </w:tblCellMar>
        </w:tblPrEx>
        <w:trPr>
          <w:trHeight w:val="520" w:hRule="atLeast"/>
          <w:jc w:val="center"/>
        </w:trPr>
        <w:tc>
          <w:tcPr>
            <w:tcW w:w="868" w:type="dxa"/>
            <w:tcBorders>
              <w:top w:val="single" w:color="auto" w:sz="4" w:space="0"/>
              <w:left w:val="single" w:color="auto" w:sz="4" w:space="0"/>
              <w:bottom w:val="single" w:color="auto" w:sz="4" w:space="0"/>
              <w:right w:val="single" w:color="auto" w:sz="4" w:space="0"/>
            </w:tcBorders>
            <w:noWrap/>
            <w:vAlign w:val="center"/>
          </w:tcPr>
          <w:p w14:paraId="05319F0F">
            <w:pPr>
              <w:keepNext w:val="0"/>
              <w:keepLines w:val="0"/>
              <w:pageBreakBefore w:val="0"/>
              <w:kinsoku/>
              <w:wordWrap/>
              <w:overflowPunct/>
              <w:autoSpaceDN/>
              <w:bidi w:val="0"/>
              <w:spacing w:line="400" w:lineRule="exact"/>
              <w:jc w:val="center"/>
              <w:textAlignment w:val="auto"/>
              <w:rPr>
                <w:rFonts w:ascii="宋体" w:hAnsi="宋体" w:cs="宋体"/>
                <w:b/>
                <w:color w:val="auto"/>
                <w:szCs w:val="21"/>
                <w:highlight w:val="none"/>
              </w:rPr>
            </w:pPr>
            <w:bookmarkStart w:id="47" w:name="_Toc179632546"/>
            <w:bookmarkStart w:id="48" w:name="_Toc144974497"/>
            <w:bookmarkStart w:id="49" w:name="_Toc324404815"/>
            <w:bookmarkStart w:id="50" w:name="_Toc152042305"/>
            <w:bookmarkStart w:id="51" w:name="_Toc152045529"/>
            <w:bookmarkStart w:id="52" w:name="_Toc246996918"/>
            <w:bookmarkStart w:id="53" w:name="_Toc506107269"/>
            <w:bookmarkStart w:id="54" w:name="_Toc246996175"/>
            <w:bookmarkStart w:id="55" w:name="_Toc247085689"/>
            <w:r>
              <w:rPr>
                <w:rFonts w:hint="eastAsia" w:ascii="宋体" w:hAnsi="宋体" w:cs="宋体"/>
                <w:b/>
                <w:color w:val="auto"/>
                <w:szCs w:val="21"/>
                <w:highlight w:val="none"/>
              </w:rPr>
              <w:t>序号</w:t>
            </w:r>
          </w:p>
        </w:tc>
        <w:tc>
          <w:tcPr>
            <w:tcW w:w="2209" w:type="dxa"/>
            <w:gridSpan w:val="2"/>
            <w:tcBorders>
              <w:top w:val="single" w:color="auto" w:sz="4" w:space="0"/>
              <w:left w:val="single" w:color="auto" w:sz="4" w:space="0"/>
              <w:bottom w:val="single" w:color="auto" w:sz="4" w:space="0"/>
              <w:right w:val="single" w:color="auto" w:sz="4" w:space="0"/>
            </w:tcBorders>
            <w:noWrap/>
            <w:vAlign w:val="center"/>
          </w:tcPr>
          <w:p w14:paraId="0109513C">
            <w:pPr>
              <w:keepNext w:val="0"/>
              <w:keepLines w:val="0"/>
              <w:pageBreakBefore w:val="0"/>
              <w:kinsoku/>
              <w:wordWrap/>
              <w:overflowPunct/>
              <w:autoSpaceDN/>
              <w:bidi w:val="0"/>
              <w:spacing w:line="400" w:lineRule="exact"/>
              <w:jc w:val="center"/>
              <w:textAlignment w:val="auto"/>
              <w:rPr>
                <w:rFonts w:ascii="宋体" w:hAnsi="宋体" w:cs="宋体"/>
                <w:b/>
                <w:color w:val="auto"/>
                <w:szCs w:val="21"/>
                <w:highlight w:val="none"/>
              </w:rPr>
            </w:pPr>
            <w:r>
              <w:rPr>
                <w:rFonts w:hint="eastAsia" w:ascii="宋体" w:hAnsi="宋体" w:cs="宋体"/>
                <w:b/>
                <w:color w:val="auto"/>
                <w:szCs w:val="21"/>
                <w:highlight w:val="none"/>
              </w:rPr>
              <w:t>条  款  名  称</w:t>
            </w:r>
          </w:p>
        </w:tc>
        <w:tc>
          <w:tcPr>
            <w:tcW w:w="7251" w:type="dxa"/>
            <w:tcBorders>
              <w:top w:val="single" w:color="auto" w:sz="4" w:space="0"/>
              <w:left w:val="single" w:color="auto" w:sz="4" w:space="0"/>
              <w:bottom w:val="single" w:color="auto" w:sz="4" w:space="0"/>
              <w:right w:val="single" w:color="auto" w:sz="4" w:space="0"/>
            </w:tcBorders>
            <w:noWrap/>
            <w:vAlign w:val="center"/>
          </w:tcPr>
          <w:p w14:paraId="175926BC">
            <w:pPr>
              <w:keepNext w:val="0"/>
              <w:keepLines w:val="0"/>
              <w:pageBreakBefore w:val="0"/>
              <w:kinsoku/>
              <w:wordWrap/>
              <w:overflowPunct/>
              <w:autoSpaceDN/>
              <w:bidi w:val="0"/>
              <w:spacing w:line="400" w:lineRule="exact"/>
              <w:jc w:val="center"/>
              <w:textAlignment w:val="auto"/>
              <w:rPr>
                <w:rFonts w:ascii="宋体" w:hAnsi="宋体" w:cs="宋体"/>
                <w:b/>
                <w:color w:val="auto"/>
                <w:szCs w:val="21"/>
                <w:highlight w:val="none"/>
              </w:rPr>
            </w:pPr>
            <w:r>
              <w:rPr>
                <w:rFonts w:hint="eastAsia" w:ascii="宋体" w:hAnsi="宋体" w:cs="宋体"/>
                <w:b/>
                <w:color w:val="auto"/>
                <w:szCs w:val="21"/>
                <w:highlight w:val="none"/>
              </w:rPr>
              <w:t>编  列  内  容</w:t>
            </w:r>
          </w:p>
        </w:tc>
      </w:tr>
      <w:tr w14:paraId="399B8822">
        <w:tblPrEx>
          <w:tblCellMar>
            <w:top w:w="0" w:type="dxa"/>
            <w:left w:w="108" w:type="dxa"/>
            <w:bottom w:w="0" w:type="dxa"/>
            <w:right w:w="108" w:type="dxa"/>
          </w:tblCellMar>
        </w:tblPrEx>
        <w:trPr>
          <w:jc w:val="center"/>
        </w:trPr>
        <w:tc>
          <w:tcPr>
            <w:tcW w:w="868" w:type="dxa"/>
            <w:tcBorders>
              <w:top w:val="single" w:color="auto" w:sz="4" w:space="0"/>
              <w:left w:val="single" w:color="auto" w:sz="4" w:space="0"/>
              <w:bottom w:val="single" w:color="auto" w:sz="4" w:space="0"/>
              <w:right w:val="single" w:color="auto" w:sz="4" w:space="0"/>
            </w:tcBorders>
            <w:noWrap/>
            <w:vAlign w:val="center"/>
          </w:tcPr>
          <w:p w14:paraId="0EA00D87">
            <w:pPr>
              <w:keepNext w:val="0"/>
              <w:keepLines w:val="0"/>
              <w:pageBreakBefore w:val="0"/>
              <w:kinsoku/>
              <w:wordWrap/>
              <w:overflowPunct/>
              <w:autoSpaceDN/>
              <w:bidi w:val="0"/>
              <w:spacing w:line="400" w:lineRule="exact"/>
              <w:jc w:val="center"/>
              <w:textAlignment w:val="auto"/>
              <w:rPr>
                <w:rFonts w:ascii="宋体" w:hAnsi="宋体" w:cs="宋体"/>
                <w:color w:val="auto"/>
                <w:szCs w:val="21"/>
                <w:highlight w:val="none"/>
              </w:rPr>
            </w:pPr>
            <w:r>
              <w:rPr>
                <w:rFonts w:hint="eastAsia" w:ascii="宋体" w:hAnsi="宋体" w:cs="宋体"/>
                <w:color w:val="auto"/>
                <w:szCs w:val="21"/>
                <w:highlight w:val="none"/>
              </w:rPr>
              <w:t>1</w:t>
            </w:r>
          </w:p>
        </w:tc>
        <w:tc>
          <w:tcPr>
            <w:tcW w:w="2209" w:type="dxa"/>
            <w:gridSpan w:val="2"/>
            <w:tcBorders>
              <w:top w:val="single" w:color="auto" w:sz="4" w:space="0"/>
              <w:left w:val="single" w:color="auto" w:sz="4" w:space="0"/>
              <w:bottom w:val="single" w:color="auto" w:sz="4" w:space="0"/>
              <w:right w:val="single" w:color="auto" w:sz="4" w:space="0"/>
            </w:tcBorders>
            <w:noWrap/>
            <w:vAlign w:val="center"/>
          </w:tcPr>
          <w:p w14:paraId="24588F4B">
            <w:pPr>
              <w:keepNext w:val="0"/>
              <w:keepLines w:val="0"/>
              <w:pageBreakBefore w:val="0"/>
              <w:kinsoku/>
              <w:wordWrap/>
              <w:overflowPunct/>
              <w:autoSpaceDN/>
              <w:bidi w:val="0"/>
              <w:spacing w:line="400" w:lineRule="exact"/>
              <w:jc w:val="center"/>
              <w:textAlignment w:val="auto"/>
              <w:rPr>
                <w:rFonts w:ascii="宋体" w:hAnsi="宋体" w:cs="宋体"/>
                <w:color w:val="auto"/>
                <w:szCs w:val="21"/>
                <w:highlight w:val="none"/>
              </w:rPr>
            </w:pPr>
            <w:r>
              <w:rPr>
                <w:rFonts w:hint="eastAsia" w:ascii="宋体" w:hAnsi="宋体" w:cs="宋体"/>
                <w:color w:val="auto"/>
                <w:szCs w:val="21"/>
                <w:highlight w:val="none"/>
              </w:rPr>
              <w:t>招标人</w:t>
            </w:r>
          </w:p>
        </w:tc>
        <w:tc>
          <w:tcPr>
            <w:tcW w:w="7251" w:type="dxa"/>
            <w:tcBorders>
              <w:top w:val="single" w:color="auto" w:sz="4" w:space="0"/>
              <w:left w:val="single" w:color="auto" w:sz="4" w:space="0"/>
              <w:bottom w:val="single" w:color="auto" w:sz="4" w:space="0"/>
              <w:right w:val="single" w:color="auto" w:sz="4" w:space="0"/>
            </w:tcBorders>
            <w:noWrap/>
            <w:vAlign w:val="center"/>
          </w:tcPr>
          <w:p w14:paraId="10407BB1">
            <w:pPr>
              <w:pStyle w:val="93"/>
              <w:keepNext w:val="0"/>
              <w:keepLines w:val="0"/>
              <w:pageBreakBefore w:val="0"/>
              <w:kinsoku/>
              <w:wordWrap/>
              <w:overflowPunct/>
              <w:autoSpaceDN/>
              <w:bidi w:val="0"/>
              <w:adjustRightInd w:val="0"/>
              <w:snapToGrid w:val="0"/>
              <w:spacing w:line="400" w:lineRule="exact"/>
              <w:jc w:val="left"/>
              <w:textAlignment w:val="auto"/>
              <w:rPr>
                <w:rFonts w:hint="eastAsia" w:eastAsia="宋体"/>
                <w:color w:val="auto"/>
                <w:kern w:val="2"/>
                <w:sz w:val="21"/>
                <w:szCs w:val="21"/>
                <w:highlight w:val="none"/>
                <w:lang w:eastAsia="zh-CN"/>
              </w:rPr>
            </w:pPr>
            <w:r>
              <w:rPr>
                <w:rFonts w:hint="eastAsia" w:ascii="宋体" w:hAnsi="宋体" w:cs="宋体"/>
                <w:color w:val="auto"/>
                <w:sz w:val="21"/>
                <w:szCs w:val="21"/>
                <w:highlight w:val="none"/>
              </w:rPr>
              <w:t>见招标公告</w:t>
            </w:r>
          </w:p>
        </w:tc>
      </w:tr>
      <w:tr w14:paraId="2BB50941">
        <w:tblPrEx>
          <w:tblCellMar>
            <w:top w:w="0" w:type="dxa"/>
            <w:left w:w="108" w:type="dxa"/>
            <w:bottom w:w="0" w:type="dxa"/>
            <w:right w:w="108" w:type="dxa"/>
          </w:tblCellMar>
        </w:tblPrEx>
        <w:trPr>
          <w:jc w:val="center"/>
        </w:trPr>
        <w:tc>
          <w:tcPr>
            <w:tcW w:w="868" w:type="dxa"/>
            <w:tcBorders>
              <w:top w:val="single" w:color="auto" w:sz="4" w:space="0"/>
              <w:left w:val="single" w:color="auto" w:sz="4" w:space="0"/>
              <w:bottom w:val="single" w:color="auto" w:sz="4" w:space="0"/>
              <w:right w:val="single" w:color="auto" w:sz="4" w:space="0"/>
            </w:tcBorders>
            <w:noWrap/>
            <w:vAlign w:val="center"/>
          </w:tcPr>
          <w:p w14:paraId="27F2ABC2">
            <w:pPr>
              <w:keepNext w:val="0"/>
              <w:keepLines w:val="0"/>
              <w:pageBreakBefore w:val="0"/>
              <w:kinsoku/>
              <w:wordWrap/>
              <w:overflowPunct/>
              <w:autoSpaceDN/>
              <w:bidi w:val="0"/>
              <w:spacing w:line="400" w:lineRule="exact"/>
              <w:jc w:val="center"/>
              <w:textAlignment w:val="auto"/>
              <w:rPr>
                <w:rFonts w:ascii="宋体" w:hAnsi="宋体" w:cs="宋体"/>
                <w:color w:val="auto"/>
                <w:szCs w:val="21"/>
                <w:highlight w:val="none"/>
              </w:rPr>
            </w:pPr>
            <w:r>
              <w:rPr>
                <w:rFonts w:hint="eastAsia" w:ascii="宋体" w:hAnsi="宋体" w:cs="宋体"/>
                <w:color w:val="auto"/>
                <w:szCs w:val="21"/>
                <w:highlight w:val="none"/>
              </w:rPr>
              <w:t>2</w:t>
            </w:r>
          </w:p>
        </w:tc>
        <w:tc>
          <w:tcPr>
            <w:tcW w:w="2209" w:type="dxa"/>
            <w:gridSpan w:val="2"/>
            <w:tcBorders>
              <w:top w:val="single" w:color="auto" w:sz="4" w:space="0"/>
              <w:left w:val="single" w:color="auto" w:sz="4" w:space="0"/>
              <w:bottom w:val="single" w:color="auto" w:sz="4" w:space="0"/>
              <w:right w:val="single" w:color="auto" w:sz="4" w:space="0"/>
            </w:tcBorders>
            <w:noWrap/>
            <w:vAlign w:val="center"/>
          </w:tcPr>
          <w:p w14:paraId="088F0F11">
            <w:pPr>
              <w:keepNext w:val="0"/>
              <w:keepLines w:val="0"/>
              <w:pageBreakBefore w:val="0"/>
              <w:kinsoku/>
              <w:wordWrap/>
              <w:overflowPunct/>
              <w:autoSpaceDN/>
              <w:bidi w:val="0"/>
              <w:spacing w:line="400" w:lineRule="exact"/>
              <w:jc w:val="center"/>
              <w:textAlignment w:val="auto"/>
              <w:rPr>
                <w:rFonts w:ascii="宋体" w:hAnsi="宋体" w:cs="宋体"/>
                <w:color w:val="auto"/>
                <w:szCs w:val="21"/>
                <w:highlight w:val="none"/>
              </w:rPr>
            </w:pPr>
            <w:r>
              <w:rPr>
                <w:rFonts w:hint="eastAsia" w:ascii="宋体" w:hAnsi="宋体" w:cs="宋体"/>
                <w:color w:val="auto"/>
                <w:szCs w:val="21"/>
                <w:highlight w:val="none"/>
              </w:rPr>
              <w:t>招标代理机构</w:t>
            </w:r>
          </w:p>
        </w:tc>
        <w:tc>
          <w:tcPr>
            <w:tcW w:w="7251" w:type="dxa"/>
            <w:tcBorders>
              <w:top w:val="single" w:color="auto" w:sz="4" w:space="0"/>
              <w:left w:val="single" w:color="auto" w:sz="4" w:space="0"/>
              <w:bottom w:val="single" w:color="auto" w:sz="4" w:space="0"/>
              <w:right w:val="single" w:color="auto" w:sz="4" w:space="0"/>
            </w:tcBorders>
            <w:noWrap/>
            <w:vAlign w:val="center"/>
          </w:tcPr>
          <w:p w14:paraId="10F9436F">
            <w:pPr>
              <w:keepNext w:val="0"/>
              <w:keepLines w:val="0"/>
              <w:pageBreakBefore w:val="0"/>
              <w:kinsoku/>
              <w:wordWrap/>
              <w:overflowPunct/>
              <w:autoSpaceDN/>
              <w:bidi w:val="0"/>
              <w:adjustRightInd w:val="0"/>
              <w:snapToGrid w:val="0"/>
              <w:spacing w:line="400" w:lineRule="exact"/>
              <w:textAlignment w:val="auto"/>
              <w:rPr>
                <w:rFonts w:hint="default" w:ascii="宋体" w:hAnsi="宋体" w:eastAsia="宋体" w:cs="宋体"/>
                <w:color w:val="auto"/>
                <w:szCs w:val="21"/>
                <w:highlight w:val="none"/>
                <w:lang w:val="en-US" w:eastAsia="zh-CN"/>
              </w:rPr>
            </w:pPr>
            <w:r>
              <w:rPr>
                <w:rFonts w:hint="eastAsia" w:ascii="宋体" w:hAnsi="宋体" w:cs="宋体"/>
                <w:color w:val="auto"/>
                <w:sz w:val="21"/>
                <w:szCs w:val="21"/>
                <w:highlight w:val="none"/>
              </w:rPr>
              <w:t>见招标公告</w:t>
            </w:r>
          </w:p>
        </w:tc>
      </w:tr>
      <w:tr w14:paraId="6E88FEC4">
        <w:tblPrEx>
          <w:tblCellMar>
            <w:top w:w="0" w:type="dxa"/>
            <w:left w:w="108" w:type="dxa"/>
            <w:bottom w:w="0" w:type="dxa"/>
            <w:right w:w="108" w:type="dxa"/>
          </w:tblCellMar>
        </w:tblPrEx>
        <w:trPr>
          <w:trHeight w:val="520" w:hRule="atLeast"/>
          <w:jc w:val="center"/>
        </w:trPr>
        <w:tc>
          <w:tcPr>
            <w:tcW w:w="868" w:type="dxa"/>
            <w:tcBorders>
              <w:top w:val="single" w:color="auto" w:sz="4" w:space="0"/>
              <w:left w:val="single" w:color="auto" w:sz="4" w:space="0"/>
              <w:bottom w:val="single" w:color="auto" w:sz="4" w:space="0"/>
              <w:right w:val="single" w:color="auto" w:sz="4" w:space="0"/>
            </w:tcBorders>
            <w:noWrap/>
            <w:vAlign w:val="center"/>
          </w:tcPr>
          <w:p w14:paraId="6B21D750">
            <w:pPr>
              <w:keepNext w:val="0"/>
              <w:keepLines w:val="0"/>
              <w:pageBreakBefore w:val="0"/>
              <w:kinsoku/>
              <w:wordWrap/>
              <w:overflowPunct/>
              <w:autoSpaceDN/>
              <w:bidi w:val="0"/>
              <w:spacing w:line="400" w:lineRule="exact"/>
              <w:jc w:val="center"/>
              <w:textAlignment w:val="auto"/>
              <w:rPr>
                <w:rFonts w:ascii="宋体" w:hAnsi="宋体" w:cs="宋体"/>
                <w:color w:val="auto"/>
                <w:szCs w:val="21"/>
                <w:highlight w:val="none"/>
              </w:rPr>
            </w:pPr>
            <w:r>
              <w:rPr>
                <w:rFonts w:hint="eastAsia" w:ascii="宋体" w:hAnsi="宋体" w:cs="宋体"/>
                <w:color w:val="auto"/>
                <w:szCs w:val="21"/>
                <w:highlight w:val="none"/>
              </w:rPr>
              <w:t>3</w:t>
            </w:r>
          </w:p>
        </w:tc>
        <w:tc>
          <w:tcPr>
            <w:tcW w:w="2209" w:type="dxa"/>
            <w:gridSpan w:val="2"/>
            <w:tcBorders>
              <w:top w:val="single" w:color="auto" w:sz="4" w:space="0"/>
              <w:left w:val="single" w:color="auto" w:sz="4" w:space="0"/>
              <w:bottom w:val="single" w:color="auto" w:sz="4" w:space="0"/>
              <w:right w:val="single" w:color="auto" w:sz="4" w:space="0"/>
            </w:tcBorders>
            <w:noWrap/>
            <w:vAlign w:val="center"/>
          </w:tcPr>
          <w:p w14:paraId="1C1999A0">
            <w:pPr>
              <w:keepNext w:val="0"/>
              <w:keepLines w:val="0"/>
              <w:pageBreakBefore w:val="0"/>
              <w:kinsoku/>
              <w:wordWrap/>
              <w:overflowPunct/>
              <w:autoSpaceDN/>
              <w:bidi w:val="0"/>
              <w:spacing w:line="400" w:lineRule="exact"/>
              <w:jc w:val="center"/>
              <w:textAlignment w:val="auto"/>
              <w:rPr>
                <w:rFonts w:ascii="宋体" w:hAnsi="宋体" w:cs="宋体"/>
                <w:color w:val="auto"/>
                <w:szCs w:val="21"/>
                <w:highlight w:val="none"/>
              </w:rPr>
            </w:pPr>
            <w:r>
              <w:rPr>
                <w:rFonts w:hint="eastAsia" w:ascii="宋体" w:hAnsi="宋体" w:cs="宋体"/>
                <w:color w:val="auto"/>
                <w:szCs w:val="21"/>
                <w:highlight w:val="none"/>
              </w:rPr>
              <w:t>项目名称</w:t>
            </w:r>
          </w:p>
        </w:tc>
        <w:tc>
          <w:tcPr>
            <w:tcW w:w="7251" w:type="dxa"/>
            <w:tcBorders>
              <w:top w:val="single" w:color="auto" w:sz="4" w:space="0"/>
              <w:left w:val="single" w:color="auto" w:sz="4" w:space="0"/>
              <w:bottom w:val="single" w:color="auto" w:sz="4" w:space="0"/>
              <w:right w:val="single" w:color="auto" w:sz="4" w:space="0"/>
            </w:tcBorders>
            <w:noWrap/>
            <w:vAlign w:val="center"/>
          </w:tcPr>
          <w:p w14:paraId="3CF94C9C">
            <w:pPr>
              <w:keepNext w:val="0"/>
              <w:keepLines w:val="0"/>
              <w:pageBreakBefore w:val="0"/>
              <w:kinsoku/>
              <w:wordWrap/>
              <w:overflowPunct/>
              <w:autoSpaceDN/>
              <w:bidi w:val="0"/>
              <w:adjustRightInd w:val="0"/>
              <w:snapToGrid w:val="0"/>
              <w:spacing w:line="400" w:lineRule="exact"/>
              <w:textAlignment w:val="auto"/>
              <w:rPr>
                <w:rFonts w:hint="eastAsia" w:ascii="宋体" w:hAnsi="宋体" w:eastAsia="宋体" w:cs="宋体"/>
                <w:color w:val="auto"/>
                <w:szCs w:val="21"/>
                <w:highlight w:val="none"/>
                <w:lang w:eastAsia="zh-CN"/>
              </w:rPr>
            </w:pPr>
            <w:r>
              <w:rPr>
                <w:rFonts w:hint="eastAsia" w:ascii="宋体" w:hAnsi="宋体" w:cs="宋体"/>
                <w:color w:val="auto"/>
                <w:sz w:val="21"/>
                <w:szCs w:val="21"/>
                <w:highlight w:val="none"/>
              </w:rPr>
              <w:t>见招标公告</w:t>
            </w:r>
          </w:p>
        </w:tc>
      </w:tr>
      <w:tr w14:paraId="0D5FE2EA">
        <w:tblPrEx>
          <w:tblCellMar>
            <w:top w:w="0" w:type="dxa"/>
            <w:left w:w="108" w:type="dxa"/>
            <w:bottom w:w="0" w:type="dxa"/>
            <w:right w:w="108" w:type="dxa"/>
          </w:tblCellMar>
        </w:tblPrEx>
        <w:trPr>
          <w:trHeight w:val="500" w:hRule="atLeast"/>
          <w:jc w:val="center"/>
        </w:trPr>
        <w:tc>
          <w:tcPr>
            <w:tcW w:w="868" w:type="dxa"/>
            <w:tcBorders>
              <w:top w:val="single" w:color="auto" w:sz="4" w:space="0"/>
              <w:left w:val="single" w:color="auto" w:sz="4" w:space="0"/>
              <w:bottom w:val="single" w:color="auto" w:sz="4" w:space="0"/>
              <w:right w:val="single" w:color="auto" w:sz="4" w:space="0"/>
            </w:tcBorders>
            <w:noWrap/>
            <w:vAlign w:val="center"/>
          </w:tcPr>
          <w:p w14:paraId="1C8FAF44">
            <w:pPr>
              <w:keepNext w:val="0"/>
              <w:keepLines w:val="0"/>
              <w:pageBreakBefore w:val="0"/>
              <w:kinsoku/>
              <w:wordWrap/>
              <w:overflowPunct/>
              <w:autoSpaceDN/>
              <w:bidi w:val="0"/>
              <w:spacing w:line="400" w:lineRule="exact"/>
              <w:jc w:val="center"/>
              <w:textAlignment w:val="auto"/>
              <w:rPr>
                <w:rFonts w:ascii="宋体" w:hAnsi="宋体" w:cs="宋体"/>
                <w:color w:val="auto"/>
                <w:szCs w:val="21"/>
                <w:highlight w:val="none"/>
              </w:rPr>
            </w:pPr>
            <w:r>
              <w:rPr>
                <w:rFonts w:hint="eastAsia" w:ascii="宋体" w:hAnsi="宋体" w:cs="宋体"/>
                <w:color w:val="auto"/>
                <w:szCs w:val="21"/>
                <w:highlight w:val="none"/>
              </w:rPr>
              <w:t>4</w:t>
            </w:r>
          </w:p>
        </w:tc>
        <w:tc>
          <w:tcPr>
            <w:tcW w:w="2209" w:type="dxa"/>
            <w:gridSpan w:val="2"/>
            <w:tcBorders>
              <w:top w:val="single" w:color="auto" w:sz="4" w:space="0"/>
              <w:left w:val="single" w:color="auto" w:sz="4" w:space="0"/>
              <w:bottom w:val="single" w:color="auto" w:sz="4" w:space="0"/>
              <w:right w:val="single" w:color="auto" w:sz="4" w:space="0"/>
            </w:tcBorders>
            <w:noWrap/>
            <w:vAlign w:val="center"/>
          </w:tcPr>
          <w:p w14:paraId="50A58F76">
            <w:pPr>
              <w:keepNext w:val="0"/>
              <w:keepLines w:val="0"/>
              <w:pageBreakBefore w:val="0"/>
              <w:kinsoku/>
              <w:wordWrap/>
              <w:overflowPunct/>
              <w:autoSpaceDN/>
              <w:bidi w:val="0"/>
              <w:spacing w:line="400" w:lineRule="exact"/>
              <w:jc w:val="center"/>
              <w:textAlignment w:val="auto"/>
              <w:rPr>
                <w:rFonts w:ascii="宋体" w:hAnsi="宋体" w:cs="宋体"/>
                <w:color w:val="auto"/>
                <w:szCs w:val="21"/>
                <w:highlight w:val="none"/>
              </w:rPr>
            </w:pPr>
            <w:r>
              <w:rPr>
                <w:rFonts w:hint="eastAsia" w:ascii="宋体" w:hAnsi="宋体" w:cs="宋体"/>
                <w:color w:val="auto"/>
                <w:szCs w:val="21"/>
                <w:highlight w:val="none"/>
              </w:rPr>
              <w:t>建设地点</w:t>
            </w:r>
          </w:p>
        </w:tc>
        <w:tc>
          <w:tcPr>
            <w:tcW w:w="7251" w:type="dxa"/>
            <w:tcBorders>
              <w:top w:val="single" w:color="auto" w:sz="4" w:space="0"/>
              <w:left w:val="single" w:color="auto" w:sz="4" w:space="0"/>
              <w:bottom w:val="single" w:color="auto" w:sz="4" w:space="0"/>
              <w:right w:val="single" w:color="auto" w:sz="4" w:space="0"/>
            </w:tcBorders>
            <w:noWrap/>
            <w:vAlign w:val="center"/>
          </w:tcPr>
          <w:p w14:paraId="7B346AFB">
            <w:pPr>
              <w:keepNext w:val="0"/>
              <w:keepLines w:val="0"/>
              <w:pageBreakBefore w:val="0"/>
              <w:kinsoku/>
              <w:wordWrap/>
              <w:overflowPunct/>
              <w:autoSpaceDN/>
              <w:bidi w:val="0"/>
              <w:adjustRightInd w:val="0"/>
              <w:snapToGrid w:val="0"/>
              <w:spacing w:line="400" w:lineRule="exact"/>
              <w:textAlignment w:val="auto"/>
              <w:rPr>
                <w:rFonts w:ascii="宋体" w:hAnsi="宋体" w:cs="宋体"/>
                <w:color w:val="auto"/>
                <w:szCs w:val="21"/>
                <w:highlight w:val="none"/>
              </w:rPr>
            </w:pPr>
            <w:r>
              <w:rPr>
                <w:rFonts w:hint="eastAsia" w:ascii="宋体" w:hAnsi="宋体" w:cs="宋体"/>
                <w:color w:val="auto"/>
                <w:sz w:val="21"/>
                <w:szCs w:val="21"/>
                <w:highlight w:val="none"/>
              </w:rPr>
              <w:t>见招标公告</w:t>
            </w:r>
          </w:p>
        </w:tc>
      </w:tr>
      <w:tr w14:paraId="27E33739">
        <w:tblPrEx>
          <w:tblCellMar>
            <w:top w:w="0" w:type="dxa"/>
            <w:left w:w="108" w:type="dxa"/>
            <w:bottom w:w="0" w:type="dxa"/>
            <w:right w:w="108" w:type="dxa"/>
          </w:tblCellMar>
        </w:tblPrEx>
        <w:trPr>
          <w:trHeight w:val="555" w:hRule="atLeast"/>
          <w:jc w:val="center"/>
        </w:trPr>
        <w:tc>
          <w:tcPr>
            <w:tcW w:w="868" w:type="dxa"/>
            <w:tcBorders>
              <w:top w:val="single" w:color="auto" w:sz="4" w:space="0"/>
              <w:left w:val="single" w:color="auto" w:sz="4" w:space="0"/>
              <w:bottom w:val="single" w:color="auto" w:sz="4" w:space="0"/>
              <w:right w:val="single" w:color="auto" w:sz="4" w:space="0"/>
            </w:tcBorders>
            <w:noWrap/>
            <w:vAlign w:val="center"/>
          </w:tcPr>
          <w:p w14:paraId="76EAEC26">
            <w:pPr>
              <w:keepNext w:val="0"/>
              <w:keepLines w:val="0"/>
              <w:pageBreakBefore w:val="0"/>
              <w:kinsoku/>
              <w:wordWrap/>
              <w:overflowPunct/>
              <w:autoSpaceDN/>
              <w:bidi w:val="0"/>
              <w:spacing w:line="400" w:lineRule="exact"/>
              <w:jc w:val="center"/>
              <w:textAlignment w:val="auto"/>
              <w:rPr>
                <w:rFonts w:ascii="宋体" w:hAnsi="宋体" w:cs="宋体"/>
                <w:color w:val="auto"/>
                <w:szCs w:val="21"/>
                <w:highlight w:val="none"/>
              </w:rPr>
            </w:pPr>
            <w:r>
              <w:rPr>
                <w:rFonts w:hint="eastAsia" w:ascii="宋体" w:hAnsi="宋体" w:cs="宋体"/>
                <w:color w:val="auto"/>
                <w:szCs w:val="21"/>
                <w:highlight w:val="none"/>
              </w:rPr>
              <w:t>5</w:t>
            </w:r>
          </w:p>
        </w:tc>
        <w:tc>
          <w:tcPr>
            <w:tcW w:w="2209" w:type="dxa"/>
            <w:gridSpan w:val="2"/>
            <w:tcBorders>
              <w:top w:val="single" w:color="auto" w:sz="4" w:space="0"/>
              <w:left w:val="single" w:color="auto" w:sz="4" w:space="0"/>
              <w:bottom w:val="single" w:color="auto" w:sz="4" w:space="0"/>
              <w:right w:val="single" w:color="auto" w:sz="4" w:space="0"/>
            </w:tcBorders>
            <w:noWrap/>
            <w:vAlign w:val="center"/>
          </w:tcPr>
          <w:p w14:paraId="2CEC5559">
            <w:pPr>
              <w:keepNext w:val="0"/>
              <w:keepLines w:val="0"/>
              <w:pageBreakBefore w:val="0"/>
              <w:kinsoku/>
              <w:wordWrap/>
              <w:overflowPunct/>
              <w:autoSpaceDN/>
              <w:bidi w:val="0"/>
              <w:adjustRightInd w:val="0"/>
              <w:snapToGrid w:val="0"/>
              <w:spacing w:line="400" w:lineRule="exact"/>
              <w:jc w:val="center"/>
              <w:textAlignment w:val="auto"/>
              <w:rPr>
                <w:rFonts w:ascii="宋体" w:hAnsi="宋体" w:cs="宋体"/>
                <w:color w:val="auto"/>
                <w:szCs w:val="21"/>
                <w:highlight w:val="none"/>
              </w:rPr>
            </w:pPr>
            <w:r>
              <w:rPr>
                <w:rFonts w:hint="eastAsia" w:ascii="宋体" w:hAnsi="宋体" w:cs="宋体"/>
                <w:color w:val="auto"/>
                <w:sz w:val="21"/>
                <w:szCs w:val="21"/>
                <w:highlight w:val="none"/>
              </w:rPr>
              <w:t>资金落实情况</w:t>
            </w:r>
          </w:p>
        </w:tc>
        <w:tc>
          <w:tcPr>
            <w:tcW w:w="7251" w:type="dxa"/>
            <w:tcBorders>
              <w:top w:val="single" w:color="auto" w:sz="4" w:space="0"/>
              <w:left w:val="single" w:color="auto" w:sz="4" w:space="0"/>
              <w:bottom w:val="single" w:color="auto" w:sz="4" w:space="0"/>
              <w:right w:val="single" w:color="auto" w:sz="4" w:space="0"/>
            </w:tcBorders>
            <w:noWrap/>
            <w:vAlign w:val="center"/>
          </w:tcPr>
          <w:p w14:paraId="60460FF1">
            <w:pPr>
              <w:keepNext w:val="0"/>
              <w:keepLines w:val="0"/>
              <w:pageBreakBefore w:val="0"/>
              <w:kinsoku/>
              <w:wordWrap/>
              <w:overflowPunct/>
              <w:autoSpaceDN/>
              <w:bidi w:val="0"/>
              <w:adjustRightInd w:val="0"/>
              <w:snapToGrid w:val="0"/>
              <w:spacing w:line="400" w:lineRule="exact"/>
              <w:textAlignment w:val="auto"/>
              <w:rPr>
                <w:rFonts w:ascii="宋体" w:hAnsi="宋体" w:cs="宋体"/>
                <w:color w:val="auto"/>
                <w:szCs w:val="21"/>
                <w:highlight w:val="none"/>
              </w:rPr>
            </w:pPr>
            <w:r>
              <w:rPr>
                <w:rFonts w:hint="eastAsia" w:ascii="宋体" w:hAnsi="宋体" w:cs="宋体"/>
                <w:color w:val="auto"/>
                <w:sz w:val="21"/>
                <w:szCs w:val="21"/>
                <w:highlight w:val="none"/>
                <w:lang w:val="en-US" w:eastAsia="zh-CN"/>
              </w:rPr>
              <w:t>已落实</w:t>
            </w:r>
          </w:p>
        </w:tc>
      </w:tr>
      <w:tr w14:paraId="64D296C6">
        <w:tblPrEx>
          <w:tblCellMar>
            <w:top w:w="0" w:type="dxa"/>
            <w:left w:w="108" w:type="dxa"/>
            <w:bottom w:w="0" w:type="dxa"/>
            <w:right w:w="108" w:type="dxa"/>
          </w:tblCellMar>
        </w:tblPrEx>
        <w:trPr>
          <w:jc w:val="center"/>
        </w:trPr>
        <w:tc>
          <w:tcPr>
            <w:tcW w:w="868" w:type="dxa"/>
            <w:tcBorders>
              <w:top w:val="single" w:color="auto" w:sz="4" w:space="0"/>
              <w:left w:val="single" w:color="auto" w:sz="4" w:space="0"/>
              <w:bottom w:val="single" w:color="auto" w:sz="4" w:space="0"/>
              <w:right w:val="single" w:color="auto" w:sz="4" w:space="0"/>
            </w:tcBorders>
            <w:noWrap/>
            <w:vAlign w:val="center"/>
          </w:tcPr>
          <w:p w14:paraId="6B0EC8E8">
            <w:pPr>
              <w:keepNext w:val="0"/>
              <w:keepLines w:val="0"/>
              <w:pageBreakBefore w:val="0"/>
              <w:kinsoku/>
              <w:wordWrap/>
              <w:overflowPunct/>
              <w:autoSpaceDN/>
              <w:bidi w:val="0"/>
              <w:spacing w:line="400" w:lineRule="exact"/>
              <w:jc w:val="center"/>
              <w:textAlignment w:val="auto"/>
              <w:rPr>
                <w:rFonts w:ascii="宋体" w:hAnsi="宋体" w:cs="宋体"/>
                <w:color w:val="auto"/>
                <w:szCs w:val="21"/>
                <w:highlight w:val="none"/>
              </w:rPr>
            </w:pPr>
            <w:r>
              <w:rPr>
                <w:rFonts w:hint="eastAsia" w:ascii="宋体" w:hAnsi="宋体" w:cs="宋体"/>
                <w:color w:val="auto"/>
                <w:szCs w:val="21"/>
                <w:highlight w:val="none"/>
              </w:rPr>
              <w:t>6</w:t>
            </w:r>
          </w:p>
        </w:tc>
        <w:tc>
          <w:tcPr>
            <w:tcW w:w="2209" w:type="dxa"/>
            <w:gridSpan w:val="2"/>
            <w:tcBorders>
              <w:top w:val="single" w:color="auto" w:sz="4" w:space="0"/>
              <w:left w:val="single" w:color="auto" w:sz="4" w:space="0"/>
              <w:bottom w:val="single" w:color="auto" w:sz="4" w:space="0"/>
              <w:right w:val="single" w:color="auto" w:sz="4" w:space="0"/>
            </w:tcBorders>
            <w:noWrap/>
            <w:vAlign w:val="center"/>
          </w:tcPr>
          <w:p w14:paraId="6516917A">
            <w:pPr>
              <w:keepNext w:val="0"/>
              <w:keepLines w:val="0"/>
              <w:pageBreakBefore w:val="0"/>
              <w:kinsoku/>
              <w:wordWrap/>
              <w:overflowPunct/>
              <w:autoSpaceDN/>
              <w:bidi w:val="0"/>
              <w:spacing w:line="400" w:lineRule="exact"/>
              <w:jc w:val="center"/>
              <w:textAlignment w:val="auto"/>
              <w:rPr>
                <w:rFonts w:ascii="宋体" w:hAnsi="宋体" w:cs="宋体"/>
                <w:color w:val="auto"/>
                <w:szCs w:val="21"/>
                <w:highlight w:val="none"/>
              </w:rPr>
            </w:pPr>
            <w:r>
              <w:rPr>
                <w:rFonts w:hint="eastAsia" w:ascii="宋体" w:hAnsi="宋体" w:cs="宋体"/>
                <w:color w:val="auto"/>
                <w:szCs w:val="21"/>
                <w:highlight w:val="none"/>
              </w:rPr>
              <w:t>招标范围</w:t>
            </w:r>
          </w:p>
        </w:tc>
        <w:tc>
          <w:tcPr>
            <w:tcW w:w="7251" w:type="dxa"/>
            <w:tcBorders>
              <w:top w:val="single" w:color="auto" w:sz="4" w:space="0"/>
              <w:left w:val="single" w:color="auto" w:sz="4" w:space="0"/>
              <w:bottom w:val="single" w:color="auto" w:sz="4" w:space="0"/>
              <w:right w:val="single" w:color="auto" w:sz="4" w:space="0"/>
            </w:tcBorders>
            <w:noWrap/>
            <w:vAlign w:val="center"/>
          </w:tcPr>
          <w:p w14:paraId="6B3CA562">
            <w:pPr>
              <w:keepNext w:val="0"/>
              <w:keepLines w:val="0"/>
              <w:pageBreakBefore w:val="0"/>
              <w:kinsoku/>
              <w:wordWrap/>
              <w:overflowPunct/>
              <w:autoSpaceDN/>
              <w:bidi w:val="0"/>
              <w:spacing w:line="400" w:lineRule="exact"/>
              <w:textAlignment w:val="auto"/>
              <w:rPr>
                <w:rFonts w:ascii="宋体" w:hAnsi="宋体" w:cs="宋体"/>
                <w:color w:val="auto"/>
                <w:szCs w:val="21"/>
                <w:highlight w:val="none"/>
              </w:rPr>
            </w:pPr>
            <w:r>
              <w:rPr>
                <w:rFonts w:hint="eastAsia"/>
                <w:color w:val="auto"/>
                <w:szCs w:val="21"/>
                <w:highlight w:val="none"/>
              </w:rPr>
              <w:t>见招标公告</w:t>
            </w:r>
          </w:p>
        </w:tc>
      </w:tr>
      <w:tr w14:paraId="4195E0D5">
        <w:tblPrEx>
          <w:tblCellMar>
            <w:top w:w="0" w:type="dxa"/>
            <w:left w:w="108" w:type="dxa"/>
            <w:bottom w:w="0" w:type="dxa"/>
            <w:right w:w="108" w:type="dxa"/>
          </w:tblCellMar>
        </w:tblPrEx>
        <w:trPr>
          <w:trHeight w:val="496" w:hRule="atLeast"/>
          <w:jc w:val="center"/>
        </w:trPr>
        <w:tc>
          <w:tcPr>
            <w:tcW w:w="868" w:type="dxa"/>
            <w:tcBorders>
              <w:top w:val="single" w:color="auto" w:sz="4" w:space="0"/>
              <w:left w:val="single" w:color="auto" w:sz="4" w:space="0"/>
              <w:bottom w:val="single" w:color="auto" w:sz="4" w:space="0"/>
              <w:right w:val="single" w:color="auto" w:sz="4" w:space="0"/>
            </w:tcBorders>
            <w:noWrap/>
            <w:vAlign w:val="center"/>
          </w:tcPr>
          <w:p w14:paraId="72ABF706">
            <w:pPr>
              <w:keepNext w:val="0"/>
              <w:keepLines w:val="0"/>
              <w:pageBreakBefore w:val="0"/>
              <w:kinsoku/>
              <w:wordWrap/>
              <w:overflowPunct/>
              <w:autoSpaceDN/>
              <w:bidi w:val="0"/>
              <w:spacing w:line="400" w:lineRule="exact"/>
              <w:jc w:val="center"/>
              <w:textAlignment w:val="auto"/>
              <w:rPr>
                <w:rFonts w:ascii="宋体" w:hAnsi="宋体" w:cs="宋体"/>
                <w:color w:val="auto"/>
                <w:szCs w:val="21"/>
                <w:highlight w:val="none"/>
              </w:rPr>
            </w:pPr>
            <w:r>
              <w:rPr>
                <w:rFonts w:hint="eastAsia" w:ascii="宋体" w:hAnsi="宋体" w:cs="宋体"/>
                <w:color w:val="auto"/>
                <w:szCs w:val="21"/>
                <w:highlight w:val="none"/>
              </w:rPr>
              <w:t>7</w:t>
            </w:r>
          </w:p>
        </w:tc>
        <w:tc>
          <w:tcPr>
            <w:tcW w:w="2209" w:type="dxa"/>
            <w:gridSpan w:val="2"/>
            <w:tcBorders>
              <w:top w:val="single" w:color="auto" w:sz="4" w:space="0"/>
              <w:left w:val="single" w:color="auto" w:sz="4" w:space="0"/>
              <w:bottom w:val="single" w:color="auto" w:sz="4" w:space="0"/>
              <w:right w:val="single" w:color="auto" w:sz="4" w:space="0"/>
            </w:tcBorders>
            <w:noWrap/>
            <w:vAlign w:val="center"/>
          </w:tcPr>
          <w:p w14:paraId="222F7482">
            <w:pPr>
              <w:keepNext w:val="0"/>
              <w:keepLines w:val="0"/>
              <w:pageBreakBefore w:val="0"/>
              <w:kinsoku/>
              <w:wordWrap/>
              <w:overflowPunct/>
              <w:autoSpaceDN/>
              <w:bidi w:val="0"/>
              <w:spacing w:line="400" w:lineRule="exact"/>
              <w:jc w:val="center"/>
              <w:textAlignment w:val="auto"/>
              <w:rPr>
                <w:rFonts w:ascii="宋体" w:hAnsi="宋体" w:cs="宋体"/>
                <w:color w:val="auto"/>
                <w:szCs w:val="21"/>
                <w:highlight w:val="none"/>
              </w:rPr>
            </w:pPr>
            <w:r>
              <w:rPr>
                <w:rFonts w:hint="eastAsia" w:ascii="宋体" w:hAnsi="宋体" w:cs="宋体"/>
                <w:color w:val="auto"/>
                <w:szCs w:val="21"/>
                <w:highlight w:val="none"/>
              </w:rPr>
              <w:t>评标办法</w:t>
            </w:r>
          </w:p>
        </w:tc>
        <w:tc>
          <w:tcPr>
            <w:tcW w:w="7251" w:type="dxa"/>
            <w:tcBorders>
              <w:top w:val="single" w:color="auto" w:sz="4" w:space="0"/>
              <w:left w:val="single" w:color="auto" w:sz="4" w:space="0"/>
              <w:bottom w:val="single" w:color="auto" w:sz="4" w:space="0"/>
              <w:right w:val="single" w:color="auto" w:sz="4" w:space="0"/>
            </w:tcBorders>
            <w:noWrap/>
            <w:vAlign w:val="center"/>
          </w:tcPr>
          <w:p w14:paraId="340D66FF">
            <w:pPr>
              <w:pStyle w:val="93"/>
              <w:keepNext w:val="0"/>
              <w:keepLines w:val="0"/>
              <w:pageBreakBefore w:val="0"/>
              <w:kinsoku/>
              <w:wordWrap/>
              <w:overflowPunct/>
              <w:autoSpaceDN/>
              <w:bidi w:val="0"/>
              <w:spacing w:line="400" w:lineRule="exact"/>
              <w:textAlignment w:val="auto"/>
              <w:rPr>
                <w:rFonts w:ascii="宋体" w:hAnsi="宋体" w:cs="宋体"/>
                <w:color w:val="auto"/>
                <w:highlight w:val="none"/>
              </w:rPr>
            </w:pPr>
            <w:r>
              <w:rPr>
                <w:rFonts w:hint="eastAsia" w:ascii="宋体" w:hAnsi="宋体" w:cs="宋体"/>
                <w:color w:val="auto"/>
                <w:sz w:val="21"/>
                <w:szCs w:val="21"/>
                <w:highlight w:val="none"/>
              </w:rPr>
              <w:t>见招标公告</w:t>
            </w:r>
          </w:p>
        </w:tc>
      </w:tr>
      <w:tr w14:paraId="6E44BA52">
        <w:tblPrEx>
          <w:tblCellMar>
            <w:top w:w="0" w:type="dxa"/>
            <w:left w:w="108" w:type="dxa"/>
            <w:bottom w:w="0" w:type="dxa"/>
            <w:right w:w="108" w:type="dxa"/>
          </w:tblCellMar>
        </w:tblPrEx>
        <w:trPr>
          <w:jc w:val="center"/>
        </w:trPr>
        <w:tc>
          <w:tcPr>
            <w:tcW w:w="868" w:type="dxa"/>
            <w:tcBorders>
              <w:top w:val="single" w:color="auto" w:sz="4" w:space="0"/>
              <w:left w:val="single" w:color="auto" w:sz="4" w:space="0"/>
              <w:bottom w:val="single" w:color="auto" w:sz="4" w:space="0"/>
              <w:right w:val="single" w:color="auto" w:sz="4" w:space="0"/>
            </w:tcBorders>
            <w:noWrap/>
            <w:vAlign w:val="center"/>
          </w:tcPr>
          <w:p w14:paraId="2B12E6DA">
            <w:pPr>
              <w:keepNext w:val="0"/>
              <w:keepLines w:val="0"/>
              <w:pageBreakBefore w:val="0"/>
              <w:kinsoku/>
              <w:wordWrap/>
              <w:overflowPunct/>
              <w:autoSpaceDN/>
              <w:bidi w:val="0"/>
              <w:spacing w:line="400" w:lineRule="exact"/>
              <w:jc w:val="center"/>
              <w:textAlignment w:val="auto"/>
              <w:rPr>
                <w:rFonts w:ascii="宋体" w:hAnsi="宋体" w:cs="宋体"/>
                <w:color w:val="auto"/>
                <w:szCs w:val="21"/>
                <w:highlight w:val="none"/>
              </w:rPr>
            </w:pPr>
            <w:r>
              <w:rPr>
                <w:rFonts w:hint="eastAsia" w:ascii="宋体" w:hAnsi="宋体" w:cs="宋体"/>
                <w:color w:val="auto"/>
                <w:szCs w:val="21"/>
                <w:highlight w:val="none"/>
              </w:rPr>
              <w:t>8</w:t>
            </w:r>
          </w:p>
        </w:tc>
        <w:tc>
          <w:tcPr>
            <w:tcW w:w="2209" w:type="dxa"/>
            <w:gridSpan w:val="2"/>
            <w:tcBorders>
              <w:top w:val="single" w:color="auto" w:sz="4" w:space="0"/>
              <w:left w:val="single" w:color="auto" w:sz="4" w:space="0"/>
              <w:bottom w:val="single" w:color="auto" w:sz="4" w:space="0"/>
              <w:right w:val="single" w:color="auto" w:sz="4" w:space="0"/>
            </w:tcBorders>
            <w:noWrap/>
            <w:vAlign w:val="center"/>
          </w:tcPr>
          <w:p w14:paraId="49F9D96F">
            <w:pPr>
              <w:pageBreakBefore w:val="0"/>
              <w:kinsoku/>
              <w:wordWrap/>
              <w:overflowPunct/>
              <w:autoSpaceDE/>
              <w:autoSpaceDN/>
              <w:bidi w:val="0"/>
              <w:adjustRightInd w:val="0"/>
              <w:snapToGrid w:val="0"/>
              <w:spacing w:line="440" w:lineRule="exact"/>
              <w:jc w:val="center"/>
              <w:textAlignment w:val="auto"/>
              <w:rPr>
                <w:rFonts w:ascii="宋体" w:hAnsi="宋体" w:cs="宋体"/>
                <w:color w:val="auto"/>
                <w:szCs w:val="21"/>
                <w:highlight w:val="none"/>
              </w:rPr>
            </w:pPr>
            <w:r>
              <w:rPr>
                <w:rFonts w:hint="eastAsia" w:ascii="宋体" w:hAnsi="宋体" w:eastAsia="宋体" w:cs="宋体"/>
                <w:color w:val="auto"/>
                <w:sz w:val="21"/>
                <w:szCs w:val="21"/>
                <w:highlight w:val="none"/>
              </w:rPr>
              <w:t>计划工期</w:t>
            </w:r>
          </w:p>
        </w:tc>
        <w:tc>
          <w:tcPr>
            <w:tcW w:w="7251" w:type="dxa"/>
            <w:tcBorders>
              <w:top w:val="single" w:color="auto" w:sz="4" w:space="0"/>
              <w:left w:val="single" w:color="auto" w:sz="4" w:space="0"/>
              <w:bottom w:val="single" w:color="auto" w:sz="4" w:space="0"/>
              <w:right w:val="single" w:color="auto" w:sz="4" w:space="0"/>
            </w:tcBorders>
            <w:noWrap/>
            <w:vAlign w:val="center"/>
          </w:tcPr>
          <w:p w14:paraId="12C09492">
            <w:pPr>
              <w:pageBreakBefore w:val="0"/>
              <w:kinsoku/>
              <w:wordWrap/>
              <w:overflowPunct/>
              <w:autoSpaceDE/>
              <w:autoSpaceDN/>
              <w:bidi w:val="0"/>
              <w:adjustRightInd w:val="0"/>
              <w:snapToGrid w:val="0"/>
              <w:spacing w:line="440" w:lineRule="exact"/>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计划工</w:t>
            </w:r>
            <w:r>
              <w:rPr>
                <w:rFonts w:hint="eastAsia" w:ascii="宋体" w:hAnsi="宋体" w:eastAsia="宋体" w:cs="宋体"/>
                <w:b/>
                <w:color w:val="auto"/>
                <w:sz w:val="21"/>
                <w:szCs w:val="21"/>
                <w:highlight w:val="none"/>
                <w:lang w:eastAsia="zh-CN"/>
              </w:rPr>
              <w:t>期：</w:t>
            </w:r>
            <w:r>
              <w:rPr>
                <w:rFonts w:hint="eastAsia" w:ascii="宋体" w:hAnsi="宋体" w:cs="宋体"/>
                <w:b/>
                <w:color w:val="auto"/>
                <w:sz w:val="21"/>
                <w:szCs w:val="21"/>
                <w:highlight w:val="none"/>
                <w:lang w:val="en-US" w:eastAsia="zh-CN"/>
              </w:rPr>
              <w:t>不高于60个日历天</w:t>
            </w:r>
            <w:r>
              <w:rPr>
                <w:rFonts w:hint="eastAsia" w:ascii="宋体" w:hAnsi="宋体" w:eastAsia="宋体" w:cs="宋体"/>
                <w:b/>
                <w:color w:val="auto"/>
                <w:sz w:val="21"/>
                <w:szCs w:val="21"/>
                <w:highlight w:val="none"/>
                <w:lang w:eastAsia="zh-CN"/>
              </w:rPr>
              <w:t>。</w:t>
            </w:r>
          </w:p>
          <w:p w14:paraId="385FC43D">
            <w:pPr>
              <w:keepNext w:val="0"/>
              <w:keepLines w:val="0"/>
              <w:pageBreakBefore w:val="0"/>
              <w:kinsoku/>
              <w:wordWrap/>
              <w:overflowPunct/>
              <w:topLinePunct w:val="0"/>
              <w:autoSpaceDE/>
              <w:autoSpaceDN/>
              <w:bidi w:val="0"/>
              <w:adjustRightInd w:val="0"/>
              <w:snapToGrid w:val="0"/>
              <w:spacing w:line="440" w:lineRule="exact"/>
              <w:textAlignment w:val="auto"/>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计划开工日期：双方签订合同时明确</w:t>
            </w:r>
            <w:r>
              <w:rPr>
                <w:rFonts w:hint="eastAsia" w:ascii="宋体" w:hAnsi="宋体" w:cs="宋体"/>
                <w:color w:val="auto"/>
                <w:sz w:val="21"/>
                <w:szCs w:val="21"/>
                <w:highlight w:val="none"/>
                <w:lang w:val="en-US" w:eastAsia="zh-CN"/>
              </w:rPr>
              <w:t xml:space="preserve"> </w:t>
            </w:r>
          </w:p>
          <w:p w14:paraId="7365FC3B">
            <w:pPr>
              <w:keepNext w:val="0"/>
              <w:keepLines w:val="0"/>
              <w:pageBreakBefore w:val="0"/>
              <w:kinsoku/>
              <w:wordWrap/>
              <w:overflowPunct/>
              <w:topLinePunct w:val="0"/>
              <w:autoSpaceDE/>
              <w:autoSpaceDN/>
              <w:bidi w:val="0"/>
              <w:adjustRightInd w:val="0"/>
              <w:snapToGrid w:val="0"/>
              <w:spacing w:line="440" w:lineRule="exact"/>
              <w:textAlignment w:val="auto"/>
              <w:rPr>
                <w:rFonts w:ascii="宋体" w:hAnsi="宋体" w:cs="宋体"/>
                <w:color w:val="auto"/>
                <w:szCs w:val="21"/>
                <w:highlight w:val="none"/>
              </w:rPr>
            </w:pPr>
            <w:r>
              <w:rPr>
                <w:rFonts w:hint="eastAsia" w:ascii="宋体" w:hAnsi="宋体" w:cs="宋体"/>
                <w:color w:val="auto"/>
                <w:sz w:val="21"/>
                <w:szCs w:val="21"/>
                <w:highlight w:val="none"/>
              </w:rPr>
              <w:t xml:space="preserve">计划竣工日期：双方签订合同时明确 </w:t>
            </w:r>
            <w:r>
              <w:rPr>
                <w:rFonts w:hint="eastAsia" w:ascii="Times New Roman" w:hAnsi="Times New Roman" w:eastAsia="宋体" w:cs="Times New Roman"/>
                <w:color w:val="auto"/>
                <w:highlight w:val="none"/>
                <w:lang w:val="en-US" w:eastAsia="zh-CN"/>
              </w:rPr>
              <w:t xml:space="preserve">  </w:t>
            </w:r>
            <w:r>
              <w:rPr>
                <w:rFonts w:hint="eastAsia" w:ascii="宋体" w:hAnsi="宋体" w:eastAsia="宋体" w:cs="宋体"/>
                <w:color w:val="auto"/>
                <w:sz w:val="21"/>
                <w:szCs w:val="21"/>
                <w:highlight w:val="none"/>
              </w:rPr>
              <w:t xml:space="preserve">       </w:t>
            </w:r>
          </w:p>
        </w:tc>
      </w:tr>
      <w:tr w14:paraId="4024D16D">
        <w:tblPrEx>
          <w:tblCellMar>
            <w:top w:w="0" w:type="dxa"/>
            <w:left w:w="108" w:type="dxa"/>
            <w:bottom w:w="0" w:type="dxa"/>
            <w:right w:w="108" w:type="dxa"/>
          </w:tblCellMar>
        </w:tblPrEx>
        <w:trPr>
          <w:jc w:val="center"/>
        </w:trPr>
        <w:tc>
          <w:tcPr>
            <w:tcW w:w="868" w:type="dxa"/>
            <w:tcBorders>
              <w:top w:val="single" w:color="auto" w:sz="4" w:space="0"/>
              <w:left w:val="single" w:color="auto" w:sz="4" w:space="0"/>
              <w:bottom w:val="single" w:color="auto" w:sz="4" w:space="0"/>
              <w:right w:val="single" w:color="auto" w:sz="4" w:space="0"/>
            </w:tcBorders>
            <w:noWrap/>
            <w:vAlign w:val="center"/>
          </w:tcPr>
          <w:p w14:paraId="52B29A18">
            <w:pPr>
              <w:keepNext w:val="0"/>
              <w:keepLines w:val="0"/>
              <w:pageBreakBefore w:val="0"/>
              <w:kinsoku/>
              <w:wordWrap/>
              <w:overflowPunct/>
              <w:autoSpaceDN/>
              <w:bidi w:val="0"/>
              <w:spacing w:line="400" w:lineRule="exact"/>
              <w:jc w:val="center"/>
              <w:textAlignment w:val="auto"/>
              <w:rPr>
                <w:rFonts w:ascii="宋体" w:hAnsi="宋体" w:cs="宋体"/>
                <w:color w:val="auto"/>
                <w:szCs w:val="21"/>
                <w:highlight w:val="none"/>
              </w:rPr>
            </w:pPr>
            <w:r>
              <w:rPr>
                <w:rFonts w:hint="eastAsia" w:ascii="宋体" w:hAnsi="宋体" w:cs="宋体"/>
                <w:color w:val="auto"/>
                <w:szCs w:val="21"/>
                <w:highlight w:val="none"/>
              </w:rPr>
              <w:t>9</w:t>
            </w:r>
          </w:p>
        </w:tc>
        <w:tc>
          <w:tcPr>
            <w:tcW w:w="2209" w:type="dxa"/>
            <w:gridSpan w:val="2"/>
            <w:tcBorders>
              <w:top w:val="single" w:color="auto" w:sz="4" w:space="0"/>
              <w:left w:val="single" w:color="auto" w:sz="4" w:space="0"/>
              <w:bottom w:val="single" w:color="auto" w:sz="4" w:space="0"/>
              <w:right w:val="single" w:color="auto" w:sz="4" w:space="0"/>
            </w:tcBorders>
            <w:noWrap/>
            <w:vAlign w:val="center"/>
          </w:tcPr>
          <w:p w14:paraId="10FB8891">
            <w:pPr>
              <w:keepNext w:val="0"/>
              <w:keepLines w:val="0"/>
              <w:pageBreakBefore w:val="0"/>
              <w:kinsoku/>
              <w:wordWrap/>
              <w:overflowPunct/>
              <w:autoSpaceDN/>
              <w:bidi w:val="0"/>
              <w:spacing w:line="400" w:lineRule="exact"/>
              <w:jc w:val="center"/>
              <w:textAlignment w:val="auto"/>
              <w:rPr>
                <w:rFonts w:ascii="宋体" w:hAnsi="宋体" w:cs="宋体"/>
                <w:color w:val="auto"/>
                <w:szCs w:val="21"/>
                <w:highlight w:val="none"/>
              </w:rPr>
            </w:pPr>
            <w:r>
              <w:rPr>
                <w:rFonts w:hint="eastAsia" w:ascii="宋体" w:hAnsi="宋体" w:cs="宋体"/>
                <w:color w:val="auto"/>
                <w:szCs w:val="21"/>
                <w:highlight w:val="none"/>
              </w:rPr>
              <w:t>质量要求</w:t>
            </w:r>
          </w:p>
        </w:tc>
        <w:tc>
          <w:tcPr>
            <w:tcW w:w="7251" w:type="dxa"/>
            <w:tcBorders>
              <w:top w:val="single" w:color="auto" w:sz="4" w:space="0"/>
              <w:left w:val="single" w:color="auto" w:sz="4" w:space="0"/>
              <w:bottom w:val="single" w:color="auto" w:sz="4" w:space="0"/>
              <w:right w:val="single" w:color="auto" w:sz="4" w:space="0"/>
            </w:tcBorders>
            <w:noWrap/>
            <w:vAlign w:val="center"/>
          </w:tcPr>
          <w:p w14:paraId="222B8DA3">
            <w:pPr>
              <w:keepNext w:val="0"/>
              <w:keepLines w:val="0"/>
              <w:pageBreakBefore w:val="0"/>
              <w:kinsoku/>
              <w:wordWrap/>
              <w:overflowPunct/>
              <w:autoSpaceDN/>
              <w:bidi w:val="0"/>
              <w:spacing w:line="400" w:lineRule="exact"/>
              <w:textAlignment w:val="auto"/>
              <w:rPr>
                <w:rFonts w:ascii="宋体" w:hAnsi="宋体" w:cs="宋体"/>
                <w:color w:val="auto"/>
                <w:szCs w:val="21"/>
                <w:highlight w:val="none"/>
              </w:rPr>
            </w:pPr>
            <w:r>
              <w:rPr>
                <w:rFonts w:hint="eastAsia" w:ascii="宋体" w:hAnsi="宋体" w:cs="宋体"/>
                <w:color w:val="auto"/>
                <w:kern w:val="0"/>
                <w:szCs w:val="21"/>
                <w:highlight w:val="none"/>
              </w:rPr>
              <w:t>必须达到国家工程施工质量验收</w:t>
            </w:r>
            <w:r>
              <w:rPr>
                <w:rFonts w:hint="eastAsia" w:ascii="宋体" w:hAnsi="宋体" w:cs="宋体"/>
                <w:color w:val="auto"/>
                <w:kern w:val="0"/>
                <w:szCs w:val="21"/>
                <w:highlight w:val="none"/>
                <w:u w:val="single"/>
              </w:rPr>
              <w:t xml:space="preserve"> 合格 </w:t>
            </w:r>
            <w:r>
              <w:rPr>
                <w:rFonts w:hint="eastAsia" w:ascii="宋体" w:hAnsi="宋体" w:cs="宋体"/>
                <w:color w:val="auto"/>
                <w:kern w:val="0"/>
                <w:szCs w:val="21"/>
                <w:highlight w:val="none"/>
              </w:rPr>
              <w:t>标准</w:t>
            </w:r>
            <w:r>
              <w:rPr>
                <w:rFonts w:hint="eastAsia" w:ascii="宋体" w:hAnsi="宋体" w:cs="宋体"/>
                <w:color w:val="auto"/>
                <w:szCs w:val="21"/>
                <w:highlight w:val="none"/>
              </w:rPr>
              <w:t xml:space="preserve">。 </w:t>
            </w:r>
          </w:p>
        </w:tc>
      </w:tr>
      <w:tr w14:paraId="0610F1B6">
        <w:tblPrEx>
          <w:tblCellMar>
            <w:top w:w="0" w:type="dxa"/>
            <w:left w:w="108" w:type="dxa"/>
            <w:bottom w:w="0" w:type="dxa"/>
            <w:right w:w="108" w:type="dxa"/>
          </w:tblCellMar>
        </w:tblPrEx>
        <w:trPr>
          <w:trHeight w:val="90" w:hRule="atLeast"/>
          <w:jc w:val="center"/>
        </w:trPr>
        <w:tc>
          <w:tcPr>
            <w:tcW w:w="868" w:type="dxa"/>
            <w:vMerge w:val="restart"/>
            <w:tcBorders>
              <w:top w:val="single" w:color="auto" w:sz="4" w:space="0"/>
              <w:left w:val="single" w:color="auto" w:sz="4" w:space="0"/>
              <w:bottom w:val="single" w:color="auto" w:sz="4" w:space="0"/>
              <w:right w:val="single" w:color="auto" w:sz="4" w:space="0"/>
            </w:tcBorders>
            <w:noWrap/>
            <w:vAlign w:val="center"/>
          </w:tcPr>
          <w:p w14:paraId="6499B10A">
            <w:pPr>
              <w:keepNext w:val="0"/>
              <w:keepLines w:val="0"/>
              <w:pageBreakBefore w:val="0"/>
              <w:kinsoku/>
              <w:wordWrap/>
              <w:overflowPunct/>
              <w:autoSpaceDN/>
              <w:bidi w:val="0"/>
              <w:spacing w:line="400" w:lineRule="exact"/>
              <w:jc w:val="center"/>
              <w:textAlignment w:val="auto"/>
              <w:rPr>
                <w:rFonts w:ascii="宋体" w:hAnsi="宋体" w:cs="宋体"/>
                <w:color w:val="auto"/>
                <w:szCs w:val="21"/>
                <w:highlight w:val="none"/>
              </w:rPr>
            </w:pPr>
            <w:r>
              <w:rPr>
                <w:rFonts w:hint="eastAsia" w:ascii="宋体" w:hAnsi="宋体" w:cs="宋体"/>
                <w:color w:val="auto"/>
                <w:szCs w:val="21"/>
                <w:highlight w:val="none"/>
              </w:rPr>
              <w:t>10</w:t>
            </w:r>
          </w:p>
        </w:tc>
        <w:tc>
          <w:tcPr>
            <w:tcW w:w="2209" w:type="dxa"/>
            <w:gridSpan w:val="2"/>
            <w:tcBorders>
              <w:top w:val="single" w:color="auto" w:sz="4" w:space="0"/>
              <w:left w:val="single" w:color="auto" w:sz="4" w:space="0"/>
              <w:bottom w:val="single" w:color="auto" w:sz="4" w:space="0"/>
              <w:right w:val="single" w:color="auto" w:sz="4" w:space="0"/>
            </w:tcBorders>
            <w:noWrap/>
            <w:vAlign w:val="center"/>
          </w:tcPr>
          <w:p w14:paraId="27F75B5F">
            <w:pPr>
              <w:keepNext w:val="0"/>
              <w:keepLines w:val="0"/>
              <w:pageBreakBefore w:val="0"/>
              <w:kinsoku/>
              <w:wordWrap/>
              <w:overflowPunct/>
              <w:autoSpaceDN/>
              <w:bidi w:val="0"/>
              <w:spacing w:line="400" w:lineRule="exact"/>
              <w:jc w:val="center"/>
              <w:textAlignment w:val="auto"/>
              <w:rPr>
                <w:rFonts w:ascii="宋体" w:hAnsi="宋体" w:cs="宋体"/>
                <w:color w:val="auto"/>
                <w:szCs w:val="21"/>
                <w:highlight w:val="none"/>
              </w:rPr>
            </w:pPr>
            <w:r>
              <w:rPr>
                <w:rFonts w:hint="eastAsia" w:ascii="宋体" w:hAnsi="宋体" w:cs="宋体"/>
                <w:color w:val="auto"/>
                <w:szCs w:val="21"/>
                <w:highlight w:val="none"/>
              </w:rPr>
              <w:t>投标人资质条件、能力和信誉</w:t>
            </w:r>
          </w:p>
        </w:tc>
        <w:tc>
          <w:tcPr>
            <w:tcW w:w="7251" w:type="dxa"/>
            <w:tcBorders>
              <w:top w:val="single" w:color="auto" w:sz="4" w:space="0"/>
              <w:left w:val="single" w:color="auto" w:sz="4" w:space="0"/>
              <w:bottom w:val="single" w:color="auto" w:sz="4" w:space="0"/>
              <w:right w:val="single" w:color="auto" w:sz="4" w:space="0"/>
            </w:tcBorders>
            <w:noWrap/>
            <w:vAlign w:val="center"/>
          </w:tcPr>
          <w:p w14:paraId="79A1E5A2">
            <w:pPr>
              <w:pStyle w:val="14"/>
              <w:keepNext w:val="0"/>
              <w:keepLines w:val="0"/>
              <w:pageBreakBefore w:val="0"/>
              <w:kinsoku/>
              <w:wordWrap/>
              <w:overflowPunct/>
              <w:autoSpaceDN/>
              <w:bidi w:val="0"/>
              <w:spacing w:line="400" w:lineRule="exact"/>
              <w:ind w:left="0" w:leftChars="0" w:firstLine="0" w:firstLineChars="0"/>
              <w:jc w:val="left"/>
              <w:textAlignment w:val="auto"/>
              <w:rPr>
                <w:rFonts w:hAnsi="宋体" w:cs="宋体"/>
                <w:color w:val="auto"/>
                <w:szCs w:val="21"/>
                <w:highlight w:val="none"/>
                <w:u w:val="single"/>
              </w:rPr>
            </w:pPr>
            <w:r>
              <w:rPr>
                <w:rFonts w:hint="eastAsia" w:hAnsi="宋体" w:cs="宋体"/>
                <w:color w:val="auto"/>
                <w:szCs w:val="21"/>
                <w:highlight w:val="none"/>
                <w:u w:val="single"/>
              </w:rPr>
              <w:t>见招标公告信息</w:t>
            </w:r>
          </w:p>
        </w:tc>
      </w:tr>
      <w:tr w14:paraId="34CDA60C">
        <w:tblPrEx>
          <w:tblCellMar>
            <w:top w:w="0" w:type="dxa"/>
            <w:left w:w="108" w:type="dxa"/>
            <w:bottom w:w="0" w:type="dxa"/>
            <w:right w:w="108" w:type="dxa"/>
          </w:tblCellMar>
        </w:tblPrEx>
        <w:trPr>
          <w:trHeight w:val="575" w:hRule="atLeast"/>
          <w:jc w:val="center"/>
        </w:trPr>
        <w:tc>
          <w:tcPr>
            <w:tcW w:w="868" w:type="dxa"/>
            <w:vMerge w:val="continue"/>
            <w:tcBorders>
              <w:top w:val="single" w:color="auto" w:sz="4" w:space="0"/>
              <w:left w:val="single" w:color="auto" w:sz="4" w:space="0"/>
              <w:bottom w:val="single" w:color="auto" w:sz="4" w:space="0"/>
              <w:right w:val="single" w:color="auto" w:sz="4" w:space="0"/>
            </w:tcBorders>
            <w:noWrap/>
            <w:vAlign w:val="center"/>
          </w:tcPr>
          <w:p w14:paraId="193EBDFC">
            <w:pPr>
              <w:keepNext w:val="0"/>
              <w:keepLines w:val="0"/>
              <w:pageBreakBefore w:val="0"/>
              <w:kinsoku/>
              <w:wordWrap/>
              <w:overflowPunct/>
              <w:autoSpaceDN/>
              <w:bidi w:val="0"/>
              <w:spacing w:line="400" w:lineRule="exact"/>
              <w:jc w:val="center"/>
              <w:textAlignment w:val="auto"/>
              <w:rPr>
                <w:rFonts w:ascii="宋体" w:hAnsi="宋体" w:cs="宋体"/>
                <w:color w:val="auto"/>
                <w:szCs w:val="21"/>
                <w:highlight w:val="none"/>
              </w:rPr>
            </w:pPr>
          </w:p>
        </w:tc>
        <w:tc>
          <w:tcPr>
            <w:tcW w:w="2209" w:type="dxa"/>
            <w:gridSpan w:val="2"/>
            <w:tcBorders>
              <w:top w:val="single" w:color="auto" w:sz="4" w:space="0"/>
              <w:left w:val="single" w:color="auto" w:sz="4" w:space="0"/>
              <w:bottom w:val="single" w:color="auto" w:sz="4" w:space="0"/>
              <w:right w:val="single" w:color="auto" w:sz="4" w:space="0"/>
            </w:tcBorders>
            <w:noWrap/>
            <w:vAlign w:val="center"/>
          </w:tcPr>
          <w:p w14:paraId="7BC1C102">
            <w:pPr>
              <w:keepNext w:val="0"/>
              <w:keepLines w:val="0"/>
              <w:pageBreakBefore w:val="0"/>
              <w:kinsoku/>
              <w:wordWrap/>
              <w:overflowPunct/>
              <w:autoSpaceDN/>
              <w:bidi w:val="0"/>
              <w:spacing w:line="400" w:lineRule="exact"/>
              <w:jc w:val="center"/>
              <w:textAlignment w:val="auto"/>
              <w:rPr>
                <w:rFonts w:ascii="宋体" w:hAnsi="宋体" w:cs="宋体"/>
                <w:color w:val="auto"/>
                <w:szCs w:val="21"/>
                <w:highlight w:val="none"/>
              </w:rPr>
            </w:pPr>
            <w:r>
              <w:rPr>
                <w:rFonts w:hint="eastAsia" w:ascii="宋体" w:hAnsi="宋体" w:cs="宋体"/>
                <w:color w:val="auto"/>
                <w:szCs w:val="21"/>
                <w:highlight w:val="none"/>
              </w:rPr>
              <w:t>招标文件发布时间：</w:t>
            </w:r>
          </w:p>
        </w:tc>
        <w:tc>
          <w:tcPr>
            <w:tcW w:w="7251" w:type="dxa"/>
            <w:tcBorders>
              <w:top w:val="single" w:color="auto" w:sz="4" w:space="0"/>
              <w:left w:val="single" w:color="auto" w:sz="4" w:space="0"/>
              <w:bottom w:val="single" w:color="auto" w:sz="4" w:space="0"/>
              <w:right w:val="single" w:color="auto" w:sz="4" w:space="0"/>
            </w:tcBorders>
            <w:noWrap/>
            <w:vAlign w:val="center"/>
          </w:tcPr>
          <w:p w14:paraId="00E3B91B">
            <w:pPr>
              <w:keepNext w:val="0"/>
              <w:keepLines w:val="0"/>
              <w:pageBreakBefore w:val="0"/>
              <w:kinsoku/>
              <w:wordWrap/>
              <w:overflowPunct/>
              <w:autoSpaceDN/>
              <w:bidi w:val="0"/>
              <w:spacing w:line="400" w:lineRule="exact"/>
              <w:textAlignment w:val="auto"/>
              <w:rPr>
                <w:rFonts w:ascii="宋体" w:hAnsi="宋体" w:cs="宋体"/>
                <w:color w:val="auto"/>
                <w:kern w:val="0"/>
                <w:szCs w:val="21"/>
                <w:highlight w:val="none"/>
              </w:rPr>
            </w:pPr>
            <w:r>
              <w:rPr>
                <w:rFonts w:hint="eastAsia" w:ascii="宋体" w:hAnsi="宋体" w:cs="宋体"/>
                <w:color w:val="auto"/>
                <w:kern w:val="0"/>
                <w:szCs w:val="21"/>
                <w:highlight w:val="none"/>
              </w:rPr>
              <w:t>见招标公告信息</w:t>
            </w:r>
          </w:p>
        </w:tc>
      </w:tr>
      <w:tr w14:paraId="52E33D5B">
        <w:tblPrEx>
          <w:tblCellMar>
            <w:top w:w="0" w:type="dxa"/>
            <w:left w:w="108" w:type="dxa"/>
            <w:bottom w:w="0" w:type="dxa"/>
            <w:right w:w="108" w:type="dxa"/>
          </w:tblCellMar>
        </w:tblPrEx>
        <w:trPr>
          <w:jc w:val="center"/>
        </w:trPr>
        <w:tc>
          <w:tcPr>
            <w:tcW w:w="868" w:type="dxa"/>
            <w:tcBorders>
              <w:top w:val="single" w:color="auto" w:sz="4" w:space="0"/>
              <w:left w:val="single" w:color="auto" w:sz="4" w:space="0"/>
              <w:bottom w:val="single" w:color="auto" w:sz="4" w:space="0"/>
              <w:right w:val="single" w:color="auto" w:sz="4" w:space="0"/>
            </w:tcBorders>
            <w:noWrap/>
            <w:vAlign w:val="center"/>
          </w:tcPr>
          <w:p w14:paraId="22885CC7">
            <w:pPr>
              <w:keepNext w:val="0"/>
              <w:keepLines w:val="0"/>
              <w:pageBreakBefore w:val="0"/>
              <w:kinsoku/>
              <w:wordWrap/>
              <w:overflowPunct/>
              <w:autoSpaceDN/>
              <w:bidi w:val="0"/>
              <w:spacing w:line="400" w:lineRule="exact"/>
              <w:jc w:val="center"/>
              <w:textAlignment w:val="auto"/>
              <w:rPr>
                <w:rFonts w:ascii="宋体" w:hAnsi="宋体" w:cs="宋体"/>
                <w:color w:val="auto"/>
                <w:szCs w:val="21"/>
                <w:highlight w:val="none"/>
              </w:rPr>
            </w:pPr>
            <w:r>
              <w:rPr>
                <w:rFonts w:hint="eastAsia" w:ascii="宋体" w:hAnsi="宋体" w:cs="宋体"/>
                <w:color w:val="auto"/>
                <w:szCs w:val="21"/>
                <w:highlight w:val="none"/>
              </w:rPr>
              <w:t>11</w:t>
            </w:r>
          </w:p>
        </w:tc>
        <w:tc>
          <w:tcPr>
            <w:tcW w:w="2209" w:type="dxa"/>
            <w:gridSpan w:val="2"/>
            <w:tcBorders>
              <w:top w:val="single" w:color="auto" w:sz="4" w:space="0"/>
              <w:left w:val="single" w:color="auto" w:sz="4" w:space="0"/>
              <w:bottom w:val="single" w:color="auto" w:sz="4" w:space="0"/>
              <w:right w:val="single" w:color="auto" w:sz="4" w:space="0"/>
            </w:tcBorders>
            <w:noWrap/>
            <w:vAlign w:val="center"/>
          </w:tcPr>
          <w:p w14:paraId="04E7DF90">
            <w:pPr>
              <w:keepNext w:val="0"/>
              <w:keepLines w:val="0"/>
              <w:pageBreakBefore w:val="0"/>
              <w:kinsoku/>
              <w:wordWrap/>
              <w:overflowPunct/>
              <w:autoSpaceDN/>
              <w:bidi w:val="0"/>
              <w:spacing w:line="400" w:lineRule="exact"/>
              <w:jc w:val="center"/>
              <w:textAlignment w:val="auto"/>
              <w:rPr>
                <w:rFonts w:ascii="宋体" w:hAnsi="宋体" w:cs="宋体"/>
                <w:color w:val="auto"/>
                <w:spacing w:val="-4"/>
                <w:kern w:val="0"/>
                <w:szCs w:val="21"/>
                <w:highlight w:val="none"/>
              </w:rPr>
            </w:pPr>
            <w:r>
              <w:rPr>
                <w:rFonts w:hint="eastAsia" w:ascii="宋体" w:hAnsi="宋体" w:cs="宋体"/>
                <w:color w:val="auto"/>
                <w:spacing w:val="-4"/>
                <w:kern w:val="0"/>
                <w:szCs w:val="21"/>
                <w:highlight w:val="none"/>
              </w:rPr>
              <w:t>踏勘现场</w:t>
            </w:r>
          </w:p>
        </w:tc>
        <w:tc>
          <w:tcPr>
            <w:tcW w:w="7251" w:type="dxa"/>
            <w:tcBorders>
              <w:top w:val="single" w:color="auto" w:sz="4" w:space="0"/>
              <w:left w:val="single" w:color="auto" w:sz="4" w:space="0"/>
              <w:bottom w:val="single" w:color="auto" w:sz="4" w:space="0"/>
              <w:right w:val="single" w:color="auto" w:sz="4" w:space="0"/>
            </w:tcBorders>
            <w:noWrap/>
            <w:vAlign w:val="center"/>
          </w:tcPr>
          <w:p w14:paraId="2EB7922D">
            <w:pPr>
              <w:pStyle w:val="19"/>
              <w:keepNext w:val="0"/>
              <w:keepLines w:val="0"/>
              <w:pageBreakBefore w:val="0"/>
              <w:kinsoku/>
              <w:wordWrap/>
              <w:overflowPunct/>
              <w:topLinePunct/>
              <w:autoSpaceDN/>
              <w:bidi w:val="0"/>
              <w:spacing w:line="400" w:lineRule="exact"/>
              <w:textAlignment w:val="auto"/>
              <w:rPr>
                <w:rFonts w:hAnsi="宋体" w:cs="宋体"/>
                <w:color w:val="auto"/>
                <w:spacing w:val="-4"/>
                <w:kern w:val="0"/>
                <w:sz w:val="21"/>
                <w:szCs w:val="21"/>
                <w:highlight w:val="none"/>
              </w:rPr>
            </w:pPr>
            <w:r>
              <w:rPr>
                <w:rFonts w:hint="eastAsia" w:hAnsi="宋体" w:cs="宋体"/>
                <w:color w:val="auto"/>
                <w:sz w:val="21"/>
                <w:szCs w:val="21"/>
                <w:highlight w:val="none"/>
              </w:rPr>
              <w:t>☑</w:t>
            </w:r>
            <w:r>
              <w:rPr>
                <w:rFonts w:hint="eastAsia" w:hAnsi="宋体" w:cs="宋体"/>
                <w:color w:val="auto"/>
                <w:spacing w:val="-4"/>
                <w:kern w:val="0"/>
                <w:sz w:val="21"/>
                <w:szCs w:val="21"/>
                <w:highlight w:val="none"/>
              </w:rPr>
              <w:t>不组织，投标人自行组织踏勘现场</w:t>
            </w:r>
            <w:r>
              <w:rPr>
                <w:rFonts w:hint="eastAsia" w:hAnsi="宋体" w:cs="宋体"/>
                <w:color w:val="auto"/>
                <w:sz w:val="21"/>
                <w:szCs w:val="21"/>
                <w:highlight w:val="none"/>
              </w:rPr>
              <w:t>；□组织</w:t>
            </w:r>
          </w:p>
        </w:tc>
      </w:tr>
      <w:tr w14:paraId="5938BD5A">
        <w:tblPrEx>
          <w:tblCellMar>
            <w:top w:w="0" w:type="dxa"/>
            <w:left w:w="108" w:type="dxa"/>
            <w:bottom w:w="0" w:type="dxa"/>
            <w:right w:w="108" w:type="dxa"/>
          </w:tblCellMar>
        </w:tblPrEx>
        <w:trPr>
          <w:jc w:val="center"/>
        </w:trPr>
        <w:tc>
          <w:tcPr>
            <w:tcW w:w="868" w:type="dxa"/>
            <w:tcBorders>
              <w:top w:val="single" w:color="auto" w:sz="4" w:space="0"/>
              <w:left w:val="single" w:color="auto" w:sz="4" w:space="0"/>
              <w:bottom w:val="single" w:color="auto" w:sz="4" w:space="0"/>
              <w:right w:val="single" w:color="auto" w:sz="4" w:space="0"/>
            </w:tcBorders>
            <w:noWrap/>
            <w:vAlign w:val="center"/>
          </w:tcPr>
          <w:p w14:paraId="4C77D58C">
            <w:pPr>
              <w:keepNext w:val="0"/>
              <w:keepLines w:val="0"/>
              <w:pageBreakBefore w:val="0"/>
              <w:kinsoku/>
              <w:wordWrap/>
              <w:overflowPunct/>
              <w:autoSpaceDN/>
              <w:bidi w:val="0"/>
              <w:spacing w:line="400" w:lineRule="exact"/>
              <w:jc w:val="center"/>
              <w:textAlignment w:val="auto"/>
              <w:rPr>
                <w:rFonts w:ascii="宋体" w:hAnsi="宋体" w:cs="宋体"/>
                <w:color w:val="auto"/>
                <w:szCs w:val="21"/>
                <w:highlight w:val="none"/>
              </w:rPr>
            </w:pPr>
            <w:r>
              <w:rPr>
                <w:rFonts w:hint="eastAsia" w:ascii="宋体" w:hAnsi="宋体" w:cs="宋体"/>
                <w:color w:val="auto"/>
                <w:szCs w:val="21"/>
                <w:highlight w:val="none"/>
              </w:rPr>
              <w:t>12</w:t>
            </w:r>
          </w:p>
        </w:tc>
        <w:tc>
          <w:tcPr>
            <w:tcW w:w="2209" w:type="dxa"/>
            <w:gridSpan w:val="2"/>
            <w:tcBorders>
              <w:top w:val="single" w:color="auto" w:sz="4" w:space="0"/>
              <w:left w:val="single" w:color="auto" w:sz="4" w:space="0"/>
              <w:bottom w:val="single" w:color="auto" w:sz="4" w:space="0"/>
              <w:right w:val="single" w:color="auto" w:sz="4" w:space="0"/>
            </w:tcBorders>
            <w:noWrap/>
            <w:vAlign w:val="center"/>
          </w:tcPr>
          <w:p w14:paraId="69FD36A4">
            <w:pPr>
              <w:keepNext w:val="0"/>
              <w:keepLines w:val="0"/>
              <w:pageBreakBefore w:val="0"/>
              <w:kinsoku/>
              <w:wordWrap/>
              <w:overflowPunct/>
              <w:autoSpaceDN/>
              <w:bidi w:val="0"/>
              <w:spacing w:line="400" w:lineRule="exact"/>
              <w:jc w:val="center"/>
              <w:textAlignment w:val="auto"/>
              <w:rPr>
                <w:rFonts w:ascii="宋体" w:hAnsi="宋体" w:cs="宋体"/>
                <w:color w:val="auto"/>
                <w:spacing w:val="-4"/>
                <w:kern w:val="0"/>
                <w:szCs w:val="21"/>
                <w:highlight w:val="none"/>
              </w:rPr>
            </w:pPr>
            <w:r>
              <w:rPr>
                <w:rFonts w:hint="eastAsia" w:ascii="宋体" w:hAnsi="宋体" w:cs="宋体"/>
                <w:color w:val="auto"/>
                <w:spacing w:val="-4"/>
                <w:kern w:val="0"/>
                <w:szCs w:val="21"/>
                <w:highlight w:val="none"/>
              </w:rPr>
              <w:t>投标预备会</w:t>
            </w:r>
          </w:p>
        </w:tc>
        <w:tc>
          <w:tcPr>
            <w:tcW w:w="7251" w:type="dxa"/>
            <w:tcBorders>
              <w:top w:val="single" w:color="auto" w:sz="4" w:space="0"/>
              <w:left w:val="single" w:color="auto" w:sz="4" w:space="0"/>
              <w:bottom w:val="single" w:color="auto" w:sz="4" w:space="0"/>
              <w:right w:val="single" w:color="auto" w:sz="4" w:space="0"/>
            </w:tcBorders>
            <w:noWrap/>
            <w:vAlign w:val="center"/>
          </w:tcPr>
          <w:p w14:paraId="3343207B">
            <w:pPr>
              <w:pStyle w:val="19"/>
              <w:keepNext w:val="0"/>
              <w:keepLines w:val="0"/>
              <w:pageBreakBefore w:val="0"/>
              <w:kinsoku/>
              <w:wordWrap/>
              <w:overflowPunct/>
              <w:topLinePunct/>
              <w:autoSpaceDN/>
              <w:bidi w:val="0"/>
              <w:spacing w:line="400" w:lineRule="exact"/>
              <w:textAlignment w:val="auto"/>
              <w:rPr>
                <w:rFonts w:hAnsi="宋体" w:cs="宋体"/>
                <w:color w:val="auto"/>
                <w:spacing w:val="-4"/>
                <w:kern w:val="0"/>
                <w:sz w:val="21"/>
                <w:szCs w:val="21"/>
                <w:highlight w:val="none"/>
              </w:rPr>
            </w:pPr>
            <w:r>
              <w:rPr>
                <w:rFonts w:hint="eastAsia" w:hAnsi="宋体" w:cs="宋体"/>
                <w:color w:val="auto"/>
                <w:sz w:val="21"/>
                <w:szCs w:val="21"/>
                <w:highlight w:val="none"/>
              </w:rPr>
              <w:t>☑</w:t>
            </w:r>
            <w:r>
              <w:rPr>
                <w:rFonts w:hint="eastAsia" w:hAnsi="宋体" w:cs="宋体"/>
                <w:color w:val="auto"/>
                <w:spacing w:val="-4"/>
                <w:kern w:val="0"/>
                <w:sz w:val="21"/>
                <w:szCs w:val="21"/>
                <w:highlight w:val="none"/>
              </w:rPr>
              <w:t>不召开</w:t>
            </w:r>
            <w:r>
              <w:rPr>
                <w:rFonts w:hint="eastAsia" w:hAnsi="宋体" w:cs="宋体"/>
                <w:color w:val="auto"/>
                <w:sz w:val="21"/>
                <w:szCs w:val="21"/>
                <w:highlight w:val="none"/>
              </w:rPr>
              <w:t>；□召开</w:t>
            </w:r>
          </w:p>
        </w:tc>
      </w:tr>
      <w:tr w14:paraId="1A706311">
        <w:tblPrEx>
          <w:tblCellMar>
            <w:top w:w="0" w:type="dxa"/>
            <w:left w:w="108" w:type="dxa"/>
            <w:bottom w:w="0" w:type="dxa"/>
            <w:right w:w="108" w:type="dxa"/>
          </w:tblCellMar>
        </w:tblPrEx>
        <w:trPr>
          <w:jc w:val="center"/>
        </w:trPr>
        <w:tc>
          <w:tcPr>
            <w:tcW w:w="868" w:type="dxa"/>
            <w:tcBorders>
              <w:top w:val="single" w:color="auto" w:sz="4" w:space="0"/>
              <w:left w:val="single" w:color="auto" w:sz="4" w:space="0"/>
              <w:bottom w:val="single" w:color="auto" w:sz="4" w:space="0"/>
              <w:right w:val="single" w:color="auto" w:sz="4" w:space="0"/>
            </w:tcBorders>
            <w:noWrap/>
            <w:vAlign w:val="center"/>
          </w:tcPr>
          <w:p w14:paraId="72418457">
            <w:pPr>
              <w:keepNext w:val="0"/>
              <w:keepLines w:val="0"/>
              <w:pageBreakBefore w:val="0"/>
              <w:kinsoku/>
              <w:wordWrap/>
              <w:overflowPunct/>
              <w:autoSpaceDN/>
              <w:bidi w:val="0"/>
              <w:spacing w:line="400" w:lineRule="exact"/>
              <w:jc w:val="center"/>
              <w:textAlignment w:val="auto"/>
              <w:rPr>
                <w:rFonts w:ascii="宋体" w:hAnsi="宋体" w:cs="宋体"/>
                <w:color w:val="auto"/>
                <w:szCs w:val="21"/>
                <w:highlight w:val="none"/>
              </w:rPr>
            </w:pPr>
            <w:r>
              <w:rPr>
                <w:rFonts w:hint="eastAsia" w:ascii="宋体" w:hAnsi="宋体" w:cs="宋体"/>
                <w:color w:val="auto"/>
                <w:szCs w:val="21"/>
                <w:highlight w:val="none"/>
              </w:rPr>
              <w:t>13</w:t>
            </w:r>
          </w:p>
        </w:tc>
        <w:tc>
          <w:tcPr>
            <w:tcW w:w="2209" w:type="dxa"/>
            <w:gridSpan w:val="2"/>
            <w:tcBorders>
              <w:top w:val="single" w:color="auto" w:sz="4" w:space="0"/>
              <w:left w:val="single" w:color="auto" w:sz="4" w:space="0"/>
              <w:bottom w:val="single" w:color="auto" w:sz="4" w:space="0"/>
              <w:right w:val="single" w:color="auto" w:sz="4" w:space="0"/>
            </w:tcBorders>
            <w:noWrap/>
            <w:vAlign w:val="center"/>
          </w:tcPr>
          <w:p w14:paraId="111C62BE">
            <w:pPr>
              <w:keepNext w:val="0"/>
              <w:keepLines w:val="0"/>
              <w:pageBreakBefore w:val="0"/>
              <w:kinsoku/>
              <w:wordWrap/>
              <w:overflowPunct/>
              <w:autoSpaceDN/>
              <w:bidi w:val="0"/>
              <w:spacing w:line="400" w:lineRule="exact"/>
              <w:jc w:val="center"/>
              <w:textAlignment w:val="auto"/>
              <w:rPr>
                <w:rFonts w:ascii="宋体" w:hAnsi="宋体" w:cs="宋体"/>
                <w:color w:val="auto"/>
                <w:szCs w:val="21"/>
                <w:highlight w:val="none"/>
              </w:rPr>
            </w:pPr>
            <w:r>
              <w:rPr>
                <w:rFonts w:hint="eastAsia" w:ascii="宋体" w:hAnsi="宋体" w:cs="宋体"/>
                <w:color w:val="auto"/>
                <w:szCs w:val="21"/>
                <w:highlight w:val="none"/>
              </w:rPr>
              <w:t>投标人提出问题的截止时间及方式</w:t>
            </w:r>
          </w:p>
        </w:tc>
        <w:tc>
          <w:tcPr>
            <w:tcW w:w="7251" w:type="dxa"/>
            <w:tcBorders>
              <w:top w:val="single" w:color="auto" w:sz="4" w:space="0"/>
              <w:left w:val="single" w:color="auto" w:sz="4" w:space="0"/>
              <w:bottom w:val="single" w:color="auto" w:sz="4" w:space="0"/>
              <w:right w:val="single" w:color="auto" w:sz="4" w:space="0"/>
            </w:tcBorders>
            <w:noWrap/>
            <w:vAlign w:val="center"/>
          </w:tcPr>
          <w:p w14:paraId="0FB0E6F2">
            <w:pPr>
              <w:pStyle w:val="24"/>
              <w:keepNext w:val="0"/>
              <w:keepLines w:val="0"/>
              <w:pageBreakBefore w:val="0"/>
              <w:kinsoku/>
              <w:wordWrap/>
              <w:overflowPunct/>
              <w:autoSpaceDN/>
              <w:bidi w:val="0"/>
              <w:spacing w:line="400" w:lineRule="exact"/>
              <w:textAlignment w:val="auto"/>
              <w:rPr>
                <w:rFonts w:hAnsi="宋体" w:cs="宋体"/>
                <w:color w:val="auto"/>
                <w:szCs w:val="21"/>
                <w:highlight w:val="none"/>
              </w:rPr>
            </w:pPr>
            <w:r>
              <w:rPr>
                <w:rFonts w:hint="eastAsia" w:ascii="宋体" w:hAnsi="宋体" w:cs="宋体"/>
                <w:color w:val="auto"/>
                <w:kern w:val="0"/>
                <w:szCs w:val="21"/>
                <w:highlight w:val="none"/>
              </w:rPr>
              <w:t>如投标人对招标文件有疑问，</w:t>
            </w:r>
            <w:r>
              <w:rPr>
                <w:rFonts w:hint="eastAsia" w:ascii="宋体" w:hAnsi="宋体" w:eastAsia="宋体" w:cs="宋体"/>
                <w:color w:val="auto"/>
                <w:kern w:val="0"/>
                <w:szCs w:val="21"/>
                <w:highlight w:val="none"/>
              </w:rPr>
              <w:t>请于</w:t>
            </w:r>
            <w:r>
              <w:rPr>
                <w:rFonts w:hint="eastAsia" w:ascii="宋体" w:hAnsi="宋体" w:cs="宋体"/>
                <w:color w:val="auto"/>
                <w:kern w:val="0"/>
                <w:szCs w:val="21"/>
                <w:highlight w:val="none"/>
                <w:lang w:eastAsia="zh-CN"/>
              </w:rPr>
              <w:t>2026年9月</w:t>
            </w:r>
            <w:r>
              <w:rPr>
                <w:rFonts w:hint="eastAsia" w:ascii="宋体" w:hAnsi="宋体" w:cs="宋体"/>
                <w:color w:val="auto"/>
                <w:kern w:val="0"/>
                <w:szCs w:val="21"/>
                <w:highlight w:val="none"/>
                <w:lang w:val="en-US" w:eastAsia="zh-CN"/>
              </w:rPr>
              <w:t>4</w:t>
            </w:r>
            <w:r>
              <w:rPr>
                <w:rFonts w:hint="eastAsia" w:ascii="宋体" w:hAnsi="宋体" w:eastAsia="宋体" w:cs="宋体"/>
                <w:color w:val="auto"/>
                <w:kern w:val="0"/>
                <w:szCs w:val="21"/>
                <w:highlight w:val="none"/>
              </w:rPr>
              <w:t>日1</w:t>
            </w:r>
            <w:r>
              <w:rPr>
                <w:rFonts w:hint="eastAsia" w:ascii="宋体" w:hAnsi="宋体" w:cs="宋体"/>
                <w:color w:val="auto"/>
                <w:kern w:val="0"/>
                <w:szCs w:val="21"/>
                <w:highlight w:val="none"/>
                <w:lang w:val="en-US" w:eastAsia="zh-CN"/>
              </w:rPr>
              <w:t>2</w:t>
            </w:r>
            <w:r>
              <w:rPr>
                <w:rFonts w:hint="eastAsia" w:ascii="宋体" w:hAnsi="宋体" w:eastAsia="宋体" w:cs="宋体"/>
                <w:color w:val="auto"/>
                <w:kern w:val="0"/>
                <w:szCs w:val="21"/>
                <w:highlight w:val="none"/>
              </w:rPr>
              <w:t>时前</w:t>
            </w:r>
            <w:r>
              <w:rPr>
                <w:rFonts w:hint="eastAsia" w:ascii="宋体" w:hAnsi="宋体" w:eastAsia="宋体" w:cs="宋体"/>
                <w:color w:val="auto"/>
                <w:szCs w:val="21"/>
                <w:highlight w:val="none"/>
                <w:lang w:val="en-US" w:eastAsia="zh-CN"/>
              </w:rPr>
              <w:t>登录新点电子交易平台【滁州专区】线上提出</w:t>
            </w:r>
            <w:r>
              <w:rPr>
                <w:rFonts w:ascii="宋体" w:hAnsi="宋体" w:eastAsia="宋体" w:cs="宋体"/>
                <w:color w:val="auto"/>
                <w:highlight w:val="none"/>
              </w:rPr>
              <w:t>。</w:t>
            </w:r>
          </w:p>
        </w:tc>
      </w:tr>
      <w:tr w14:paraId="2634A732">
        <w:tblPrEx>
          <w:tblCellMar>
            <w:top w:w="0" w:type="dxa"/>
            <w:left w:w="108" w:type="dxa"/>
            <w:bottom w:w="0" w:type="dxa"/>
            <w:right w:w="108" w:type="dxa"/>
          </w:tblCellMar>
        </w:tblPrEx>
        <w:trPr>
          <w:jc w:val="center"/>
        </w:trPr>
        <w:tc>
          <w:tcPr>
            <w:tcW w:w="868" w:type="dxa"/>
            <w:tcBorders>
              <w:top w:val="single" w:color="auto" w:sz="4" w:space="0"/>
              <w:left w:val="single" w:color="auto" w:sz="4" w:space="0"/>
              <w:bottom w:val="single" w:color="auto" w:sz="4" w:space="0"/>
              <w:right w:val="single" w:color="auto" w:sz="4" w:space="0"/>
            </w:tcBorders>
            <w:noWrap/>
            <w:vAlign w:val="center"/>
          </w:tcPr>
          <w:p w14:paraId="6D7940DC">
            <w:pPr>
              <w:keepNext w:val="0"/>
              <w:keepLines w:val="0"/>
              <w:pageBreakBefore w:val="0"/>
              <w:kinsoku/>
              <w:wordWrap/>
              <w:overflowPunct/>
              <w:autoSpaceDN/>
              <w:bidi w:val="0"/>
              <w:spacing w:line="400" w:lineRule="exact"/>
              <w:jc w:val="center"/>
              <w:textAlignment w:val="auto"/>
              <w:rPr>
                <w:rFonts w:ascii="宋体" w:hAnsi="宋体" w:cs="宋体"/>
                <w:color w:val="auto"/>
                <w:szCs w:val="21"/>
                <w:highlight w:val="none"/>
              </w:rPr>
            </w:pPr>
            <w:r>
              <w:rPr>
                <w:rFonts w:hint="eastAsia" w:ascii="宋体" w:hAnsi="宋体" w:cs="宋体"/>
                <w:color w:val="auto"/>
                <w:szCs w:val="21"/>
                <w:highlight w:val="none"/>
              </w:rPr>
              <w:t>14</w:t>
            </w:r>
          </w:p>
        </w:tc>
        <w:tc>
          <w:tcPr>
            <w:tcW w:w="2209" w:type="dxa"/>
            <w:gridSpan w:val="2"/>
            <w:tcBorders>
              <w:top w:val="single" w:color="auto" w:sz="4" w:space="0"/>
              <w:left w:val="single" w:color="auto" w:sz="4" w:space="0"/>
              <w:bottom w:val="single" w:color="auto" w:sz="4" w:space="0"/>
              <w:right w:val="single" w:color="auto" w:sz="4" w:space="0"/>
            </w:tcBorders>
            <w:noWrap/>
            <w:vAlign w:val="center"/>
          </w:tcPr>
          <w:p w14:paraId="0F9A4559">
            <w:pPr>
              <w:keepNext w:val="0"/>
              <w:keepLines w:val="0"/>
              <w:pageBreakBefore w:val="0"/>
              <w:kinsoku/>
              <w:wordWrap/>
              <w:overflowPunct/>
              <w:autoSpaceDN/>
              <w:bidi w:val="0"/>
              <w:spacing w:line="400" w:lineRule="exact"/>
              <w:jc w:val="center"/>
              <w:textAlignment w:val="auto"/>
              <w:rPr>
                <w:rFonts w:ascii="宋体" w:hAnsi="宋体" w:cs="宋体"/>
                <w:color w:val="auto"/>
                <w:szCs w:val="21"/>
                <w:highlight w:val="none"/>
              </w:rPr>
            </w:pPr>
            <w:r>
              <w:rPr>
                <w:rFonts w:hint="eastAsia" w:ascii="宋体" w:hAnsi="宋体" w:cs="宋体"/>
                <w:color w:val="auto"/>
                <w:szCs w:val="21"/>
                <w:highlight w:val="none"/>
              </w:rPr>
              <w:t>招标人澄清的时间及方式</w:t>
            </w:r>
          </w:p>
        </w:tc>
        <w:tc>
          <w:tcPr>
            <w:tcW w:w="7251" w:type="dxa"/>
            <w:tcBorders>
              <w:top w:val="single" w:color="auto" w:sz="4" w:space="0"/>
              <w:left w:val="single" w:color="auto" w:sz="4" w:space="0"/>
              <w:bottom w:val="single" w:color="auto" w:sz="4" w:space="0"/>
              <w:right w:val="single" w:color="auto" w:sz="4" w:space="0"/>
            </w:tcBorders>
            <w:noWrap/>
            <w:vAlign w:val="center"/>
          </w:tcPr>
          <w:p w14:paraId="3EA44CCA">
            <w:pPr>
              <w:keepNext w:val="0"/>
              <w:keepLines w:val="0"/>
              <w:pageBreakBefore w:val="0"/>
              <w:kinsoku/>
              <w:wordWrap/>
              <w:overflowPunct/>
              <w:autoSpaceDN/>
              <w:bidi w:val="0"/>
              <w:spacing w:line="400" w:lineRule="exact"/>
              <w:textAlignment w:val="auto"/>
              <w:rPr>
                <w:rFonts w:ascii="宋体" w:hAnsi="宋体" w:cs="宋体"/>
                <w:color w:val="auto"/>
                <w:szCs w:val="21"/>
                <w:highlight w:val="none"/>
              </w:rPr>
            </w:pPr>
            <w:r>
              <w:rPr>
                <w:rFonts w:hint="eastAsia" w:ascii="宋体" w:hAnsi="宋体" w:eastAsia="宋体" w:cs="宋体"/>
                <w:b w:val="0"/>
                <w:bCs w:val="0"/>
                <w:color w:val="auto"/>
                <w:kern w:val="2"/>
                <w:sz w:val="21"/>
                <w:szCs w:val="21"/>
                <w:highlight w:val="none"/>
                <w:u w:color="000000"/>
                <w:lang w:val="en-US" w:eastAsia="zh-CN" w:bidi="ar"/>
              </w:rPr>
              <w:t>招标人将在</w:t>
            </w:r>
            <w:r>
              <w:rPr>
                <w:rFonts w:hint="eastAsia" w:ascii="宋体" w:hAnsi="宋体" w:cs="宋体"/>
                <w:b w:val="0"/>
                <w:bCs w:val="0"/>
                <w:color w:val="auto"/>
                <w:kern w:val="2"/>
                <w:sz w:val="21"/>
                <w:szCs w:val="21"/>
                <w:highlight w:val="none"/>
                <w:u w:color="000000"/>
                <w:lang w:val="en-US" w:eastAsia="zh-CN" w:bidi="ar"/>
              </w:rPr>
              <w:t>2026年9月4</w:t>
            </w:r>
            <w:r>
              <w:rPr>
                <w:rFonts w:hint="eastAsia" w:ascii="宋体" w:hAnsi="宋体" w:eastAsia="宋体" w:cs="宋体"/>
                <w:b w:val="0"/>
                <w:bCs w:val="0"/>
                <w:color w:val="auto"/>
                <w:kern w:val="2"/>
                <w:sz w:val="21"/>
                <w:szCs w:val="21"/>
                <w:highlight w:val="none"/>
                <w:u w:color="000000"/>
                <w:lang w:val="en-US" w:eastAsia="zh-CN" w:bidi="ar"/>
              </w:rPr>
              <w:t>日17时后以澄清公告形式在滁州市琅琊区人民政府（https://www.lyq.gov.cn/）</w:t>
            </w:r>
            <w:r>
              <w:rPr>
                <w:rFonts w:hint="eastAsia" w:ascii="宋体" w:hAnsi="宋体" w:cs="宋体"/>
                <w:b w:val="0"/>
                <w:bCs w:val="0"/>
                <w:color w:val="auto"/>
                <w:kern w:val="2"/>
                <w:sz w:val="21"/>
                <w:szCs w:val="21"/>
                <w:highlight w:val="none"/>
                <w:u w:color="000000"/>
                <w:lang w:val="en-US" w:eastAsia="zh-CN" w:bidi="ar"/>
              </w:rPr>
              <w:t>、</w:t>
            </w:r>
            <w:r>
              <w:rPr>
                <w:rFonts w:hint="eastAsia" w:ascii="宋体" w:hAnsi="宋体" w:eastAsia="宋体" w:cs="宋体"/>
                <w:b w:val="0"/>
                <w:bCs w:val="0"/>
                <w:color w:val="auto"/>
                <w:kern w:val="2"/>
                <w:sz w:val="21"/>
                <w:szCs w:val="21"/>
                <w:highlight w:val="none"/>
                <w:u w:color="000000"/>
                <w:lang w:val="en-US" w:eastAsia="zh-CN" w:bidi="ar"/>
              </w:rPr>
              <w:t>滁州市城投工程咨询管理有限公司网站（</w:t>
            </w:r>
            <w:r>
              <w:rPr>
                <w:rFonts w:hint="eastAsia" w:ascii="宋体" w:hAnsi="宋体" w:cs="宋体"/>
                <w:b w:val="0"/>
                <w:bCs w:val="0"/>
                <w:color w:val="auto"/>
                <w:kern w:val="2"/>
                <w:sz w:val="21"/>
                <w:szCs w:val="21"/>
                <w:highlight w:val="none"/>
                <w:u w:color="000000"/>
                <w:lang w:val="en-US" w:eastAsia="zh-CN" w:bidi="ar"/>
              </w:rPr>
              <w:t>https://www.czctgczx.com/</w:t>
            </w:r>
            <w:r>
              <w:rPr>
                <w:rFonts w:hint="eastAsia" w:ascii="宋体" w:hAnsi="宋体" w:eastAsia="宋体" w:cs="宋体"/>
                <w:b w:val="0"/>
                <w:bCs w:val="0"/>
                <w:color w:val="auto"/>
                <w:kern w:val="2"/>
                <w:sz w:val="21"/>
                <w:szCs w:val="21"/>
                <w:highlight w:val="none"/>
                <w:u w:color="000000"/>
                <w:lang w:val="en-US" w:eastAsia="zh-CN" w:bidi="ar"/>
              </w:rPr>
              <w:t>）发布，但不指明澄清问题的来源。如果澄清内容影响投标文件编制的，将相应延长投标截止时间。</w:t>
            </w:r>
          </w:p>
        </w:tc>
      </w:tr>
      <w:tr w14:paraId="5AD99380">
        <w:tblPrEx>
          <w:tblCellMar>
            <w:top w:w="0" w:type="dxa"/>
            <w:left w:w="108" w:type="dxa"/>
            <w:bottom w:w="0" w:type="dxa"/>
            <w:right w:w="108" w:type="dxa"/>
          </w:tblCellMar>
        </w:tblPrEx>
        <w:trPr>
          <w:jc w:val="center"/>
        </w:trPr>
        <w:tc>
          <w:tcPr>
            <w:tcW w:w="868" w:type="dxa"/>
            <w:tcBorders>
              <w:top w:val="single" w:color="auto" w:sz="4" w:space="0"/>
              <w:left w:val="single" w:color="auto" w:sz="4" w:space="0"/>
              <w:bottom w:val="single" w:color="auto" w:sz="4" w:space="0"/>
              <w:right w:val="single" w:color="auto" w:sz="4" w:space="0"/>
            </w:tcBorders>
            <w:noWrap/>
            <w:vAlign w:val="center"/>
          </w:tcPr>
          <w:p w14:paraId="6ACCAE51">
            <w:pPr>
              <w:keepNext w:val="0"/>
              <w:keepLines w:val="0"/>
              <w:pageBreakBefore w:val="0"/>
              <w:kinsoku/>
              <w:wordWrap/>
              <w:overflowPunct/>
              <w:autoSpaceDN/>
              <w:bidi w:val="0"/>
              <w:spacing w:line="400" w:lineRule="exact"/>
              <w:jc w:val="center"/>
              <w:textAlignment w:val="auto"/>
              <w:rPr>
                <w:rFonts w:ascii="宋体" w:hAnsi="宋体" w:cs="宋体"/>
                <w:color w:val="auto"/>
                <w:szCs w:val="21"/>
                <w:highlight w:val="none"/>
              </w:rPr>
            </w:pPr>
            <w:r>
              <w:rPr>
                <w:rFonts w:hint="eastAsia" w:ascii="宋体" w:hAnsi="宋体" w:cs="宋体"/>
                <w:color w:val="auto"/>
                <w:szCs w:val="21"/>
                <w:highlight w:val="none"/>
              </w:rPr>
              <w:t>15</w:t>
            </w:r>
          </w:p>
        </w:tc>
        <w:tc>
          <w:tcPr>
            <w:tcW w:w="2209" w:type="dxa"/>
            <w:gridSpan w:val="2"/>
            <w:tcBorders>
              <w:top w:val="single" w:color="auto" w:sz="4" w:space="0"/>
              <w:left w:val="single" w:color="auto" w:sz="4" w:space="0"/>
              <w:bottom w:val="single" w:color="auto" w:sz="4" w:space="0"/>
              <w:right w:val="single" w:color="auto" w:sz="4" w:space="0"/>
            </w:tcBorders>
            <w:noWrap/>
            <w:vAlign w:val="center"/>
          </w:tcPr>
          <w:p w14:paraId="56712731">
            <w:pPr>
              <w:keepNext w:val="0"/>
              <w:keepLines w:val="0"/>
              <w:pageBreakBefore w:val="0"/>
              <w:kinsoku/>
              <w:wordWrap/>
              <w:overflowPunct/>
              <w:autoSpaceDN/>
              <w:bidi w:val="0"/>
              <w:spacing w:line="400" w:lineRule="exact"/>
              <w:jc w:val="center"/>
              <w:textAlignment w:val="auto"/>
              <w:rPr>
                <w:rFonts w:ascii="宋体" w:hAnsi="宋体" w:cs="宋体"/>
                <w:color w:val="auto"/>
                <w:szCs w:val="21"/>
                <w:highlight w:val="none"/>
              </w:rPr>
            </w:pPr>
            <w:r>
              <w:rPr>
                <w:rFonts w:hint="eastAsia" w:ascii="宋体" w:hAnsi="宋体" w:cs="宋体"/>
                <w:color w:val="auto"/>
                <w:szCs w:val="21"/>
                <w:highlight w:val="none"/>
              </w:rPr>
              <w:t>偏离</w:t>
            </w:r>
          </w:p>
        </w:tc>
        <w:tc>
          <w:tcPr>
            <w:tcW w:w="7251" w:type="dxa"/>
            <w:tcBorders>
              <w:top w:val="single" w:color="auto" w:sz="4" w:space="0"/>
              <w:left w:val="single" w:color="auto" w:sz="4" w:space="0"/>
              <w:bottom w:val="single" w:color="auto" w:sz="4" w:space="0"/>
              <w:right w:val="single" w:color="auto" w:sz="4" w:space="0"/>
            </w:tcBorders>
            <w:noWrap/>
            <w:vAlign w:val="center"/>
          </w:tcPr>
          <w:p w14:paraId="6F323E2E">
            <w:pPr>
              <w:pStyle w:val="19"/>
              <w:keepNext w:val="0"/>
              <w:keepLines w:val="0"/>
              <w:pageBreakBefore w:val="0"/>
              <w:kinsoku/>
              <w:wordWrap/>
              <w:overflowPunct/>
              <w:topLinePunct/>
              <w:autoSpaceDN/>
              <w:bidi w:val="0"/>
              <w:spacing w:line="400" w:lineRule="exact"/>
              <w:textAlignment w:val="auto"/>
              <w:rPr>
                <w:rFonts w:hAnsi="宋体" w:cs="宋体"/>
                <w:color w:val="auto"/>
                <w:sz w:val="21"/>
                <w:szCs w:val="21"/>
                <w:highlight w:val="none"/>
              </w:rPr>
            </w:pPr>
            <w:r>
              <w:rPr>
                <w:rFonts w:hint="eastAsia"/>
                <w:color w:val="auto"/>
                <w:highlight w:val="none"/>
              </w:rPr>
              <w:t>☑</w:t>
            </w:r>
            <w:r>
              <w:rPr>
                <w:rFonts w:hint="eastAsia" w:hAnsi="宋体" w:cs="宋体"/>
                <w:color w:val="auto"/>
                <w:sz w:val="21"/>
                <w:szCs w:val="21"/>
                <w:highlight w:val="none"/>
              </w:rPr>
              <w:t>不允许；□允许</w:t>
            </w:r>
          </w:p>
        </w:tc>
      </w:tr>
      <w:tr w14:paraId="462F3D53">
        <w:tblPrEx>
          <w:tblCellMar>
            <w:top w:w="0" w:type="dxa"/>
            <w:left w:w="108" w:type="dxa"/>
            <w:bottom w:w="0" w:type="dxa"/>
            <w:right w:w="108" w:type="dxa"/>
          </w:tblCellMar>
        </w:tblPrEx>
        <w:trPr>
          <w:jc w:val="center"/>
        </w:trPr>
        <w:tc>
          <w:tcPr>
            <w:tcW w:w="868" w:type="dxa"/>
            <w:tcBorders>
              <w:top w:val="single" w:color="auto" w:sz="4" w:space="0"/>
              <w:left w:val="single" w:color="auto" w:sz="4" w:space="0"/>
              <w:bottom w:val="single" w:color="auto" w:sz="4" w:space="0"/>
              <w:right w:val="single" w:color="auto" w:sz="4" w:space="0"/>
            </w:tcBorders>
            <w:noWrap/>
            <w:vAlign w:val="center"/>
          </w:tcPr>
          <w:p w14:paraId="361C0531">
            <w:pPr>
              <w:keepNext w:val="0"/>
              <w:keepLines w:val="0"/>
              <w:pageBreakBefore w:val="0"/>
              <w:kinsoku/>
              <w:wordWrap/>
              <w:overflowPunct/>
              <w:autoSpaceDN/>
              <w:bidi w:val="0"/>
              <w:spacing w:line="400" w:lineRule="exact"/>
              <w:jc w:val="center"/>
              <w:textAlignment w:val="auto"/>
              <w:rPr>
                <w:rFonts w:ascii="宋体" w:hAnsi="宋体" w:cs="宋体"/>
                <w:color w:val="auto"/>
                <w:szCs w:val="21"/>
                <w:highlight w:val="none"/>
              </w:rPr>
            </w:pPr>
            <w:r>
              <w:rPr>
                <w:rFonts w:hint="eastAsia" w:ascii="宋体" w:hAnsi="宋体" w:cs="宋体"/>
                <w:color w:val="auto"/>
                <w:szCs w:val="21"/>
                <w:highlight w:val="none"/>
              </w:rPr>
              <w:t>16</w:t>
            </w:r>
          </w:p>
        </w:tc>
        <w:tc>
          <w:tcPr>
            <w:tcW w:w="2209" w:type="dxa"/>
            <w:gridSpan w:val="2"/>
            <w:tcBorders>
              <w:top w:val="single" w:color="auto" w:sz="4" w:space="0"/>
              <w:left w:val="single" w:color="auto" w:sz="4" w:space="0"/>
              <w:bottom w:val="single" w:color="auto" w:sz="4" w:space="0"/>
              <w:right w:val="single" w:color="auto" w:sz="4" w:space="0"/>
            </w:tcBorders>
            <w:noWrap/>
            <w:vAlign w:val="center"/>
          </w:tcPr>
          <w:p w14:paraId="37653BA3">
            <w:pPr>
              <w:keepNext w:val="0"/>
              <w:keepLines w:val="0"/>
              <w:pageBreakBefore w:val="0"/>
              <w:kinsoku/>
              <w:wordWrap/>
              <w:overflowPunct/>
              <w:autoSpaceDN/>
              <w:bidi w:val="0"/>
              <w:spacing w:line="400" w:lineRule="exact"/>
              <w:jc w:val="center"/>
              <w:textAlignment w:val="auto"/>
              <w:rPr>
                <w:rFonts w:ascii="宋体" w:hAnsi="宋体" w:cs="宋体"/>
                <w:color w:val="auto"/>
                <w:szCs w:val="21"/>
                <w:highlight w:val="none"/>
              </w:rPr>
            </w:pPr>
            <w:r>
              <w:rPr>
                <w:rFonts w:hint="eastAsia" w:ascii="宋体" w:hAnsi="宋体" w:cs="宋体"/>
                <w:color w:val="auto"/>
                <w:szCs w:val="21"/>
                <w:highlight w:val="none"/>
              </w:rPr>
              <w:t>构成招标文件的其他材料</w:t>
            </w:r>
          </w:p>
        </w:tc>
        <w:tc>
          <w:tcPr>
            <w:tcW w:w="7251" w:type="dxa"/>
            <w:tcBorders>
              <w:top w:val="single" w:color="auto" w:sz="4" w:space="0"/>
              <w:left w:val="single" w:color="auto" w:sz="4" w:space="0"/>
              <w:bottom w:val="single" w:color="auto" w:sz="4" w:space="0"/>
              <w:right w:val="single" w:color="auto" w:sz="4" w:space="0"/>
            </w:tcBorders>
            <w:noWrap/>
            <w:vAlign w:val="center"/>
          </w:tcPr>
          <w:p w14:paraId="07A7DB3C">
            <w:pPr>
              <w:keepNext w:val="0"/>
              <w:keepLines w:val="0"/>
              <w:pageBreakBefore w:val="0"/>
              <w:kinsoku/>
              <w:wordWrap/>
              <w:overflowPunct/>
              <w:autoSpaceDN/>
              <w:bidi w:val="0"/>
              <w:spacing w:line="400" w:lineRule="exact"/>
              <w:textAlignment w:val="auto"/>
              <w:rPr>
                <w:rFonts w:ascii="宋体" w:hAnsi="宋体" w:cs="宋体"/>
                <w:color w:val="auto"/>
                <w:szCs w:val="21"/>
                <w:highlight w:val="none"/>
              </w:rPr>
            </w:pPr>
            <w:r>
              <w:rPr>
                <w:rFonts w:hint="eastAsia" w:ascii="宋体" w:hAnsi="宋体" w:cs="宋体"/>
                <w:color w:val="auto"/>
                <w:szCs w:val="21"/>
                <w:highlight w:val="none"/>
              </w:rPr>
              <w:t>招标澄清答疑文件等。</w:t>
            </w:r>
          </w:p>
        </w:tc>
      </w:tr>
      <w:tr w14:paraId="132ABAE6">
        <w:tblPrEx>
          <w:tblCellMar>
            <w:top w:w="0" w:type="dxa"/>
            <w:left w:w="108" w:type="dxa"/>
            <w:bottom w:w="0" w:type="dxa"/>
            <w:right w:w="108" w:type="dxa"/>
          </w:tblCellMar>
        </w:tblPrEx>
        <w:trPr>
          <w:trHeight w:val="404" w:hRule="atLeast"/>
          <w:jc w:val="center"/>
        </w:trPr>
        <w:tc>
          <w:tcPr>
            <w:tcW w:w="868" w:type="dxa"/>
            <w:tcBorders>
              <w:top w:val="single" w:color="auto" w:sz="4" w:space="0"/>
              <w:left w:val="single" w:color="auto" w:sz="4" w:space="0"/>
              <w:bottom w:val="single" w:color="auto" w:sz="4" w:space="0"/>
              <w:right w:val="single" w:color="auto" w:sz="4" w:space="0"/>
            </w:tcBorders>
            <w:noWrap/>
            <w:vAlign w:val="center"/>
          </w:tcPr>
          <w:p w14:paraId="69A34F72">
            <w:pPr>
              <w:keepNext w:val="0"/>
              <w:keepLines w:val="0"/>
              <w:pageBreakBefore w:val="0"/>
              <w:kinsoku/>
              <w:wordWrap/>
              <w:overflowPunct/>
              <w:autoSpaceDN/>
              <w:bidi w:val="0"/>
              <w:spacing w:line="400" w:lineRule="exact"/>
              <w:jc w:val="center"/>
              <w:textAlignment w:val="auto"/>
              <w:rPr>
                <w:rFonts w:ascii="宋体" w:hAnsi="宋体" w:cs="宋体"/>
                <w:color w:val="auto"/>
                <w:szCs w:val="21"/>
                <w:highlight w:val="none"/>
              </w:rPr>
            </w:pPr>
            <w:r>
              <w:rPr>
                <w:rFonts w:hint="eastAsia" w:ascii="宋体" w:hAnsi="宋体" w:cs="宋体"/>
                <w:color w:val="auto"/>
                <w:szCs w:val="21"/>
                <w:highlight w:val="none"/>
              </w:rPr>
              <w:t>17</w:t>
            </w:r>
          </w:p>
        </w:tc>
        <w:tc>
          <w:tcPr>
            <w:tcW w:w="2209" w:type="dxa"/>
            <w:gridSpan w:val="2"/>
            <w:tcBorders>
              <w:top w:val="single" w:color="auto" w:sz="4" w:space="0"/>
              <w:left w:val="single" w:color="auto" w:sz="4" w:space="0"/>
              <w:bottom w:val="single" w:color="auto" w:sz="4" w:space="0"/>
              <w:right w:val="single" w:color="auto" w:sz="4" w:space="0"/>
            </w:tcBorders>
            <w:noWrap/>
            <w:vAlign w:val="center"/>
          </w:tcPr>
          <w:p w14:paraId="0C04F206">
            <w:pPr>
              <w:keepNext w:val="0"/>
              <w:keepLines w:val="0"/>
              <w:pageBreakBefore w:val="0"/>
              <w:kinsoku/>
              <w:wordWrap/>
              <w:overflowPunct/>
              <w:autoSpaceDN/>
              <w:bidi w:val="0"/>
              <w:spacing w:line="400" w:lineRule="exact"/>
              <w:jc w:val="center"/>
              <w:textAlignment w:val="auto"/>
              <w:rPr>
                <w:rFonts w:ascii="宋体" w:hAnsi="宋体" w:cs="宋体"/>
                <w:color w:val="auto"/>
                <w:szCs w:val="21"/>
                <w:highlight w:val="none"/>
              </w:rPr>
            </w:pPr>
            <w:r>
              <w:rPr>
                <w:rFonts w:hint="eastAsia" w:ascii="宋体" w:hAnsi="宋体" w:cs="宋体"/>
                <w:color w:val="auto"/>
                <w:szCs w:val="21"/>
                <w:highlight w:val="none"/>
              </w:rPr>
              <w:t>投标人要求澄清招标文件的截止时间及方式</w:t>
            </w:r>
          </w:p>
        </w:tc>
        <w:tc>
          <w:tcPr>
            <w:tcW w:w="7251" w:type="dxa"/>
            <w:tcBorders>
              <w:top w:val="single" w:color="auto" w:sz="4" w:space="0"/>
              <w:left w:val="single" w:color="auto" w:sz="4" w:space="0"/>
              <w:bottom w:val="single" w:color="auto" w:sz="4" w:space="0"/>
              <w:right w:val="single" w:color="auto" w:sz="4" w:space="0"/>
            </w:tcBorders>
            <w:noWrap/>
            <w:vAlign w:val="center"/>
          </w:tcPr>
          <w:p w14:paraId="11154714">
            <w:pPr>
              <w:keepNext w:val="0"/>
              <w:keepLines w:val="0"/>
              <w:pageBreakBefore w:val="0"/>
              <w:kinsoku/>
              <w:wordWrap/>
              <w:overflowPunct/>
              <w:autoSpaceDN/>
              <w:bidi w:val="0"/>
              <w:spacing w:line="400" w:lineRule="exact"/>
              <w:textAlignment w:val="auto"/>
              <w:rPr>
                <w:rFonts w:ascii="宋体" w:hAnsi="宋体" w:cs="宋体"/>
                <w:color w:val="auto"/>
                <w:szCs w:val="21"/>
                <w:highlight w:val="none"/>
              </w:rPr>
            </w:pPr>
            <w:r>
              <w:rPr>
                <w:rFonts w:hint="eastAsia" w:ascii="宋体" w:hAnsi="宋体" w:cs="宋体"/>
                <w:color w:val="auto"/>
                <w:szCs w:val="21"/>
                <w:highlight w:val="none"/>
              </w:rPr>
              <w:t>同本表第13条</w:t>
            </w:r>
            <w:bookmarkStart w:id="1007" w:name="_GoBack"/>
            <w:bookmarkEnd w:id="1007"/>
          </w:p>
        </w:tc>
      </w:tr>
      <w:tr w14:paraId="2A3378D3">
        <w:tblPrEx>
          <w:tblCellMar>
            <w:top w:w="0" w:type="dxa"/>
            <w:left w:w="108" w:type="dxa"/>
            <w:bottom w:w="0" w:type="dxa"/>
            <w:right w:w="108" w:type="dxa"/>
          </w:tblCellMar>
        </w:tblPrEx>
        <w:trPr>
          <w:jc w:val="center"/>
        </w:trPr>
        <w:tc>
          <w:tcPr>
            <w:tcW w:w="868" w:type="dxa"/>
            <w:tcBorders>
              <w:top w:val="single" w:color="auto" w:sz="4" w:space="0"/>
              <w:left w:val="single" w:color="auto" w:sz="4" w:space="0"/>
              <w:bottom w:val="single" w:color="auto" w:sz="4" w:space="0"/>
              <w:right w:val="single" w:color="auto" w:sz="4" w:space="0"/>
            </w:tcBorders>
            <w:noWrap/>
            <w:vAlign w:val="center"/>
          </w:tcPr>
          <w:p w14:paraId="349441D8">
            <w:pPr>
              <w:keepNext w:val="0"/>
              <w:keepLines w:val="0"/>
              <w:pageBreakBefore w:val="0"/>
              <w:kinsoku/>
              <w:wordWrap/>
              <w:overflowPunct/>
              <w:autoSpaceDN/>
              <w:bidi w:val="0"/>
              <w:spacing w:line="400" w:lineRule="exact"/>
              <w:jc w:val="center"/>
              <w:textAlignment w:val="auto"/>
              <w:rPr>
                <w:rFonts w:ascii="宋体" w:hAnsi="宋体" w:cs="宋体"/>
                <w:color w:val="auto"/>
                <w:szCs w:val="21"/>
                <w:highlight w:val="none"/>
              </w:rPr>
            </w:pPr>
            <w:r>
              <w:rPr>
                <w:rFonts w:hint="eastAsia" w:ascii="宋体" w:hAnsi="宋体" w:cs="宋体"/>
                <w:color w:val="auto"/>
                <w:szCs w:val="21"/>
                <w:highlight w:val="none"/>
              </w:rPr>
              <w:t>18</w:t>
            </w:r>
          </w:p>
        </w:tc>
        <w:tc>
          <w:tcPr>
            <w:tcW w:w="2209" w:type="dxa"/>
            <w:gridSpan w:val="2"/>
            <w:tcBorders>
              <w:top w:val="single" w:color="auto" w:sz="4" w:space="0"/>
              <w:left w:val="single" w:color="auto" w:sz="4" w:space="0"/>
              <w:bottom w:val="single" w:color="auto" w:sz="4" w:space="0"/>
              <w:right w:val="single" w:color="auto" w:sz="4" w:space="0"/>
            </w:tcBorders>
            <w:noWrap/>
            <w:vAlign w:val="center"/>
          </w:tcPr>
          <w:p w14:paraId="40782B1E">
            <w:pPr>
              <w:pageBreakBefore w:val="0"/>
              <w:kinsoku/>
              <w:wordWrap/>
              <w:overflowPunct/>
              <w:autoSpaceDE/>
              <w:autoSpaceDN/>
              <w:bidi w:val="0"/>
              <w:adjustRightInd w:val="0"/>
              <w:snapToGrid w:val="0"/>
              <w:spacing w:line="440" w:lineRule="exact"/>
              <w:jc w:val="center"/>
              <w:textAlignment w:val="auto"/>
              <w:rPr>
                <w:rFonts w:ascii="宋体" w:hAnsi="宋体" w:cs="宋体"/>
                <w:color w:val="auto"/>
                <w:szCs w:val="21"/>
                <w:highlight w:val="none"/>
              </w:rPr>
            </w:pPr>
            <w:r>
              <w:rPr>
                <w:rFonts w:hint="eastAsia" w:ascii="宋体" w:hAnsi="宋体" w:eastAsia="宋体" w:cs="宋体"/>
                <w:b/>
                <w:bCs/>
                <w:color w:val="auto"/>
                <w:sz w:val="21"/>
                <w:szCs w:val="21"/>
                <w:highlight w:val="none"/>
              </w:rPr>
              <w:t>最高投标限价</w:t>
            </w:r>
          </w:p>
        </w:tc>
        <w:tc>
          <w:tcPr>
            <w:tcW w:w="7251" w:type="dxa"/>
            <w:tcBorders>
              <w:top w:val="single" w:color="auto" w:sz="4" w:space="0"/>
              <w:left w:val="single" w:color="auto" w:sz="4" w:space="0"/>
              <w:bottom w:val="single" w:color="auto" w:sz="4" w:space="0"/>
              <w:right w:val="single" w:color="auto" w:sz="4" w:space="0"/>
            </w:tcBorders>
            <w:noWrap/>
            <w:vAlign w:val="center"/>
          </w:tcPr>
          <w:p w14:paraId="3A1F26BF">
            <w:pPr>
              <w:pageBreakBefore w:val="0"/>
              <w:kinsoku/>
              <w:wordWrap/>
              <w:overflowPunct/>
              <w:autoSpaceDE/>
              <w:autoSpaceDN/>
              <w:bidi w:val="0"/>
              <w:adjustRightInd w:val="0"/>
              <w:snapToGrid w:val="0"/>
              <w:spacing w:line="440" w:lineRule="exact"/>
              <w:textAlignment w:val="auto"/>
              <w:rPr>
                <w:rFonts w:hint="eastAsia" w:ascii="宋体" w:hAnsi="宋体" w:eastAsia="宋体" w:cs="宋体"/>
                <w:b/>
                <w:bCs w:val="0"/>
                <w:strike w:val="0"/>
                <w:dstrike w:val="0"/>
                <w:color w:val="auto"/>
                <w:sz w:val="21"/>
                <w:szCs w:val="21"/>
                <w:highlight w:val="none"/>
                <w:u w:val="none"/>
                <w:lang w:val="en-US" w:eastAsia="zh-CN"/>
              </w:rPr>
            </w:pPr>
            <w:r>
              <w:rPr>
                <w:rFonts w:hint="eastAsia" w:ascii="宋体" w:hAnsi="宋体" w:eastAsia="宋体" w:cs="宋体"/>
                <w:b/>
                <w:bCs w:val="0"/>
                <w:color w:val="auto"/>
                <w:sz w:val="21"/>
                <w:szCs w:val="21"/>
                <w:highlight w:val="none"/>
                <w:u w:val="none"/>
              </w:rPr>
              <w:t>有</w:t>
            </w:r>
            <w:r>
              <w:rPr>
                <w:rFonts w:hint="eastAsia" w:ascii="宋体" w:hAnsi="宋体" w:eastAsia="宋体" w:cs="宋体"/>
                <w:b/>
                <w:bCs w:val="0"/>
                <w:color w:val="auto"/>
                <w:sz w:val="21"/>
                <w:szCs w:val="21"/>
                <w:highlight w:val="none"/>
              </w:rPr>
              <w:t>，公布的最高投标限价：</w:t>
            </w:r>
            <w:r>
              <w:rPr>
                <w:rFonts w:hint="eastAsia" w:ascii="宋体" w:hAnsi="宋体" w:eastAsia="宋体" w:cs="宋体"/>
                <w:b/>
                <w:bCs w:val="0"/>
                <w:strike w:val="0"/>
                <w:dstrike w:val="0"/>
                <w:color w:val="auto"/>
                <w:sz w:val="21"/>
                <w:szCs w:val="21"/>
                <w:highlight w:val="none"/>
                <w:u w:val="none"/>
                <w:lang w:val="en-US" w:eastAsia="zh-CN"/>
              </w:rPr>
              <w:t>固定含税单价</w:t>
            </w:r>
            <w:r>
              <w:rPr>
                <w:rFonts w:hint="eastAsia" w:ascii="宋体" w:hAnsi="宋体" w:cs="宋体"/>
                <w:b/>
                <w:bCs w:val="0"/>
                <w:strike w:val="0"/>
                <w:dstrike w:val="0"/>
                <w:color w:val="auto"/>
                <w:sz w:val="21"/>
                <w:szCs w:val="21"/>
                <w:highlight w:val="none"/>
                <w:u w:val="none"/>
                <w:lang w:val="en-US" w:eastAsia="zh-CN"/>
              </w:rPr>
              <w:t>1.09</w:t>
            </w:r>
            <w:r>
              <w:rPr>
                <w:rFonts w:hint="eastAsia" w:ascii="宋体" w:hAnsi="宋体" w:eastAsia="宋体" w:cs="宋体"/>
                <w:b/>
                <w:bCs w:val="0"/>
                <w:strike w:val="0"/>
                <w:dstrike w:val="0"/>
                <w:color w:val="auto"/>
                <w:sz w:val="21"/>
                <w:szCs w:val="21"/>
                <w:highlight w:val="none"/>
                <w:u w:val="none"/>
                <w:lang w:val="en-US" w:eastAsia="zh-CN"/>
              </w:rPr>
              <w:t>元/Wp，（报价以元为单位，精确到分,第三位四舍五入)，投标人超过最高限价的按无效标处理。</w:t>
            </w:r>
          </w:p>
          <w:p w14:paraId="62B51156">
            <w:pPr>
              <w:pageBreakBefore w:val="0"/>
              <w:kinsoku/>
              <w:wordWrap/>
              <w:overflowPunct/>
              <w:autoSpaceDE/>
              <w:autoSpaceDN/>
              <w:bidi w:val="0"/>
              <w:adjustRightInd w:val="0"/>
              <w:snapToGrid w:val="0"/>
              <w:spacing w:line="440" w:lineRule="exact"/>
              <w:textAlignment w:val="auto"/>
              <w:rPr>
                <w:rFonts w:hint="default" w:ascii="宋体" w:hAnsi="宋体" w:eastAsia="宋体" w:cs="宋体"/>
                <w:b/>
                <w:color w:val="auto"/>
                <w:szCs w:val="21"/>
                <w:highlight w:val="none"/>
                <w:u w:val="single"/>
                <w:lang w:val="en-US" w:eastAsia="zh-CN"/>
              </w:rPr>
            </w:pPr>
            <w:r>
              <w:rPr>
                <w:rFonts w:hint="eastAsia" w:ascii="宋体" w:hAnsi="宋体" w:eastAsia="宋体" w:cs="宋体"/>
                <w:color w:val="auto"/>
                <w:sz w:val="21"/>
                <w:szCs w:val="21"/>
                <w:highlight w:val="none"/>
                <w:lang w:val="en-US" w:eastAsia="zh-CN"/>
              </w:rPr>
              <w:t>注：投标报价小数点后最多保留两位小数，如填报多位小数的，按小数点后第3位四舍五入修正投标报价。</w:t>
            </w:r>
          </w:p>
        </w:tc>
      </w:tr>
      <w:tr w14:paraId="6F126AFB">
        <w:tblPrEx>
          <w:tblCellMar>
            <w:top w:w="0" w:type="dxa"/>
            <w:left w:w="108" w:type="dxa"/>
            <w:bottom w:w="0" w:type="dxa"/>
            <w:right w:w="108" w:type="dxa"/>
          </w:tblCellMar>
        </w:tblPrEx>
        <w:trPr>
          <w:jc w:val="center"/>
        </w:trPr>
        <w:tc>
          <w:tcPr>
            <w:tcW w:w="868" w:type="dxa"/>
            <w:tcBorders>
              <w:top w:val="single" w:color="auto" w:sz="4" w:space="0"/>
              <w:left w:val="single" w:color="auto" w:sz="4" w:space="0"/>
              <w:bottom w:val="single" w:color="auto" w:sz="4" w:space="0"/>
              <w:right w:val="single" w:color="auto" w:sz="4" w:space="0"/>
            </w:tcBorders>
            <w:noWrap/>
            <w:vAlign w:val="center"/>
          </w:tcPr>
          <w:p w14:paraId="3A3375F5">
            <w:pPr>
              <w:keepNext w:val="0"/>
              <w:keepLines w:val="0"/>
              <w:pageBreakBefore w:val="0"/>
              <w:kinsoku/>
              <w:wordWrap/>
              <w:overflowPunct/>
              <w:autoSpaceDN/>
              <w:bidi w:val="0"/>
              <w:spacing w:line="400" w:lineRule="exact"/>
              <w:jc w:val="center"/>
              <w:textAlignment w:val="auto"/>
              <w:rPr>
                <w:rFonts w:ascii="宋体" w:hAnsi="宋体" w:cs="宋体"/>
                <w:color w:val="auto"/>
                <w:szCs w:val="21"/>
                <w:highlight w:val="none"/>
              </w:rPr>
            </w:pPr>
            <w:r>
              <w:rPr>
                <w:rFonts w:hint="eastAsia" w:ascii="宋体" w:hAnsi="宋体" w:cs="宋体"/>
                <w:color w:val="auto"/>
                <w:szCs w:val="21"/>
                <w:highlight w:val="none"/>
              </w:rPr>
              <w:t>19</w:t>
            </w:r>
          </w:p>
        </w:tc>
        <w:tc>
          <w:tcPr>
            <w:tcW w:w="2209" w:type="dxa"/>
            <w:gridSpan w:val="2"/>
            <w:tcBorders>
              <w:top w:val="single" w:color="auto" w:sz="4" w:space="0"/>
              <w:left w:val="single" w:color="auto" w:sz="4" w:space="0"/>
              <w:bottom w:val="single" w:color="auto" w:sz="4" w:space="0"/>
              <w:right w:val="single" w:color="auto" w:sz="4" w:space="0"/>
            </w:tcBorders>
            <w:noWrap/>
            <w:vAlign w:val="center"/>
          </w:tcPr>
          <w:p w14:paraId="58366841">
            <w:pPr>
              <w:keepNext w:val="0"/>
              <w:keepLines w:val="0"/>
              <w:pageBreakBefore w:val="0"/>
              <w:kinsoku/>
              <w:wordWrap/>
              <w:overflowPunct/>
              <w:autoSpaceDN/>
              <w:bidi w:val="0"/>
              <w:spacing w:line="400" w:lineRule="exact"/>
              <w:jc w:val="center"/>
              <w:textAlignment w:val="auto"/>
              <w:rPr>
                <w:rFonts w:ascii="宋体" w:hAnsi="宋体" w:cs="宋体"/>
                <w:color w:val="auto"/>
                <w:szCs w:val="21"/>
                <w:highlight w:val="none"/>
              </w:rPr>
            </w:pPr>
            <w:r>
              <w:rPr>
                <w:rFonts w:hint="eastAsia" w:ascii="宋体" w:hAnsi="宋体" w:cs="宋体"/>
                <w:color w:val="auto"/>
                <w:szCs w:val="21"/>
                <w:highlight w:val="none"/>
              </w:rPr>
              <w:t>投标有效期</w:t>
            </w:r>
          </w:p>
        </w:tc>
        <w:tc>
          <w:tcPr>
            <w:tcW w:w="7251" w:type="dxa"/>
            <w:tcBorders>
              <w:top w:val="single" w:color="auto" w:sz="4" w:space="0"/>
              <w:left w:val="single" w:color="auto" w:sz="4" w:space="0"/>
              <w:bottom w:val="single" w:color="auto" w:sz="4" w:space="0"/>
              <w:right w:val="single" w:color="auto" w:sz="4" w:space="0"/>
            </w:tcBorders>
            <w:noWrap/>
            <w:vAlign w:val="center"/>
          </w:tcPr>
          <w:p w14:paraId="3E143A0C">
            <w:pPr>
              <w:keepNext w:val="0"/>
              <w:keepLines w:val="0"/>
              <w:pageBreakBefore w:val="0"/>
              <w:kinsoku/>
              <w:wordWrap/>
              <w:overflowPunct/>
              <w:autoSpaceDN/>
              <w:bidi w:val="0"/>
              <w:spacing w:line="400" w:lineRule="exact"/>
              <w:textAlignment w:val="auto"/>
              <w:rPr>
                <w:rFonts w:ascii="宋体" w:hAnsi="宋体" w:cs="宋体"/>
                <w:color w:val="auto"/>
                <w:szCs w:val="21"/>
                <w:highlight w:val="none"/>
              </w:rPr>
            </w:pPr>
            <w:r>
              <w:rPr>
                <w:rFonts w:hint="eastAsia" w:ascii="宋体" w:hAnsi="宋体" w:cs="宋体"/>
                <w:color w:val="auto"/>
                <w:szCs w:val="21"/>
                <w:highlight w:val="none"/>
              </w:rPr>
              <w:t>投标有效期为</w:t>
            </w:r>
            <w:r>
              <w:rPr>
                <w:rFonts w:hint="eastAsia" w:ascii="宋体" w:hAnsi="宋体" w:cs="宋体"/>
                <w:color w:val="auto"/>
                <w:szCs w:val="21"/>
                <w:highlight w:val="none"/>
                <w:u w:val="single"/>
              </w:rPr>
              <w:t>90</w:t>
            </w:r>
            <w:r>
              <w:rPr>
                <w:rFonts w:hint="eastAsia" w:ascii="宋体" w:hAnsi="宋体" w:cs="宋体"/>
                <w:color w:val="auto"/>
                <w:szCs w:val="21"/>
                <w:highlight w:val="none"/>
              </w:rPr>
              <w:t>日历天（从投标截止之日算起）。在此期限内，凡符合本招标文件要求的投标文件均保持有效。</w:t>
            </w:r>
          </w:p>
        </w:tc>
      </w:tr>
      <w:tr w14:paraId="45AEDE17">
        <w:tblPrEx>
          <w:tblCellMar>
            <w:top w:w="0" w:type="dxa"/>
            <w:left w:w="108" w:type="dxa"/>
            <w:bottom w:w="0" w:type="dxa"/>
            <w:right w:w="108" w:type="dxa"/>
          </w:tblCellMar>
        </w:tblPrEx>
        <w:trPr>
          <w:trHeight w:val="520" w:hRule="atLeast"/>
          <w:jc w:val="center"/>
        </w:trPr>
        <w:tc>
          <w:tcPr>
            <w:tcW w:w="868" w:type="dxa"/>
            <w:tcBorders>
              <w:top w:val="single" w:color="auto" w:sz="4" w:space="0"/>
              <w:left w:val="single" w:color="auto" w:sz="4" w:space="0"/>
              <w:bottom w:val="single" w:color="auto" w:sz="4" w:space="0"/>
              <w:right w:val="single" w:color="auto" w:sz="4" w:space="0"/>
            </w:tcBorders>
            <w:noWrap/>
            <w:vAlign w:val="center"/>
          </w:tcPr>
          <w:p w14:paraId="4EB6B29F">
            <w:pPr>
              <w:keepNext w:val="0"/>
              <w:keepLines w:val="0"/>
              <w:pageBreakBefore w:val="0"/>
              <w:kinsoku/>
              <w:wordWrap/>
              <w:overflowPunct/>
              <w:autoSpaceDN/>
              <w:bidi w:val="0"/>
              <w:spacing w:line="400" w:lineRule="exact"/>
              <w:jc w:val="center"/>
              <w:textAlignment w:val="auto"/>
              <w:rPr>
                <w:rFonts w:ascii="宋体" w:hAnsi="宋体" w:cs="宋体"/>
                <w:color w:val="auto"/>
                <w:szCs w:val="21"/>
                <w:highlight w:val="none"/>
              </w:rPr>
            </w:pPr>
            <w:r>
              <w:rPr>
                <w:rFonts w:hint="eastAsia" w:ascii="宋体" w:hAnsi="宋体" w:cs="宋体"/>
                <w:color w:val="auto"/>
                <w:szCs w:val="21"/>
                <w:highlight w:val="none"/>
              </w:rPr>
              <w:t>20</w:t>
            </w:r>
          </w:p>
        </w:tc>
        <w:tc>
          <w:tcPr>
            <w:tcW w:w="2209" w:type="dxa"/>
            <w:gridSpan w:val="2"/>
            <w:tcBorders>
              <w:top w:val="single" w:color="auto" w:sz="4" w:space="0"/>
              <w:left w:val="single" w:color="auto" w:sz="4" w:space="0"/>
              <w:bottom w:val="single" w:color="auto" w:sz="4" w:space="0"/>
              <w:right w:val="single" w:color="auto" w:sz="4" w:space="0"/>
            </w:tcBorders>
            <w:noWrap/>
            <w:vAlign w:val="center"/>
          </w:tcPr>
          <w:p w14:paraId="60129E91">
            <w:pPr>
              <w:keepNext w:val="0"/>
              <w:keepLines w:val="0"/>
              <w:pageBreakBefore w:val="0"/>
              <w:kinsoku/>
              <w:wordWrap/>
              <w:overflowPunct/>
              <w:autoSpaceDN/>
              <w:bidi w:val="0"/>
              <w:spacing w:line="400" w:lineRule="exact"/>
              <w:jc w:val="center"/>
              <w:textAlignment w:val="auto"/>
              <w:rPr>
                <w:rFonts w:ascii="宋体" w:hAnsi="宋体" w:cs="宋体"/>
                <w:color w:val="auto"/>
                <w:szCs w:val="21"/>
                <w:highlight w:val="none"/>
              </w:rPr>
            </w:pPr>
            <w:r>
              <w:rPr>
                <w:rFonts w:hint="eastAsia" w:ascii="宋体" w:hAnsi="宋体" w:cs="宋体"/>
                <w:color w:val="auto"/>
                <w:szCs w:val="21"/>
                <w:highlight w:val="none"/>
              </w:rPr>
              <w:t>投标保证金</w:t>
            </w:r>
          </w:p>
        </w:tc>
        <w:tc>
          <w:tcPr>
            <w:tcW w:w="7251" w:type="dxa"/>
            <w:tcBorders>
              <w:top w:val="single" w:color="auto" w:sz="4" w:space="0"/>
              <w:left w:val="single" w:color="auto" w:sz="4" w:space="0"/>
              <w:bottom w:val="single" w:color="auto" w:sz="4" w:space="0"/>
              <w:right w:val="single" w:color="auto" w:sz="4" w:space="0"/>
            </w:tcBorders>
            <w:noWrap/>
            <w:vAlign w:val="center"/>
          </w:tcPr>
          <w:p w14:paraId="28186690">
            <w:pPr>
              <w:keepNext w:val="0"/>
              <w:keepLines w:val="0"/>
              <w:pageBreakBefore w:val="0"/>
              <w:kinsoku/>
              <w:wordWrap/>
              <w:overflowPunct/>
              <w:autoSpaceDN/>
              <w:bidi w:val="0"/>
              <w:spacing w:line="400" w:lineRule="exact"/>
              <w:textAlignment w:val="auto"/>
              <w:rPr>
                <w:rFonts w:ascii="宋体" w:hAnsi="宋体" w:cs="宋体"/>
                <w:color w:val="auto"/>
                <w:szCs w:val="21"/>
                <w:highlight w:val="none"/>
              </w:rPr>
            </w:pPr>
            <w:r>
              <w:rPr>
                <w:rFonts w:hint="eastAsia" w:ascii="宋体" w:hAnsi="宋体" w:cs="宋体"/>
                <w:color w:val="auto"/>
                <w:szCs w:val="21"/>
                <w:highlight w:val="none"/>
              </w:rPr>
              <w:t>详见招标公告信息</w:t>
            </w:r>
          </w:p>
        </w:tc>
      </w:tr>
      <w:tr w14:paraId="6E11FCA3">
        <w:tblPrEx>
          <w:tblCellMar>
            <w:top w:w="0" w:type="dxa"/>
            <w:left w:w="108" w:type="dxa"/>
            <w:bottom w:w="0" w:type="dxa"/>
            <w:right w:w="108" w:type="dxa"/>
          </w:tblCellMar>
        </w:tblPrEx>
        <w:trPr>
          <w:jc w:val="center"/>
        </w:trPr>
        <w:tc>
          <w:tcPr>
            <w:tcW w:w="868" w:type="dxa"/>
            <w:tcBorders>
              <w:top w:val="single" w:color="auto" w:sz="4" w:space="0"/>
              <w:left w:val="single" w:color="auto" w:sz="4" w:space="0"/>
              <w:bottom w:val="single" w:color="auto" w:sz="4" w:space="0"/>
              <w:right w:val="single" w:color="auto" w:sz="4" w:space="0"/>
            </w:tcBorders>
            <w:noWrap/>
            <w:vAlign w:val="center"/>
          </w:tcPr>
          <w:p w14:paraId="67399921">
            <w:pPr>
              <w:keepNext w:val="0"/>
              <w:keepLines w:val="0"/>
              <w:pageBreakBefore w:val="0"/>
              <w:kinsoku/>
              <w:wordWrap/>
              <w:overflowPunct/>
              <w:autoSpaceDN/>
              <w:bidi w:val="0"/>
              <w:spacing w:line="400" w:lineRule="exact"/>
              <w:jc w:val="center"/>
              <w:textAlignment w:val="auto"/>
              <w:rPr>
                <w:rFonts w:ascii="宋体" w:hAnsi="宋体" w:cs="宋体"/>
                <w:color w:val="auto"/>
                <w:szCs w:val="21"/>
                <w:highlight w:val="none"/>
              </w:rPr>
            </w:pPr>
            <w:r>
              <w:rPr>
                <w:rFonts w:hint="eastAsia" w:ascii="宋体" w:hAnsi="宋体" w:cs="宋体"/>
                <w:color w:val="auto"/>
                <w:szCs w:val="21"/>
                <w:highlight w:val="none"/>
              </w:rPr>
              <w:t>21</w:t>
            </w:r>
          </w:p>
        </w:tc>
        <w:tc>
          <w:tcPr>
            <w:tcW w:w="2209" w:type="dxa"/>
            <w:gridSpan w:val="2"/>
            <w:tcBorders>
              <w:top w:val="single" w:color="auto" w:sz="4" w:space="0"/>
              <w:left w:val="single" w:color="auto" w:sz="4" w:space="0"/>
              <w:bottom w:val="single" w:color="auto" w:sz="4" w:space="0"/>
              <w:right w:val="single" w:color="auto" w:sz="4" w:space="0"/>
            </w:tcBorders>
            <w:noWrap/>
            <w:vAlign w:val="center"/>
          </w:tcPr>
          <w:p w14:paraId="350DF28D">
            <w:pPr>
              <w:keepNext w:val="0"/>
              <w:keepLines w:val="0"/>
              <w:pageBreakBefore w:val="0"/>
              <w:kinsoku/>
              <w:wordWrap/>
              <w:overflowPunct/>
              <w:autoSpaceDN/>
              <w:bidi w:val="0"/>
              <w:spacing w:line="400" w:lineRule="exact"/>
              <w:jc w:val="center"/>
              <w:textAlignment w:val="auto"/>
              <w:rPr>
                <w:rFonts w:ascii="宋体" w:hAnsi="宋体" w:cs="宋体"/>
                <w:color w:val="auto"/>
                <w:szCs w:val="21"/>
                <w:highlight w:val="none"/>
              </w:rPr>
            </w:pPr>
            <w:r>
              <w:rPr>
                <w:rFonts w:hint="eastAsia" w:ascii="宋体" w:hAnsi="宋体" w:cs="宋体"/>
                <w:color w:val="auto"/>
                <w:szCs w:val="21"/>
                <w:highlight w:val="none"/>
              </w:rPr>
              <w:t>签字或盖章要求</w:t>
            </w:r>
          </w:p>
        </w:tc>
        <w:tc>
          <w:tcPr>
            <w:tcW w:w="7251" w:type="dxa"/>
            <w:tcBorders>
              <w:top w:val="single" w:color="auto" w:sz="4" w:space="0"/>
              <w:left w:val="single" w:color="auto" w:sz="4" w:space="0"/>
              <w:bottom w:val="single" w:color="auto" w:sz="4" w:space="0"/>
              <w:right w:val="single" w:color="auto" w:sz="4" w:space="0"/>
            </w:tcBorders>
            <w:noWrap/>
            <w:vAlign w:val="center"/>
          </w:tcPr>
          <w:p w14:paraId="5AFD1E77">
            <w:pPr>
              <w:keepNext w:val="0"/>
              <w:keepLines w:val="0"/>
              <w:pageBreakBefore w:val="0"/>
              <w:kinsoku/>
              <w:wordWrap/>
              <w:overflowPunct/>
              <w:autoSpaceDN/>
              <w:bidi w:val="0"/>
              <w:spacing w:line="400" w:lineRule="exact"/>
              <w:textAlignment w:val="auto"/>
              <w:rPr>
                <w:rFonts w:ascii="宋体" w:hAnsi="宋体" w:cs="宋体"/>
                <w:color w:val="auto"/>
                <w:szCs w:val="21"/>
                <w:highlight w:val="none"/>
              </w:rPr>
            </w:pPr>
            <w:r>
              <w:rPr>
                <w:rFonts w:hint="eastAsia" w:ascii="宋体" w:hAnsi="宋体" w:cs="宋体"/>
                <w:color w:val="auto"/>
                <w:szCs w:val="21"/>
                <w:highlight w:val="none"/>
              </w:rPr>
              <w:t>投标文件须按格式文件要求签字或盖章。否则经评委会一致认定后，按照无效投标处理。</w:t>
            </w:r>
          </w:p>
        </w:tc>
      </w:tr>
      <w:tr w14:paraId="2A0476EF">
        <w:tblPrEx>
          <w:tblCellMar>
            <w:top w:w="0" w:type="dxa"/>
            <w:left w:w="108" w:type="dxa"/>
            <w:bottom w:w="0" w:type="dxa"/>
            <w:right w:w="108" w:type="dxa"/>
          </w:tblCellMar>
        </w:tblPrEx>
        <w:trPr>
          <w:trHeight w:val="0" w:hRule="atLeast"/>
          <w:jc w:val="center"/>
        </w:trPr>
        <w:tc>
          <w:tcPr>
            <w:tcW w:w="868" w:type="dxa"/>
            <w:tcBorders>
              <w:top w:val="single" w:color="auto" w:sz="4" w:space="0"/>
              <w:left w:val="single" w:color="auto" w:sz="4" w:space="0"/>
              <w:bottom w:val="single" w:color="auto" w:sz="4" w:space="0"/>
              <w:right w:val="single" w:color="auto" w:sz="4" w:space="0"/>
            </w:tcBorders>
            <w:noWrap/>
            <w:vAlign w:val="center"/>
          </w:tcPr>
          <w:p w14:paraId="6596DF02">
            <w:pPr>
              <w:keepNext w:val="0"/>
              <w:keepLines w:val="0"/>
              <w:pageBreakBefore w:val="0"/>
              <w:kinsoku/>
              <w:wordWrap/>
              <w:overflowPunct/>
              <w:autoSpaceDN/>
              <w:bidi w:val="0"/>
              <w:spacing w:line="400" w:lineRule="exact"/>
              <w:jc w:val="center"/>
              <w:textAlignment w:val="auto"/>
              <w:rPr>
                <w:rFonts w:ascii="宋体" w:hAnsi="宋体" w:cs="宋体"/>
                <w:color w:val="auto"/>
                <w:szCs w:val="21"/>
                <w:highlight w:val="none"/>
              </w:rPr>
            </w:pPr>
            <w:r>
              <w:rPr>
                <w:rFonts w:hint="eastAsia" w:ascii="宋体" w:hAnsi="宋体" w:cs="宋体"/>
                <w:color w:val="auto"/>
                <w:szCs w:val="21"/>
                <w:highlight w:val="none"/>
              </w:rPr>
              <w:t>22</w:t>
            </w:r>
          </w:p>
        </w:tc>
        <w:tc>
          <w:tcPr>
            <w:tcW w:w="2209" w:type="dxa"/>
            <w:gridSpan w:val="2"/>
            <w:tcBorders>
              <w:top w:val="single" w:color="auto" w:sz="4" w:space="0"/>
              <w:left w:val="single" w:color="auto" w:sz="4" w:space="0"/>
              <w:bottom w:val="single" w:color="auto" w:sz="4" w:space="0"/>
              <w:right w:val="single" w:color="auto" w:sz="4" w:space="0"/>
            </w:tcBorders>
            <w:noWrap/>
            <w:vAlign w:val="center"/>
          </w:tcPr>
          <w:p w14:paraId="4CA3299E">
            <w:pPr>
              <w:keepNext w:val="0"/>
              <w:keepLines w:val="0"/>
              <w:pageBreakBefore w:val="0"/>
              <w:kinsoku/>
              <w:wordWrap/>
              <w:overflowPunct/>
              <w:autoSpaceDN/>
              <w:bidi w:val="0"/>
              <w:spacing w:line="400" w:lineRule="exact"/>
              <w:jc w:val="center"/>
              <w:textAlignment w:val="auto"/>
              <w:rPr>
                <w:rFonts w:ascii="宋体" w:hAnsi="宋体" w:cs="宋体"/>
                <w:color w:val="auto"/>
                <w:szCs w:val="21"/>
                <w:highlight w:val="none"/>
              </w:rPr>
            </w:pPr>
            <w:r>
              <w:rPr>
                <w:rFonts w:hint="eastAsia" w:ascii="宋体" w:hAnsi="宋体" w:cs="宋体"/>
                <w:color w:val="auto"/>
                <w:szCs w:val="21"/>
                <w:highlight w:val="none"/>
              </w:rPr>
              <w:t>投标文件份数</w:t>
            </w:r>
          </w:p>
        </w:tc>
        <w:tc>
          <w:tcPr>
            <w:tcW w:w="7251" w:type="dxa"/>
            <w:tcBorders>
              <w:top w:val="single" w:color="auto" w:sz="4" w:space="0"/>
              <w:left w:val="single" w:color="auto" w:sz="4" w:space="0"/>
              <w:bottom w:val="single" w:color="auto" w:sz="4" w:space="0"/>
              <w:right w:val="single" w:color="auto" w:sz="4" w:space="0"/>
            </w:tcBorders>
            <w:noWrap/>
            <w:vAlign w:val="center"/>
          </w:tcPr>
          <w:p w14:paraId="1762AE54">
            <w:pPr>
              <w:pStyle w:val="14"/>
              <w:keepNext w:val="0"/>
              <w:keepLines w:val="0"/>
              <w:pageBreakBefore w:val="0"/>
              <w:kinsoku/>
              <w:wordWrap/>
              <w:overflowPunct/>
              <w:autoSpaceDN/>
              <w:bidi w:val="0"/>
              <w:spacing w:line="400" w:lineRule="exact"/>
              <w:ind w:left="0" w:leftChars="0" w:firstLine="0" w:firstLineChars="0"/>
              <w:textAlignment w:val="auto"/>
              <w:rPr>
                <w:rFonts w:hint="eastAsia"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本项目仅接受投标人在投标截止时间前登录新点电子交易平台【滁州专区】（https://www.etrading.cn/BREpointSSO/login/oauth2login?regioncode=DQ_ChuZhou）交易系统递交的加密电子投标文件。</w:t>
            </w:r>
          </w:p>
          <w:p w14:paraId="59E67BFB">
            <w:pPr>
              <w:pStyle w:val="14"/>
              <w:keepNext w:val="0"/>
              <w:keepLines w:val="0"/>
              <w:pageBreakBefore w:val="0"/>
              <w:kinsoku/>
              <w:wordWrap/>
              <w:overflowPunct/>
              <w:autoSpaceDN/>
              <w:bidi w:val="0"/>
              <w:spacing w:line="400" w:lineRule="exact"/>
              <w:ind w:left="0" w:leftChars="0" w:firstLine="0" w:firstLineChars="0"/>
              <w:textAlignment w:val="auto"/>
              <w:rPr>
                <w:color w:val="auto"/>
                <w:highlight w:val="none"/>
              </w:rPr>
            </w:pPr>
            <w:r>
              <w:rPr>
                <w:rFonts w:hint="eastAsia" w:ascii="宋体" w:hAnsi="宋体" w:eastAsia="宋体" w:cs="宋体"/>
                <w:b/>
                <w:bCs/>
                <w:i w:val="0"/>
                <w:iCs w:val="0"/>
                <w:color w:val="auto"/>
                <w:kern w:val="0"/>
                <w:sz w:val="21"/>
                <w:szCs w:val="21"/>
                <w:highlight w:val="none"/>
                <w:u w:val="single"/>
              </w:rPr>
              <w:t>（投标人中标后须递交与网上电子投标文件完全一致的纸质版投标文件，并按要求加盖单位章；</w:t>
            </w:r>
            <w:r>
              <w:rPr>
                <w:rFonts w:hint="eastAsia" w:ascii="宋体" w:hAnsi="宋体" w:cs="宋体"/>
                <w:b/>
                <w:bCs/>
                <w:i w:val="0"/>
                <w:iCs w:val="0"/>
                <w:color w:val="auto"/>
                <w:kern w:val="0"/>
                <w:sz w:val="21"/>
                <w:szCs w:val="21"/>
                <w:highlight w:val="none"/>
                <w:u w:val="single"/>
              </w:rPr>
              <w:t>份数：正本1份，副本</w:t>
            </w:r>
            <w:r>
              <w:rPr>
                <w:rFonts w:hint="eastAsia" w:ascii="宋体" w:hAnsi="宋体" w:cs="宋体"/>
                <w:b/>
                <w:bCs/>
                <w:i w:val="0"/>
                <w:iCs w:val="0"/>
                <w:color w:val="auto"/>
                <w:kern w:val="0"/>
                <w:sz w:val="21"/>
                <w:szCs w:val="21"/>
                <w:highlight w:val="none"/>
                <w:u w:val="single"/>
                <w:lang w:val="en-US" w:eastAsia="zh-CN"/>
              </w:rPr>
              <w:t>2</w:t>
            </w:r>
            <w:r>
              <w:rPr>
                <w:rFonts w:hint="eastAsia" w:ascii="宋体" w:hAnsi="宋体" w:cs="宋体"/>
                <w:b/>
                <w:bCs/>
                <w:i w:val="0"/>
                <w:iCs w:val="0"/>
                <w:color w:val="auto"/>
                <w:kern w:val="0"/>
                <w:sz w:val="21"/>
                <w:szCs w:val="21"/>
                <w:highlight w:val="none"/>
                <w:u w:val="single"/>
              </w:rPr>
              <w:t>份；中标单位领取中标通知书时，一并递交给代理机构）</w:t>
            </w:r>
          </w:p>
        </w:tc>
      </w:tr>
      <w:tr w14:paraId="0DE33C57">
        <w:tblPrEx>
          <w:tblCellMar>
            <w:top w:w="0" w:type="dxa"/>
            <w:left w:w="108" w:type="dxa"/>
            <w:bottom w:w="0" w:type="dxa"/>
            <w:right w:w="108" w:type="dxa"/>
          </w:tblCellMar>
        </w:tblPrEx>
        <w:trPr>
          <w:trHeight w:val="0" w:hRule="atLeast"/>
          <w:jc w:val="center"/>
        </w:trPr>
        <w:tc>
          <w:tcPr>
            <w:tcW w:w="868" w:type="dxa"/>
            <w:tcBorders>
              <w:top w:val="single" w:color="auto" w:sz="4" w:space="0"/>
              <w:left w:val="single" w:color="auto" w:sz="4" w:space="0"/>
              <w:bottom w:val="single" w:color="auto" w:sz="4" w:space="0"/>
              <w:right w:val="single" w:color="auto" w:sz="4" w:space="0"/>
            </w:tcBorders>
            <w:noWrap/>
            <w:vAlign w:val="center"/>
          </w:tcPr>
          <w:p w14:paraId="00C592DB">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00" w:lineRule="exact"/>
              <w:ind w:left="0" w:leftChars="0" w:right="0" w:rightChars="0"/>
              <w:jc w:val="center"/>
              <w:textAlignment w:val="auto"/>
              <w:rPr>
                <w:rFonts w:hint="eastAsia" w:ascii="宋体" w:hAnsi="宋体" w:cs="宋体"/>
                <w:color w:val="auto"/>
                <w:szCs w:val="21"/>
                <w:highlight w:val="none"/>
              </w:rPr>
            </w:pPr>
            <w:r>
              <w:rPr>
                <w:rFonts w:hint="eastAsia" w:ascii="宋体" w:hAnsi="宋体" w:eastAsia="宋体" w:cs="宋体"/>
                <w:color w:val="auto"/>
                <w:kern w:val="2"/>
                <w:highlight w:val="none"/>
                <w:lang w:val="en-US" w:eastAsia="zh-CN"/>
              </w:rPr>
              <w:t>23</w:t>
            </w:r>
          </w:p>
        </w:tc>
        <w:tc>
          <w:tcPr>
            <w:tcW w:w="2209" w:type="dxa"/>
            <w:gridSpan w:val="2"/>
            <w:tcBorders>
              <w:top w:val="single" w:color="auto" w:sz="4" w:space="0"/>
              <w:left w:val="single" w:color="auto" w:sz="4" w:space="0"/>
              <w:bottom w:val="single" w:color="auto" w:sz="4" w:space="0"/>
              <w:right w:val="single" w:color="auto" w:sz="4" w:space="0"/>
            </w:tcBorders>
            <w:noWrap/>
            <w:vAlign w:val="center"/>
          </w:tcPr>
          <w:p w14:paraId="7954E819">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center"/>
              <w:textAlignment w:val="auto"/>
              <w:rPr>
                <w:rFonts w:hint="eastAsia" w:ascii="宋体" w:hAnsi="宋体" w:cs="宋体"/>
                <w:color w:val="auto"/>
                <w:szCs w:val="21"/>
                <w:highlight w:val="none"/>
              </w:rPr>
            </w:pPr>
            <w:r>
              <w:rPr>
                <w:rFonts w:hint="eastAsia" w:ascii="宋体"/>
                <w:color w:val="auto"/>
                <w:sz w:val="21"/>
                <w:szCs w:val="21"/>
                <w:highlight w:val="none"/>
              </w:rPr>
              <w:t>投标文件提交截止时间</w:t>
            </w:r>
          </w:p>
        </w:tc>
        <w:tc>
          <w:tcPr>
            <w:tcW w:w="7251" w:type="dxa"/>
            <w:tcBorders>
              <w:top w:val="single" w:color="auto" w:sz="4" w:space="0"/>
              <w:left w:val="single" w:color="auto" w:sz="4" w:space="0"/>
              <w:bottom w:val="single" w:color="auto" w:sz="4" w:space="0"/>
              <w:right w:val="single" w:color="auto" w:sz="4" w:space="0"/>
            </w:tcBorders>
            <w:noWrap/>
            <w:vAlign w:val="center"/>
          </w:tcPr>
          <w:p w14:paraId="49C7DBFE">
            <w:pPr>
              <w:keepNext w:val="0"/>
              <w:keepLines w:val="0"/>
              <w:pageBreakBefore w:val="0"/>
              <w:kinsoku/>
              <w:wordWrap/>
              <w:overflowPunct/>
              <w:autoSpaceDN/>
              <w:bidi w:val="0"/>
              <w:spacing w:line="400" w:lineRule="exact"/>
              <w:textAlignment w:val="auto"/>
              <w:rPr>
                <w:rFonts w:hint="eastAsia" w:ascii="宋体" w:hAnsi="宋体" w:eastAsia="宋体" w:cs="宋体"/>
                <w:color w:val="auto"/>
                <w:szCs w:val="21"/>
                <w:highlight w:val="none"/>
                <w:lang w:val="en-US" w:eastAsia="zh-CN"/>
              </w:rPr>
            </w:pPr>
            <w:r>
              <w:rPr>
                <w:rFonts w:hint="eastAsia" w:ascii="宋体" w:hAnsi="宋体" w:eastAsia="宋体" w:cs="宋体"/>
                <w:b/>
                <w:bCs/>
                <w:color w:val="auto"/>
                <w:szCs w:val="21"/>
                <w:highlight w:val="none"/>
              </w:rPr>
              <w:t xml:space="preserve">在 </w:t>
            </w:r>
            <w:r>
              <w:rPr>
                <w:rFonts w:hint="eastAsia" w:ascii="宋体" w:hAnsi="宋体" w:cs="宋体"/>
                <w:b/>
                <w:bCs/>
                <w:color w:val="auto"/>
                <w:szCs w:val="21"/>
                <w:highlight w:val="none"/>
                <w:lang w:eastAsia="zh-CN"/>
              </w:rPr>
              <w:t>2026年9月</w:t>
            </w:r>
            <w:r>
              <w:rPr>
                <w:rFonts w:hint="eastAsia" w:ascii="宋体" w:hAnsi="宋体" w:cs="宋体"/>
                <w:b/>
                <w:bCs/>
                <w:color w:val="auto"/>
                <w:szCs w:val="21"/>
                <w:highlight w:val="none"/>
                <w:lang w:val="en-US" w:eastAsia="zh-CN"/>
              </w:rPr>
              <w:t>7</w:t>
            </w:r>
            <w:r>
              <w:rPr>
                <w:rFonts w:hint="eastAsia" w:ascii="宋体" w:hAnsi="宋体" w:eastAsia="宋体" w:cs="宋体"/>
                <w:b/>
                <w:bCs/>
                <w:color w:val="auto"/>
                <w:szCs w:val="21"/>
                <w:highlight w:val="none"/>
              </w:rPr>
              <w:t>日</w:t>
            </w:r>
            <w:r>
              <w:rPr>
                <w:rFonts w:hint="eastAsia" w:ascii="宋体" w:hAnsi="宋体" w:eastAsia="宋体" w:cs="宋体"/>
                <w:b/>
                <w:bCs/>
                <w:color w:val="auto"/>
                <w:szCs w:val="21"/>
                <w:highlight w:val="none"/>
                <w:lang w:val="en-US" w:eastAsia="zh-CN"/>
              </w:rPr>
              <w:t>15</w:t>
            </w:r>
            <w:r>
              <w:rPr>
                <w:rFonts w:hint="eastAsia" w:ascii="宋体" w:hAnsi="宋体" w:eastAsia="宋体" w:cs="宋体"/>
                <w:b/>
                <w:bCs/>
                <w:color w:val="auto"/>
                <w:szCs w:val="21"/>
                <w:highlight w:val="none"/>
              </w:rPr>
              <w:t>时00分（北京时间）</w:t>
            </w:r>
          </w:p>
        </w:tc>
      </w:tr>
      <w:tr w14:paraId="13689E49">
        <w:tblPrEx>
          <w:tblCellMar>
            <w:top w:w="0" w:type="dxa"/>
            <w:left w:w="108" w:type="dxa"/>
            <w:bottom w:w="0" w:type="dxa"/>
            <w:right w:w="108" w:type="dxa"/>
          </w:tblCellMar>
        </w:tblPrEx>
        <w:trPr>
          <w:trHeight w:val="0" w:hRule="atLeast"/>
          <w:jc w:val="center"/>
        </w:trPr>
        <w:tc>
          <w:tcPr>
            <w:tcW w:w="868" w:type="dxa"/>
            <w:tcBorders>
              <w:top w:val="single" w:color="auto" w:sz="4" w:space="0"/>
              <w:left w:val="single" w:color="auto" w:sz="4" w:space="0"/>
              <w:bottom w:val="single" w:color="auto" w:sz="4" w:space="0"/>
              <w:right w:val="single" w:color="auto" w:sz="4" w:space="0"/>
            </w:tcBorders>
            <w:noWrap/>
            <w:vAlign w:val="center"/>
          </w:tcPr>
          <w:p w14:paraId="112D8F62">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00" w:lineRule="exact"/>
              <w:ind w:left="0" w:leftChars="0" w:right="0" w:rightChars="0"/>
              <w:jc w:val="center"/>
              <w:textAlignment w:val="auto"/>
              <w:rPr>
                <w:rFonts w:hint="eastAsia" w:ascii="宋体" w:hAnsi="宋体" w:cs="宋体"/>
                <w:color w:val="auto"/>
                <w:szCs w:val="21"/>
                <w:highlight w:val="none"/>
              </w:rPr>
            </w:pPr>
            <w:r>
              <w:rPr>
                <w:rFonts w:hint="eastAsia" w:ascii="宋体" w:hAnsi="宋体" w:eastAsia="宋体" w:cs="宋体"/>
                <w:color w:val="auto"/>
                <w:kern w:val="2"/>
                <w:highlight w:val="none"/>
                <w:lang w:val="en-US" w:eastAsia="zh-CN"/>
              </w:rPr>
              <w:t>24</w:t>
            </w:r>
          </w:p>
        </w:tc>
        <w:tc>
          <w:tcPr>
            <w:tcW w:w="2209" w:type="dxa"/>
            <w:gridSpan w:val="2"/>
            <w:tcBorders>
              <w:top w:val="single" w:color="auto" w:sz="4" w:space="0"/>
              <w:left w:val="single" w:color="auto" w:sz="4" w:space="0"/>
              <w:bottom w:val="single" w:color="auto" w:sz="4" w:space="0"/>
              <w:right w:val="single" w:color="auto" w:sz="4" w:space="0"/>
            </w:tcBorders>
            <w:noWrap/>
            <w:vAlign w:val="center"/>
          </w:tcPr>
          <w:p w14:paraId="3C2F9704">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00" w:lineRule="exact"/>
              <w:ind w:left="0" w:leftChars="0" w:right="0" w:rightChars="0"/>
              <w:jc w:val="center"/>
              <w:textAlignment w:val="auto"/>
              <w:rPr>
                <w:rFonts w:hint="eastAsia" w:ascii="宋体" w:hAnsi="宋体" w:cs="宋体"/>
                <w:color w:val="auto"/>
                <w:szCs w:val="21"/>
                <w:highlight w:val="none"/>
              </w:rPr>
            </w:pPr>
            <w:r>
              <w:rPr>
                <w:rFonts w:hint="eastAsia" w:ascii="宋体" w:hAnsi="宋体" w:eastAsia="宋体" w:cs="宋体"/>
                <w:color w:val="auto"/>
                <w:kern w:val="2"/>
                <w:sz w:val="21"/>
                <w:szCs w:val="21"/>
                <w:highlight w:val="none"/>
                <w:u w:color="000000"/>
                <w:lang w:val="en-US" w:eastAsia="zh-CN" w:bidi="ar"/>
              </w:rPr>
              <w:t>是否退还投标文件</w:t>
            </w:r>
          </w:p>
        </w:tc>
        <w:tc>
          <w:tcPr>
            <w:tcW w:w="7251" w:type="dxa"/>
            <w:tcBorders>
              <w:top w:val="single" w:color="auto" w:sz="4" w:space="0"/>
              <w:left w:val="single" w:color="auto" w:sz="4" w:space="0"/>
              <w:bottom w:val="single" w:color="auto" w:sz="4" w:space="0"/>
              <w:right w:val="single" w:color="auto" w:sz="4" w:space="0"/>
            </w:tcBorders>
            <w:noWrap/>
            <w:vAlign w:val="center"/>
          </w:tcPr>
          <w:p w14:paraId="49837F3E">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00" w:lineRule="exact"/>
              <w:ind w:left="0" w:leftChars="0" w:right="0" w:rightChars="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kern w:val="2"/>
                <w:sz w:val="21"/>
                <w:szCs w:val="21"/>
                <w:highlight w:val="none"/>
                <w:u w:color="000000"/>
                <w:lang w:val="en-US" w:eastAsia="zh-CN" w:bidi="ar"/>
              </w:rPr>
              <w:t>否</w:t>
            </w:r>
          </w:p>
        </w:tc>
      </w:tr>
      <w:tr w14:paraId="3E085A99">
        <w:tblPrEx>
          <w:tblCellMar>
            <w:top w:w="0" w:type="dxa"/>
            <w:left w:w="108" w:type="dxa"/>
            <w:bottom w:w="0" w:type="dxa"/>
            <w:right w:w="108" w:type="dxa"/>
          </w:tblCellMar>
        </w:tblPrEx>
        <w:trPr>
          <w:trHeight w:val="0" w:hRule="atLeast"/>
          <w:jc w:val="center"/>
        </w:trPr>
        <w:tc>
          <w:tcPr>
            <w:tcW w:w="868" w:type="dxa"/>
            <w:tcBorders>
              <w:top w:val="single" w:color="auto" w:sz="4" w:space="0"/>
              <w:left w:val="single" w:color="auto" w:sz="4" w:space="0"/>
              <w:bottom w:val="single" w:color="auto" w:sz="4" w:space="0"/>
              <w:right w:val="single" w:color="auto" w:sz="4" w:space="0"/>
            </w:tcBorders>
            <w:noWrap/>
            <w:vAlign w:val="center"/>
          </w:tcPr>
          <w:p w14:paraId="29930162">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00" w:lineRule="exact"/>
              <w:ind w:left="0" w:leftChars="0" w:right="0" w:rightChars="0"/>
              <w:jc w:val="center"/>
              <w:textAlignment w:val="auto"/>
              <w:rPr>
                <w:rFonts w:hint="eastAsia" w:ascii="宋体" w:hAnsi="宋体" w:cs="宋体"/>
                <w:color w:val="auto"/>
                <w:szCs w:val="21"/>
                <w:highlight w:val="none"/>
              </w:rPr>
            </w:pPr>
            <w:r>
              <w:rPr>
                <w:rFonts w:hint="eastAsia" w:ascii="宋体" w:hAnsi="宋体" w:eastAsia="宋体" w:cs="宋体"/>
                <w:color w:val="auto"/>
                <w:kern w:val="2"/>
                <w:highlight w:val="none"/>
                <w:lang w:val="en-US" w:eastAsia="zh-CN"/>
              </w:rPr>
              <w:t>25</w:t>
            </w:r>
          </w:p>
        </w:tc>
        <w:tc>
          <w:tcPr>
            <w:tcW w:w="2209" w:type="dxa"/>
            <w:gridSpan w:val="2"/>
            <w:tcBorders>
              <w:top w:val="single" w:color="auto" w:sz="4" w:space="0"/>
              <w:left w:val="single" w:color="auto" w:sz="4" w:space="0"/>
              <w:bottom w:val="single" w:color="auto" w:sz="4" w:space="0"/>
              <w:right w:val="single" w:color="auto" w:sz="4" w:space="0"/>
            </w:tcBorders>
            <w:noWrap/>
            <w:vAlign w:val="center"/>
          </w:tcPr>
          <w:p w14:paraId="07A33273">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00" w:lineRule="exact"/>
              <w:ind w:left="0" w:leftChars="0" w:right="0" w:rightChars="0"/>
              <w:jc w:val="center"/>
              <w:textAlignment w:val="auto"/>
              <w:rPr>
                <w:rFonts w:hint="eastAsia" w:ascii="宋体" w:hAnsi="宋体" w:cs="宋体"/>
                <w:color w:val="auto"/>
                <w:szCs w:val="21"/>
                <w:highlight w:val="none"/>
              </w:rPr>
            </w:pPr>
            <w:r>
              <w:rPr>
                <w:rFonts w:hint="eastAsia" w:ascii="宋体" w:hAnsi="宋体" w:eastAsia="宋体" w:cs="宋体"/>
                <w:color w:val="auto"/>
                <w:kern w:val="2"/>
                <w:sz w:val="21"/>
                <w:szCs w:val="21"/>
                <w:highlight w:val="none"/>
                <w:u w:color="000000"/>
                <w:lang w:val="en-US" w:eastAsia="zh-CN" w:bidi="ar"/>
              </w:rPr>
              <w:t>开标时间及地点</w:t>
            </w:r>
          </w:p>
        </w:tc>
        <w:tc>
          <w:tcPr>
            <w:tcW w:w="7251" w:type="dxa"/>
            <w:tcBorders>
              <w:top w:val="single" w:color="auto" w:sz="4" w:space="0"/>
              <w:left w:val="single" w:color="auto" w:sz="4" w:space="0"/>
              <w:bottom w:val="single" w:color="auto" w:sz="4" w:space="0"/>
              <w:right w:val="single" w:color="auto" w:sz="4" w:space="0"/>
            </w:tcBorders>
            <w:noWrap/>
            <w:vAlign w:val="center"/>
          </w:tcPr>
          <w:p w14:paraId="55159CA4">
            <w:pPr>
              <w:adjustRightInd w:val="0"/>
              <w:snapToGrid w:val="0"/>
              <w:spacing w:line="44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开标时间：同投标截止时间</w:t>
            </w:r>
          </w:p>
          <w:p w14:paraId="7D5F050E">
            <w:pPr>
              <w:keepNext w:val="0"/>
              <w:keepLines w:val="0"/>
              <w:pageBreakBefore w:val="0"/>
              <w:widowControl w:val="0"/>
              <w:suppressLineNumbers w:val="0"/>
              <w:kinsoku/>
              <w:wordWrap w:val="0"/>
              <w:overflowPunct/>
              <w:topLinePunct w:val="0"/>
              <w:autoSpaceDE w:val="0"/>
              <w:autoSpaceDN/>
              <w:bidi w:val="0"/>
              <w:adjustRightInd/>
              <w:snapToGrid/>
              <w:spacing w:before="0" w:beforeAutospacing="0" w:after="0" w:afterAutospacing="0" w:line="400" w:lineRule="exact"/>
              <w:ind w:left="0" w:leftChars="0" w:right="0" w:rightChars="0"/>
              <w:jc w:val="both"/>
              <w:textAlignment w:val="auto"/>
              <w:rPr>
                <w:rFonts w:hint="eastAsia" w:ascii="Times New Roman" w:hAnsi="Times New Roman" w:eastAsia="宋体" w:cs="Times New Roman"/>
                <w:color w:val="auto"/>
                <w:highlight w:val="none"/>
                <w:lang w:val="en-US" w:eastAsia="zh-CN"/>
              </w:rPr>
            </w:pPr>
            <w:r>
              <w:rPr>
                <w:rFonts w:hint="eastAsia" w:ascii="宋体" w:hAnsi="宋体" w:eastAsia="宋体" w:cs="宋体"/>
                <w:color w:val="auto"/>
                <w:szCs w:val="21"/>
                <w:highlight w:val="none"/>
                <w:lang w:val="en-US" w:eastAsia="zh-CN"/>
              </w:rPr>
              <w:t>方式：</w:t>
            </w:r>
            <w:r>
              <w:rPr>
                <w:rFonts w:hint="eastAsia" w:ascii="Times New Roman" w:hAnsi="Times New Roman" w:eastAsia="宋体" w:cs="Times New Roman"/>
                <w:color w:val="auto"/>
                <w:highlight w:val="none"/>
                <w:lang w:val="en-US" w:eastAsia="zh-CN"/>
              </w:rPr>
              <w:t>采用不见面开标，投标人登录滁州市城投工程咨询有限公司不见面开标系统参与网上开标（网址：</w:t>
            </w:r>
            <w:r>
              <w:rPr>
                <w:rFonts w:hint="eastAsia" w:ascii="Times New Roman" w:hAnsi="Times New Roman" w:eastAsia="宋体" w:cs="Times New Roman"/>
                <w:color w:val="auto"/>
                <w:highlight w:val="none"/>
                <w:lang w:val="en-US" w:eastAsia="zh-CN"/>
              </w:rPr>
              <w:fldChar w:fldCharType="begin"/>
            </w:r>
            <w:r>
              <w:rPr>
                <w:rFonts w:hint="eastAsia" w:ascii="Times New Roman" w:hAnsi="Times New Roman" w:eastAsia="宋体" w:cs="Times New Roman"/>
                <w:color w:val="auto"/>
                <w:highlight w:val="none"/>
                <w:lang w:val="en-US" w:eastAsia="zh-CN"/>
              </w:rPr>
              <w:instrText xml:space="preserve"> HYPERLINK "http://js.etrading.cn/EpointBidOpening/bidopeninghallaction/hall/login）。" </w:instrText>
            </w:r>
            <w:r>
              <w:rPr>
                <w:rFonts w:hint="eastAsia" w:ascii="Times New Roman" w:hAnsi="Times New Roman" w:eastAsia="宋体" w:cs="Times New Roman"/>
                <w:color w:val="auto"/>
                <w:highlight w:val="none"/>
                <w:lang w:val="en-US" w:eastAsia="zh-CN"/>
              </w:rPr>
              <w:fldChar w:fldCharType="separate"/>
            </w:r>
            <w:r>
              <w:rPr>
                <w:rStyle w:val="58"/>
                <w:rFonts w:hint="eastAsia" w:ascii="Times New Roman" w:hAnsi="Times New Roman" w:eastAsia="宋体" w:cs="Times New Roman"/>
                <w:color w:val="auto"/>
                <w:highlight w:val="none"/>
                <w:lang w:val="en-US" w:eastAsia="zh-CN"/>
              </w:rPr>
              <w:t>http://js.etrading.cn/EpointBidOpening/bidopeninghallaction/hall/login）。</w:t>
            </w:r>
            <w:r>
              <w:rPr>
                <w:rFonts w:hint="eastAsia" w:ascii="Times New Roman" w:hAnsi="Times New Roman" w:eastAsia="宋体" w:cs="Times New Roman"/>
                <w:color w:val="auto"/>
                <w:highlight w:val="none"/>
                <w:lang w:val="en-US" w:eastAsia="zh-CN"/>
              </w:rPr>
              <w:fldChar w:fldCharType="end"/>
            </w:r>
          </w:p>
          <w:p w14:paraId="58E2D2E2">
            <w:pPr>
              <w:keepNext w:val="0"/>
              <w:keepLines w:val="0"/>
              <w:pageBreakBefore w:val="0"/>
              <w:widowControl w:val="0"/>
              <w:suppressLineNumbers w:val="0"/>
              <w:kinsoku/>
              <w:wordWrap w:val="0"/>
              <w:overflowPunct/>
              <w:topLinePunct w:val="0"/>
              <w:autoSpaceDE w:val="0"/>
              <w:autoSpaceDN/>
              <w:bidi w:val="0"/>
              <w:adjustRightInd/>
              <w:snapToGrid/>
              <w:spacing w:before="0" w:beforeAutospacing="0" w:after="0" w:afterAutospacing="0" w:line="400" w:lineRule="exact"/>
              <w:ind w:left="0" w:leftChars="0" w:right="0" w:rightChars="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Cs w:val="21"/>
                <w:highlight w:val="none"/>
                <w:lang w:val="en-US" w:eastAsia="zh-CN"/>
              </w:rPr>
              <w:t>解密时间：投标人须</w:t>
            </w:r>
            <w:r>
              <w:rPr>
                <w:rFonts w:hint="eastAsia" w:ascii="宋体" w:hAnsi="宋体" w:eastAsia="宋体" w:cs="宋体"/>
                <w:color w:val="auto"/>
                <w:szCs w:val="21"/>
                <w:highlight w:val="none"/>
              </w:rPr>
              <w:t>在</w:t>
            </w:r>
            <w:r>
              <w:rPr>
                <w:rFonts w:hint="eastAsia" w:ascii="宋体" w:hAnsi="宋体" w:eastAsia="宋体" w:cs="宋体"/>
                <w:color w:val="auto"/>
                <w:szCs w:val="21"/>
                <w:highlight w:val="none"/>
                <w:u w:val="single"/>
              </w:rPr>
              <w:t xml:space="preserve"> </w:t>
            </w:r>
            <w:r>
              <w:rPr>
                <w:rFonts w:hint="eastAsia" w:ascii="宋体" w:hAnsi="宋体" w:cs="宋体"/>
                <w:color w:val="auto"/>
                <w:szCs w:val="21"/>
                <w:highlight w:val="none"/>
                <w:u w:val="single"/>
                <w:lang w:eastAsia="zh-CN"/>
              </w:rPr>
              <w:t>2026年9月</w:t>
            </w:r>
            <w:r>
              <w:rPr>
                <w:rFonts w:hint="eastAsia" w:ascii="宋体" w:hAnsi="宋体" w:cs="宋体"/>
                <w:color w:val="auto"/>
                <w:szCs w:val="21"/>
                <w:highlight w:val="none"/>
                <w:u w:val="single"/>
                <w:lang w:val="en-US" w:eastAsia="zh-CN"/>
              </w:rPr>
              <w:t>7</w:t>
            </w:r>
            <w:r>
              <w:rPr>
                <w:rFonts w:hint="eastAsia" w:ascii="宋体" w:hAnsi="宋体" w:eastAsia="宋体" w:cs="宋体"/>
                <w:color w:val="auto"/>
                <w:szCs w:val="21"/>
                <w:highlight w:val="none"/>
                <w:u w:val="single"/>
              </w:rPr>
              <w:t>日</w:t>
            </w:r>
            <w:r>
              <w:rPr>
                <w:rFonts w:hint="eastAsia" w:ascii="宋体" w:hAnsi="宋体" w:eastAsia="宋体" w:cs="宋体"/>
                <w:color w:val="auto"/>
                <w:szCs w:val="21"/>
                <w:highlight w:val="none"/>
                <w:u w:val="single"/>
                <w:lang w:val="en-US" w:eastAsia="zh-CN"/>
              </w:rPr>
              <w:t>15</w:t>
            </w:r>
            <w:r>
              <w:rPr>
                <w:rFonts w:hint="eastAsia" w:ascii="宋体" w:hAnsi="宋体" w:eastAsia="宋体" w:cs="宋体"/>
                <w:color w:val="auto"/>
                <w:szCs w:val="21"/>
                <w:highlight w:val="none"/>
                <w:u w:val="single"/>
                <w:lang w:eastAsia="zh-CN"/>
              </w:rPr>
              <w:t>时</w:t>
            </w:r>
            <w:r>
              <w:rPr>
                <w:rFonts w:hint="eastAsia" w:ascii="宋体" w:hAnsi="宋体" w:cs="宋体"/>
                <w:color w:val="auto"/>
                <w:szCs w:val="21"/>
                <w:highlight w:val="none"/>
                <w:u w:val="single"/>
                <w:lang w:val="en-US" w:eastAsia="zh-CN"/>
              </w:rPr>
              <w:t>00</w:t>
            </w:r>
            <w:r>
              <w:rPr>
                <w:rFonts w:hint="eastAsia" w:ascii="宋体" w:hAnsi="宋体" w:eastAsia="宋体" w:cs="宋体"/>
                <w:color w:val="auto"/>
                <w:szCs w:val="21"/>
                <w:highlight w:val="none"/>
                <w:u w:val="single"/>
                <w:lang w:eastAsia="zh-CN"/>
              </w:rPr>
              <w:t>分</w:t>
            </w:r>
            <w:r>
              <w:rPr>
                <w:rFonts w:hint="eastAsia" w:ascii="宋体" w:hAnsi="宋体" w:eastAsia="宋体" w:cs="宋体"/>
                <w:color w:val="auto"/>
                <w:szCs w:val="21"/>
                <w:highlight w:val="none"/>
                <w:u w:val="single"/>
                <w:lang w:val="en-US" w:eastAsia="zh-CN"/>
              </w:rPr>
              <w:t>至</w:t>
            </w:r>
            <w:r>
              <w:rPr>
                <w:rFonts w:hint="eastAsia" w:ascii="宋体" w:hAnsi="宋体" w:cs="宋体"/>
                <w:color w:val="auto"/>
                <w:szCs w:val="21"/>
                <w:highlight w:val="none"/>
                <w:u w:val="single"/>
                <w:lang w:eastAsia="zh-CN"/>
              </w:rPr>
              <w:t>2026年9月</w:t>
            </w:r>
            <w:r>
              <w:rPr>
                <w:rFonts w:hint="eastAsia" w:ascii="宋体" w:hAnsi="宋体" w:cs="宋体"/>
                <w:color w:val="auto"/>
                <w:szCs w:val="21"/>
                <w:highlight w:val="none"/>
                <w:u w:val="single"/>
                <w:lang w:val="en-US" w:eastAsia="zh-CN"/>
              </w:rPr>
              <w:t>7</w:t>
            </w:r>
            <w:r>
              <w:rPr>
                <w:rFonts w:hint="eastAsia" w:ascii="宋体" w:hAnsi="宋体" w:eastAsia="宋体" w:cs="宋体"/>
                <w:color w:val="auto"/>
                <w:szCs w:val="21"/>
                <w:highlight w:val="none"/>
                <w:u w:val="single"/>
              </w:rPr>
              <w:t>日1</w:t>
            </w:r>
            <w:r>
              <w:rPr>
                <w:rFonts w:hint="eastAsia" w:ascii="宋体" w:hAnsi="宋体" w:eastAsia="宋体" w:cs="宋体"/>
                <w:color w:val="auto"/>
                <w:szCs w:val="21"/>
                <w:highlight w:val="none"/>
                <w:u w:val="single"/>
                <w:lang w:val="en-US" w:eastAsia="zh-CN"/>
              </w:rPr>
              <w:t>5</w:t>
            </w:r>
            <w:r>
              <w:rPr>
                <w:rFonts w:hint="eastAsia" w:ascii="宋体" w:hAnsi="宋体" w:eastAsia="宋体" w:cs="宋体"/>
                <w:color w:val="auto"/>
                <w:szCs w:val="21"/>
                <w:highlight w:val="none"/>
                <w:u w:val="single"/>
              </w:rPr>
              <w:t>时</w:t>
            </w:r>
            <w:r>
              <w:rPr>
                <w:rFonts w:hint="eastAsia" w:ascii="宋体" w:hAnsi="宋体" w:eastAsia="宋体" w:cs="宋体"/>
                <w:color w:val="auto"/>
                <w:szCs w:val="21"/>
                <w:highlight w:val="none"/>
                <w:u w:val="single"/>
                <w:lang w:val="en-US" w:eastAsia="zh-CN"/>
              </w:rPr>
              <w:t>3</w:t>
            </w:r>
            <w:r>
              <w:rPr>
                <w:rFonts w:hint="eastAsia" w:ascii="宋体" w:hAnsi="宋体" w:eastAsia="宋体" w:cs="宋体"/>
                <w:color w:val="auto"/>
                <w:szCs w:val="21"/>
                <w:highlight w:val="none"/>
                <w:u w:val="single"/>
              </w:rPr>
              <w:t>0分</w:t>
            </w:r>
            <w:r>
              <w:rPr>
                <w:rFonts w:hint="eastAsia" w:ascii="宋体" w:hAnsi="宋体" w:eastAsia="宋体" w:cs="宋体"/>
                <w:color w:val="auto"/>
                <w:szCs w:val="21"/>
                <w:highlight w:val="none"/>
                <w:u w:val="single"/>
                <w:lang w:val="en-US" w:eastAsia="zh-CN"/>
              </w:rPr>
              <w:t>解密；未在规定时间内完成解密的，退回其投标文件；如有因系统因系统原因造成的故障，代理机构可申请延迟解密时间。</w:t>
            </w:r>
          </w:p>
        </w:tc>
      </w:tr>
      <w:tr w14:paraId="1992B37A">
        <w:tblPrEx>
          <w:tblCellMar>
            <w:top w:w="0" w:type="dxa"/>
            <w:left w:w="108" w:type="dxa"/>
            <w:bottom w:w="0" w:type="dxa"/>
            <w:right w:w="108" w:type="dxa"/>
          </w:tblCellMar>
        </w:tblPrEx>
        <w:trPr>
          <w:trHeight w:val="0" w:hRule="atLeast"/>
          <w:jc w:val="center"/>
        </w:trPr>
        <w:tc>
          <w:tcPr>
            <w:tcW w:w="868" w:type="dxa"/>
            <w:tcBorders>
              <w:top w:val="single" w:color="auto" w:sz="4" w:space="0"/>
              <w:left w:val="single" w:color="auto" w:sz="4" w:space="0"/>
              <w:bottom w:val="single" w:color="auto" w:sz="4" w:space="0"/>
              <w:right w:val="single" w:color="auto" w:sz="4" w:space="0"/>
            </w:tcBorders>
            <w:noWrap/>
            <w:vAlign w:val="center"/>
          </w:tcPr>
          <w:p w14:paraId="795919AB">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00" w:lineRule="exact"/>
              <w:ind w:left="0" w:leftChars="0" w:right="0" w:rightChars="0"/>
              <w:jc w:val="center"/>
              <w:textAlignment w:val="auto"/>
              <w:rPr>
                <w:rFonts w:hint="eastAsia" w:ascii="宋体" w:hAnsi="宋体" w:cs="宋体"/>
                <w:color w:val="auto"/>
                <w:szCs w:val="21"/>
                <w:highlight w:val="none"/>
              </w:rPr>
            </w:pPr>
            <w:r>
              <w:rPr>
                <w:rFonts w:hint="eastAsia" w:ascii="宋体" w:hAnsi="宋体" w:eastAsia="宋体" w:cs="宋体"/>
                <w:color w:val="auto"/>
                <w:kern w:val="2"/>
                <w:highlight w:val="none"/>
                <w:lang w:val="en-US" w:eastAsia="zh-CN"/>
              </w:rPr>
              <w:t>26</w:t>
            </w:r>
          </w:p>
        </w:tc>
        <w:tc>
          <w:tcPr>
            <w:tcW w:w="2209" w:type="dxa"/>
            <w:gridSpan w:val="2"/>
            <w:tcBorders>
              <w:top w:val="single" w:color="auto" w:sz="4" w:space="0"/>
              <w:left w:val="single" w:color="auto" w:sz="4" w:space="0"/>
              <w:bottom w:val="single" w:color="auto" w:sz="4" w:space="0"/>
              <w:right w:val="single" w:color="auto" w:sz="4" w:space="0"/>
            </w:tcBorders>
            <w:noWrap/>
            <w:vAlign w:val="center"/>
          </w:tcPr>
          <w:p w14:paraId="5C8E8703">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00" w:lineRule="exact"/>
              <w:ind w:left="0" w:leftChars="0" w:right="0" w:rightChars="0"/>
              <w:jc w:val="center"/>
              <w:textAlignment w:val="auto"/>
              <w:rPr>
                <w:rFonts w:hint="eastAsia" w:ascii="宋体" w:hAnsi="宋体" w:cs="宋体"/>
                <w:color w:val="auto"/>
                <w:szCs w:val="21"/>
                <w:highlight w:val="none"/>
              </w:rPr>
            </w:pPr>
            <w:r>
              <w:rPr>
                <w:rFonts w:hint="eastAsia" w:ascii="宋体" w:hAnsi="宋体" w:eastAsia="宋体" w:cs="宋体"/>
                <w:color w:val="auto"/>
                <w:kern w:val="2"/>
                <w:sz w:val="21"/>
                <w:szCs w:val="21"/>
                <w:highlight w:val="none"/>
                <w:u w:color="000000"/>
                <w:lang w:val="en-US" w:eastAsia="zh-CN" w:bidi="ar"/>
              </w:rPr>
              <w:t>开标程序</w:t>
            </w:r>
          </w:p>
        </w:tc>
        <w:tc>
          <w:tcPr>
            <w:tcW w:w="7251" w:type="dxa"/>
            <w:tcBorders>
              <w:top w:val="single" w:color="auto" w:sz="4" w:space="0"/>
              <w:left w:val="single" w:color="auto" w:sz="4" w:space="0"/>
              <w:bottom w:val="single" w:color="auto" w:sz="4" w:space="0"/>
              <w:right w:val="single" w:color="auto" w:sz="4" w:space="0"/>
            </w:tcBorders>
            <w:noWrap/>
            <w:vAlign w:val="center"/>
          </w:tcPr>
          <w:p w14:paraId="4FB8EA52">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00" w:lineRule="exact"/>
              <w:ind w:left="0" w:leftChars="0" w:right="0" w:rightChars="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由代理机构开启电子投标文件，报评标委员会评审。</w:t>
            </w:r>
          </w:p>
        </w:tc>
      </w:tr>
      <w:tr w14:paraId="5625472C">
        <w:tblPrEx>
          <w:tblCellMar>
            <w:top w:w="0" w:type="dxa"/>
            <w:left w:w="108" w:type="dxa"/>
            <w:bottom w:w="0" w:type="dxa"/>
            <w:right w:w="108" w:type="dxa"/>
          </w:tblCellMar>
        </w:tblPrEx>
        <w:trPr>
          <w:trHeight w:val="488" w:hRule="atLeast"/>
          <w:jc w:val="center"/>
        </w:trPr>
        <w:tc>
          <w:tcPr>
            <w:tcW w:w="868" w:type="dxa"/>
            <w:tcBorders>
              <w:top w:val="single" w:color="auto" w:sz="4" w:space="0"/>
              <w:left w:val="single" w:color="auto" w:sz="4" w:space="0"/>
              <w:bottom w:val="single" w:color="auto" w:sz="4" w:space="0"/>
              <w:right w:val="single" w:color="auto" w:sz="4" w:space="0"/>
            </w:tcBorders>
            <w:noWrap/>
            <w:vAlign w:val="center"/>
          </w:tcPr>
          <w:p w14:paraId="0F3A70F5">
            <w:pPr>
              <w:keepNext w:val="0"/>
              <w:keepLines w:val="0"/>
              <w:pageBreakBefore w:val="0"/>
              <w:kinsoku/>
              <w:wordWrap/>
              <w:overflowPunct/>
              <w:autoSpaceDN/>
              <w:bidi w:val="0"/>
              <w:spacing w:line="400" w:lineRule="exact"/>
              <w:jc w:val="center"/>
              <w:textAlignment w:val="auto"/>
              <w:rPr>
                <w:rFonts w:ascii="宋体" w:hAnsi="宋体" w:cs="宋体"/>
                <w:color w:val="auto"/>
                <w:szCs w:val="21"/>
                <w:highlight w:val="none"/>
              </w:rPr>
            </w:pPr>
            <w:r>
              <w:rPr>
                <w:rFonts w:hint="eastAsia" w:ascii="宋体" w:hAnsi="宋体" w:cs="宋体"/>
                <w:color w:val="auto"/>
                <w:szCs w:val="21"/>
                <w:highlight w:val="none"/>
              </w:rPr>
              <w:t>27</w:t>
            </w:r>
          </w:p>
        </w:tc>
        <w:tc>
          <w:tcPr>
            <w:tcW w:w="2209" w:type="dxa"/>
            <w:gridSpan w:val="2"/>
            <w:tcBorders>
              <w:top w:val="single" w:color="auto" w:sz="4" w:space="0"/>
              <w:left w:val="single" w:color="auto" w:sz="4" w:space="0"/>
              <w:bottom w:val="single" w:color="auto" w:sz="4" w:space="0"/>
              <w:right w:val="single" w:color="auto" w:sz="4" w:space="0"/>
            </w:tcBorders>
            <w:noWrap/>
            <w:vAlign w:val="center"/>
          </w:tcPr>
          <w:p w14:paraId="668336EA">
            <w:pPr>
              <w:keepNext w:val="0"/>
              <w:keepLines w:val="0"/>
              <w:pageBreakBefore w:val="0"/>
              <w:kinsoku/>
              <w:wordWrap/>
              <w:overflowPunct/>
              <w:autoSpaceDN/>
              <w:bidi w:val="0"/>
              <w:spacing w:line="400" w:lineRule="exact"/>
              <w:jc w:val="center"/>
              <w:textAlignment w:val="auto"/>
              <w:rPr>
                <w:rFonts w:ascii="宋体" w:hAnsi="宋体" w:cs="宋体"/>
                <w:color w:val="auto"/>
                <w:szCs w:val="21"/>
                <w:highlight w:val="none"/>
              </w:rPr>
            </w:pPr>
            <w:r>
              <w:rPr>
                <w:rFonts w:hint="eastAsia" w:ascii="宋体" w:hAnsi="宋体" w:cs="宋体"/>
                <w:color w:val="auto"/>
                <w:szCs w:val="21"/>
                <w:highlight w:val="none"/>
              </w:rPr>
              <w:t>评标委员会的组建</w:t>
            </w:r>
          </w:p>
        </w:tc>
        <w:tc>
          <w:tcPr>
            <w:tcW w:w="7251" w:type="dxa"/>
            <w:tcBorders>
              <w:top w:val="single" w:color="auto" w:sz="4" w:space="0"/>
              <w:left w:val="single" w:color="auto" w:sz="4" w:space="0"/>
              <w:bottom w:val="single" w:color="auto" w:sz="4" w:space="0"/>
              <w:right w:val="single" w:color="auto" w:sz="4" w:space="0"/>
            </w:tcBorders>
            <w:noWrap/>
            <w:vAlign w:val="center"/>
          </w:tcPr>
          <w:p w14:paraId="1846547D">
            <w:pPr>
              <w:keepNext w:val="0"/>
              <w:keepLines w:val="0"/>
              <w:pageBreakBefore w:val="0"/>
              <w:kinsoku/>
              <w:wordWrap/>
              <w:overflowPunct/>
              <w:autoSpaceDE/>
              <w:autoSpaceDN/>
              <w:bidi w:val="0"/>
              <w:spacing w:line="400" w:lineRule="exact"/>
              <w:textAlignment w:val="auto"/>
              <w:rPr>
                <w:rFonts w:ascii="宋体" w:hAnsi="宋体" w:cs="宋体"/>
                <w:color w:val="auto"/>
                <w:szCs w:val="21"/>
                <w:highlight w:val="none"/>
              </w:rPr>
            </w:pPr>
            <w:r>
              <w:rPr>
                <w:rFonts w:hint="eastAsia" w:ascii="宋体" w:hAnsi="宋体" w:eastAsia="宋体" w:cs="宋体"/>
                <w:color w:val="auto"/>
                <w:kern w:val="2"/>
                <w:sz w:val="21"/>
                <w:szCs w:val="21"/>
                <w:highlight w:val="none"/>
                <w:u w:color="000000"/>
                <w:lang w:val="en-US" w:eastAsia="zh-CN" w:bidi="ar"/>
              </w:rPr>
              <w:t>评标委员会由招标人依法组建。</w:t>
            </w:r>
          </w:p>
        </w:tc>
      </w:tr>
      <w:tr w14:paraId="7BAECC9A">
        <w:tblPrEx>
          <w:tblCellMar>
            <w:top w:w="0" w:type="dxa"/>
            <w:left w:w="108" w:type="dxa"/>
            <w:bottom w:w="0" w:type="dxa"/>
            <w:right w:w="108" w:type="dxa"/>
          </w:tblCellMar>
        </w:tblPrEx>
        <w:trPr>
          <w:jc w:val="center"/>
        </w:trPr>
        <w:tc>
          <w:tcPr>
            <w:tcW w:w="868" w:type="dxa"/>
            <w:tcBorders>
              <w:top w:val="single" w:color="auto" w:sz="4" w:space="0"/>
              <w:left w:val="single" w:color="auto" w:sz="4" w:space="0"/>
              <w:bottom w:val="single" w:color="auto" w:sz="4" w:space="0"/>
              <w:right w:val="single" w:color="auto" w:sz="4" w:space="0"/>
            </w:tcBorders>
            <w:noWrap/>
            <w:vAlign w:val="center"/>
          </w:tcPr>
          <w:p w14:paraId="73DBFFAA">
            <w:pPr>
              <w:keepNext w:val="0"/>
              <w:keepLines w:val="0"/>
              <w:pageBreakBefore w:val="0"/>
              <w:kinsoku/>
              <w:wordWrap/>
              <w:overflowPunct/>
              <w:autoSpaceDN/>
              <w:bidi w:val="0"/>
              <w:spacing w:line="400" w:lineRule="exact"/>
              <w:jc w:val="center"/>
              <w:textAlignment w:val="auto"/>
              <w:rPr>
                <w:rFonts w:ascii="宋体" w:hAnsi="宋体" w:cs="宋体"/>
                <w:b/>
                <w:bCs/>
                <w:color w:val="auto"/>
                <w:szCs w:val="21"/>
                <w:highlight w:val="none"/>
              </w:rPr>
            </w:pPr>
            <w:r>
              <w:rPr>
                <w:rFonts w:hint="eastAsia" w:ascii="宋体" w:hAnsi="宋体" w:cs="宋体"/>
                <w:color w:val="auto"/>
                <w:szCs w:val="21"/>
                <w:highlight w:val="none"/>
              </w:rPr>
              <w:t>28</w:t>
            </w:r>
          </w:p>
        </w:tc>
        <w:tc>
          <w:tcPr>
            <w:tcW w:w="2209" w:type="dxa"/>
            <w:gridSpan w:val="2"/>
            <w:tcBorders>
              <w:top w:val="single" w:color="auto" w:sz="4" w:space="0"/>
              <w:left w:val="single" w:color="auto" w:sz="4" w:space="0"/>
              <w:bottom w:val="single" w:color="auto" w:sz="4" w:space="0"/>
              <w:right w:val="single" w:color="auto" w:sz="4" w:space="0"/>
            </w:tcBorders>
            <w:noWrap/>
            <w:vAlign w:val="center"/>
          </w:tcPr>
          <w:p w14:paraId="4BE74737">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center"/>
              <w:textAlignment w:val="auto"/>
              <w:rPr>
                <w:rFonts w:ascii="宋体" w:hAnsi="宋体" w:cs="宋体"/>
                <w:bCs/>
                <w:color w:val="auto"/>
                <w:szCs w:val="21"/>
                <w:highlight w:val="none"/>
              </w:rPr>
            </w:pPr>
            <w:r>
              <w:rPr>
                <w:rFonts w:hint="eastAsia" w:ascii="宋体" w:hAnsi="宋体" w:eastAsia="宋体" w:cs="宋体"/>
                <w:b w:val="0"/>
                <w:bCs w:val="0"/>
                <w:color w:val="auto"/>
                <w:sz w:val="21"/>
                <w:szCs w:val="21"/>
                <w:highlight w:val="none"/>
              </w:rPr>
              <w:t>评标委员会确定中标候选人的人数</w:t>
            </w:r>
          </w:p>
        </w:tc>
        <w:tc>
          <w:tcPr>
            <w:tcW w:w="7251" w:type="dxa"/>
            <w:tcBorders>
              <w:top w:val="single" w:color="auto" w:sz="4" w:space="0"/>
              <w:left w:val="single" w:color="auto" w:sz="4" w:space="0"/>
              <w:bottom w:val="single" w:color="auto" w:sz="4" w:space="0"/>
              <w:right w:val="single" w:color="auto" w:sz="4" w:space="0"/>
            </w:tcBorders>
            <w:noWrap/>
            <w:vAlign w:val="center"/>
          </w:tcPr>
          <w:p w14:paraId="3FF3BC17">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textAlignment w:val="auto"/>
              <w:rPr>
                <w:rFonts w:ascii="宋体" w:hAnsi="宋体" w:cs="宋体"/>
                <w:bCs/>
                <w:color w:val="auto"/>
                <w:szCs w:val="21"/>
                <w:highlight w:val="none"/>
              </w:rPr>
            </w:pPr>
            <w:r>
              <w:rPr>
                <w:rFonts w:hint="eastAsia" w:ascii="宋体" w:hAnsi="宋体" w:cs="宋体"/>
                <w:b w:val="0"/>
                <w:bCs w:val="0"/>
                <w:color w:val="auto"/>
                <w:sz w:val="21"/>
                <w:szCs w:val="21"/>
                <w:highlight w:val="none"/>
                <w:lang w:val="en-US" w:eastAsia="zh-CN"/>
              </w:rPr>
              <w:t>3</w:t>
            </w:r>
            <w:r>
              <w:rPr>
                <w:rFonts w:hint="eastAsia" w:ascii="宋体" w:hAnsi="宋体" w:eastAsia="宋体" w:cs="宋体"/>
                <w:b w:val="0"/>
                <w:bCs w:val="0"/>
                <w:color w:val="auto"/>
                <w:sz w:val="21"/>
                <w:szCs w:val="21"/>
                <w:highlight w:val="none"/>
              </w:rPr>
              <w:t>名，并标明排序。</w:t>
            </w:r>
          </w:p>
        </w:tc>
      </w:tr>
      <w:tr w14:paraId="0948E9B2">
        <w:tblPrEx>
          <w:tblCellMar>
            <w:top w:w="0" w:type="dxa"/>
            <w:left w:w="108" w:type="dxa"/>
            <w:bottom w:w="0" w:type="dxa"/>
            <w:right w:w="108" w:type="dxa"/>
          </w:tblCellMar>
        </w:tblPrEx>
        <w:trPr>
          <w:trHeight w:val="500" w:hRule="atLeast"/>
          <w:jc w:val="center"/>
        </w:trPr>
        <w:tc>
          <w:tcPr>
            <w:tcW w:w="868" w:type="dxa"/>
            <w:tcBorders>
              <w:top w:val="single" w:color="auto" w:sz="4" w:space="0"/>
              <w:left w:val="single" w:color="auto" w:sz="4" w:space="0"/>
              <w:bottom w:val="single" w:color="auto" w:sz="4" w:space="0"/>
              <w:right w:val="single" w:color="auto" w:sz="4" w:space="0"/>
            </w:tcBorders>
            <w:noWrap/>
            <w:vAlign w:val="center"/>
          </w:tcPr>
          <w:p w14:paraId="6CAD3EA1">
            <w:pPr>
              <w:keepNext w:val="0"/>
              <w:keepLines w:val="0"/>
              <w:pageBreakBefore w:val="0"/>
              <w:kinsoku/>
              <w:wordWrap/>
              <w:overflowPunct/>
              <w:autoSpaceDN/>
              <w:bidi w:val="0"/>
              <w:spacing w:line="400" w:lineRule="exact"/>
              <w:jc w:val="center"/>
              <w:textAlignment w:val="auto"/>
              <w:rPr>
                <w:rFonts w:hint="default" w:ascii="宋体" w:hAnsi="宋体" w:eastAsia="宋体" w:cs="宋体"/>
                <w:color w:val="auto"/>
                <w:kern w:val="2"/>
                <w:sz w:val="21"/>
                <w:szCs w:val="21"/>
                <w:highlight w:val="none"/>
                <w:lang w:val="en-US" w:eastAsia="zh-CN" w:bidi="ar-SA"/>
              </w:rPr>
            </w:pPr>
            <w:r>
              <w:rPr>
                <w:rFonts w:hint="eastAsia" w:ascii="宋体" w:hAnsi="宋体" w:cs="宋体"/>
                <w:color w:val="auto"/>
                <w:szCs w:val="21"/>
                <w:highlight w:val="none"/>
                <w:lang w:val="en-US" w:eastAsia="zh-CN"/>
              </w:rPr>
              <w:t>29</w:t>
            </w:r>
          </w:p>
        </w:tc>
        <w:tc>
          <w:tcPr>
            <w:tcW w:w="2209" w:type="dxa"/>
            <w:gridSpan w:val="2"/>
            <w:tcBorders>
              <w:top w:val="single" w:color="auto" w:sz="4" w:space="0"/>
              <w:left w:val="single" w:color="auto" w:sz="4" w:space="0"/>
              <w:bottom w:val="single" w:color="auto" w:sz="4" w:space="0"/>
              <w:right w:val="single" w:color="auto" w:sz="4" w:space="0"/>
            </w:tcBorders>
            <w:noWrap/>
            <w:vAlign w:val="center"/>
          </w:tcPr>
          <w:p w14:paraId="397DB27E">
            <w:pPr>
              <w:keepNext w:val="0"/>
              <w:keepLines w:val="0"/>
              <w:pageBreakBefore w:val="0"/>
              <w:kinsoku/>
              <w:wordWrap/>
              <w:overflowPunct/>
              <w:autoSpaceDN/>
              <w:bidi w:val="0"/>
              <w:spacing w:line="400" w:lineRule="exact"/>
              <w:jc w:val="center"/>
              <w:textAlignment w:val="auto"/>
              <w:rPr>
                <w:rFonts w:ascii="宋体" w:hAnsi="宋体" w:cs="宋体"/>
                <w:color w:val="auto"/>
                <w:szCs w:val="21"/>
                <w:highlight w:val="none"/>
              </w:rPr>
            </w:pPr>
            <w:r>
              <w:rPr>
                <w:rFonts w:hint="eastAsia" w:ascii="宋体" w:hAnsi="宋体" w:cs="宋体"/>
                <w:color w:val="auto"/>
                <w:szCs w:val="21"/>
                <w:highlight w:val="none"/>
              </w:rPr>
              <w:t>中标候选人公示媒介</w:t>
            </w:r>
          </w:p>
        </w:tc>
        <w:tc>
          <w:tcPr>
            <w:tcW w:w="7251" w:type="dxa"/>
            <w:tcBorders>
              <w:top w:val="single" w:color="auto" w:sz="4" w:space="0"/>
              <w:left w:val="single" w:color="auto" w:sz="4" w:space="0"/>
              <w:bottom w:val="single" w:color="auto" w:sz="4" w:space="0"/>
              <w:right w:val="single" w:color="auto" w:sz="4" w:space="0"/>
            </w:tcBorders>
            <w:noWrap/>
            <w:vAlign w:val="center"/>
          </w:tcPr>
          <w:p w14:paraId="5A01188B">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公示媒介：同招标公告发布媒介</w:t>
            </w:r>
          </w:p>
          <w:p w14:paraId="62635D2D">
            <w:pPr>
              <w:keepNext w:val="0"/>
              <w:keepLines w:val="0"/>
              <w:pageBreakBefore w:val="0"/>
              <w:kinsoku/>
              <w:wordWrap/>
              <w:overflowPunct/>
              <w:autoSpaceDE/>
              <w:autoSpaceDN/>
              <w:bidi w:val="0"/>
              <w:spacing w:line="400" w:lineRule="exact"/>
              <w:textAlignment w:val="auto"/>
              <w:rPr>
                <w:rFonts w:ascii="宋体" w:hAnsi="宋体" w:cs="宋体"/>
                <w:color w:val="auto"/>
                <w:szCs w:val="21"/>
                <w:highlight w:val="none"/>
              </w:rPr>
            </w:pPr>
            <w:r>
              <w:rPr>
                <w:rFonts w:hint="eastAsia" w:ascii="宋体" w:hAnsi="宋体" w:eastAsia="宋体" w:cs="宋体"/>
                <w:b w:val="0"/>
                <w:bCs w:val="0"/>
                <w:color w:val="auto"/>
                <w:sz w:val="21"/>
                <w:szCs w:val="21"/>
                <w:highlight w:val="none"/>
              </w:rPr>
              <w:t>公示期限：公示发布次日起3日（如公示第三日为休息日或节假日，则顺延至休息日或节假日后第一个工作日）</w:t>
            </w:r>
          </w:p>
        </w:tc>
      </w:tr>
      <w:tr w14:paraId="5598C43A">
        <w:tblPrEx>
          <w:tblCellMar>
            <w:top w:w="0" w:type="dxa"/>
            <w:left w:w="108" w:type="dxa"/>
            <w:bottom w:w="0" w:type="dxa"/>
            <w:right w:w="108" w:type="dxa"/>
          </w:tblCellMar>
        </w:tblPrEx>
        <w:trPr>
          <w:trHeight w:val="500" w:hRule="atLeast"/>
          <w:jc w:val="center"/>
        </w:trPr>
        <w:tc>
          <w:tcPr>
            <w:tcW w:w="868" w:type="dxa"/>
            <w:tcBorders>
              <w:top w:val="single" w:color="auto" w:sz="4" w:space="0"/>
              <w:left w:val="single" w:color="auto" w:sz="4" w:space="0"/>
              <w:bottom w:val="single" w:color="auto" w:sz="4" w:space="0"/>
              <w:right w:val="single" w:color="auto" w:sz="4" w:space="0"/>
            </w:tcBorders>
            <w:noWrap/>
            <w:vAlign w:val="center"/>
          </w:tcPr>
          <w:p w14:paraId="6AF264B2">
            <w:pPr>
              <w:keepNext w:val="0"/>
              <w:keepLines w:val="0"/>
              <w:pageBreakBefore w:val="0"/>
              <w:kinsoku/>
              <w:wordWrap/>
              <w:overflowPunct/>
              <w:autoSpaceDN/>
              <w:bidi w:val="0"/>
              <w:spacing w:line="400" w:lineRule="exact"/>
              <w:jc w:val="center"/>
              <w:textAlignment w:val="auto"/>
              <w:rPr>
                <w:rFonts w:hint="default" w:ascii="宋体" w:hAnsi="宋体" w:eastAsia="宋体" w:cs="宋体"/>
                <w:color w:val="auto"/>
                <w:kern w:val="2"/>
                <w:sz w:val="21"/>
                <w:szCs w:val="21"/>
                <w:highlight w:val="none"/>
                <w:lang w:val="en-US" w:eastAsia="zh-CN" w:bidi="ar-SA"/>
              </w:rPr>
            </w:pPr>
            <w:r>
              <w:rPr>
                <w:rFonts w:hint="eastAsia" w:ascii="宋体" w:hAnsi="宋体" w:cs="宋体"/>
                <w:color w:val="auto"/>
                <w:szCs w:val="21"/>
                <w:highlight w:val="none"/>
                <w:lang w:val="en-US" w:eastAsia="zh-CN"/>
              </w:rPr>
              <w:t>30</w:t>
            </w:r>
          </w:p>
        </w:tc>
        <w:tc>
          <w:tcPr>
            <w:tcW w:w="2209" w:type="dxa"/>
            <w:gridSpan w:val="2"/>
            <w:tcBorders>
              <w:top w:val="single" w:color="auto" w:sz="4" w:space="0"/>
              <w:left w:val="single" w:color="auto" w:sz="4" w:space="0"/>
              <w:bottom w:val="single" w:color="auto" w:sz="4" w:space="0"/>
              <w:right w:val="single" w:color="auto" w:sz="4" w:space="0"/>
            </w:tcBorders>
            <w:noWrap/>
            <w:vAlign w:val="center"/>
          </w:tcPr>
          <w:p w14:paraId="46AD0919">
            <w:pPr>
              <w:keepNext w:val="0"/>
              <w:keepLines w:val="0"/>
              <w:pageBreakBefore w:val="0"/>
              <w:kinsoku/>
              <w:wordWrap/>
              <w:overflowPunct/>
              <w:autoSpaceDE/>
              <w:autoSpaceDN/>
              <w:bidi w:val="0"/>
              <w:adjustRightInd w:val="0"/>
              <w:snapToGrid w:val="0"/>
              <w:spacing w:line="400" w:lineRule="exact"/>
              <w:textAlignment w:val="auto"/>
              <w:rPr>
                <w:rFonts w:hint="eastAsia" w:ascii="宋体" w:hAnsi="宋体" w:eastAsia="宋体" w:cs="宋体"/>
                <w:color w:val="auto"/>
                <w:kern w:val="2"/>
                <w:sz w:val="21"/>
                <w:szCs w:val="21"/>
                <w:highlight w:val="none"/>
                <w:lang w:val="en-US" w:eastAsia="zh-CN" w:bidi="ar-SA"/>
              </w:rPr>
            </w:pPr>
            <w:r>
              <w:rPr>
                <w:rFonts w:hint="eastAsia"/>
                <w:color w:val="auto"/>
                <w:sz w:val="21"/>
                <w:szCs w:val="21"/>
                <w:highlight w:val="none"/>
              </w:rPr>
              <w:t>中标通知书发出形式</w:t>
            </w:r>
          </w:p>
        </w:tc>
        <w:tc>
          <w:tcPr>
            <w:tcW w:w="7251" w:type="dxa"/>
            <w:tcBorders>
              <w:top w:val="single" w:color="auto" w:sz="4" w:space="0"/>
              <w:left w:val="single" w:color="auto" w:sz="4" w:space="0"/>
              <w:bottom w:val="single" w:color="auto" w:sz="4" w:space="0"/>
              <w:right w:val="single" w:color="auto" w:sz="4" w:space="0"/>
            </w:tcBorders>
            <w:noWrap/>
            <w:vAlign w:val="center"/>
          </w:tcPr>
          <w:p w14:paraId="6F0D809A">
            <w:pPr>
              <w:keepNext w:val="0"/>
              <w:keepLines w:val="0"/>
              <w:pageBreakBefore w:val="0"/>
              <w:widowControl/>
              <w:kinsoku/>
              <w:wordWrap/>
              <w:overflowPunct/>
              <w:autoSpaceDE/>
              <w:autoSpaceDN/>
              <w:bidi w:val="0"/>
              <w:adjustRightInd w:val="0"/>
              <w:snapToGrid w:val="0"/>
              <w:spacing w:line="400" w:lineRule="exac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u w:color="000000"/>
                <w:lang w:val="en-US" w:eastAsia="zh-CN" w:bidi="ar"/>
              </w:rPr>
              <w:t>中标通知书须加盖招标人、招标代理公司公章后发出。</w:t>
            </w:r>
          </w:p>
        </w:tc>
      </w:tr>
      <w:tr w14:paraId="036C355A">
        <w:tblPrEx>
          <w:tblCellMar>
            <w:top w:w="0" w:type="dxa"/>
            <w:left w:w="108" w:type="dxa"/>
            <w:bottom w:w="0" w:type="dxa"/>
            <w:right w:w="108" w:type="dxa"/>
          </w:tblCellMar>
        </w:tblPrEx>
        <w:trPr>
          <w:trHeight w:val="97" w:hRule="atLeast"/>
          <w:jc w:val="center"/>
        </w:trPr>
        <w:tc>
          <w:tcPr>
            <w:tcW w:w="868" w:type="dxa"/>
            <w:tcBorders>
              <w:top w:val="single" w:color="auto" w:sz="4" w:space="0"/>
              <w:left w:val="single" w:color="auto" w:sz="4" w:space="0"/>
              <w:bottom w:val="single" w:color="auto" w:sz="4" w:space="0"/>
              <w:right w:val="single" w:color="auto" w:sz="4" w:space="0"/>
            </w:tcBorders>
            <w:noWrap/>
            <w:vAlign w:val="center"/>
          </w:tcPr>
          <w:p w14:paraId="40D4AB66">
            <w:pPr>
              <w:keepNext w:val="0"/>
              <w:keepLines w:val="0"/>
              <w:pageBreakBefore w:val="0"/>
              <w:kinsoku/>
              <w:wordWrap/>
              <w:overflowPunct/>
              <w:autoSpaceDN/>
              <w:bidi w:val="0"/>
              <w:spacing w:line="400" w:lineRule="exact"/>
              <w:jc w:val="center"/>
              <w:textAlignment w:val="auto"/>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31</w:t>
            </w:r>
          </w:p>
        </w:tc>
        <w:tc>
          <w:tcPr>
            <w:tcW w:w="2209" w:type="dxa"/>
            <w:gridSpan w:val="2"/>
            <w:tcBorders>
              <w:top w:val="single" w:color="auto" w:sz="4" w:space="0"/>
              <w:left w:val="single" w:color="auto" w:sz="4" w:space="0"/>
              <w:bottom w:val="single" w:color="auto" w:sz="4" w:space="0"/>
              <w:right w:val="single" w:color="auto" w:sz="4" w:space="0"/>
            </w:tcBorders>
            <w:noWrap/>
            <w:vAlign w:val="center"/>
          </w:tcPr>
          <w:p w14:paraId="4BBDAC4D">
            <w:pPr>
              <w:keepNext w:val="0"/>
              <w:keepLines w:val="0"/>
              <w:pageBreakBefore w:val="0"/>
              <w:kinsoku/>
              <w:wordWrap/>
              <w:overflowPunct/>
              <w:autoSpaceDN/>
              <w:bidi w:val="0"/>
              <w:spacing w:line="400" w:lineRule="exact"/>
              <w:jc w:val="center"/>
              <w:textAlignment w:val="auto"/>
              <w:rPr>
                <w:rFonts w:ascii="宋体" w:hAnsi="宋体" w:cs="宋体"/>
                <w:color w:val="auto"/>
                <w:szCs w:val="21"/>
                <w:highlight w:val="none"/>
              </w:rPr>
            </w:pPr>
            <w:r>
              <w:rPr>
                <w:rFonts w:hint="eastAsia" w:ascii="宋体" w:hAnsi="宋体" w:cs="宋体"/>
                <w:color w:val="auto"/>
                <w:szCs w:val="21"/>
                <w:highlight w:val="none"/>
              </w:rPr>
              <w:t>履约担保</w:t>
            </w:r>
          </w:p>
        </w:tc>
        <w:tc>
          <w:tcPr>
            <w:tcW w:w="7251" w:type="dxa"/>
            <w:tcBorders>
              <w:top w:val="single" w:color="auto" w:sz="4" w:space="0"/>
              <w:left w:val="single" w:color="auto" w:sz="4" w:space="0"/>
              <w:bottom w:val="single" w:color="auto" w:sz="4" w:space="0"/>
              <w:right w:val="single" w:color="auto" w:sz="4" w:space="0"/>
            </w:tcBorders>
            <w:noWrap/>
            <w:vAlign w:val="center"/>
          </w:tcPr>
          <w:p w14:paraId="57A14FB2">
            <w:pPr>
              <w:keepNext w:val="0"/>
              <w:keepLines w:val="0"/>
              <w:pageBreakBefore w:val="0"/>
              <w:kinsoku/>
              <w:wordWrap/>
              <w:overflowPunct/>
              <w:autoSpaceDE/>
              <w:autoSpaceDN/>
              <w:bidi w:val="0"/>
              <w:spacing w:line="400" w:lineRule="exact"/>
              <w:textAlignment w:val="auto"/>
              <w:rPr>
                <w:rFonts w:ascii="宋体" w:hAnsi="宋体" w:cs="宋体"/>
                <w:bCs/>
                <w:color w:val="auto"/>
                <w:szCs w:val="21"/>
                <w:highlight w:val="none"/>
              </w:rPr>
            </w:pPr>
            <w:r>
              <w:rPr>
                <w:rFonts w:hint="eastAsia" w:ascii="宋体" w:hAnsi="宋体" w:cs="宋体"/>
                <w:bCs/>
                <w:color w:val="auto"/>
                <w:szCs w:val="21"/>
                <w:highlight w:val="none"/>
              </w:rPr>
              <w:t>履约担保的形式：支持银行转账、银行保函（见索即付无条件保函）、担保保函、商业保险、第三方担保（无条件担保）使用</w:t>
            </w:r>
          </w:p>
          <w:p w14:paraId="64302322">
            <w:pPr>
              <w:keepNext w:val="0"/>
              <w:keepLines w:val="0"/>
              <w:pageBreakBefore w:val="0"/>
              <w:kinsoku/>
              <w:wordWrap/>
              <w:overflowPunct/>
              <w:autoSpaceDE/>
              <w:autoSpaceDN/>
              <w:bidi w:val="0"/>
              <w:spacing w:line="400" w:lineRule="exact"/>
              <w:textAlignment w:val="auto"/>
              <w:rPr>
                <w:rFonts w:hint="eastAsia" w:ascii="宋体" w:hAnsi="宋体" w:eastAsia="宋体" w:cs="宋体"/>
                <w:bCs/>
                <w:color w:val="auto"/>
                <w:szCs w:val="21"/>
                <w:highlight w:val="none"/>
                <w:lang w:eastAsia="zh-CN"/>
              </w:rPr>
            </w:pPr>
            <w:r>
              <w:rPr>
                <w:rFonts w:hint="eastAsia" w:ascii="宋体" w:hAnsi="宋体" w:cs="宋体"/>
                <w:bCs/>
                <w:color w:val="auto"/>
                <w:szCs w:val="21"/>
                <w:highlight w:val="none"/>
              </w:rPr>
              <w:t>履约担保的金额：</w:t>
            </w:r>
            <w:r>
              <w:rPr>
                <w:rFonts w:hint="eastAsia" w:ascii="宋体" w:hAnsi="宋体" w:eastAsia="宋体" w:cs="宋体"/>
                <w:bCs/>
                <w:color w:val="auto"/>
                <w:szCs w:val="21"/>
                <w:highlight w:val="none"/>
              </w:rPr>
              <w:t>中标合同金额×2%</w:t>
            </w:r>
          </w:p>
          <w:p w14:paraId="4F22EBF8">
            <w:pPr>
              <w:pStyle w:val="42"/>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right="0" w:rightChars="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收款单位：中标后另行通知                 </w:t>
            </w:r>
          </w:p>
          <w:p w14:paraId="420B8239">
            <w:pPr>
              <w:pStyle w:val="42"/>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right="0" w:rightChars="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开户银行：中标后另行通知                   </w:t>
            </w:r>
          </w:p>
          <w:p w14:paraId="7A8F1231">
            <w:pPr>
              <w:pStyle w:val="42"/>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right="0" w:rightChars="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银行账号：中标后另行通知                   </w:t>
            </w:r>
          </w:p>
          <w:p w14:paraId="6A6E6589">
            <w:pPr>
              <w:spacing w:line="42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缴纳时限：中标人须在中标通知书发出后30日内完成履约保证金缴纳及合同签订（先缴纳履约保证金后签合同）。中标单位原因造成合同延期签订的，延期签订情节严重的，招标人有权取消其中标资格。并承担给招标人造成的损失，同时依法承担相应法律责任。   </w:t>
            </w:r>
          </w:p>
          <w:p w14:paraId="7AD6BAEA">
            <w:pPr>
              <w:spacing w:line="42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履约保证金退还时限：履约保证金在工程竣工验收合格后一个月内无息退还。</w:t>
            </w:r>
          </w:p>
          <w:p w14:paraId="1944A556">
            <w:pPr>
              <w:pStyle w:val="42"/>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right="0" w:rightChars="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其他相关要求：</w:t>
            </w:r>
          </w:p>
          <w:p w14:paraId="5A2E52CB">
            <w:pPr>
              <w:pStyle w:val="42"/>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right="0" w:rightChars="0"/>
              <w:jc w:val="both"/>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1、采用银行保函的具体要求:按招标人要求提供</w:t>
            </w:r>
          </w:p>
          <w:p w14:paraId="0404B97A">
            <w:pPr>
              <w:pStyle w:val="42"/>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right="0" w:rightChars="0"/>
              <w:jc w:val="both"/>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2、采用担保保函的具体要求：按招标人要求提供</w:t>
            </w:r>
          </w:p>
          <w:p w14:paraId="75072C65">
            <w:pPr>
              <w:pStyle w:val="42"/>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right="0" w:rightChars="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3、采用商业保险的具体要求：按招标人要求提供</w:t>
            </w:r>
          </w:p>
          <w:p w14:paraId="3E915FC8">
            <w:pPr>
              <w:pStyle w:val="42"/>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right="0" w:rightChars="0"/>
              <w:jc w:val="both"/>
              <w:textAlignment w:val="auto"/>
              <w:rPr>
                <w:rFonts w:ascii="宋体" w:hAnsi="宋体" w:cs="宋体"/>
                <w:color w:val="auto"/>
                <w:szCs w:val="21"/>
                <w:highlight w:val="none"/>
              </w:rPr>
            </w:pPr>
            <w:r>
              <w:rPr>
                <w:rFonts w:hint="eastAsia" w:ascii="宋体" w:hAnsi="宋体" w:eastAsia="宋体" w:cs="宋体"/>
                <w:color w:val="auto"/>
                <w:sz w:val="21"/>
                <w:szCs w:val="21"/>
                <w:highlight w:val="none"/>
                <w:lang w:val="en-US" w:eastAsia="zh-CN"/>
              </w:rPr>
              <w:t>4、采用第三方担保的具体要求：按招标人要求提供</w:t>
            </w:r>
          </w:p>
        </w:tc>
      </w:tr>
      <w:tr w14:paraId="35ED23DA">
        <w:tblPrEx>
          <w:tblCellMar>
            <w:top w:w="0" w:type="dxa"/>
            <w:left w:w="108" w:type="dxa"/>
            <w:bottom w:w="0" w:type="dxa"/>
            <w:right w:w="108" w:type="dxa"/>
          </w:tblCellMar>
        </w:tblPrEx>
        <w:trPr>
          <w:trHeight w:val="97" w:hRule="atLeast"/>
          <w:jc w:val="center"/>
        </w:trPr>
        <w:tc>
          <w:tcPr>
            <w:tcW w:w="868" w:type="dxa"/>
            <w:tcBorders>
              <w:top w:val="single" w:color="auto" w:sz="4" w:space="0"/>
              <w:left w:val="single" w:color="auto" w:sz="4" w:space="0"/>
              <w:bottom w:val="single" w:color="auto" w:sz="4" w:space="0"/>
              <w:right w:val="single" w:color="auto" w:sz="4" w:space="0"/>
            </w:tcBorders>
            <w:noWrap/>
            <w:vAlign w:val="center"/>
          </w:tcPr>
          <w:p w14:paraId="60D14238">
            <w:pPr>
              <w:keepNext w:val="0"/>
              <w:keepLines w:val="0"/>
              <w:pageBreakBefore w:val="0"/>
              <w:kinsoku/>
              <w:wordWrap/>
              <w:overflowPunct/>
              <w:autoSpaceDN/>
              <w:bidi w:val="0"/>
              <w:spacing w:line="400" w:lineRule="exact"/>
              <w:jc w:val="center"/>
              <w:textAlignment w:val="auto"/>
              <w:rPr>
                <w:rFonts w:hint="default" w:ascii="宋体" w:hAnsi="宋体" w:cs="宋体"/>
                <w:color w:val="auto"/>
                <w:szCs w:val="21"/>
                <w:highlight w:val="none"/>
                <w:lang w:val="en-US" w:eastAsia="zh-CN"/>
              </w:rPr>
            </w:pPr>
            <w:r>
              <w:rPr>
                <w:rFonts w:hint="eastAsia" w:ascii="宋体" w:hAnsi="宋体" w:cs="宋体"/>
                <w:color w:val="auto"/>
                <w:szCs w:val="21"/>
                <w:highlight w:val="none"/>
                <w:lang w:val="en-US" w:eastAsia="zh-CN"/>
              </w:rPr>
              <w:t>32</w:t>
            </w:r>
          </w:p>
        </w:tc>
        <w:tc>
          <w:tcPr>
            <w:tcW w:w="2209" w:type="dxa"/>
            <w:gridSpan w:val="2"/>
            <w:tcBorders>
              <w:top w:val="single" w:color="auto" w:sz="4" w:space="0"/>
              <w:left w:val="single" w:color="auto" w:sz="4" w:space="0"/>
              <w:bottom w:val="single" w:color="auto" w:sz="4" w:space="0"/>
              <w:right w:val="single" w:color="auto" w:sz="4" w:space="0"/>
            </w:tcBorders>
            <w:noWrap/>
            <w:vAlign w:val="center"/>
          </w:tcPr>
          <w:p w14:paraId="7E77DE9E">
            <w:pPr>
              <w:adjustRightInd w:val="0"/>
              <w:snapToGrid w:val="0"/>
              <w:spacing w:line="560" w:lineRule="exact"/>
              <w:jc w:val="center"/>
              <w:rPr>
                <w:rFonts w:hint="eastAsia" w:ascii="宋体" w:hAnsi="宋体" w:cs="宋体"/>
                <w:color w:val="auto"/>
                <w:szCs w:val="21"/>
                <w:highlight w:val="none"/>
              </w:rPr>
            </w:pPr>
            <w:r>
              <w:rPr>
                <w:rFonts w:hint="eastAsia"/>
                <w:color w:val="auto"/>
                <w:sz w:val="24"/>
                <w:highlight w:val="none"/>
              </w:rPr>
              <w:t>签订合同</w:t>
            </w:r>
          </w:p>
        </w:tc>
        <w:tc>
          <w:tcPr>
            <w:tcW w:w="7251" w:type="dxa"/>
            <w:tcBorders>
              <w:top w:val="single" w:color="auto" w:sz="4" w:space="0"/>
              <w:left w:val="single" w:color="auto" w:sz="4" w:space="0"/>
              <w:bottom w:val="single" w:color="auto" w:sz="4" w:space="0"/>
              <w:right w:val="single" w:color="auto" w:sz="4" w:space="0"/>
            </w:tcBorders>
            <w:noWrap/>
            <w:vAlign w:val="top"/>
          </w:tcPr>
          <w:p w14:paraId="3C6915AB">
            <w:pPr>
              <w:keepNext w:val="0"/>
              <w:keepLines w:val="0"/>
              <w:pageBreakBefore w:val="0"/>
              <w:kinsoku/>
              <w:wordWrap/>
              <w:overflowPunct/>
              <w:autoSpaceDE/>
              <w:autoSpaceDN/>
              <w:bidi w:val="0"/>
              <w:spacing w:line="400" w:lineRule="exac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bCs/>
                <w:color w:val="auto"/>
                <w:szCs w:val="21"/>
                <w:highlight w:val="none"/>
              </w:rPr>
              <w:t>中标通知书发出之日起</w:t>
            </w:r>
            <w:r>
              <w:rPr>
                <w:rFonts w:hint="eastAsia" w:ascii="宋体" w:hAnsi="宋体" w:eastAsia="宋体" w:cs="宋体"/>
                <w:bCs/>
                <w:color w:val="auto"/>
                <w:szCs w:val="21"/>
                <w:highlight w:val="none"/>
                <w:u w:val="single"/>
                <w:lang w:val="en-US" w:eastAsia="zh-CN"/>
              </w:rPr>
              <w:t>10</w:t>
            </w:r>
            <w:r>
              <w:rPr>
                <w:rFonts w:hint="eastAsia" w:ascii="宋体" w:hAnsi="宋体" w:eastAsia="宋体" w:cs="宋体"/>
                <w:bCs/>
                <w:color w:val="auto"/>
                <w:szCs w:val="21"/>
                <w:highlight w:val="none"/>
              </w:rPr>
              <w:t>日内，应委派代表与招标人联系并商讨书面合同签订事宜。中标人和招标人应在投标有效期内以及中标通知书发出之日起30日内，根据招标文件和中标人的投标文件订立书面合同。</w:t>
            </w:r>
          </w:p>
        </w:tc>
      </w:tr>
      <w:tr w14:paraId="755BFAA5">
        <w:tblPrEx>
          <w:tblCellMar>
            <w:top w:w="0" w:type="dxa"/>
            <w:left w:w="108" w:type="dxa"/>
            <w:bottom w:w="0" w:type="dxa"/>
            <w:right w:w="108" w:type="dxa"/>
          </w:tblCellMar>
        </w:tblPrEx>
        <w:trPr>
          <w:trHeight w:val="90" w:hRule="atLeast"/>
          <w:jc w:val="center"/>
        </w:trPr>
        <w:tc>
          <w:tcPr>
            <w:tcW w:w="86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F37E172">
            <w:pPr>
              <w:keepNext w:val="0"/>
              <w:keepLines w:val="0"/>
              <w:pageBreakBefore w:val="0"/>
              <w:kinsoku/>
              <w:wordWrap/>
              <w:overflowPunct/>
              <w:autoSpaceDN/>
              <w:bidi w:val="0"/>
              <w:spacing w:line="400" w:lineRule="exact"/>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cs="宋体"/>
                <w:color w:val="auto"/>
                <w:szCs w:val="21"/>
                <w:highlight w:val="none"/>
                <w:lang w:val="en-US" w:eastAsia="zh-CN"/>
              </w:rPr>
              <w:t>33</w:t>
            </w:r>
          </w:p>
        </w:tc>
        <w:tc>
          <w:tcPr>
            <w:tcW w:w="2209"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169D3F74">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sz w:val="21"/>
                <w:szCs w:val="21"/>
                <w:highlight w:val="none"/>
              </w:rPr>
              <w:t>付款方式</w:t>
            </w:r>
          </w:p>
        </w:tc>
        <w:tc>
          <w:tcPr>
            <w:tcW w:w="725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428D87D">
            <w:pPr>
              <w:spacing w:line="420" w:lineRule="exact"/>
              <w:rPr>
                <w:rFonts w:hint="eastAsia" w:ascii="宋体" w:hAnsi="宋体" w:eastAsia="宋体" w:cs="宋体"/>
                <w:b/>
                <w:bCs/>
                <w:color w:val="auto"/>
                <w:kern w:val="2"/>
                <w:sz w:val="21"/>
                <w:szCs w:val="21"/>
                <w:highlight w:val="none"/>
                <w:lang w:val="en-US" w:eastAsia="zh-CN" w:bidi="ar-SA"/>
              </w:rPr>
            </w:pPr>
            <w:r>
              <w:rPr>
                <w:rFonts w:hint="eastAsia" w:ascii="宋体" w:hAnsi="宋体" w:cs="宋体"/>
                <w:b/>
                <w:bCs/>
                <w:color w:val="auto"/>
                <w:szCs w:val="21"/>
                <w:highlight w:val="none"/>
                <w:lang w:val="en-US" w:eastAsia="zh-CN"/>
              </w:rPr>
              <w:t>完成全容量发电并网验收付至签约合同价的90%；项目竣工验收合格后，经工程结算审核完成付至工程审计结算价款的98%，剩余2%作为质保金，工程缺陷责任期 (自竣工验收合格之日起满2年)满后付清余款。质量保证金支持保函（银行保函、担保机构担保、保证保险）使用。采用保函的不再从工程进度款中扣留质量保证金，保函有效期须与工程缺陷责任期截止时间保持一致。</w:t>
            </w:r>
          </w:p>
        </w:tc>
      </w:tr>
      <w:tr w14:paraId="1717AE69">
        <w:tblPrEx>
          <w:tblCellMar>
            <w:top w:w="0" w:type="dxa"/>
            <w:left w:w="108" w:type="dxa"/>
            <w:bottom w:w="0" w:type="dxa"/>
            <w:right w:w="108" w:type="dxa"/>
          </w:tblCellMar>
        </w:tblPrEx>
        <w:trPr>
          <w:trHeight w:val="1130" w:hRule="atLeast"/>
          <w:jc w:val="center"/>
        </w:trPr>
        <w:tc>
          <w:tcPr>
            <w:tcW w:w="868" w:type="dxa"/>
            <w:tcBorders>
              <w:top w:val="single" w:color="auto" w:sz="4" w:space="0"/>
              <w:left w:val="single" w:color="auto" w:sz="4" w:space="0"/>
              <w:bottom w:val="single" w:color="auto" w:sz="4" w:space="0"/>
              <w:right w:val="single" w:color="auto" w:sz="4" w:space="0"/>
            </w:tcBorders>
            <w:noWrap/>
            <w:vAlign w:val="center"/>
          </w:tcPr>
          <w:p w14:paraId="14FFCA40">
            <w:pPr>
              <w:keepNext w:val="0"/>
              <w:keepLines w:val="0"/>
              <w:pageBreakBefore w:val="0"/>
              <w:kinsoku/>
              <w:wordWrap/>
              <w:overflowPunct/>
              <w:autoSpaceDN/>
              <w:bidi w:val="0"/>
              <w:spacing w:line="400" w:lineRule="exact"/>
              <w:jc w:val="center"/>
              <w:textAlignment w:val="auto"/>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34</w:t>
            </w:r>
          </w:p>
        </w:tc>
        <w:tc>
          <w:tcPr>
            <w:tcW w:w="2209" w:type="dxa"/>
            <w:gridSpan w:val="2"/>
            <w:tcBorders>
              <w:top w:val="single" w:color="auto" w:sz="4" w:space="0"/>
              <w:left w:val="single" w:color="auto" w:sz="4" w:space="0"/>
              <w:bottom w:val="single" w:color="auto" w:sz="4" w:space="0"/>
              <w:right w:val="single" w:color="auto" w:sz="4" w:space="0"/>
            </w:tcBorders>
            <w:noWrap/>
            <w:vAlign w:val="center"/>
          </w:tcPr>
          <w:p w14:paraId="79E6E11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jc w:val="center"/>
              <w:textAlignment w:val="auto"/>
              <w:rPr>
                <w:rFonts w:hint="eastAsia" w:ascii="宋体" w:hAnsi="宋体" w:eastAsia="宋体" w:cs="宋体"/>
                <w:b/>
                <w:bCs/>
                <w:color w:val="auto"/>
                <w:szCs w:val="21"/>
                <w:highlight w:val="none"/>
                <w:lang w:val="en-US" w:eastAsia="zh-CN"/>
              </w:rPr>
            </w:pPr>
            <w:r>
              <w:rPr>
                <w:rFonts w:hint="eastAsia" w:ascii="宋体" w:hAnsi="宋体" w:cs="宋体"/>
                <w:b/>
                <w:bCs/>
                <w:color w:val="auto"/>
                <w:szCs w:val="21"/>
                <w:highlight w:val="none"/>
                <w:lang w:val="en-US" w:eastAsia="zh-CN"/>
              </w:rPr>
              <w:t>总包服务费</w:t>
            </w:r>
          </w:p>
        </w:tc>
        <w:tc>
          <w:tcPr>
            <w:tcW w:w="7251" w:type="dxa"/>
            <w:tcBorders>
              <w:top w:val="single" w:color="auto" w:sz="4" w:space="0"/>
              <w:left w:val="single" w:color="auto" w:sz="4" w:space="0"/>
              <w:bottom w:val="single" w:color="auto" w:sz="4" w:space="0"/>
              <w:right w:val="single" w:color="auto" w:sz="4" w:space="0"/>
            </w:tcBorders>
            <w:noWrap/>
            <w:vAlign w:val="center"/>
          </w:tcPr>
          <w:p w14:paraId="4B2F89E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exact"/>
              <w:ind w:left="0" w:leftChars="0" w:right="0" w:rightChars="0"/>
              <w:jc w:val="both"/>
              <w:textAlignment w:val="auto"/>
              <w:rPr>
                <w:rFonts w:ascii="宋体" w:hAnsi="宋体" w:cs="宋体"/>
                <w:b/>
                <w:bCs/>
                <w:color w:val="auto"/>
                <w:szCs w:val="21"/>
                <w:highlight w:val="none"/>
              </w:rPr>
            </w:pPr>
            <w:r>
              <w:rPr>
                <w:rFonts w:hint="default" w:ascii="宋体" w:hAnsi="宋体" w:cs="宋体"/>
                <w:b/>
                <w:bCs/>
                <w:color w:val="auto"/>
                <w:szCs w:val="21"/>
                <w:highlight w:val="none"/>
                <w:lang w:val="en-US" w:eastAsia="zh-CN"/>
              </w:rPr>
              <w:t>本项目的中标单位向招标人支付</w:t>
            </w:r>
            <w:r>
              <w:rPr>
                <w:rFonts w:hint="eastAsia" w:ascii="宋体" w:hAnsi="宋体" w:cs="宋体"/>
                <w:b/>
                <w:bCs/>
                <w:color w:val="auto"/>
                <w:szCs w:val="21"/>
                <w:highlight w:val="none"/>
                <w:lang w:val="en-US" w:eastAsia="zh-CN"/>
              </w:rPr>
              <w:t>总包服务费：合同价款</w:t>
            </w:r>
            <w:r>
              <w:rPr>
                <w:rFonts w:hint="default" w:ascii="宋体" w:hAnsi="宋体" w:cs="宋体"/>
                <w:b/>
                <w:bCs/>
                <w:color w:val="auto"/>
                <w:szCs w:val="21"/>
                <w:highlight w:val="none"/>
                <w:lang w:val="en-US" w:eastAsia="zh-CN"/>
              </w:rPr>
              <w:t>的</w:t>
            </w:r>
            <w:r>
              <w:rPr>
                <w:rFonts w:hint="eastAsia" w:ascii="宋体" w:hAnsi="宋体" w:cs="宋体"/>
                <w:b/>
                <w:bCs/>
                <w:color w:val="auto"/>
                <w:szCs w:val="21"/>
                <w:highlight w:val="none"/>
                <w:lang w:val="en-US" w:eastAsia="zh-CN"/>
              </w:rPr>
              <w:t>3</w:t>
            </w:r>
            <w:r>
              <w:rPr>
                <w:rFonts w:hint="default" w:ascii="宋体" w:hAnsi="宋体" w:cs="宋体"/>
                <w:b/>
                <w:bCs/>
                <w:color w:val="auto"/>
                <w:szCs w:val="21"/>
                <w:highlight w:val="none"/>
                <w:lang w:val="en-US" w:eastAsia="zh-CN"/>
              </w:rPr>
              <w:t>%</w:t>
            </w:r>
            <w:r>
              <w:rPr>
                <w:rFonts w:hint="eastAsia" w:ascii="宋体" w:hAnsi="宋体" w:cs="宋体"/>
                <w:b/>
                <w:bCs/>
                <w:color w:val="auto"/>
                <w:szCs w:val="21"/>
                <w:highlight w:val="none"/>
                <w:lang w:val="en-US" w:eastAsia="zh-CN"/>
              </w:rPr>
              <w:t>，</w:t>
            </w:r>
            <w:r>
              <w:rPr>
                <w:rFonts w:hint="default" w:ascii="宋体" w:hAnsi="宋体" w:cs="宋体"/>
                <w:b/>
                <w:bCs/>
                <w:color w:val="auto"/>
                <w:szCs w:val="21"/>
                <w:highlight w:val="none"/>
                <w:lang w:val="en-US" w:eastAsia="zh-CN"/>
              </w:rPr>
              <w:t>中标单位进场时一次性付清</w:t>
            </w:r>
            <w:r>
              <w:rPr>
                <w:rFonts w:hint="eastAsia" w:ascii="宋体" w:hAnsi="宋体" w:cs="宋体"/>
                <w:b/>
                <w:bCs/>
                <w:color w:val="auto"/>
                <w:szCs w:val="21"/>
                <w:highlight w:val="none"/>
                <w:lang w:val="en-US" w:eastAsia="zh-CN"/>
              </w:rPr>
              <w:t>总包服务费</w:t>
            </w:r>
            <w:r>
              <w:rPr>
                <w:rFonts w:hint="default" w:ascii="宋体" w:hAnsi="宋体" w:cs="宋体"/>
                <w:b/>
                <w:bCs/>
                <w:color w:val="auto"/>
                <w:szCs w:val="21"/>
                <w:highlight w:val="none"/>
                <w:lang w:val="en-US" w:eastAsia="zh-CN"/>
              </w:rPr>
              <w:t>。</w:t>
            </w:r>
            <w:r>
              <w:rPr>
                <w:rFonts w:hint="eastAsia" w:ascii="宋体" w:hAnsi="宋体" w:cs="宋体"/>
                <w:b/>
                <w:bCs/>
                <w:color w:val="auto"/>
                <w:szCs w:val="21"/>
                <w:highlight w:val="none"/>
                <w:lang w:val="en-US" w:eastAsia="zh-CN"/>
              </w:rPr>
              <w:t>此费用含在投标报价中，投标人在投标报价让利中考虑上述费用。</w:t>
            </w:r>
          </w:p>
        </w:tc>
      </w:tr>
      <w:tr w14:paraId="7129CE18">
        <w:tblPrEx>
          <w:tblCellMar>
            <w:top w:w="0" w:type="dxa"/>
            <w:left w:w="108" w:type="dxa"/>
            <w:bottom w:w="0" w:type="dxa"/>
            <w:right w:w="108" w:type="dxa"/>
          </w:tblCellMar>
        </w:tblPrEx>
        <w:trPr>
          <w:trHeight w:val="90" w:hRule="atLeast"/>
          <w:jc w:val="center"/>
        </w:trPr>
        <w:tc>
          <w:tcPr>
            <w:tcW w:w="10328" w:type="dxa"/>
            <w:gridSpan w:val="4"/>
            <w:tcBorders>
              <w:top w:val="single" w:color="auto" w:sz="4" w:space="0"/>
              <w:left w:val="single" w:color="auto" w:sz="4" w:space="0"/>
              <w:bottom w:val="single" w:color="auto" w:sz="4" w:space="0"/>
              <w:right w:val="single" w:color="auto" w:sz="4" w:space="0"/>
            </w:tcBorders>
            <w:noWrap/>
            <w:vAlign w:val="center"/>
          </w:tcPr>
          <w:p w14:paraId="3E3A6409">
            <w:pPr>
              <w:keepNext w:val="0"/>
              <w:keepLines w:val="0"/>
              <w:pageBreakBefore w:val="0"/>
              <w:kinsoku/>
              <w:wordWrap/>
              <w:overflowPunct/>
              <w:autoSpaceDN/>
              <w:bidi w:val="0"/>
              <w:spacing w:line="400" w:lineRule="exact"/>
              <w:jc w:val="center"/>
              <w:textAlignment w:val="auto"/>
              <w:rPr>
                <w:rFonts w:ascii="宋体" w:hAnsi="宋体" w:cs="宋体"/>
                <w:color w:val="auto"/>
                <w:szCs w:val="21"/>
                <w:highlight w:val="none"/>
              </w:rPr>
            </w:pPr>
            <w:r>
              <w:rPr>
                <w:rFonts w:hint="eastAsia" w:ascii="宋体" w:hAnsi="宋体" w:cs="宋体"/>
                <w:color w:val="auto"/>
                <w:szCs w:val="21"/>
                <w:highlight w:val="none"/>
              </w:rPr>
              <w:t>需要补充的其他内容</w:t>
            </w:r>
          </w:p>
        </w:tc>
      </w:tr>
      <w:tr w14:paraId="2AA9094C">
        <w:tblPrEx>
          <w:tblCellMar>
            <w:top w:w="0" w:type="dxa"/>
            <w:left w:w="108" w:type="dxa"/>
            <w:bottom w:w="0" w:type="dxa"/>
            <w:right w:w="108" w:type="dxa"/>
          </w:tblCellMar>
        </w:tblPrEx>
        <w:trPr>
          <w:jc w:val="center"/>
        </w:trPr>
        <w:tc>
          <w:tcPr>
            <w:tcW w:w="1778" w:type="dxa"/>
            <w:gridSpan w:val="2"/>
            <w:tcBorders>
              <w:top w:val="single" w:color="auto" w:sz="4" w:space="0"/>
              <w:left w:val="single" w:color="auto" w:sz="4" w:space="0"/>
              <w:bottom w:val="single" w:color="auto" w:sz="4" w:space="0"/>
              <w:right w:val="single" w:color="auto" w:sz="4" w:space="0"/>
            </w:tcBorders>
            <w:noWrap/>
            <w:vAlign w:val="center"/>
          </w:tcPr>
          <w:p w14:paraId="11490EC4">
            <w:pPr>
              <w:keepNext w:val="0"/>
              <w:keepLines w:val="0"/>
              <w:pageBreakBefore w:val="0"/>
              <w:kinsoku/>
              <w:wordWrap/>
              <w:overflowPunct/>
              <w:autoSpaceDN/>
              <w:bidi w:val="0"/>
              <w:adjustRightInd w:val="0"/>
              <w:snapToGrid w:val="0"/>
              <w:spacing w:line="400" w:lineRule="exact"/>
              <w:jc w:val="center"/>
              <w:textAlignment w:val="auto"/>
              <w:rPr>
                <w:rFonts w:ascii="宋体" w:hAnsi="宋体" w:cs="宋体"/>
                <w:color w:val="auto"/>
                <w:szCs w:val="21"/>
                <w:highlight w:val="none"/>
              </w:rPr>
            </w:pPr>
            <w:r>
              <w:rPr>
                <w:rFonts w:hint="eastAsia" w:ascii="宋体" w:hAnsi="宋体" w:cs="宋体"/>
                <w:color w:val="auto"/>
                <w:sz w:val="21"/>
                <w:szCs w:val="21"/>
                <w:highlight w:val="none"/>
              </w:rPr>
              <w:t>招标代理服务费</w:t>
            </w:r>
          </w:p>
        </w:tc>
        <w:tc>
          <w:tcPr>
            <w:tcW w:w="8550" w:type="dxa"/>
            <w:gridSpan w:val="2"/>
            <w:tcBorders>
              <w:top w:val="single" w:color="auto" w:sz="4" w:space="0"/>
              <w:left w:val="single" w:color="auto" w:sz="4" w:space="0"/>
              <w:bottom w:val="single" w:color="auto" w:sz="4" w:space="0"/>
              <w:right w:val="single" w:color="auto" w:sz="4" w:space="0"/>
            </w:tcBorders>
            <w:noWrap/>
            <w:vAlign w:val="center"/>
          </w:tcPr>
          <w:p w14:paraId="42B12792">
            <w:pPr>
              <w:keepNext w:val="0"/>
              <w:keepLines w:val="0"/>
              <w:pageBreakBefore w:val="0"/>
              <w:kinsoku/>
              <w:wordWrap/>
              <w:overflowPunct/>
              <w:topLinePunct w:val="0"/>
              <w:autoSpaceDE/>
              <w:autoSpaceDN/>
              <w:bidi w:val="0"/>
              <w:adjustRightInd/>
              <w:snapToGrid/>
              <w:spacing w:line="400" w:lineRule="exact"/>
              <w:textAlignment w:val="auto"/>
              <w:rPr>
                <w:rFonts w:ascii="宋体" w:hAnsi="宋体" w:cs="宋体"/>
                <w:color w:val="auto"/>
                <w:kern w:val="0"/>
                <w:szCs w:val="21"/>
                <w:highlight w:val="none"/>
              </w:rPr>
            </w:pPr>
            <w:r>
              <w:rPr>
                <w:rFonts w:hint="eastAsia" w:ascii="宋体" w:hAnsi="宋体" w:cs="宋体"/>
                <w:color w:val="auto"/>
                <w:kern w:val="0"/>
                <w:szCs w:val="21"/>
                <w:highlight w:val="none"/>
              </w:rPr>
              <w:t>代理服务具体金额：</w:t>
            </w:r>
            <w:r>
              <w:rPr>
                <w:rFonts w:hint="eastAsia" w:ascii="宋体" w:hAnsi="宋体" w:cs="宋体"/>
                <w:color w:val="auto"/>
                <w:kern w:val="0"/>
                <w:szCs w:val="21"/>
                <w:highlight w:val="none"/>
                <w:lang w:val="en-US" w:eastAsia="zh-CN"/>
              </w:rPr>
              <w:t>8150</w:t>
            </w:r>
            <w:r>
              <w:rPr>
                <w:rFonts w:hint="eastAsia" w:ascii="宋体" w:hAnsi="宋体" w:cs="宋体"/>
                <w:color w:val="auto"/>
                <w:kern w:val="0"/>
                <w:szCs w:val="21"/>
                <w:highlight w:val="none"/>
              </w:rPr>
              <w:t>元。</w:t>
            </w:r>
          </w:p>
          <w:p w14:paraId="7550C2A5">
            <w:pPr>
              <w:keepNext w:val="0"/>
              <w:keepLines w:val="0"/>
              <w:pageBreakBefore w:val="0"/>
              <w:kinsoku/>
              <w:wordWrap/>
              <w:overflowPunct/>
              <w:topLinePunct w:val="0"/>
              <w:autoSpaceDE/>
              <w:autoSpaceDN/>
              <w:bidi w:val="0"/>
              <w:adjustRightInd/>
              <w:snapToGrid/>
              <w:spacing w:line="400" w:lineRule="exact"/>
              <w:textAlignment w:val="auto"/>
              <w:rPr>
                <w:rFonts w:ascii="宋体" w:hAnsi="宋体" w:cs="宋体"/>
                <w:color w:val="auto"/>
                <w:szCs w:val="21"/>
                <w:highlight w:val="none"/>
              </w:rPr>
            </w:pPr>
            <w:r>
              <w:rPr>
                <w:rFonts w:hint="eastAsia" w:ascii="宋体" w:hAnsi="宋体" w:cs="宋体"/>
                <w:color w:val="auto"/>
                <w:kern w:val="0"/>
                <w:szCs w:val="21"/>
                <w:highlight w:val="none"/>
              </w:rPr>
              <w:t>代理服务费支付主体</w:t>
            </w:r>
            <w:r>
              <w:rPr>
                <w:rFonts w:hint="eastAsia" w:ascii="宋体" w:hAnsi="宋体" w:cs="宋体"/>
                <w:color w:val="auto"/>
                <w:szCs w:val="21"/>
                <w:highlight w:val="none"/>
              </w:rPr>
              <w:t>：</w:t>
            </w:r>
            <w:r>
              <w:rPr>
                <w:rFonts w:hint="eastAsia" w:ascii="宋体" w:hAnsi="宋体" w:cs="宋体"/>
                <w:color w:val="auto"/>
                <w:kern w:val="0"/>
                <w:szCs w:val="21"/>
                <w:highlight w:val="none"/>
              </w:rPr>
              <w:t>由中标单位在领取中标通知书时，一次性支付给代理机构。</w:t>
            </w:r>
          </w:p>
        </w:tc>
      </w:tr>
      <w:tr w14:paraId="0E8F1554">
        <w:tblPrEx>
          <w:tblCellMar>
            <w:top w:w="0" w:type="dxa"/>
            <w:left w:w="108" w:type="dxa"/>
            <w:bottom w:w="0" w:type="dxa"/>
            <w:right w:w="108" w:type="dxa"/>
          </w:tblCellMar>
        </w:tblPrEx>
        <w:trPr>
          <w:jc w:val="center"/>
        </w:trPr>
        <w:tc>
          <w:tcPr>
            <w:tcW w:w="1778" w:type="dxa"/>
            <w:gridSpan w:val="2"/>
            <w:tcBorders>
              <w:top w:val="single" w:color="auto" w:sz="4" w:space="0"/>
              <w:left w:val="single" w:color="auto" w:sz="4" w:space="0"/>
              <w:bottom w:val="single" w:color="auto" w:sz="4" w:space="0"/>
              <w:right w:val="single" w:color="auto" w:sz="4" w:space="0"/>
            </w:tcBorders>
            <w:noWrap/>
            <w:vAlign w:val="center"/>
          </w:tcPr>
          <w:p w14:paraId="0B3101E2">
            <w:pPr>
              <w:keepNext w:val="0"/>
              <w:keepLines w:val="0"/>
              <w:pageBreakBefore w:val="0"/>
              <w:kinsoku/>
              <w:wordWrap/>
              <w:overflowPunct/>
              <w:autoSpaceDN/>
              <w:bidi w:val="0"/>
              <w:adjustRightInd w:val="0"/>
              <w:snapToGrid w:val="0"/>
              <w:spacing w:line="400" w:lineRule="exact"/>
              <w:jc w:val="center"/>
              <w:textAlignment w:val="auto"/>
              <w:rPr>
                <w:rFonts w:hint="eastAsia" w:ascii="宋体" w:hAnsi="宋体" w:cs="宋体"/>
                <w:color w:val="auto"/>
                <w:szCs w:val="21"/>
                <w:highlight w:val="none"/>
              </w:rPr>
            </w:pPr>
            <w:r>
              <w:rPr>
                <w:rFonts w:hint="eastAsia" w:ascii="宋体" w:hAnsi="宋体" w:cs="宋体"/>
                <w:color w:val="auto"/>
                <w:sz w:val="21"/>
                <w:szCs w:val="21"/>
                <w:highlight w:val="none"/>
              </w:rPr>
              <w:t>专家评审劳务费</w:t>
            </w:r>
          </w:p>
        </w:tc>
        <w:tc>
          <w:tcPr>
            <w:tcW w:w="8550" w:type="dxa"/>
            <w:gridSpan w:val="2"/>
            <w:tcBorders>
              <w:top w:val="single" w:color="auto" w:sz="4" w:space="0"/>
              <w:left w:val="single" w:color="auto" w:sz="4" w:space="0"/>
              <w:bottom w:val="single" w:color="auto" w:sz="4" w:space="0"/>
              <w:right w:val="single" w:color="auto" w:sz="4" w:space="0"/>
            </w:tcBorders>
            <w:noWrap/>
            <w:vAlign w:val="center"/>
          </w:tcPr>
          <w:p w14:paraId="4F5FAE4A">
            <w:pPr>
              <w:keepNext w:val="0"/>
              <w:keepLines w:val="0"/>
              <w:pageBreakBefore w:val="0"/>
              <w:kinsoku/>
              <w:wordWrap/>
              <w:overflowPunct/>
              <w:autoSpaceDN/>
              <w:bidi w:val="0"/>
              <w:adjustRightInd w:val="0"/>
              <w:snapToGrid w:val="0"/>
              <w:spacing w:line="400" w:lineRule="exact"/>
              <w:textAlignment w:val="auto"/>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rPr>
              <w:t>费用或支付标准：</w:t>
            </w:r>
            <w:r>
              <w:rPr>
                <w:rFonts w:hint="eastAsia" w:ascii="宋体" w:hAnsi="宋体" w:cs="宋体"/>
                <w:color w:val="auto"/>
                <w:sz w:val="21"/>
                <w:szCs w:val="21"/>
                <w:highlight w:val="none"/>
                <w:lang w:val="en-US" w:eastAsia="zh-CN"/>
              </w:rPr>
              <w:t>以实际发生为准。</w:t>
            </w:r>
          </w:p>
          <w:p w14:paraId="0376B137">
            <w:pPr>
              <w:keepNext w:val="0"/>
              <w:keepLines w:val="0"/>
              <w:pageBreakBefore w:val="0"/>
              <w:kinsoku/>
              <w:wordWrap/>
              <w:overflowPunct/>
              <w:topLinePunct w:val="0"/>
              <w:autoSpaceDE/>
              <w:autoSpaceDN/>
              <w:bidi w:val="0"/>
              <w:adjustRightInd/>
              <w:snapToGrid/>
              <w:spacing w:line="400" w:lineRule="exact"/>
              <w:textAlignment w:val="auto"/>
              <w:rPr>
                <w:rFonts w:hint="default" w:ascii="宋体" w:hAnsi="宋体" w:cs="宋体"/>
                <w:color w:val="auto"/>
                <w:kern w:val="0"/>
                <w:szCs w:val="21"/>
                <w:highlight w:val="none"/>
                <w:lang w:val="en-US"/>
              </w:rPr>
            </w:pPr>
            <w:r>
              <w:rPr>
                <w:rFonts w:hint="eastAsia"/>
                <w:color w:val="auto"/>
                <w:sz w:val="21"/>
                <w:szCs w:val="21"/>
                <w:highlight w:val="none"/>
              </w:rPr>
              <w:t>支付主体：</w:t>
            </w:r>
            <w:r>
              <w:rPr>
                <w:rFonts w:hint="eastAsia" w:cs="Times New Roman"/>
                <w:color w:val="auto"/>
                <w:sz w:val="21"/>
                <w:szCs w:val="21"/>
                <w:highlight w:val="none"/>
                <w:lang w:val="en-US" w:eastAsia="zh-CN"/>
              </w:rPr>
              <w:t>中标单位。</w:t>
            </w:r>
          </w:p>
        </w:tc>
      </w:tr>
      <w:tr w14:paraId="0533584B">
        <w:tblPrEx>
          <w:tblCellMar>
            <w:top w:w="0" w:type="dxa"/>
            <w:left w:w="108" w:type="dxa"/>
            <w:bottom w:w="0" w:type="dxa"/>
            <w:right w:w="108" w:type="dxa"/>
          </w:tblCellMar>
        </w:tblPrEx>
        <w:trPr>
          <w:jc w:val="center"/>
        </w:trPr>
        <w:tc>
          <w:tcPr>
            <w:tcW w:w="1778" w:type="dxa"/>
            <w:gridSpan w:val="2"/>
            <w:tcBorders>
              <w:top w:val="single" w:color="auto" w:sz="4" w:space="0"/>
              <w:left w:val="single" w:color="auto" w:sz="4" w:space="0"/>
              <w:bottom w:val="single" w:color="auto" w:sz="4" w:space="0"/>
              <w:right w:val="single" w:color="auto" w:sz="4" w:space="0"/>
            </w:tcBorders>
            <w:noWrap/>
            <w:vAlign w:val="center"/>
          </w:tcPr>
          <w:p w14:paraId="5C774CFE">
            <w:pPr>
              <w:keepNext w:val="0"/>
              <w:keepLines w:val="0"/>
              <w:pageBreakBefore w:val="0"/>
              <w:kinsoku/>
              <w:wordWrap/>
              <w:overflowPunct/>
              <w:autoSpaceDN/>
              <w:bidi w:val="0"/>
              <w:adjustRightInd w:val="0"/>
              <w:snapToGrid w:val="0"/>
              <w:spacing w:line="400" w:lineRule="exact"/>
              <w:jc w:val="center"/>
              <w:textAlignment w:val="auto"/>
              <w:rPr>
                <w:rFonts w:hint="eastAsia" w:ascii="宋体" w:hAnsi="宋体" w:cs="宋体"/>
                <w:color w:val="auto"/>
                <w:sz w:val="21"/>
                <w:szCs w:val="21"/>
                <w:highlight w:val="none"/>
              </w:rPr>
            </w:pPr>
            <w:r>
              <w:rPr>
                <w:rFonts w:hint="eastAsia" w:ascii="宋体" w:hAnsi="宋体" w:eastAsia="宋体" w:cs="宋体"/>
                <w:color w:val="auto"/>
                <w:sz w:val="21"/>
                <w:szCs w:val="21"/>
                <w:highlight w:val="none"/>
              </w:rPr>
              <w:t>主要材料要求</w:t>
            </w:r>
          </w:p>
        </w:tc>
        <w:tc>
          <w:tcPr>
            <w:tcW w:w="8550" w:type="dxa"/>
            <w:gridSpan w:val="2"/>
            <w:tcBorders>
              <w:top w:val="single" w:color="auto" w:sz="4" w:space="0"/>
              <w:left w:val="single" w:color="auto" w:sz="4" w:space="0"/>
              <w:bottom w:val="single" w:color="auto" w:sz="4" w:space="0"/>
              <w:right w:val="single" w:color="auto" w:sz="4" w:space="0"/>
            </w:tcBorders>
            <w:noWrap/>
            <w:vAlign w:val="center"/>
          </w:tcPr>
          <w:p w14:paraId="5BE80A5B">
            <w:pPr>
              <w:keepNext w:val="0"/>
              <w:keepLines w:val="0"/>
              <w:pageBreakBefore w:val="0"/>
              <w:kinsoku/>
              <w:wordWrap/>
              <w:overflowPunct/>
              <w:autoSpaceDN/>
              <w:bidi w:val="0"/>
              <w:adjustRightInd w:val="0"/>
              <w:snapToGrid w:val="0"/>
              <w:spacing w:line="400" w:lineRule="exact"/>
              <w:textAlignment w:val="auto"/>
              <w:rPr>
                <w:rFonts w:hint="eastAsia" w:ascii="宋体" w:hAnsi="宋体" w:eastAsia="宋体" w:cs="宋体"/>
                <w:color w:val="auto"/>
                <w:sz w:val="21"/>
                <w:szCs w:val="21"/>
                <w:highlight w:val="none"/>
                <w:lang w:val="en-US"/>
              </w:rPr>
            </w:pPr>
            <w:r>
              <w:rPr>
                <w:rFonts w:hint="eastAsia" w:ascii="宋体" w:hAnsi="宋体" w:cs="宋体"/>
                <w:color w:val="auto"/>
                <w:sz w:val="21"/>
                <w:szCs w:val="21"/>
                <w:highlight w:val="none"/>
                <w:lang w:val="en-US" w:eastAsia="zh-CN"/>
              </w:rPr>
              <w:t>主要</w:t>
            </w:r>
            <w:r>
              <w:rPr>
                <w:rFonts w:hint="eastAsia" w:ascii="宋体" w:hAnsi="宋体" w:eastAsia="宋体" w:cs="宋体"/>
                <w:color w:val="auto"/>
                <w:sz w:val="21"/>
                <w:szCs w:val="21"/>
                <w:highlight w:val="none"/>
                <w:lang w:val="en-US"/>
              </w:rPr>
              <w:t>材料由中标人自行采购</w:t>
            </w:r>
            <w:r>
              <w:rPr>
                <w:rFonts w:hint="eastAsia" w:ascii="宋体" w:hAnsi="宋体" w:cs="宋体"/>
                <w:bCs/>
                <w:color w:val="auto"/>
                <w:szCs w:val="21"/>
                <w:highlight w:val="none"/>
                <w:lang w:val="en-US" w:eastAsia="zh-CN"/>
              </w:rPr>
              <w:t>：</w:t>
            </w:r>
          </w:p>
          <w:p w14:paraId="0C7E66E0">
            <w:pPr>
              <w:keepNext w:val="0"/>
              <w:keepLines w:val="0"/>
              <w:pageBreakBefore w:val="0"/>
              <w:kinsoku/>
              <w:wordWrap/>
              <w:overflowPunct/>
              <w:autoSpaceDN/>
              <w:bidi w:val="0"/>
              <w:adjustRightInd w:val="0"/>
              <w:snapToGrid w:val="0"/>
              <w:spacing w:line="400" w:lineRule="exact"/>
              <w:textAlignment w:val="auto"/>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val="en-US"/>
              </w:rPr>
              <w:t>1、本工程采用商品砼。</w:t>
            </w:r>
          </w:p>
          <w:p w14:paraId="4F62A9D2">
            <w:pPr>
              <w:keepNext w:val="0"/>
              <w:keepLines w:val="0"/>
              <w:pageBreakBefore w:val="0"/>
              <w:kinsoku/>
              <w:wordWrap/>
              <w:overflowPunct/>
              <w:autoSpaceDN/>
              <w:bidi w:val="0"/>
              <w:adjustRightInd w:val="0"/>
              <w:snapToGrid w:val="0"/>
              <w:spacing w:line="400" w:lineRule="exact"/>
              <w:textAlignment w:val="auto"/>
              <w:rPr>
                <w:rFonts w:hint="eastAsia"/>
                <w:color w:val="auto"/>
                <w:sz w:val="21"/>
                <w:szCs w:val="21"/>
                <w:highlight w:val="none"/>
              </w:rPr>
            </w:pPr>
            <w:r>
              <w:rPr>
                <w:rFonts w:hint="eastAsia" w:ascii="宋体" w:hAnsi="宋体" w:eastAsia="宋体" w:cs="宋体"/>
                <w:color w:val="auto"/>
                <w:sz w:val="21"/>
                <w:szCs w:val="21"/>
                <w:highlight w:val="none"/>
                <w:lang w:val="en-US"/>
              </w:rPr>
              <w:t>2、本项目采用预拌砂浆。</w:t>
            </w:r>
          </w:p>
        </w:tc>
      </w:tr>
      <w:tr w14:paraId="48F0B8EE">
        <w:tblPrEx>
          <w:tblCellMar>
            <w:top w:w="0" w:type="dxa"/>
            <w:left w:w="108" w:type="dxa"/>
            <w:bottom w:w="0" w:type="dxa"/>
            <w:right w:w="108" w:type="dxa"/>
          </w:tblCellMar>
        </w:tblPrEx>
        <w:trPr>
          <w:jc w:val="center"/>
        </w:trPr>
        <w:tc>
          <w:tcPr>
            <w:tcW w:w="1778" w:type="dxa"/>
            <w:gridSpan w:val="2"/>
            <w:tcBorders>
              <w:top w:val="single" w:color="auto" w:sz="4" w:space="0"/>
              <w:left w:val="single" w:color="auto" w:sz="4" w:space="0"/>
              <w:bottom w:val="single" w:color="auto" w:sz="4" w:space="0"/>
              <w:right w:val="single" w:color="auto" w:sz="4" w:space="0"/>
            </w:tcBorders>
            <w:noWrap/>
            <w:vAlign w:val="center"/>
          </w:tcPr>
          <w:p w14:paraId="7F2E766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center"/>
              <w:textAlignment w:val="auto"/>
              <w:rPr>
                <w:rFonts w:hint="eastAsia" w:ascii="宋体" w:hAnsi="宋体" w:eastAsia="宋体" w:cs="宋体"/>
                <w:color w:val="auto"/>
                <w:szCs w:val="21"/>
                <w:highlight w:val="none"/>
              </w:rPr>
            </w:pPr>
            <w:r>
              <w:rPr>
                <w:rFonts w:hint="eastAsia" w:ascii="宋体" w:hAnsi="Times New Roman" w:eastAsia="宋体" w:cs="Times New Roman"/>
                <w:color w:val="auto"/>
                <w:sz w:val="21"/>
                <w:szCs w:val="21"/>
                <w:highlight w:val="none"/>
              </w:rPr>
              <w:t>解释权</w:t>
            </w:r>
          </w:p>
        </w:tc>
        <w:tc>
          <w:tcPr>
            <w:tcW w:w="8550" w:type="dxa"/>
            <w:gridSpan w:val="2"/>
            <w:tcBorders>
              <w:top w:val="single" w:color="auto" w:sz="4" w:space="0"/>
              <w:left w:val="single" w:color="auto" w:sz="4" w:space="0"/>
              <w:bottom w:val="single" w:color="auto" w:sz="4" w:space="0"/>
              <w:right w:val="single" w:color="auto" w:sz="4" w:space="0"/>
            </w:tcBorders>
            <w:noWrap/>
            <w:vAlign w:val="center"/>
          </w:tcPr>
          <w:p w14:paraId="51A2456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宋体" w:hAnsi="Times New Roman" w:eastAsia="宋体" w:cs="Times New Roman"/>
                <w:color w:val="auto"/>
                <w:sz w:val="21"/>
                <w:szCs w:val="21"/>
                <w:highlight w:val="none"/>
              </w:rPr>
            </w:pPr>
            <w:r>
              <w:rPr>
                <w:rFonts w:hint="eastAsia" w:ascii="宋体" w:hAnsi="Times New Roman" w:eastAsia="宋体" w:cs="Times New Roman"/>
                <w:color w:val="auto"/>
                <w:sz w:val="21"/>
                <w:szCs w:val="21"/>
                <w:highlight w:val="none"/>
              </w:rPr>
              <w:t>1、构成本招标文件的各个组成文件应互为解释，互为说明；</w:t>
            </w:r>
          </w:p>
          <w:p w14:paraId="5ED4FDC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宋体" w:hAnsi="Times New Roman" w:eastAsia="宋体" w:cs="Times New Roman"/>
                <w:color w:val="auto"/>
                <w:sz w:val="21"/>
                <w:szCs w:val="21"/>
                <w:highlight w:val="none"/>
              </w:rPr>
            </w:pPr>
            <w:r>
              <w:rPr>
                <w:rFonts w:hint="eastAsia" w:ascii="宋体" w:hAnsi="Times New Roman" w:eastAsia="宋体" w:cs="Times New Roman"/>
                <w:color w:val="auto"/>
                <w:sz w:val="21"/>
                <w:szCs w:val="21"/>
                <w:highlight w:val="none"/>
              </w:rPr>
              <w:t>2、同一组成文件中就同一事项的规定或约定不一致的，以编排顺序在后者为准；</w:t>
            </w:r>
          </w:p>
          <w:p w14:paraId="7B0A508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宋体" w:hAnsi="Times New Roman" w:eastAsia="宋体" w:cs="Times New Roman"/>
                <w:color w:val="auto"/>
                <w:sz w:val="21"/>
                <w:szCs w:val="21"/>
                <w:highlight w:val="none"/>
              </w:rPr>
            </w:pPr>
            <w:r>
              <w:rPr>
                <w:rFonts w:hint="eastAsia" w:ascii="宋体" w:hAnsi="Times New Roman" w:eastAsia="宋体" w:cs="Times New Roman"/>
                <w:color w:val="auto"/>
                <w:sz w:val="21"/>
                <w:szCs w:val="21"/>
                <w:highlight w:val="none"/>
              </w:rPr>
              <w:t>3、如有不明确或不一致，构成合同文件组成内容的，以合同文件约定内容为准，且以专用合同条款约定的合同文件优先顺序解释；</w:t>
            </w:r>
          </w:p>
          <w:p w14:paraId="0D3ADB6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left"/>
              <w:textAlignment w:val="auto"/>
              <w:rPr>
                <w:rFonts w:hint="eastAsia" w:ascii="宋体" w:hAnsi="宋体" w:cs="宋体"/>
                <w:color w:val="auto"/>
                <w:szCs w:val="21"/>
                <w:highlight w:val="none"/>
                <w:lang w:val="en-US" w:eastAsia="zh-CN"/>
              </w:rPr>
            </w:pPr>
            <w:r>
              <w:rPr>
                <w:rFonts w:hint="eastAsia" w:ascii="宋体" w:hAnsi="Times New Roman" w:eastAsia="宋体" w:cs="Times New Roman"/>
                <w:color w:val="auto"/>
                <w:sz w:val="21"/>
                <w:szCs w:val="21"/>
                <w:highlight w:val="none"/>
                <w:lang w:val="en-US" w:eastAsia="zh-CN"/>
              </w:rPr>
              <w:t>4</w:t>
            </w:r>
            <w:r>
              <w:rPr>
                <w:rFonts w:hint="eastAsia" w:ascii="宋体" w:hAnsi="Times New Roman" w:eastAsia="宋体" w:cs="Times New Roman"/>
                <w:color w:val="auto"/>
                <w:sz w:val="21"/>
                <w:szCs w:val="21"/>
                <w:highlight w:val="none"/>
              </w:rPr>
              <w:t>、按本款前述规定仍不能形成结论的，由招标人负责解释。</w:t>
            </w:r>
          </w:p>
        </w:tc>
      </w:tr>
      <w:tr w14:paraId="2FCA490E">
        <w:tblPrEx>
          <w:tblCellMar>
            <w:top w:w="0" w:type="dxa"/>
            <w:left w:w="108" w:type="dxa"/>
            <w:bottom w:w="0" w:type="dxa"/>
            <w:right w:w="108" w:type="dxa"/>
          </w:tblCellMar>
        </w:tblPrEx>
        <w:trPr>
          <w:jc w:val="center"/>
        </w:trPr>
        <w:tc>
          <w:tcPr>
            <w:tcW w:w="1778" w:type="dxa"/>
            <w:gridSpan w:val="2"/>
            <w:tcBorders>
              <w:top w:val="single" w:color="auto" w:sz="4" w:space="0"/>
              <w:left w:val="single" w:color="auto" w:sz="4" w:space="0"/>
              <w:bottom w:val="single" w:color="auto" w:sz="4" w:space="0"/>
              <w:right w:val="single" w:color="auto" w:sz="4" w:space="0"/>
            </w:tcBorders>
            <w:noWrap/>
            <w:vAlign w:val="center"/>
          </w:tcPr>
          <w:p w14:paraId="65FC732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center"/>
              <w:textAlignment w:val="auto"/>
              <w:rPr>
                <w:rFonts w:hint="eastAsia" w:ascii="宋体" w:hAnsi="宋体" w:eastAsia="宋体" w:cs="宋体"/>
                <w:color w:val="auto"/>
                <w:szCs w:val="21"/>
                <w:highlight w:val="none"/>
              </w:rPr>
            </w:pPr>
            <w:r>
              <w:rPr>
                <w:rFonts w:hint="eastAsia" w:ascii="宋体" w:hAnsi="Times New Roman" w:eastAsia="宋体" w:cs="Times New Roman"/>
                <w:color w:val="auto"/>
                <w:sz w:val="21"/>
                <w:szCs w:val="21"/>
                <w:highlight w:val="none"/>
              </w:rPr>
              <w:t>同义词语</w:t>
            </w:r>
          </w:p>
        </w:tc>
        <w:tc>
          <w:tcPr>
            <w:tcW w:w="8550" w:type="dxa"/>
            <w:gridSpan w:val="2"/>
            <w:tcBorders>
              <w:top w:val="single" w:color="auto" w:sz="4" w:space="0"/>
              <w:left w:val="single" w:color="auto" w:sz="4" w:space="0"/>
              <w:bottom w:val="single" w:color="auto" w:sz="4" w:space="0"/>
              <w:right w:val="single" w:color="auto" w:sz="4" w:space="0"/>
            </w:tcBorders>
            <w:noWrap/>
            <w:vAlign w:val="center"/>
          </w:tcPr>
          <w:p w14:paraId="3E729A2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left"/>
              <w:textAlignment w:val="auto"/>
              <w:rPr>
                <w:rFonts w:hint="eastAsia" w:ascii="宋体" w:hAnsi="宋体" w:cs="宋体"/>
                <w:color w:val="auto"/>
                <w:szCs w:val="21"/>
                <w:highlight w:val="none"/>
                <w:lang w:val="en-US" w:eastAsia="zh-CN"/>
              </w:rPr>
            </w:pPr>
            <w:r>
              <w:rPr>
                <w:rFonts w:hint="eastAsia" w:ascii="宋体" w:hAnsi="Times New Roman" w:eastAsia="宋体" w:cs="Times New Roman"/>
                <w:color w:val="auto"/>
                <w:sz w:val="21"/>
                <w:szCs w:val="21"/>
                <w:highlight w:val="none"/>
              </w:rPr>
              <w:t>构成招标文件组成部分的“通用合同条款”、“专用合同条款”、“技术标准和要求”等章节中 “发包人”和“承包人”，等同于招标投标阶段的“招标人”和“投标人/中标人”。</w:t>
            </w:r>
          </w:p>
        </w:tc>
      </w:tr>
      <w:tr w14:paraId="28675B89">
        <w:tblPrEx>
          <w:tblCellMar>
            <w:top w:w="0" w:type="dxa"/>
            <w:left w:w="108" w:type="dxa"/>
            <w:bottom w:w="0" w:type="dxa"/>
            <w:right w:w="108" w:type="dxa"/>
          </w:tblCellMar>
        </w:tblPrEx>
        <w:trPr>
          <w:jc w:val="center"/>
        </w:trPr>
        <w:tc>
          <w:tcPr>
            <w:tcW w:w="1778" w:type="dxa"/>
            <w:gridSpan w:val="2"/>
            <w:tcBorders>
              <w:top w:val="single" w:color="auto" w:sz="4" w:space="0"/>
              <w:left w:val="single" w:color="auto" w:sz="4" w:space="0"/>
              <w:bottom w:val="single" w:color="auto" w:sz="4" w:space="0"/>
              <w:right w:val="single" w:color="auto" w:sz="4" w:space="0"/>
            </w:tcBorders>
            <w:noWrap/>
            <w:vAlign w:val="center"/>
          </w:tcPr>
          <w:p w14:paraId="0EF7C88F">
            <w:pPr>
              <w:keepNext w:val="0"/>
              <w:keepLines w:val="0"/>
              <w:pageBreakBefore w:val="0"/>
              <w:kinsoku/>
              <w:wordWrap/>
              <w:overflowPunct/>
              <w:autoSpaceDN/>
              <w:bidi w:val="0"/>
              <w:spacing w:line="400" w:lineRule="exact"/>
              <w:jc w:val="center"/>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其他</w:t>
            </w:r>
          </w:p>
        </w:tc>
        <w:tc>
          <w:tcPr>
            <w:tcW w:w="8550" w:type="dxa"/>
            <w:gridSpan w:val="2"/>
            <w:tcBorders>
              <w:top w:val="single" w:color="auto" w:sz="4" w:space="0"/>
              <w:left w:val="single" w:color="auto" w:sz="4" w:space="0"/>
              <w:bottom w:val="single" w:color="auto" w:sz="4" w:space="0"/>
              <w:right w:val="single" w:color="auto" w:sz="4" w:space="0"/>
            </w:tcBorders>
            <w:noWrap/>
            <w:vAlign w:val="center"/>
          </w:tcPr>
          <w:p w14:paraId="1D5DE8A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left"/>
              <w:textAlignment w:val="auto"/>
              <w:rPr>
                <w:rFonts w:hint="eastAsia" w:ascii="宋体" w:hAnsi="Times New Roman" w:eastAsia="宋体" w:cs="Times New Roman"/>
                <w:color w:val="auto"/>
                <w:sz w:val="21"/>
                <w:szCs w:val="21"/>
                <w:highlight w:val="none"/>
                <w:lang w:val="en-US"/>
              </w:rPr>
            </w:pPr>
            <w:r>
              <w:rPr>
                <w:rFonts w:hint="eastAsia" w:ascii="宋体" w:hAnsi="Times New Roman" w:eastAsia="宋体" w:cs="Times New Roman"/>
                <w:color w:val="auto"/>
                <w:sz w:val="21"/>
                <w:szCs w:val="21"/>
                <w:highlight w:val="none"/>
                <w:lang w:val="en-US"/>
              </w:rPr>
              <w:t>1、</w:t>
            </w:r>
            <w:r>
              <w:rPr>
                <w:rFonts w:hint="eastAsia" w:ascii="宋体" w:hAnsi="Times New Roman" w:eastAsia="宋体" w:cs="Times New Roman"/>
                <w:color w:val="auto"/>
                <w:sz w:val="21"/>
                <w:szCs w:val="21"/>
                <w:highlight w:val="none"/>
              </w:rPr>
              <w:t>如本项目招标文件中出现特定性、唯一性品牌的表述，该品牌仅作为参考，施工过程中不具有限定性。</w:t>
            </w:r>
          </w:p>
          <w:p w14:paraId="0D0958A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left"/>
              <w:textAlignment w:val="auto"/>
              <w:rPr>
                <w:rFonts w:hint="eastAsia" w:ascii="宋体" w:hAnsi="Times New Roman" w:eastAsia="宋体" w:cs="Times New Roman"/>
                <w:color w:val="auto"/>
                <w:sz w:val="21"/>
                <w:szCs w:val="21"/>
                <w:highlight w:val="none"/>
              </w:rPr>
            </w:pPr>
            <w:r>
              <w:rPr>
                <w:rFonts w:hint="eastAsia" w:ascii="宋体" w:hAnsi="Times New Roman" w:eastAsia="宋体" w:cs="Times New Roman"/>
                <w:color w:val="auto"/>
                <w:sz w:val="21"/>
                <w:szCs w:val="21"/>
                <w:highlight w:val="none"/>
                <w:lang w:val="en-US"/>
              </w:rPr>
              <w:t>2、项目经理必须是投标人本单位工作人员，提供虚假资料谋取中标将被依法处罚。</w:t>
            </w:r>
            <w:r>
              <w:rPr>
                <w:rFonts w:hint="eastAsia" w:ascii="宋体" w:hAnsi="Times New Roman" w:eastAsia="宋体" w:cs="Times New Roman"/>
                <w:color w:val="auto"/>
                <w:sz w:val="21"/>
                <w:szCs w:val="21"/>
                <w:highlight w:val="none"/>
              </w:rPr>
              <w:t>投标人对所提交的投标人或拟派项目经理业绩、投标人资质等证明资料承担缔约过失责任和法律责任。若投诉人或举报人对前述资料或证明资料存在争议，进行有效投诉或举报， 被投诉人、被举报人应当主动配合执法机关调查，并在规定的期限内举证，提供有关证明资料的原件；拒不配合执法机构调查，且未在规定期限内举证、提供证明资料原件的，执法机构依法处理。</w:t>
            </w:r>
          </w:p>
          <w:p w14:paraId="6B00498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left"/>
              <w:textAlignment w:val="auto"/>
              <w:rPr>
                <w:rFonts w:hint="eastAsia" w:ascii="宋体" w:hAnsi="Times New Roman" w:eastAsia="宋体" w:cs="Times New Roman"/>
                <w:color w:val="auto"/>
                <w:sz w:val="21"/>
                <w:szCs w:val="21"/>
                <w:highlight w:val="none"/>
              </w:rPr>
            </w:pPr>
            <w:r>
              <w:rPr>
                <w:rFonts w:hint="eastAsia" w:ascii="宋体" w:hAnsi="Times New Roman" w:eastAsia="宋体" w:cs="Times New Roman"/>
                <w:color w:val="auto"/>
                <w:sz w:val="21"/>
                <w:szCs w:val="21"/>
                <w:highlight w:val="none"/>
                <w:lang w:val="en-US"/>
              </w:rPr>
              <w:t>3、</w:t>
            </w:r>
            <w:r>
              <w:rPr>
                <w:rFonts w:hint="eastAsia" w:ascii="宋体" w:hAnsi="Times New Roman" w:eastAsia="宋体" w:cs="Times New Roman"/>
                <w:color w:val="auto"/>
                <w:sz w:val="21"/>
                <w:szCs w:val="21"/>
                <w:highlight w:val="none"/>
              </w:rPr>
              <w:t>中标人未履行下述义务的，将依法对中标人追究相关责任：</w:t>
            </w:r>
          </w:p>
          <w:p w14:paraId="2A80F54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left"/>
              <w:textAlignment w:val="auto"/>
              <w:rPr>
                <w:rFonts w:hint="eastAsia" w:ascii="宋体" w:hAnsi="Times New Roman" w:eastAsia="宋体" w:cs="Times New Roman"/>
                <w:color w:val="auto"/>
                <w:sz w:val="21"/>
                <w:szCs w:val="21"/>
                <w:highlight w:val="none"/>
              </w:rPr>
            </w:pPr>
            <w:r>
              <w:rPr>
                <w:rFonts w:hint="eastAsia" w:ascii="宋体" w:hAnsi="Times New Roman" w:eastAsia="宋体" w:cs="Times New Roman"/>
                <w:color w:val="auto"/>
                <w:sz w:val="21"/>
                <w:szCs w:val="21"/>
                <w:highlight w:val="none"/>
              </w:rPr>
              <w:t>①中标人无正当理由不与招标人订立合同，在签订合同时向招标人提出附加条件，或者不按照招标文件要求提交履约保证金的，招标人有权取消中标人中标资格，并将相关违约行为报送监管部门处理；</w:t>
            </w:r>
          </w:p>
          <w:p w14:paraId="03557BE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left"/>
              <w:textAlignment w:val="auto"/>
              <w:rPr>
                <w:rFonts w:hint="eastAsia" w:ascii="宋体" w:hAnsi="Times New Roman" w:eastAsia="宋体" w:cs="Times New Roman"/>
                <w:color w:val="auto"/>
                <w:sz w:val="21"/>
                <w:szCs w:val="21"/>
                <w:highlight w:val="none"/>
              </w:rPr>
            </w:pPr>
            <w:r>
              <w:rPr>
                <w:rFonts w:hint="eastAsia" w:ascii="宋体" w:hAnsi="Times New Roman" w:eastAsia="宋体" w:cs="Times New Roman"/>
                <w:color w:val="auto"/>
                <w:sz w:val="21"/>
                <w:szCs w:val="21"/>
                <w:highlight w:val="none"/>
              </w:rPr>
              <w:t>②合同签订后，中标人存在规定时间内不组织人员进场开工、不履行供货安装义务等情况，招标人有权解除合同，并追究违约责任，同时将相关违约行为报送监管部门处理。</w:t>
            </w:r>
          </w:p>
          <w:p w14:paraId="10AB54E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left"/>
              <w:textAlignment w:val="auto"/>
              <w:rPr>
                <w:rFonts w:hint="eastAsia" w:ascii="宋体" w:hAnsi="Times New Roman" w:eastAsia="宋体" w:cs="Times New Roman"/>
                <w:color w:val="auto"/>
                <w:sz w:val="21"/>
                <w:szCs w:val="21"/>
                <w:highlight w:val="none"/>
                <w:lang w:val="en-US"/>
              </w:rPr>
            </w:pPr>
            <w:r>
              <w:rPr>
                <w:rFonts w:hint="eastAsia" w:ascii="宋体" w:hAnsi="Times New Roman" w:eastAsia="宋体" w:cs="Times New Roman"/>
                <w:color w:val="auto"/>
                <w:sz w:val="21"/>
                <w:szCs w:val="21"/>
                <w:highlight w:val="none"/>
                <w:lang w:val="en-US"/>
              </w:rPr>
              <w:t>4、</w:t>
            </w:r>
            <w:r>
              <w:rPr>
                <w:rFonts w:hint="eastAsia" w:ascii="宋体" w:hAnsi="Times New Roman" w:eastAsia="宋体" w:cs="Times New Roman"/>
                <w:color w:val="auto"/>
                <w:sz w:val="21"/>
                <w:szCs w:val="21"/>
                <w:highlight w:val="none"/>
                <w:lang w:val="en-US" w:eastAsia="zh-CN"/>
              </w:rPr>
              <w:t>项目经理（建造师）、技术负责人变更需经发包人同意</w:t>
            </w:r>
            <w:r>
              <w:rPr>
                <w:rFonts w:hint="eastAsia" w:ascii="宋体" w:hAnsi="Times New Roman" w:eastAsia="宋体" w:cs="Times New Roman"/>
                <w:color w:val="auto"/>
                <w:sz w:val="21"/>
                <w:szCs w:val="21"/>
                <w:highlight w:val="none"/>
                <w:lang w:val="en-US"/>
              </w:rPr>
              <w:t>。</w:t>
            </w:r>
          </w:p>
          <w:p w14:paraId="2BC39ED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left"/>
              <w:textAlignment w:val="auto"/>
              <w:rPr>
                <w:rFonts w:hint="eastAsia" w:ascii="宋体" w:hAnsi="Times New Roman" w:eastAsia="宋体" w:cs="Times New Roman"/>
                <w:color w:val="auto"/>
                <w:sz w:val="21"/>
                <w:szCs w:val="21"/>
                <w:highlight w:val="none"/>
                <w:lang w:val="en-US"/>
              </w:rPr>
            </w:pPr>
            <w:r>
              <w:rPr>
                <w:rFonts w:hint="eastAsia" w:ascii="宋体" w:hAnsi="Times New Roman" w:eastAsia="宋体" w:cs="Times New Roman"/>
                <w:color w:val="auto"/>
                <w:sz w:val="21"/>
                <w:szCs w:val="21"/>
                <w:highlight w:val="none"/>
                <w:lang w:val="en-US"/>
              </w:rPr>
              <w:t>中标人因下列原因变更项目经理（建造师），须缴纳违约金</w:t>
            </w:r>
            <w:r>
              <w:rPr>
                <w:rFonts w:hint="eastAsia" w:ascii="宋体" w:hAnsi="Times New Roman" w:eastAsia="宋体" w:cs="Times New Roman"/>
                <w:color w:val="auto"/>
                <w:sz w:val="21"/>
                <w:szCs w:val="21"/>
                <w:highlight w:val="none"/>
                <w:lang w:val="en-US" w:eastAsia="zh-CN"/>
              </w:rPr>
              <w:t>10万</w:t>
            </w:r>
            <w:r>
              <w:rPr>
                <w:rFonts w:hint="eastAsia" w:ascii="宋体" w:hAnsi="Times New Roman" w:eastAsia="宋体" w:cs="Times New Roman"/>
                <w:color w:val="auto"/>
                <w:sz w:val="21"/>
                <w:szCs w:val="21"/>
                <w:highlight w:val="none"/>
                <w:lang w:val="en-US"/>
              </w:rPr>
              <w:t>元</w:t>
            </w:r>
            <w:r>
              <w:rPr>
                <w:rFonts w:hint="eastAsia" w:ascii="宋体" w:hAnsi="Times New Roman" w:eastAsia="宋体" w:cs="Times New Roman"/>
                <w:color w:val="auto"/>
                <w:sz w:val="21"/>
                <w:szCs w:val="21"/>
                <w:highlight w:val="none"/>
                <w:lang w:val="en-US" w:eastAsia="zh-CN"/>
              </w:rPr>
              <w:t>：</w:t>
            </w:r>
            <w:r>
              <w:rPr>
                <w:rFonts w:hint="eastAsia" w:ascii="宋体" w:hAnsi="Times New Roman" w:eastAsia="宋体" w:cs="Times New Roman"/>
                <w:color w:val="auto"/>
                <w:sz w:val="21"/>
                <w:szCs w:val="21"/>
                <w:highlight w:val="none"/>
                <w:lang w:val="en-US"/>
              </w:rPr>
              <w:t>①患重病、发生意外等身体原因不能在施工现场进行管理的；②离职的；③违法违规行为不能继续从事施工现场管理工作的；④无能力履行合同责任义务被建设行政主管部门或建设单位责令更换的。</w:t>
            </w:r>
          </w:p>
          <w:p w14:paraId="17FDB10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left"/>
              <w:textAlignment w:val="auto"/>
              <w:rPr>
                <w:rFonts w:hint="eastAsia" w:ascii="宋体" w:hAnsi="Times New Roman" w:eastAsia="宋体" w:cs="Times New Roman"/>
                <w:color w:val="auto"/>
                <w:sz w:val="21"/>
                <w:szCs w:val="21"/>
                <w:highlight w:val="none"/>
                <w:lang w:val="en-US" w:eastAsia="zh-CN"/>
              </w:rPr>
            </w:pPr>
            <w:r>
              <w:rPr>
                <w:rFonts w:hint="eastAsia" w:ascii="宋体" w:hAnsi="Times New Roman" w:eastAsia="宋体" w:cs="Times New Roman"/>
                <w:color w:val="auto"/>
                <w:sz w:val="21"/>
                <w:szCs w:val="21"/>
                <w:highlight w:val="none"/>
                <w:lang w:val="en-US"/>
              </w:rPr>
              <w:t>中标人因下列原因变更技术负责人，须缴纳违约金</w:t>
            </w:r>
            <w:r>
              <w:rPr>
                <w:rFonts w:hint="eastAsia" w:ascii="宋体" w:hAnsi="Times New Roman" w:eastAsia="宋体" w:cs="Times New Roman"/>
                <w:color w:val="auto"/>
                <w:sz w:val="21"/>
                <w:szCs w:val="21"/>
                <w:highlight w:val="none"/>
                <w:lang w:val="en-US" w:eastAsia="zh-CN"/>
              </w:rPr>
              <w:t>5万</w:t>
            </w:r>
            <w:r>
              <w:rPr>
                <w:rFonts w:hint="eastAsia" w:ascii="宋体" w:hAnsi="Times New Roman" w:eastAsia="宋体" w:cs="Times New Roman"/>
                <w:color w:val="auto"/>
                <w:sz w:val="21"/>
                <w:szCs w:val="21"/>
                <w:highlight w:val="none"/>
                <w:lang w:val="en-US"/>
              </w:rPr>
              <w:t>元</w:t>
            </w:r>
            <w:r>
              <w:rPr>
                <w:rFonts w:hint="eastAsia" w:ascii="宋体" w:hAnsi="Times New Roman" w:eastAsia="宋体" w:cs="Times New Roman"/>
                <w:color w:val="auto"/>
                <w:sz w:val="21"/>
                <w:szCs w:val="21"/>
                <w:highlight w:val="none"/>
                <w:lang w:val="en-US" w:eastAsia="zh-CN"/>
              </w:rPr>
              <w:t>：</w:t>
            </w:r>
            <w:r>
              <w:rPr>
                <w:rFonts w:hint="eastAsia" w:ascii="宋体" w:hAnsi="Times New Roman" w:eastAsia="宋体" w:cs="Times New Roman"/>
                <w:color w:val="auto"/>
                <w:sz w:val="21"/>
                <w:szCs w:val="21"/>
                <w:highlight w:val="none"/>
                <w:lang w:val="en-US"/>
              </w:rPr>
              <w:t>①患重病、发生意外等身体原因不能在施工现场进行管理的；②离职的；③违法违规行为不能继续从事施工现场管理工作的；④无能力履行合同责任义务被建设行政主管部门或建设单位责令更换的。</w:t>
            </w:r>
          </w:p>
          <w:p w14:paraId="123A9A2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left"/>
              <w:textAlignment w:val="auto"/>
              <w:rPr>
                <w:rFonts w:hint="eastAsia" w:ascii="宋体" w:hAnsi="Times New Roman" w:eastAsia="宋体" w:cs="Times New Roman"/>
                <w:color w:val="auto"/>
                <w:sz w:val="21"/>
                <w:szCs w:val="21"/>
                <w:highlight w:val="none"/>
              </w:rPr>
            </w:pPr>
            <w:r>
              <w:rPr>
                <w:rFonts w:hint="eastAsia" w:ascii="宋体" w:hAnsi="Times New Roman" w:eastAsia="宋体" w:cs="Times New Roman"/>
                <w:color w:val="auto"/>
                <w:sz w:val="21"/>
                <w:szCs w:val="21"/>
                <w:highlight w:val="none"/>
                <w:lang w:val="en-US" w:eastAsia="zh-CN"/>
              </w:rPr>
              <w:t>5、</w:t>
            </w:r>
            <w:r>
              <w:rPr>
                <w:rFonts w:hint="eastAsia" w:ascii="宋体" w:hAnsi="Times New Roman" w:eastAsia="宋体" w:cs="Times New Roman"/>
                <w:color w:val="auto"/>
                <w:sz w:val="21"/>
                <w:szCs w:val="21"/>
                <w:highlight w:val="none"/>
              </w:rPr>
              <w:t>安全生产</w:t>
            </w:r>
          </w:p>
          <w:p w14:paraId="060747A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left"/>
              <w:textAlignment w:val="auto"/>
              <w:rPr>
                <w:rFonts w:hint="eastAsia" w:ascii="宋体" w:hAnsi="Times New Roman" w:eastAsia="宋体" w:cs="Times New Roman"/>
                <w:color w:val="auto"/>
                <w:sz w:val="21"/>
                <w:szCs w:val="21"/>
                <w:highlight w:val="none"/>
              </w:rPr>
            </w:pPr>
            <w:r>
              <w:rPr>
                <w:rFonts w:hint="eastAsia" w:ascii="宋体" w:hAnsi="Times New Roman" w:eastAsia="宋体" w:cs="Times New Roman"/>
                <w:color w:val="auto"/>
                <w:sz w:val="21"/>
                <w:szCs w:val="21"/>
                <w:highlight w:val="none"/>
              </w:rPr>
              <w:t>①须严格遵守《中华人民共和国安全生产法》、《建设工程安全生产管理条例》等国家有关安全生产的法律法规、《建设项目安全设施“三同时”监督管理办法》等有关安全生产的规定。认真执行工程承包合同中的有关安全要求。</w:t>
            </w:r>
          </w:p>
          <w:p w14:paraId="3504398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left"/>
              <w:textAlignment w:val="auto"/>
              <w:rPr>
                <w:rFonts w:hint="eastAsia" w:ascii="宋体" w:hAnsi="Times New Roman" w:eastAsia="宋体" w:cs="Times New Roman"/>
                <w:color w:val="auto"/>
                <w:sz w:val="21"/>
                <w:szCs w:val="21"/>
                <w:highlight w:val="none"/>
                <w:lang w:val="en-US" w:eastAsia="zh-CN"/>
              </w:rPr>
            </w:pPr>
            <w:r>
              <w:rPr>
                <w:rFonts w:hint="eastAsia" w:ascii="宋体" w:hAnsi="Times New Roman" w:eastAsia="宋体" w:cs="Times New Roman"/>
                <w:color w:val="auto"/>
                <w:sz w:val="21"/>
                <w:szCs w:val="21"/>
                <w:highlight w:val="none"/>
              </w:rPr>
              <w:t>②坚持“安全第一、预防为主、综合治理”和“管生产必须管安全”的原则，加强安全生产宣传教育，增强全员安全生产意识，建立健全各项安全生产的管理机构和安全生产管理制度，配备专职及兼职安全检查人员，有组织有领导地开展安全生产活动。各级领导、工程技术人员、生产管理人员和具体操作人员，必须熟悉和遵守合同的各项规定，做到生产与安全工作同时计划、布置、检查、总结和评比。</w:t>
            </w:r>
          </w:p>
          <w:p w14:paraId="18FE7FDC">
            <w:pPr>
              <w:keepNext w:val="0"/>
              <w:keepLines w:val="0"/>
              <w:pageBreakBefore w:val="0"/>
              <w:kinsoku/>
              <w:wordWrap/>
              <w:overflowPunct/>
              <w:topLinePunct w:val="0"/>
              <w:autoSpaceDE/>
              <w:autoSpaceDN/>
              <w:bidi w:val="0"/>
              <w:adjustRightInd/>
              <w:snapToGrid/>
              <w:spacing w:line="400" w:lineRule="exact"/>
              <w:textAlignment w:val="auto"/>
              <w:rPr>
                <w:rFonts w:ascii="宋体" w:hAnsi="宋体" w:cs="宋体"/>
                <w:strike/>
                <w:color w:val="auto"/>
                <w:szCs w:val="21"/>
                <w:highlight w:val="none"/>
              </w:rPr>
            </w:pP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本项目严禁非法转包，一经发现，招标人依法处理。</w:t>
            </w:r>
          </w:p>
        </w:tc>
      </w:tr>
      <w:tr w14:paraId="0F24C4E8">
        <w:tblPrEx>
          <w:tblCellMar>
            <w:top w:w="0" w:type="dxa"/>
            <w:left w:w="108" w:type="dxa"/>
            <w:bottom w:w="0" w:type="dxa"/>
            <w:right w:w="108" w:type="dxa"/>
          </w:tblCellMar>
        </w:tblPrEx>
        <w:trPr>
          <w:jc w:val="center"/>
        </w:trPr>
        <w:tc>
          <w:tcPr>
            <w:tcW w:w="0" w:type="auto"/>
            <w:gridSpan w:val="2"/>
            <w:tcBorders>
              <w:top w:val="single" w:color="auto" w:sz="4" w:space="0"/>
              <w:left w:val="single" w:color="auto" w:sz="4" w:space="0"/>
              <w:bottom w:val="single" w:color="auto" w:sz="4" w:space="0"/>
              <w:right w:val="single" w:color="auto" w:sz="4" w:space="0"/>
            </w:tcBorders>
            <w:vAlign w:val="center"/>
          </w:tcPr>
          <w:p w14:paraId="71447103">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sz w:val="21"/>
                <w:szCs w:val="21"/>
                <w:highlight w:val="none"/>
                <w:lang w:val="en-US" w:eastAsia="zh-CN"/>
              </w:rPr>
            </w:pPr>
            <w:bookmarkStart w:id="56" w:name="_Toc5813"/>
            <w:bookmarkStart w:id="57" w:name="_Toc35424887"/>
            <w:bookmarkStart w:id="58" w:name="_Toc78803322"/>
            <w:bookmarkStart w:id="59" w:name="_Toc35425053"/>
            <w:bookmarkStart w:id="60" w:name="_Toc15058846"/>
            <w:r>
              <w:rPr>
                <w:rFonts w:hint="eastAsia" w:ascii="宋体" w:hAnsi="宋体" w:cs="宋体"/>
                <w:color w:val="auto"/>
                <w:sz w:val="21"/>
                <w:szCs w:val="21"/>
                <w:highlight w:val="none"/>
                <w:lang w:val="en-US" w:eastAsia="zh-CN"/>
              </w:rPr>
              <w:t>重要说明</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53B17537">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leftChars="0" w:right="0" w:rightChars="0"/>
              <w:jc w:val="left"/>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请于公告发布之日起从滁州市城投工程咨询管理有限公司网站（https://www.czctgczx.com/），点击项目招标公告下方【我要投标】，登录新点电子交易平台后在【滁州专区】（https://www.etrading.cn/BREpointSSO/login/oauth2login?regioncode=DQ_ChuZhou）下载本项目招标文件。投标人自行承担因未按要求获取招标文件导致无法上传电子投标文件的风险。</w:t>
            </w:r>
          </w:p>
          <w:p w14:paraId="2E661513">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leftChars="0" w:right="0" w:rightChars="0"/>
              <w:jc w:val="left"/>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投标人须登录新点电子交易平台【滁州专区】查询、获取招标文件。首次登录办理入库手续，办理入库不收取任何费用。新点电子招投标统一认证平台使用相关问题（如系统登录、信息登记、录入及提交、数字证书关联等）请拨打服务电话：</w:t>
            </w:r>
            <w:r>
              <w:rPr>
                <w:rFonts w:hint="eastAsia" w:ascii="宋体" w:hAnsi="宋体" w:cs="宋体"/>
                <w:color w:val="auto"/>
                <w:kern w:val="0"/>
                <w:sz w:val="21"/>
                <w:szCs w:val="21"/>
                <w:highlight w:val="none"/>
                <w:lang w:val="en-US" w:eastAsia="zh-CN" w:bidi="ar-SA"/>
              </w:rPr>
              <w:t>0512-58151515</w:t>
            </w:r>
            <w:r>
              <w:rPr>
                <w:rFonts w:hint="eastAsia" w:ascii="宋体" w:hAnsi="宋体" w:eastAsia="宋体" w:cs="宋体"/>
                <w:color w:val="auto"/>
                <w:kern w:val="0"/>
                <w:sz w:val="21"/>
                <w:szCs w:val="21"/>
                <w:highlight w:val="none"/>
                <w:lang w:val="en-US" w:eastAsia="zh-CN" w:bidi="ar-SA"/>
              </w:rPr>
              <w:t>（工作日）。 </w:t>
            </w:r>
          </w:p>
          <w:p w14:paraId="7641EF1C">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leftChars="0" w:right="0" w:rightChars="0"/>
              <w:jc w:val="left"/>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3.投标人登录新点电子交易平台【滁州专区】获取招标文件及其它资料（含澄清和补充说明等）。如在招标文件获取过程中遇到系统问题，请拨打技术支持服务热线</w:t>
            </w:r>
            <w:r>
              <w:rPr>
                <w:rFonts w:hint="eastAsia" w:ascii="宋体" w:hAnsi="宋体" w:cs="宋体"/>
                <w:color w:val="auto"/>
                <w:kern w:val="0"/>
                <w:sz w:val="21"/>
                <w:szCs w:val="21"/>
                <w:highlight w:val="none"/>
                <w:lang w:val="en-US" w:eastAsia="zh-CN" w:bidi="ar-SA"/>
              </w:rPr>
              <w:t>0512-58151515</w:t>
            </w:r>
            <w:r>
              <w:rPr>
                <w:rFonts w:hint="eastAsia" w:ascii="宋体" w:hAnsi="宋体" w:eastAsia="宋体" w:cs="宋体"/>
                <w:color w:val="auto"/>
                <w:kern w:val="0"/>
                <w:sz w:val="21"/>
                <w:szCs w:val="21"/>
                <w:highlight w:val="none"/>
                <w:lang w:val="en-US" w:eastAsia="zh-CN" w:bidi="ar-SA"/>
              </w:rPr>
              <w:t>或者网站首页在线客服。</w:t>
            </w:r>
          </w:p>
          <w:p w14:paraId="47DF65DF">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leftChars="0" w:right="0" w:rightChars="0"/>
              <w:jc w:val="left"/>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4.本项目采用不见面开标，投标人登录滁州市城投工程咨询有限公司不见面开标系统参与网上开标（网址：http://js.etrading.cn/EpointBidOpening/bidopeninghallaction/hall/login）。</w:t>
            </w:r>
          </w:p>
          <w:p w14:paraId="030ED2F8">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leftChars="0" w:right="0" w:rightChars="0"/>
              <w:jc w:val="left"/>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5.投标人应在投标截止时间之前，登录新点电子交易平台【滁州专区】上传投标文件。投标人逾期上传投标文件的，电子系统不予受理。</w:t>
            </w:r>
          </w:p>
          <w:p w14:paraId="6118BFCF">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leftChars="0" w:right="0" w:rightChars="0"/>
              <w:jc w:val="left"/>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6.投标人的联系人电话(手机)、电子邮箱等通讯方式在开标过程中必须保持畅通，否则因上述原因造成的后果，责任自负。</w:t>
            </w:r>
          </w:p>
          <w:p w14:paraId="4E972326">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leftChars="0" w:right="0" w:rightChars="0"/>
              <w:jc w:val="left"/>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7.本项目采用电子招投标方式，请投标人在“新点电子交易平台”常用下载专区下载“新点电子交易平台专用投标文件制作软件”，仔细阅读招标文件要求和相关操作手册，以免影响投标文件编制，因投标人未及时关注相关信息对投标造成的不利后果由其自行承担。投标软件制作工具下载：https://download.bqpoint.com/download/downloaddetail.html?SourceFrom=Ztb&amp;ZtbSoftXiaQuCode=0128&amp;ZtbSoftType=tballinclusive。</w:t>
            </w:r>
          </w:p>
          <w:p w14:paraId="59D69F8D">
            <w:pPr>
              <w:keepNext w:val="0"/>
              <w:keepLines w:val="0"/>
              <w:pageBreakBefore w:val="0"/>
              <w:widowControl w:val="0"/>
              <w:kinsoku/>
              <w:wordWrap w:val="0"/>
              <w:overflowPunct/>
              <w:topLinePunct w:val="0"/>
              <w:autoSpaceDE/>
              <w:autoSpaceDN/>
              <w:bidi w:val="0"/>
              <w:adjustRightInd/>
              <w:snapToGrid/>
              <w:spacing w:line="400" w:lineRule="exact"/>
              <w:jc w:val="left"/>
              <w:textAlignment w:val="auto"/>
              <w:rPr>
                <w:rFonts w:hint="default"/>
                <w:color w:val="auto"/>
                <w:highlight w:val="none"/>
                <w:lang w:val="en-US" w:eastAsia="zh-CN"/>
              </w:rPr>
            </w:pPr>
            <w:r>
              <w:rPr>
                <w:rFonts w:hint="eastAsia" w:ascii="宋体" w:hAnsi="宋体" w:eastAsia="宋体" w:cs="宋体"/>
                <w:color w:val="auto"/>
                <w:kern w:val="0"/>
                <w:sz w:val="21"/>
                <w:szCs w:val="21"/>
                <w:highlight w:val="none"/>
                <w:lang w:val="en-US" w:eastAsia="zh-CN" w:bidi="ar-SA"/>
              </w:rPr>
              <w:t>8.本项目开评标实行全流程电子化，在线完成开评标活动。开标时投标人无需到达开标现场，不接受现场解密，实行远程解密和在线询标。各投标人认真学习《新点电子交易平台投标人操作手册》，务必掌握远程解密方法和在线回复询标方法。</w:t>
            </w:r>
          </w:p>
        </w:tc>
      </w:tr>
    </w:tbl>
    <w:p w14:paraId="735D540F">
      <w:pP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br w:type="page"/>
      </w:r>
    </w:p>
    <w:p w14:paraId="6585086A">
      <w:pPr>
        <w:pStyle w:val="3"/>
        <w:spacing w:beforeLines="50" w:afterLines="50"/>
        <w:ind w:firstLine="482"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 总则</w:t>
      </w:r>
      <w:bookmarkEnd w:id="47"/>
      <w:bookmarkEnd w:id="48"/>
      <w:bookmarkEnd w:id="49"/>
      <w:bookmarkEnd w:id="50"/>
      <w:bookmarkEnd w:id="51"/>
      <w:bookmarkEnd w:id="52"/>
      <w:bookmarkEnd w:id="53"/>
      <w:bookmarkEnd w:id="54"/>
      <w:bookmarkEnd w:id="55"/>
      <w:bookmarkEnd w:id="56"/>
      <w:bookmarkEnd w:id="57"/>
      <w:bookmarkEnd w:id="58"/>
      <w:bookmarkEnd w:id="59"/>
      <w:bookmarkEnd w:id="60"/>
    </w:p>
    <w:p w14:paraId="2AE7C8E8">
      <w:pPr>
        <w:pStyle w:val="3"/>
        <w:ind w:firstLine="422" w:firstLineChars="200"/>
        <w:rPr>
          <w:rFonts w:ascii="宋体" w:hAnsi="宋体" w:eastAsia="宋体" w:cs="宋体"/>
          <w:color w:val="auto"/>
          <w:kern w:val="44"/>
          <w:highlight w:val="none"/>
        </w:rPr>
      </w:pPr>
      <w:bookmarkStart w:id="61" w:name="_Toc144974498"/>
      <w:bookmarkStart w:id="62" w:name="_Toc152042306"/>
      <w:bookmarkStart w:id="63" w:name="_Toc35425054"/>
      <w:bookmarkStart w:id="64" w:name="_Toc4678"/>
      <w:bookmarkStart w:id="65" w:name="_Toc246996176"/>
      <w:bookmarkStart w:id="66" w:name="_Toc324404816"/>
      <w:bookmarkStart w:id="67" w:name="_Toc179632547"/>
      <w:bookmarkStart w:id="68" w:name="_Toc15058847"/>
      <w:bookmarkStart w:id="69" w:name="_Toc35424888"/>
      <w:bookmarkStart w:id="70" w:name="_Toc296602421"/>
      <w:bookmarkStart w:id="71" w:name="_Toc247085690"/>
      <w:bookmarkStart w:id="72" w:name="_Toc506107270"/>
      <w:bookmarkStart w:id="73" w:name="_Toc152045530"/>
      <w:bookmarkStart w:id="74" w:name="_Toc78803323"/>
      <w:bookmarkStart w:id="75" w:name="_Toc246996919"/>
      <w:r>
        <w:rPr>
          <w:rFonts w:hint="eastAsia" w:ascii="宋体" w:hAnsi="宋体" w:eastAsia="宋体" w:cs="宋体"/>
          <w:color w:val="auto"/>
          <w:kern w:val="44"/>
          <w:highlight w:val="none"/>
        </w:rPr>
        <w:t>1.1 项目概况</w:t>
      </w:r>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p>
    <w:p w14:paraId="07780BC3">
      <w:pPr>
        <w:spacing w:line="44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1.1.1根据《中华人民共和国招标投标法》《中华人民共和国招标投标法实施条例》等有关法律、法规和规章的规定，本招标项目已具备招标条件，现对本项目施工进行招标。</w:t>
      </w:r>
    </w:p>
    <w:p w14:paraId="5AB354AF">
      <w:pPr>
        <w:spacing w:line="44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1.1.2 本招标项目招标人：见投标人须知前附表。</w:t>
      </w:r>
    </w:p>
    <w:p w14:paraId="7E46A021">
      <w:pPr>
        <w:spacing w:line="44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1.1.3 本招标项目招标代理机构：见投标人须知前附表。</w:t>
      </w:r>
    </w:p>
    <w:p w14:paraId="77102B8A">
      <w:pPr>
        <w:spacing w:line="44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1.1.4 本招标项目名称：见投标人须知前附表。</w:t>
      </w:r>
    </w:p>
    <w:p w14:paraId="6CBC3272">
      <w:pPr>
        <w:spacing w:line="44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1.1.5 本招标项目建设地点：见投标人须知前附表。</w:t>
      </w:r>
    </w:p>
    <w:p w14:paraId="036B2C8D">
      <w:pPr>
        <w:pStyle w:val="3"/>
        <w:ind w:firstLine="422" w:firstLineChars="200"/>
        <w:rPr>
          <w:rFonts w:ascii="宋体" w:hAnsi="宋体" w:eastAsia="宋体" w:cs="宋体"/>
          <w:color w:val="auto"/>
          <w:highlight w:val="none"/>
        </w:rPr>
      </w:pPr>
      <w:bookmarkStart w:id="76" w:name="_Toc506107271"/>
      <w:bookmarkStart w:id="77" w:name="_Toc246996920"/>
      <w:bookmarkStart w:id="78" w:name="_Toc247085691"/>
      <w:bookmarkStart w:id="79" w:name="_Toc35424889"/>
      <w:bookmarkStart w:id="80" w:name="_Toc152045531"/>
      <w:bookmarkStart w:id="81" w:name="_Toc15058848"/>
      <w:bookmarkStart w:id="82" w:name="_Toc78803324"/>
      <w:bookmarkStart w:id="83" w:name="_Toc324404817"/>
      <w:bookmarkStart w:id="84" w:name="_Toc179632548"/>
      <w:bookmarkStart w:id="85" w:name="_Toc35425055"/>
      <w:bookmarkStart w:id="86" w:name="_Toc246996177"/>
      <w:bookmarkStart w:id="87" w:name="_Toc144974499"/>
      <w:bookmarkStart w:id="88" w:name="_Toc7142"/>
      <w:bookmarkStart w:id="89" w:name="_Toc152042307"/>
      <w:bookmarkStart w:id="90" w:name="_Toc296602422"/>
      <w:r>
        <w:rPr>
          <w:rFonts w:hint="eastAsia" w:ascii="宋体" w:hAnsi="宋体" w:eastAsia="宋体" w:cs="宋体"/>
          <w:color w:val="auto"/>
          <w:highlight w:val="none"/>
        </w:rPr>
        <w:t>1.2 资金来源和落实情况</w:t>
      </w:r>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p>
    <w:p w14:paraId="662000A2">
      <w:pPr>
        <w:spacing w:line="44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1.2.1 本招标项目的资金来源及出资比例：见投标人须知前附表。</w:t>
      </w:r>
    </w:p>
    <w:p w14:paraId="2086A8CF">
      <w:pPr>
        <w:spacing w:line="44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1.2.2 本招标项目的资金落实情况：见投标人须知前附表。</w:t>
      </w:r>
    </w:p>
    <w:p w14:paraId="77419EB9">
      <w:pPr>
        <w:pStyle w:val="3"/>
        <w:ind w:firstLine="422" w:firstLineChars="200"/>
        <w:rPr>
          <w:rFonts w:ascii="宋体" w:hAnsi="宋体" w:eastAsia="宋体" w:cs="宋体"/>
          <w:color w:val="auto"/>
          <w:highlight w:val="none"/>
        </w:rPr>
      </w:pPr>
      <w:bookmarkStart w:id="91" w:name="_Toc246996921"/>
      <w:bookmarkStart w:id="92" w:name="_Toc324404818"/>
      <w:bookmarkStart w:id="93" w:name="_Toc247085692"/>
      <w:bookmarkStart w:id="94" w:name="_Toc246996178"/>
      <w:bookmarkStart w:id="95" w:name="_Toc35424890"/>
      <w:bookmarkStart w:id="96" w:name="_Toc6330"/>
      <w:bookmarkStart w:id="97" w:name="_Toc144974500"/>
      <w:bookmarkStart w:id="98" w:name="_Toc78803325"/>
      <w:bookmarkStart w:id="99" w:name="_Toc179632549"/>
      <w:bookmarkStart w:id="100" w:name="_Toc296602423"/>
      <w:bookmarkStart w:id="101" w:name="_Toc506107272"/>
      <w:bookmarkStart w:id="102" w:name="_Toc35425056"/>
      <w:bookmarkStart w:id="103" w:name="_Toc15058849"/>
      <w:bookmarkStart w:id="104" w:name="_Toc152042308"/>
      <w:bookmarkStart w:id="105" w:name="_Toc152045532"/>
      <w:r>
        <w:rPr>
          <w:rFonts w:hint="eastAsia" w:ascii="宋体" w:hAnsi="宋体" w:eastAsia="宋体" w:cs="宋体"/>
          <w:color w:val="auto"/>
          <w:highlight w:val="none"/>
        </w:rPr>
        <w:t>1.3 招标范围、计划工期、质量要求</w:t>
      </w:r>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p>
    <w:p w14:paraId="4E6EC99A">
      <w:pPr>
        <w:spacing w:line="44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1.3.1 本次招标范围：见投标人须知前附表。</w:t>
      </w:r>
    </w:p>
    <w:p w14:paraId="47384945">
      <w:pPr>
        <w:spacing w:line="44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1.3.2 本招标项目的监理服务期限：见投标人须知前附表。</w:t>
      </w:r>
    </w:p>
    <w:p w14:paraId="1CB8FAD6">
      <w:pPr>
        <w:spacing w:line="44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1.3.3 本招标项目的质量要求：见投标人须知前附表。</w:t>
      </w:r>
    </w:p>
    <w:p w14:paraId="26E33D0B">
      <w:pPr>
        <w:pStyle w:val="3"/>
        <w:ind w:firstLine="422" w:firstLineChars="200"/>
        <w:rPr>
          <w:rFonts w:ascii="宋体" w:hAnsi="宋体" w:eastAsia="宋体" w:cs="宋体"/>
          <w:color w:val="auto"/>
          <w:highlight w:val="none"/>
        </w:rPr>
      </w:pPr>
      <w:bookmarkStart w:id="106" w:name="_Toc144974502"/>
      <w:bookmarkStart w:id="107" w:name="_Toc78803326"/>
      <w:bookmarkStart w:id="108" w:name="_Toc179632551"/>
      <w:bookmarkStart w:id="109" w:name="_Toc35424891"/>
      <w:bookmarkStart w:id="110" w:name="_Toc296602424"/>
      <w:bookmarkStart w:id="111" w:name="_Toc247085693"/>
      <w:bookmarkStart w:id="112" w:name="_Toc152042310"/>
      <w:bookmarkStart w:id="113" w:name="_Toc246996922"/>
      <w:bookmarkStart w:id="114" w:name="_Toc152045534"/>
      <w:bookmarkStart w:id="115" w:name="_Toc324404819"/>
      <w:bookmarkStart w:id="116" w:name="_Toc506107273"/>
      <w:bookmarkStart w:id="117" w:name="_Toc26897"/>
      <w:bookmarkStart w:id="118" w:name="_Toc15058850"/>
      <w:bookmarkStart w:id="119" w:name="_Toc35425057"/>
      <w:bookmarkStart w:id="120" w:name="_Toc246996179"/>
      <w:r>
        <w:rPr>
          <w:rFonts w:hint="eastAsia" w:ascii="宋体" w:hAnsi="宋体" w:eastAsia="宋体" w:cs="宋体"/>
          <w:color w:val="auto"/>
          <w:highlight w:val="none"/>
        </w:rPr>
        <w:t>1.4 投标人资格要求</w:t>
      </w:r>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p>
    <w:p w14:paraId="473C4A8A">
      <w:pPr>
        <w:spacing w:line="44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1.4.1 投标人应具备承担本项目</w:t>
      </w:r>
      <w:r>
        <w:rPr>
          <w:rFonts w:hint="eastAsia" w:ascii="宋体" w:hAnsi="宋体" w:eastAsia="宋体" w:cs="宋体"/>
          <w:color w:val="auto"/>
          <w:szCs w:val="21"/>
          <w:highlight w:val="none"/>
          <w:lang w:val="en-US" w:eastAsia="zh-CN"/>
        </w:rPr>
        <w:t>施工</w:t>
      </w:r>
      <w:r>
        <w:rPr>
          <w:rFonts w:hint="eastAsia" w:ascii="宋体" w:hAnsi="宋体" w:eastAsia="宋体" w:cs="宋体"/>
          <w:color w:val="auto"/>
          <w:szCs w:val="21"/>
          <w:highlight w:val="none"/>
        </w:rPr>
        <w:t>的资质条件、能力和信誉。</w:t>
      </w:r>
    </w:p>
    <w:p w14:paraId="42CF7408">
      <w:pPr>
        <w:spacing w:line="44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（1）资质条件：见投标人须知前附表；</w:t>
      </w:r>
    </w:p>
    <w:p w14:paraId="213F5755">
      <w:pPr>
        <w:spacing w:line="44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（2）项目负责人资格：见投标人须知前附表；</w:t>
      </w:r>
    </w:p>
    <w:p w14:paraId="77975E29">
      <w:pPr>
        <w:spacing w:line="44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（3）信誉要求：见投标人须知前附表；</w:t>
      </w:r>
    </w:p>
    <w:p w14:paraId="1C33B202">
      <w:pPr>
        <w:spacing w:line="44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4</w:t>
      </w:r>
      <w:r>
        <w:rPr>
          <w:rFonts w:hint="eastAsia" w:ascii="宋体" w:hAnsi="宋体" w:eastAsia="宋体" w:cs="宋体"/>
          <w:color w:val="auto"/>
          <w:szCs w:val="21"/>
          <w:highlight w:val="none"/>
        </w:rPr>
        <w:t>）其他要求：见投标人须知前附表。</w:t>
      </w:r>
    </w:p>
    <w:p w14:paraId="66002C8A">
      <w:pPr>
        <w:spacing w:line="440" w:lineRule="exact"/>
        <w:ind w:firstLine="420" w:firstLineChars="200"/>
        <w:jc w:val="left"/>
        <w:rPr>
          <w:rFonts w:hint="eastAsia" w:ascii="宋体" w:hAnsi="宋体" w:eastAsia="宋体" w:cs="宋体"/>
          <w:color w:val="auto"/>
          <w:szCs w:val="21"/>
          <w:highlight w:val="none"/>
        </w:rPr>
      </w:pPr>
      <w:bookmarkStart w:id="121" w:name="_Toc152045535"/>
      <w:bookmarkStart w:id="122" w:name="_Toc506107274"/>
      <w:bookmarkStart w:id="123" w:name="_Toc246996180"/>
      <w:bookmarkStart w:id="124" w:name="_Toc15058851"/>
      <w:bookmarkStart w:id="125" w:name="_Toc35425058"/>
      <w:bookmarkStart w:id="126" w:name="_Toc35424892"/>
      <w:bookmarkStart w:id="127" w:name="_Toc179632552"/>
      <w:bookmarkStart w:id="128" w:name="_Toc324404820"/>
      <w:bookmarkStart w:id="129" w:name="_Toc78803327"/>
      <w:bookmarkStart w:id="130" w:name="_Toc10179"/>
      <w:bookmarkStart w:id="131" w:name="_Toc246996923"/>
      <w:bookmarkStart w:id="132" w:name="_Toc247085694"/>
      <w:bookmarkStart w:id="133" w:name="_Toc152042311"/>
      <w:bookmarkStart w:id="134" w:name="_Toc296602425"/>
      <w:bookmarkStart w:id="135" w:name="_Toc144974503"/>
      <w:r>
        <w:rPr>
          <w:rFonts w:hint="eastAsia" w:ascii="宋体" w:hAnsi="宋体" w:eastAsia="宋体" w:cs="宋体"/>
          <w:color w:val="auto"/>
          <w:szCs w:val="21"/>
          <w:highlight w:val="none"/>
        </w:rPr>
        <w:t>1.4.3投标人（包括联合体各成员）不得与本标段相关单位存在下列关联关系：</w:t>
      </w:r>
    </w:p>
    <w:p w14:paraId="5DE8D0B6">
      <w:pPr>
        <w:spacing w:line="44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（1）为招标人不具有独立法人资格的附属机构（单位）；</w:t>
      </w:r>
    </w:p>
    <w:p w14:paraId="09E6B8F6">
      <w:pPr>
        <w:spacing w:line="44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（2）与招标人存在利害关系且可能影响招标公正性；</w:t>
      </w:r>
    </w:p>
    <w:p w14:paraId="0505EF5B">
      <w:pPr>
        <w:spacing w:line="44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（3）与本标段的其他投标人同为一个单位负责人；</w:t>
      </w:r>
    </w:p>
    <w:p w14:paraId="36333F83">
      <w:pPr>
        <w:spacing w:line="44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（4）与本标段的其他投标人存在控股、管理关系；</w:t>
      </w:r>
    </w:p>
    <w:p w14:paraId="4D18F6F7">
      <w:pPr>
        <w:spacing w:line="44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（5）为本标段前期准备提供设计或咨询服务的法人或其任何附属机构（单位）(工程总承包项目本目不采用)；</w:t>
      </w:r>
    </w:p>
    <w:p w14:paraId="73E24824">
      <w:pPr>
        <w:spacing w:line="44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（6）为本标段的监理人；</w:t>
      </w:r>
    </w:p>
    <w:p w14:paraId="43DEC31D">
      <w:pPr>
        <w:spacing w:line="44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（7）为本标段的代建人；</w:t>
      </w:r>
    </w:p>
    <w:p w14:paraId="56536154">
      <w:pPr>
        <w:spacing w:line="44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（8）为本标段的招标代理机构；</w:t>
      </w:r>
    </w:p>
    <w:p w14:paraId="34070789">
      <w:pPr>
        <w:spacing w:line="44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（9）与本标段的监理人或代建人或招标代理机构同为一个法定代表人；</w:t>
      </w:r>
    </w:p>
    <w:p w14:paraId="5B21E9B6">
      <w:pPr>
        <w:spacing w:line="44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（10）与本标段的监理人或代建人或招标代理机构存在控股或参股关系；</w:t>
      </w:r>
    </w:p>
    <w:p w14:paraId="552CFA51">
      <w:pPr>
        <w:spacing w:line="44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（11）法律法规或投标人须知前附表规定的其他情形。</w:t>
      </w:r>
    </w:p>
    <w:p w14:paraId="4D283291">
      <w:pPr>
        <w:pStyle w:val="3"/>
        <w:ind w:firstLine="422" w:firstLineChars="200"/>
        <w:rPr>
          <w:rFonts w:ascii="宋体" w:hAnsi="宋体" w:eastAsia="宋体" w:cs="宋体"/>
          <w:color w:val="auto"/>
          <w:highlight w:val="none"/>
        </w:rPr>
      </w:pPr>
      <w:r>
        <w:rPr>
          <w:rFonts w:hint="eastAsia" w:ascii="宋体" w:hAnsi="宋体" w:eastAsia="宋体" w:cs="宋体"/>
          <w:color w:val="auto"/>
          <w:highlight w:val="none"/>
        </w:rPr>
        <w:t>1.5 费用承担</w:t>
      </w:r>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p>
    <w:p w14:paraId="2CDB29E0">
      <w:pPr>
        <w:spacing w:line="44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投标人准备和参加投标活动发生的费用自理。</w:t>
      </w:r>
    </w:p>
    <w:p w14:paraId="6B9E8D17">
      <w:pPr>
        <w:pStyle w:val="3"/>
        <w:ind w:firstLine="422" w:firstLineChars="200"/>
        <w:rPr>
          <w:rFonts w:ascii="宋体" w:hAnsi="宋体" w:eastAsia="宋体" w:cs="宋体"/>
          <w:color w:val="auto"/>
          <w:highlight w:val="none"/>
        </w:rPr>
      </w:pPr>
      <w:bookmarkStart w:id="136" w:name="_Toc152045536"/>
      <w:bookmarkStart w:id="137" w:name="_Toc179632553"/>
      <w:bookmarkStart w:id="138" w:name="_Toc144974504"/>
      <w:bookmarkStart w:id="139" w:name="_Toc324404821"/>
      <w:bookmarkStart w:id="140" w:name="_Toc246996924"/>
      <w:bookmarkStart w:id="141" w:name="_Toc4092"/>
      <w:bookmarkStart w:id="142" w:name="_Toc246996181"/>
      <w:bookmarkStart w:id="143" w:name="_Toc296602426"/>
      <w:bookmarkStart w:id="144" w:name="_Toc247085695"/>
      <w:bookmarkStart w:id="145" w:name="_Toc78803328"/>
      <w:bookmarkStart w:id="146" w:name="_Toc15058852"/>
      <w:bookmarkStart w:id="147" w:name="_Toc35424893"/>
      <w:bookmarkStart w:id="148" w:name="_Toc35425059"/>
      <w:bookmarkStart w:id="149" w:name="_Toc152042312"/>
      <w:bookmarkStart w:id="150" w:name="_Toc506107275"/>
      <w:r>
        <w:rPr>
          <w:rFonts w:hint="eastAsia" w:ascii="宋体" w:hAnsi="宋体" w:eastAsia="宋体" w:cs="宋体"/>
          <w:color w:val="auto"/>
          <w:highlight w:val="none"/>
        </w:rPr>
        <w:t>1.6 保密</w:t>
      </w:r>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p>
    <w:p w14:paraId="709F25B8">
      <w:pPr>
        <w:spacing w:line="44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 xml:space="preserve">参与招标投标活动的各方应对招标文件和投标文件中的商业和技术等秘密保密，违者应对由此造成的后果承担法律责任。 </w:t>
      </w:r>
    </w:p>
    <w:p w14:paraId="17C94B32">
      <w:pPr>
        <w:pStyle w:val="3"/>
        <w:ind w:firstLine="422" w:firstLineChars="200"/>
        <w:rPr>
          <w:rFonts w:ascii="宋体" w:hAnsi="宋体" w:eastAsia="宋体" w:cs="宋体"/>
          <w:color w:val="auto"/>
          <w:highlight w:val="none"/>
        </w:rPr>
      </w:pPr>
      <w:bookmarkStart w:id="151" w:name="_Toc144974505"/>
      <w:bookmarkStart w:id="152" w:name="_Toc246996925"/>
      <w:bookmarkStart w:id="153" w:name="_Toc35424894"/>
      <w:bookmarkStart w:id="154" w:name="_Toc246996182"/>
      <w:bookmarkStart w:id="155" w:name="_Toc78803329"/>
      <w:bookmarkStart w:id="156" w:name="_Toc15058853"/>
      <w:bookmarkStart w:id="157" w:name="_Toc152045537"/>
      <w:bookmarkStart w:id="158" w:name="_Toc296602427"/>
      <w:bookmarkStart w:id="159" w:name="_Toc152042313"/>
      <w:bookmarkStart w:id="160" w:name="_Toc247085696"/>
      <w:bookmarkStart w:id="161" w:name="_Toc4119"/>
      <w:bookmarkStart w:id="162" w:name="_Toc324404822"/>
      <w:bookmarkStart w:id="163" w:name="_Toc35425060"/>
      <w:bookmarkStart w:id="164" w:name="_Toc506107276"/>
      <w:bookmarkStart w:id="165" w:name="_Toc179632554"/>
      <w:r>
        <w:rPr>
          <w:rFonts w:hint="eastAsia" w:ascii="宋体" w:hAnsi="宋体" w:eastAsia="宋体" w:cs="宋体"/>
          <w:color w:val="auto"/>
          <w:highlight w:val="none"/>
        </w:rPr>
        <w:t>1.7 语言</w:t>
      </w:r>
      <w:bookmarkEnd w:id="151"/>
      <w:r>
        <w:rPr>
          <w:rFonts w:hint="eastAsia" w:ascii="宋体" w:hAnsi="宋体" w:eastAsia="宋体" w:cs="宋体"/>
          <w:color w:val="auto"/>
          <w:highlight w:val="none"/>
        </w:rPr>
        <w:t>文字</w:t>
      </w:r>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p>
    <w:p w14:paraId="13039B6C">
      <w:pPr>
        <w:spacing w:line="440" w:lineRule="exact"/>
        <w:ind w:firstLine="420" w:firstLineChars="200"/>
        <w:jc w:val="left"/>
        <w:rPr>
          <w:rFonts w:ascii="宋体" w:hAnsi="宋体" w:cs="宋体"/>
          <w:color w:val="auto"/>
          <w:szCs w:val="21"/>
          <w:highlight w:val="none"/>
        </w:rPr>
      </w:pPr>
      <w:bookmarkStart w:id="166" w:name="_Toc179632555"/>
      <w:bookmarkStart w:id="167" w:name="_Toc247085697"/>
      <w:bookmarkStart w:id="168" w:name="_Toc144974506"/>
      <w:bookmarkStart w:id="169" w:name="_Toc246996183"/>
      <w:bookmarkStart w:id="170" w:name="_Toc246996926"/>
      <w:bookmarkStart w:id="171" w:name="_Toc152042314"/>
      <w:bookmarkStart w:id="172" w:name="_Toc152045538"/>
      <w:r>
        <w:rPr>
          <w:rFonts w:hint="eastAsia" w:ascii="宋体" w:hAnsi="宋体" w:cs="宋体"/>
          <w:color w:val="auto"/>
          <w:szCs w:val="21"/>
          <w:highlight w:val="none"/>
        </w:rPr>
        <w:t>招标投标文件使用的语言文字为中文。专用术语使用外文的，应附有中文注释。</w:t>
      </w:r>
    </w:p>
    <w:p w14:paraId="07887133">
      <w:pPr>
        <w:pStyle w:val="3"/>
        <w:ind w:firstLine="422" w:firstLineChars="200"/>
        <w:rPr>
          <w:rFonts w:ascii="宋体" w:hAnsi="宋体" w:eastAsia="宋体" w:cs="宋体"/>
          <w:color w:val="auto"/>
          <w:highlight w:val="none"/>
        </w:rPr>
      </w:pPr>
      <w:bookmarkStart w:id="173" w:name="_Toc324404823"/>
      <w:bookmarkStart w:id="174" w:name="_Toc506107277"/>
      <w:bookmarkStart w:id="175" w:name="_Toc35425061"/>
      <w:bookmarkStart w:id="176" w:name="_Toc296602428"/>
      <w:bookmarkStart w:id="177" w:name="_Toc15058854"/>
      <w:bookmarkStart w:id="178" w:name="_Toc78803330"/>
      <w:bookmarkStart w:id="179" w:name="_Toc13408"/>
      <w:bookmarkStart w:id="180" w:name="_Toc35424895"/>
      <w:r>
        <w:rPr>
          <w:rFonts w:hint="eastAsia" w:ascii="宋体" w:hAnsi="宋体" w:eastAsia="宋体" w:cs="宋体"/>
          <w:color w:val="auto"/>
          <w:highlight w:val="none"/>
        </w:rPr>
        <w:t>1.8 计量单位</w:t>
      </w:r>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p>
    <w:p w14:paraId="3DEA88EB">
      <w:pPr>
        <w:spacing w:line="44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所有计量均采用中华人民共和国法定计量单位。</w:t>
      </w:r>
    </w:p>
    <w:p w14:paraId="6E75FA73">
      <w:pPr>
        <w:pStyle w:val="3"/>
        <w:ind w:firstLine="422" w:firstLineChars="200"/>
        <w:rPr>
          <w:rFonts w:ascii="宋体" w:hAnsi="宋体" w:eastAsia="宋体" w:cs="宋体"/>
          <w:color w:val="auto"/>
          <w:highlight w:val="none"/>
        </w:rPr>
      </w:pPr>
      <w:bookmarkStart w:id="181" w:name="_Toc144974507"/>
      <w:bookmarkStart w:id="182" w:name="_Toc247592876"/>
      <w:bookmarkStart w:id="183" w:name="_Toc35424896"/>
      <w:bookmarkStart w:id="184" w:name="_Toc324404824"/>
      <w:bookmarkStart w:id="185" w:name="_Toc296602429"/>
      <w:bookmarkStart w:id="186" w:name="_Toc15058855"/>
      <w:bookmarkStart w:id="187" w:name="_Toc11493"/>
      <w:bookmarkStart w:id="188" w:name="_Toc247527563"/>
      <w:bookmarkStart w:id="189" w:name="_Toc78803331"/>
      <w:bookmarkStart w:id="190" w:name="_Toc152045539"/>
      <w:bookmarkStart w:id="191" w:name="_Toc152042315"/>
      <w:bookmarkStart w:id="192" w:name="_Toc506107278"/>
      <w:bookmarkStart w:id="193" w:name="_Toc35425062"/>
      <w:bookmarkStart w:id="194" w:name="_Toc247513962"/>
      <w:r>
        <w:rPr>
          <w:rFonts w:hint="eastAsia" w:ascii="宋体" w:hAnsi="宋体" w:eastAsia="宋体" w:cs="宋体"/>
          <w:color w:val="auto"/>
          <w:highlight w:val="none"/>
        </w:rPr>
        <w:t>1.9 踏勘现场</w:t>
      </w:r>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p>
    <w:p w14:paraId="5AA9B494">
      <w:pPr>
        <w:spacing w:line="440" w:lineRule="exact"/>
        <w:ind w:firstLine="420" w:firstLineChars="200"/>
        <w:jc w:val="left"/>
        <w:rPr>
          <w:rFonts w:hint="eastAsia" w:ascii="宋体" w:hAnsi="宋体" w:eastAsia="宋体" w:cs="宋体"/>
          <w:color w:val="auto"/>
          <w:szCs w:val="21"/>
          <w:highlight w:val="none"/>
        </w:rPr>
      </w:pPr>
      <w:bookmarkStart w:id="195" w:name="_Toc144974508"/>
      <w:bookmarkStart w:id="196" w:name="_Toc152042316"/>
      <w:bookmarkStart w:id="197" w:name="_Toc35425063"/>
      <w:bookmarkStart w:id="198" w:name="_Toc296602430"/>
      <w:bookmarkStart w:id="199" w:name="_Toc78803332"/>
      <w:bookmarkStart w:id="200" w:name="_Toc324404825"/>
      <w:bookmarkStart w:id="201" w:name="_Toc22954"/>
      <w:bookmarkStart w:id="202" w:name="_Toc152045540"/>
      <w:bookmarkStart w:id="203" w:name="_Toc35424897"/>
      <w:bookmarkStart w:id="204" w:name="_Toc247513963"/>
      <w:bookmarkStart w:id="205" w:name="_Toc247527564"/>
      <w:bookmarkStart w:id="206" w:name="_Toc247592877"/>
      <w:bookmarkStart w:id="207" w:name="_Toc15058856"/>
      <w:bookmarkStart w:id="208" w:name="_Toc506107279"/>
      <w:r>
        <w:rPr>
          <w:rFonts w:hint="eastAsia" w:ascii="宋体" w:hAnsi="宋体" w:eastAsia="宋体" w:cs="宋体"/>
          <w:color w:val="auto"/>
          <w:szCs w:val="21"/>
          <w:highlight w:val="none"/>
        </w:rPr>
        <w:t xml:space="preserve">1.9.1前附表规定组织踏勘现场的，招标人按投标人须知前附表规定的时间、地点组织投标人踏勘项目现场。部分投标人未按时参加踏勘现场的，不影响踏勘现场的正常进行。招标人不得组织单个或部分投标人踏勘项目现场。 </w:t>
      </w:r>
    </w:p>
    <w:p w14:paraId="1D49473C">
      <w:pPr>
        <w:spacing w:line="44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1.9.2 投标人踏勘现场发生的费用自理。</w:t>
      </w:r>
    </w:p>
    <w:p w14:paraId="4EA36043">
      <w:pPr>
        <w:spacing w:line="44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1.9.3 除招标人的原因外，投标人自行负责在踏勘现场中所发生的人员伤亡和财产损失。</w:t>
      </w:r>
    </w:p>
    <w:p w14:paraId="50FCC1C9">
      <w:pPr>
        <w:spacing w:line="44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1.9.4 招标人在踏勘现场中介绍的工程场地和相关的周边环境情况，供投标人在编制投标文件时参考，招标人不对投标人据此作出的判断和决策负责。</w:t>
      </w:r>
    </w:p>
    <w:p w14:paraId="024D6A4F">
      <w:pPr>
        <w:spacing w:line="44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1.9.5无论投标人是否到施工现场实地踏勘，中标后签订合同时和履约过程中，投标人不得以不完全了解现场情况或现场情况与招标文件描述不一致等为由，提出任何形式的增加工程造价或索赔的要求。</w:t>
      </w:r>
    </w:p>
    <w:p w14:paraId="179FDA06">
      <w:pPr>
        <w:pStyle w:val="3"/>
        <w:ind w:firstLine="422" w:firstLineChars="200"/>
        <w:rPr>
          <w:rFonts w:ascii="宋体" w:hAnsi="宋体" w:eastAsia="宋体" w:cs="宋体"/>
          <w:color w:val="auto"/>
          <w:highlight w:val="none"/>
        </w:rPr>
      </w:pPr>
      <w:r>
        <w:rPr>
          <w:rFonts w:hint="eastAsia" w:ascii="宋体" w:hAnsi="宋体" w:eastAsia="宋体" w:cs="宋体"/>
          <w:color w:val="auto"/>
          <w:highlight w:val="none"/>
        </w:rPr>
        <w:t>1.10 投标预备会</w:t>
      </w:r>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p>
    <w:p w14:paraId="59781F3B">
      <w:pPr>
        <w:spacing w:line="440" w:lineRule="exact"/>
        <w:ind w:firstLine="420" w:firstLineChars="200"/>
        <w:jc w:val="left"/>
        <w:rPr>
          <w:rFonts w:hint="eastAsia" w:ascii="宋体" w:hAnsi="宋体" w:eastAsia="宋体" w:cs="宋体"/>
          <w:color w:val="auto"/>
          <w:szCs w:val="21"/>
          <w:highlight w:val="none"/>
        </w:rPr>
      </w:pPr>
      <w:bookmarkStart w:id="209" w:name="_Toc83301699"/>
      <w:bookmarkStart w:id="210" w:name="_Toc60061444"/>
      <w:bookmarkStart w:id="211" w:name="_Toc95223347"/>
      <w:bookmarkStart w:id="212" w:name="_Toc32016"/>
      <w:bookmarkStart w:id="213" w:name="_Toc35424898"/>
      <w:bookmarkStart w:id="214" w:name="_Toc324404826"/>
      <w:bookmarkStart w:id="215" w:name="_Toc15058857"/>
      <w:bookmarkStart w:id="216" w:name="_Toc296602431"/>
      <w:bookmarkStart w:id="217" w:name="_Toc35425064"/>
      <w:bookmarkStart w:id="218" w:name="_Toc78803333"/>
      <w:bookmarkStart w:id="219" w:name="_Toc506107280"/>
      <w:r>
        <w:rPr>
          <w:rFonts w:hint="eastAsia" w:ascii="宋体" w:hAnsi="宋体" w:eastAsia="宋体" w:cs="宋体"/>
          <w:color w:val="auto"/>
          <w:szCs w:val="21"/>
          <w:highlight w:val="none"/>
        </w:rPr>
        <w:t>1.10.1投标人须知前附表规定召开投标预备会的，招标人按投标人须知前附表规定的时间和地点召开投标预备会，澄清投标人提出的问题。</w:t>
      </w:r>
    </w:p>
    <w:p w14:paraId="68E1CBD9">
      <w:pPr>
        <w:spacing w:line="44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1.10.2投标人应在投标人须知前附表规定的时间前，将提出的问题送达招标人，以便招标人澄清。</w:t>
      </w:r>
    </w:p>
    <w:p w14:paraId="77334C7F">
      <w:pPr>
        <w:pStyle w:val="3"/>
        <w:ind w:firstLine="422" w:firstLineChars="200"/>
        <w:rPr>
          <w:rFonts w:hint="eastAsia" w:ascii="宋体" w:hAnsi="宋体" w:eastAsia="宋体" w:cs="宋体"/>
          <w:color w:val="auto"/>
          <w:highlight w:val="none"/>
        </w:rPr>
      </w:pPr>
      <w:r>
        <w:rPr>
          <w:rFonts w:hint="eastAsia" w:ascii="宋体" w:hAnsi="宋体" w:eastAsia="宋体" w:cs="宋体"/>
          <w:color w:val="auto"/>
          <w:highlight w:val="none"/>
        </w:rPr>
        <w:t>1.11 分包</w:t>
      </w:r>
      <w:bookmarkEnd w:id="209"/>
      <w:bookmarkEnd w:id="210"/>
      <w:bookmarkEnd w:id="211"/>
    </w:p>
    <w:p w14:paraId="4C37D79E">
      <w:pPr>
        <w:spacing w:line="44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1.11.1投标人拟在中标后将中标项目的部分非主体、非关键性工作进行分包的，应符合以下规定：</w:t>
      </w:r>
    </w:p>
    <w:p w14:paraId="656917F9">
      <w:pPr>
        <w:spacing w:line="44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（1）分包内容要求：招标人允许分包或不允许分包的专业工程（如有）应在投标人须知前附表中载明；</w:t>
      </w:r>
    </w:p>
    <w:p w14:paraId="5CB3AEC0">
      <w:pPr>
        <w:spacing w:line="44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（2）接受分包的第三人资格要求：分包人的资格能力应与其分包工程的标准和规模相适应，且具备投标人须知前附表中规定的资格条件；</w:t>
      </w:r>
    </w:p>
    <w:p w14:paraId="4C9BC43D">
      <w:pPr>
        <w:spacing w:line="44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（3）其他要求：投标人如有分包计划，应按第九章“投标文件格式”的要求填写“拟分包项目情况表”，明确拟分包的工程及规模，且投标人中标后的分包应满足合同条款的相关要求。</w:t>
      </w:r>
    </w:p>
    <w:p w14:paraId="25700247">
      <w:pPr>
        <w:spacing w:line="440" w:lineRule="exact"/>
        <w:ind w:firstLine="420" w:firstLineChars="200"/>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1.11.2中标人不得向他人转让中标项目，接受分包的人不得再次分包。中标人应就分包项目向招标人负责，接受分包的人就分包项目承担连带责任</w:t>
      </w:r>
      <w:r>
        <w:rPr>
          <w:rFonts w:hint="eastAsia" w:ascii="宋体" w:hAnsi="宋体" w:eastAsia="宋体" w:cs="宋体"/>
          <w:color w:val="auto"/>
          <w:szCs w:val="21"/>
          <w:highlight w:val="none"/>
          <w:lang w:eastAsia="zh-CN"/>
        </w:rPr>
        <w:t>。</w:t>
      </w:r>
    </w:p>
    <w:p w14:paraId="01FA1CA0">
      <w:pPr>
        <w:pStyle w:val="3"/>
        <w:ind w:firstLine="422" w:firstLineChars="200"/>
        <w:rPr>
          <w:rFonts w:ascii="宋体" w:hAnsi="宋体" w:eastAsia="宋体" w:cs="宋体"/>
          <w:color w:val="auto"/>
          <w:highlight w:val="none"/>
        </w:rPr>
      </w:pPr>
      <w:r>
        <w:rPr>
          <w:rFonts w:hint="eastAsia" w:ascii="宋体" w:hAnsi="宋体" w:eastAsia="宋体" w:cs="宋体"/>
          <w:color w:val="auto"/>
          <w:highlight w:val="none"/>
        </w:rPr>
        <w:t>1.1</w:t>
      </w:r>
      <w:r>
        <w:rPr>
          <w:rFonts w:hint="eastAsia" w:ascii="宋体" w:hAnsi="宋体" w:eastAsia="宋体" w:cs="宋体"/>
          <w:color w:val="auto"/>
          <w:highlight w:val="none"/>
          <w:lang w:val="en-US" w:eastAsia="zh-CN"/>
        </w:rPr>
        <w:t>2</w:t>
      </w:r>
      <w:r>
        <w:rPr>
          <w:rFonts w:hint="eastAsia" w:ascii="宋体" w:hAnsi="宋体" w:eastAsia="宋体" w:cs="宋体"/>
          <w:color w:val="auto"/>
          <w:highlight w:val="none"/>
        </w:rPr>
        <w:t xml:space="preserve"> 偏离</w:t>
      </w:r>
      <w:bookmarkEnd w:id="212"/>
      <w:bookmarkEnd w:id="213"/>
      <w:bookmarkEnd w:id="214"/>
      <w:bookmarkEnd w:id="215"/>
      <w:bookmarkEnd w:id="216"/>
      <w:bookmarkEnd w:id="217"/>
      <w:bookmarkEnd w:id="218"/>
      <w:bookmarkEnd w:id="219"/>
    </w:p>
    <w:p w14:paraId="6C0210C7">
      <w:pPr>
        <w:spacing w:line="44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1.12.1投标文件偏离招标文件某些要求，视为投标文件存在偏差。偏差包括重大偏差和细微偏差。</w:t>
      </w:r>
    </w:p>
    <w:p w14:paraId="37CEA0BF">
      <w:pPr>
        <w:spacing w:line="44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1.12.2投标文件应对招标文件的实质性要求和条件作出满足性或更有利于招标人的响应，否则，视为投标文件存在重大偏差，投标人的投标将被否决。</w:t>
      </w:r>
    </w:p>
    <w:p w14:paraId="29D3BBD4">
      <w:pPr>
        <w:spacing w:line="44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投标文件存在第四章“评标办法”中所列任一无效投标情形的，均属于存在重大偏差。</w:t>
      </w:r>
    </w:p>
    <w:p w14:paraId="5FF54E7D">
      <w:pPr>
        <w:spacing w:line="44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1.12.3投标文件中的下列偏差为细微偏差：</w:t>
      </w:r>
    </w:p>
    <w:p w14:paraId="369FF23D">
      <w:pPr>
        <w:spacing w:line="44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在按照第四章“评标办法”的规定对投标价进行算术性错误修正及其他错误修正后，最终投标报价未超过最高投标限价（如有）或未被否决投标的情况下，出现第四章“评标办法”规定的算术性错误和投标报价的其他错误；</w:t>
      </w:r>
    </w:p>
    <w:p w14:paraId="0E80F0C1">
      <w:pPr>
        <w:spacing w:line="44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（2）投标文件个别文字有遗漏错误等不影响投标文件实质性内容的偏差。</w:t>
      </w:r>
    </w:p>
    <w:p w14:paraId="5169B9EF">
      <w:pPr>
        <w:spacing w:line="44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1.12.4评标委员会对投标文件中的细微偏差按如下规定处理：</w:t>
      </w:r>
    </w:p>
    <w:p w14:paraId="291A7C9D">
      <w:pPr>
        <w:spacing w:line="44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对于本章第 1.12.3 项（1）目所述的细微偏差，按照第四章“评标办法”的规定予以修正并要求投标人进行澄清；</w:t>
      </w:r>
    </w:p>
    <w:p w14:paraId="2BAB6D79">
      <w:pPr>
        <w:spacing w:line="44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对于本章第 1.12.3 项（2）目所述的细微偏差，可要求投标人对细微偏差进行澄清。</w:t>
      </w:r>
    </w:p>
    <w:p w14:paraId="258F395D">
      <w:pPr>
        <w:pStyle w:val="3"/>
        <w:spacing w:beforeLines="50" w:afterLines="50"/>
        <w:ind w:firstLine="482" w:firstLineChars="200"/>
        <w:rPr>
          <w:rFonts w:ascii="宋体" w:hAnsi="宋体" w:eastAsia="宋体" w:cs="宋体"/>
          <w:color w:val="auto"/>
          <w:sz w:val="24"/>
          <w:szCs w:val="24"/>
          <w:highlight w:val="none"/>
        </w:rPr>
      </w:pPr>
      <w:bookmarkStart w:id="220" w:name="_Toc246996930"/>
      <w:bookmarkStart w:id="221" w:name="_Toc15058858"/>
      <w:bookmarkStart w:id="222" w:name="_Toc506107281"/>
      <w:bookmarkStart w:id="223" w:name="_Toc152042318"/>
      <w:bookmarkStart w:id="224" w:name="_Toc247085701"/>
      <w:bookmarkStart w:id="225" w:name="_Toc324404827"/>
      <w:bookmarkStart w:id="226" w:name="_Toc35424899"/>
      <w:bookmarkStart w:id="227" w:name="_Toc246996187"/>
      <w:bookmarkStart w:id="228" w:name="_Toc144974510"/>
      <w:bookmarkStart w:id="229" w:name="_Toc35425065"/>
      <w:bookmarkStart w:id="230" w:name="_Toc152045542"/>
      <w:bookmarkStart w:id="231" w:name="_Toc78803334"/>
      <w:bookmarkStart w:id="232" w:name="_Toc4012"/>
      <w:bookmarkStart w:id="233" w:name="_Toc179632560"/>
      <w:r>
        <w:rPr>
          <w:rFonts w:hint="eastAsia" w:ascii="宋体" w:hAnsi="宋体" w:eastAsia="宋体" w:cs="宋体"/>
          <w:color w:val="auto"/>
          <w:sz w:val="24"/>
          <w:szCs w:val="24"/>
          <w:highlight w:val="none"/>
        </w:rPr>
        <w:t>2. 招标文件</w:t>
      </w:r>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p>
    <w:p w14:paraId="1E9A892E">
      <w:pPr>
        <w:pStyle w:val="3"/>
        <w:ind w:firstLine="422" w:firstLineChars="200"/>
        <w:rPr>
          <w:rFonts w:ascii="宋体" w:hAnsi="宋体" w:eastAsia="宋体" w:cs="宋体"/>
          <w:color w:val="auto"/>
          <w:highlight w:val="none"/>
        </w:rPr>
      </w:pPr>
      <w:bookmarkStart w:id="234" w:name="_Toc15058859"/>
      <w:bookmarkStart w:id="235" w:name="_Toc324404828"/>
      <w:bookmarkStart w:id="236" w:name="_Toc35424900"/>
      <w:bookmarkStart w:id="237" w:name="_Toc152042319"/>
      <w:bookmarkStart w:id="238" w:name="_Toc179632561"/>
      <w:bookmarkStart w:id="239" w:name="_Toc78803335"/>
      <w:bookmarkStart w:id="240" w:name="_Toc144974511"/>
      <w:bookmarkStart w:id="241" w:name="_Toc35425066"/>
      <w:bookmarkStart w:id="242" w:name="_Toc296602433"/>
      <w:bookmarkStart w:id="243" w:name="_Toc152045543"/>
      <w:bookmarkStart w:id="244" w:name="_Toc506107282"/>
      <w:bookmarkStart w:id="245" w:name="_Toc246996188"/>
      <w:bookmarkStart w:id="246" w:name="_Toc247085702"/>
      <w:bookmarkStart w:id="247" w:name="_Toc246996931"/>
      <w:bookmarkStart w:id="248" w:name="_Toc13213"/>
      <w:r>
        <w:rPr>
          <w:rFonts w:hint="eastAsia" w:ascii="宋体" w:hAnsi="宋体" w:eastAsia="宋体" w:cs="宋体"/>
          <w:color w:val="auto"/>
          <w:highlight w:val="none"/>
        </w:rPr>
        <w:t>2.1 招标文件的组成</w:t>
      </w:r>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p>
    <w:p w14:paraId="2F335EA0">
      <w:pPr>
        <w:spacing w:line="44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2.1.1 本招标文件包括：</w:t>
      </w:r>
    </w:p>
    <w:p w14:paraId="17A25422">
      <w:pPr>
        <w:spacing w:line="44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（1）招标公告；</w:t>
      </w:r>
    </w:p>
    <w:p w14:paraId="309C973C">
      <w:pPr>
        <w:spacing w:line="44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（2）投标人须知；</w:t>
      </w:r>
    </w:p>
    <w:p w14:paraId="794E1BCF">
      <w:pPr>
        <w:spacing w:line="44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（3）资格审查办法</w:t>
      </w:r>
    </w:p>
    <w:p w14:paraId="0F96BD3B">
      <w:pPr>
        <w:spacing w:line="44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（4）评标办法；</w:t>
      </w:r>
    </w:p>
    <w:p w14:paraId="21E08D67">
      <w:pPr>
        <w:spacing w:line="440" w:lineRule="exact"/>
        <w:ind w:firstLine="420" w:firstLineChars="200"/>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（5）工程量清单</w:t>
      </w:r>
      <w:r>
        <w:rPr>
          <w:rFonts w:hint="eastAsia" w:ascii="宋体" w:hAnsi="宋体" w:eastAsia="宋体" w:cs="宋体"/>
          <w:color w:val="auto"/>
          <w:szCs w:val="21"/>
          <w:highlight w:val="none"/>
          <w:lang w:eastAsia="zh-CN"/>
        </w:rPr>
        <w:t>；</w:t>
      </w:r>
    </w:p>
    <w:p w14:paraId="66146639">
      <w:pPr>
        <w:spacing w:line="440" w:lineRule="exact"/>
        <w:ind w:firstLine="420" w:firstLineChars="200"/>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6</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图纸</w:t>
      </w:r>
    </w:p>
    <w:p w14:paraId="70CE5832">
      <w:pPr>
        <w:spacing w:line="44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7</w:t>
      </w:r>
      <w:r>
        <w:rPr>
          <w:rFonts w:hint="eastAsia" w:ascii="宋体" w:hAnsi="宋体" w:eastAsia="宋体" w:cs="宋体"/>
          <w:color w:val="auto"/>
          <w:szCs w:val="21"/>
          <w:highlight w:val="none"/>
        </w:rPr>
        <w:t>）合同条款及格式；</w:t>
      </w:r>
    </w:p>
    <w:p w14:paraId="3AB46C6B">
      <w:pPr>
        <w:spacing w:line="44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8</w:t>
      </w:r>
      <w:r>
        <w:rPr>
          <w:rFonts w:hint="eastAsia" w:ascii="宋体" w:hAnsi="宋体" w:eastAsia="宋体" w:cs="宋体"/>
          <w:color w:val="auto"/>
          <w:szCs w:val="21"/>
          <w:highlight w:val="none"/>
        </w:rPr>
        <w:t>）投标文件格式；</w:t>
      </w:r>
    </w:p>
    <w:p w14:paraId="58EF797A">
      <w:pPr>
        <w:spacing w:line="44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9</w:t>
      </w:r>
      <w:r>
        <w:rPr>
          <w:rFonts w:hint="eastAsia" w:ascii="宋体" w:hAnsi="宋体" w:eastAsia="宋体" w:cs="宋体"/>
          <w:color w:val="auto"/>
          <w:szCs w:val="21"/>
          <w:highlight w:val="none"/>
        </w:rPr>
        <w:t>）投标人须知前附表规定的其他材料。</w:t>
      </w:r>
    </w:p>
    <w:p w14:paraId="4A2A5929">
      <w:pPr>
        <w:spacing w:line="44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2.1.2 根据本章第1.10款、第2.2款和第2.3款对招标文件所作的澄清、修改，构成招标文件的组成部分。</w:t>
      </w:r>
    </w:p>
    <w:p w14:paraId="07992AB0">
      <w:pPr>
        <w:spacing w:line="44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2.1.3当招标文件、招标文件的澄清或修改等在同一内容的表述上不一致时，以最后发出的文件为准。</w:t>
      </w:r>
    </w:p>
    <w:p w14:paraId="3B513EA0">
      <w:pPr>
        <w:pStyle w:val="3"/>
        <w:ind w:firstLine="422" w:firstLineChars="200"/>
        <w:rPr>
          <w:rFonts w:hint="eastAsia" w:ascii="宋体" w:hAnsi="宋体" w:eastAsia="宋体" w:cs="宋体"/>
          <w:color w:val="auto"/>
          <w:highlight w:val="none"/>
        </w:rPr>
      </w:pPr>
      <w:bookmarkStart w:id="249" w:name="_Toc247085703"/>
      <w:bookmarkStart w:id="250" w:name="_Toc506107283"/>
      <w:bookmarkStart w:id="251" w:name="_Toc32239"/>
      <w:bookmarkStart w:id="252" w:name="_Toc179632562"/>
      <w:bookmarkStart w:id="253" w:name="_Toc144974512"/>
      <w:bookmarkStart w:id="254" w:name="_Toc152042320"/>
      <w:bookmarkStart w:id="255" w:name="_Toc78803336"/>
      <w:bookmarkStart w:id="256" w:name="_Toc15058860"/>
      <w:bookmarkStart w:id="257" w:name="_Toc324404829"/>
      <w:bookmarkStart w:id="258" w:name="_Toc246996932"/>
      <w:bookmarkStart w:id="259" w:name="_Toc246996189"/>
      <w:bookmarkStart w:id="260" w:name="_Toc35425067"/>
      <w:bookmarkStart w:id="261" w:name="_Toc296602434"/>
      <w:bookmarkStart w:id="262" w:name="_Toc35424901"/>
      <w:bookmarkStart w:id="263" w:name="_Toc152045544"/>
      <w:r>
        <w:rPr>
          <w:rFonts w:hint="eastAsia" w:ascii="宋体" w:hAnsi="宋体" w:eastAsia="宋体" w:cs="宋体"/>
          <w:color w:val="auto"/>
          <w:highlight w:val="none"/>
        </w:rPr>
        <w:t xml:space="preserve">2.2 </w:t>
      </w:r>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r>
        <w:rPr>
          <w:rFonts w:hint="eastAsia" w:ascii="宋体" w:hAnsi="宋体" w:eastAsia="宋体" w:cs="宋体"/>
          <w:color w:val="auto"/>
          <w:highlight w:val="none"/>
        </w:rPr>
        <w:t>招标文件的异议</w:t>
      </w:r>
    </w:p>
    <w:p w14:paraId="47165EFB">
      <w:pPr>
        <w:spacing w:line="44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投标人应仔细阅读和检查招标文件的全部内容。如有疑问，应在投标人须知前附表规定的时间前</w:t>
      </w:r>
      <w:r>
        <w:rPr>
          <w:rFonts w:hint="eastAsia" w:ascii="宋体" w:hAnsi="宋体" w:eastAsia="宋体" w:cs="宋体"/>
          <w:color w:val="auto"/>
          <w:szCs w:val="21"/>
          <w:highlight w:val="none"/>
          <w:lang w:val="en-US" w:eastAsia="zh-CN"/>
        </w:rPr>
        <w:t>登录新点电子交易平台【滁州专区】线上提出</w:t>
      </w:r>
      <w:r>
        <w:rPr>
          <w:rFonts w:hint="eastAsia" w:ascii="宋体" w:hAnsi="宋体" w:cs="宋体"/>
          <w:color w:val="auto"/>
          <w:szCs w:val="21"/>
          <w:highlight w:val="none"/>
        </w:rPr>
        <w:t>。</w:t>
      </w:r>
    </w:p>
    <w:p w14:paraId="5EC8A5BB">
      <w:pPr>
        <w:pStyle w:val="3"/>
        <w:ind w:firstLine="422" w:firstLineChars="200"/>
        <w:rPr>
          <w:rFonts w:hint="eastAsia" w:ascii="宋体" w:hAnsi="宋体" w:eastAsia="宋体" w:cs="宋体"/>
          <w:color w:val="auto"/>
          <w:highlight w:val="none"/>
          <w:lang w:eastAsia="zh-CN"/>
        </w:rPr>
      </w:pPr>
      <w:bookmarkStart w:id="264" w:name="_Toc296602435"/>
      <w:bookmarkStart w:id="265" w:name="_Toc35424902"/>
      <w:bookmarkStart w:id="266" w:name="_Toc35425068"/>
      <w:bookmarkStart w:id="267" w:name="_Toc324404830"/>
      <w:bookmarkStart w:id="268" w:name="_Toc506107284"/>
      <w:bookmarkStart w:id="269" w:name="_Toc144974513"/>
      <w:bookmarkStart w:id="270" w:name="_Toc246996190"/>
      <w:bookmarkStart w:id="271" w:name="_Toc152045545"/>
      <w:bookmarkStart w:id="272" w:name="_Toc246996933"/>
      <w:bookmarkStart w:id="273" w:name="_Toc152042321"/>
      <w:bookmarkStart w:id="274" w:name="_Toc179632563"/>
      <w:bookmarkStart w:id="275" w:name="_Toc247085704"/>
      <w:bookmarkStart w:id="276" w:name="_Toc24633"/>
      <w:bookmarkStart w:id="277" w:name="_Toc15058861"/>
      <w:bookmarkStart w:id="278" w:name="_Toc78803337"/>
      <w:r>
        <w:rPr>
          <w:rFonts w:hint="eastAsia" w:ascii="宋体" w:hAnsi="宋体" w:eastAsia="宋体" w:cs="宋体"/>
          <w:color w:val="auto"/>
          <w:highlight w:val="none"/>
        </w:rPr>
        <w:t>2.3 招标文件的</w:t>
      </w:r>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r>
        <w:rPr>
          <w:rFonts w:hint="eastAsia" w:ascii="宋体" w:hAnsi="宋体" w:eastAsia="宋体" w:cs="宋体"/>
          <w:color w:val="auto"/>
          <w:highlight w:val="none"/>
          <w:lang w:val="en-US" w:eastAsia="zh-CN"/>
        </w:rPr>
        <w:t>澄清</w:t>
      </w:r>
    </w:p>
    <w:p w14:paraId="47D94C5D">
      <w:pPr>
        <w:keepNext w:val="0"/>
        <w:keepLines w:val="0"/>
        <w:pageBreakBefore w:val="0"/>
        <w:widowControl w:val="0"/>
        <w:kinsoku/>
        <w:wordWrap w:val="0"/>
        <w:overflowPunct/>
        <w:topLinePunct w:val="0"/>
        <w:autoSpaceDE/>
        <w:autoSpaceDN/>
        <w:bidi w:val="0"/>
        <w:adjustRightInd/>
        <w:snapToGrid/>
        <w:spacing w:line="440" w:lineRule="exact"/>
        <w:ind w:firstLine="420" w:firstLineChars="200"/>
        <w:jc w:val="left"/>
        <w:textAlignment w:val="auto"/>
        <w:rPr>
          <w:rFonts w:hint="eastAsia" w:ascii="宋体" w:hAnsi="宋体" w:eastAsia="宋体" w:cs="宋体"/>
          <w:color w:val="auto"/>
          <w:szCs w:val="21"/>
          <w:highlight w:val="none"/>
        </w:rPr>
      </w:pPr>
      <w:bookmarkStart w:id="279" w:name="_Toc35424903"/>
      <w:bookmarkStart w:id="280" w:name="_Toc78803338"/>
      <w:bookmarkStart w:id="281" w:name="_Toc324404831"/>
      <w:bookmarkStart w:id="282" w:name="_Toc15058862"/>
      <w:bookmarkStart w:id="283" w:name="_Toc2696"/>
      <w:bookmarkStart w:id="284" w:name="_Toc35425069"/>
      <w:r>
        <w:rPr>
          <w:rFonts w:hint="eastAsia" w:ascii="宋体" w:hAnsi="宋体" w:eastAsia="宋体" w:cs="宋体"/>
          <w:color w:val="auto"/>
          <w:szCs w:val="21"/>
          <w:highlight w:val="none"/>
        </w:rPr>
        <w:t>招标文件的澄清将在</w:t>
      </w:r>
      <w:r>
        <w:rPr>
          <w:rFonts w:hint="eastAsia" w:ascii="宋体" w:hAnsi="宋体" w:eastAsia="宋体" w:cs="宋体"/>
          <w:color w:val="auto"/>
          <w:sz w:val="21"/>
          <w:szCs w:val="21"/>
          <w:highlight w:val="none"/>
          <w:lang w:eastAsia="zh-CN"/>
        </w:rPr>
        <w:t>滁州市琅琊区人民政府（https://www.lyq.gov.cn/）、</w:t>
      </w:r>
      <w:r>
        <w:rPr>
          <w:rFonts w:hint="eastAsia" w:ascii="宋体" w:hAnsi="宋体" w:eastAsia="宋体" w:cs="宋体"/>
          <w:color w:val="auto"/>
          <w:szCs w:val="21"/>
          <w:highlight w:val="none"/>
          <w:lang w:val="en-US" w:eastAsia="zh-CN"/>
        </w:rPr>
        <w:t>滁州市城投工程咨询管理有限公司网站</w:t>
      </w:r>
      <w:r>
        <w:rPr>
          <w:rFonts w:hint="eastAsia" w:ascii="宋体" w:hAnsi="宋体" w:eastAsia="宋体" w:cs="宋体"/>
          <w:color w:val="auto"/>
          <w:szCs w:val="21"/>
          <w:highlight w:val="none"/>
        </w:rPr>
        <w:t>（https://www.czctgczx.com/）发布，但不指明澄清问题的来源。如果澄清发出的时间距投标人须知前附表规定的投标截止时间不足15天，并且澄清内容影响投标文件编制的，将相应延长投标截止时间。</w:t>
      </w:r>
    </w:p>
    <w:bookmarkEnd w:id="279"/>
    <w:bookmarkEnd w:id="280"/>
    <w:bookmarkEnd w:id="281"/>
    <w:bookmarkEnd w:id="282"/>
    <w:bookmarkEnd w:id="283"/>
    <w:bookmarkEnd w:id="284"/>
    <w:p w14:paraId="5681C7DF">
      <w:pPr>
        <w:pStyle w:val="3"/>
        <w:spacing w:beforeLines="50" w:afterLines="50"/>
        <w:ind w:firstLine="482" w:firstLineChars="200"/>
        <w:rPr>
          <w:rFonts w:ascii="宋体" w:hAnsi="宋体" w:eastAsia="宋体" w:cs="宋体"/>
          <w:color w:val="auto"/>
          <w:sz w:val="24"/>
          <w:szCs w:val="24"/>
          <w:highlight w:val="none"/>
        </w:rPr>
      </w:pPr>
      <w:bookmarkStart w:id="285" w:name="_Toc152042322"/>
      <w:bookmarkStart w:id="286" w:name="_Toc246996191"/>
      <w:bookmarkStart w:id="287" w:name="_Toc78803339"/>
      <w:bookmarkStart w:id="288" w:name="_Toc246996934"/>
      <w:bookmarkStart w:id="289" w:name="_Toc35424904"/>
      <w:bookmarkStart w:id="290" w:name="_Toc35425070"/>
      <w:bookmarkStart w:id="291" w:name="_Toc15058863"/>
      <w:bookmarkStart w:id="292" w:name="_Toc144974514"/>
      <w:bookmarkStart w:id="293" w:name="_Toc324404832"/>
      <w:bookmarkStart w:id="294" w:name="_Toc247085705"/>
      <w:bookmarkStart w:id="295" w:name="_Toc506107285"/>
      <w:bookmarkStart w:id="296" w:name="_Toc152045546"/>
      <w:bookmarkStart w:id="297" w:name="_Toc179632564"/>
      <w:bookmarkStart w:id="298" w:name="_Toc6464"/>
      <w:r>
        <w:rPr>
          <w:rFonts w:hint="eastAsia" w:ascii="宋体" w:hAnsi="宋体" w:eastAsia="宋体" w:cs="宋体"/>
          <w:color w:val="auto"/>
          <w:sz w:val="24"/>
          <w:szCs w:val="24"/>
          <w:highlight w:val="none"/>
        </w:rPr>
        <w:t>3. 投标文件</w:t>
      </w:r>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p>
    <w:p w14:paraId="218225A2">
      <w:pPr>
        <w:pStyle w:val="3"/>
        <w:ind w:firstLine="422" w:firstLineChars="200"/>
        <w:rPr>
          <w:rFonts w:ascii="宋体" w:hAnsi="宋体" w:eastAsia="宋体" w:cs="宋体"/>
          <w:color w:val="auto"/>
          <w:highlight w:val="none"/>
        </w:rPr>
      </w:pPr>
      <w:bookmarkStart w:id="299" w:name="_Toc144974515"/>
      <w:bookmarkStart w:id="300" w:name="_Toc179632565"/>
      <w:bookmarkStart w:id="301" w:name="_Toc246996935"/>
      <w:bookmarkStart w:id="302" w:name="_Toc15058864"/>
      <w:bookmarkStart w:id="303" w:name="_Toc247085706"/>
      <w:bookmarkStart w:id="304" w:name="_Toc152042323"/>
      <w:bookmarkStart w:id="305" w:name="_Toc157"/>
      <w:bookmarkStart w:id="306" w:name="_Toc35424905"/>
      <w:bookmarkStart w:id="307" w:name="_Toc296602437"/>
      <w:bookmarkStart w:id="308" w:name="_Toc152045547"/>
      <w:bookmarkStart w:id="309" w:name="_Toc506107286"/>
      <w:bookmarkStart w:id="310" w:name="_Toc78803340"/>
      <w:bookmarkStart w:id="311" w:name="_Toc35425071"/>
      <w:bookmarkStart w:id="312" w:name="_Toc246996192"/>
      <w:bookmarkStart w:id="313" w:name="_Toc324404833"/>
      <w:r>
        <w:rPr>
          <w:rFonts w:hint="eastAsia" w:ascii="宋体" w:hAnsi="宋体" w:eastAsia="宋体" w:cs="宋体"/>
          <w:color w:val="auto"/>
          <w:highlight w:val="none"/>
        </w:rPr>
        <w:t>3.1 投标文件的组成</w:t>
      </w:r>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p>
    <w:p w14:paraId="6871D10E">
      <w:pPr>
        <w:spacing w:line="44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具体要求详见本招标文件第</w:t>
      </w:r>
      <w:r>
        <w:rPr>
          <w:rFonts w:hint="eastAsia" w:ascii="宋体" w:hAnsi="宋体" w:cs="宋体"/>
          <w:color w:val="auto"/>
          <w:szCs w:val="21"/>
          <w:highlight w:val="none"/>
          <w:lang w:val="en-US" w:eastAsia="zh-CN"/>
        </w:rPr>
        <w:t>九</w:t>
      </w:r>
      <w:r>
        <w:rPr>
          <w:rFonts w:hint="eastAsia" w:ascii="宋体" w:hAnsi="宋体" w:cs="宋体"/>
          <w:color w:val="auto"/>
          <w:szCs w:val="21"/>
          <w:highlight w:val="none"/>
        </w:rPr>
        <w:t>章“投标文件格式”。</w:t>
      </w:r>
    </w:p>
    <w:p w14:paraId="68B92645">
      <w:pPr>
        <w:pStyle w:val="3"/>
        <w:ind w:firstLine="422" w:firstLineChars="200"/>
        <w:rPr>
          <w:rFonts w:ascii="宋体" w:hAnsi="宋体" w:eastAsia="宋体" w:cs="宋体"/>
          <w:color w:val="auto"/>
          <w:highlight w:val="none"/>
        </w:rPr>
      </w:pPr>
      <w:bookmarkStart w:id="314" w:name="_Toc15058865"/>
      <w:bookmarkStart w:id="315" w:name="_Toc247085707"/>
      <w:bookmarkStart w:id="316" w:name="_Toc78803341"/>
      <w:bookmarkStart w:id="317" w:name="_Toc246996936"/>
      <w:bookmarkStart w:id="318" w:name="_Toc152042324"/>
      <w:bookmarkStart w:id="319" w:name="_Toc35425072"/>
      <w:bookmarkStart w:id="320" w:name="_Toc179632566"/>
      <w:bookmarkStart w:id="321" w:name="_Toc144974516"/>
      <w:bookmarkStart w:id="322" w:name="_Toc296602438"/>
      <w:bookmarkStart w:id="323" w:name="_Toc6829"/>
      <w:bookmarkStart w:id="324" w:name="_Toc506107287"/>
      <w:bookmarkStart w:id="325" w:name="_Toc152045548"/>
      <w:bookmarkStart w:id="326" w:name="_Toc35424906"/>
      <w:bookmarkStart w:id="327" w:name="_Toc324404834"/>
      <w:bookmarkStart w:id="328" w:name="_Toc246996193"/>
      <w:r>
        <w:rPr>
          <w:rFonts w:hint="eastAsia" w:ascii="宋体" w:hAnsi="宋体" w:eastAsia="宋体" w:cs="宋体"/>
          <w:color w:val="auto"/>
          <w:highlight w:val="none"/>
        </w:rPr>
        <w:t>3.2 投标报价</w:t>
      </w:r>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p>
    <w:p w14:paraId="705FA1B6">
      <w:pPr>
        <w:spacing w:line="440" w:lineRule="exact"/>
        <w:ind w:firstLine="420" w:firstLineChars="200"/>
        <w:jc w:val="left"/>
        <w:rPr>
          <w:rFonts w:hint="eastAsia" w:ascii="宋体" w:hAnsi="宋体" w:eastAsia="宋体" w:cs="宋体"/>
          <w:color w:val="auto"/>
          <w:szCs w:val="21"/>
          <w:highlight w:val="none"/>
          <w:lang w:eastAsia="zh-CN"/>
        </w:rPr>
      </w:pPr>
      <w:bookmarkStart w:id="329" w:name="_Toc78803342"/>
      <w:bookmarkStart w:id="330" w:name="_Toc35425073"/>
      <w:bookmarkStart w:id="331" w:name="_Toc179632567"/>
      <w:bookmarkStart w:id="332" w:name="_Toc152045549"/>
      <w:bookmarkStart w:id="333" w:name="_Toc506107288"/>
      <w:bookmarkStart w:id="334" w:name="_Toc144974517"/>
      <w:bookmarkStart w:id="335" w:name="_Toc246996937"/>
      <w:bookmarkStart w:id="336" w:name="_Toc246996194"/>
      <w:bookmarkStart w:id="337" w:name="_Toc15058866"/>
      <w:bookmarkStart w:id="338" w:name="_Toc35424907"/>
      <w:bookmarkStart w:id="339" w:name="_Toc31735"/>
      <w:bookmarkStart w:id="340" w:name="_Toc324404835"/>
      <w:bookmarkStart w:id="341" w:name="_Toc296602439"/>
      <w:bookmarkStart w:id="342" w:name="_Toc247085708"/>
      <w:bookmarkStart w:id="343" w:name="_Toc152042325"/>
      <w:r>
        <w:rPr>
          <w:rFonts w:hint="eastAsia" w:ascii="宋体" w:hAnsi="宋体" w:eastAsia="宋体" w:cs="宋体"/>
          <w:color w:val="auto"/>
          <w:szCs w:val="21"/>
          <w:highlight w:val="none"/>
          <w:lang w:eastAsia="zh-CN"/>
        </w:rPr>
        <w:t>3.2.1投标报价应包括国家规定的增值税税金，除投标人须知前附表另有规定外，增值税税金按一般计税方法计算。投标人应按第</w:t>
      </w:r>
      <w:r>
        <w:rPr>
          <w:rFonts w:hint="eastAsia" w:ascii="宋体" w:hAnsi="宋体" w:eastAsia="宋体" w:cs="宋体"/>
          <w:color w:val="auto"/>
          <w:szCs w:val="21"/>
          <w:highlight w:val="none"/>
          <w:lang w:val="en-US" w:eastAsia="zh-CN"/>
        </w:rPr>
        <w:t>九</w:t>
      </w:r>
      <w:r>
        <w:rPr>
          <w:rFonts w:hint="eastAsia" w:ascii="宋体" w:hAnsi="宋体" w:eastAsia="宋体" w:cs="宋体"/>
          <w:color w:val="auto"/>
          <w:szCs w:val="21"/>
          <w:highlight w:val="none"/>
          <w:lang w:eastAsia="zh-CN"/>
        </w:rPr>
        <w:t>章“投标文件格式”的要求在投标函中进行报价并填写工程量清单相应表格。</w:t>
      </w:r>
    </w:p>
    <w:p w14:paraId="1192EB75">
      <w:pPr>
        <w:spacing w:line="440" w:lineRule="exact"/>
        <w:ind w:firstLine="420" w:firstLineChars="200"/>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3.2.2投标人应充分了解本项目的总体情况以及影响投标报价的其他要素。</w:t>
      </w:r>
    </w:p>
    <w:p w14:paraId="68694043">
      <w:pPr>
        <w:spacing w:line="440" w:lineRule="exact"/>
        <w:ind w:firstLine="420" w:firstLineChars="200"/>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3.2.3投标人在投标截止时间前修改投标函中的投标报价总额，应同时修改“已标价工程量清单”中的相应报价，投标报价总额为各分项金额之和。此修改须符合本章第4.4款的有关要求。</w:t>
      </w:r>
    </w:p>
    <w:p w14:paraId="037A7F96">
      <w:pPr>
        <w:spacing w:line="440" w:lineRule="exact"/>
        <w:ind w:firstLine="420" w:firstLineChars="200"/>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3.2.4招标人设有最高投标限价的，投标人的投标报价不得超过最高投标限价，最高投标限价在投标人须知前附表中载明。</w:t>
      </w:r>
    </w:p>
    <w:p w14:paraId="7C1D3D58">
      <w:pPr>
        <w:spacing w:line="440" w:lineRule="exact"/>
        <w:ind w:firstLine="420" w:firstLineChars="200"/>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3.2.5 投标报价的其他要求见投标人须知前附表。</w:t>
      </w:r>
    </w:p>
    <w:p w14:paraId="454C15E1">
      <w:pPr>
        <w:pStyle w:val="3"/>
        <w:ind w:firstLine="422" w:firstLineChars="200"/>
        <w:rPr>
          <w:rFonts w:ascii="宋体" w:hAnsi="宋体" w:eastAsia="宋体" w:cs="宋体"/>
          <w:color w:val="auto"/>
          <w:highlight w:val="none"/>
        </w:rPr>
      </w:pPr>
      <w:r>
        <w:rPr>
          <w:rFonts w:hint="eastAsia" w:ascii="宋体" w:hAnsi="宋体" w:eastAsia="宋体" w:cs="宋体"/>
          <w:color w:val="auto"/>
          <w:highlight w:val="none"/>
        </w:rPr>
        <w:t>3.3 投标有效期</w:t>
      </w:r>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p>
    <w:p w14:paraId="38E346F9">
      <w:pPr>
        <w:spacing w:line="44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3.3.1 除投标人须知前附表另有规定外，投标有效期为90天。</w:t>
      </w:r>
    </w:p>
    <w:p w14:paraId="19262D1F">
      <w:pPr>
        <w:spacing w:line="44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3.3.2在投标有效期内，投标人撤销或修改其投标文件的，应承担招标文件和法律规定的责任。</w:t>
      </w:r>
    </w:p>
    <w:p w14:paraId="68D42DB1">
      <w:pPr>
        <w:spacing w:line="440" w:lineRule="exact"/>
        <w:ind w:firstLine="420" w:firstLineChars="200"/>
        <w:jc w:val="left"/>
        <w:rPr>
          <w:rFonts w:ascii="宋体" w:hAnsi="宋体" w:cs="宋体"/>
          <w:color w:val="auto"/>
          <w:szCs w:val="21"/>
          <w:highlight w:val="none"/>
        </w:rPr>
      </w:pPr>
      <w:bookmarkStart w:id="344" w:name="_Toc35425074"/>
      <w:bookmarkStart w:id="345" w:name="_Toc246996195"/>
      <w:bookmarkStart w:id="346" w:name="_Toc246996938"/>
      <w:bookmarkStart w:id="347" w:name="_Toc15058867"/>
      <w:bookmarkStart w:id="348" w:name="_Toc144974518"/>
      <w:bookmarkStart w:id="349" w:name="_Toc10714"/>
      <w:bookmarkStart w:id="350" w:name="_Toc506107289"/>
      <w:bookmarkStart w:id="351" w:name="_Toc78803343"/>
      <w:bookmarkStart w:id="352" w:name="_Toc152045550"/>
      <w:bookmarkStart w:id="353" w:name="_Toc35424908"/>
      <w:bookmarkStart w:id="354" w:name="_Toc324404836"/>
      <w:bookmarkStart w:id="355" w:name="_Toc179632568"/>
      <w:bookmarkStart w:id="356" w:name="_Toc296602440"/>
      <w:bookmarkStart w:id="357" w:name="_Toc247085709"/>
      <w:bookmarkStart w:id="358" w:name="_Toc152042326"/>
      <w:r>
        <w:rPr>
          <w:rFonts w:hint="eastAsia" w:ascii="宋体" w:hAnsi="宋体" w:eastAsia="宋体" w:cs="宋体"/>
          <w:color w:val="auto"/>
          <w:szCs w:val="21"/>
          <w:highlight w:val="none"/>
        </w:rPr>
        <w:t>3.3.3出现特殊情况需要延长投标有效期的，招标人以书面形式通知所有投标人延长投标有效期。投标人同意延长的，应相应延长其投标保证金的有效期，但不得要求或被允许修改或撤销其投标文件；投标人拒绝延长的，其投标失效，但投标人有权收回其投标保证金。</w:t>
      </w:r>
    </w:p>
    <w:p w14:paraId="780A1DA0">
      <w:pPr>
        <w:pStyle w:val="3"/>
        <w:ind w:firstLine="422" w:firstLineChars="200"/>
        <w:rPr>
          <w:rFonts w:hint="eastAsia" w:ascii="宋体" w:hAnsi="宋体" w:eastAsia="宋体" w:cs="宋体"/>
          <w:color w:val="auto"/>
          <w:highlight w:val="none"/>
        </w:rPr>
      </w:pPr>
      <w:r>
        <w:rPr>
          <w:rFonts w:hint="eastAsia" w:ascii="宋体" w:hAnsi="宋体" w:eastAsia="宋体" w:cs="宋体"/>
          <w:color w:val="auto"/>
          <w:highlight w:val="none"/>
        </w:rPr>
        <w:t>3.4 投标保证金</w:t>
      </w:r>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p>
    <w:p w14:paraId="10C7E5CB">
      <w:pPr>
        <w:pageBreakBefore w:val="0"/>
        <w:widowControl w:val="0"/>
        <w:kinsoku/>
        <w:wordWrap/>
        <w:overflowPunct/>
        <w:topLinePunct w:val="0"/>
        <w:autoSpaceDE/>
        <w:autoSpaceDN/>
        <w:bidi w:val="0"/>
        <w:adjustRightInd w:val="0"/>
        <w:snapToGrid w:val="0"/>
        <w:spacing w:line="440" w:lineRule="exact"/>
        <w:ind w:firstLine="420" w:firstLineChars="200"/>
        <w:textAlignment w:val="auto"/>
        <w:rPr>
          <w:rFonts w:ascii="宋体" w:hAnsi="宋体" w:cs="宋体"/>
          <w:color w:val="auto"/>
          <w:szCs w:val="21"/>
          <w:highlight w:val="none"/>
        </w:rPr>
      </w:pPr>
      <w:bookmarkStart w:id="359" w:name="_Toc296602442"/>
      <w:bookmarkStart w:id="360" w:name="_Toc15058868"/>
      <w:bookmarkStart w:id="361" w:name="_Toc35425075"/>
      <w:bookmarkStart w:id="362" w:name="_Toc19037"/>
      <w:bookmarkStart w:id="363" w:name="_Toc35424909"/>
      <w:bookmarkStart w:id="364" w:name="_Toc324404837"/>
      <w:bookmarkStart w:id="365" w:name="_Toc506107290"/>
      <w:bookmarkStart w:id="366" w:name="_Toc78803344"/>
      <w:bookmarkStart w:id="367" w:name="_Toc179632571"/>
      <w:bookmarkStart w:id="368" w:name="_Toc246996940"/>
      <w:bookmarkStart w:id="369" w:name="_Toc246996197"/>
      <w:bookmarkStart w:id="370" w:name="_Toc152042329"/>
      <w:bookmarkStart w:id="371" w:name="_Toc144974521"/>
      <w:bookmarkStart w:id="372" w:name="_Toc152045553"/>
      <w:bookmarkStart w:id="373" w:name="_Toc247085711"/>
      <w:r>
        <w:rPr>
          <w:rFonts w:hint="eastAsia" w:ascii="宋体" w:hAnsi="宋体" w:cs="宋体"/>
          <w:color w:val="auto"/>
          <w:szCs w:val="21"/>
          <w:highlight w:val="none"/>
        </w:rPr>
        <w:t xml:space="preserve">3.4.1 </w:t>
      </w:r>
      <w:r>
        <w:rPr>
          <w:rFonts w:hint="eastAsia" w:ascii="宋体" w:hAnsi="宋体" w:cs="宋体"/>
          <w:color w:val="auto"/>
          <w:szCs w:val="21"/>
          <w:highlight w:val="none"/>
          <w:lang w:val="en-US" w:eastAsia="zh-CN"/>
        </w:rPr>
        <w:t>招标公告</w:t>
      </w:r>
      <w:r>
        <w:rPr>
          <w:rFonts w:hint="eastAsia" w:ascii="宋体" w:hAnsi="宋体" w:cs="宋体"/>
          <w:color w:val="auto"/>
          <w:szCs w:val="21"/>
          <w:highlight w:val="none"/>
        </w:rPr>
        <w:t>规定递交投标保证金的，投标人在递交投标文件的同时，应按</w:t>
      </w:r>
      <w:r>
        <w:rPr>
          <w:rFonts w:hint="eastAsia" w:ascii="宋体" w:hAnsi="宋体" w:cs="宋体"/>
          <w:color w:val="auto"/>
          <w:szCs w:val="21"/>
          <w:highlight w:val="none"/>
          <w:lang w:val="en-US" w:eastAsia="zh-CN"/>
        </w:rPr>
        <w:t>招标公告</w:t>
      </w:r>
      <w:r>
        <w:rPr>
          <w:rFonts w:hint="eastAsia" w:ascii="宋体" w:hAnsi="宋体" w:cs="宋体"/>
          <w:color w:val="auto"/>
          <w:szCs w:val="21"/>
          <w:highlight w:val="none"/>
        </w:rPr>
        <w:t>规定的金额、担保形式或者事先经过招标人认可的保证金格式递交保证金，并作为其投标文件的组成部分。</w:t>
      </w:r>
    </w:p>
    <w:p w14:paraId="1FA6B470">
      <w:pPr>
        <w:pageBreakBefore w:val="0"/>
        <w:widowControl w:val="0"/>
        <w:kinsoku/>
        <w:wordWrap/>
        <w:overflowPunct/>
        <w:topLinePunct w:val="0"/>
        <w:autoSpaceDE/>
        <w:autoSpaceDN/>
        <w:bidi w:val="0"/>
        <w:adjustRightInd w:val="0"/>
        <w:snapToGrid w:val="0"/>
        <w:spacing w:line="440" w:lineRule="exact"/>
        <w:textAlignment w:val="auto"/>
        <w:rPr>
          <w:rFonts w:ascii="宋体" w:hAnsi="宋体" w:cs="宋体"/>
          <w:color w:val="auto"/>
          <w:szCs w:val="21"/>
          <w:highlight w:val="none"/>
        </w:rPr>
      </w:pPr>
      <w:r>
        <w:rPr>
          <w:rFonts w:hint="eastAsia" w:ascii="宋体" w:hAnsi="宋体" w:cs="宋体"/>
          <w:color w:val="auto"/>
          <w:szCs w:val="21"/>
          <w:highlight w:val="none"/>
        </w:rPr>
        <w:t xml:space="preserve">    无论采取何种形式的投标保证金，投标保证金有效期均应与投标有效期一致（</w:t>
      </w:r>
      <w:r>
        <w:rPr>
          <w:rFonts w:hint="eastAsia"/>
          <w:color w:val="auto"/>
          <w:highlight w:val="none"/>
        </w:rPr>
        <w:t>采用投标电子保函的保证期截止时间不得早于该项目投标有效期的截止时间</w:t>
      </w:r>
      <w:r>
        <w:rPr>
          <w:rFonts w:hint="eastAsia" w:ascii="宋体" w:hAnsi="宋体" w:cs="宋体"/>
          <w:color w:val="auto"/>
          <w:szCs w:val="21"/>
          <w:highlight w:val="none"/>
        </w:rPr>
        <w:t>）。招标人如果按本章第3.3.3项的规定延长了投标有效期，则投标保证金的有效期也相应延长。</w:t>
      </w:r>
    </w:p>
    <w:p w14:paraId="218F6CA2">
      <w:pPr>
        <w:pageBreakBefore w:val="0"/>
        <w:widowControl w:val="0"/>
        <w:kinsoku/>
        <w:wordWrap/>
        <w:overflowPunct/>
        <w:topLinePunct w:val="0"/>
        <w:autoSpaceDE/>
        <w:autoSpaceDN/>
        <w:bidi w:val="0"/>
        <w:adjustRightInd w:val="0"/>
        <w:snapToGrid w:val="0"/>
        <w:spacing w:line="440" w:lineRule="exact"/>
        <w:ind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3.4.2 投标人不按本章第3.4.1项要求提交投标保证金的，评标委员会将否决其投标。</w:t>
      </w:r>
    </w:p>
    <w:p w14:paraId="244A3FFB">
      <w:pPr>
        <w:pageBreakBefore w:val="0"/>
        <w:widowControl w:val="0"/>
        <w:kinsoku/>
        <w:wordWrap/>
        <w:overflowPunct/>
        <w:topLinePunct w:val="0"/>
        <w:autoSpaceDE/>
        <w:autoSpaceDN/>
        <w:bidi w:val="0"/>
        <w:adjustRightInd w:val="0"/>
        <w:snapToGrid w:val="0"/>
        <w:spacing w:line="44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3.4.3 未中标投标人的投标保证金，</w:t>
      </w:r>
      <w:r>
        <w:rPr>
          <w:rFonts w:hint="eastAsia" w:ascii="宋体" w:hAnsi="宋体" w:eastAsia="宋体" w:cs="宋体"/>
          <w:color w:val="auto"/>
          <w:szCs w:val="21"/>
          <w:highlight w:val="none"/>
          <w:lang w:val="en-US" w:eastAsia="zh-CN"/>
        </w:rPr>
        <w:t>中标通知书发放后五个工作日内退还</w:t>
      </w:r>
      <w:r>
        <w:rPr>
          <w:rFonts w:hint="eastAsia" w:ascii="宋体" w:hAnsi="宋体" w:eastAsia="宋体" w:cs="宋体"/>
          <w:color w:val="auto"/>
          <w:szCs w:val="21"/>
          <w:highlight w:val="none"/>
        </w:rPr>
        <w:t>保证金到达原交纳的账户；中标人的投标保证金，</w:t>
      </w:r>
      <w:r>
        <w:rPr>
          <w:rFonts w:hint="eastAsia" w:ascii="宋体" w:hAnsi="宋体" w:eastAsia="宋体" w:cs="宋体"/>
          <w:color w:val="auto"/>
          <w:szCs w:val="21"/>
          <w:highlight w:val="none"/>
          <w:lang w:val="en-US" w:eastAsia="zh-CN"/>
        </w:rPr>
        <w:t>订合同后五个工作日内</w:t>
      </w:r>
      <w:r>
        <w:rPr>
          <w:rFonts w:hint="eastAsia" w:ascii="宋体" w:hAnsi="宋体" w:eastAsia="宋体" w:cs="宋体"/>
          <w:color w:val="auto"/>
          <w:szCs w:val="21"/>
          <w:highlight w:val="none"/>
        </w:rPr>
        <w:t>退付保证金到达原交纳的账户。</w:t>
      </w:r>
    </w:p>
    <w:p w14:paraId="3A7F9ECA">
      <w:pPr>
        <w:pageBreakBefore w:val="0"/>
        <w:widowControl w:val="0"/>
        <w:kinsoku/>
        <w:wordWrap/>
        <w:overflowPunct/>
        <w:topLinePunct w:val="0"/>
        <w:autoSpaceDE/>
        <w:autoSpaceDN/>
        <w:bidi w:val="0"/>
        <w:adjustRightInd w:val="0"/>
        <w:snapToGrid w:val="0"/>
        <w:spacing w:line="44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3.4.4 有下列情形之一的，投标保证金将不予退还： </w:t>
      </w:r>
    </w:p>
    <w:p w14:paraId="7B47B873">
      <w:pPr>
        <w:pageBreakBefore w:val="0"/>
        <w:widowControl w:val="0"/>
        <w:kinsoku/>
        <w:wordWrap/>
        <w:overflowPunct/>
        <w:topLinePunct w:val="0"/>
        <w:autoSpaceDE/>
        <w:autoSpaceDN/>
        <w:bidi w:val="0"/>
        <w:adjustRightInd w:val="0"/>
        <w:snapToGrid w:val="0"/>
        <w:spacing w:line="440" w:lineRule="exact"/>
        <w:ind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（1）投标截止后投标人撤销投标文件的；</w:t>
      </w:r>
    </w:p>
    <w:p w14:paraId="466F5123">
      <w:pPr>
        <w:pageBreakBefore w:val="0"/>
        <w:widowControl w:val="0"/>
        <w:kinsoku/>
        <w:wordWrap/>
        <w:overflowPunct/>
        <w:topLinePunct w:val="0"/>
        <w:autoSpaceDE/>
        <w:autoSpaceDN/>
        <w:bidi w:val="0"/>
        <w:adjustRightInd w:val="0"/>
        <w:snapToGrid w:val="0"/>
        <w:spacing w:line="440" w:lineRule="exact"/>
        <w:ind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（2）中标人无正当理由不与招标人订立合同，在签订合同时向招标人提出附加条件，或者不按照招标文件要求提交履约保证金的。</w:t>
      </w:r>
    </w:p>
    <w:p w14:paraId="31A74824">
      <w:pPr>
        <w:pStyle w:val="3"/>
        <w:ind w:firstLine="422" w:firstLineChars="200"/>
        <w:rPr>
          <w:rFonts w:ascii="宋体" w:hAnsi="宋体" w:eastAsia="宋体" w:cs="宋体"/>
          <w:color w:val="auto"/>
          <w:highlight w:val="none"/>
        </w:rPr>
      </w:pPr>
      <w:r>
        <w:rPr>
          <w:rFonts w:hint="eastAsia" w:ascii="宋体" w:hAnsi="宋体" w:eastAsia="宋体" w:cs="宋体"/>
          <w:color w:val="auto"/>
          <w:highlight w:val="none"/>
        </w:rPr>
        <w:t>3.5投标文件的编制</w:t>
      </w:r>
      <w:bookmarkEnd w:id="359"/>
      <w:bookmarkEnd w:id="360"/>
      <w:bookmarkEnd w:id="361"/>
      <w:bookmarkEnd w:id="362"/>
      <w:bookmarkEnd w:id="363"/>
      <w:bookmarkEnd w:id="364"/>
      <w:bookmarkEnd w:id="365"/>
      <w:bookmarkEnd w:id="366"/>
    </w:p>
    <w:bookmarkEnd w:id="367"/>
    <w:bookmarkEnd w:id="368"/>
    <w:bookmarkEnd w:id="369"/>
    <w:bookmarkEnd w:id="370"/>
    <w:bookmarkEnd w:id="371"/>
    <w:bookmarkEnd w:id="372"/>
    <w:bookmarkEnd w:id="373"/>
    <w:p w14:paraId="5BD1A4A0">
      <w:pPr>
        <w:spacing w:line="440" w:lineRule="exact"/>
        <w:ind w:firstLine="420" w:firstLineChars="200"/>
        <w:jc w:val="left"/>
        <w:rPr>
          <w:rFonts w:hint="eastAsia" w:ascii="宋体" w:hAnsi="宋体" w:eastAsia="宋体" w:cs="宋体"/>
          <w:color w:val="auto"/>
          <w:szCs w:val="21"/>
          <w:highlight w:val="none"/>
          <w:lang w:val="en-US" w:eastAsia="zh-CN"/>
        </w:rPr>
      </w:pPr>
      <w:bookmarkStart w:id="374" w:name="_Toc152045555"/>
      <w:bookmarkStart w:id="375" w:name="_Toc152042331"/>
      <w:bookmarkStart w:id="376" w:name="_Toc179632573"/>
      <w:bookmarkStart w:id="377" w:name="_Toc246996942"/>
      <w:bookmarkStart w:id="378" w:name="_Toc324404838"/>
      <w:bookmarkStart w:id="379" w:name="_Toc144974523"/>
      <w:bookmarkStart w:id="380" w:name="_Toc247085713"/>
      <w:bookmarkStart w:id="381" w:name="_Toc246996199"/>
      <w:r>
        <w:rPr>
          <w:rFonts w:hint="eastAsia" w:ascii="宋体" w:hAnsi="宋体" w:eastAsia="宋体" w:cs="宋体"/>
          <w:color w:val="auto"/>
          <w:szCs w:val="21"/>
          <w:highlight w:val="none"/>
          <w:lang w:val="en-US" w:eastAsia="zh-CN"/>
        </w:rPr>
        <w:t>3.5.1投标文件应按第九章“投标文件格式”进行编写，如有必要，可以增加附页，作为投标文件的组成部分。其中，投标函在满足招标文件实质性要求的基础上，可以提出比招标文件要求更有利于招标人的承诺。</w:t>
      </w:r>
    </w:p>
    <w:p w14:paraId="14F1B8C9">
      <w:pPr>
        <w:spacing w:line="440" w:lineRule="exact"/>
        <w:ind w:firstLine="420" w:firstLineChars="200"/>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3.5.2本次投标不需要提供纸质投标文件，投标人应按照电子招标投标的要求，在投标人的电子系统中制作、签章、上传加密的电子投标文件。</w:t>
      </w:r>
    </w:p>
    <w:p w14:paraId="3C40A9D2">
      <w:pPr>
        <w:spacing w:line="440" w:lineRule="exact"/>
        <w:ind w:firstLine="420" w:firstLineChars="200"/>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3.5.3 投标文件应当对招标文件有关工期、投标有效期、质量要求、技术标准和要求、招标范围等实质性内容作出响应。</w:t>
      </w:r>
    </w:p>
    <w:p w14:paraId="5D83FF68">
      <w:pPr>
        <w:spacing w:line="440" w:lineRule="exact"/>
        <w:ind w:firstLine="420" w:firstLineChars="200"/>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3.5.4 投标人须知前附表规定接受联合体投标的，资格审查资料应包括联合体各方相关情况 。</w:t>
      </w:r>
    </w:p>
    <w:p w14:paraId="6A9887E1">
      <w:pPr>
        <w:spacing w:line="440" w:lineRule="exact"/>
        <w:ind w:firstLine="420" w:firstLineChars="200"/>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3.5.5招标人有权核查投标人在投标文件中提供的资料，若发现投标人以他人名义投标或者以其他方式弄虚作假骗取中标的，中标无效；如果签订合同后发现中标人提供了虚假材料，招标人有权解除合同。</w:t>
      </w:r>
    </w:p>
    <w:p w14:paraId="093D5520">
      <w:pPr>
        <w:spacing w:line="440" w:lineRule="exact"/>
        <w:ind w:firstLine="420" w:firstLineChars="200"/>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3.5.6投标文件的制作应满足以下规定：</w:t>
      </w:r>
    </w:p>
    <w:p w14:paraId="0727C6AC">
      <w:pPr>
        <w:spacing w:line="440" w:lineRule="exact"/>
        <w:ind w:firstLine="420" w:firstLineChars="200"/>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w:t>
      </w:r>
      <w:r>
        <w:rPr>
          <w:rFonts w:hint="eastAsia" w:ascii="宋体" w:hAnsi="宋体" w:cs="宋体"/>
          <w:color w:val="auto"/>
          <w:szCs w:val="21"/>
          <w:highlight w:val="none"/>
          <w:lang w:val="en-US" w:eastAsia="zh-CN"/>
        </w:rPr>
        <w:t>1</w:t>
      </w:r>
      <w:r>
        <w:rPr>
          <w:rFonts w:hint="eastAsia" w:ascii="宋体" w:hAnsi="宋体" w:eastAsia="宋体" w:cs="宋体"/>
          <w:color w:val="auto"/>
          <w:szCs w:val="21"/>
          <w:highlight w:val="none"/>
          <w:lang w:val="en-US" w:eastAsia="zh-CN"/>
        </w:rPr>
        <w:t>）招标文件中“签章”是指签字或盖章。在第九章“投标文件格式”中要求签章处，投标人应加盖投标人单位电子印章和法定代表人的个人电子印章/电子签名章或直接上传加盖投标人单位印章和法定代表人的印章（或签字）的原件彩色扫描件。联合体投标的，除联合体协议书外， 投标文件由联合体牵头人按上述规定加盖联合体牵头人单位电子印章和法定代表人的个人电子印章/电子签名章或直接上传加盖联合体牵头人单位印章和法定代表人的印章（或签字）的原件彩色扫描件。</w:t>
      </w:r>
    </w:p>
    <w:p w14:paraId="19FF8C7E">
      <w:pPr>
        <w:spacing w:line="440" w:lineRule="exact"/>
        <w:ind w:firstLine="420" w:firstLineChars="200"/>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w:t>
      </w:r>
      <w:r>
        <w:rPr>
          <w:rFonts w:hint="eastAsia" w:ascii="宋体" w:hAnsi="宋体" w:cs="宋体"/>
          <w:color w:val="auto"/>
          <w:szCs w:val="21"/>
          <w:highlight w:val="none"/>
          <w:lang w:val="en-US" w:eastAsia="zh-CN"/>
        </w:rPr>
        <w:t>2</w:t>
      </w:r>
      <w:r>
        <w:rPr>
          <w:rFonts w:hint="eastAsia" w:ascii="宋体" w:hAnsi="宋体" w:eastAsia="宋体" w:cs="宋体"/>
          <w:color w:val="auto"/>
          <w:szCs w:val="21"/>
          <w:highlight w:val="none"/>
          <w:lang w:val="en-US" w:eastAsia="zh-CN"/>
        </w:rPr>
        <w:t>）投标文件制作完成后，投标人应对投标文件进行文件加密，形成加密的投标文件。采用CA数字证书加密的，加密时投标文件的所有内容均只能使用同一把CA数字证书进行加密，否则引起的解密失败责任由投标人自行承担。</w:t>
      </w:r>
    </w:p>
    <w:p w14:paraId="318FCD41">
      <w:pPr>
        <w:spacing w:line="440" w:lineRule="exact"/>
        <w:ind w:firstLine="420" w:firstLineChars="200"/>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3.5.7 因投标人自身原因而导致投标文件无法导入电子交易系统电子开标、评标系统，该投标视为无效投标，投标人自行承担由此导致的全部责任。</w:t>
      </w:r>
    </w:p>
    <w:p w14:paraId="18B9F40D">
      <w:pPr>
        <w:spacing w:line="440" w:lineRule="exact"/>
        <w:ind w:firstLine="420" w:firstLineChars="200"/>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3.5.8 投标人中标后须递交与网上电子投标文件完全一致的纸质版投标文件，在领取中标通知书时，一并递交给招标代理机构。</w:t>
      </w:r>
    </w:p>
    <w:p w14:paraId="6D17F42F">
      <w:pPr>
        <w:pStyle w:val="3"/>
        <w:ind w:firstLine="422" w:firstLineChars="200"/>
        <w:rPr>
          <w:rFonts w:hint="eastAsia" w:ascii="宋体" w:hAnsi="宋体" w:eastAsia="宋体" w:cs="宋体"/>
          <w:color w:val="auto"/>
          <w:highlight w:val="none"/>
        </w:rPr>
      </w:pPr>
      <w:r>
        <w:rPr>
          <w:rFonts w:hint="eastAsia" w:ascii="宋体" w:hAnsi="宋体" w:eastAsia="宋体" w:cs="宋体"/>
          <w:color w:val="auto"/>
          <w:highlight w:val="none"/>
        </w:rPr>
        <w:t>3.6 备选投标方案</w:t>
      </w:r>
    </w:p>
    <w:p w14:paraId="1CD0EBA6">
      <w:pPr>
        <w:spacing w:line="440" w:lineRule="exact"/>
        <w:ind w:firstLine="420" w:firstLineChars="200"/>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3.6.1 除投标人须知前附表规定允许外，投标人不得递交备选投标方案，否则其投标将被否决。</w:t>
      </w:r>
    </w:p>
    <w:p w14:paraId="2E592F88">
      <w:pPr>
        <w:spacing w:line="440" w:lineRule="exact"/>
        <w:ind w:firstLine="420" w:firstLineChars="200"/>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3.6.2 允许投标人递交备选投标方案的，只有中标人所递交的备选投标方案方可予以考虑。评标委员会认为中标人的备选投标方案优于其按照招标文件要求编制的投标方案的，招标人可以接受该备选投标方案。</w:t>
      </w:r>
    </w:p>
    <w:p w14:paraId="11867869">
      <w:pPr>
        <w:spacing w:line="440" w:lineRule="exact"/>
        <w:ind w:firstLine="420" w:firstLineChars="200"/>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3.6.3 投标人提供两个或两个以上投标报价，或在投标文件中提供一个报价，但同时提供两个或两个以上施工组织设计的，视为提供备选方案。</w:t>
      </w:r>
    </w:p>
    <w:p w14:paraId="66C99F80">
      <w:pPr>
        <w:pStyle w:val="3"/>
        <w:spacing w:beforeLines="50" w:afterLines="50"/>
        <w:ind w:firstLine="482" w:firstLineChars="200"/>
        <w:rPr>
          <w:rFonts w:hint="eastAsia" w:ascii="宋体" w:hAnsi="宋体" w:eastAsia="宋体" w:cs="宋体"/>
          <w:color w:val="auto"/>
          <w:sz w:val="24"/>
          <w:szCs w:val="24"/>
          <w:highlight w:val="none"/>
        </w:rPr>
      </w:pPr>
      <w:bookmarkStart w:id="382" w:name="_Toc15058869"/>
      <w:bookmarkStart w:id="383" w:name="_Toc506107291"/>
      <w:bookmarkStart w:id="384" w:name="_Toc78803345"/>
      <w:bookmarkStart w:id="385" w:name="_Toc35425076"/>
      <w:bookmarkStart w:id="386" w:name="_Toc35424910"/>
      <w:bookmarkStart w:id="387" w:name="_Toc19455"/>
      <w:r>
        <w:rPr>
          <w:rFonts w:hint="eastAsia" w:ascii="宋体" w:hAnsi="宋体" w:eastAsia="宋体" w:cs="宋体"/>
          <w:color w:val="auto"/>
          <w:sz w:val="24"/>
          <w:szCs w:val="24"/>
          <w:highlight w:val="none"/>
        </w:rPr>
        <w:t>4.投标</w:t>
      </w:r>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p>
    <w:p w14:paraId="3E108AB6">
      <w:pPr>
        <w:pStyle w:val="3"/>
        <w:ind w:firstLine="422" w:firstLineChars="200"/>
        <w:rPr>
          <w:rFonts w:hint="eastAsia" w:ascii="宋体" w:hAnsi="宋体" w:eastAsia="宋体" w:cs="宋体"/>
          <w:color w:val="auto"/>
          <w:highlight w:val="none"/>
        </w:rPr>
      </w:pPr>
      <w:bookmarkStart w:id="388" w:name="_Toc95223361"/>
      <w:bookmarkStart w:id="389" w:name="_Toc83301713"/>
      <w:bookmarkStart w:id="390" w:name="_Toc60061458"/>
      <w:bookmarkStart w:id="391" w:name="_Toc14473"/>
      <w:bookmarkStart w:id="392" w:name="_Toc78803346"/>
      <w:bookmarkStart w:id="393" w:name="_Toc15058870"/>
      <w:bookmarkStart w:id="394" w:name="_Toc35425077"/>
      <w:bookmarkStart w:id="395" w:name="_Toc35424911"/>
      <w:r>
        <w:rPr>
          <w:rFonts w:hint="eastAsia" w:ascii="宋体" w:hAnsi="宋体" w:eastAsia="宋体" w:cs="宋体"/>
          <w:color w:val="auto"/>
          <w:highlight w:val="none"/>
        </w:rPr>
        <w:t>4.1投标文件上传</w:t>
      </w:r>
      <w:bookmarkEnd w:id="388"/>
      <w:bookmarkEnd w:id="389"/>
      <w:bookmarkEnd w:id="390"/>
    </w:p>
    <w:p w14:paraId="491611B7">
      <w:pPr>
        <w:spacing w:line="440" w:lineRule="exact"/>
        <w:ind w:firstLine="420" w:firstLineChars="200"/>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4.1.1请投标人通过系统下载投标工具制作投标文件，并利用CA数字证书进行上传投标文件，上传已加密的投标文件，务必通过此方式上传投标文件。</w:t>
      </w:r>
    </w:p>
    <w:p w14:paraId="55CE6F79">
      <w:pPr>
        <w:spacing w:line="440" w:lineRule="exact"/>
        <w:ind w:firstLine="420" w:firstLineChars="200"/>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4.1.2投标人在投标文件编制、签章、上传过程中如有任何操作的疑问请及时联系技术支持，</w:t>
      </w:r>
      <w:r>
        <w:rPr>
          <w:rFonts w:hint="eastAsia" w:ascii="宋体" w:hAnsi="宋体" w:eastAsia="宋体" w:cs="宋体"/>
          <w:color w:val="auto"/>
          <w:kern w:val="0"/>
          <w:sz w:val="21"/>
          <w:szCs w:val="21"/>
          <w:highlight w:val="none"/>
          <w:lang w:val="en-US" w:eastAsia="zh-CN" w:bidi="ar-SA"/>
        </w:rPr>
        <w:t>请拨打服务电话：</w:t>
      </w:r>
      <w:r>
        <w:rPr>
          <w:rFonts w:hint="eastAsia" w:ascii="宋体" w:hAnsi="宋体" w:cs="宋体"/>
          <w:color w:val="auto"/>
          <w:kern w:val="0"/>
          <w:sz w:val="21"/>
          <w:szCs w:val="21"/>
          <w:highlight w:val="none"/>
          <w:lang w:val="en-US" w:eastAsia="zh-CN" w:bidi="ar-SA"/>
        </w:rPr>
        <w:t>0512-58151515</w:t>
      </w:r>
      <w:r>
        <w:rPr>
          <w:rFonts w:hint="eastAsia" w:ascii="宋体" w:hAnsi="宋体" w:eastAsia="宋体" w:cs="宋体"/>
          <w:color w:val="auto"/>
          <w:kern w:val="0"/>
          <w:sz w:val="21"/>
          <w:szCs w:val="21"/>
          <w:highlight w:val="none"/>
          <w:lang w:val="en-US" w:eastAsia="zh-CN" w:bidi="ar-SA"/>
        </w:rPr>
        <w:t>（工作日）。</w:t>
      </w:r>
    </w:p>
    <w:p w14:paraId="1CEF98C2">
      <w:pPr>
        <w:pStyle w:val="3"/>
        <w:ind w:firstLine="422" w:firstLineChars="200"/>
        <w:rPr>
          <w:rFonts w:hint="eastAsia" w:ascii="宋体" w:hAnsi="宋体" w:eastAsia="宋体" w:cs="宋体"/>
          <w:color w:val="auto"/>
          <w:highlight w:val="none"/>
        </w:rPr>
      </w:pPr>
      <w:bookmarkStart w:id="396" w:name="_Toc95223362"/>
      <w:bookmarkStart w:id="397" w:name="_Toc506107292"/>
      <w:bookmarkStart w:id="398" w:name="_Toc144974524"/>
      <w:bookmarkStart w:id="399" w:name="_Toc247085714"/>
      <w:bookmarkStart w:id="400" w:name="_Toc83301714"/>
      <w:bookmarkStart w:id="401" w:name="_Toc246996200"/>
      <w:bookmarkStart w:id="402" w:name="_Toc152042332"/>
      <w:bookmarkStart w:id="403" w:name="_Toc179632574"/>
      <w:bookmarkStart w:id="404" w:name="_Toc60061459"/>
      <w:bookmarkStart w:id="405" w:name="_Toc324404839"/>
      <w:bookmarkStart w:id="406" w:name="_Toc246996943"/>
      <w:bookmarkStart w:id="407" w:name="_Toc15058871"/>
      <w:bookmarkStart w:id="408" w:name="_Toc152045556"/>
      <w:bookmarkStart w:id="409" w:name="_Toc296602444"/>
      <w:r>
        <w:rPr>
          <w:rFonts w:hint="eastAsia" w:ascii="宋体" w:hAnsi="宋体" w:eastAsia="宋体" w:cs="宋体"/>
          <w:color w:val="auto"/>
          <w:highlight w:val="none"/>
        </w:rPr>
        <w:t>4.2投标文件的密封和标记</w:t>
      </w:r>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p>
    <w:p w14:paraId="39B65438">
      <w:pPr>
        <w:spacing w:line="440" w:lineRule="exact"/>
        <w:ind w:firstLine="420" w:firstLineChars="200"/>
        <w:jc w:val="left"/>
        <w:rPr>
          <w:rFonts w:hint="eastAsia" w:ascii="宋体" w:hAnsi="宋体" w:eastAsia="宋体" w:cs="宋体"/>
          <w:color w:val="auto"/>
          <w:szCs w:val="21"/>
          <w:highlight w:val="none"/>
          <w:lang w:val="en-US" w:eastAsia="zh-CN"/>
        </w:rPr>
      </w:pPr>
      <w:bookmarkStart w:id="410" w:name="_Toc296602445"/>
      <w:bookmarkStart w:id="411" w:name="_Toc152045557"/>
      <w:bookmarkStart w:id="412" w:name="_Toc179632575"/>
      <w:bookmarkStart w:id="413" w:name="_Toc246996944"/>
      <w:bookmarkStart w:id="414" w:name="_Toc247085715"/>
      <w:bookmarkStart w:id="415" w:name="_Toc324404840"/>
      <w:bookmarkStart w:id="416" w:name="_Toc144974525"/>
      <w:bookmarkStart w:id="417" w:name="_Toc152042333"/>
      <w:bookmarkStart w:id="418" w:name="_Toc246996201"/>
      <w:r>
        <w:rPr>
          <w:rFonts w:hint="eastAsia" w:ascii="宋体" w:hAnsi="宋体" w:eastAsia="宋体" w:cs="宋体"/>
          <w:color w:val="auto"/>
          <w:szCs w:val="21"/>
          <w:highlight w:val="none"/>
          <w:lang w:val="en-US" w:eastAsia="zh-CN"/>
        </w:rPr>
        <w:t>4.2.1投标文件应按照本章第3.5.6项要求制作并加密，未按要求加密的投标文件将被拒绝接收。以投标人在投标截止时间前网上递交的电子投标文件为准。</w:t>
      </w:r>
    </w:p>
    <w:p w14:paraId="1C1625AE">
      <w:pPr>
        <w:pStyle w:val="3"/>
        <w:ind w:firstLine="422" w:firstLineChars="200"/>
        <w:rPr>
          <w:rFonts w:hint="eastAsia" w:ascii="宋体" w:hAnsi="宋体" w:eastAsia="宋体" w:cs="宋体"/>
          <w:color w:val="auto"/>
          <w:highlight w:val="none"/>
        </w:rPr>
      </w:pPr>
      <w:bookmarkStart w:id="419" w:name="_Toc83301715"/>
      <w:bookmarkStart w:id="420" w:name="_Toc60061460"/>
      <w:bookmarkStart w:id="421" w:name="_Toc95223363"/>
      <w:bookmarkStart w:id="422" w:name="_Toc15058872"/>
      <w:bookmarkStart w:id="423" w:name="_Toc506107293"/>
      <w:r>
        <w:rPr>
          <w:rFonts w:hint="eastAsia" w:ascii="宋体" w:hAnsi="宋体" w:eastAsia="宋体" w:cs="宋体"/>
          <w:color w:val="auto"/>
          <w:highlight w:val="none"/>
        </w:rPr>
        <w:t>4.3 投标文件的递交</w:t>
      </w:r>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p>
    <w:p w14:paraId="36874998">
      <w:pPr>
        <w:spacing w:line="440" w:lineRule="exact"/>
        <w:ind w:firstLine="420" w:firstLineChars="200"/>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4.3.1 投标人应当在第一章“招标公告”规定的投标截止时间前，将加密投标文件上传至</w:t>
      </w:r>
      <w:r>
        <w:rPr>
          <w:rFonts w:hint="eastAsia" w:ascii="Times New Roman" w:hAnsi="Times New Roman" w:eastAsia="宋体" w:cs="Times New Roman"/>
          <w:color w:val="auto"/>
          <w:highlight w:val="none"/>
          <w:lang w:val="en-US" w:eastAsia="zh-CN"/>
        </w:rPr>
        <w:t>交易系统</w:t>
      </w:r>
      <w:r>
        <w:rPr>
          <w:rFonts w:hint="eastAsia" w:ascii="宋体" w:hAnsi="宋体" w:eastAsia="宋体" w:cs="宋体"/>
          <w:color w:val="auto"/>
          <w:szCs w:val="21"/>
          <w:highlight w:val="none"/>
          <w:lang w:val="en-US" w:eastAsia="zh-CN"/>
        </w:rPr>
        <w:t>。</w:t>
      </w:r>
    </w:p>
    <w:p w14:paraId="267A96E6">
      <w:pPr>
        <w:spacing w:line="440" w:lineRule="exact"/>
        <w:ind w:firstLine="420" w:firstLineChars="200"/>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4.3.2 除投标人须知前附表另有规定外，投标人所递交的投标文件不予退还。</w:t>
      </w:r>
    </w:p>
    <w:p w14:paraId="1F9C95CD">
      <w:pPr>
        <w:spacing w:line="440" w:lineRule="exact"/>
        <w:ind w:firstLine="420" w:firstLineChars="200"/>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4.3.3 投标人应当在投标截止时间前完成投标文件的网上递交， 并可以补充、修改或者撤回投标文件。投标截止时间前未完成投标文件网上递交的，视为撤回投标文件。未按规定加密或投标截止时间后通过网上招标投标系统递交电子投标文件的，电子交易系统应当拒收，投标无效。</w:t>
      </w:r>
    </w:p>
    <w:p w14:paraId="10EA5B88">
      <w:pPr>
        <w:pStyle w:val="3"/>
        <w:ind w:firstLine="422" w:firstLineChars="200"/>
        <w:rPr>
          <w:rFonts w:hint="eastAsia" w:ascii="宋体" w:hAnsi="宋体" w:eastAsia="宋体" w:cs="宋体"/>
          <w:color w:val="auto"/>
          <w:highlight w:val="none"/>
        </w:rPr>
      </w:pPr>
      <w:bookmarkStart w:id="424" w:name="_Toc83301716"/>
      <w:bookmarkStart w:id="425" w:name="_Toc60061461"/>
      <w:bookmarkStart w:id="426" w:name="_Toc95223364"/>
      <w:r>
        <w:rPr>
          <w:rFonts w:hint="eastAsia" w:ascii="宋体" w:hAnsi="宋体" w:eastAsia="宋体" w:cs="宋体"/>
          <w:color w:val="auto"/>
          <w:highlight w:val="none"/>
        </w:rPr>
        <w:t>4.4 投标文件的修改与撤回</w:t>
      </w:r>
      <w:bookmarkEnd w:id="424"/>
      <w:bookmarkEnd w:id="425"/>
      <w:bookmarkEnd w:id="426"/>
    </w:p>
    <w:p w14:paraId="64F97846">
      <w:pPr>
        <w:spacing w:line="440" w:lineRule="exact"/>
        <w:ind w:firstLine="420" w:firstLineChars="200"/>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4.4.1在第一章“招标公告”规定的投标截止时间前，投标人可以自行从网上交易系统撤回已递交的投标文件，并可修改后重新加密上传，开标时以投标截止时间前投标人最终上传的投标文件为准。</w:t>
      </w:r>
    </w:p>
    <w:bookmarkEnd w:id="391"/>
    <w:bookmarkEnd w:id="392"/>
    <w:bookmarkEnd w:id="393"/>
    <w:bookmarkEnd w:id="394"/>
    <w:bookmarkEnd w:id="395"/>
    <w:p w14:paraId="7AF40F87">
      <w:pPr>
        <w:pStyle w:val="3"/>
        <w:spacing w:beforeLines="50" w:afterLines="50"/>
        <w:ind w:firstLine="482" w:firstLineChars="200"/>
        <w:rPr>
          <w:rFonts w:ascii="宋体" w:hAnsi="宋体" w:eastAsia="宋体" w:cs="宋体"/>
          <w:color w:val="auto"/>
          <w:sz w:val="24"/>
          <w:szCs w:val="24"/>
          <w:highlight w:val="none"/>
        </w:rPr>
      </w:pPr>
      <w:bookmarkStart w:id="427" w:name="_Toc246996203"/>
      <w:bookmarkStart w:id="428" w:name="_Toc35425081"/>
      <w:bookmarkStart w:id="429" w:name="_Toc152045559"/>
      <w:bookmarkStart w:id="430" w:name="_Toc247085717"/>
      <w:bookmarkStart w:id="431" w:name="_Toc324404842"/>
      <w:bookmarkStart w:id="432" w:name="_Toc35424915"/>
      <w:bookmarkStart w:id="433" w:name="_Toc78803348"/>
      <w:bookmarkStart w:id="434" w:name="_Toc29639"/>
      <w:bookmarkStart w:id="435" w:name="_Toc179632577"/>
      <w:bookmarkStart w:id="436" w:name="_Toc506107295"/>
      <w:bookmarkStart w:id="437" w:name="_Toc246996946"/>
      <w:bookmarkStart w:id="438" w:name="_Toc152042335"/>
      <w:bookmarkStart w:id="439" w:name="_Toc144974527"/>
      <w:bookmarkStart w:id="440" w:name="_Toc15058874"/>
      <w:r>
        <w:rPr>
          <w:rFonts w:hint="eastAsia" w:ascii="宋体" w:hAnsi="宋体" w:eastAsia="宋体" w:cs="宋体"/>
          <w:color w:val="auto"/>
          <w:sz w:val="24"/>
          <w:szCs w:val="24"/>
          <w:highlight w:val="none"/>
        </w:rPr>
        <w:t>5. 开标</w:t>
      </w:r>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p>
    <w:p w14:paraId="44DFC292">
      <w:pPr>
        <w:pStyle w:val="3"/>
        <w:ind w:firstLine="422" w:firstLineChars="200"/>
        <w:rPr>
          <w:rFonts w:ascii="宋体" w:hAnsi="宋体" w:eastAsia="宋体" w:cs="宋体"/>
          <w:color w:val="auto"/>
          <w:highlight w:val="none"/>
        </w:rPr>
      </w:pPr>
      <w:bookmarkStart w:id="441" w:name="_Toc152045560"/>
      <w:bookmarkStart w:id="442" w:name="_Toc15058875"/>
      <w:bookmarkStart w:id="443" w:name="_Toc506107296"/>
      <w:bookmarkStart w:id="444" w:name="_Toc246996204"/>
      <w:bookmarkStart w:id="445" w:name="_Toc179632578"/>
      <w:bookmarkStart w:id="446" w:name="_Toc152042336"/>
      <w:bookmarkStart w:id="447" w:name="_Toc13691"/>
      <w:bookmarkStart w:id="448" w:name="_Toc35425082"/>
      <w:bookmarkStart w:id="449" w:name="_Toc78803349"/>
      <w:bookmarkStart w:id="450" w:name="_Toc246996947"/>
      <w:bookmarkStart w:id="451" w:name="_Toc296602448"/>
      <w:bookmarkStart w:id="452" w:name="_Toc144974528"/>
      <w:bookmarkStart w:id="453" w:name="_Toc35424916"/>
      <w:bookmarkStart w:id="454" w:name="_Toc247085718"/>
      <w:bookmarkStart w:id="455" w:name="_Toc324404843"/>
      <w:r>
        <w:rPr>
          <w:rFonts w:hint="eastAsia" w:ascii="宋体" w:hAnsi="宋体" w:eastAsia="宋体" w:cs="宋体"/>
          <w:color w:val="auto"/>
          <w:highlight w:val="none"/>
        </w:rPr>
        <w:t>5.1 开标时间和地点</w:t>
      </w:r>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p>
    <w:p w14:paraId="3EA480E2">
      <w:pPr>
        <w:adjustRightInd w:val="0"/>
        <w:snapToGrid w:val="0"/>
        <w:spacing w:line="560" w:lineRule="exact"/>
        <w:ind w:firstLine="420" w:firstLineChars="200"/>
        <w:rPr>
          <w:rFonts w:hint="eastAsia" w:ascii="宋体" w:hAnsi="宋体" w:cs="宋体"/>
          <w:color w:val="auto"/>
          <w:szCs w:val="21"/>
          <w:highlight w:val="none"/>
        </w:rPr>
      </w:pPr>
      <w:bookmarkStart w:id="456" w:name="_Toc296602449"/>
      <w:bookmarkStart w:id="457" w:name="_Toc246996948"/>
      <w:bookmarkStart w:id="458" w:name="_Toc144974529"/>
      <w:bookmarkStart w:id="459" w:name="_Toc179632579"/>
      <w:bookmarkStart w:id="460" w:name="_Toc324404844"/>
      <w:bookmarkStart w:id="461" w:name="_Toc247085719"/>
      <w:bookmarkStart w:id="462" w:name="_Toc32451"/>
      <w:bookmarkStart w:id="463" w:name="_Toc246996205"/>
      <w:bookmarkStart w:id="464" w:name="_Toc152042337"/>
      <w:bookmarkStart w:id="465" w:name="_Toc15058876"/>
      <w:bookmarkStart w:id="466" w:name="_Toc35425083"/>
      <w:bookmarkStart w:id="467" w:name="_Toc152045561"/>
      <w:bookmarkStart w:id="468" w:name="_Toc35424917"/>
      <w:bookmarkStart w:id="469" w:name="_Toc78803350"/>
      <w:bookmarkStart w:id="470" w:name="_Toc506107297"/>
      <w:r>
        <w:rPr>
          <w:rFonts w:hint="eastAsia" w:ascii="宋体" w:hAnsi="宋体" w:cs="宋体"/>
          <w:color w:val="auto"/>
          <w:szCs w:val="21"/>
          <w:highlight w:val="none"/>
        </w:rPr>
        <w:t>招标人在第一章“招标公告”规定的投标截止时间前（开标时间）和地点</w:t>
      </w:r>
      <w:r>
        <w:rPr>
          <w:color w:val="auto"/>
          <w:highlight w:val="none"/>
        </w:rPr>
        <w:t>通过交易系统公开开标</w:t>
      </w:r>
      <w:r>
        <w:rPr>
          <w:rFonts w:hint="eastAsia" w:ascii="宋体" w:hAnsi="宋体" w:cs="宋体"/>
          <w:color w:val="auto"/>
          <w:szCs w:val="21"/>
          <w:highlight w:val="none"/>
        </w:rPr>
        <w:t>。</w:t>
      </w:r>
    </w:p>
    <w:p w14:paraId="72027328">
      <w:pPr>
        <w:pStyle w:val="3"/>
        <w:ind w:firstLine="422" w:firstLineChars="200"/>
        <w:rPr>
          <w:rFonts w:ascii="宋体" w:hAnsi="宋体" w:eastAsia="宋体" w:cs="宋体"/>
          <w:color w:val="auto"/>
          <w:highlight w:val="none"/>
        </w:rPr>
      </w:pPr>
      <w:r>
        <w:rPr>
          <w:rFonts w:hint="eastAsia" w:ascii="宋体" w:hAnsi="宋体" w:eastAsia="宋体" w:cs="宋体"/>
          <w:color w:val="auto"/>
          <w:highlight w:val="none"/>
        </w:rPr>
        <w:t>5.2 开标程序</w:t>
      </w:r>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p>
    <w:p w14:paraId="0B511289">
      <w:pPr>
        <w:adjustRightInd w:val="0"/>
        <w:snapToGrid w:val="0"/>
        <w:spacing w:line="560" w:lineRule="exact"/>
        <w:ind w:firstLine="420" w:firstLineChars="200"/>
        <w:rPr>
          <w:rFonts w:hint="eastAsia" w:ascii="宋体" w:hAnsi="宋体" w:eastAsia="宋体" w:cs="宋体"/>
          <w:color w:val="auto"/>
          <w:szCs w:val="21"/>
          <w:highlight w:val="none"/>
        </w:rPr>
      </w:pPr>
      <w:bookmarkStart w:id="471" w:name="_Toc246996949"/>
      <w:bookmarkStart w:id="472" w:name="_Toc247085720"/>
      <w:bookmarkStart w:id="473" w:name="_Toc246996206"/>
      <w:bookmarkStart w:id="474" w:name="_Toc152042338"/>
      <w:bookmarkStart w:id="475" w:name="_Toc152045562"/>
      <w:bookmarkStart w:id="476" w:name="_Toc15058884"/>
      <w:bookmarkStart w:id="477" w:name="_Toc324404846"/>
      <w:bookmarkStart w:id="478" w:name="_Toc144974530"/>
      <w:bookmarkStart w:id="479" w:name="_Toc35424919"/>
      <w:bookmarkStart w:id="480" w:name="_Toc506107299"/>
      <w:bookmarkStart w:id="481" w:name="_Toc179632580"/>
      <w:bookmarkStart w:id="482" w:name="_Toc20689"/>
      <w:bookmarkStart w:id="483" w:name="_Toc35425085"/>
      <w:bookmarkStart w:id="484" w:name="_Toc78803352"/>
      <w:r>
        <w:rPr>
          <w:rFonts w:hint="eastAsia" w:ascii="宋体" w:hAnsi="宋体" w:eastAsia="宋体" w:cs="宋体"/>
          <w:color w:val="auto"/>
          <w:szCs w:val="21"/>
          <w:highlight w:val="none"/>
        </w:rPr>
        <w:t>主持人按下列程序进行开标：</w:t>
      </w:r>
    </w:p>
    <w:p w14:paraId="69335D40">
      <w:pPr>
        <w:adjustRightInd w:val="0"/>
        <w:snapToGrid w:val="0"/>
        <w:spacing w:line="56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（1）公布在投标截止时间前通过电子交易系统完成投标文件递交的投标人名称；</w:t>
      </w:r>
    </w:p>
    <w:p w14:paraId="3FE3B9E5">
      <w:pPr>
        <w:adjustRightInd w:val="0"/>
        <w:snapToGrid w:val="0"/>
        <w:spacing w:line="56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（2）投标人在投标截止时间后在投标人须知前附表规定的解密时间内完成投标文件的解密工作；</w:t>
      </w:r>
    </w:p>
    <w:p w14:paraId="09913E1C">
      <w:pPr>
        <w:adjustRightInd w:val="0"/>
        <w:snapToGrid w:val="0"/>
        <w:spacing w:line="56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（3）招标人或招标代理机构完成解密工作，导入并读取所有成功解密的投标文件；</w:t>
      </w:r>
    </w:p>
    <w:p w14:paraId="3C9672BD">
      <w:pPr>
        <w:adjustRightInd w:val="0"/>
        <w:snapToGrid w:val="0"/>
        <w:spacing w:line="56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（4）按投标人须知前附表规定公布投标人名称、标段名称、投标报价、质量目标、工期及其他内容；</w:t>
      </w:r>
    </w:p>
    <w:p w14:paraId="4611C8FD">
      <w:pPr>
        <w:adjustRightInd w:val="0"/>
        <w:snapToGrid w:val="0"/>
        <w:spacing w:line="560" w:lineRule="exact"/>
        <w:rPr>
          <w:rFonts w:hint="eastAsia" w:ascii="宋体" w:hAnsi="宋体" w:cs="宋体"/>
          <w:color w:val="auto"/>
          <w:szCs w:val="21"/>
          <w:highlight w:val="none"/>
        </w:rPr>
      </w:pPr>
      <w:r>
        <w:rPr>
          <w:rFonts w:hint="eastAsia" w:ascii="宋体" w:hAnsi="宋体" w:cs="宋体"/>
          <w:color w:val="auto"/>
          <w:szCs w:val="21"/>
          <w:highlight w:val="none"/>
        </w:rPr>
        <w:t xml:space="preserve">    （5）开标结束。</w:t>
      </w:r>
    </w:p>
    <w:p w14:paraId="0FABB25E">
      <w:pPr>
        <w:pStyle w:val="3"/>
        <w:spacing w:beforeLines="50" w:afterLines="50"/>
        <w:ind w:firstLine="482"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6. 评标</w:t>
      </w:r>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p>
    <w:p w14:paraId="6D7B4E38">
      <w:pPr>
        <w:pStyle w:val="3"/>
        <w:ind w:firstLine="422" w:firstLineChars="200"/>
        <w:rPr>
          <w:rFonts w:hint="eastAsia" w:ascii="宋体" w:hAnsi="宋体" w:eastAsia="宋体" w:cs="宋体"/>
          <w:color w:val="auto"/>
          <w:highlight w:val="none"/>
        </w:rPr>
      </w:pPr>
      <w:bookmarkStart w:id="485" w:name="_Toc506107300"/>
      <w:bookmarkStart w:id="486" w:name="_Toc246996207"/>
      <w:bookmarkStart w:id="487" w:name="_Toc152042339"/>
      <w:bookmarkStart w:id="488" w:name="_Toc60061467"/>
      <w:bookmarkStart w:id="489" w:name="_Toc179632581"/>
      <w:bookmarkStart w:id="490" w:name="_Toc246996950"/>
      <w:bookmarkStart w:id="491" w:name="_Toc247085721"/>
      <w:bookmarkStart w:id="492" w:name="_Toc144974531"/>
      <w:bookmarkStart w:id="493" w:name="_Toc324404847"/>
      <w:bookmarkStart w:id="494" w:name="_Toc95223370"/>
      <w:bookmarkStart w:id="495" w:name="_Toc83301722"/>
      <w:bookmarkStart w:id="496" w:name="_Toc152045563"/>
      <w:bookmarkStart w:id="497" w:name="_Toc296602452"/>
      <w:bookmarkStart w:id="498" w:name="_Toc15058885"/>
      <w:bookmarkStart w:id="499" w:name="_Toc247085722"/>
      <w:bookmarkStart w:id="500" w:name="_Toc324404848"/>
      <w:bookmarkStart w:id="501" w:name="_Toc246996951"/>
      <w:bookmarkStart w:id="502" w:name="_Toc15058886"/>
      <w:bookmarkStart w:id="503" w:name="_Toc35424921"/>
      <w:bookmarkStart w:id="504" w:name="_Toc35425087"/>
      <w:bookmarkStart w:id="505" w:name="_Toc506107301"/>
      <w:bookmarkStart w:id="506" w:name="_Toc78803354"/>
      <w:bookmarkStart w:id="507" w:name="_Toc296602453"/>
      <w:bookmarkStart w:id="508" w:name="_Toc152045564"/>
      <w:bookmarkStart w:id="509" w:name="_Toc246996208"/>
      <w:bookmarkStart w:id="510" w:name="_Toc144974532"/>
      <w:bookmarkStart w:id="511" w:name="_Toc152042340"/>
      <w:bookmarkStart w:id="512" w:name="_Toc12948"/>
      <w:bookmarkStart w:id="513" w:name="_Toc179632582"/>
      <w:r>
        <w:rPr>
          <w:rFonts w:hint="eastAsia" w:ascii="宋体" w:hAnsi="宋体" w:eastAsia="宋体" w:cs="宋体"/>
          <w:color w:val="auto"/>
          <w:highlight w:val="none"/>
        </w:rPr>
        <w:t>6.1 评标委员会</w:t>
      </w:r>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p>
    <w:p w14:paraId="4E04D397">
      <w:pPr>
        <w:spacing w:line="44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6.1.1 评标由招标人依法组建的评标委员会负责。评标委员会由招标人或其委托的招标代理机构熟悉相关业务的代表，以及有关技术、经济等方面的专家组成。评标委员会成员人数以及技术、经济等方面专家的确定方式见投标人须知前附表。</w:t>
      </w:r>
    </w:p>
    <w:p w14:paraId="329F69BD">
      <w:pPr>
        <w:spacing w:line="44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6.1.2 评标委员会成员有下列情形之一的，应当回避：</w:t>
      </w:r>
    </w:p>
    <w:p w14:paraId="73C97D41">
      <w:pPr>
        <w:spacing w:line="44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（1）项目主管部门或行政监督管理部门的工作人员； </w:t>
      </w:r>
    </w:p>
    <w:p w14:paraId="2C74894B">
      <w:pPr>
        <w:spacing w:line="44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（2）与竞争主体主要负责人或者授权参与交易的代理人有近亲属关系的人员； </w:t>
      </w:r>
    </w:p>
    <w:p w14:paraId="2117A829">
      <w:pPr>
        <w:spacing w:line="44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（3）竞争主体的工作人员或者退休人员； </w:t>
      </w:r>
    </w:p>
    <w:p w14:paraId="33843AD1">
      <w:pPr>
        <w:spacing w:line="44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（4）竞争主体的上级主管、控股或者被控股单位等相关利害关系的人员，或任职单位与竞争主体单位为同一法定代表人的。 </w:t>
      </w:r>
    </w:p>
    <w:p w14:paraId="0C395A67">
      <w:pPr>
        <w:spacing w:line="44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（5）存在其他法定回避情形的</w:t>
      </w:r>
    </w:p>
    <w:p w14:paraId="175B40D3">
      <w:pPr>
        <w:spacing w:line="44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项目实施主体及其子公司、下属单位、上级主管部门或者控股公司的工作人员或者退休人员不得以专家身份参与本单位或者代理项目的评标评审。 </w:t>
      </w:r>
    </w:p>
    <w:p w14:paraId="3E7C33FF">
      <w:pPr>
        <w:spacing w:line="44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评标委员会或评审机构成员有前两款规定情形的，应当主动提出回避；已经进入的应当更换，被更换的成员评标评审意见无效。</w:t>
      </w:r>
    </w:p>
    <w:p w14:paraId="0DC1ABCB">
      <w:pPr>
        <w:spacing w:line="44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6.1.3评标过程中，评标委员会成员有回避事由、擅离职守或因健康等原因不能继续评标的， 招标人有权更换。被更换的评标委员会成员作出的评审结论无效，由更换后的评标委员会成员重新进行评审。</w:t>
      </w:r>
    </w:p>
    <w:p w14:paraId="2C15BB0C">
      <w:pPr>
        <w:pStyle w:val="3"/>
        <w:ind w:firstLine="422" w:firstLineChars="200"/>
        <w:rPr>
          <w:rFonts w:ascii="宋体" w:hAnsi="宋体" w:eastAsia="宋体" w:cs="宋体"/>
          <w:color w:val="auto"/>
          <w:highlight w:val="none"/>
        </w:rPr>
      </w:pPr>
      <w:r>
        <w:rPr>
          <w:rFonts w:hint="eastAsia" w:ascii="宋体" w:hAnsi="宋体" w:eastAsia="宋体" w:cs="宋体"/>
          <w:color w:val="auto"/>
          <w:highlight w:val="none"/>
        </w:rPr>
        <w:t>6.2 评标原则</w:t>
      </w:r>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p>
    <w:p w14:paraId="47DBC71C">
      <w:pPr>
        <w:spacing w:line="44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评标活动遵循公平、公正、科学和择优的原则。</w:t>
      </w:r>
    </w:p>
    <w:p w14:paraId="298BCB48">
      <w:pPr>
        <w:pStyle w:val="3"/>
        <w:ind w:firstLine="422" w:firstLineChars="200"/>
        <w:rPr>
          <w:rFonts w:ascii="宋体" w:hAnsi="宋体" w:eastAsia="宋体" w:cs="宋体"/>
          <w:color w:val="auto"/>
          <w:highlight w:val="none"/>
        </w:rPr>
      </w:pPr>
      <w:bookmarkStart w:id="514" w:name="_Toc179632583"/>
      <w:bookmarkStart w:id="515" w:name="_Toc506107302"/>
      <w:bookmarkStart w:id="516" w:name="_Toc78803355"/>
      <w:bookmarkStart w:id="517" w:name="_Toc247085723"/>
      <w:bookmarkStart w:id="518" w:name="_Toc144974533"/>
      <w:bookmarkStart w:id="519" w:name="_Toc15058887"/>
      <w:bookmarkStart w:id="520" w:name="_Toc14892"/>
      <w:bookmarkStart w:id="521" w:name="_Toc246996209"/>
      <w:bookmarkStart w:id="522" w:name="_Toc35424922"/>
      <w:bookmarkStart w:id="523" w:name="_Toc35425088"/>
      <w:bookmarkStart w:id="524" w:name="_Toc296602454"/>
      <w:bookmarkStart w:id="525" w:name="_Toc152045565"/>
      <w:bookmarkStart w:id="526" w:name="_Toc324404849"/>
      <w:bookmarkStart w:id="527" w:name="_Toc246996952"/>
      <w:bookmarkStart w:id="528" w:name="_Toc152042341"/>
      <w:r>
        <w:rPr>
          <w:rFonts w:hint="eastAsia" w:ascii="宋体" w:hAnsi="宋体" w:eastAsia="宋体" w:cs="宋体"/>
          <w:color w:val="auto"/>
          <w:highlight w:val="none"/>
        </w:rPr>
        <w:t>6.3 评标</w:t>
      </w:r>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p>
    <w:p w14:paraId="4929DC3A">
      <w:pPr>
        <w:spacing w:line="440" w:lineRule="exact"/>
        <w:ind w:firstLine="420" w:firstLineChars="200"/>
        <w:jc w:val="left"/>
        <w:rPr>
          <w:rFonts w:ascii="宋体" w:hAnsi="宋体" w:cs="宋体"/>
          <w:color w:val="auto"/>
          <w:szCs w:val="21"/>
          <w:highlight w:val="none"/>
        </w:rPr>
      </w:pPr>
      <w:bookmarkStart w:id="529" w:name="_Toc179632584"/>
      <w:bookmarkStart w:id="530" w:name="_Toc246996953"/>
      <w:bookmarkStart w:id="531" w:name="_Toc247085724"/>
      <w:bookmarkStart w:id="532" w:name="_Toc152042342"/>
      <w:bookmarkStart w:id="533" w:name="_Toc246996210"/>
      <w:bookmarkStart w:id="534" w:name="_Toc152045566"/>
      <w:bookmarkStart w:id="535" w:name="_Toc324404850"/>
      <w:bookmarkStart w:id="536" w:name="_Toc144974534"/>
      <w:r>
        <w:rPr>
          <w:rFonts w:hint="eastAsia" w:ascii="宋体" w:hAnsi="宋体" w:cs="宋体"/>
          <w:color w:val="auto"/>
          <w:szCs w:val="21"/>
          <w:highlight w:val="none"/>
        </w:rPr>
        <w:t>6.3.1评标委员会按照第</w:t>
      </w:r>
      <w:r>
        <w:rPr>
          <w:rFonts w:hint="eastAsia" w:ascii="宋体" w:hAnsi="宋体" w:cs="宋体"/>
          <w:color w:val="auto"/>
          <w:szCs w:val="21"/>
          <w:highlight w:val="none"/>
          <w:lang w:val="en-US" w:eastAsia="zh-CN"/>
        </w:rPr>
        <w:t>四</w:t>
      </w:r>
      <w:r>
        <w:rPr>
          <w:rFonts w:hint="eastAsia" w:ascii="宋体" w:hAnsi="宋体" w:cs="宋体"/>
          <w:color w:val="auto"/>
          <w:szCs w:val="21"/>
          <w:highlight w:val="none"/>
        </w:rPr>
        <w:t>章“评标办法”规定的方法、评审因素、标准和程序对投标文件进行评审。第</w:t>
      </w:r>
      <w:r>
        <w:rPr>
          <w:rFonts w:hint="eastAsia" w:ascii="宋体" w:hAnsi="宋体" w:cs="宋体"/>
          <w:color w:val="auto"/>
          <w:szCs w:val="21"/>
          <w:highlight w:val="none"/>
          <w:lang w:val="en-US" w:eastAsia="zh-CN"/>
        </w:rPr>
        <w:t>四</w:t>
      </w:r>
      <w:r>
        <w:rPr>
          <w:rFonts w:hint="eastAsia" w:ascii="宋体" w:hAnsi="宋体" w:cs="宋体"/>
          <w:color w:val="auto"/>
          <w:szCs w:val="21"/>
          <w:highlight w:val="none"/>
        </w:rPr>
        <w:t>章“评标办法”没有规定的方法、评审因素和标准，不作为评标依据。</w:t>
      </w:r>
    </w:p>
    <w:p w14:paraId="7D4C1121">
      <w:pPr>
        <w:spacing w:line="44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6.3.2评标完成后，评标委员会应向招标人提交书面评标报告和中标候选人名单。评标委员会推荐中标候选人的人数见投标人须知前附表。</w:t>
      </w:r>
    </w:p>
    <w:p w14:paraId="1E17D868">
      <w:pPr>
        <w:pStyle w:val="3"/>
        <w:spacing w:beforeLines="50" w:afterLines="50"/>
        <w:ind w:firstLine="482" w:firstLineChars="200"/>
        <w:rPr>
          <w:rFonts w:ascii="宋体" w:hAnsi="宋体" w:eastAsia="宋体" w:cs="宋体"/>
          <w:color w:val="auto"/>
          <w:sz w:val="24"/>
          <w:szCs w:val="24"/>
          <w:highlight w:val="none"/>
        </w:rPr>
      </w:pPr>
      <w:bookmarkStart w:id="537" w:name="_Toc15058888"/>
      <w:bookmarkStart w:id="538" w:name="_Toc26182"/>
      <w:bookmarkStart w:id="539" w:name="_Toc35424923"/>
      <w:bookmarkStart w:id="540" w:name="_Toc506107303"/>
      <w:bookmarkStart w:id="541" w:name="_Toc78803356"/>
      <w:bookmarkStart w:id="542" w:name="_Toc35425089"/>
      <w:r>
        <w:rPr>
          <w:rFonts w:hint="eastAsia" w:ascii="宋体" w:hAnsi="宋体" w:eastAsia="宋体" w:cs="宋体"/>
          <w:color w:val="auto"/>
          <w:sz w:val="24"/>
          <w:szCs w:val="24"/>
          <w:highlight w:val="none"/>
        </w:rPr>
        <w:t>7. 合同授予</w:t>
      </w:r>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p>
    <w:p w14:paraId="070C7520">
      <w:pPr>
        <w:pStyle w:val="3"/>
        <w:ind w:firstLine="422" w:firstLineChars="200"/>
        <w:rPr>
          <w:rFonts w:hint="eastAsia" w:ascii="宋体" w:hAnsi="宋体" w:eastAsia="宋体" w:cs="宋体"/>
          <w:color w:val="auto"/>
          <w:highlight w:val="none"/>
        </w:rPr>
      </w:pPr>
      <w:bookmarkStart w:id="543" w:name="_Toc95223374"/>
      <w:bookmarkStart w:id="544" w:name="_Toc296602457"/>
      <w:bookmarkStart w:id="545" w:name="_Toc15058890"/>
      <w:bookmarkStart w:id="546" w:name="_Toc506107305"/>
      <w:bookmarkStart w:id="547" w:name="_Toc60061472"/>
      <w:bookmarkStart w:id="548" w:name="_Toc83301726"/>
      <w:bookmarkStart w:id="549" w:name="_Toc324404852"/>
      <w:bookmarkStart w:id="550" w:name="_Toc35425092"/>
      <w:bookmarkStart w:id="551" w:name="_Toc78803359"/>
      <w:bookmarkStart w:id="552" w:name="_Toc8261"/>
      <w:bookmarkStart w:id="553" w:name="_Toc27040"/>
      <w:bookmarkStart w:id="554" w:name="_Toc35424926"/>
      <w:bookmarkStart w:id="555" w:name="_Toc14692"/>
      <w:bookmarkStart w:id="556" w:name="_Toc324404853"/>
      <w:bookmarkStart w:id="557" w:name="_Toc246996955"/>
      <w:bookmarkStart w:id="558" w:name="_Toc15058891"/>
      <w:bookmarkStart w:id="559" w:name="_Toc296602458"/>
      <w:bookmarkStart w:id="560" w:name="_Toc35424927"/>
      <w:bookmarkStart w:id="561" w:name="_Toc152045568"/>
      <w:bookmarkStart w:id="562" w:name="_Toc506107306"/>
      <w:bookmarkStart w:id="563" w:name="_Toc144974536"/>
      <w:bookmarkStart w:id="564" w:name="_Toc179632586"/>
      <w:bookmarkStart w:id="565" w:name="_Toc246996212"/>
      <w:bookmarkStart w:id="566" w:name="_Toc152042344"/>
      <w:bookmarkStart w:id="567" w:name="_Toc35425093"/>
      <w:bookmarkStart w:id="568" w:name="_Toc247085726"/>
      <w:r>
        <w:rPr>
          <w:rFonts w:hint="eastAsia" w:ascii="宋体" w:hAnsi="宋体" w:eastAsia="宋体" w:cs="宋体"/>
          <w:color w:val="auto"/>
          <w:highlight w:val="none"/>
        </w:rPr>
        <w:t>7.1 中标候选人公示</w:t>
      </w:r>
      <w:bookmarkEnd w:id="543"/>
      <w:bookmarkEnd w:id="544"/>
      <w:bookmarkEnd w:id="545"/>
      <w:bookmarkEnd w:id="546"/>
      <w:bookmarkEnd w:id="547"/>
      <w:bookmarkEnd w:id="548"/>
      <w:bookmarkEnd w:id="549"/>
    </w:p>
    <w:p w14:paraId="3D3C9E8B">
      <w:pPr>
        <w:spacing w:line="44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招标人在收到评标报告之日起3日内，按照投标人须知前附表规定的公示媒介和期限依法公示。中标候选人公示期不得少于3日。</w:t>
      </w:r>
    </w:p>
    <w:p w14:paraId="02BCD838">
      <w:pPr>
        <w:pStyle w:val="3"/>
        <w:ind w:firstLine="422" w:firstLineChars="200"/>
        <w:rPr>
          <w:rFonts w:hint="eastAsia" w:ascii="宋体" w:hAnsi="宋体" w:eastAsia="宋体" w:cs="宋体"/>
          <w:color w:val="auto"/>
          <w:highlight w:val="none"/>
        </w:rPr>
      </w:pPr>
      <w:r>
        <w:rPr>
          <w:rFonts w:hint="eastAsia" w:ascii="宋体" w:hAnsi="宋体" w:eastAsia="宋体" w:cs="宋体"/>
          <w:color w:val="auto"/>
          <w:highlight w:val="none"/>
        </w:rPr>
        <w:t>7.2 评标结果异议</w:t>
      </w:r>
    </w:p>
    <w:p w14:paraId="6D874A6B">
      <w:pPr>
        <w:spacing w:line="44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投标人或其他利害关系人对评标结果有异议的，应在中标候选人公示期内提出。招标人将在收到异议之日起3日内作出答复；作出答复前，将暂停招标投标活动。</w:t>
      </w:r>
    </w:p>
    <w:p w14:paraId="1D0EB461">
      <w:pPr>
        <w:pStyle w:val="3"/>
        <w:ind w:firstLine="422" w:firstLineChars="200"/>
        <w:rPr>
          <w:rFonts w:ascii="宋体" w:hAnsi="宋体" w:eastAsia="宋体" w:cs="宋体"/>
          <w:color w:val="auto"/>
          <w:highlight w:val="none"/>
        </w:rPr>
      </w:pPr>
      <w:r>
        <w:rPr>
          <w:rFonts w:hint="eastAsia" w:ascii="宋体" w:hAnsi="宋体" w:eastAsia="宋体" w:cs="宋体"/>
          <w:color w:val="auto"/>
          <w:highlight w:val="none"/>
        </w:rPr>
        <w:t>7.</w:t>
      </w:r>
      <w:r>
        <w:rPr>
          <w:rFonts w:hint="eastAsia" w:ascii="宋体" w:hAnsi="宋体" w:eastAsia="宋体" w:cs="宋体"/>
          <w:color w:val="auto"/>
          <w:highlight w:val="none"/>
          <w:lang w:val="en-US" w:eastAsia="zh-CN"/>
        </w:rPr>
        <w:t>3</w:t>
      </w:r>
      <w:r>
        <w:rPr>
          <w:rFonts w:hint="eastAsia" w:ascii="宋体" w:hAnsi="宋体" w:eastAsia="宋体" w:cs="宋体"/>
          <w:color w:val="auto"/>
          <w:highlight w:val="none"/>
        </w:rPr>
        <w:t xml:space="preserve"> </w:t>
      </w:r>
      <w:bookmarkEnd w:id="550"/>
      <w:bookmarkEnd w:id="551"/>
      <w:bookmarkEnd w:id="552"/>
      <w:bookmarkEnd w:id="553"/>
      <w:bookmarkEnd w:id="554"/>
      <w:r>
        <w:rPr>
          <w:rFonts w:hint="eastAsia" w:ascii="宋体" w:hAnsi="宋体" w:eastAsia="宋体" w:cs="宋体"/>
          <w:color w:val="auto"/>
          <w:highlight w:val="none"/>
        </w:rPr>
        <w:t>定标</w:t>
      </w:r>
    </w:p>
    <w:p w14:paraId="117D2B8C">
      <w:pPr>
        <w:spacing w:line="440" w:lineRule="exact"/>
        <w:ind w:firstLine="420" w:firstLineChars="200"/>
        <w:jc w:val="left"/>
        <w:rPr>
          <w:rFonts w:hint="eastAsia" w:ascii="宋体" w:hAnsi="宋体" w:eastAsia="宋体" w:cs="宋体"/>
          <w:color w:val="auto"/>
          <w:szCs w:val="21"/>
          <w:highlight w:val="none"/>
        </w:rPr>
      </w:pPr>
      <w:bookmarkStart w:id="569" w:name="_Toc4204"/>
      <w:bookmarkStart w:id="570" w:name="_Toc78803360"/>
      <w:r>
        <w:rPr>
          <w:rFonts w:hint="eastAsia" w:ascii="宋体" w:hAnsi="宋体" w:eastAsia="宋体" w:cs="宋体"/>
          <w:color w:val="auto"/>
          <w:szCs w:val="21"/>
          <w:highlight w:val="none"/>
        </w:rPr>
        <w:t>按照投标人须知前附表的规定，招标人或招标人授权的评标委员会依法确定中标人。排名第一的中标候选人放弃中标、因不可抗力不能履行合同、不按照招标文件要求提交履约保证金，或者被查实存在影响中标结果的违法行为等情形，不符合中标条件的，招标人可以按照评标委员会提出的中标候选人名单排序依次确定其他中标候选人为中标人，也可以重新招标。</w:t>
      </w:r>
    </w:p>
    <w:p w14:paraId="05B9A367">
      <w:pPr>
        <w:pStyle w:val="3"/>
        <w:ind w:firstLine="422" w:firstLineChars="200"/>
        <w:rPr>
          <w:rFonts w:hint="eastAsia" w:ascii="宋体" w:hAnsi="宋体" w:eastAsia="宋体" w:cs="宋体"/>
          <w:color w:val="auto"/>
          <w:highlight w:val="none"/>
        </w:rPr>
      </w:pPr>
      <w:bookmarkStart w:id="571" w:name="_Toc83301728"/>
      <w:bookmarkStart w:id="572" w:name="_Toc95223376"/>
      <w:r>
        <w:rPr>
          <w:rFonts w:hint="eastAsia" w:ascii="宋体" w:hAnsi="宋体" w:eastAsia="宋体" w:cs="宋体"/>
          <w:color w:val="auto"/>
          <w:highlight w:val="none"/>
        </w:rPr>
        <w:t>7.</w:t>
      </w:r>
      <w:r>
        <w:rPr>
          <w:rFonts w:hint="eastAsia" w:ascii="宋体" w:hAnsi="宋体" w:eastAsia="宋体" w:cs="宋体"/>
          <w:color w:val="auto"/>
          <w:highlight w:val="none"/>
          <w:lang w:val="en-US" w:eastAsia="zh-CN"/>
        </w:rPr>
        <w:t>4</w:t>
      </w:r>
      <w:r>
        <w:rPr>
          <w:rFonts w:hint="eastAsia" w:ascii="宋体" w:hAnsi="宋体" w:eastAsia="宋体" w:cs="宋体"/>
          <w:color w:val="auto"/>
          <w:highlight w:val="none"/>
        </w:rPr>
        <w:t xml:space="preserve"> 中标通知</w:t>
      </w:r>
      <w:bookmarkEnd w:id="571"/>
      <w:bookmarkEnd w:id="572"/>
    </w:p>
    <w:p w14:paraId="768E4E46">
      <w:pPr>
        <w:spacing w:line="44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在本招标文件规定的投标有效期内，招标人向中标人发出中标通知书，同时将中标结果通知未中标的投标人。</w:t>
      </w:r>
    </w:p>
    <w:p w14:paraId="045D8AA7">
      <w:pPr>
        <w:pStyle w:val="3"/>
        <w:ind w:firstLine="422" w:firstLineChars="200"/>
        <w:rPr>
          <w:rFonts w:hint="eastAsia" w:ascii="宋体" w:hAnsi="宋体" w:eastAsia="宋体" w:cs="宋体"/>
          <w:color w:val="auto"/>
          <w:highlight w:val="none"/>
        </w:rPr>
      </w:pPr>
      <w:bookmarkStart w:id="573" w:name="_Toc95223377"/>
      <w:r>
        <w:rPr>
          <w:rFonts w:hint="eastAsia" w:ascii="宋体" w:hAnsi="宋体" w:eastAsia="宋体" w:cs="宋体"/>
          <w:color w:val="auto"/>
          <w:highlight w:val="none"/>
        </w:rPr>
        <w:t>7.</w:t>
      </w:r>
      <w:r>
        <w:rPr>
          <w:rFonts w:hint="eastAsia" w:ascii="宋体" w:hAnsi="宋体" w:eastAsia="宋体" w:cs="宋体"/>
          <w:color w:val="auto"/>
          <w:highlight w:val="none"/>
          <w:lang w:val="en-US" w:eastAsia="zh-CN"/>
        </w:rPr>
        <w:t xml:space="preserve">5 </w:t>
      </w:r>
      <w:r>
        <w:rPr>
          <w:rFonts w:hint="eastAsia" w:ascii="宋体" w:hAnsi="宋体" w:eastAsia="宋体" w:cs="宋体"/>
          <w:color w:val="auto"/>
          <w:highlight w:val="none"/>
        </w:rPr>
        <w:t>中标结果公示</w:t>
      </w:r>
      <w:bookmarkEnd w:id="573"/>
    </w:p>
    <w:p w14:paraId="0718115A">
      <w:pPr>
        <w:spacing w:line="44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招标人在确定中标人之日起3日内，按照投标人须知前附表规定的公示媒介和期限公示中标结果。</w:t>
      </w:r>
    </w:p>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p w14:paraId="76BD1912">
      <w:pPr>
        <w:pStyle w:val="3"/>
        <w:ind w:firstLine="422" w:firstLineChars="200"/>
        <w:rPr>
          <w:rFonts w:ascii="宋体" w:hAnsi="宋体" w:eastAsia="宋体" w:cs="宋体"/>
          <w:color w:val="auto"/>
          <w:highlight w:val="none"/>
        </w:rPr>
      </w:pPr>
      <w:bookmarkStart w:id="574" w:name="_Toc35425095"/>
      <w:bookmarkStart w:id="575" w:name="_Toc152042345"/>
      <w:bookmarkStart w:id="576" w:name="_Toc152045569"/>
      <w:bookmarkStart w:id="577" w:name="_Toc247085727"/>
      <w:bookmarkStart w:id="578" w:name="_Toc179632587"/>
      <w:bookmarkStart w:id="579" w:name="_Toc15058892"/>
      <w:bookmarkStart w:id="580" w:name="_Toc246996956"/>
      <w:bookmarkStart w:id="581" w:name="_Toc144974537"/>
      <w:bookmarkStart w:id="582" w:name="_Toc506107307"/>
      <w:bookmarkStart w:id="583" w:name="_Toc296602459"/>
      <w:bookmarkStart w:id="584" w:name="_Toc324404854"/>
      <w:bookmarkStart w:id="585" w:name="_Toc35424929"/>
      <w:bookmarkStart w:id="586" w:name="_Toc246996213"/>
      <w:bookmarkStart w:id="587" w:name="_Toc25501"/>
      <w:bookmarkStart w:id="588" w:name="_Toc78803362"/>
      <w:r>
        <w:rPr>
          <w:rFonts w:hint="eastAsia" w:ascii="宋体" w:hAnsi="宋体" w:eastAsia="宋体" w:cs="宋体"/>
          <w:color w:val="auto"/>
          <w:highlight w:val="none"/>
        </w:rPr>
        <w:t>7.</w:t>
      </w:r>
      <w:r>
        <w:rPr>
          <w:rFonts w:hint="eastAsia" w:ascii="宋体" w:hAnsi="宋体" w:eastAsia="宋体" w:cs="宋体"/>
          <w:color w:val="auto"/>
          <w:highlight w:val="none"/>
          <w:lang w:val="en-US" w:eastAsia="zh-CN"/>
        </w:rPr>
        <w:t>6</w:t>
      </w:r>
      <w:r>
        <w:rPr>
          <w:rFonts w:hint="eastAsia" w:ascii="宋体" w:hAnsi="宋体" w:eastAsia="宋体" w:cs="宋体"/>
          <w:color w:val="auto"/>
          <w:highlight w:val="none"/>
        </w:rPr>
        <w:t xml:space="preserve"> 履约担保</w:t>
      </w:r>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p>
    <w:p w14:paraId="575A9D53">
      <w:pPr>
        <w:spacing w:line="440" w:lineRule="exact"/>
        <w:ind w:firstLine="420" w:firstLineChars="200"/>
        <w:jc w:val="left"/>
        <w:rPr>
          <w:rFonts w:hint="eastAsia" w:ascii="宋体" w:hAnsi="宋体" w:eastAsia="宋体" w:cs="宋体"/>
          <w:color w:val="auto"/>
          <w:szCs w:val="21"/>
          <w:highlight w:val="none"/>
        </w:rPr>
      </w:pPr>
      <w:bookmarkStart w:id="589" w:name="_Toc324404855"/>
      <w:bookmarkStart w:id="590" w:name="_Toc152042346"/>
      <w:bookmarkStart w:id="591" w:name="_Toc78803363"/>
      <w:bookmarkStart w:id="592" w:name="_Toc179632588"/>
      <w:bookmarkStart w:id="593" w:name="_Toc247085728"/>
      <w:bookmarkStart w:id="594" w:name="_Toc11010"/>
      <w:bookmarkStart w:id="595" w:name="_Toc152045570"/>
      <w:bookmarkStart w:id="596" w:name="_Toc35424930"/>
      <w:bookmarkStart w:id="597" w:name="_Toc296602460"/>
      <w:bookmarkStart w:id="598" w:name="_Toc15058893"/>
      <w:bookmarkStart w:id="599" w:name="_Toc35425096"/>
      <w:bookmarkStart w:id="600" w:name="_Toc246996957"/>
      <w:bookmarkStart w:id="601" w:name="_Toc506107308"/>
      <w:bookmarkStart w:id="602" w:name="_Toc246996214"/>
      <w:bookmarkStart w:id="603" w:name="_Toc144974538"/>
      <w:r>
        <w:rPr>
          <w:rFonts w:hint="eastAsia" w:ascii="宋体" w:hAnsi="宋体" w:eastAsia="宋体" w:cs="宋体"/>
          <w:color w:val="auto"/>
          <w:szCs w:val="21"/>
          <w:highlight w:val="none"/>
        </w:rPr>
        <w:t>7.</w:t>
      </w:r>
      <w:r>
        <w:rPr>
          <w:rFonts w:hint="eastAsia" w:ascii="宋体" w:hAnsi="宋体" w:eastAsia="宋体" w:cs="宋体"/>
          <w:color w:val="auto"/>
          <w:szCs w:val="21"/>
          <w:highlight w:val="none"/>
          <w:lang w:val="en-US" w:eastAsia="zh-CN"/>
        </w:rPr>
        <w:t>6</w:t>
      </w:r>
      <w:r>
        <w:rPr>
          <w:rFonts w:hint="eastAsia" w:ascii="宋体" w:hAnsi="宋体" w:eastAsia="宋体" w:cs="宋体"/>
          <w:color w:val="auto"/>
          <w:szCs w:val="21"/>
          <w:highlight w:val="none"/>
        </w:rPr>
        <w:t>.1在签订合同前，中标人应按投标人须知前附表规定的担保形式和招标文件第五章“合同条款及格式”规定的或者事先经过招标人书面认可的履约担保格式向招标人提交履约担保。联合体中标的，其履约担保应符合投标人须知前附表规定的金额、担保形式和招标文件第五章“合同条款及格式”规定的履约担保格式要求。</w:t>
      </w:r>
    </w:p>
    <w:p w14:paraId="4CB87898">
      <w:pPr>
        <w:spacing w:line="44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7.</w:t>
      </w:r>
      <w:r>
        <w:rPr>
          <w:rFonts w:hint="eastAsia" w:ascii="宋体" w:hAnsi="宋体" w:eastAsia="宋体" w:cs="宋体"/>
          <w:color w:val="auto"/>
          <w:szCs w:val="21"/>
          <w:highlight w:val="none"/>
          <w:lang w:val="en-US" w:eastAsia="zh-CN"/>
        </w:rPr>
        <w:t>6</w:t>
      </w:r>
      <w:r>
        <w:rPr>
          <w:rFonts w:hint="eastAsia" w:ascii="宋体" w:hAnsi="宋体" w:eastAsia="宋体" w:cs="宋体"/>
          <w:color w:val="auto"/>
          <w:szCs w:val="21"/>
          <w:highlight w:val="none"/>
        </w:rPr>
        <w:t>.2 中标人不能按本章第7.</w:t>
      </w:r>
      <w:r>
        <w:rPr>
          <w:rFonts w:hint="eastAsia" w:ascii="宋体" w:hAnsi="宋体" w:eastAsia="宋体" w:cs="宋体"/>
          <w:color w:val="auto"/>
          <w:szCs w:val="21"/>
          <w:highlight w:val="none"/>
          <w:lang w:val="en-US" w:eastAsia="zh-CN"/>
        </w:rPr>
        <w:t>6</w:t>
      </w:r>
      <w:r>
        <w:rPr>
          <w:rFonts w:hint="eastAsia" w:ascii="宋体" w:hAnsi="宋体" w:eastAsia="宋体" w:cs="宋体"/>
          <w:color w:val="auto"/>
          <w:szCs w:val="21"/>
          <w:highlight w:val="none"/>
        </w:rPr>
        <w:t>.1项要求提交履约担保的，视为放弃中标，其投标保证金不予退还，给招标人造成的损失超过投标保证金数额的，中标人还应当对超过部分予以赔偿。</w:t>
      </w:r>
    </w:p>
    <w:p w14:paraId="3B4E380F">
      <w:pPr>
        <w:pStyle w:val="3"/>
        <w:ind w:firstLine="422" w:firstLineChars="200"/>
        <w:rPr>
          <w:rFonts w:ascii="宋体" w:hAnsi="宋体" w:eastAsia="宋体" w:cs="宋体"/>
          <w:color w:val="auto"/>
          <w:highlight w:val="none"/>
        </w:rPr>
      </w:pPr>
      <w:r>
        <w:rPr>
          <w:rFonts w:hint="eastAsia" w:ascii="宋体" w:hAnsi="宋体" w:eastAsia="宋体" w:cs="宋体"/>
          <w:color w:val="auto"/>
          <w:highlight w:val="none"/>
        </w:rPr>
        <w:t>7.</w:t>
      </w:r>
      <w:r>
        <w:rPr>
          <w:rFonts w:hint="eastAsia" w:ascii="宋体" w:hAnsi="宋体" w:eastAsia="宋体" w:cs="宋体"/>
          <w:color w:val="auto"/>
          <w:highlight w:val="none"/>
          <w:lang w:val="en-US" w:eastAsia="zh-CN"/>
        </w:rPr>
        <w:t>7</w:t>
      </w:r>
      <w:r>
        <w:rPr>
          <w:rFonts w:hint="eastAsia" w:ascii="宋体" w:hAnsi="宋体" w:eastAsia="宋体" w:cs="宋体"/>
          <w:color w:val="auto"/>
          <w:highlight w:val="none"/>
        </w:rPr>
        <w:t xml:space="preserve"> 签订合同</w:t>
      </w:r>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p>
    <w:p w14:paraId="72DE0C53">
      <w:pPr>
        <w:wordWrap w:val="0"/>
        <w:spacing w:line="440" w:lineRule="exact"/>
        <w:ind w:firstLine="420" w:firstLineChars="200"/>
        <w:jc w:val="left"/>
        <w:rPr>
          <w:rFonts w:hint="eastAsia" w:ascii="宋体" w:hAnsi="宋体" w:eastAsia="宋体" w:cs="宋体"/>
          <w:bCs/>
          <w:color w:val="auto"/>
          <w:szCs w:val="21"/>
          <w:highlight w:val="none"/>
        </w:rPr>
      </w:pPr>
      <w:bookmarkStart w:id="604" w:name="_Toc324404856"/>
      <w:bookmarkStart w:id="605" w:name="_Toc15058894"/>
      <w:bookmarkStart w:id="606" w:name="_Toc506107309"/>
      <w:r>
        <w:rPr>
          <w:rFonts w:hint="eastAsia" w:ascii="宋体" w:hAnsi="宋体" w:eastAsia="宋体" w:cs="宋体"/>
          <w:bCs/>
          <w:color w:val="auto"/>
          <w:szCs w:val="21"/>
          <w:highlight w:val="none"/>
        </w:rPr>
        <w:t>7.</w:t>
      </w:r>
      <w:r>
        <w:rPr>
          <w:rFonts w:hint="eastAsia" w:ascii="宋体" w:hAnsi="宋体" w:eastAsia="宋体" w:cs="宋体"/>
          <w:bCs/>
          <w:color w:val="auto"/>
          <w:szCs w:val="21"/>
          <w:highlight w:val="none"/>
          <w:lang w:val="en-US" w:eastAsia="zh-CN"/>
        </w:rPr>
        <w:t>7</w:t>
      </w:r>
      <w:r>
        <w:rPr>
          <w:rFonts w:hint="eastAsia" w:ascii="宋体" w:hAnsi="宋体" w:eastAsia="宋体" w:cs="宋体"/>
          <w:bCs/>
          <w:color w:val="auto"/>
          <w:szCs w:val="21"/>
          <w:highlight w:val="none"/>
        </w:rPr>
        <w:t>.1本招标工程的施工合同将授予按本须知第7.</w:t>
      </w:r>
      <w:r>
        <w:rPr>
          <w:rFonts w:hint="eastAsia" w:ascii="宋体" w:hAnsi="宋体" w:cs="宋体"/>
          <w:bCs/>
          <w:color w:val="auto"/>
          <w:szCs w:val="21"/>
          <w:highlight w:val="none"/>
          <w:lang w:val="en-US" w:eastAsia="zh-CN"/>
        </w:rPr>
        <w:t>3</w:t>
      </w:r>
      <w:r>
        <w:rPr>
          <w:rFonts w:hint="eastAsia" w:ascii="宋体" w:hAnsi="宋体" w:eastAsia="宋体" w:cs="宋体"/>
          <w:bCs/>
          <w:color w:val="auto"/>
          <w:szCs w:val="21"/>
          <w:highlight w:val="none"/>
        </w:rPr>
        <w:t xml:space="preserve">条规定所确定的中标人。 </w:t>
      </w:r>
    </w:p>
    <w:p w14:paraId="01C1DF48">
      <w:pPr>
        <w:wordWrap w:val="0"/>
        <w:spacing w:line="440" w:lineRule="exact"/>
        <w:ind w:firstLine="420" w:firstLineChars="200"/>
        <w:jc w:val="left"/>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7.</w:t>
      </w:r>
      <w:r>
        <w:rPr>
          <w:rFonts w:hint="eastAsia" w:ascii="宋体" w:hAnsi="宋体" w:eastAsia="宋体" w:cs="宋体"/>
          <w:bCs/>
          <w:color w:val="auto"/>
          <w:szCs w:val="21"/>
          <w:highlight w:val="none"/>
          <w:lang w:val="en-US" w:eastAsia="zh-CN"/>
        </w:rPr>
        <w:t>7</w:t>
      </w:r>
      <w:r>
        <w:rPr>
          <w:rFonts w:hint="eastAsia" w:ascii="宋体" w:hAnsi="宋体" w:eastAsia="宋体" w:cs="宋体"/>
          <w:bCs/>
          <w:color w:val="auto"/>
          <w:szCs w:val="21"/>
          <w:highlight w:val="none"/>
        </w:rPr>
        <w:t>.2招标人和中标人应当自中标通知书发出之日起30天内，根据招标文件和中标人的投标文件订立书面合同。中标人无正当理由拒签合同的，在签订合同时向招标人提出附加条件，或不按照招标文件要求提交履约保证金的，招标人取消其中标资格；给招标人造成的损失的，中标人还应当对予以赔偿。</w:t>
      </w:r>
    </w:p>
    <w:p w14:paraId="01E0BEC3">
      <w:pPr>
        <w:wordWrap w:val="0"/>
        <w:spacing w:line="440" w:lineRule="exact"/>
        <w:ind w:firstLine="420" w:firstLineChars="200"/>
        <w:jc w:val="left"/>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7.</w:t>
      </w:r>
      <w:r>
        <w:rPr>
          <w:rFonts w:hint="eastAsia" w:ascii="宋体" w:hAnsi="宋体" w:eastAsia="宋体" w:cs="宋体"/>
          <w:bCs/>
          <w:color w:val="auto"/>
          <w:szCs w:val="21"/>
          <w:highlight w:val="none"/>
          <w:lang w:val="en-US" w:eastAsia="zh-CN"/>
        </w:rPr>
        <w:t>7</w:t>
      </w:r>
      <w:r>
        <w:rPr>
          <w:rFonts w:hint="eastAsia" w:ascii="宋体" w:hAnsi="宋体" w:eastAsia="宋体" w:cs="宋体"/>
          <w:bCs/>
          <w:color w:val="auto"/>
          <w:szCs w:val="21"/>
          <w:highlight w:val="none"/>
        </w:rPr>
        <w:t>.3发出中标通知书后，招标单位无正当理由拒签合同的，给中标人造成损失的，还应当赔偿损失。</w:t>
      </w:r>
    </w:p>
    <w:p w14:paraId="15321B34">
      <w:pPr>
        <w:wordWrap w:val="0"/>
        <w:spacing w:line="440" w:lineRule="exact"/>
        <w:ind w:firstLine="420" w:firstLineChars="200"/>
        <w:jc w:val="left"/>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7.</w:t>
      </w:r>
      <w:r>
        <w:rPr>
          <w:rFonts w:hint="eastAsia" w:ascii="宋体" w:hAnsi="宋体" w:eastAsia="宋体" w:cs="宋体"/>
          <w:bCs/>
          <w:color w:val="auto"/>
          <w:szCs w:val="21"/>
          <w:highlight w:val="none"/>
          <w:lang w:val="en-US" w:eastAsia="zh-CN"/>
        </w:rPr>
        <w:t>7</w:t>
      </w:r>
      <w:r>
        <w:rPr>
          <w:rFonts w:hint="eastAsia" w:ascii="宋体" w:hAnsi="宋体" w:eastAsia="宋体" w:cs="宋体"/>
          <w:bCs/>
          <w:color w:val="auto"/>
          <w:szCs w:val="21"/>
          <w:highlight w:val="none"/>
        </w:rPr>
        <w:t>.4除法定情形外，建设工程合同履行期间项目经理（建造师）不得更换。项目经理（建造师）确需变更的，应根据招标文件要求，变更后的项目经理（建造师）不低于投标文件中拟派项目经理（建造师）的资格条件。</w:t>
      </w:r>
    </w:p>
    <w:bookmarkEnd w:id="604"/>
    <w:bookmarkEnd w:id="605"/>
    <w:bookmarkEnd w:id="606"/>
    <w:p w14:paraId="57E42931">
      <w:pPr>
        <w:pStyle w:val="3"/>
        <w:spacing w:beforeLines="50" w:afterLines="50"/>
        <w:ind w:firstLine="422" w:firstLineChars="200"/>
        <w:rPr>
          <w:rFonts w:hint="eastAsia" w:ascii="宋体" w:hAnsi="宋体" w:eastAsia="宋体" w:cs="宋体"/>
          <w:color w:val="auto"/>
          <w:highlight w:val="none"/>
        </w:rPr>
      </w:pPr>
      <w:bookmarkStart w:id="607" w:name="_Toc83301732"/>
      <w:bookmarkStart w:id="608" w:name="_Toc179632589"/>
      <w:bookmarkStart w:id="609" w:name="_Toc152045571"/>
      <w:bookmarkStart w:id="610" w:name="_Toc152042347"/>
      <w:bookmarkStart w:id="611" w:name="_Toc60061478"/>
      <w:bookmarkStart w:id="612" w:name="_Toc95223381"/>
      <w:bookmarkStart w:id="613" w:name="_Toc144974539"/>
      <w:bookmarkStart w:id="614" w:name="_Toc25375"/>
      <w:bookmarkStart w:id="615" w:name="_Toc26974"/>
      <w:bookmarkStart w:id="616" w:name="_Toc31686"/>
      <w:bookmarkStart w:id="617" w:name="_Toc35425097"/>
      <w:bookmarkStart w:id="618" w:name="_Toc78803367"/>
      <w:bookmarkStart w:id="619" w:name="_Toc35424931"/>
      <w:bookmarkStart w:id="620" w:name="_Toc324404864"/>
      <w:bookmarkStart w:id="621" w:name="_Toc35424939"/>
      <w:bookmarkStart w:id="622" w:name="_Toc506107317"/>
      <w:bookmarkStart w:id="623" w:name="_Toc15058902"/>
      <w:bookmarkStart w:id="624" w:name="_Toc35425105"/>
      <w:bookmarkStart w:id="625" w:name="_Toc296602475"/>
      <w:r>
        <w:rPr>
          <w:rFonts w:hint="eastAsia" w:ascii="宋体" w:hAnsi="宋体" w:eastAsia="宋体" w:cs="宋体"/>
          <w:color w:val="auto"/>
          <w:highlight w:val="none"/>
        </w:rPr>
        <w:t>8. 重新招标和不再招标</w:t>
      </w:r>
      <w:bookmarkEnd w:id="607"/>
      <w:bookmarkEnd w:id="608"/>
      <w:bookmarkEnd w:id="609"/>
      <w:bookmarkEnd w:id="610"/>
      <w:bookmarkEnd w:id="611"/>
      <w:bookmarkEnd w:id="612"/>
      <w:bookmarkEnd w:id="613"/>
    </w:p>
    <w:p w14:paraId="774B94FD">
      <w:pPr>
        <w:pStyle w:val="3"/>
        <w:ind w:firstLine="422" w:firstLineChars="200"/>
        <w:rPr>
          <w:rFonts w:hint="eastAsia" w:ascii="宋体" w:hAnsi="宋体" w:eastAsia="宋体" w:cs="宋体"/>
          <w:color w:val="auto"/>
          <w:highlight w:val="none"/>
        </w:rPr>
      </w:pPr>
      <w:bookmarkStart w:id="626" w:name="_Toc144974540"/>
      <w:bookmarkStart w:id="627" w:name="_Toc179632590"/>
      <w:bookmarkStart w:id="628" w:name="_Toc60061479"/>
      <w:bookmarkStart w:id="629" w:name="_Toc152042348"/>
      <w:bookmarkStart w:id="630" w:name="_Toc83301733"/>
      <w:bookmarkStart w:id="631" w:name="_Toc95223382"/>
      <w:bookmarkStart w:id="632" w:name="_Toc152045572"/>
      <w:r>
        <w:rPr>
          <w:rFonts w:hint="eastAsia" w:ascii="宋体" w:hAnsi="宋体" w:eastAsia="宋体" w:cs="宋体"/>
          <w:color w:val="auto"/>
          <w:highlight w:val="none"/>
        </w:rPr>
        <w:t>8.1 重新招标</w:t>
      </w:r>
      <w:bookmarkEnd w:id="626"/>
      <w:bookmarkEnd w:id="627"/>
      <w:bookmarkEnd w:id="628"/>
      <w:bookmarkEnd w:id="629"/>
      <w:bookmarkEnd w:id="630"/>
      <w:bookmarkEnd w:id="631"/>
      <w:bookmarkEnd w:id="632"/>
    </w:p>
    <w:p w14:paraId="243115F1">
      <w:pPr>
        <w:wordWrap w:val="0"/>
        <w:spacing w:line="440" w:lineRule="exact"/>
        <w:ind w:firstLine="420" w:firstLineChars="200"/>
        <w:jc w:val="left"/>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依法必须招标的项目有下列情形之一的，招标人将重新招标：</w:t>
      </w:r>
    </w:p>
    <w:p w14:paraId="71A327E5">
      <w:pPr>
        <w:wordWrap w:val="0"/>
        <w:spacing w:line="440" w:lineRule="exact"/>
        <w:ind w:firstLine="420" w:firstLineChars="200"/>
        <w:jc w:val="left"/>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（1）投标截止时间止，投标人少于3个的；</w:t>
      </w:r>
    </w:p>
    <w:p w14:paraId="53761C98">
      <w:pPr>
        <w:wordWrap w:val="0"/>
        <w:spacing w:line="440" w:lineRule="exact"/>
        <w:ind w:firstLine="420" w:firstLineChars="200"/>
        <w:jc w:val="left"/>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（2）经评标委员会评审后否决所有投标的；</w:t>
      </w:r>
    </w:p>
    <w:p w14:paraId="3412299B">
      <w:pPr>
        <w:wordWrap w:val="0"/>
        <w:spacing w:line="440" w:lineRule="exact"/>
        <w:ind w:firstLine="420" w:firstLineChars="200"/>
        <w:jc w:val="left"/>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（3）中标候选人均未与招标人签订合同的；</w:t>
      </w:r>
    </w:p>
    <w:p w14:paraId="4115D547">
      <w:pPr>
        <w:wordWrap w:val="0"/>
        <w:spacing w:line="440" w:lineRule="exact"/>
        <w:ind w:firstLine="420" w:firstLineChars="200"/>
        <w:jc w:val="left"/>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（4）法律、法规规定的其他情形。</w:t>
      </w:r>
    </w:p>
    <w:p w14:paraId="077F17AF">
      <w:pPr>
        <w:pStyle w:val="3"/>
        <w:ind w:firstLine="422" w:firstLineChars="200"/>
        <w:rPr>
          <w:rFonts w:hint="eastAsia" w:ascii="宋体" w:hAnsi="宋体" w:eastAsia="宋体" w:cs="宋体"/>
          <w:color w:val="auto"/>
          <w:highlight w:val="none"/>
        </w:rPr>
      </w:pPr>
      <w:bookmarkStart w:id="633" w:name="_Toc152042349"/>
      <w:bookmarkStart w:id="634" w:name="_Toc179632591"/>
      <w:bookmarkStart w:id="635" w:name="_Toc144974541"/>
      <w:bookmarkStart w:id="636" w:name="_Toc95223383"/>
      <w:bookmarkStart w:id="637" w:name="_Toc60061480"/>
      <w:bookmarkStart w:id="638" w:name="_Toc83301734"/>
      <w:bookmarkStart w:id="639" w:name="_Toc152045573"/>
      <w:r>
        <w:rPr>
          <w:rFonts w:hint="eastAsia" w:ascii="宋体" w:hAnsi="宋体" w:eastAsia="宋体" w:cs="宋体"/>
          <w:color w:val="auto"/>
          <w:highlight w:val="none"/>
        </w:rPr>
        <w:t>8.2 不再招标</w:t>
      </w:r>
      <w:bookmarkEnd w:id="633"/>
      <w:bookmarkEnd w:id="634"/>
      <w:bookmarkEnd w:id="635"/>
      <w:bookmarkEnd w:id="636"/>
      <w:bookmarkEnd w:id="637"/>
      <w:bookmarkEnd w:id="638"/>
      <w:bookmarkEnd w:id="639"/>
    </w:p>
    <w:p w14:paraId="79E8730A">
      <w:pPr>
        <w:wordWrap w:val="0"/>
        <w:spacing w:line="440" w:lineRule="exact"/>
        <w:ind w:firstLine="420" w:firstLineChars="200"/>
        <w:jc w:val="left"/>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重新招标后投标人仍少于3个或者所有投标被否决的，属于必须审批或核准的工程建设项目，经原审批或核准部门批准后不再进行招标。</w:t>
      </w:r>
    </w:p>
    <w:p w14:paraId="31B2E77F">
      <w:pPr>
        <w:pStyle w:val="3"/>
        <w:spacing w:beforeLines="50" w:afterLines="50"/>
        <w:ind w:firstLine="422" w:firstLineChars="200"/>
        <w:rPr>
          <w:rFonts w:ascii="宋体" w:hAnsi="宋体" w:eastAsia="宋体" w:cs="宋体"/>
          <w:color w:val="auto"/>
          <w:highlight w:val="none"/>
        </w:rPr>
      </w:pPr>
      <w:r>
        <w:rPr>
          <w:rFonts w:hint="eastAsia" w:ascii="宋体" w:hAnsi="宋体" w:eastAsia="宋体" w:cs="宋体"/>
          <w:color w:val="auto"/>
          <w:highlight w:val="none"/>
        </w:rPr>
        <w:t>9. 纪律和监督</w:t>
      </w:r>
      <w:bookmarkEnd w:id="614"/>
      <w:bookmarkEnd w:id="615"/>
      <w:bookmarkEnd w:id="616"/>
      <w:bookmarkEnd w:id="617"/>
      <w:bookmarkEnd w:id="618"/>
      <w:bookmarkEnd w:id="619"/>
    </w:p>
    <w:p w14:paraId="49CA1A8F">
      <w:pPr>
        <w:pStyle w:val="3"/>
        <w:ind w:firstLine="422" w:firstLineChars="200"/>
        <w:rPr>
          <w:rFonts w:ascii="宋体" w:hAnsi="宋体" w:eastAsia="宋体" w:cs="宋体"/>
          <w:color w:val="auto"/>
          <w:highlight w:val="none"/>
        </w:rPr>
      </w:pPr>
      <w:bookmarkStart w:id="640" w:name="_Toc15607"/>
      <w:bookmarkStart w:id="641" w:name="_Toc144974543"/>
      <w:bookmarkStart w:id="642" w:name="_Toc2855"/>
      <w:bookmarkStart w:id="643" w:name="_Toc296590983"/>
      <w:bookmarkStart w:id="644" w:name="_Toc152045575"/>
      <w:bookmarkStart w:id="645" w:name="_Toc247085733"/>
      <w:bookmarkStart w:id="646" w:name="_Toc324404857"/>
      <w:bookmarkStart w:id="647" w:name="_Toc78803368"/>
      <w:bookmarkStart w:id="648" w:name="_Toc246996962"/>
      <w:bookmarkStart w:id="649" w:name="_Toc35424932"/>
      <w:bookmarkStart w:id="650" w:name="_Toc246996219"/>
      <w:bookmarkStart w:id="651" w:name="_Toc152042351"/>
      <w:bookmarkStart w:id="652" w:name="_Toc179632593"/>
      <w:bookmarkStart w:id="653" w:name="_Toc35425098"/>
      <w:bookmarkStart w:id="654" w:name="_Toc296602462"/>
      <w:bookmarkStart w:id="655" w:name="_Toc506107310"/>
      <w:bookmarkStart w:id="656" w:name="_Toc15058895"/>
      <w:r>
        <w:rPr>
          <w:rFonts w:hint="eastAsia" w:ascii="宋体" w:hAnsi="宋体" w:eastAsia="宋体" w:cs="宋体"/>
          <w:color w:val="auto"/>
          <w:highlight w:val="none"/>
        </w:rPr>
        <w:t>9.1 对招标人的纪律要求</w:t>
      </w:r>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p>
    <w:p w14:paraId="25A9C8EA">
      <w:pPr>
        <w:spacing w:line="44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招标人不得泄漏招标投标活动中应当保密的情况和资料，不得与投标人串通损害国家利益、社会公共利益或者他人合法权益。</w:t>
      </w:r>
    </w:p>
    <w:p w14:paraId="6BA9BC3B">
      <w:pPr>
        <w:pStyle w:val="3"/>
        <w:ind w:firstLine="422" w:firstLineChars="200"/>
        <w:rPr>
          <w:rFonts w:ascii="宋体" w:hAnsi="宋体" w:eastAsia="宋体" w:cs="宋体"/>
          <w:color w:val="auto"/>
          <w:highlight w:val="none"/>
        </w:rPr>
      </w:pPr>
      <w:bookmarkStart w:id="657" w:name="_Toc78803369"/>
      <w:bookmarkStart w:id="658" w:name="_Toc35425099"/>
      <w:bookmarkStart w:id="659" w:name="_Toc15058896"/>
      <w:bookmarkStart w:id="660" w:name="_Toc324404858"/>
      <w:bookmarkStart w:id="661" w:name="_Toc246996220"/>
      <w:bookmarkStart w:id="662" w:name="_Toc179632594"/>
      <w:bookmarkStart w:id="663" w:name="_Toc32177"/>
      <w:bookmarkStart w:id="664" w:name="_Toc246996963"/>
      <w:bookmarkStart w:id="665" w:name="_Toc35424933"/>
      <w:bookmarkStart w:id="666" w:name="_Toc296602463"/>
      <w:bookmarkStart w:id="667" w:name="_Toc152042352"/>
      <w:bookmarkStart w:id="668" w:name="_Toc144974544"/>
      <w:bookmarkStart w:id="669" w:name="_Toc247085734"/>
      <w:bookmarkStart w:id="670" w:name="_Toc19779"/>
      <w:bookmarkStart w:id="671" w:name="_Toc506107311"/>
      <w:bookmarkStart w:id="672" w:name="_Toc152045576"/>
      <w:r>
        <w:rPr>
          <w:rFonts w:hint="eastAsia" w:ascii="宋体" w:hAnsi="宋体" w:eastAsia="宋体" w:cs="宋体"/>
          <w:color w:val="auto"/>
          <w:highlight w:val="none"/>
        </w:rPr>
        <w:t>9.2 对投标人的纪律要求</w:t>
      </w:r>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p>
    <w:p w14:paraId="1B7AC341">
      <w:pPr>
        <w:spacing w:line="44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投标人不得相互串通投标或者与招标人串通投标，不得向招标人或者评标委员会成员行贿谋取中标，不得以他人名义投标或者以其他方式弄虚作假骗取中标；投标人不得以任何方式干扰、影响评标工作。</w:t>
      </w:r>
    </w:p>
    <w:p w14:paraId="533A1F0E">
      <w:pPr>
        <w:pStyle w:val="3"/>
        <w:ind w:firstLine="422" w:firstLineChars="200"/>
        <w:rPr>
          <w:rFonts w:ascii="宋体" w:hAnsi="宋体" w:eastAsia="宋体" w:cs="宋体"/>
          <w:color w:val="auto"/>
          <w:highlight w:val="none"/>
        </w:rPr>
      </w:pPr>
      <w:bookmarkStart w:id="673" w:name="_Toc15058897"/>
      <w:bookmarkStart w:id="674" w:name="_Toc152042353"/>
      <w:bookmarkStart w:id="675" w:name="_Toc246996964"/>
      <w:bookmarkStart w:id="676" w:name="_Toc35425100"/>
      <w:bookmarkStart w:id="677" w:name="_Toc247085735"/>
      <w:bookmarkStart w:id="678" w:name="_Toc78803370"/>
      <w:bookmarkStart w:id="679" w:name="_Toc296602464"/>
      <w:bookmarkStart w:id="680" w:name="_Toc152045577"/>
      <w:bookmarkStart w:id="681" w:name="_Toc506107312"/>
      <w:bookmarkStart w:id="682" w:name="_Toc13043"/>
      <w:bookmarkStart w:id="683" w:name="_Toc246996221"/>
      <w:bookmarkStart w:id="684" w:name="_Toc144974545"/>
      <w:bookmarkStart w:id="685" w:name="_Toc35424934"/>
      <w:bookmarkStart w:id="686" w:name="_Toc179632595"/>
      <w:bookmarkStart w:id="687" w:name="_Toc324404859"/>
      <w:bookmarkStart w:id="688" w:name="_Toc12564"/>
      <w:r>
        <w:rPr>
          <w:rFonts w:hint="eastAsia" w:ascii="宋体" w:hAnsi="宋体" w:eastAsia="宋体" w:cs="宋体"/>
          <w:color w:val="auto"/>
          <w:highlight w:val="none"/>
        </w:rPr>
        <w:t>9.3 对评标委员会成员的纪律要求</w:t>
      </w:r>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p>
    <w:p w14:paraId="5256DC85">
      <w:pPr>
        <w:spacing w:line="44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评标委员会成员不得收受他人的财物或者其他好处，不得向他人透漏对投标文件的评审和比较、中标候选人的推荐情况以及评标有关的其他情况。在评标活动中，评标委员会成员应当客观、公正地履行职责，遵守职业道德，不得擅离职守，影响评标程序正常进行，不得使用第三章“评标办法”没有规定的评审因素和标准进行评标。</w:t>
      </w:r>
    </w:p>
    <w:p w14:paraId="6939E33C">
      <w:pPr>
        <w:pStyle w:val="3"/>
        <w:ind w:firstLine="422" w:firstLineChars="200"/>
        <w:rPr>
          <w:rFonts w:ascii="宋体" w:hAnsi="宋体" w:eastAsia="宋体" w:cs="宋体"/>
          <w:color w:val="auto"/>
          <w:highlight w:val="none"/>
        </w:rPr>
      </w:pPr>
      <w:bookmarkStart w:id="689" w:name="_Toc506107313"/>
      <w:bookmarkStart w:id="690" w:name="_Toc324404860"/>
      <w:bookmarkStart w:id="691" w:name="_Toc296602465"/>
      <w:bookmarkStart w:id="692" w:name="_Toc35425101"/>
      <w:bookmarkStart w:id="693" w:name="_Toc246996965"/>
      <w:bookmarkStart w:id="694" w:name="_Toc15058898"/>
      <w:bookmarkStart w:id="695" w:name="_Toc247085736"/>
      <w:bookmarkStart w:id="696" w:name="_Toc18329"/>
      <w:bookmarkStart w:id="697" w:name="_Toc78803371"/>
      <w:bookmarkStart w:id="698" w:name="_Toc32214"/>
      <w:bookmarkStart w:id="699" w:name="_Toc152045578"/>
      <w:bookmarkStart w:id="700" w:name="_Toc246996222"/>
      <w:bookmarkStart w:id="701" w:name="_Toc152042354"/>
      <w:bookmarkStart w:id="702" w:name="_Toc179632596"/>
      <w:bookmarkStart w:id="703" w:name="_Toc35424935"/>
      <w:bookmarkStart w:id="704" w:name="_Toc144974546"/>
      <w:r>
        <w:rPr>
          <w:rFonts w:hint="eastAsia" w:ascii="宋体" w:hAnsi="宋体" w:eastAsia="宋体" w:cs="宋体"/>
          <w:color w:val="auto"/>
          <w:highlight w:val="none"/>
        </w:rPr>
        <w:t>9.4 对与评标活动有关的工作人员的纪律要求</w:t>
      </w:r>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p>
    <w:p w14:paraId="766BE765">
      <w:pPr>
        <w:spacing w:line="440" w:lineRule="exact"/>
        <w:ind w:firstLine="420" w:firstLineChars="200"/>
        <w:jc w:val="left"/>
        <w:rPr>
          <w:rFonts w:ascii="宋体" w:hAnsi="宋体" w:cs="宋体"/>
          <w:color w:val="auto"/>
          <w:szCs w:val="21"/>
          <w:highlight w:val="none"/>
        </w:rPr>
      </w:pPr>
      <w:bookmarkStart w:id="705" w:name="_Toc152042355"/>
      <w:r>
        <w:rPr>
          <w:rFonts w:hint="eastAsia" w:ascii="宋体" w:hAnsi="宋体" w:cs="宋体"/>
          <w:color w:val="auto"/>
          <w:szCs w:val="21"/>
          <w:highlight w:val="none"/>
        </w:rPr>
        <w:t>与评标活动有关的工作人员不得收受他人的财物或者其他好处，不得向他人透漏对投标文件的评审和比较、中标候选人的推荐情况以及评标有关的其他情况。在评标活动中，与评标活动有关的工作人员不得擅离职守，影响评标程序正常进行。</w:t>
      </w:r>
      <w:bookmarkEnd w:id="705"/>
    </w:p>
    <w:p w14:paraId="6EC5285F">
      <w:pPr>
        <w:pStyle w:val="3"/>
        <w:ind w:firstLine="422" w:firstLineChars="200"/>
        <w:rPr>
          <w:rFonts w:ascii="宋体" w:hAnsi="宋体" w:eastAsia="宋体" w:cs="宋体"/>
          <w:color w:val="auto"/>
          <w:highlight w:val="none"/>
        </w:rPr>
      </w:pPr>
      <w:bookmarkStart w:id="706" w:name="_Toc23607"/>
      <w:bookmarkStart w:id="707" w:name="_Toc35424936"/>
      <w:bookmarkStart w:id="708" w:name="_Toc324404861"/>
      <w:bookmarkStart w:id="709" w:name="_Toc152042356"/>
      <w:bookmarkStart w:id="710" w:name="_Toc246996966"/>
      <w:bookmarkStart w:id="711" w:name="_Toc506107314"/>
      <w:bookmarkStart w:id="712" w:name="_Toc152045579"/>
      <w:bookmarkStart w:id="713" w:name="_Toc179632597"/>
      <w:bookmarkStart w:id="714" w:name="_Toc35425102"/>
      <w:bookmarkStart w:id="715" w:name="_Toc247085737"/>
      <w:bookmarkStart w:id="716" w:name="_Toc15058899"/>
      <w:bookmarkStart w:id="717" w:name="_Toc78803372"/>
      <w:bookmarkStart w:id="718" w:name="_Toc296602466"/>
      <w:bookmarkStart w:id="719" w:name="_Toc2811"/>
      <w:bookmarkStart w:id="720" w:name="_Toc246996223"/>
      <w:r>
        <w:rPr>
          <w:rFonts w:hint="eastAsia" w:ascii="宋体" w:hAnsi="宋体" w:eastAsia="宋体" w:cs="宋体"/>
          <w:color w:val="auto"/>
          <w:highlight w:val="none"/>
        </w:rPr>
        <w:t>9.5 投诉</w:t>
      </w:r>
      <w:bookmarkEnd w:id="704"/>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p>
    <w:p w14:paraId="18A92B0B">
      <w:pPr>
        <w:spacing w:line="440" w:lineRule="exact"/>
        <w:ind w:firstLine="420" w:firstLineChars="200"/>
        <w:jc w:val="left"/>
        <w:rPr>
          <w:rFonts w:hint="eastAsia" w:ascii="宋体" w:hAnsi="宋体" w:eastAsia="宋体" w:cs="宋体"/>
          <w:color w:val="auto"/>
          <w:szCs w:val="21"/>
          <w:highlight w:val="none"/>
        </w:rPr>
      </w:pPr>
      <w:bookmarkStart w:id="721" w:name="_Toc179632598"/>
      <w:bookmarkStart w:id="722" w:name="_Toc78803373"/>
      <w:bookmarkStart w:id="723" w:name="_Toc152045580"/>
      <w:bookmarkStart w:id="724" w:name="_Toc152042357"/>
      <w:bookmarkStart w:id="725" w:name="_Toc324404862"/>
      <w:bookmarkStart w:id="726" w:name="_Toc35424937"/>
      <w:bookmarkStart w:id="727" w:name="_Toc20669"/>
      <w:bookmarkStart w:id="728" w:name="_Toc247085738"/>
      <w:bookmarkStart w:id="729" w:name="_Toc506107315"/>
      <w:bookmarkStart w:id="730" w:name="_Toc15058900"/>
      <w:bookmarkStart w:id="731" w:name="_Toc35425103"/>
      <w:bookmarkStart w:id="732" w:name="_Toc246996967"/>
      <w:bookmarkStart w:id="733" w:name="_Toc144974547"/>
      <w:bookmarkStart w:id="734" w:name="_Toc31643"/>
      <w:bookmarkStart w:id="735" w:name="_Toc246996224"/>
      <w:bookmarkStart w:id="736" w:name="_Toc16463"/>
      <w:r>
        <w:rPr>
          <w:rFonts w:hint="eastAsia" w:ascii="宋体" w:hAnsi="宋体" w:eastAsia="宋体" w:cs="宋体"/>
          <w:color w:val="auto"/>
          <w:szCs w:val="21"/>
          <w:highlight w:val="none"/>
        </w:rPr>
        <w:t>9.5.1投标人或者其他利害关系人认为招标投标活动违反法律、法规和规章规定的，有权向相关行政监督部门投诉。投诉应当有明确的请求和必要的证明材料。</w:t>
      </w:r>
    </w:p>
    <w:p w14:paraId="64A3032D">
      <w:pPr>
        <w:spacing w:line="44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9.5.2投标人和其他利害关系人对招标文件、开标和评标结果事项投诉的，应当按照投标人须知的规定先向招标人提出异议。异议答复期间不计算在第9.5.1项规定的期限内。</w:t>
      </w:r>
    </w:p>
    <w:p w14:paraId="39FC7842">
      <w:pPr>
        <w:pStyle w:val="3"/>
        <w:spacing w:beforeLines="50" w:afterLines="50"/>
        <w:ind w:firstLine="422" w:firstLineChars="200"/>
        <w:rPr>
          <w:rFonts w:ascii="宋体" w:hAnsi="宋体" w:eastAsia="宋体" w:cs="宋体"/>
          <w:color w:val="auto"/>
          <w:highlight w:val="none"/>
        </w:rPr>
      </w:pPr>
      <w:r>
        <w:rPr>
          <w:rFonts w:hint="eastAsia" w:ascii="宋体" w:hAnsi="宋体" w:eastAsia="宋体" w:cs="宋体"/>
          <w:color w:val="auto"/>
          <w:highlight w:val="none"/>
        </w:rPr>
        <w:t>10.需要补充的其他内容</w:t>
      </w:r>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p>
    <w:p w14:paraId="2610702A">
      <w:pPr>
        <w:spacing w:line="440" w:lineRule="exact"/>
        <w:ind w:firstLine="420" w:firstLineChars="200"/>
        <w:jc w:val="left"/>
        <w:rPr>
          <w:rFonts w:ascii="宋体" w:hAnsi="宋体" w:cs="宋体"/>
          <w:color w:val="auto"/>
          <w:szCs w:val="21"/>
          <w:highlight w:val="none"/>
        </w:rPr>
      </w:pPr>
      <w:bookmarkStart w:id="737" w:name="_Toc15058901"/>
      <w:r>
        <w:rPr>
          <w:rFonts w:hint="eastAsia" w:ascii="宋体" w:hAnsi="宋体" w:cs="宋体"/>
          <w:color w:val="auto"/>
          <w:szCs w:val="21"/>
          <w:highlight w:val="none"/>
        </w:rPr>
        <w:t>需要补充的其他内容：见投标人须知前附表。</w:t>
      </w:r>
      <w:bookmarkEnd w:id="737"/>
    </w:p>
    <w:p w14:paraId="13695F73">
      <w:pPr>
        <w:spacing w:line="440" w:lineRule="exact"/>
        <w:jc w:val="left"/>
        <w:rPr>
          <w:rFonts w:ascii="宋体" w:hAnsi="宋体" w:cs="宋体"/>
          <w:color w:val="auto"/>
          <w:szCs w:val="21"/>
          <w:highlight w:val="none"/>
        </w:rPr>
      </w:pPr>
    </w:p>
    <w:p w14:paraId="146D6C50">
      <w:pPr>
        <w:pageBreakBefore/>
        <w:spacing w:beforeLines="80" w:afterLines="80" w:line="440" w:lineRule="exact"/>
        <w:jc w:val="center"/>
        <w:outlineLvl w:val="1"/>
        <w:rPr>
          <w:rFonts w:ascii="宋体"/>
          <w:b/>
          <w:color w:val="auto"/>
          <w:sz w:val="32"/>
          <w:szCs w:val="32"/>
          <w:highlight w:val="none"/>
        </w:rPr>
      </w:pPr>
      <w:bookmarkStart w:id="738" w:name="_Toc78803375"/>
      <w:r>
        <w:rPr>
          <w:rFonts w:hint="eastAsia" w:ascii="宋体"/>
          <w:b/>
          <w:color w:val="auto"/>
          <w:sz w:val="32"/>
          <w:szCs w:val="32"/>
          <w:highlight w:val="none"/>
        </w:rPr>
        <w:t>第</w:t>
      </w:r>
      <w:r>
        <w:rPr>
          <w:rFonts w:hint="eastAsia" w:ascii="宋体"/>
          <w:b/>
          <w:color w:val="auto"/>
          <w:sz w:val="32"/>
          <w:szCs w:val="32"/>
          <w:highlight w:val="none"/>
          <w:lang w:val="en-US" w:eastAsia="zh-CN"/>
        </w:rPr>
        <w:t>三</w:t>
      </w:r>
      <w:r>
        <w:rPr>
          <w:rFonts w:hint="eastAsia" w:ascii="宋体"/>
          <w:b/>
          <w:color w:val="auto"/>
          <w:sz w:val="32"/>
          <w:szCs w:val="32"/>
          <w:highlight w:val="none"/>
        </w:rPr>
        <w:t>章  资格审查</w:t>
      </w:r>
      <w:bookmarkEnd w:id="620"/>
      <w:r>
        <w:rPr>
          <w:rFonts w:hint="eastAsia" w:ascii="宋体"/>
          <w:b/>
          <w:color w:val="auto"/>
          <w:sz w:val="32"/>
          <w:szCs w:val="32"/>
          <w:highlight w:val="none"/>
        </w:rPr>
        <w:t>办法</w:t>
      </w:r>
      <w:bookmarkEnd w:id="621"/>
      <w:bookmarkEnd w:id="622"/>
      <w:bookmarkEnd w:id="623"/>
      <w:bookmarkEnd w:id="624"/>
      <w:bookmarkEnd w:id="738"/>
    </w:p>
    <w:p w14:paraId="510BB1C6">
      <w:pPr>
        <w:spacing w:beforeLines="50" w:afterLines="50" w:line="440" w:lineRule="exact"/>
        <w:jc w:val="center"/>
        <w:rPr>
          <w:rFonts w:ascii="宋体" w:hAnsi="宋体" w:cs="宋体"/>
          <w:b/>
          <w:bCs/>
          <w:color w:val="auto"/>
          <w:sz w:val="28"/>
          <w:szCs w:val="22"/>
          <w:highlight w:val="none"/>
        </w:rPr>
      </w:pPr>
      <w:bookmarkStart w:id="739" w:name="_Toc35424940"/>
      <w:bookmarkStart w:id="740" w:name="_Toc506107318"/>
      <w:bookmarkStart w:id="741" w:name="_Toc324404865"/>
      <w:bookmarkStart w:id="742" w:name="_Toc15058903"/>
      <w:bookmarkStart w:id="743" w:name="_Toc35425106"/>
      <w:r>
        <w:rPr>
          <w:rFonts w:hint="eastAsia" w:ascii="宋体" w:hAnsi="宋体" w:cs="宋体"/>
          <w:b/>
          <w:bCs/>
          <w:color w:val="auto"/>
          <w:sz w:val="28"/>
          <w:szCs w:val="22"/>
          <w:highlight w:val="none"/>
        </w:rPr>
        <w:t>资格审查办法前附表</w:t>
      </w:r>
      <w:bookmarkEnd w:id="739"/>
      <w:bookmarkEnd w:id="740"/>
      <w:bookmarkEnd w:id="741"/>
      <w:bookmarkEnd w:id="742"/>
      <w:bookmarkEnd w:id="743"/>
    </w:p>
    <w:tbl>
      <w:tblPr>
        <w:tblStyle w:val="47"/>
        <w:tblW w:w="1006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5"/>
        <w:gridCol w:w="1258"/>
        <w:gridCol w:w="6183"/>
        <w:gridCol w:w="1860"/>
      </w:tblGrid>
      <w:tr w14:paraId="3443AF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2023" w:type="dxa"/>
            <w:gridSpan w:val="2"/>
            <w:noWrap/>
            <w:vAlign w:val="center"/>
          </w:tcPr>
          <w:p w14:paraId="21EA50D5">
            <w:pPr>
              <w:spacing w:line="440" w:lineRule="exact"/>
              <w:jc w:val="center"/>
              <w:rPr>
                <w:rFonts w:ascii="宋体" w:hAnsi="宋体" w:cs="宋体"/>
                <w:b/>
                <w:bCs/>
                <w:color w:val="auto"/>
                <w:szCs w:val="21"/>
                <w:highlight w:val="none"/>
              </w:rPr>
            </w:pPr>
            <w:r>
              <w:rPr>
                <w:rFonts w:hint="eastAsia" w:ascii="宋体" w:hAnsi="宋体" w:cs="宋体"/>
                <w:b/>
                <w:bCs/>
                <w:color w:val="auto"/>
                <w:szCs w:val="21"/>
                <w:highlight w:val="none"/>
              </w:rPr>
              <w:t>序号</w:t>
            </w:r>
          </w:p>
        </w:tc>
        <w:tc>
          <w:tcPr>
            <w:tcW w:w="6183" w:type="dxa"/>
            <w:noWrap/>
            <w:vAlign w:val="center"/>
          </w:tcPr>
          <w:p w14:paraId="737B946D">
            <w:pPr>
              <w:spacing w:line="440" w:lineRule="exact"/>
              <w:jc w:val="center"/>
              <w:rPr>
                <w:rFonts w:ascii="宋体" w:hAnsi="宋体" w:cs="宋体"/>
                <w:b/>
                <w:bCs/>
                <w:color w:val="auto"/>
                <w:szCs w:val="21"/>
                <w:highlight w:val="none"/>
              </w:rPr>
            </w:pPr>
            <w:r>
              <w:rPr>
                <w:rFonts w:hint="eastAsia" w:ascii="宋体" w:hAnsi="宋体" w:cs="宋体"/>
                <w:b/>
                <w:bCs/>
                <w:color w:val="auto"/>
                <w:szCs w:val="21"/>
                <w:highlight w:val="none"/>
              </w:rPr>
              <w:t>审查内容</w:t>
            </w:r>
          </w:p>
        </w:tc>
        <w:tc>
          <w:tcPr>
            <w:tcW w:w="1860" w:type="dxa"/>
            <w:noWrap/>
            <w:vAlign w:val="center"/>
          </w:tcPr>
          <w:p w14:paraId="10B4B499">
            <w:pPr>
              <w:spacing w:line="440" w:lineRule="exact"/>
              <w:jc w:val="center"/>
              <w:rPr>
                <w:rFonts w:ascii="宋体" w:hAnsi="宋体" w:cs="宋体"/>
                <w:b/>
                <w:bCs/>
                <w:color w:val="auto"/>
                <w:szCs w:val="21"/>
                <w:highlight w:val="none"/>
              </w:rPr>
            </w:pPr>
            <w:r>
              <w:rPr>
                <w:rFonts w:hint="eastAsia" w:ascii="宋体" w:hAnsi="宋体" w:cs="宋体"/>
                <w:b/>
                <w:bCs/>
                <w:color w:val="auto"/>
                <w:szCs w:val="21"/>
                <w:highlight w:val="none"/>
              </w:rPr>
              <w:t>评审标准</w:t>
            </w:r>
          </w:p>
        </w:tc>
      </w:tr>
      <w:tr w14:paraId="5E38F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765" w:type="dxa"/>
            <w:vMerge w:val="restart"/>
            <w:noWrap/>
            <w:vAlign w:val="center"/>
          </w:tcPr>
          <w:p w14:paraId="4867F738">
            <w:pPr>
              <w:spacing w:line="440" w:lineRule="exact"/>
              <w:jc w:val="center"/>
              <w:rPr>
                <w:rFonts w:ascii="宋体" w:hAnsi="宋体" w:cs="宋体"/>
                <w:color w:val="auto"/>
                <w:szCs w:val="21"/>
                <w:highlight w:val="none"/>
              </w:rPr>
            </w:pPr>
            <w:r>
              <w:rPr>
                <w:rFonts w:hint="eastAsia" w:ascii="宋体" w:hAnsi="宋体" w:cs="宋体"/>
                <w:color w:val="auto"/>
                <w:szCs w:val="21"/>
                <w:highlight w:val="none"/>
              </w:rPr>
              <w:t>1</w:t>
            </w:r>
          </w:p>
        </w:tc>
        <w:tc>
          <w:tcPr>
            <w:tcW w:w="1258" w:type="dxa"/>
            <w:vMerge w:val="restart"/>
            <w:noWrap/>
            <w:vAlign w:val="center"/>
          </w:tcPr>
          <w:p w14:paraId="12F9F292">
            <w:pPr>
              <w:spacing w:line="440" w:lineRule="exact"/>
              <w:jc w:val="center"/>
              <w:rPr>
                <w:rFonts w:ascii="宋体" w:hAnsi="宋体" w:cs="宋体"/>
                <w:b/>
                <w:bCs/>
                <w:color w:val="auto"/>
                <w:szCs w:val="21"/>
                <w:highlight w:val="none"/>
              </w:rPr>
            </w:pPr>
            <w:r>
              <w:rPr>
                <w:rFonts w:hint="eastAsia" w:ascii="宋体" w:hAnsi="宋体" w:cs="宋体"/>
                <w:b/>
                <w:bCs/>
                <w:color w:val="auto"/>
                <w:szCs w:val="21"/>
                <w:highlight w:val="none"/>
              </w:rPr>
              <w:t>审查资料</w:t>
            </w:r>
          </w:p>
        </w:tc>
        <w:tc>
          <w:tcPr>
            <w:tcW w:w="6183" w:type="dxa"/>
            <w:noWrap/>
            <w:vAlign w:val="center"/>
          </w:tcPr>
          <w:p w14:paraId="4223BCB8">
            <w:pPr>
              <w:spacing w:line="440" w:lineRule="exact"/>
              <w:rPr>
                <w:rFonts w:ascii="宋体" w:hAnsi="宋体" w:cs="宋体"/>
                <w:color w:val="auto"/>
                <w:szCs w:val="21"/>
                <w:highlight w:val="none"/>
              </w:rPr>
            </w:pPr>
            <w:r>
              <w:rPr>
                <w:rFonts w:hint="eastAsia" w:ascii="宋体" w:hAnsi="宋体" w:cs="宋体"/>
                <w:color w:val="auto"/>
                <w:szCs w:val="21"/>
                <w:highlight w:val="none"/>
              </w:rPr>
              <w:t>法定代表人身份证明文件和本人有效身份证(或法定代表人授权委托书和委托代理人有效身份证)</w:t>
            </w:r>
          </w:p>
        </w:tc>
        <w:tc>
          <w:tcPr>
            <w:tcW w:w="1860" w:type="dxa"/>
            <w:noWrap/>
            <w:vAlign w:val="center"/>
          </w:tcPr>
          <w:p w14:paraId="08425CC0">
            <w:pPr>
              <w:spacing w:line="440" w:lineRule="exact"/>
              <w:jc w:val="center"/>
              <w:rPr>
                <w:rFonts w:ascii="宋体" w:hAnsi="宋体" w:cs="宋体"/>
                <w:b/>
                <w:color w:val="auto"/>
                <w:szCs w:val="21"/>
                <w:highlight w:val="none"/>
              </w:rPr>
            </w:pPr>
            <w:r>
              <w:rPr>
                <w:rFonts w:hint="eastAsia" w:ascii="宋体" w:hAnsi="宋体" w:cs="宋体"/>
                <w:b/>
                <w:color w:val="auto"/>
                <w:szCs w:val="21"/>
                <w:highlight w:val="none"/>
              </w:rPr>
              <w:t>检验电子标书</w:t>
            </w:r>
          </w:p>
        </w:tc>
      </w:tr>
      <w:tr w14:paraId="0BB7C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765" w:type="dxa"/>
            <w:vMerge w:val="continue"/>
            <w:noWrap/>
            <w:vAlign w:val="center"/>
          </w:tcPr>
          <w:p w14:paraId="0CBF773D">
            <w:pPr>
              <w:spacing w:line="440" w:lineRule="exact"/>
              <w:jc w:val="center"/>
              <w:rPr>
                <w:rFonts w:ascii="宋体" w:hAnsi="宋体" w:cs="宋体"/>
                <w:color w:val="auto"/>
                <w:szCs w:val="21"/>
                <w:highlight w:val="none"/>
              </w:rPr>
            </w:pPr>
          </w:p>
        </w:tc>
        <w:tc>
          <w:tcPr>
            <w:tcW w:w="1258" w:type="dxa"/>
            <w:vMerge w:val="continue"/>
            <w:noWrap/>
            <w:vAlign w:val="center"/>
          </w:tcPr>
          <w:p w14:paraId="5DD98737">
            <w:pPr>
              <w:spacing w:line="440" w:lineRule="exact"/>
              <w:jc w:val="center"/>
              <w:rPr>
                <w:rFonts w:ascii="宋体" w:hAnsi="宋体" w:cs="宋体"/>
                <w:b/>
                <w:bCs/>
                <w:color w:val="auto"/>
                <w:szCs w:val="21"/>
                <w:highlight w:val="none"/>
              </w:rPr>
            </w:pPr>
          </w:p>
        </w:tc>
        <w:tc>
          <w:tcPr>
            <w:tcW w:w="6183" w:type="dxa"/>
            <w:noWrap/>
            <w:vAlign w:val="center"/>
          </w:tcPr>
          <w:p w14:paraId="356F4FA9">
            <w:pPr>
              <w:spacing w:line="440" w:lineRule="exact"/>
              <w:rPr>
                <w:rFonts w:ascii="宋体" w:hAnsi="宋体" w:cs="宋体"/>
                <w:color w:val="auto"/>
                <w:szCs w:val="21"/>
                <w:highlight w:val="none"/>
              </w:rPr>
            </w:pPr>
            <w:r>
              <w:rPr>
                <w:rFonts w:hint="eastAsia" w:ascii="宋体" w:hAnsi="宋体" w:cs="宋体"/>
                <w:color w:val="auto"/>
                <w:szCs w:val="21"/>
                <w:highlight w:val="none"/>
              </w:rPr>
              <w:t>诚信投标承诺书</w:t>
            </w:r>
          </w:p>
        </w:tc>
        <w:tc>
          <w:tcPr>
            <w:tcW w:w="1860" w:type="dxa"/>
            <w:vMerge w:val="restart"/>
            <w:noWrap/>
            <w:vAlign w:val="center"/>
          </w:tcPr>
          <w:p w14:paraId="1D178232">
            <w:pPr>
              <w:spacing w:line="440" w:lineRule="exact"/>
              <w:jc w:val="center"/>
              <w:rPr>
                <w:rFonts w:ascii="宋体" w:hAnsi="宋体" w:cs="宋体"/>
                <w:b/>
                <w:color w:val="auto"/>
                <w:szCs w:val="21"/>
                <w:highlight w:val="none"/>
              </w:rPr>
            </w:pPr>
            <w:r>
              <w:rPr>
                <w:rFonts w:hint="eastAsia" w:ascii="宋体" w:hAnsi="宋体" w:cs="宋体"/>
                <w:b/>
                <w:color w:val="auto"/>
                <w:szCs w:val="21"/>
                <w:highlight w:val="none"/>
              </w:rPr>
              <w:t>检验电子标书</w:t>
            </w:r>
          </w:p>
        </w:tc>
      </w:tr>
      <w:tr w14:paraId="6FB20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765" w:type="dxa"/>
            <w:vMerge w:val="continue"/>
            <w:noWrap/>
            <w:vAlign w:val="center"/>
          </w:tcPr>
          <w:p w14:paraId="7D8563C4">
            <w:pPr>
              <w:spacing w:line="440" w:lineRule="exact"/>
              <w:jc w:val="center"/>
              <w:rPr>
                <w:rFonts w:ascii="宋体" w:hAnsi="宋体" w:cs="宋体"/>
                <w:color w:val="auto"/>
                <w:szCs w:val="21"/>
                <w:highlight w:val="none"/>
              </w:rPr>
            </w:pPr>
          </w:p>
        </w:tc>
        <w:tc>
          <w:tcPr>
            <w:tcW w:w="1258" w:type="dxa"/>
            <w:vMerge w:val="continue"/>
            <w:noWrap/>
            <w:vAlign w:val="center"/>
          </w:tcPr>
          <w:p w14:paraId="04C1B076">
            <w:pPr>
              <w:spacing w:line="440" w:lineRule="exact"/>
              <w:jc w:val="center"/>
              <w:rPr>
                <w:rFonts w:ascii="宋体" w:hAnsi="宋体" w:cs="宋体"/>
                <w:b/>
                <w:bCs/>
                <w:color w:val="auto"/>
                <w:szCs w:val="21"/>
                <w:highlight w:val="none"/>
              </w:rPr>
            </w:pPr>
          </w:p>
        </w:tc>
        <w:tc>
          <w:tcPr>
            <w:tcW w:w="6183" w:type="dxa"/>
            <w:noWrap/>
            <w:vAlign w:val="center"/>
          </w:tcPr>
          <w:p w14:paraId="7DE2EBA3">
            <w:pPr>
              <w:spacing w:line="440" w:lineRule="exact"/>
              <w:rPr>
                <w:rFonts w:ascii="宋体" w:hAnsi="宋体" w:cs="宋体"/>
                <w:color w:val="auto"/>
                <w:szCs w:val="21"/>
                <w:highlight w:val="none"/>
              </w:rPr>
            </w:pPr>
            <w:r>
              <w:rPr>
                <w:rFonts w:hint="eastAsia" w:ascii="宋体" w:hAnsi="宋体" w:cs="宋体"/>
                <w:color w:val="auto"/>
                <w:szCs w:val="21"/>
                <w:highlight w:val="none"/>
              </w:rPr>
              <w:t>企业法人营业执照</w:t>
            </w:r>
          </w:p>
        </w:tc>
        <w:tc>
          <w:tcPr>
            <w:tcW w:w="1860" w:type="dxa"/>
            <w:vMerge w:val="continue"/>
            <w:noWrap/>
            <w:vAlign w:val="center"/>
          </w:tcPr>
          <w:p w14:paraId="779E57B8">
            <w:pPr>
              <w:spacing w:line="440" w:lineRule="exact"/>
              <w:rPr>
                <w:rFonts w:ascii="宋体" w:hAnsi="宋体" w:cs="宋体"/>
                <w:b/>
                <w:color w:val="auto"/>
                <w:szCs w:val="21"/>
                <w:highlight w:val="none"/>
              </w:rPr>
            </w:pPr>
          </w:p>
        </w:tc>
      </w:tr>
      <w:tr w14:paraId="25FCC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jc w:val="center"/>
        </w:trPr>
        <w:tc>
          <w:tcPr>
            <w:tcW w:w="765" w:type="dxa"/>
            <w:vMerge w:val="continue"/>
            <w:noWrap/>
            <w:vAlign w:val="center"/>
          </w:tcPr>
          <w:p w14:paraId="2D4982A9">
            <w:pPr>
              <w:spacing w:line="440" w:lineRule="exact"/>
              <w:jc w:val="center"/>
              <w:rPr>
                <w:rFonts w:ascii="宋体" w:hAnsi="宋体" w:cs="宋体"/>
                <w:color w:val="auto"/>
                <w:szCs w:val="21"/>
                <w:highlight w:val="none"/>
              </w:rPr>
            </w:pPr>
          </w:p>
        </w:tc>
        <w:tc>
          <w:tcPr>
            <w:tcW w:w="1258" w:type="dxa"/>
            <w:vMerge w:val="continue"/>
            <w:noWrap/>
            <w:vAlign w:val="center"/>
          </w:tcPr>
          <w:p w14:paraId="0B3A3CE4">
            <w:pPr>
              <w:spacing w:line="440" w:lineRule="exact"/>
              <w:jc w:val="center"/>
              <w:rPr>
                <w:rFonts w:ascii="宋体" w:hAnsi="宋体" w:cs="宋体"/>
                <w:b/>
                <w:bCs/>
                <w:color w:val="auto"/>
                <w:szCs w:val="21"/>
                <w:highlight w:val="none"/>
              </w:rPr>
            </w:pPr>
          </w:p>
        </w:tc>
        <w:tc>
          <w:tcPr>
            <w:tcW w:w="6183" w:type="dxa"/>
            <w:noWrap/>
            <w:vAlign w:val="center"/>
          </w:tcPr>
          <w:p w14:paraId="5DF3ACB3">
            <w:pPr>
              <w:spacing w:line="440" w:lineRule="exact"/>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rPr>
              <w:t>企业资质证书</w:t>
            </w:r>
            <w:r>
              <w:rPr>
                <w:rFonts w:hint="eastAsia" w:ascii="宋体" w:hAnsi="宋体" w:cs="宋体"/>
                <w:color w:val="auto"/>
                <w:szCs w:val="21"/>
                <w:highlight w:val="none"/>
                <w:lang w:val="en-US" w:eastAsia="zh-CN"/>
              </w:rPr>
              <w:t>及</w:t>
            </w:r>
            <w:r>
              <w:rPr>
                <w:rFonts w:hint="eastAsia" w:ascii="宋体" w:hAnsi="宋体" w:cs="宋体"/>
                <w:color w:val="auto"/>
                <w:szCs w:val="21"/>
                <w:highlight w:val="none"/>
              </w:rPr>
              <w:t>企业安全生产许可证</w:t>
            </w:r>
          </w:p>
        </w:tc>
        <w:tc>
          <w:tcPr>
            <w:tcW w:w="1860" w:type="dxa"/>
            <w:vMerge w:val="continue"/>
            <w:noWrap/>
            <w:vAlign w:val="center"/>
          </w:tcPr>
          <w:p w14:paraId="2E943AB5">
            <w:pPr>
              <w:spacing w:line="440" w:lineRule="exact"/>
              <w:rPr>
                <w:rFonts w:ascii="宋体" w:hAnsi="宋体" w:cs="宋体"/>
                <w:color w:val="auto"/>
                <w:szCs w:val="21"/>
                <w:highlight w:val="none"/>
              </w:rPr>
            </w:pPr>
          </w:p>
        </w:tc>
      </w:tr>
      <w:tr w14:paraId="2BD16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jc w:val="center"/>
        </w:trPr>
        <w:tc>
          <w:tcPr>
            <w:tcW w:w="765" w:type="dxa"/>
            <w:vMerge w:val="continue"/>
            <w:noWrap/>
            <w:vAlign w:val="center"/>
          </w:tcPr>
          <w:p w14:paraId="60043FA6">
            <w:pPr>
              <w:spacing w:line="440" w:lineRule="exact"/>
              <w:jc w:val="center"/>
              <w:rPr>
                <w:rFonts w:ascii="宋体" w:hAnsi="宋体" w:cs="宋体"/>
                <w:color w:val="auto"/>
                <w:szCs w:val="21"/>
                <w:highlight w:val="none"/>
              </w:rPr>
            </w:pPr>
          </w:p>
        </w:tc>
        <w:tc>
          <w:tcPr>
            <w:tcW w:w="1258" w:type="dxa"/>
            <w:vMerge w:val="continue"/>
            <w:noWrap/>
            <w:vAlign w:val="center"/>
          </w:tcPr>
          <w:p w14:paraId="563E5D5C">
            <w:pPr>
              <w:spacing w:line="440" w:lineRule="exact"/>
              <w:jc w:val="center"/>
              <w:rPr>
                <w:rFonts w:ascii="宋体" w:hAnsi="宋体" w:cs="宋体"/>
                <w:b/>
                <w:bCs/>
                <w:color w:val="auto"/>
                <w:szCs w:val="21"/>
                <w:highlight w:val="none"/>
              </w:rPr>
            </w:pPr>
          </w:p>
        </w:tc>
        <w:tc>
          <w:tcPr>
            <w:tcW w:w="6183" w:type="dxa"/>
            <w:noWrap/>
            <w:vAlign w:val="center"/>
          </w:tcPr>
          <w:p w14:paraId="171CD7E8">
            <w:pPr>
              <w:spacing w:line="440" w:lineRule="exact"/>
              <w:rPr>
                <w:rFonts w:hint="eastAsia" w:ascii="宋体" w:hAnsi="宋体" w:cs="宋体"/>
                <w:color w:val="auto"/>
                <w:szCs w:val="21"/>
                <w:highlight w:val="none"/>
              </w:rPr>
            </w:pPr>
            <w:r>
              <w:rPr>
                <w:rFonts w:hint="eastAsia" w:ascii="宋体" w:hAnsi="宋体" w:cs="宋体"/>
                <w:color w:val="auto"/>
                <w:szCs w:val="21"/>
                <w:highlight w:val="none"/>
                <w:lang w:val="en-US" w:eastAsia="zh-CN"/>
              </w:rPr>
              <w:t>企业有效</w:t>
            </w:r>
            <w:r>
              <w:rPr>
                <w:rFonts w:hint="eastAsia" w:ascii="宋体" w:hAnsi="宋体" w:cs="宋体"/>
                <w:color w:val="auto"/>
                <w:szCs w:val="21"/>
                <w:highlight w:val="none"/>
              </w:rPr>
              <w:t>电力设施许可证</w:t>
            </w:r>
          </w:p>
        </w:tc>
        <w:tc>
          <w:tcPr>
            <w:tcW w:w="1860" w:type="dxa"/>
            <w:vMerge w:val="continue"/>
            <w:noWrap/>
            <w:vAlign w:val="center"/>
          </w:tcPr>
          <w:p w14:paraId="12F5E86C">
            <w:pPr>
              <w:spacing w:line="440" w:lineRule="exact"/>
              <w:rPr>
                <w:rFonts w:ascii="宋体" w:hAnsi="宋体" w:cs="宋体"/>
                <w:color w:val="auto"/>
                <w:szCs w:val="21"/>
                <w:highlight w:val="none"/>
              </w:rPr>
            </w:pPr>
          </w:p>
        </w:tc>
      </w:tr>
      <w:tr w14:paraId="54849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765" w:type="dxa"/>
            <w:vMerge w:val="continue"/>
            <w:noWrap/>
            <w:vAlign w:val="center"/>
          </w:tcPr>
          <w:p w14:paraId="2D2648D2">
            <w:pPr>
              <w:spacing w:line="440" w:lineRule="exact"/>
              <w:jc w:val="center"/>
              <w:rPr>
                <w:rFonts w:ascii="宋体" w:hAnsi="宋体" w:cs="宋体"/>
                <w:color w:val="auto"/>
                <w:szCs w:val="21"/>
                <w:highlight w:val="none"/>
              </w:rPr>
            </w:pPr>
          </w:p>
        </w:tc>
        <w:tc>
          <w:tcPr>
            <w:tcW w:w="1258" w:type="dxa"/>
            <w:vMerge w:val="continue"/>
            <w:noWrap/>
            <w:vAlign w:val="center"/>
          </w:tcPr>
          <w:p w14:paraId="5172F027">
            <w:pPr>
              <w:spacing w:line="440" w:lineRule="exact"/>
              <w:jc w:val="center"/>
              <w:rPr>
                <w:rFonts w:ascii="宋体" w:hAnsi="宋体" w:cs="宋体"/>
                <w:b/>
                <w:bCs/>
                <w:color w:val="auto"/>
                <w:szCs w:val="21"/>
                <w:highlight w:val="none"/>
              </w:rPr>
            </w:pPr>
          </w:p>
        </w:tc>
        <w:tc>
          <w:tcPr>
            <w:tcW w:w="6183" w:type="dxa"/>
            <w:noWrap/>
            <w:vAlign w:val="top"/>
          </w:tcPr>
          <w:p w14:paraId="7910A869">
            <w:pPr>
              <w:keepNext w:val="0"/>
              <w:keepLines w:val="0"/>
              <w:pageBreakBefore w:val="0"/>
              <w:kinsoku/>
              <w:wordWrap/>
              <w:overflowPunct/>
              <w:topLinePunct w:val="0"/>
              <w:autoSpaceDN/>
              <w:bidi w:val="0"/>
              <w:adjustRightInd/>
              <w:snapToGrid/>
              <w:spacing w:line="440" w:lineRule="exact"/>
              <w:textAlignment w:val="auto"/>
              <w:rPr>
                <w:rFonts w:ascii="宋体" w:hAnsi="宋体" w:cs="宋体"/>
                <w:color w:val="auto"/>
                <w:szCs w:val="21"/>
                <w:highlight w:val="none"/>
              </w:rPr>
            </w:pPr>
            <w:r>
              <w:rPr>
                <w:rFonts w:hint="eastAsia" w:ascii="宋体" w:hAnsi="宋体" w:cs="宋体"/>
                <w:color w:val="auto"/>
                <w:szCs w:val="21"/>
                <w:highlight w:val="none"/>
              </w:rPr>
              <w:t>项目经理（建造师）有效身份证、注册证书以及安全生产考核合格证书（B证）</w:t>
            </w:r>
          </w:p>
        </w:tc>
        <w:tc>
          <w:tcPr>
            <w:tcW w:w="1860" w:type="dxa"/>
            <w:vMerge w:val="continue"/>
            <w:noWrap/>
            <w:vAlign w:val="center"/>
          </w:tcPr>
          <w:p w14:paraId="2BFDCB77">
            <w:pPr>
              <w:spacing w:line="440" w:lineRule="exact"/>
              <w:rPr>
                <w:rFonts w:ascii="宋体" w:hAnsi="宋体" w:cs="宋体"/>
                <w:color w:val="auto"/>
                <w:szCs w:val="21"/>
                <w:highlight w:val="none"/>
              </w:rPr>
            </w:pPr>
          </w:p>
        </w:tc>
      </w:tr>
      <w:tr w14:paraId="4C6AD6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3" w:hRule="atLeast"/>
          <w:jc w:val="center"/>
        </w:trPr>
        <w:tc>
          <w:tcPr>
            <w:tcW w:w="765" w:type="dxa"/>
            <w:vMerge w:val="continue"/>
            <w:noWrap/>
            <w:vAlign w:val="center"/>
          </w:tcPr>
          <w:p w14:paraId="196A33EB">
            <w:pPr>
              <w:spacing w:line="440" w:lineRule="exact"/>
              <w:jc w:val="center"/>
              <w:rPr>
                <w:rFonts w:ascii="宋体" w:hAnsi="宋体" w:cs="宋体"/>
                <w:color w:val="auto"/>
                <w:szCs w:val="21"/>
                <w:highlight w:val="none"/>
              </w:rPr>
            </w:pPr>
          </w:p>
        </w:tc>
        <w:tc>
          <w:tcPr>
            <w:tcW w:w="1258" w:type="dxa"/>
            <w:vMerge w:val="continue"/>
            <w:noWrap/>
            <w:vAlign w:val="center"/>
          </w:tcPr>
          <w:p w14:paraId="7D51B5B8">
            <w:pPr>
              <w:spacing w:line="440" w:lineRule="exact"/>
              <w:jc w:val="center"/>
              <w:rPr>
                <w:rFonts w:ascii="宋体" w:hAnsi="宋体" w:cs="宋体"/>
                <w:b/>
                <w:bCs/>
                <w:color w:val="auto"/>
                <w:szCs w:val="21"/>
                <w:highlight w:val="none"/>
              </w:rPr>
            </w:pPr>
          </w:p>
        </w:tc>
        <w:tc>
          <w:tcPr>
            <w:tcW w:w="6183" w:type="dxa"/>
            <w:noWrap/>
            <w:vAlign w:val="top"/>
          </w:tcPr>
          <w:p w14:paraId="7DB448B8">
            <w:pPr>
              <w:spacing w:line="440" w:lineRule="exact"/>
              <w:rPr>
                <w:rFonts w:ascii="宋体" w:hAnsi="宋体" w:cs="宋体"/>
                <w:color w:val="auto"/>
                <w:highlight w:val="none"/>
              </w:rPr>
            </w:pPr>
            <w:r>
              <w:rPr>
                <w:rFonts w:hint="eastAsia" w:ascii="宋体" w:hAnsi="宋体" w:cs="宋体"/>
                <w:color w:val="auto"/>
                <w:szCs w:val="21"/>
                <w:highlight w:val="none"/>
              </w:rPr>
              <w:t>投标人的法定代表人(或委托代理人)和拟任项目经理（建造师）须持有社保部门出具的本单位为其缴纳的投标前近三个月连续的养老保险证明（证明文件两个月内有效）（同一人担任不同公司法定代表人的，该法定代表人参加本项目投标时须提供本人在其他公司任法定代表人的营业执照及为其缴纳养老保险证明材料），投标人是事业单位的，暂未缴纳养老保险的，须由其主管部门出具证明</w:t>
            </w:r>
          </w:p>
        </w:tc>
        <w:tc>
          <w:tcPr>
            <w:tcW w:w="1860" w:type="dxa"/>
            <w:vMerge w:val="continue"/>
            <w:noWrap/>
            <w:vAlign w:val="center"/>
          </w:tcPr>
          <w:p w14:paraId="701C2C27">
            <w:pPr>
              <w:spacing w:line="440" w:lineRule="exact"/>
              <w:rPr>
                <w:rFonts w:ascii="宋体" w:hAnsi="宋体" w:cs="宋体"/>
                <w:color w:val="auto"/>
                <w:szCs w:val="21"/>
                <w:highlight w:val="none"/>
              </w:rPr>
            </w:pPr>
          </w:p>
        </w:tc>
      </w:tr>
    </w:tbl>
    <w:p w14:paraId="44418C94">
      <w:pPr>
        <w:spacing w:line="440" w:lineRule="exact"/>
        <w:ind w:firstLine="422" w:firstLineChars="200"/>
        <w:jc w:val="left"/>
        <w:rPr>
          <w:rFonts w:ascii="宋体" w:hAnsi="宋体" w:cs="宋体"/>
          <w:b/>
          <w:bCs/>
          <w:color w:val="auto"/>
          <w:szCs w:val="21"/>
          <w:highlight w:val="none"/>
        </w:rPr>
      </w:pPr>
      <w:r>
        <w:rPr>
          <w:rFonts w:hint="eastAsia" w:ascii="宋体" w:hAnsi="宋体" w:cs="宋体"/>
          <w:b/>
          <w:bCs/>
          <w:color w:val="auto"/>
          <w:szCs w:val="21"/>
          <w:highlight w:val="none"/>
        </w:rPr>
        <w:t>重要提示：</w:t>
      </w:r>
    </w:p>
    <w:p w14:paraId="58630378">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22" w:firstLineChars="200"/>
        <w:jc w:val="left"/>
        <w:textAlignment w:val="auto"/>
        <w:rPr>
          <w:rFonts w:hint="eastAsia" w:ascii="宋体" w:hAnsi="宋体" w:eastAsia="宋体" w:cs="宋体"/>
          <w:b/>
          <w:bCs/>
          <w:color w:val="auto"/>
          <w:szCs w:val="21"/>
          <w:highlight w:val="none"/>
        </w:rPr>
      </w:pPr>
      <w:bookmarkStart w:id="744" w:name="_Toc35424941"/>
      <w:bookmarkStart w:id="745" w:name="_Toc506107319"/>
      <w:bookmarkStart w:id="746" w:name="_Toc78803376"/>
      <w:bookmarkStart w:id="747" w:name="_Toc324404866"/>
      <w:bookmarkStart w:id="748" w:name="_Toc35425107"/>
      <w:bookmarkStart w:id="749" w:name="_Toc15058904"/>
      <w:bookmarkStart w:id="750" w:name="_Toc27127"/>
      <w:r>
        <w:rPr>
          <w:rFonts w:hint="eastAsia" w:ascii="宋体" w:hAnsi="宋体" w:eastAsia="宋体" w:cs="宋体"/>
          <w:b/>
          <w:bCs/>
          <w:color w:val="auto"/>
          <w:szCs w:val="21"/>
          <w:highlight w:val="none"/>
          <w:lang w:eastAsia="zh-CN"/>
        </w:rPr>
        <w:t>（</w:t>
      </w:r>
      <w:r>
        <w:rPr>
          <w:rFonts w:hint="eastAsia" w:ascii="宋体" w:hAnsi="宋体" w:eastAsia="宋体" w:cs="宋体"/>
          <w:b/>
          <w:bCs/>
          <w:color w:val="auto"/>
          <w:szCs w:val="21"/>
          <w:highlight w:val="none"/>
          <w:lang w:val="en-US" w:eastAsia="zh-CN"/>
        </w:rPr>
        <w:t>1）</w:t>
      </w:r>
      <w:r>
        <w:rPr>
          <w:rFonts w:hint="eastAsia" w:ascii="宋体" w:hAnsi="宋体" w:eastAsia="宋体" w:cs="宋体"/>
          <w:b/>
          <w:bCs/>
          <w:color w:val="auto"/>
          <w:szCs w:val="21"/>
          <w:highlight w:val="none"/>
        </w:rPr>
        <w:t>评标专家在检验电子投标文件过程中，如果由于投标人自身原因导致评标专家无法查看并检验电子投标文件中相关资料的，视为无效标处理。即使投标人将原件携带至现场的，同样按无效标处理。</w:t>
      </w:r>
    </w:p>
    <w:p w14:paraId="47D2EA31">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22" w:firstLineChars="200"/>
        <w:jc w:val="left"/>
        <w:textAlignment w:val="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lang w:eastAsia="zh-CN"/>
        </w:rPr>
        <w:t>（</w:t>
      </w:r>
      <w:r>
        <w:rPr>
          <w:rFonts w:hint="eastAsia" w:ascii="宋体" w:hAnsi="宋体" w:eastAsia="宋体" w:cs="宋体"/>
          <w:b/>
          <w:bCs/>
          <w:color w:val="auto"/>
          <w:szCs w:val="21"/>
          <w:highlight w:val="none"/>
          <w:lang w:val="en-US" w:eastAsia="zh-CN"/>
        </w:rPr>
        <w:t>2）</w:t>
      </w:r>
      <w:r>
        <w:rPr>
          <w:rFonts w:hint="eastAsia" w:ascii="宋体" w:hAnsi="宋体" w:eastAsia="宋体" w:cs="宋体"/>
          <w:b/>
          <w:bCs/>
          <w:color w:val="auto"/>
          <w:szCs w:val="21"/>
          <w:highlight w:val="none"/>
        </w:rPr>
        <w:t>投标人拟委任项目经理为注册建造师（含一级、二级）的，须提供在电子证书使用有效期内的纸质版电子证书。一级建造师打印电子证书后，应在个人签名处手写本人签名，未手写签名或与签名图像笔迹不一致的，该电子证书无效。</w:t>
      </w:r>
    </w:p>
    <w:p w14:paraId="1D842AFC">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22" w:firstLineChars="200"/>
        <w:jc w:val="left"/>
        <w:textAlignment w:val="auto"/>
        <w:rPr>
          <w:color w:val="auto"/>
          <w:highlight w:val="none"/>
        </w:rPr>
      </w:pPr>
      <w:r>
        <w:rPr>
          <w:rFonts w:hint="eastAsia" w:ascii="宋体" w:hAnsi="宋体" w:eastAsia="宋体" w:cs="宋体"/>
          <w:b/>
          <w:bCs/>
          <w:color w:val="auto"/>
          <w:szCs w:val="21"/>
          <w:highlight w:val="none"/>
        </w:rPr>
        <w:t>投标人提供的安徽省新版二级建造师电子注册证书纸质版需在安徽省住房和城乡建设执业资格注册管理系统中打印，打印后应由二级建造师本人在证书的个人签名处手写本人签名，或在新版二级建造师电子注册证书纸质版后附其本人知情承诺（视为个人签名处的手写本人签名），格式自拟。未手写个人签名或未提供二级建造师本人知情承诺的，个人签名或知情承诺签字与签名图片笔迹不一致，此证书无效。其他省份按各省相关规定执行。</w:t>
      </w:r>
    </w:p>
    <w:p w14:paraId="4A8A3FCB">
      <w:pPr>
        <w:pStyle w:val="3"/>
        <w:spacing w:beforeLines="50" w:afterLines="50"/>
        <w:ind w:firstLine="422" w:firstLineChars="200"/>
        <w:rPr>
          <w:rFonts w:ascii="宋体" w:hAnsi="宋体" w:eastAsia="宋体" w:cs="宋体"/>
          <w:color w:val="auto"/>
          <w:highlight w:val="none"/>
        </w:rPr>
      </w:pPr>
      <w:r>
        <w:rPr>
          <w:rFonts w:hint="eastAsia" w:ascii="宋体" w:hAnsi="宋体" w:eastAsia="宋体" w:cs="宋体"/>
          <w:color w:val="auto"/>
          <w:highlight w:val="none"/>
        </w:rPr>
        <w:t>1.审查资料</w:t>
      </w:r>
      <w:bookmarkEnd w:id="744"/>
      <w:bookmarkEnd w:id="745"/>
      <w:bookmarkEnd w:id="746"/>
      <w:bookmarkEnd w:id="747"/>
      <w:bookmarkEnd w:id="748"/>
      <w:bookmarkEnd w:id="749"/>
      <w:bookmarkEnd w:id="750"/>
    </w:p>
    <w:p w14:paraId="2DC377C4">
      <w:pPr>
        <w:spacing w:line="440" w:lineRule="exact"/>
        <w:ind w:firstLine="420" w:firstLineChars="200"/>
        <w:jc w:val="left"/>
        <w:rPr>
          <w:rFonts w:hint="eastAsia" w:ascii="宋体" w:hAnsi="宋体" w:cs="宋体"/>
          <w:color w:val="auto"/>
          <w:szCs w:val="21"/>
          <w:highlight w:val="none"/>
        </w:rPr>
      </w:pPr>
      <w:bookmarkStart w:id="751" w:name="_Toc15058905"/>
      <w:bookmarkStart w:id="752" w:name="_Toc324404867"/>
      <w:r>
        <w:rPr>
          <w:rFonts w:hint="eastAsia" w:ascii="宋体" w:hAnsi="宋体" w:cs="宋体"/>
          <w:color w:val="auto"/>
          <w:szCs w:val="21"/>
          <w:highlight w:val="none"/>
        </w:rPr>
        <w:t>（1）法定代表人身份证明文件和本人有效身份证(或法定代表人授权委托书和委托代理人有效身份证)；</w:t>
      </w:r>
    </w:p>
    <w:p w14:paraId="3F0E71BB">
      <w:pPr>
        <w:spacing w:line="44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（2）诚信投标承诺书；</w:t>
      </w:r>
    </w:p>
    <w:p w14:paraId="12618AFF">
      <w:pPr>
        <w:spacing w:line="44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（3）企业法人营业执照；</w:t>
      </w:r>
    </w:p>
    <w:p w14:paraId="45677E59">
      <w:pPr>
        <w:spacing w:line="44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（4）企业资质证书</w:t>
      </w:r>
      <w:r>
        <w:rPr>
          <w:rFonts w:hint="eastAsia" w:ascii="宋体" w:hAnsi="宋体" w:cs="宋体"/>
          <w:color w:val="auto"/>
          <w:szCs w:val="21"/>
          <w:highlight w:val="none"/>
          <w:lang w:val="en-US" w:eastAsia="zh-CN"/>
        </w:rPr>
        <w:t>及</w:t>
      </w:r>
      <w:r>
        <w:rPr>
          <w:rFonts w:hint="eastAsia" w:ascii="宋体" w:hAnsi="宋体" w:cs="宋体"/>
          <w:color w:val="auto"/>
          <w:szCs w:val="21"/>
          <w:highlight w:val="none"/>
        </w:rPr>
        <w:t>企业安全生产许可证；</w:t>
      </w:r>
    </w:p>
    <w:p w14:paraId="493BB5C6">
      <w:pPr>
        <w:spacing w:line="440" w:lineRule="exact"/>
        <w:ind w:firstLine="420" w:firstLineChars="200"/>
        <w:jc w:val="left"/>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（5）</w:t>
      </w:r>
      <w:r>
        <w:rPr>
          <w:rFonts w:hint="eastAsia" w:ascii="宋体" w:hAnsi="宋体" w:cs="宋体"/>
          <w:color w:val="auto"/>
          <w:szCs w:val="21"/>
          <w:highlight w:val="none"/>
          <w:lang w:val="en-US" w:eastAsia="zh-CN"/>
        </w:rPr>
        <w:t>企业有效</w:t>
      </w:r>
      <w:r>
        <w:rPr>
          <w:rFonts w:hint="eastAsia" w:ascii="宋体" w:hAnsi="宋体" w:cs="宋体"/>
          <w:color w:val="auto"/>
          <w:szCs w:val="21"/>
          <w:highlight w:val="none"/>
        </w:rPr>
        <w:t>电力设施许可证</w:t>
      </w:r>
      <w:r>
        <w:rPr>
          <w:rFonts w:hint="eastAsia" w:ascii="宋体" w:hAnsi="宋体" w:cs="宋体"/>
          <w:color w:val="auto"/>
          <w:szCs w:val="21"/>
          <w:highlight w:val="none"/>
          <w:lang w:eastAsia="zh-CN"/>
        </w:rPr>
        <w:t>；</w:t>
      </w:r>
    </w:p>
    <w:p w14:paraId="0ED50D49">
      <w:pPr>
        <w:spacing w:line="44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项目经理（建造师）有效身份证、注册证书以及安全生产考核合格证书（B证）；</w:t>
      </w:r>
    </w:p>
    <w:p w14:paraId="57EC5BE4">
      <w:pPr>
        <w:spacing w:line="440" w:lineRule="exact"/>
        <w:ind w:firstLine="420" w:firstLineChars="200"/>
        <w:jc w:val="left"/>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7</w:t>
      </w:r>
      <w:r>
        <w:rPr>
          <w:rFonts w:hint="eastAsia" w:ascii="宋体" w:hAnsi="宋体" w:cs="宋体"/>
          <w:color w:val="auto"/>
          <w:szCs w:val="21"/>
          <w:highlight w:val="none"/>
        </w:rPr>
        <w:t>）投标人的法定代表人(或委托代理人)和拟任项目经理（建造师）须持有社保部门出具的本单位为其缴纳的投标前近三个月连续的养老保险证明（证明文件两个月内有效）（同一人担任不同公司法定代表人的，该法定代表人参加本项目投标时须提供本人在其他公司任法定代表人的营业执照及为其缴纳养老保险证明材料），投标人是事业单位的，暂未缴纳养老保险的，须由其主管部门出具证明</w:t>
      </w:r>
      <w:r>
        <w:rPr>
          <w:rFonts w:hint="eastAsia" w:ascii="宋体" w:hAnsi="宋体" w:cs="宋体"/>
          <w:color w:val="auto"/>
          <w:szCs w:val="21"/>
          <w:highlight w:val="none"/>
          <w:lang w:eastAsia="zh-CN"/>
        </w:rPr>
        <w:t>。</w:t>
      </w:r>
    </w:p>
    <w:bookmarkEnd w:id="751"/>
    <w:p w14:paraId="5990719C">
      <w:pPr>
        <w:pStyle w:val="3"/>
        <w:spacing w:beforeLines="50" w:afterLines="50"/>
        <w:ind w:firstLine="422" w:firstLineChars="200"/>
        <w:rPr>
          <w:rFonts w:ascii="宋体" w:hAnsi="宋体" w:eastAsia="宋体" w:cs="宋体"/>
          <w:color w:val="auto"/>
          <w:highlight w:val="none"/>
        </w:rPr>
      </w:pPr>
      <w:bookmarkStart w:id="753" w:name="_Toc506107320"/>
      <w:bookmarkStart w:id="754" w:name="_Toc12549"/>
      <w:bookmarkStart w:id="755" w:name="_Toc78803377"/>
      <w:bookmarkStart w:id="756" w:name="_Toc35425108"/>
      <w:bookmarkStart w:id="757" w:name="_Toc15058909"/>
      <w:bookmarkStart w:id="758" w:name="_Toc35424942"/>
      <w:r>
        <w:rPr>
          <w:rFonts w:hint="eastAsia" w:ascii="宋体" w:hAnsi="宋体" w:eastAsia="宋体" w:cs="宋体"/>
          <w:color w:val="auto"/>
          <w:highlight w:val="none"/>
        </w:rPr>
        <w:t>2.审查办法</w:t>
      </w:r>
      <w:bookmarkEnd w:id="752"/>
      <w:bookmarkEnd w:id="753"/>
      <w:bookmarkEnd w:id="754"/>
      <w:bookmarkEnd w:id="755"/>
      <w:bookmarkEnd w:id="756"/>
      <w:bookmarkEnd w:id="757"/>
      <w:bookmarkEnd w:id="758"/>
    </w:p>
    <w:p w14:paraId="0B018554">
      <w:pPr>
        <w:spacing w:line="44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由资格审查委员会（评标委员会）按资格审查办法前附表中资格审查必要合格条件评审表要求对投标人审查资料进行核验。</w:t>
      </w:r>
    </w:p>
    <w:p w14:paraId="447D2762">
      <w:pPr>
        <w:pStyle w:val="3"/>
        <w:spacing w:beforeLines="50" w:afterLines="50"/>
        <w:ind w:firstLine="422" w:firstLineChars="200"/>
        <w:rPr>
          <w:rFonts w:ascii="宋体" w:hAnsi="宋体" w:eastAsia="宋体" w:cs="宋体"/>
          <w:color w:val="auto"/>
          <w:highlight w:val="none"/>
        </w:rPr>
      </w:pPr>
      <w:bookmarkStart w:id="759" w:name="_Toc35425109"/>
      <w:bookmarkStart w:id="760" w:name="_Toc15058910"/>
      <w:bookmarkStart w:id="761" w:name="_Toc15626"/>
      <w:bookmarkStart w:id="762" w:name="_Toc78803378"/>
      <w:bookmarkStart w:id="763" w:name="_Toc35424943"/>
      <w:bookmarkStart w:id="764" w:name="_Toc324404868"/>
      <w:bookmarkStart w:id="765" w:name="_Toc506107321"/>
      <w:r>
        <w:rPr>
          <w:rFonts w:hint="eastAsia" w:ascii="宋体" w:hAnsi="宋体" w:eastAsia="宋体" w:cs="宋体"/>
          <w:color w:val="auto"/>
          <w:highlight w:val="none"/>
        </w:rPr>
        <w:t>3.资格审查委员会和审查标准</w:t>
      </w:r>
      <w:bookmarkEnd w:id="759"/>
      <w:bookmarkEnd w:id="760"/>
      <w:bookmarkEnd w:id="761"/>
      <w:bookmarkEnd w:id="762"/>
      <w:bookmarkEnd w:id="763"/>
      <w:bookmarkEnd w:id="764"/>
      <w:bookmarkEnd w:id="765"/>
    </w:p>
    <w:p w14:paraId="48F20776">
      <w:pPr>
        <w:spacing w:line="440" w:lineRule="exact"/>
        <w:ind w:firstLine="420" w:firstLineChars="200"/>
        <w:jc w:val="left"/>
        <w:rPr>
          <w:rFonts w:hint="eastAsia" w:ascii="宋体" w:hAnsi="宋体" w:eastAsia="宋体" w:cs="宋体"/>
          <w:color w:val="auto"/>
          <w:szCs w:val="21"/>
          <w:highlight w:val="none"/>
        </w:rPr>
      </w:pPr>
      <w:bookmarkStart w:id="766" w:name="_Toc78803379"/>
      <w:bookmarkStart w:id="767" w:name="_Toc506107322"/>
      <w:bookmarkStart w:id="768" w:name="_Toc35425110"/>
      <w:bookmarkStart w:id="769" w:name="_Toc15058911"/>
      <w:bookmarkStart w:id="770" w:name="_Toc35424944"/>
      <w:bookmarkStart w:id="771" w:name="_Toc324404869"/>
      <w:bookmarkStart w:id="772" w:name="_Toc10330"/>
      <w:r>
        <w:rPr>
          <w:rFonts w:hint="eastAsia" w:ascii="宋体" w:hAnsi="宋体" w:eastAsia="宋体" w:cs="宋体"/>
          <w:color w:val="auto"/>
          <w:szCs w:val="21"/>
          <w:highlight w:val="none"/>
        </w:rPr>
        <w:t>3.1资格审查由招标人依法组建的资格审查委员会（或评标委员会）负责。审查标准见资格审查办法前附表。</w:t>
      </w:r>
    </w:p>
    <w:p w14:paraId="75FCAEF4">
      <w:pPr>
        <w:spacing w:line="44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3.2由资格审查委员会（评标委员会）按资格审查办法前附表要求对投标人的审查资料进行核验。投标申请人有下列情形之一的，其资格审查为不合格： </w:t>
      </w:r>
    </w:p>
    <w:p w14:paraId="465F4E80">
      <w:pPr>
        <w:spacing w:line="44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（1）未上传电子标书或电子标书经审查不合格；</w:t>
      </w:r>
    </w:p>
    <w:p w14:paraId="526FEED7">
      <w:pPr>
        <w:spacing w:line="44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r>
        <w:rPr>
          <w:rFonts w:hint="eastAsia" w:ascii="宋体" w:hAnsi="宋体" w:cs="宋体"/>
          <w:color w:val="auto"/>
          <w:szCs w:val="21"/>
          <w:highlight w:val="none"/>
          <w:lang w:val="en-US" w:eastAsia="zh-CN"/>
        </w:rPr>
        <w:t>2</w:t>
      </w:r>
      <w:r>
        <w:rPr>
          <w:rFonts w:hint="eastAsia" w:ascii="宋体" w:hAnsi="宋体" w:eastAsia="宋体" w:cs="宋体"/>
          <w:color w:val="auto"/>
          <w:szCs w:val="21"/>
          <w:highlight w:val="none"/>
        </w:rPr>
        <w:t>）法律、法规规定的其他情形。</w:t>
      </w:r>
    </w:p>
    <w:p w14:paraId="439F3B10">
      <w:pPr>
        <w:pStyle w:val="3"/>
        <w:spacing w:beforeLines="50" w:afterLines="50"/>
        <w:ind w:firstLine="422" w:firstLineChars="200"/>
        <w:rPr>
          <w:rFonts w:ascii="宋体" w:hAnsi="宋体" w:eastAsia="宋体" w:cs="宋体"/>
          <w:color w:val="auto"/>
          <w:highlight w:val="none"/>
        </w:rPr>
      </w:pPr>
      <w:r>
        <w:rPr>
          <w:rFonts w:hint="eastAsia" w:ascii="宋体" w:hAnsi="宋体" w:eastAsia="宋体" w:cs="宋体"/>
          <w:color w:val="auto"/>
          <w:highlight w:val="none"/>
        </w:rPr>
        <w:t>4.审查结果</w:t>
      </w:r>
      <w:bookmarkEnd w:id="766"/>
      <w:bookmarkEnd w:id="767"/>
      <w:bookmarkEnd w:id="768"/>
      <w:bookmarkEnd w:id="769"/>
      <w:bookmarkEnd w:id="770"/>
      <w:bookmarkEnd w:id="771"/>
      <w:bookmarkEnd w:id="772"/>
    </w:p>
    <w:p w14:paraId="58D45548">
      <w:pPr>
        <w:spacing w:line="440" w:lineRule="exact"/>
        <w:ind w:firstLine="420" w:firstLineChars="200"/>
        <w:jc w:val="left"/>
        <w:rPr>
          <w:rFonts w:ascii="宋体" w:hAnsi="宋体" w:cs="宋体"/>
          <w:color w:val="auto"/>
          <w:szCs w:val="21"/>
          <w:highlight w:val="none"/>
        </w:rPr>
      </w:pPr>
      <w:r>
        <w:rPr>
          <w:rFonts w:hint="eastAsia" w:ascii="宋体" w:hAnsi="宋体" w:cs="宋体"/>
          <w:color w:val="auto"/>
          <w:highlight w:val="none"/>
        </w:rPr>
        <w:t>只有通过资格审查的投标人才能进入下一步的评标程序。</w:t>
      </w:r>
      <w:bookmarkStart w:id="773" w:name="_Toc506107323"/>
    </w:p>
    <w:p w14:paraId="500CB5F4">
      <w:pPr>
        <w:pStyle w:val="2"/>
        <w:numPr>
          <w:ilvl w:val="0"/>
          <w:numId w:val="1"/>
        </w:numPr>
        <w:spacing w:beforeLines="50" w:afterLines="50"/>
        <w:rPr>
          <w:rFonts w:hint="eastAsia" w:ascii="Arial" w:hAnsi="Arial"/>
          <w:color w:val="auto"/>
          <w:kern w:val="0"/>
          <w:sz w:val="32"/>
          <w:szCs w:val="32"/>
          <w:highlight w:val="none"/>
        </w:rPr>
      </w:pPr>
      <w:bookmarkStart w:id="774" w:name="_Toc35425111"/>
      <w:bookmarkStart w:id="775" w:name="_Toc15058912"/>
      <w:bookmarkStart w:id="776" w:name="_Toc35424945"/>
      <w:r>
        <w:rPr>
          <w:rFonts w:hint="eastAsia"/>
          <w:color w:val="auto"/>
          <w:highlight w:val="none"/>
        </w:rPr>
        <w:br w:type="page"/>
      </w:r>
      <w:bookmarkStart w:id="777" w:name="_Toc78803380"/>
      <w:r>
        <w:rPr>
          <w:rFonts w:hint="eastAsia" w:ascii="Arial" w:hAnsi="Arial"/>
          <w:color w:val="auto"/>
          <w:kern w:val="0"/>
          <w:sz w:val="32"/>
          <w:szCs w:val="32"/>
          <w:highlight w:val="none"/>
        </w:rPr>
        <w:t>评标办法</w:t>
      </w:r>
      <w:bookmarkEnd w:id="625"/>
      <w:bookmarkEnd w:id="773"/>
      <w:bookmarkEnd w:id="774"/>
      <w:bookmarkEnd w:id="775"/>
      <w:bookmarkEnd w:id="776"/>
      <w:bookmarkEnd w:id="777"/>
    </w:p>
    <w:p w14:paraId="21C07B66">
      <w:pPr>
        <w:spacing w:line="560" w:lineRule="exact"/>
        <w:jc w:val="center"/>
        <w:rPr>
          <w:color w:val="auto"/>
          <w:highlight w:val="none"/>
        </w:rPr>
      </w:pPr>
      <w:bookmarkStart w:id="778" w:name="_Toc78803381"/>
      <w:bookmarkStart w:id="779" w:name="_Toc15058913"/>
      <w:bookmarkStart w:id="780" w:name="_Toc35425113"/>
      <w:bookmarkStart w:id="781" w:name="_Toc179632607"/>
      <w:bookmarkStart w:id="782" w:name="_Toc144974556"/>
      <w:bookmarkStart w:id="783" w:name="_Toc247085747"/>
      <w:bookmarkStart w:id="784" w:name="_Toc246996232"/>
      <w:bookmarkStart w:id="785" w:name="_Toc35424947"/>
      <w:bookmarkStart w:id="786" w:name="_Toc324404872"/>
      <w:bookmarkStart w:id="787" w:name="_Toc506107324"/>
      <w:bookmarkStart w:id="788" w:name="_Toc246996975"/>
      <w:bookmarkStart w:id="789" w:name="_Toc152045589"/>
      <w:bookmarkStart w:id="790" w:name="_Toc152042366"/>
      <w:bookmarkStart w:id="791" w:name="_Toc6491"/>
      <w:bookmarkStart w:id="792" w:name="_Toc78803382"/>
      <w:bookmarkStart w:id="793" w:name="_Toc15058914"/>
      <w:bookmarkStart w:id="794" w:name="_Toc506107325"/>
      <w:bookmarkStart w:id="795" w:name="_Toc11945"/>
      <w:bookmarkStart w:id="796" w:name="_Toc35425114"/>
      <w:bookmarkStart w:id="797" w:name="_Toc35424948"/>
      <w:bookmarkStart w:id="798" w:name="_Toc324404873"/>
      <w:bookmarkStart w:id="799" w:name="_Toc247085748"/>
      <w:bookmarkStart w:id="800" w:name="_Toc152042367"/>
      <w:bookmarkStart w:id="801" w:name="_Toc179632608"/>
      <w:bookmarkStart w:id="802" w:name="_Toc246996233"/>
      <w:bookmarkStart w:id="803" w:name="_Toc246996976"/>
      <w:bookmarkStart w:id="804" w:name="_Toc144974557"/>
      <w:bookmarkStart w:id="805" w:name="_Toc296602478"/>
      <w:bookmarkStart w:id="806" w:name="_Toc152045590"/>
      <w:r>
        <w:rPr>
          <w:rFonts w:hint="eastAsia"/>
          <w:b/>
          <w:bCs/>
          <w:color w:val="auto"/>
          <w:sz w:val="28"/>
          <w:szCs w:val="28"/>
          <w:highlight w:val="none"/>
        </w:rPr>
        <w:t>（一）</w:t>
      </w:r>
      <w:r>
        <w:rPr>
          <w:rFonts w:hint="eastAsia"/>
          <w:b/>
          <w:color w:val="auto"/>
          <w:sz w:val="28"/>
          <w:szCs w:val="21"/>
          <w:highlight w:val="none"/>
        </w:rPr>
        <w:t>中标候选人的确定</w:t>
      </w:r>
    </w:p>
    <w:p w14:paraId="084210A1">
      <w:pPr>
        <w:pStyle w:val="14"/>
        <w:spacing w:after="0" w:line="560" w:lineRule="exact"/>
        <w:ind w:left="0" w:leftChars="0"/>
        <w:rPr>
          <w:color w:val="auto"/>
          <w:highlight w:val="none"/>
        </w:rPr>
      </w:pPr>
      <w:r>
        <w:rPr>
          <w:rFonts w:hint="eastAsia"/>
          <w:color w:val="auto"/>
          <w:highlight w:val="none"/>
        </w:rPr>
        <w:t>评标委员会对投标人依次进行资信、商务文件审查，对均满足要求的投标人进行各项评审因素打分，合计的总得分按照从高到低进行排序，总得分第一的投标人为第一中标候选人。</w:t>
      </w:r>
      <w:r>
        <w:rPr>
          <w:rFonts w:hint="eastAsia" w:ascii="宋体" w:hAnsi="宋体" w:cs="宋体"/>
          <w:color w:val="auto"/>
          <w:szCs w:val="21"/>
          <w:highlight w:val="none"/>
        </w:rPr>
        <w:t>如总得分相等，以投标报价低的优先；投标报价仍相等，由招标人或评标委员会主任委员随机抽取确定排名。</w:t>
      </w:r>
    </w:p>
    <w:p w14:paraId="582708BB">
      <w:pPr>
        <w:pStyle w:val="14"/>
        <w:adjustRightInd w:val="0"/>
        <w:snapToGrid w:val="0"/>
        <w:spacing w:after="0" w:line="560" w:lineRule="exact"/>
        <w:ind w:left="0" w:leftChars="0" w:firstLine="0" w:firstLineChars="0"/>
        <w:jc w:val="center"/>
        <w:rPr>
          <w:rFonts w:hint="default" w:eastAsia="宋体"/>
          <w:b/>
          <w:color w:val="auto"/>
          <w:sz w:val="36"/>
          <w:highlight w:val="none"/>
          <w:lang w:val="en-US" w:eastAsia="zh-CN"/>
        </w:rPr>
      </w:pPr>
      <w:r>
        <w:rPr>
          <w:rFonts w:hint="eastAsia"/>
          <w:b/>
          <w:color w:val="auto"/>
          <w:sz w:val="28"/>
          <w:szCs w:val="21"/>
          <w:highlight w:val="none"/>
        </w:rPr>
        <w:t>（二）资信标评审</w:t>
      </w:r>
      <w:r>
        <w:rPr>
          <w:rFonts w:hint="eastAsia"/>
          <w:b/>
          <w:color w:val="auto"/>
          <w:sz w:val="28"/>
          <w:szCs w:val="21"/>
          <w:highlight w:val="none"/>
          <w:lang w:eastAsia="zh-CN"/>
        </w:rPr>
        <w:t>（</w:t>
      </w:r>
      <w:r>
        <w:rPr>
          <w:rFonts w:hint="eastAsia"/>
          <w:b/>
          <w:color w:val="auto"/>
          <w:sz w:val="28"/>
          <w:szCs w:val="21"/>
          <w:highlight w:val="none"/>
          <w:lang w:val="en-US" w:eastAsia="zh-CN"/>
        </w:rPr>
        <w:t>满分10分）</w:t>
      </w:r>
    </w:p>
    <w:tbl>
      <w:tblPr>
        <w:tblStyle w:val="47"/>
        <w:tblW w:w="9960" w:type="dxa"/>
        <w:tblInd w:w="-38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48"/>
        <w:gridCol w:w="1276"/>
        <w:gridCol w:w="1183"/>
        <w:gridCol w:w="6153"/>
      </w:tblGrid>
      <w:tr w14:paraId="25D523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trPr>
        <w:tc>
          <w:tcPr>
            <w:tcW w:w="1348" w:type="dxa"/>
            <w:noWrap w:val="0"/>
            <w:vAlign w:val="top"/>
          </w:tcPr>
          <w:p w14:paraId="735D084D">
            <w:pPr>
              <w:adjustRightInd w:val="0"/>
              <w:snapToGrid w:val="0"/>
              <w:spacing w:line="560" w:lineRule="exact"/>
              <w:jc w:val="center"/>
              <w:rPr>
                <w:rFonts w:ascii="宋体" w:hAnsi="宋体" w:cs="宋体"/>
                <w:color w:val="auto"/>
                <w:szCs w:val="21"/>
                <w:highlight w:val="none"/>
              </w:rPr>
            </w:pPr>
            <w:r>
              <w:rPr>
                <w:rFonts w:hint="eastAsia" w:ascii="宋体" w:hAnsi="宋体" w:cs="宋体"/>
                <w:color w:val="auto"/>
                <w:szCs w:val="21"/>
                <w:highlight w:val="none"/>
              </w:rPr>
              <w:t>序号</w:t>
            </w:r>
          </w:p>
        </w:tc>
        <w:tc>
          <w:tcPr>
            <w:tcW w:w="1276" w:type="dxa"/>
            <w:noWrap w:val="0"/>
            <w:vAlign w:val="top"/>
          </w:tcPr>
          <w:p w14:paraId="1C521DDB">
            <w:pPr>
              <w:adjustRightInd w:val="0"/>
              <w:snapToGrid w:val="0"/>
              <w:spacing w:line="560" w:lineRule="exact"/>
              <w:jc w:val="center"/>
              <w:rPr>
                <w:rFonts w:ascii="宋体" w:hAnsi="宋体" w:cs="宋体"/>
                <w:color w:val="auto"/>
                <w:szCs w:val="21"/>
                <w:highlight w:val="none"/>
              </w:rPr>
            </w:pPr>
            <w:r>
              <w:rPr>
                <w:rFonts w:hint="eastAsia" w:ascii="宋体" w:hAnsi="宋体" w:cs="宋体"/>
                <w:color w:val="auto"/>
                <w:szCs w:val="21"/>
                <w:highlight w:val="none"/>
              </w:rPr>
              <w:t>评审因素</w:t>
            </w:r>
          </w:p>
        </w:tc>
        <w:tc>
          <w:tcPr>
            <w:tcW w:w="1183" w:type="dxa"/>
            <w:noWrap w:val="0"/>
            <w:vAlign w:val="top"/>
          </w:tcPr>
          <w:p w14:paraId="1CD875D2">
            <w:pPr>
              <w:adjustRightInd w:val="0"/>
              <w:snapToGrid w:val="0"/>
              <w:spacing w:line="560" w:lineRule="exact"/>
              <w:jc w:val="center"/>
              <w:rPr>
                <w:rFonts w:ascii="宋体" w:hAnsi="宋体" w:cs="宋体"/>
                <w:color w:val="auto"/>
                <w:szCs w:val="21"/>
                <w:highlight w:val="none"/>
              </w:rPr>
            </w:pPr>
            <w:r>
              <w:rPr>
                <w:rFonts w:hint="eastAsia" w:ascii="宋体" w:hAnsi="宋体" w:cs="宋体"/>
                <w:color w:val="auto"/>
                <w:szCs w:val="21"/>
                <w:highlight w:val="none"/>
              </w:rPr>
              <w:t>分值设置</w:t>
            </w:r>
          </w:p>
        </w:tc>
        <w:tc>
          <w:tcPr>
            <w:tcW w:w="6153" w:type="dxa"/>
            <w:noWrap w:val="0"/>
            <w:vAlign w:val="top"/>
          </w:tcPr>
          <w:p w14:paraId="23697A83">
            <w:pPr>
              <w:adjustRightInd w:val="0"/>
              <w:snapToGrid w:val="0"/>
              <w:spacing w:line="560" w:lineRule="exact"/>
              <w:jc w:val="center"/>
              <w:rPr>
                <w:rFonts w:ascii="宋体" w:hAnsi="宋体" w:cs="宋体"/>
                <w:color w:val="auto"/>
                <w:szCs w:val="21"/>
                <w:highlight w:val="none"/>
              </w:rPr>
            </w:pPr>
            <w:r>
              <w:rPr>
                <w:rFonts w:hint="eastAsia" w:ascii="宋体" w:hAnsi="宋体" w:cs="宋体"/>
                <w:color w:val="auto"/>
                <w:szCs w:val="21"/>
                <w:highlight w:val="none"/>
              </w:rPr>
              <w:t>评审标准</w:t>
            </w:r>
          </w:p>
        </w:tc>
      </w:tr>
      <w:tr w14:paraId="33D2A4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348" w:type="dxa"/>
            <w:noWrap w:val="0"/>
            <w:vAlign w:val="center"/>
          </w:tcPr>
          <w:p w14:paraId="6DD2F205">
            <w:pPr>
              <w:adjustRightInd w:val="0"/>
              <w:snapToGrid w:val="0"/>
              <w:spacing w:line="560" w:lineRule="exact"/>
              <w:jc w:val="center"/>
              <w:rPr>
                <w:rFonts w:ascii="宋体" w:hAnsi="宋体" w:cs="宋体"/>
                <w:color w:val="auto"/>
                <w:szCs w:val="21"/>
                <w:highlight w:val="none"/>
              </w:rPr>
            </w:pPr>
            <w:r>
              <w:rPr>
                <w:rFonts w:hint="eastAsia" w:ascii="宋体" w:hAnsi="宋体" w:cs="宋体"/>
                <w:color w:val="auto"/>
                <w:szCs w:val="21"/>
                <w:highlight w:val="none"/>
              </w:rPr>
              <w:t>1</w:t>
            </w:r>
          </w:p>
        </w:tc>
        <w:tc>
          <w:tcPr>
            <w:tcW w:w="1276" w:type="dxa"/>
            <w:noWrap w:val="0"/>
            <w:vAlign w:val="center"/>
          </w:tcPr>
          <w:p w14:paraId="51A61C58">
            <w:pPr>
              <w:jc w:val="center"/>
              <w:rPr>
                <w:rFonts w:ascii="宋体" w:hAnsi="宋体" w:cs="宋体"/>
                <w:color w:val="auto"/>
                <w:szCs w:val="21"/>
                <w:highlight w:val="none"/>
              </w:rPr>
            </w:pPr>
            <w:r>
              <w:rPr>
                <w:rFonts w:ascii="宋体" w:hAnsi="宋体" w:cs="宋体"/>
                <w:color w:val="auto"/>
                <w:spacing w:val="-3"/>
                <w:szCs w:val="21"/>
                <w:highlight w:val="none"/>
              </w:rPr>
              <w:t>企业业绩</w:t>
            </w:r>
          </w:p>
        </w:tc>
        <w:tc>
          <w:tcPr>
            <w:tcW w:w="1183" w:type="dxa"/>
            <w:noWrap w:val="0"/>
            <w:vAlign w:val="center"/>
          </w:tcPr>
          <w:p w14:paraId="57444518">
            <w:pPr>
              <w:jc w:val="center"/>
              <w:rPr>
                <w:rFonts w:ascii="宋体" w:hAnsi="宋体" w:cs="宋体"/>
                <w:color w:val="auto"/>
                <w:szCs w:val="21"/>
                <w:highlight w:val="none"/>
              </w:rPr>
            </w:pPr>
            <w:r>
              <w:rPr>
                <w:rFonts w:hint="eastAsia" w:ascii="宋体" w:hAnsi="宋体" w:cs="宋体"/>
                <w:color w:val="auto"/>
                <w:spacing w:val="-8"/>
                <w:szCs w:val="21"/>
                <w:highlight w:val="none"/>
              </w:rPr>
              <w:t>10</w:t>
            </w:r>
            <w:r>
              <w:rPr>
                <w:rFonts w:ascii="宋体" w:hAnsi="宋体" w:cs="宋体"/>
                <w:color w:val="auto"/>
                <w:spacing w:val="-8"/>
                <w:szCs w:val="21"/>
                <w:highlight w:val="none"/>
              </w:rPr>
              <w:t>分</w:t>
            </w:r>
          </w:p>
        </w:tc>
        <w:tc>
          <w:tcPr>
            <w:tcW w:w="6153" w:type="dxa"/>
            <w:noWrap w:val="0"/>
            <w:vAlign w:val="center"/>
          </w:tcPr>
          <w:p w14:paraId="3781809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jc w:val="left"/>
              <w:textAlignment w:val="auto"/>
              <w:rPr>
                <w:rFonts w:hint="eastAsia" w:ascii="宋体" w:hAnsi="宋体" w:eastAsia="宋体" w:cs="宋体"/>
                <w:color w:val="auto"/>
                <w:highlight w:val="none"/>
              </w:rPr>
            </w:pPr>
            <w:r>
              <w:rPr>
                <w:rFonts w:hint="eastAsia" w:ascii="Times New Roman" w:hAnsi="Times New Roman" w:eastAsia="宋体" w:cs="Times New Roman"/>
                <w:color w:val="auto"/>
                <w:highlight w:val="none"/>
              </w:rPr>
              <w:t>自 20</w:t>
            </w:r>
            <w:r>
              <w:rPr>
                <w:rFonts w:hint="eastAsia" w:ascii="Times New Roman" w:hAnsi="Times New Roman" w:eastAsia="宋体" w:cs="Times New Roman"/>
                <w:color w:val="auto"/>
                <w:highlight w:val="none"/>
                <w:lang w:val="en-US" w:eastAsia="zh-CN"/>
              </w:rPr>
              <w:t>2</w:t>
            </w:r>
            <w:r>
              <w:rPr>
                <w:rFonts w:hint="eastAsia" w:cs="Times New Roman"/>
                <w:color w:val="auto"/>
                <w:highlight w:val="none"/>
                <w:lang w:val="en-US" w:eastAsia="zh-CN"/>
              </w:rPr>
              <w:t>1</w:t>
            </w:r>
            <w:r>
              <w:rPr>
                <w:rFonts w:hint="eastAsia" w:ascii="Times New Roman" w:hAnsi="Times New Roman" w:eastAsia="宋体" w:cs="Times New Roman"/>
                <w:color w:val="auto"/>
                <w:highlight w:val="none"/>
              </w:rPr>
              <w:t>年</w:t>
            </w:r>
            <w:r>
              <w:rPr>
                <w:rFonts w:hint="eastAsia" w:ascii="Times New Roman" w:hAnsi="Times New Roman" w:eastAsia="宋体" w:cs="Times New Roman"/>
                <w:color w:val="auto"/>
                <w:highlight w:val="none"/>
                <w:lang w:val="en-US" w:eastAsia="zh-CN"/>
              </w:rPr>
              <w:t>1</w:t>
            </w:r>
            <w:r>
              <w:rPr>
                <w:rFonts w:hint="eastAsia" w:ascii="Times New Roman" w:hAnsi="Times New Roman" w:eastAsia="宋体" w:cs="Times New Roman"/>
                <w:color w:val="auto"/>
                <w:highlight w:val="none"/>
              </w:rPr>
              <w:t>月 1 日至投标截止日</w:t>
            </w:r>
            <w:r>
              <w:rPr>
                <w:rFonts w:hint="eastAsia" w:ascii="宋体" w:hAnsi="宋体" w:eastAsia="宋体" w:cs="宋体"/>
                <w:color w:val="auto"/>
                <w:sz w:val="21"/>
                <w:highlight w:val="none"/>
                <w:u w:val="none"/>
              </w:rPr>
              <w:t>（以合同签订时间为准）</w:t>
            </w:r>
            <w:r>
              <w:rPr>
                <w:rFonts w:hint="eastAsia" w:ascii="Times New Roman" w:hAnsi="Times New Roman" w:eastAsia="宋体" w:cs="Times New Roman"/>
                <w:color w:val="auto"/>
                <w:highlight w:val="none"/>
              </w:rPr>
              <w:t>，</w:t>
            </w:r>
            <w:r>
              <w:rPr>
                <w:rFonts w:hint="eastAsia" w:ascii="Times New Roman" w:hAnsi="Times New Roman" w:eastAsia="宋体" w:cs="Times New Roman"/>
                <w:color w:val="auto"/>
                <w:highlight w:val="none"/>
                <w:lang w:val="en-US" w:eastAsia="zh-CN"/>
              </w:rPr>
              <w:t>投标人</w:t>
            </w:r>
            <w:r>
              <w:rPr>
                <w:rFonts w:hint="eastAsia" w:ascii="宋体" w:hAnsi="宋体" w:eastAsia="宋体" w:cs="宋体"/>
                <w:color w:val="auto"/>
                <w:sz w:val="21"/>
                <w:szCs w:val="21"/>
                <w:highlight w:val="none"/>
                <w:lang w:val="en-US" w:eastAsia="zh-CN"/>
              </w:rPr>
              <w:t>每</w:t>
            </w:r>
            <w:r>
              <w:rPr>
                <w:rFonts w:hint="eastAsia" w:ascii="宋体" w:hAnsi="宋体" w:eastAsia="宋体" w:cs="宋体"/>
                <w:color w:val="auto"/>
                <w:spacing w:val="-6"/>
                <w:kern w:val="0"/>
                <w:sz w:val="21"/>
                <w:szCs w:val="21"/>
                <w:highlight w:val="none"/>
              </w:rPr>
              <w:t>提供一个</w:t>
            </w:r>
            <w:r>
              <w:rPr>
                <w:rFonts w:hint="eastAsia" w:ascii="宋体" w:hAnsi="宋体" w:eastAsia="宋体" w:cs="宋体"/>
                <w:color w:val="auto"/>
                <w:sz w:val="21"/>
                <w:highlight w:val="none"/>
                <w:u w:val="none"/>
              </w:rPr>
              <w:t>单项合同</w:t>
            </w:r>
            <w:r>
              <w:rPr>
                <w:rFonts w:hint="eastAsia" w:ascii="宋体" w:hAnsi="宋体" w:eastAsia="宋体" w:cs="宋体"/>
                <w:color w:val="auto"/>
                <w:sz w:val="21"/>
                <w:highlight w:val="none"/>
                <w:u w:val="none"/>
                <w:lang w:val="en-US" w:eastAsia="zh-CN"/>
              </w:rPr>
              <w:t>金额</w:t>
            </w:r>
            <w:r>
              <w:rPr>
                <w:rFonts w:hint="eastAsia" w:ascii="宋体" w:hAnsi="宋体" w:eastAsia="宋体" w:cs="宋体"/>
                <w:color w:val="auto"/>
                <w:sz w:val="21"/>
                <w:highlight w:val="none"/>
                <w:u w:val="none"/>
              </w:rPr>
              <w:t>不低于</w:t>
            </w:r>
            <w:r>
              <w:rPr>
                <w:rFonts w:hint="eastAsia" w:ascii="宋体" w:hAnsi="宋体" w:cs="宋体"/>
                <w:color w:val="auto"/>
                <w:sz w:val="21"/>
                <w:highlight w:val="none"/>
                <w:u w:val="none"/>
                <w:lang w:val="en-US" w:eastAsia="zh-CN"/>
              </w:rPr>
              <w:t>150</w:t>
            </w:r>
            <w:r>
              <w:rPr>
                <w:rFonts w:hint="eastAsia" w:ascii="宋体" w:hAnsi="宋体" w:eastAsia="宋体" w:cs="宋体"/>
                <w:color w:val="auto"/>
                <w:sz w:val="21"/>
                <w:highlight w:val="none"/>
                <w:u w:val="none"/>
                <w:lang w:val="en-US" w:eastAsia="zh-CN"/>
              </w:rPr>
              <w:t>万元（含）</w:t>
            </w:r>
            <w:r>
              <w:rPr>
                <w:rFonts w:hint="eastAsia" w:ascii="宋体" w:hAnsi="宋体" w:eastAsia="宋体" w:cs="宋体"/>
                <w:color w:val="auto"/>
                <w:sz w:val="21"/>
                <w:highlight w:val="none"/>
                <w:u w:val="none"/>
              </w:rPr>
              <w:t>的光伏</w:t>
            </w:r>
            <w:r>
              <w:rPr>
                <w:rFonts w:hint="default"/>
                <w:color w:val="auto"/>
                <w:highlight w:val="none"/>
              </w:rPr>
              <w:t>施工</w:t>
            </w:r>
            <w:r>
              <w:rPr>
                <w:rFonts w:hint="eastAsia"/>
                <w:color w:val="auto"/>
                <w:highlight w:val="none"/>
                <w:lang w:val="en-US" w:eastAsia="zh-CN"/>
              </w:rPr>
              <w:t>或电力施工业绩</w:t>
            </w:r>
            <w:r>
              <w:rPr>
                <w:rFonts w:hint="eastAsia" w:ascii="宋体" w:hAnsi="宋体" w:eastAsia="宋体" w:cs="宋体"/>
                <w:color w:val="auto"/>
                <w:highlight w:val="none"/>
              </w:rPr>
              <w:t>的</w:t>
            </w:r>
            <w:r>
              <w:rPr>
                <w:rFonts w:hint="eastAsia" w:ascii="宋体" w:hAnsi="宋体" w:eastAsia="宋体" w:cs="宋体"/>
                <w:color w:val="auto"/>
                <w:sz w:val="21"/>
                <w:szCs w:val="21"/>
                <w:highlight w:val="none"/>
                <w:lang w:val="en-US" w:eastAsia="zh-CN"/>
              </w:rPr>
              <w:t>得</w:t>
            </w:r>
            <w:r>
              <w:rPr>
                <w:rFonts w:hint="eastAsia" w:ascii="宋体" w:hAnsi="宋体" w:cs="宋体"/>
                <w:color w:val="auto"/>
                <w:sz w:val="21"/>
                <w:szCs w:val="21"/>
                <w:highlight w:val="none"/>
                <w:lang w:val="en-US" w:eastAsia="zh-CN"/>
              </w:rPr>
              <w:t>5</w:t>
            </w:r>
            <w:r>
              <w:rPr>
                <w:rFonts w:hint="eastAsia" w:ascii="宋体" w:hAnsi="宋体" w:eastAsia="宋体" w:cs="宋体"/>
                <w:color w:val="auto"/>
                <w:sz w:val="21"/>
                <w:szCs w:val="21"/>
                <w:highlight w:val="none"/>
                <w:lang w:val="en-US" w:eastAsia="zh-CN"/>
              </w:rPr>
              <w:t>分；</w:t>
            </w:r>
            <w:r>
              <w:rPr>
                <w:rFonts w:hint="eastAsia" w:ascii="宋体" w:hAnsi="宋体" w:eastAsia="宋体" w:cs="宋体"/>
                <w:color w:val="auto"/>
                <w:highlight w:val="none"/>
              </w:rPr>
              <w:t>其他的不得分，本项满分</w:t>
            </w:r>
            <w:r>
              <w:rPr>
                <w:rFonts w:hint="eastAsia" w:ascii="宋体" w:hAnsi="宋体" w:cs="宋体"/>
                <w:color w:val="auto"/>
                <w:highlight w:val="none"/>
                <w:lang w:val="en-US" w:eastAsia="zh-CN"/>
              </w:rPr>
              <w:t>10</w:t>
            </w:r>
            <w:r>
              <w:rPr>
                <w:rFonts w:hint="eastAsia" w:ascii="宋体" w:hAnsi="宋体" w:eastAsia="宋体" w:cs="宋体"/>
                <w:color w:val="auto"/>
                <w:highlight w:val="none"/>
              </w:rPr>
              <w:t>分。</w:t>
            </w:r>
          </w:p>
          <w:p w14:paraId="397D20EA">
            <w:pPr>
              <w:spacing w:line="440" w:lineRule="exact"/>
              <w:jc w:val="left"/>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【须同时提供下列材料扫描件：①合同，合同内容须满足要求；②</w:t>
            </w:r>
            <w:r>
              <w:rPr>
                <w:rFonts w:hint="eastAsia" w:ascii="Times New Roman" w:hAnsi="Times New Roman" w:eastAsia="宋体" w:cs="Times New Roman"/>
                <w:color w:val="auto"/>
                <w:highlight w:val="none"/>
                <w:lang w:val="en-US" w:eastAsia="zh-CN"/>
              </w:rPr>
              <w:t>验收证明材料</w:t>
            </w:r>
            <w:r>
              <w:rPr>
                <w:rFonts w:hint="eastAsia" w:ascii="Times New Roman" w:hAnsi="Times New Roman" w:eastAsia="宋体" w:cs="Times New Roman"/>
                <w:color w:val="auto"/>
                <w:highlight w:val="none"/>
              </w:rPr>
              <w:t>，</w:t>
            </w:r>
            <w:r>
              <w:rPr>
                <w:rFonts w:hint="eastAsia" w:ascii="Times New Roman" w:hAnsi="Times New Roman" w:eastAsia="宋体" w:cs="Times New Roman"/>
                <w:color w:val="auto"/>
                <w:highlight w:val="none"/>
                <w:lang w:val="en-US" w:eastAsia="zh-CN"/>
              </w:rPr>
              <w:t>两</w:t>
            </w:r>
            <w:r>
              <w:rPr>
                <w:rFonts w:hint="eastAsia" w:ascii="Times New Roman" w:hAnsi="Times New Roman" w:eastAsia="宋体" w:cs="Times New Roman"/>
                <w:color w:val="auto"/>
                <w:highlight w:val="none"/>
              </w:rPr>
              <w:t>项材料缺一不可，如上述</w:t>
            </w:r>
            <w:r>
              <w:rPr>
                <w:rFonts w:hint="eastAsia" w:ascii="Times New Roman" w:hAnsi="Times New Roman" w:eastAsia="宋体" w:cs="Times New Roman"/>
                <w:color w:val="auto"/>
                <w:highlight w:val="none"/>
                <w:lang w:val="en-US" w:eastAsia="zh-CN"/>
              </w:rPr>
              <w:t>两</w:t>
            </w:r>
            <w:r>
              <w:rPr>
                <w:rFonts w:hint="eastAsia" w:ascii="Times New Roman" w:hAnsi="Times New Roman" w:eastAsia="宋体" w:cs="Times New Roman"/>
                <w:color w:val="auto"/>
                <w:highlight w:val="none"/>
              </w:rPr>
              <w:t>项材料不一致或不能够充分有效证明该工程业绩的工程类型等内容，则须提供建设单位出具的加盖建设单位公章的证明材料。</w:t>
            </w:r>
            <w:r>
              <w:rPr>
                <w:rFonts w:hint="eastAsia" w:ascii="Times New Roman" w:hAnsi="Times New Roman" w:eastAsia="宋体" w:cs="Times New Roman"/>
                <w:color w:val="auto"/>
                <w:highlight w:val="none"/>
                <w:lang w:val="en-US" w:eastAsia="zh-CN"/>
              </w:rPr>
              <w:t>合同签订</w:t>
            </w:r>
            <w:r>
              <w:rPr>
                <w:rFonts w:hint="eastAsia" w:ascii="Times New Roman" w:hAnsi="Times New Roman" w:eastAsia="宋体" w:cs="Times New Roman"/>
                <w:color w:val="auto"/>
                <w:highlight w:val="none"/>
              </w:rPr>
              <w:t>时间</w:t>
            </w:r>
            <w:r>
              <w:rPr>
                <w:rFonts w:hint="eastAsia" w:ascii="Times New Roman" w:hAnsi="Times New Roman" w:eastAsia="宋体" w:cs="Times New Roman"/>
                <w:color w:val="auto"/>
                <w:highlight w:val="none"/>
                <w:lang w:val="en-US" w:eastAsia="zh-CN"/>
              </w:rPr>
              <w:t>和合同金额均</w:t>
            </w:r>
            <w:r>
              <w:rPr>
                <w:rFonts w:hint="eastAsia" w:ascii="Times New Roman" w:hAnsi="Times New Roman" w:eastAsia="宋体" w:cs="Times New Roman"/>
                <w:color w:val="auto"/>
                <w:highlight w:val="none"/>
              </w:rPr>
              <w:t>以</w:t>
            </w:r>
            <w:r>
              <w:rPr>
                <w:rFonts w:hint="eastAsia" w:ascii="Times New Roman" w:hAnsi="Times New Roman" w:eastAsia="宋体" w:cs="Times New Roman"/>
                <w:color w:val="auto"/>
                <w:highlight w:val="none"/>
                <w:lang w:val="en-US" w:eastAsia="zh-CN"/>
              </w:rPr>
              <w:t>合同载明内容</w:t>
            </w:r>
            <w:r>
              <w:rPr>
                <w:rFonts w:hint="eastAsia" w:ascii="Times New Roman" w:hAnsi="Times New Roman" w:eastAsia="宋体" w:cs="Times New Roman"/>
                <w:color w:val="auto"/>
                <w:highlight w:val="none"/>
              </w:rPr>
              <w:t>为准。】</w:t>
            </w:r>
          </w:p>
          <w:p w14:paraId="1FD3C61B">
            <w:pPr>
              <w:spacing w:line="440" w:lineRule="exact"/>
              <w:jc w:val="left"/>
              <w:rPr>
                <w:color w:val="auto"/>
                <w:highlight w:val="none"/>
              </w:rPr>
            </w:pPr>
            <w:r>
              <w:rPr>
                <w:rFonts w:hint="eastAsia" w:ascii="Times New Roman" w:hAnsi="Times New Roman" w:eastAsia="宋体" w:cs="Times New Roman"/>
                <w:color w:val="auto"/>
                <w:highlight w:val="none"/>
              </w:rPr>
              <w:t>注：投标人投标时只须提供2个评审业绩，若投标人提供业绩个数超过2个，则按照排列顺序从首个业绩开始评审至对应数量（2个），超出部分业绩不进行评审。对应数量（2个）业绩不符合招标文件要求不得分的，不再补充评审超出部分业绩。如：提供2个业绩即得满分的，按照投标文件排序评审第一、第二项业绩，其余超出部分不再评审”。</w:t>
            </w:r>
          </w:p>
        </w:tc>
      </w:tr>
    </w:tbl>
    <w:p w14:paraId="3F90F92F">
      <w:pPr>
        <w:pStyle w:val="14"/>
        <w:adjustRightInd w:val="0"/>
        <w:snapToGrid w:val="0"/>
        <w:spacing w:after="0" w:line="560" w:lineRule="exact"/>
        <w:ind w:left="0" w:leftChars="0" w:firstLine="0" w:firstLineChars="0"/>
        <w:jc w:val="center"/>
        <w:rPr>
          <w:rFonts w:hint="default" w:ascii="宋体" w:hAnsi="Times New Roman" w:eastAsia="宋体" w:cs="Times New Roman"/>
          <w:b/>
          <w:color w:val="auto"/>
          <w:sz w:val="28"/>
          <w:szCs w:val="21"/>
          <w:highlight w:val="none"/>
          <w:lang w:val="en-US" w:eastAsia="zh-CN"/>
        </w:rPr>
      </w:pPr>
      <w:r>
        <w:rPr>
          <w:rFonts w:hint="eastAsia"/>
          <w:b/>
          <w:color w:val="auto"/>
          <w:sz w:val="28"/>
          <w:szCs w:val="21"/>
          <w:highlight w:val="none"/>
        </w:rPr>
        <w:t>（</w:t>
      </w:r>
      <w:r>
        <w:rPr>
          <w:rFonts w:hint="eastAsia"/>
          <w:b/>
          <w:color w:val="auto"/>
          <w:sz w:val="28"/>
          <w:szCs w:val="21"/>
          <w:highlight w:val="none"/>
          <w:lang w:val="en-US" w:eastAsia="zh-CN"/>
        </w:rPr>
        <w:t>三</w:t>
      </w:r>
      <w:r>
        <w:rPr>
          <w:rFonts w:hint="eastAsia"/>
          <w:b/>
          <w:color w:val="auto"/>
          <w:sz w:val="28"/>
          <w:szCs w:val="21"/>
          <w:highlight w:val="none"/>
        </w:rPr>
        <w:t>）</w:t>
      </w:r>
      <w:r>
        <w:rPr>
          <w:rFonts w:hint="eastAsia" w:ascii="宋体" w:hAnsi="Times New Roman" w:eastAsia="宋体" w:cs="Times New Roman"/>
          <w:b/>
          <w:color w:val="auto"/>
          <w:sz w:val="28"/>
          <w:szCs w:val="21"/>
          <w:highlight w:val="none"/>
        </w:rPr>
        <w:t>商务标评审</w:t>
      </w:r>
      <w:r>
        <w:rPr>
          <w:rFonts w:hint="eastAsia" w:cs="Times New Roman"/>
          <w:b/>
          <w:color w:val="auto"/>
          <w:sz w:val="28"/>
          <w:szCs w:val="21"/>
          <w:highlight w:val="none"/>
          <w:lang w:eastAsia="zh-CN"/>
        </w:rPr>
        <w:t>（</w:t>
      </w:r>
      <w:r>
        <w:rPr>
          <w:rFonts w:hint="eastAsia" w:cs="Times New Roman"/>
          <w:b/>
          <w:color w:val="auto"/>
          <w:sz w:val="28"/>
          <w:szCs w:val="21"/>
          <w:highlight w:val="none"/>
          <w:lang w:val="en-US" w:eastAsia="zh-CN"/>
        </w:rPr>
        <w:t>90分）</w:t>
      </w:r>
    </w:p>
    <w:tbl>
      <w:tblPr>
        <w:tblStyle w:val="47"/>
        <w:tblW w:w="102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1"/>
        <w:gridCol w:w="780"/>
        <w:gridCol w:w="1980"/>
        <w:gridCol w:w="6645"/>
      </w:tblGrid>
      <w:tr w14:paraId="0B0A83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1661" w:type="dxa"/>
            <w:gridSpan w:val="2"/>
            <w:noWrap w:val="0"/>
            <w:vAlign w:val="center"/>
          </w:tcPr>
          <w:p w14:paraId="0CC6517A">
            <w:pPr>
              <w:adjustRightInd w:val="0"/>
              <w:snapToGrid w:val="0"/>
              <w:spacing w:line="560" w:lineRule="exact"/>
              <w:jc w:val="center"/>
              <w:rPr>
                <w:rFonts w:ascii="宋体" w:hAnsi="宋体"/>
                <w:color w:val="auto"/>
                <w:szCs w:val="21"/>
                <w:highlight w:val="none"/>
              </w:rPr>
            </w:pPr>
            <w:r>
              <w:rPr>
                <w:rFonts w:hint="eastAsia" w:ascii="宋体" w:hAnsi="宋体"/>
                <w:color w:val="auto"/>
                <w:szCs w:val="21"/>
                <w:highlight w:val="none"/>
              </w:rPr>
              <w:t>条款号</w:t>
            </w:r>
          </w:p>
        </w:tc>
        <w:tc>
          <w:tcPr>
            <w:tcW w:w="1980" w:type="dxa"/>
            <w:noWrap w:val="0"/>
            <w:vAlign w:val="center"/>
          </w:tcPr>
          <w:p w14:paraId="1C0A8E20">
            <w:pPr>
              <w:adjustRightInd w:val="0"/>
              <w:snapToGrid w:val="0"/>
              <w:spacing w:line="560" w:lineRule="exact"/>
              <w:jc w:val="center"/>
              <w:rPr>
                <w:rFonts w:ascii="宋体" w:hAnsi="宋体"/>
                <w:color w:val="auto"/>
                <w:szCs w:val="21"/>
                <w:highlight w:val="none"/>
              </w:rPr>
            </w:pPr>
            <w:r>
              <w:rPr>
                <w:rFonts w:hint="eastAsia" w:ascii="宋体" w:hAnsi="宋体"/>
                <w:color w:val="auto"/>
                <w:szCs w:val="21"/>
                <w:highlight w:val="none"/>
              </w:rPr>
              <w:t>评审因素</w:t>
            </w:r>
          </w:p>
        </w:tc>
        <w:tc>
          <w:tcPr>
            <w:tcW w:w="6645" w:type="dxa"/>
            <w:noWrap w:val="0"/>
            <w:vAlign w:val="center"/>
          </w:tcPr>
          <w:p w14:paraId="094098D2">
            <w:pPr>
              <w:adjustRightInd w:val="0"/>
              <w:snapToGrid w:val="0"/>
              <w:spacing w:line="560" w:lineRule="exact"/>
              <w:jc w:val="center"/>
              <w:rPr>
                <w:rFonts w:ascii="宋体" w:hAnsi="宋体"/>
                <w:color w:val="auto"/>
                <w:szCs w:val="21"/>
                <w:highlight w:val="none"/>
              </w:rPr>
            </w:pPr>
            <w:r>
              <w:rPr>
                <w:rFonts w:hint="eastAsia" w:ascii="宋体" w:hAnsi="宋体"/>
                <w:color w:val="auto"/>
                <w:szCs w:val="21"/>
                <w:highlight w:val="none"/>
              </w:rPr>
              <w:t>评审标准</w:t>
            </w:r>
          </w:p>
        </w:tc>
      </w:tr>
      <w:tr w14:paraId="75B15B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881" w:type="dxa"/>
            <w:vMerge w:val="restart"/>
            <w:noWrap w:val="0"/>
            <w:vAlign w:val="center"/>
          </w:tcPr>
          <w:p w14:paraId="31DE258C">
            <w:pPr>
              <w:adjustRightInd w:val="0"/>
              <w:snapToGrid w:val="0"/>
              <w:spacing w:line="560" w:lineRule="exact"/>
              <w:jc w:val="center"/>
              <w:rPr>
                <w:rFonts w:ascii="宋体" w:hAnsi="宋体"/>
                <w:color w:val="auto"/>
                <w:szCs w:val="21"/>
                <w:highlight w:val="none"/>
              </w:rPr>
            </w:pPr>
            <w:r>
              <w:rPr>
                <w:rFonts w:ascii="宋体" w:hAnsi="宋体"/>
                <w:color w:val="auto"/>
                <w:szCs w:val="21"/>
                <w:highlight w:val="none"/>
              </w:rPr>
              <w:t>4.2.1</w:t>
            </w:r>
          </w:p>
        </w:tc>
        <w:tc>
          <w:tcPr>
            <w:tcW w:w="780" w:type="dxa"/>
            <w:vMerge w:val="restart"/>
            <w:noWrap w:val="0"/>
            <w:vAlign w:val="center"/>
          </w:tcPr>
          <w:p w14:paraId="6637DB11">
            <w:pPr>
              <w:adjustRightInd w:val="0"/>
              <w:snapToGrid w:val="0"/>
              <w:spacing w:line="560" w:lineRule="exact"/>
              <w:jc w:val="center"/>
              <w:rPr>
                <w:rFonts w:ascii="宋体" w:hAnsi="宋体"/>
                <w:color w:val="auto"/>
                <w:szCs w:val="21"/>
                <w:highlight w:val="none"/>
              </w:rPr>
            </w:pPr>
            <w:r>
              <w:rPr>
                <w:rFonts w:hint="eastAsia" w:ascii="宋体" w:hAnsi="宋体"/>
                <w:color w:val="auto"/>
                <w:szCs w:val="21"/>
                <w:highlight w:val="none"/>
              </w:rPr>
              <w:t>形式评审标准</w:t>
            </w:r>
          </w:p>
        </w:tc>
        <w:tc>
          <w:tcPr>
            <w:tcW w:w="1980" w:type="dxa"/>
            <w:noWrap w:val="0"/>
            <w:vAlign w:val="center"/>
          </w:tcPr>
          <w:p w14:paraId="50103711">
            <w:pPr>
              <w:adjustRightInd w:val="0"/>
              <w:snapToGrid w:val="0"/>
              <w:spacing w:line="560" w:lineRule="exact"/>
              <w:rPr>
                <w:rFonts w:ascii="宋体" w:hAnsi="宋体"/>
                <w:color w:val="auto"/>
                <w:szCs w:val="21"/>
                <w:highlight w:val="none"/>
              </w:rPr>
            </w:pPr>
            <w:r>
              <w:rPr>
                <w:rFonts w:hint="eastAsia" w:ascii="宋体" w:hAnsi="宋体"/>
                <w:color w:val="auto"/>
                <w:szCs w:val="21"/>
                <w:highlight w:val="none"/>
              </w:rPr>
              <w:t>投标函签字盖章</w:t>
            </w:r>
          </w:p>
        </w:tc>
        <w:tc>
          <w:tcPr>
            <w:tcW w:w="6645" w:type="dxa"/>
            <w:noWrap w:val="0"/>
            <w:vAlign w:val="center"/>
          </w:tcPr>
          <w:p w14:paraId="76D9919F">
            <w:pPr>
              <w:adjustRightInd w:val="0"/>
              <w:snapToGrid w:val="0"/>
              <w:spacing w:line="560" w:lineRule="exact"/>
              <w:jc w:val="left"/>
              <w:rPr>
                <w:rFonts w:ascii="宋体" w:hAnsi="宋体"/>
                <w:color w:val="auto"/>
                <w:szCs w:val="21"/>
                <w:highlight w:val="none"/>
              </w:rPr>
            </w:pPr>
            <w:r>
              <w:rPr>
                <w:rFonts w:hint="eastAsia" w:ascii="宋体" w:hAnsi="宋体"/>
                <w:color w:val="auto"/>
                <w:szCs w:val="21"/>
                <w:highlight w:val="none"/>
              </w:rPr>
              <w:t>有投标人及其法定代表人签章。</w:t>
            </w:r>
          </w:p>
        </w:tc>
      </w:tr>
      <w:tr w14:paraId="467A9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jc w:val="center"/>
        </w:trPr>
        <w:tc>
          <w:tcPr>
            <w:tcW w:w="881" w:type="dxa"/>
            <w:vMerge w:val="continue"/>
            <w:noWrap w:val="0"/>
            <w:vAlign w:val="center"/>
          </w:tcPr>
          <w:p w14:paraId="5704331B">
            <w:pPr>
              <w:widowControl/>
              <w:adjustRightInd w:val="0"/>
              <w:snapToGrid w:val="0"/>
              <w:spacing w:line="560" w:lineRule="exact"/>
              <w:jc w:val="left"/>
              <w:rPr>
                <w:rFonts w:ascii="宋体" w:hAnsi="宋体"/>
                <w:color w:val="auto"/>
                <w:szCs w:val="21"/>
                <w:highlight w:val="none"/>
              </w:rPr>
            </w:pPr>
          </w:p>
        </w:tc>
        <w:tc>
          <w:tcPr>
            <w:tcW w:w="780" w:type="dxa"/>
            <w:vMerge w:val="continue"/>
            <w:noWrap w:val="0"/>
            <w:vAlign w:val="center"/>
          </w:tcPr>
          <w:p w14:paraId="48F50855">
            <w:pPr>
              <w:widowControl/>
              <w:adjustRightInd w:val="0"/>
              <w:snapToGrid w:val="0"/>
              <w:spacing w:line="560" w:lineRule="exact"/>
              <w:jc w:val="left"/>
              <w:rPr>
                <w:rFonts w:ascii="宋体" w:hAnsi="宋体"/>
                <w:color w:val="auto"/>
                <w:szCs w:val="21"/>
                <w:highlight w:val="none"/>
              </w:rPr>
            </w:pPr>
          </w:p>
        </w:tc>
        <w:tc>
          <w:tcPr>
            <w:tcW w:w="1980" w:type="dxa"/>
            <w:noWrap w:val="0"/>
            <w:vAlign w:val="center"/>
          </w:tcPr>
          <w:p w14:paraId="262651E5">
            <w:pPr>
              <w:adjustRightInd w:val="0"/>
              <w:snapToGrid w:val="0"/>
              <w:spacing w:line="560" w:lineRule="exact"/>
              <w:rPr>
                <w:rFonts w:ascii="宋体" w:hAnsi="宋体"/>
                <w:color w:val="auto"/>
                <w:szCs w:val="21"/>
                <w:highlight w:val="none"/>
              </w:rPr>
            </w:pPr>
            <w:r>
              <w:rPr>
                <w:rFonts w:hint="eastAsia" w:ascii="宋体" w:hAnsi="宋体"/>
                <w:color w:val="auto"/>
                <w:szCs w:val="21"/>
                <w:highlight w:val="none"/>
              </w:rPr>
              <w:t>投标文件格式</w:t>
            </w:r>
          </w:p>
        </w:tc>
        <w:tc>
          <w:tcPr>
            <w:tcW w:w="6645" w:type="dxa"/>
            <w:noWrap w:val="0"/>
            <w:vAlign w:val="center"/>
          </w:tcPr>
          <w:p w14:paraId="4A230C62">
            <w:pPr>
              <w:adjustRightInd w:val="0"/>
              <w:snapToGrid w:val="0"/>
              <w:spacing w:line="560" w:lineRule="exact"/>
              <w:jc w:val="left"/>
              <w:rPr>
                <w:rFonts w:ascii="宋体" w:hAnsi="宋体"/>
                <w:color w:val="auto"/>
                <w:szCs w:val="21"/>
                <w:highlight w:val="none"/>
              </w:rPr>
            </w:pPr>
            <w:r>
              <w:rPr>
                <w:rFonts w:hint="eastAsia" w:ascii="宋体" w:hAnsi="宋体"/>
                <w:color w:val="auto"/>
                <w:szCs w:val="21"/>
                <w:highlight w:val="none"/>
              </w:rPr>
              <w:t>符合第</w:t>
            </w:r>
            <w:r>
              <w:rPr>
                <w:rFonts w:hint="eastAsia" w:ascii="宋体" w:hAnsi="宋体"/>
                <w:color w:val="auto"/>
                <w:szCs w:val="21"/>
                <w:highlight w:val="none"/>
                <w:lang w:val="en-US" w:eastAsia="zh-CN"/>
              </w:rPr>
              <w:t>八</w:t>
            </w:r>
            <w:r>
              <w:rPr>
                <w:rFonts w:hint="eastAsia" w:ascii="宋体" w:hAnsi="宋体"/>
                <w:color w:val="auto"/>
                <w:szCs w:val="21"/>
                <w:highlight w:val="none"/>
              </w:rPr>
              <w:t>章“投标文件格式”的要求。</w:t>
            </w:r>
          </w:p>
        </w:tc>
      </w:tr>
      <w:tr w14:paraId="0AD0A5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jc w:val="center"/>
        </w:trPr>
        <w:tc>
          <w:tcPr>
            <w:tcW w:w="881" w:type="dxa"/>
            <w:vMerge w:val="continue"/>
            <w:noWrap w:val="0"/>
            <w:vAlign w:val="center"/>
          </w:tcPr>
          <w:p w14:paraId="42A15927">
            <w:pPr>
              <w:widowControl/>
              <w:adjustRightInd w:val="0"/>
              <w:snapToGrid w:val="0"/>
              <w:spacing w:line="560" w:lineRule="exact"/>
              <w:jc w:val="left"/>
              <w:rPr>
                <w:rFonts w:ascii="宋体" w:hAnsi="宋体"/>
                <w:color w:val="auto"/>
                <w:szCs w:val="21"/>
                <w:highlight w:val="none"/>
              </w:rPr>
            </w:pPr>
          </w:p>
        </w:tc>
        <w:tc>
          <w:tcPr>
            <w:tcW w:w="780" w:type="dxa"/>
            <w:vMerge w:val="continue"/>
            <w:noWrap w:val="0"/>
            <w:vAlign w:val="center"/>
          </w:tcPr>
          <w:p w14:paraId="117704E8">
            <w:pPr>
              <w:widowControl/>
              <w:adjustRightInd w:val="0"/>
              <w:snapToGrid w:val="0"/>
              <w:spacing w:line="560" w:lineRule="exact"/>
              <w:jc w:val="left"/>
              <w:rPr>
                <w:rFonts w:ascii="宋体" w:hAnsi="宋体"/>
                <w:color w:val="auto"/>
                <w:szCs w:val="21"/>
                <w:highlight w:val="none"/>
              </w:rPr>
            </w:pPr>
          </w:p>
        </w:tc>
        <w:tc>
          <w:tcPr>
            <w:tcW w:w="1980" w:type="dxa"/>
            <w:noWrap w:val="0"/>
            <w:vAlign w:val="center"/>
          </w:tcPr>
          <w:p w14:paraId="3DA0AF02">
            <w:pPr>
              <w:adjustRightInd w:val="0"/>
              <w:snapToGrid w:val="0"/>
              <w:spacing w:line="560" w:lineRule="exact"/>
              <w:rPr>
                <w:rFonts w:ascii="宋体" w:hAnsi="宋体"/>
                <w:color w:val="auto"/>
                <w:szCs w:val="21"/>
                <w:highlight w:val="none"/>
              </w:rPr>
            </w:pPr>
            <w:r>
              <w:rPr>
                <w:rFonts w:hint="eastAsia" w:ascii="宋体" w:hAnsi="宋体"/>
                <w:color w:val="auto"/>
                <w:szCs w:val="21"/>
                <w:highlight w:val="none"/>
              </w:rPr>
              <w:t>商务标签字盖章</w:t>
            </w:r>
          </w:p>
        </w:tc>
        <w:tc>
          <w:tcPr>
            <w:tcW w:w="6645" w:type="dxa"/>
            <w:noWrap w:val="0"/>
            <w:vAlign w:val="center"/>
          </w:tcPr>
          <w:p w14:paraId="65B80844">
            <w:pPr>
              <w:adjustRightInd w:val="0"/>
              <w:snapToGrid w:val="0"/>
              <w:spacing w:line="560" w:lineRule="exact"/>
              <w:jc w:val="left"/>
              <w:rPr>
                <w:rFonts w:ascii="宋体" w:hAnsi="宋体"/>
                <w:color w:val="auto"/>
                <w:szCs w:val="21"/>
                <w:highlight w:val="none"/>
              </w:rPr>
            </w:pPr>
            <w:r>
              <w:rPr>
                <w:rFonts w:hint="eastAsia" w:ascii="宋体" w:hAnsi="宋体"/>
                <w:color w:val="auto"/>
                <w:szCs w:val="21"/>
                <w:highlight w:val="none"/>
              </w:rPr>
              <w:t>按投标文件格式要求签章。</w:t>
            </w:r>
          </w:p>
        </w:tc>
      </w:tr>
      <w:tr w14:paraId="67FEC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881" w:type="dxa"/>
            <w:vMerge w:val="continue"/>
            <w:noWrap w:val="0"/>
            <w:vAlign w:val="center"/>
          </w:tcPr>
          <w:p w14:paraId="3463741A">
            <w:pPr>
              <w:widowControl/>
              <w:adjustRightInd w:val="0"/>
              <w:snapToGrid w:val="0"/>
              <w:spacing w:line="560" w:lineRule="exact"/>
              <w:jc w:val="left"/>
              <w:rPr>
                <w:rFonts w:ascii="宋体" w:hAnsi="宋体"/>
                <w:color w:val="auto"/>
                <w:szCs w:val="21"/>
                <w:highlight w:val="none"/>
              </w:rPr>
            </w:pPr>
          </w:p>
        </w:tc>
        <w:tc>
          <w:tcPr>
            <w:tcW w:w="780" w:type="dxa"/>
            <w:vMerge w:val="continue"/>
            <w:noWrap w:val="0"/>
            <w:vAlign w:val="center"/>
          </w:tcPr>
          <w:p w14:paraId="75CDABAA">
            <w:pPr>
              <w:widowControl/>
              <w:adjustRightInd w:val="0"/>
              <w:snapToGrid w:val="0"/>
              <w:spacing w:line="560" w:lineRule="exact"/>
              <w:jc w:val="left"/>
              <w:rPr>
                <w:rFonts w:ascii="宋体" w:hAnsi="宋体"/>
                <w:color w:val="auto"/>
                <w:szCs w:val="21"/>
                <w:highlight w:val="none"/>
              </w:rPr>
            </w:pPr>
          </w:p>
        </w:tc>
        <w:tc>
          <w:tcPr>
            <w:tcW w:w="1980" w:type="dxa"/>
            <w:noWrap w:val="0"/>
            <w:vAlign w:val="center"/>
          </w:tcPr>
          <w:p w14:paraId="71F65E91">
            <w:pPr>
              <w:adjustRightInd w:val="0"/>
              <w:snapToGrid w:val="0"/>
              <w:spacing w:line="560" w:lineRule="exact"/>
              <w:rPr>
                <w:rFonts w:ascii="宋体" w:hAnsi="宋体"/>
                <w:color w:val="auto"/>
                <w:szCs w:val="21"/>
                <w:highlight w:val="none"/>
              </w:rPr>
            </w:pPr>
            <w:r>
              <w:rPr>
                <w:rFonts w:hint="eastAsia" w:ascii="宋体" w:hAnsi="宋体"/>
                <w:color w:val="auto"/>
                <w:szCs w:val="21"/>
                <w:highlight w:val="none"/>
              </w:rPr>
              <w:t>报价唯一</w:t>
            </w:r>
          </w:p>
        </w:tc>
        <w:tc>
          <w:tcPr>
            <w:tcW w:w="6645" w:type="dxa"/>
            <w:noWrap w:val="0"/>
            <w:vAlign w:val="center"/>
          </w:tcPr>
          <w:p w14:paraId="22E1C074">
            <w:pPr>
              <w:adjustRightInd w:val="0"/>
              <w:snapToGrid w:val="0"/>
              <w:spacing w:line="560" w:lineRule="exact"/>
              <w:jc w:val="left"/>
              <w:rPr>
                <w:rFonts w:ascii="宋体" w:hAnsi="宋体"/>
                <w:color w:val="auto"/>
                <w:szCs w:val="21"/>
                <w:highlight w:val="none"/>
              </w:rPr>
            </w:pPr>
            <w:r>
              <w:rPr>
                <w:rFonts w:hint="eastAsia" w:ascii="宋体" w:hAnsi="宋体"/>
                <w:color w:val="auto"/>
                <w:szCs w:val="21"/>
                <w:highlight w:val="none"/>
              </w:rPr>
              <w:t>只能有一个报价。</w:t>
            </w:r>
          </w:p>
        </w:tc>
      </w:tr>
      <w:tr w14:paraId="75DEA0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881" w:type="dxa"/>
            <w:vMerge w:val="restart"/>
            <w:noWrap w:val="0"/>
            <w:vAlign w:val="center"/>
          </w:tcPr>
          <w:p w14:paraId="0A514A4E">
            <w:pPr>
              <w:adjustRightInd w:val="0"/>
              <w:snapToGrid w:val="0"/>
              <w:spacing w:line="560" w:lineRule="exact"/>
              <w:jc w:val="center"/>
              <w:rPr>
                <w:rFonts w:ascii="宋体" w:hAnsi="宋体"/>
                <w:color w:val="auto"/>
                <w:szCs w:val="21"/>
                <w:highlight w:val="none"/>
              </w:rPr>
            </w:pPr>
            <w:r>
              <w:rPr>
                <w:rFonts w:ascii="宋体" w:hAnsi="宋体"/>
                <w:color w:val="auto"/>
                <w:szCs w:val="21"/>
                <w:highlight w:val="none"/>
              </w:rPr>
              <w:t>4.2.2</w:t>
            </w:r>
          </w:p>
        </w:tc>
        <w:tc>
          <w:tcPr>
            <w:tcW w:w="780" w:type="dxa"/>
            <w:vMerge w:val="restart"/>
            <w:noWrap w:val="0"/>
            <w:vAlign w:val="center"/>
          </w:tcPr>
          <w:p w14:paraId="7BDDFDBC">
            <w:pPr>
              <w:adjustRightInd w:val="0"/>
              <w:snapToGrid w:val="0"/>
              <w:spacing w:line="560" w:lineRule="exact"/>
              <w:rPr>
                <w:rFonts w:ascii="宋体" w:hAnsi="宋体"/>
                <w:color w:val="auto"/>
                <w:szCs w:val="21"/>
                <w:highlight w:val="none"/>
              </w:rPr>
            </w:pPr>
            <w:r>
              <w:rPr>
                <w:rFonts w:hint="eastAsia" w:ascii="宋体" w:hAnsi="宋体"/>
                <w:color w:val="auto"/>
                <w:szCs w:val="21"/>
                <w:highlight w:val="none"/>
              </w:rPr>
              <w:t>响应性评审标准</w:t>
            </w:r>
          </w:p>
          <w:p w14:paraId="56239BC0">
            <w:pPr>
              <w:adjustRightInd w:val="0"/>
              <w:snapToGrid w:val="0"/>
              <w:spacing w:line="560" w:lineRule="exact"/>
              <w:jc w:val="center"/>
              <w:rPr>
                <w:rFonts w:ascii="宋体" w:hAnsi="宋体"/>
                <w:color w:val="auto"/>
                <w:szCs w:val="21"/>
                <w:highlight w:val="none"/>
              </w:rPr>
            </w:pPr>
          </w:p>
        </w:tc>
        <w:tc>
          <w:tcPr>
            <w:tcW w:w="1980" w:type="dxa"/>
            <w:noWrap w:val="0"/>
            <w:vAlign w:val="center"/>
          </w:tcPr>
          <w:p w14:paraId="2D47C8F8">
            <w:pPr>
              <w:adjustRightInd w:val="0"/>
              <w:snapToGrid w:val="0"/>
              <w:spacing w:line="560" w:lineRule="exact"/>
              <w:jc w:val="left"/>
              <w:rPr>
                <w:rFonts w:ascii="宋体" w:hAnsi="宋体"/>
                <w:color w:val="auto"/>
                <w:szCs w:val="21"/>
                <w:highlight w:val="none"/>
              </w:rPr>
            </w:pPr>
            <w:r>
              <w:rPr>
                <w:rFonts w:hint="eastAsia" w:ascii="宋体" w:hAnsi="宋体"/>
                <w:color w:val="auto"/>
                <w:szCs w:val="21"/>
                <w:highlight w:val="none"/>
              </w:rPr>
              <w:t>工期</w:t>
            </w:r>
          </w:p>
        </w:tc>
        <w:tc>
          <w:tcPr>
            <w:tcW w:w="6645" w:type="dxa"/>
            <w:noWrap w:val="0"/>
            <w:vAlign w:val="center"/>
          </w:tcPr>
          <w:p w14:paraId="7DDAFEE7">
            <w:pPr>
              <w:adjustRightInd w:val="0"/>
              <w:snapToGrid w:val="0"/>
              <w:spacing w:line="560" w:lineRule="exact"/>
              <w:rPr>
                <w:rFonts w:ascii="宋体" w:hAnsi="宋体"/>
                <w:color w:val="auto"/>
                <w:szCs w:val="21"/>
                <w:highlight w:val="none"/>
              </w:rPr>
            </w:pPr>
            <w:r>
              <w:rPr>
                <w:rFonts w:hint="eastAsia" w:ascii="宋体" w:hAnsi="宋体"/>
                <w:color w:val="auto"/>
                <w:szCs w:val="21"/>
                <w:highlight w:val="none"/>
              </w:rPr>
              <w:t>符合投标须知前附表规定。</w:t>
            </w:r>
          </w:p>
        </w:tc>
      </w:tr>
      <w:tr w14:paraId="35C2A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jc w:val="center"/>
        </w:trPr>
        <w:tc>
          <w:tcPr>
            <w:tcW w:w="881" w:type="dxa"/>
            <w:vMerge w:val="continue"/>
            <w:noWrap w:val="0"/>
            <w:vAlign w:val="center"/>
          </w:tcPr>
          <w:p w14:paraId="09742E83">
            <w:pPr>
              <w:widowControl/>
              <w:adjustRightInd w:val="0"/>
              <w:snapToGrid w:val="0"/>
              <w:spacing w:line="560" w:lineRule="exact"/>
              <w:jc w:val="left"/>
              <w:rPr>
                <w:rFonts w:ascii="宋体" w:hAnsi="宋体"/>
                <w:color w:val="auto"/>
                <w:szCs w:val="21"/>
                <w:highlight w:val="none"/>
              </w:rPr>
            </w:pPr>
          </w:p>
        </w:tc>
        <w:tc>
          <w:tcPr>
            <w:tcW w:w="780" w:type="dxa"/>
            <w:vMerge w:val="continue"/>
            <w:noWrap w:val="0"/>
            <w:vAlign w:val="center"/>
          </w:tcPr>
          <w:p w14:paraId="4CDE5951">
            <w:pPr>
              <w:widowControl/>
              <w:adjustRightInd w:val="0"/>
              <w:snapToGrid w:val="0"/>
              <w:spacing w:line="560" w:lineRule="exact"/>
              <w:jc w:val="left"/>
              <w:rPr>
                <w:rFonts w:ascii="宋体" w:hAnsi="宋体"/>
                <w:color w:val="auto"/>
                <w:szCs w:val="21"/>
                <w:highlight w:val="none"/>
              </w:rPr>
            </w:pPr>
          </w:p>
        </w:tc>
        <w:tc>
          <w:tcPr>
            <w:tcW w:w="1980" w:type="dxa"/>
            <w:noWrap w:val="0"/>
            <w:vAlign w:val="center"/>
          </w:tcPr>
          <w:p w14:paraId="3C8C5A6E">
            <w:pPr>
              <w:adjustRightInd w:val="0"/>
              <w:snapToGrid w:val="0"/>
              <w:spacing w:line="560" w:lineRule="exact"/>
              <w:rPr>
                <w:rFonts w:ascii="宋体" w:hAnsi="宋体"/>
                <w:color w:val="auto"/>
                <w:szCs w:val="21"/>
                <w:highlight w:val="none"/>
              </w:rPr>
            </w:pPr>
            <w:r>
              <w:rPr>
                <w:rFonts w:hint="eastAsia" w:ascii="宋体" w:hAnsi="宋体"/>
                <w:color w:val="auto"/>
                <w:szCs w:val="21"/>
                <w:highlight w:val="none"/>
              </w:rPr>
              <w:t>工程质量</w:t>
            </w:r>
          </w:p>
        </w:tc>
        <w:tc>
          <w:tcPr>
            <w:tcW w:w="6645" w:type="dxa"/>
            <w:noWrap w:val="0"/>
            <w:vAlign w:val="center"/>
          </w:tcPr>
          <w:p w14:paraId="6447E52C">
            <w:pPr>
              <w:adjustRightInd w:val="0"/>
              <w:snapToGrid w:val="0"/>
              <w:spacing w:line="560" w:lineRule="exact"/>
              <w:rPr>
                <w:rFonts w:ascii="宋体" w:hAnsi="宋体"/>
                <w:color w:val="auto"/>
                <w:szCs w:val="21"/>
                <w:highlight w:val="none"/>
              </w:rPr>
            </w:pPr>
            <w:r>
              <w:rPr>
                <w:rFonts w:hint="eastAsia" w:ascii="宋体" w:hAnsi="宋体"/>
                <w:color w:val="auto"/>
                <w:szCs w:val="21"/>
                <w:highlight w:val="none"/>
              </w:rPr>
              <w:t>符合投标须知前附表规定。</w:t>
            </w:r>
          </w:p>
        </w:tc>
      </w:tr>
      <w:tr w14:paraId="3A76A1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jc w:val="center"/>
        </w:trPr>
        <w:tc>
          <w:tcPr>
            <w:tcW w:w="881" w:type="dxa"/>
            <w:vMerge w:val="continue"/>
            <w:noWrap w:val="0"/>
            <w:vAlign w:val="center"/>
          </w:tcPr>
          <w:p w14:paraId="4711A160">
            <w:pPr>
              <w:widowControl/>
              <w:adjustRightInd w:val="0"/>
              <w:snapToGrid w:val="0"/>
              <w:spacing w:line="560" w:lineRule="exact"/>
              <w:jc w:val="left"/>
              <w:rPr>
                <w:rFonts w:ascii="宋体" w:hAnsi="宋体"/>
                <w:color w:val="auto"/>
                <w:szCs w:val="21"/>
                <w:highlight w:val="none"/>
              </w:rPr>
            </w:pPr>
          </w:p>
        </w:tc>
        <w:tc>
          <w:tcPr>
            <w:tcW w:w="780" w:type="dxa"/>
            <w:vMerge w:val="continue"/>
            <w:noWrap w:val="0"/>
            <w:vAlign w:val="center"/>
          </w:tcPr>
          <w:p w14:paraId="6A9B59E2">
            <w:pPr>
              <w:widowControl/>
              <w:adjustRightInd w:val="0"/>
              <w:snapToGrid w:val="0"/>
              <w:spacing w:line="560" w:lineRule="exact"/>
              <w:jc w:val="left"/>
              <w:rPr>
                <w:rFonts w:ascii="宋体" w:hAnsi="宋体"/>
                <w:color w:val="auto"/>
                <w:szCs w:val="21"/>
                <w:highlight w:val="none"/>
              </w:rPr>
            </w:pPr>
          </w:p>
        </w:tc>
        <w:tc>
          <w:tcPr>
            <w:tcW w:w="1980" w:type="dxa"/>
            <w:noWrap w:val="0"/>
            <w:vAlign w:val="center"/>
          </w:tcPr>
          <w:p w14:paraId="540B66D5">
            <w:pPr>
              <w:adjustRightInd w:val="0"/>
              <w:snapToGrid w:val="0"/>
              <w:spacing w:line="560" w:lineRule="exact"/>
              <w:rPr>
                <w:rFonts w:ascii="宋体" w:hAnsi="宋体"/>
                <w:color w:val="auto"/>
                <w:szCs w:val="21"/>
                <w:highlight w:val="none"/>
              </w:rPr>
            </w:pPr>
            <w:r>
              <w:rPr>
                <w:rFonts w:hint="eastAsia" w:ascii="宋体" w:hAnsi="宋体"/>
                <w:color w:val="auto"/>
                <w:szCs w:val="21"/>
                <w:highlight w:val="none"/>
              </w:rPr>
              <w:t>投标有效期</w:t>
            </w:r>
          </w:p>
        </w:tc>
        <w:tc>
          <w:tcPr>
            <w:tcW w:w="6645" w:type="dxa"/>
            <w:noWrap w:val="0"/>
            <w:vAlign w:val="center"/>
          </w:tcPr>
          <w:p w14:paraId="6B99D234">
            <w:pPr>
              <w:adjustRightInd w:val="0"/>
              <w:snapToGrid w:val="0"/>
              <w:spacing w:line="560" w:lineRule="exact"/>
              <w:rPr>
                <w:rFonts w:ascii="宋体" w:hAnsi="宋体"/>
                <w:color w:val="auto"/>
                <w:szCs w:val="21"/>
                <w:highlight w:val="none"/>
              </w:rPr>
            </w:pPr>
            <w:r>
              <w:rPr>
                <w:rFonts w:hint="eastAsia" w:ascii="宋体" w:hAnsi="宋体"/>
                <w:color w:val="auto"/>
                <w:szCs w:val="21"/>
                <w:highlight w:val="none"/>
              </w:rPr>
              <w:t>符合投标须知前附表规定。</w:t>
            </w:r>
          </w:p>
        </w:tc>
      </w:tr>
      <w:tr w14:paraId="293C62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881" w:type="dxa"/>
            <w:vMerge w:val="continue"/>
            <w:noWrap w:val="0"/>
            <w:vAlign w:val="center"/>
          </w:tcPr>
          <w:p w14:paraId="4EC241EA">
            <w:pPr>
              <w:widowControl/>
              <w:adjustRightInd w:val="0"/>
              <w:snapToGrid w:val="0"/>
              <w:spacing w:line="560" w:lineRule="exact"/>
              <w:jc w:val="left"/>
              <w:rPr>
                <w:rFonts w:ascii="宋体" w:hAnsi="宋体"/>
                <w:color w:val="auto"/>
                <w:szCs w:val="21"/>
                <w:highlight w:val="none"/>
              </w:rPr>
            </w:pPr>
          </w:p>
        </w:tc>
        <w:tc>
          <w:tcPr>
            <w:tcW w:w="780" w:type="dxa"/>
            <w:vMerge w:val="continue"/>
            <w:noWrap w:val="0"/>
            <w:vAlign w:val="center"/>
          </w:tcPr>
          <w:p w14:paraId="32F31F60">
            <w:pPr>
              <w:widowControl/>
              <w:adjustRightInd w:val="0"/>
              <w:snapToGrid w:val="0"/>
              <w:spacing w:line="560" w:lineRule="exact"/>
              <w:jc w:val="left"/>
              <w:rPr>
                <w:rFonts w:ascii="宋体" w:hAnsi="宋体"/>
                <w:color w:val="auto"/>
                <w:szCs w:val="21"/>
                <w:highlight w:val="none"/>
              </w:rPr>
            </w:pPr>
          </w:p>
        </w:tc>
        <w:tc>
          <w:tcPr>
            <w:tcW w:w="1980" w:type="dxa"/>
            <w:noWrap w:val="0"/>
            <w:vAlign w:val="center"/>
          </w:tcPr>
          <w:p w14:paraId="74F0C58C">
            <w:pPr>
              <w:adjustRightInd w:val="0"/>
              <w:snapToGrid w:val="0"/>
              <w:spacing w:line="560" w:lineRule="exact"/>
              <w:rPr>
                <w:rFonts w:ascii="宋体" w:hAnsi="宋体"/>
                <w:color w:val="auto"/>
                <w:szCs w:val="21"/>
                <w:highlight w:val="none"/>
              </w:rPr>
            </w:pPr>
            <w:r>
              <w:rPr>
                <w:rFonts w:hint="eastAsia" w:ascii="宋体" w:hAnsi="宋体"/>
                <w:color w:val="auto"/>
                <w:szCs w:val="21"/>
                <w:highlight w:val="none"/>
              </w:rPr>
              <w:t>工程成本评审</w:t>
            </w:r>
          </w:p>
        </w:tc>
        <w:tc>
          <w:tcPr>
            <w:tcW w:w="6645" w:type="dxa"/>
            <w:noWrap w:val="0"/>
            <w:vAlign w:val="center"/>
          </w:tcPr>
          <w:p w14:paraId="57798C55">
            <w:pPr>
              <w:adjustRightInd w:val="0"/>
              <w:snapToGrid w:val="0"/>
              <w:spacing w:line="560" w:lineRule="exact"/>
              <w:rPr>
                <w:rFonts w:ascii="宋体" w:hAnsi="宋体"/>
                <w:color w:val="auto"/>
                <w:szCs w:val="21"/>
                <w:highlight w:val="none"/>
              </w:rPr>
            </w:pPr>
            <w:r>
              <w:rPr>
                <w:rFonts w:hint="eastAsia"/>
                <w:color w:val="auto"/>
                <w:highlight w:val="none"/>
              </w:rPr>
              <w:t>投标报价</w:t>
            </w:r>
            <w:r>
              <w:rPr>
                <w:rFonts w:hint="eastAsia" w:ascii="宋体" w:hAnsi="宋体"/>
                <w:color w:val="auto"/>
                <w:szCs w:val="21"/>
                <w:highlight w:val="none"/>
              </w:rPr>
              <w:t>低于同一工程</w:t>
            </w:r>
            <w:r>
              <w:rPr>
                <w:rFonts w:hint="eastAsia"/>
                <w:color w:val="auto"/>
                <w:highlight w:val="none"/>
              </w:rPr>
              <w:t>投标报价</w:t>
            </w:r>
            <w:r>
              <w:rPr>
                <w:rFonts w:hint="eastAsia" w:ascii="宋体" w:hAnsi="宋体"/>
                <w:color w:val="auto"/>
                <w:szCs w:val="21"/>
                <w:highlight w:val="none"/>
              </w:rPr>
              <w:t>平均值10%以上的，由评标委员会重点评审后界定其报价是否低于工程成本。</w:t>
            </w:r>
          </w:p>
        </w:tc>
      </w:tr>
      <w:tr w14:paraId="37755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81" w:type="dxa"/>
            <w:noWrap w:val="0"/>
            <w:vAlign w:val="center"/>
          </w:tcPr>
          <w:p w14:paraId="1FEEBE42">
            <w:pPr>
              <w:adjustRightInd w:val="0"/>
              <w:snapToGrid w:val="0"/>
              <w:spacing w:line="560" w:lineRule="exact"/>
              <w:jc w:val="center"/>
              <w:rPr>
                <w:rFonts w:ascii="宋体" w:hAnsi="宋体"/>
                <w:color w:val="auto"/>
                <w:szCs w:val="21"/>
                <w:highlight w:val="none"/>
              </w:rPr>
            </w:pPr>
            <w:r>
              <w:rPr>
                <w:rFonts w:ascii="宋体" w:hAnsi="宋体"/>
                <w:color w:val="auto"/>
                <w:szCs w:val="21"/>
                <w:highlight w:val="none"/>
              </w:rPr>
              <w:t>7</w:t>
            </w:r>
            <w:r>
              <w:rPr>
                <w:rFonts w:hint="eastAsia" w:ascii="宋体" w:hAnsi="宋体"/>
                <w:color w:val="auto"/>
                <w:szCs w:val="21"/>
                <w:highlight w:val="none"/>
              </w:rPr>
              <w:t>.1</w:t>
            </w:r>
          </w:p>
        </w:tc>
        <w:tc>
          <w:tcPr>
            <w:tcW w:w="780" w:type="dxa"/>
            <w:noWrap w:val="0"/>
            <w:vAlign w:val="center"/>
          </w:tcPr>
          <w:p w14:paraId="5B2DF935">
            <w:pPr>
              <w:adjustRightInd w:val="0"/>
              <w:snapToGrid w:val="0"/>
              <w:spacing w:line="560" w:lineRule="exact"/>
              <w:jc w:val="center"/>
              <w:rPr>
                <w:rFonts w:ascii="宋体" w:hAnsi="宋体"/>
                <w:color w:val="auto"/>
                <w:szCs w:val="21"/>
                <w:highlight w:val="none"/>
              </w:rPr>
            </w:pPr>
            <w:r>
              <w:rPr>
                <w:rFonts w:ascii="宋体" w:hAnsi="宋体"/>
                <w:color w:val="auto"/>
                <w:szCs w:val="21"/>
                <w:highlight w:val="none"/>
              </w:rPr>
              <w:t>商务</w:t>
            </w:r>
          </w:p>
          <w:p w14:paraId="4C22D19D">
            <w:pPr>
              <w:adjustRightInd w:val="0"/>
              <w:snapToGrid w:val="0"/>
              <w:spacing w:line="560" w:lineRule="exact"/>
              <w:jc w:val="center"/>
              <w:rPr>
                <w:rFonts w:ascii="宋体" w:hAnsi="宋体"/>
                <w:color w:val="auto"/>
                <w:szCs w:val="21"/>
                <w:highlight w:val="none"/>
              </w:rPr>
            </w:pPr>
            <w:r>
              <w:rPr>
                <w:rFonts w:ascii="宋体" w:hAnsi="宋体"/>
                <w:color w:val="auto"/>
                <w:szCs w:val="21"/>
                <w:highlight w:val="none"/>
              </w:rPr>
              <w:t>评分</w:t>
            </w:r>
          </w:p>
          <w:p w14:paraId="3807F122">
            <w:pPr>
              <w:adjustRightInd w:val="0"/>
              <w:snapToGrid w:val="0"/>
              <w:spacing w:line="560" w:lineRule="exact"/>
              <w:jc w:val="center"/>
              <w:rPr>
                <w:rFonts w:ascii="宋体" w:hAnsi="宋体"/>
                <w:color w:val="auto"/>
                <w:szCs w:val="21"/>
                <w:highlight w:val="none"/>
              </w:rPr>
            </w:pPr>
            <w:r>
              <w:rPr>
                <w:rFonts w:ascii="宋体" w:hAnsi="宋体"/>
                <w:color w:val="auto"/>
                <w:szCs w:val="21"/>
                <w:highlight w:val="none"/>
              </w:rPr>
              <w:t>（</w:t>
            </w:r>
            <w:r>
              <w:rPr>
                <w:rFonts w:hint="eastAsia" w:ascii="宋体" w:hAnsi="宋体"/>
                <w:color w:val="auto"/>
                <w:szCs w:val="21"/>
                <w:highlight w:val="none"/>
                <w:lang w:val="en-US" w:eastAsia="zh-CN"/>
              </w:rPr>
              <w:t>90</w:t>
            </w:r>
            <w:r>
              <w:rPr>
                <w:rFonts w:ascii="宋体" w:hAnsi="宋体"/>
                <w:color w:val="auto"/>
                <w:szCs w:val="21"/>
                <w:highlight w:val="none"/>
              </w:rPr>
              <w:t>分）</w:t>
            </w:r>
          </w:p>
        </w:tc>
        <w:tc>
          <w:tcPr>
            <w:tcW w:w="8625" w:type="dxa"/>
            <w:gridSpan w:val="2"/>
            <w:noWrap w:val="0"/>
            <w:vAlign w:val="center"/>
          </w:tcPr>
          <w:p w14:paraId="2D5A9941">
            <w:pPr>
              <w:spacing w:line="560" w:lineRule="exact"/>
              <w:ind w:firstLine="420" w:firstLineChars="200"/>
              <w:rPr>
                <w:rFonts w:hint="eastAsia" w:ascii="宋体" w:hAnsi="宋体" w:cs="宋体"/>
                <w:color w:val="auto"/>
                <w:highlight w:val="none"/>
              </w:rPr>
            </w:pPr>
            <w:r>
              <w:rPr>
                <w:rFonts w:hint="eastAsia" w:ascii="宋体" w:hAnsi="宋体" w:cs="宋体"/>
                <w:color w:val="auto"/>
                <w:highlight w:val="none"/>
              </w:rPr>
              <w:t>商务标评分按下列步骤计算：</w:t>
            </w:r>
          </w:p>
          <w:p w14:paraId="3E6A5535">
            <w:pPr>
              <w:spacing w:line="560" w:lineRule="exact"/>
              <w:ind w:firstLine="420" w:firstLineChars="200"/>
              <w:rPr>
                <w:rFonts w:hint="eastAsia" w:ascii="宋体" w:hAnsi="宋体" w:cs="宋体"/>
                <w:color w:val="auto"/>
                <w:highlight w:val="none"/>
              </w:rPr>
            </w:pPr>
            <w:r>
              <w:rPr>
                <w:rFonts w:hint="eastAsia" w:ascii="宋体" w:hAnsi="宋体" w:cs="宋体"/>
                <w:color w:val="auto"/>
                <w:highlight w:val="none"/>
              </w:rPr>
              <w:t>第一步：计算B值。</w:t>
            </w:r>
          </w:p>
          <w:p w14:paraId="773931F7">
            <w:pPr>
              <w:spacing w:line="5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①B</w:t>
            </w:r>
            <w:r>
              <w:rPr>
                <w:rFonts w:hint="eastAsia" w:ascii="宋体" w:hAnsi="宋体" w:cs="宋体"/>
                <w:color w:val="auto"/>
                <w:kern w:val="0"/>
                <w:szCs w:val="21"/>
                <w:highlight w:val="none"/>
              </w:rPr>
              <w:t>值</w:t>
            </w:r>
            <w:r>
              <w:rPr>
                <w:rFonts w:hint="eastAsia" w:ascii="宋体" w:hAnsi="宋体" w:cs="宋体"/>
                <w:color w:val="auto"/>
                <w:szCs w:val="21"/>
                <w:highlight w:val="none"/>
              </w:rPr>
              <w:t>为计算范围内有效投标人报价的算术平均值。</w:t>
            </w:r>
          </w:p>
          <w:p w14:paraId="4538732A">
            <w:pPr>
              <w:spacing w:line="5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第二步：计算评标基准价F值。</w:t>
            </w:r>
          </w:p>
          <w:p w14:paraId="2A436454">
            <w:pPr>
              <w:spacing w:line="5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①F=B×（1-K），其中K为调整系数，K的取值为-0.5%（1号），0%（2号），0.5%（3号），1.0%（4号），1.5%（5号）。</w:t>
            </w:r>
          </w:p>
          <w:p w14:paraId="5BB4F0A3">
            <w:pPr>
              <w:spacing w:line="5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第三步：计算报价偏差率。</w:t>
            </w:r>
          </w:p>
          <w:p w14:paraId="502F1F57">
            <w:pPr>
              <w:spacing w:line="5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①偏差率=|（投标报价-评标基准价）/评标基准价|×100%</w:t>
            </w:r>
          </w:p>
          <w:p w14:paraId="6089BC26">
            <w:pPr>
              <w:spacing w:line="5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第四步：计算报价得分</w:t>
            </w:r>
          </w:p>
          <w:p w14:paraId="59A3EB57">
            <w:pPr>
              <w:spacing w:line="5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①投标报价等于评标基准价的得满分。</w:t>
            </w:r>
          </w:p>
          <w:p w14:paraId="5C45B6BB">
            <w:pPr>
              <w:spacing w:line="560" w:lineRule="exact"/>
              <w:ind w:firstLine="420" w:firstLineChars="200"/>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rPr>
              <w:t>②投标报价高于评标基准价的，投标报价得分=报价满分值-偏差率×100×</w:t>
            </w:r>
            <w:r>
              <w:rPr>
                <w:rFonts w:hint="eastAsia" w:ascii="宋体" w:hAnsi="宋体" w:cs="宋体"/>
                <w:color w:val="auto"/>
                <w:szCs w:val="21"/>
                <w:highlight w:val="none"/>
                <w:lang w:val="en-US" w:eastAsia="zh-CN"/>
              </w:rPr>
              <w:t>0.5</w:t>
            </w:r>
          </w:p>
          <w:p w14:paraId="1464FE66">
            <w:pPr>
              <w:spacing w:line="5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③投标报价低于评标基准价的，投标报价得分=报价满分值-偏差率×100×0.</w:t>
            </w: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5</w:t>
            </w:r>
          </w:p>
          <w:p w14:paraId="701AE7E0">
            <w:pPr>
              <w:pStyle w:val="14"/>
              <w:adjustRightInd w:val="0"/>
              <w:snapToGrid w:val="0"/>
              <w:spacing w:after="0" w:line="560" w:lineRule="exact"/>
              <w:ind w:left="0" w:leftChars="0" w:firstLine="422" w:firstLineChars="0"/>
              <w:jc w:val="left"/>
              <w:rPr>
                <w:color w:val="auto"/>
                <w:highlight w:val="none"/>
              </w:rPr>
            </w:pPr>
            <w:r>
              <w:rPr>
                <w:rFonts w:hint="eastAsia" w:ascii="宋体" w:hAnsi="宋体" w:cs="宋体"/>
                <w:b/>
                <w:color w:val="auto"/>
                <w:szCs w:val="21"/>
                <w:highlight w:val="none"/>
              </w:rPr>
              <w:t>注：计算过程中，B值、评标基准价F值、偏差率、报价得分均保留两位小数，小数点后第三位四舍五入。</w:t>
            </w:r>
          </w:p>
        </w:tc>
      </w:tr>
    </w:tbl>
    <w:p w14:paraId="13E59263">
      <w:pPr>
        <w:adjustRightInd w:val="0"/>
        <w:snapToGrid w:val="0"/>
        <w:spacing w:line="560" w:lineRule="exact"/>
        <w:ind w:firstLine="316" w:firstLineChars="150"/>
        <w:rPr>
          <w:rFonts w:hint="eastAsia" w:ascii="黑体" w:hAnsi="黑体" w:eastAsia="黑体" w:cs="黑体"/>
          <w:b/>
          <w:color w:val="auto"/>
          <w:szCs w:val="21"/>
          <w:highlight w:val="none"/>
        </w:rPr>
      </w:pPr>
      <w:r>
        <w:rPr>
          <w:rFonts w:hint="eastAsia" w:ascii="黑体" w:hAnsi="黑体" w:eastAsia="黑体" w:cs="黑体"/>
          <w:b/>
          <w:color w:val="auto"/>
          <w:szCs w:val="21"/>
          <w:highlight w:val="none"/>
        </w:rPr>
        <w:t>商务标评审表注：</w:t>
      </w:r>
    </w:p>
    <w:p w14:paraId="77C01149">
      <w:pPr>
        <w:adjustRightInd w:val="0"/>
        <w:snapToGrid w:val="0"/>
        <w:spacing w:line="5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val="en-US" w:eastAsia="zh-CN"/>
        </w:rPr>
        <w:t>1</w:t>
      </w:r>
      <w:r>
        <w:rPr>
          <w:rFonts w:hint="eastAsia" w:ascii="宋体" w:hAnsi="宋体" w:cs="宋体"/>
          <w:color w:val="auto"/>
          <w:szCs w:val="21"/>
          <w:highlight w:val="none"/>
        </w:rPr>
        <w:t>、只有通过详细评审的投标人才能参加评分。</w:t>
      </w:r>
    </w:p>
    <w:p w14:paraId="53BC5050">
      <w:pPr>
        <w:adjustRightInd w:val="0"/>
        <w:snapToGrid w:val="0"/>
        <w:spacing w:line="560" w:lineRule="exact"/>
        <w:ind w:firstLine="420" w:firstLineChars="200"/>
        <w:rPr>
          <w:rFonts w:hint="eastAsia" w:ascii="宋体" w:hAnsi="宋体" w:cs="宋体"/>
          <w:strike/>
          <w:dstrike w:val="0"/>
          <w:color w:val="auto"/>
          <w:szCs w:val="21"/>
          <w:highlight w:val="none"/>
        </w:rPr>
      </w:pP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、本表所称投标报价是指按招标文件规定修正后的投标总报价（多算投标报价、多报费用不扣减），报价以元为单位，保留两位小数，小数点后第三位四舍五入。</w:t>
      </w:r>
    </w:p>
    <w:p w14:paraId="524EA0C4">
      <w:pPr>
        <w:adjustRightInd w:val="0"/>
        <w:snapToGrid w:val="0"/>
        <w:spacing w:line="560" w:lineRule="exact"/>
        <w:ind w:firstLine="420" w:firstLineChars="200"/>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3</w:t>
      </w:r>
      <w:r>
        <w:rPr>
          <w:rFonts w:hint="eastAsia" w:ascii="宋体" w:hAnsi="宋体" w:eastAsia="宋体" w:cs="宋体"/>
          <w:color w:val="auto"/>
          <w:szCs w:val="21"/>
          <w:highlight w:val="none"/>
        </w:rPr>
        <w:t>、B 值计算方法：</w:t>
      </w:r>
    </w:p>
    <w:p w14:paraId="6C44C60B">
      <w:pPr>
        <w:adjustRightInd w:val="0"/>
        <w:snapToGrid w:val="0"/>
        <w:spacing w:line="56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（1）本项目 T 取值为</w:t>
      </w:r>
      <w:r>
        <w:rPr>
          <w:rFonts w:hint="eastAsia" w:ascii="宋体" w:hAnsi="宋体" w:cs="宋体"/>
          <w:color w:val="auto"/>
          <w:szCs w:val="21"/>
          <w:highlight w:val="none"/>
          <w:u w:val="single"/>
          <w:lang w:val="en-US" w:eastAsia="zh-CN"/>
        </w:rPr>
        <w:t>10</w:t>
      </w:r>
      <w:r>
        <w:rPr>
          <w:rFonts w:hint="eastAsia" w:ascii="宋体" w:hAnsi="宋体" w:eastAsia="宋体" w:cs="宋体"/>
          <w:color w:val="auto"/>
          <w:szCs w:val="21"/>
          <w:highlight w:val="none"/>
        </w:rPr>
        <w:t>。</w:t>
      </w:r>
    </w:p>
    <w:p w14:paraId="3B7E3A02">
      <w:pPr>
        <w:adjustRightInd w:val="0"/>
        <w:snapToGrid w:val="0"/>
        <w:spacing w:line="56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（2）投标报价不超过最高限价且资信合计分值大于等于所有通过（资信、商务）详细评审有效投标人资信平均分值的投标人数量为M。</w:t>
      </w:r>
    </w:p>
    <w:p w14:paraId="058CB3CC">
      <w:pPr>
        <w:adjustRightInd w:val="0"/>
        <w:snapToGrid w:val="0"/>
        <w:spacing w:line="56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（3）若M 未超过 T 时，B 值为符合上述条件的 M 个投标人投标报价的算术平均值。</w:t>
      </w:r>
    </w:p>
    <w:p w14:paraId="510A0D73">
      <w:pPr>
        <w:adjustRightInd w:val="0"/>
        <w:snapToGrid w:val="0"/>
        <w:spacing w:line="56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（4）若M 超过 T 时，B 值为符合上述条件的 M 个投标人投标报价中去除(M-T)/2【M-T 为奇数时，则为(M-T+1)/2】个最高价和(M-T)/2【M-T 为奇数时，则为(M-T-1)/2】个最低价后，剩余有效投标报价的算术平均值（如去高去低的最后一名存在报价相同的，则通过随机抽取确定被去除的投标人。只保留T个投标人的投标报价）。</w:t>
      </w:r>
    </w:p>
    <w:p w14:paraId="60DB574F">
      <w:pPr>
        <w:adjustRightInd w:val="0"/>
        <w:snapToGrid w:val="0"/>
        <w:spacing w:line="560" w:lineRule="exact"/>
        <w:ind w:firstLine="420" w:firstLineChars="200"/>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4</w:t>
      </w:r>
      <w:r>
        <w:rPr>
          <w:rFonts w:hint="eastAsia" w:ascii="宋体" w:hAnsi="宋体" w:eastAsia="宋体" w:cs="宋体"/>
          <w:color w:val="auto"/>
          <w:szCs w:val="21"/>
          <w:highlight w:val="none"/>
        </w:rPr>
        <w:t>、K值（评标基准价系数）的抽取：资信标、技术标、商务标详细评审完成后，招标人</w:t>
      </w:r>
      <w:r>
        <w:rPr>
          <w:rFonts w:hint="eastAsia" w:ascii="宋体" w:hAnsi="宋体" w:cs="宋体"/>
          <w:color w:val="auto"/>
          <w:szCs w:val="21"/>
          <w:highlight w:val="none"/>
          <w:lang w:val="en-US" w:eastAsia="zh-CN"/>
        </w:rPr>
        <w:t>现场</w:t>
      </w:r>
      <w:r>
        <w:rPr>
          <w:rFonts w:hint="eastAsia" w:ascii="宋体" w:hAnsi="宋体" w:eastAsia="宋体" w:cs="宋体"/>
          <w:color w:val="auto"/>
          <w:szCs w:val="21"/>
          <w:highlight w:val="none"/>
        </w:rPr>
        <w:t>抽取K值，并根据抽取的K值计算F值，评标办法中的评标基准价计算出来后，除数字计算错误外，其他情况均不再调整。</w:t>
      </w:r>
    </w:p>
    <w:p w14:paraId="26E54616">
      <w:pPr>
        <w:adjustRightInd w:val="0"/>
        <w:snapToGrid w:val="0"/>
        <w:spacing w:line="560" w:lineRule="exact"/>
        <w:ind w:firstLine="420" w:firstLineChars="200"/>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5</w:t>
      </w:r>
      <w:r>
        <w:rPr>
          <w:rFonts w:hint="eastAsia" w:ascii="宋体" w:hAnsi="宋体" w:eastAsia="宋体" w:cs="宋体"/>
          <w:color w:val="auto"/>
          <w:szCs w:val="21"/>
          <w:highlight w:val="none"/>
        </w:rPr>
        <w:t>、其他</w:t>
      </w:r>
    </w:p>
    <w:p w14:paraId="70F7A924">
      <w:pPr>
        <w:adjustRightInd w:val="0"/>
        <w:snapToGrid w:val="0"/>
        <w:spacing w:line="560" w:lineRule="exact"/>
        <w:ind w:firstLine="420" w:firstLineChars="200"/>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5</w:t>
      </w:r>
      <w:r>
        <w:rPr>
          <w:rFonts w:hint="eastAsia" w:ascii="宋体" w:hAnsi="宋体" w:eastAsia="宋体" w:cs="宋体"/>
          <w:color w:val="auto"/>
          <w:szCs w:val="21"/>
          <w:highlight w:val="none"/>
        </w:rPr>
        <w:t>.1 缺漏项金额是指投标人漏计招标人发布的清单项目，按最高投标限价对应清单综合单价计算缺漏金额。</w:t>
      </w:r>
    </w:p>
    <w:p w14:paraId="63107DE4">
      <w:pPr>
        <w:adjustRightInd w:val="0"/>
        <w:snapToGrid w:val="0"/>
        <w:spacing w:line="560" w:lineRule="exact"/>
        <w:ind w:firstLine="420" w:firstLineChars="200"/>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5</w:t>
      </w:r>
      <w:r>
        <w:rPr>
          <w:rFonts w:hint="eastAsia" w:ascii="宋体" w:hAnsi="宋体" w:eastAsia="宋体" w:cs="宋体"/>
          <w:color w:val="auto"/>
          <w:szCs w:val="21"/>
          <w:highlight w:val="none"/>
        </w:rPr>
        <w:t>.2 本表所述累计投标报价缺漏错总额占原投标报价格 5%以下者，视为投标人主动让利或包含在其他项目中，不修正总价，工程结算时亦不予调整。</w:t>
      </w:r>
    </w:p>
    <w:p w14:paraId="1D9AEA50">
      <w:pPr>
        <w:adjustRightInd w:val="0"/>
        <w:snapToGrid w:val="0"/>
        <w:spacing w:line="560" w:lineRule="exact"/>
        <w:ind w:firstLine="420" w:firstLineChars="200"/>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6</w:t>
      </w:r>
      <w:r>
        <w:rPr>
          <w:rFonts w:hint="eastAsia" w:ascii="宋体" w:hAnsi="宋体" w:eastAsia="宋体" w:cs="宋体"/>
          <w:color w:val="auto"/>
          <w:szCs w:val="21"/>
          <w:highlight w:val="none"/>
        </w:rPr>
        <w:t>、投标人的注册建造师必须满足相应建筑业企业资质标准要求，评标委员会在评审时，将对此进行评审。投标单位应在商务标文件中提供全国建筑市场监管公共服务平台(四库一平台)企业注册人员网页截图，未提供相关截图，按无效标处理。</w:t>
      </w:r>
    </w:p>
    <w:p w14:paraId="7E9F80EE">
      <w:pPr>
        <w:pStyle w:val="3"/>
        <w:pageBreakBefore w:val="0"/>
        <w:kinsoku/>
        <w:overflowPunct/>
        <w:topLinePunct w:val="0"/>
        <w:autoSpaceDE/>
        <w:autoSpaceDN/>
        <w:bidi w:val="0"/>
        <w:spacing w:beforeLines="50" w:afterLines="50" w:line="440" w:lineRule="exact"/>
        <w:ind w:firstLine="422" w:firstLineChars="200"/>
        <w:textAlignment w:val="auto"/>
        <w:rPr>
          <w:rFonts w:ascii="宋体" w:hAnsi="宋体" w:eastAsia="宋体" w:cs="宋体"/>
          <w:color w:val="auto"/>
          <w:highlight w:val="none"/>
        </w:rPr>
      </w:pPr>
      <w:r>
        <w:rPr>
          <w:rFonts w:hint="eastAsia" w:ascii="宋体" w:hAnsi="宋体" w:eastAsia="宋体" w:cs="宋体"/>
          <w:color w:val="auto"/>
          <w:highlight w:val="none"/>
        </w:rPr>
        <w:t>1.评标方法</w:t>
      </w:r>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p>
    <w:p w14:paraId="162D8EEC">
      <w:pPr>
        <w:pageBreakBefore w:val="0"/>
        <w:kinsoku/>
        <w:overflowPunct/>
        <w:topLinePunct w:val="0"/>
        <w:autoSpaceDE/>
        <w:autoSpaceDN/>
        <w:bidi w:val="0"/>
        <w:adjustRightInd w:val="0"/>
        <w:snapToGrid w:val="0"/>
        <w:spacing w:line="44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本次评标采用综合评估法。评标委员会对满足招标文件实质性要求的投标文件，按照本章规定的评分标准计算得分，并按总得分由高到低顺序推荐中标候选人（3名），并标明排序，但投标报价低于其成本的除外。如总得分相等，以投标报价低的优先，投标报价仍相等，由评标委员会主任委员或招标人随机抽取确定排名。</w:t>
      </w:r>
    </w:p>
    <w:p w14:paraId="2B6F7F43">
      <w:pPr>
        <w:pageBreakBefore w:val="0"/>
        <w:widowControl/>
        <w:kinsoku/>
        <w:overflowPunct/>
        <w:topLinePunct w:val="0"/>
        <w:autoSpaceDE/>
        <w:autoSpaceDN/>
        <w:bidi w:val="0"/>
        <w:adjustRightInd w:val="0"/>
        <w:snapToGrid w:val="0"/>
        <w:spacing w:line="44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1）根据评标委员会评审初步结论，项目单位（代理机构）对预中标候选人、法定代表人及其项目经理（建造师）是否存在招标文件要求查询的失信行为进行网上核查后，提交网站截图等查询记录给评标委员会复核。若核查结果不符合招标文件规定的投标人资格条件信誉要求，由评标委员会取消其预中标候选人资格，并依次替补，再次对替补单位进行核查。如评标现场未发现问题但标后质疑（异议）、投诉发现中标候选人存在信誉问题，则组织评标委员会重新启动复核程序。核查结果不改变原评标基准价。</w:t>
      </w:r>
    </w:p>
    <w:p w14:paraId="3785A2C6">
      <w:pPr>
        <w:pageBreakBefore w:val="0"/>
        <w:kinsoku/>
        <w:wordWrap w:val="0"/>
        <w:overflowPunct/>
        <w:topLinePunct w:val="0"/>
        <w:autoSpaceDE/>
        <w:autoSpaceDN/>
        <w:bidi w:val="0"/>
        <w:adjustRightInd w:val="0"/>
        <w:snapToGrid w:val="0"/>
        <w:spacing w:line="44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（2）评标委员会登录全国建筑市场监管公共服务平台(四库-平台)https://jzsc.mohurd.gov.cn/home 进行实时查询，并结合《住房城乡建设部关于进一步加强建设工程企业资质审批管理工作的通知》（建市规〔2023〕3号）、《住房和城乡建设部办公厅关于建设工程企业资质有关事项的通知》（建办市函〔2022〕361号）和安徽省住建厅《关于建设工程企业资质有关事宜的通知》（建市函〔2022〕748 号），对中标候选人的关系企业履约能力的建造师数量进行评审：</w:t>
      </w:r>
    </w:p>
    <w:p w14:paraId="5939E452">
      <w:pPr>
        <w:pageBreakBefore w:val="0"/>
        <w:widowControl/>
        <w:kinsoku/>
        <w:overflowPunct/>
        <w:topLinePunct w:val="0"/>
        <w:autoSpaceDE/>
        <w:autoSpaceDN/>
        <w:bidi w:val="0"/>
        <w:adjustRightInd w:val="0"/>
        <w:snapToGrid w:val="0"/>
        <w:spacing w:line="440" w:lineRule="exact"/>
        <w:ind w:firstLine="420" w:firstLineChars="200"/>
        <w:jc w:val="left"/>
        <w:textAlignment w:val="auto"/>
        <w:rPr>
          <w:rFonts w:hint="eastAsia" w:ascii="宋体" w:hAnsi="宋体" w:cs="宋体"/>
          <w:color w:val="auto"/>
          <w:szCs w:val="21"/>
          <w:highlight w:val="none"/>
        </w:rPr>
      </w:pPr>
      <w:r>
        <w:rPr>
          <w:rFonts w:hint="eastAsia" w:ascii="宋体" w:hAnsi="宋体" w:eastAsia="宋体" w:cs="宋体"/>
          <w:color w:val="auto"/>
          <w:szCs w:val="21"/>
          <w:highlight w:val="none"/>
        </w:rPr>
        <w:t>①</w:t>
      </w:r>
      <w:r>
        <w:rPr>
          <w:rFonts w:hint="eastAsia" w:ascii="宋体" w:hAnsi="宋体" w:eastAsia="宋体" w:cs="宋体"/>
          <w:color w:val="auto"/>
          <w:szCs w:val="21"/>
          <w:highlight w:val="none"/>
          <w:lang w:val="en-US" w:eastAsia="zh-CN"/>
        </w:rPr>
        <w:t>电力</w:t>
      </w:r>
      <w:r>
        <w:rPr>
          <w:rFonts w:hint="eastAsia" w:ascii="宋体" w:hAnsi="宋体" w:eastAsia="宋体" w:cs="宋体"/>
          <w:color w:val="auto"/>
          <w:szCs w:val="21"/>
          <w:highlight w:val="none"/>
        </w:rPr>
        <w:t>工程施工总承包特级资质企业：注册一级建造师50人以上</w:t>
      </w:r>
      <w:r>
        <w:rPr>
          <w:rFonts w:hint="eastAsia" w:ascii="宋体" w:hAnsi="宋体" w:cs="宋体"/>
          <w:color w:val="auto"/>
          <w:szCs w:val="21"/>
          <w:highlight w:val="none"/>
        </w:rPr>
        <w:t>。</w:t>
      </w:r>
    </w:p>
    <w:p w14:paraId="6D5A37E2">
      <w:pPr>
        <w:pageBreakBefore w:val="0"/>
        <w:widowControl/>
        <w:kinsoku/>
        <w:overflowPunct/>
        <w:topLinePunct w:val="0"/>
        <w:autoSpaceDE/>
        <w:autoSpaceDN/>
        <w:bidi w:val="0"/>
        <w:adjustRightInd w:val="0"/>
        <w:snapToGrid w:val="0"/>
        <w:spacing w:line="440" w:lineRule="exact"/>
        <w:ind w:firstLine="420" w:firstLineChars="200"/>
        <w:jc w:val="left"/>
        <w:textAlignment w:val="auto"/>
        <w:rPr>
          <w:rFonts w:hint="eastAsia" w:ascii="宋体" w:hAnsi="宋体" w:cs="宋体"/>
          <w:color w:val="auto"/>
          <w:szCs w:val="21"/>
          <w:highlight w:val="none"/>
        </w:rPr>
      </w:pPr>
      <w:r>
        <w:rPr>
          <w:rFonts w:hint="eastAsia" w:ascii="仿宋_GB2312" w:hAnsi="宋体" w:eastAsia="仿宋_GB2312" w:cs="宋体"/>
          <w:color w:val="auto"/>
          <w:szCs w:val="21"/>
          <w:highlight w:val="none"/>
        </w:rPr>
        <w:t>②</w:t>
      </w:r>
      <w:r>
        <w:rPr>
          <w:rFonts w:hint="eastAsia" w:ascii="宋体" w:hAnsi="宋体" w:eastAsia="宋体" w:cs="宋体"/>
          <w:color w:val="auto"/>
          <w:szCs w:val="21"/>
          <w:highlight w:val="none"/>
          <w:lang w:val="en-US" w:eastAsia="zh-CN"/>
        </w:rPr>
        <w:t>电力</w:t>
      </w:r>
      <w:r>
        <w:rPr>
          <w:rFonts w:hint="eastAsia" w:ascii="宋体" w:hAnsi="宋体" w:eastAsia="宋体" w:cs="宋体"/>
          <w:color w:val="auto"/>
          <w:szCs w:val="21"/>
          <w:highlight w:val="none"/>
        </w:rPr>
        <w:t>工程</w:t>
      </w:r>
      <w:r>
        <w:rPr>
          <w:rFonts w:hint="eastAsia" w:ascii="宋体" w:hAnsi="宋体" w:cs="宋体"/>
          <w:color w:val="auto"/>
          <w:szCs w:val="21"/>
          <w:highlight w:val="none"/>
        </w:rPr>
        <w:t>施工总承包壹级资质企业：</w:t>
      </w:r>
      <w:r>
        <w:rPr>
          <w:rFonts w:hint="eastAsia"/>
          <w:color w:val="auto"/>
          <w:szCs w:val="21"/>
          <w:highlight w:val="none"/>
        </w:rPr>
        <w:t>机电工程专业一级注册建造师</w:t>
      </w:r>
      <w:r>
        <w:rPr>
          <w:rFonts w:hint="eastAsia" w:ascii="宋体" w:hAnsi="宋体" w:cs="宋体"/>
          <w:color w:val="auto"/>
          <w:szCs w:val="21"/>
          <w:highlight w:val="none"/>
        </w:rPr>
        <w:t>不少于1</w:t>
      </w: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人。</w:t>
      </w:r>
    </w:p>
    <w:p w14:paraId="548E5C49">
      <w:pPr>
        <w:pageBreakBefore w:val="0"/>
        <w:widowControl/>
        <w:kinsoku/>
        <w:overflowPunct/>
        <w:topLinePunct w:val="0"/>
        <w:autoSpaceDE/>
        <w:autoSpaceDN/>
        <w:bidi w:val="0"/>
        <w:adjustRightInd w:val="0"/>
        <w:snapToGrid w:val="0"/>
        <w:spacing w:line="440" w:lineRule="exact"/>
        <w:ind w:firstLine="420" w:firstLineChars="200"/>
        <w:jc w:val="left"/>
        <w:textAlignment w:val="auto"/>
        <w:rPr>
          <w:rFonts w:hint="eastAsia" w:ascii="宋体" w:hAnsi="宋体" w:cs="宋体"/>
          <w:color w:val="auto"/>
          <w:szCs w:val="21"/>
          <w:highlight w:val="none"/>
        </w:rPr>
      </w:pPr>
      <w:r>
        <w:rPr>
          <w:rFonts w:hint="eastAsia" w:ascii="仿宋_GB2312" w:hAnsi="宋体" w:eastAsia="仿宋_GB2312" w:cs="宋体"/>
          <w:color w:val="auto"/>
          <w:szCs w:val="21"/>
          <w:highlight w:val="none"/>
        </w:rPr>
        <w:t>③</w:t>
      </w:r>
      <w:r>
        <w:rPr>
          <w:rFonts w:hint="eastAsia" w:ascii="宋体" w:hAnsi="宋体" w:eastAsia="宋体" w:cs="宋体"/>
          <w:color w:val="auto"/>
          <w:szCs w:val="21"/>
          <w:highlight w:val="none"/>
          <w:lang w:val="en-US" w:eastAsia="zh-CN"/>
        </w:rPr>
        <w:t>电力</w:t>
      </w:r>
      <w:r>
        <w:rPr>
          <w:rFonts w:hint="eastAsia" w:ascii="宋体" w:hAnsi="宋体" w:eastAsia="宋体" w:cs="宋体"/>
          <w:color w:val="auto"/>
          <w:szCs w:val="21"/>
          <w:highlight w:val="none"/>
        </w:rPr>
        <w:t>工程</w:t>
      </w:r>
      <w:r>
        <w:rPr>
          <w:rFonts w:hint="eastAsia" w:ascii="宋体" w:hAnsi="宋体" w:cs="宋体"/>
          <w:color w:val="auto"/>
          <w:szCs w:val="21"/>
          <w:highlight w:val="none"/>
        </w:rPr>
        <w:t>施工总承包贰级、叁级资质企业：</w:t>
      </w:r>
      <w:r>
        <w:rPr>
          <w:rFonts w:hint="eastAsia"/>
          <w:color w:val="auto"/>
          <w:szCs w:val="21"/>
          <w:highlight w:val="none"/>
        </w:rPr>
        <w:t>机电工程专业</w:t>
      </w:r>
      <w:r>
        <w:rPr>
          <w:rFonts w:hint="eastAsia" w:ascii="宋体" w:hAnsi="宋体" w:cs="宋体"/>
          <w:color w:val="auto"/>
          <w:szCs w:val="21"/>
          <w:highlight w:val="none"/>
        </w:rPr>
        <w:t>注册建造师不少于5人。</w:t>
      </w:r>
    </w:p>
    <w:p w14:paraId="322A2384">
      <w:pPr>
        <w:pageBreakBefore w:val="0"/>
        <w:widowControl/>
        <w:kinsoku/>
        <w:overflowPunct/>
        <w:topLinePunct w:val="0"/>
        <w:autoSpaceDE/>
        <w:autoSpaceDN/>
        <w:bidi w:val="0"/>
        <w:adjustRightInd w:val="0"/>
        <w:snapToGrid w:val="0"/>
        <w:spacing w:line="44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中标候选人的注册建造师不满足上述要求的，评标委员会对该投标不予认可，并将该情形报送相关行政主管部门。中标候选人依次替补，评标委员会再次对替补单位进行核查。</w:t>
      </w:r>
    </w:p>
    <w:p w14:paraId="3F12DD3B">
      <w:pPr>
        <w:pStyle w:val="3"/>
        <w:pageBreakBefore w:val="0"/>
        <w:kinsoku/>
        <w:overflowPunct/>
        <w:topLinePunct w:val="0"/>
        <w:autoSpaceDE/>
        <w:autoSpaceDN/>
        <w:bidi w:val="0"/>
        <w:spacing w:beforeLines="50" w:afterLines="50" w:line="440" w:lineRule="exact"/>
        <w:ind w:firstLine="422"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2.评标委员会的职责</w:t>
      </w:r>
      <w:bookmarkEnd w:id="792"/>
      <w:bookmarkEnd w:id="793"/>
      <w:bookmarkEnd w:id="794"/>
      <w:bookmarkEnd w:id="795"/>
      <w:bookmarkEnd w:id="796"/>
      <w:bookmarkEnd w:id="797"/>
      <w:bookmarkEnd w:id="798"/>
    </w:p>
    <w:p w14:paraId="2366AE8E">
      <w:pPr>
        <w:pageBreakBefore w:val="0"/>
        <w:shd w:val="clear"/>
        <w:kinsoku/>
        <w:overflowPunct/>
        <w:topLinePunct w:val="0"/>
        <w:autoSpaceDE/>
        <w:autoSpaceDN/>
        <w:bidi w:val="0"/>
        <w:adjustRightInd w:val="0"/>
        <w:snapToGrid w:val="0"/>
        <w:spacing w:line="440" w:lineRule="exact"/>
        <w:ind w:firstLine="420" w:firstLineChars="200"/>
        <w:jc w:val="left"/>
        <w:textAlignment w:val="auto"/>
        <w:rPr>
          <w:rFonts w:hint="eastAsia" w:ascii="宋体" w:hAnsi="宋体" w:eastAsia="宋体" w:cs="宋体"/>
          <w:color w:val="auto"/>
          <w:szCs w:val="21"/>
          <w:highlight w:val="none"/>
        </w:rPr>
      </w:pPr>
      <w:bookmarkStart w:id="807" w:name="_Toc35424949"/>
      <w:bookmarkStart w:id="808" w:name="_Toc324404874"/>
      <w:bookmarkStart w:id="809" w:name="_Toc17377"/>
      <w:bookmarkStart w:id="810" w:name="_Toc78803384"/>
      <w:bookmarkStart w:id="811" w:name="_Toc35425115"/>
      <w:bookmarkStart w:id="812" w:name="_Toc15058915"/>
      <w:bookmarkStart w:id="813" w:name="_Toc506107326"/>
      <w:r>
        <w:rPr>
          <w:rFonts w:hint="eastAsia" w:ascii="宋体" w:hAnsi="宋体" w:eastAsia="宋体" w:cs="宋体"/>
          <w:color w:val="auto"/>
          <w:szCs w:val="21"/>
          <w:highlight w:val="none"/>
        </w:rPr>
        <w:t>评标委员会应当根据本评标办法，应进行系统地评审和比较，向招标人推荐中标候选人或根据招标人的授权直接确定中标人。各评委必须独立评审，提出评审意见，不受任何单位或者个人的干预。各评委对其各自评审结果负责，并在评标报告上签字确认。对评标结论持有异议的评标委员会成员可以书面方式阐述其不同意见和理由。评标委员会成员拒绝在评标报告上签字且不陈述其不同意见和理由的，视为同意评标结论。评标委员会应当对此作出书面说明并记录在案。</w:t>
      </w:r>
    </w:p>
    <w:p w14:paraId="3220F0DC">
      <w:pPr>
        <w:pageBreakBefore w:val="0"/>
        <w:shd w:val="clear"/>
        <w:kinsoku/>
        <w:overflowPunct/>
        <w:topLinePunct w:val="0"/>
        <w:autoSpaceDE/>
        <w:autoSpaceDN/>
        <w:bidi w:val="0"/>
        <w:adjustRightInd w:val="0"/>
        <w:snapToGrid w:val="0"/>
        <w:spacing w:line="44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评标委员会应加强对报价合理性审查。评标评审委员会认为拟推荐的中标候选人的报价明显低于其他通过符合性审查投标人的报价，存在异常低价，有可能影响项目质量或者不能诚信履约的，应当要求投标人在评标现场合理的时间内提供书面说明，必要时提交相关证明材料；投标人不能证明其报价合理性的，或评标委员会认定其存在履约及质量安全风险的，评标评审委员会应当将其作为无效投标处理。</w:t>
      </w:r>
    </w:p>
    <w:p w14:paraId="2EE942C7">
      <w:pPr>
        <w:pStyle w:val="3"/>
        <w:pageBreakBefore w:val="0"/>
        <w:kinsoku/>
        <w:overflowPunct/>
        <w:topLinePunct w:val="0"/>
        <w:autoSpaceDE/>
        <w:autoSpaceDN/>
        <w:bidi w:val="0"/>
        <w:spacing w:beforeLines="50" w:afterLines="50" w:line="440" w:lineRule="exact"/>
        <w:ind w:firstLine="422"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3.评标程序</w:t>
      </w:r>
      <w:bookmarkEnd w:id="807"/>
      <w:bookmarkEnd w:id="808"/>
      <w:bookmarkEnd w:id="809"/>
      <w:bookmarkEnd w:id="810"/>
      <w:bookmarkEnd w:id="811"/>
      <w:bookmarkEnd w:id="812"/>
      <w:bookmarkEnd w:id="813"/>
    </w:p>
    <w:p w14:paraId="74F4CF37">
      <w:pPr>
        <w:pageBreakBefore w:val="0"/>
        <w:shd w:val="clear"/>
        <w:kinsoku/>
        <w:overflowPunct/>
        <w:topLinePunct w:val="0"/>
        <w:autoSpaceDE/>
        <w:autoSpaceDN/>
        <w:bidi w:val="0"/>
        <w:adjustRightInd w:val="0"/>
        <w:snapToGrid w:val="0"/>
        <w:spacing w:line="440" w:lineRule="exact"/>
        <w:ind w:firstLine="420" w:firstLineChars="200"/>
        <w:jc w:val="left"/>
        <w:textAlignment w:val="auto"/>
        <w:rPr>
          <w:rFonts w:hint="eastAsia" w:ascii="宋体" w:hAnsi="宋体" w:eastAsia="宋体" w:cs="宋体"/>
          <w:color w:val="auto"/>
          <w:szCs w:val="21"/>
          <w:highlight w:val="none"/>
        </w:rPr>
      </w:pPr>
      <w:bookmarkStart w:id="814" w:name="_Toc35424950"/>
      <w:bookmarkStart w:id="815" w:name="_Toc35425116"/>
      <w:bookmarkStart w:id="816" w:name="_Toc15058916"/>
      <w:bookmarkStart w:id="817" w:name="_Toc27389"/>
      <w:bookmarkStart w:id="818" w:name="_Toc78803385"/>
      <w:r>
        <w:rPr>
          <w:rFonts w:hint="eastAsia" w:ascii="宋体" w:hAnsi="宋体" w:eastAsia="宋体" w:cs="宋体"/>
          <w:color w:val="auto"/>
          <w:szCs w:val="21"/>
          <w:highlight w:val="none"/>
        </w:rPr>
        <w:t>评标先做准备工作，再进行资格、技术标评审，然后进行商务标评审。</w:t>
      </w:r>
    </w:p>
    <w:p w14:paraId="6E980930">
      <w:pPr>
        <w:pStyle w:val="3"/>
        <w:pageBreakBefore w:val="0"/>
        <w:kinsoku/>
        <w:overflowPunct/>
        <w:topLinePunct w:val="0"/>
        <w:autoSpaceDE/>
        <w:autoSpaceDN/>
        <w:bidi w:val="0"/>
        <w:spacing w:line="440" w:lineRule="exact"/>
        <w:ind w:firstLine="422" w:firstLineChars="200"/>
        <w:textAlignment w:val="auto"/>
        <w:rPr>
          <w:rFonts w:ascii="宋体" w:hAnsi="宋体" w:eastAsia="宋体" w:cs="宋体"/>
          <w:color w:val="auto"/>
          <w:highlight w:val="none"/>
        </w:rPr>
      </w:pPr>
      <w:r>
        <w:rPr>
          <w:rFonts w:hint="eastAsia" w:ascii="宋体" w:hAnsi="宋体" w:eastAsia="宋体" w:cs="宋体"/>
          <w:color w:val="auto"/>
          <w:highlight w:val="none"/>
        </w:rPr>
        <w:t>3.1评标准备工作</w:t>
      </w:r>
      <w:bookmarkEnd w:id="814"/>
      <w:bookmarkEnd w:id="815"/>
      <w:bookmarkEnd w:id="816"/>
      <w:bookmarkEnd w:id="817"/>
      <w:bookmarkEnd w:id="818"/>
    </w:p>
    <w:p w14:paraId="12DD11ED">
      <w:pPr>
        <w:pageBreakBefore w:val="0"/>
        <w:kinsoku/>
        <w:overflowPunct/>
        <w:topLinePunct w:val="0"/>
        <w:autoSpaceDE/>
        <w:autoSpaceDN/>
        <w:bidi w:val="0"/>
        <w:spacing w:line="44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评标委员会熟悉评标工作情况：</w:t>
      </w:r>
    </w:p>
    <w:p w14:paraId="61A7679E">
      <w:pPr>
        <w:pageBreakBefore w:val="0"/>
        <w:kinsoku/>
        <w:overflowPunct/>
        <w:topLinePunct w:val="0"/>
        <w:autoSpaceDE/>
        <w:autoSpaceDN/>
        <w:bidi w:val="0"/>
        <w:spacing w:line="44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（1）阅读由招标人或者其委托的工程代理机构编制的招标项目情况材料。</w:t>
      </w:r>
    </w:p>
    <w:p w14:paraId="33273880">
      <w:pPr>
        <w:pageBreakBefore w:val="0"/>
        <w:kinsoku/>
        <w:overflowPunct/>
        <w:topLinePunct w:val="0"/>
        <w:autoSpaceDE/>
        <w:autoSpaceDN/>
        <w:bidi w:val="0"/>
        <w:spacing w:line="44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（2）阅读、研究招标文件和相关评标资料，获取评标所需要的重要信息和数据，至少应了解和熟悉以下内容：招标项目的范围和性质，招标文件规定的主要技术要求、标准和商务条款。</w:t>
      </w:r>
    </w:p>
    <w:p w14:paraId="3514C364">
      <w:pPr>
        <w:pageBreakBefore w:val="0"/>
        <w:kinsoku/>
        <w:overflowPunct/>
        <w:topLinePunct w:val="0"/>
        <w:autoSpaceDE/>
        <w:autoSpaceDN/>
        <w:bidi w:val="0"/>
        <w:spacing w:line="44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（3）熟悉招标文件规定的评标标准和评标方法及在评标过程中需要考虑的相关因素。</w:t>
      </w:r>
    </w:p>
    <w:p w14:paraId="0377C0C5">
      <w:pPr>
        <w:pageBreakBefore w:val="0"/>
        <w:kinsoku/>
        <w:overflowPunct/>
        <w:topLinePunct w:val="0"/>
        <w:autoSpaceDE/>
        <w:autoSpaceDN/>
        <w:bidi w:val="0"/>
        <w:spacing w:line="44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（4）核对评标工作用表。</w:t>
      </w:r>
    </w:p>
    <w:p w14:paraId="11CF5DD7">
      <w:pPr>
        <w:pStyle w:val="3"/>
        <w:pageBreakBefore w:val="0"/>
        <w:kinsoku/>
        <w:overflowPunct/>
        <w:topLinePunct w:val="0"/>
        <w:autoSpaceDE/>
        <w:autoSpaceDN/>
        <w:bidi w:val="0"/>
        <w:adjustRightInd w:val="0"/>
        <w:snapToGrid w:val="0"/>
        <w:spacing w:before="0" w:after="0" w:line="440" w:lineRule="exact"/>
        <w:ind w:firstLine="422" w:firstLineChars="200"/>
        <w:textAlignment w:val="auto"/>
        <w:rPr>
          <w:rFonts w:hint="eastAsia" w:ascii="黑体" w:hAnsi="黑体" w:cs="黑体"/>
          <w:color w:val="auto"/>
          <w:sz w:val="21"/>
          <w:szCs w:val="21"/>
          <w:highlight w:val="none"/>
        </w:rPr>
      </w:pPr>
      <w:bookmarkStart w:id="819" w:name="_Toc95223433"/>
      <w:bookmarkStart w:id="820" w:name="_Toc506107327"/>
      <w:bookmarkStart w:id="821" w:name="_Toc78803389"/>
      <w:bookmarkStart w:id="822" w:name="_Toc15058919"/>
      <w:bookmarkStart w:id="823" w:name="_Toc12200"/>
      <w:bookmarkStart w:id="824" w:name="_Toc35424954"/>
      <w:bookmarkStart w:id="825" w:name="_Toc324404875"/>
      <w:bookmarkStart w:id="826" w:name="_Toc35425120"/>
      <w:r>
        <w:rPr>
          <w:rFonts w:hint="eastAsia" w:ascii="黑体" w:hAnsi="黑体" w:cs="黑体"/>
          <w:color w:val="auto"/>
          <w:sz w:val="21"/>
          <w:szCs w:val="21"/>
          <w:highlight w:val="none"/>
        </w:rPr>
        <w:t>3.2技术标评审</w:t>
      </w:r>
      <w:bookmarkEnd w:id="819"/>
    </w:p>
    <w:p w14:paraId="0D2D6BD1">
      <w:pPr>
        <w:pageBreakBefore w:val="0"/>
        <w:kinsoku/>
        <w:overflowPunct/>
        <w:topLinePunct w:val="0"/>
        <w:autoSpaceDE/>
        <w:autoSpaceDN/>
        <w:bidi w:val="0"/>
        <w:adjustRightInd w:val="0"/>
        <w:snapToGrid w:val="0"/>
        <w:spacing w:line="44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详见技术标评审表。</w:t>
      </w:r>
    </w:p>
    <w:p w14:paraId="2DE8CA6E">
      <w:pPr>
        <w:pStyle w:val="3"/>
        <w:pageBreakBefore w:val="0"/>
        <w:kinsoku/>
        <w:overflowPunct/>
        <w:topLinePunct w:val="0"/>
        <w:autoSpaceDE/>
        <w:autoSpaceDN/>
        <w:bidi w:val="0"/>
        <w:adjustRightInd w:val="0"/>
        <w:snapToGrid w:val="0"/>
        <w:spacing w:before="0" w:after="0" w:line="440" w:lineRule="exact"/>
        <w:ind w:firstLine="422" w:firstLineChars="200"/>
        <w:textAlignment w:val="auto"/>
        <w:rPr>
          <w:rFonts w:hint="eastAsia" w:ascii="黑体" w:hAnsi="黑体" w:cs="黑体"/>
          <w:color w:val="auto"/>
          <w:sz w:val="21"/>
          <w:szCs w:val="21"/>
          <w:highlight w:val="none"/>
        </w:rPr>
      </w:pPr>
      <w:bookmarkStart w:id="827" w:name="_Toc95223434"/>
      <w:r>
        <w:rPr>
          <w:rFonts w:hint="eastAsia" w:ascii="黑体" w:hAnsi="黑体" w:cs="黑体"/>
          <w:color w:val="auto"/>
          <w:sz w:val="21"/>
          <w:szCs w:val="21"/>
          <w:highlight w:val="none"/>
        </w:rPr>
        <w:t>3.3商务标评审</w:t>
      </w:r>
      <w:bookmarkEnd w:id="827"/>
    </w:p>
    <w:p w14:paraId="53463FF0">
      <w:pPr>
        <w:pageBreakBefore w:val="0"/>
        <w:kinsoku/>
        <w:overflowPunct/>
        <w:topLinePunct w:val="0"/>
        <w:autoSpaceDE/>
        <w:autoSpaceDN/>
        <w:bidi w:val="0"/>
        <w:adjustRightInd w:val="0"/>
        <w:snapToGrid w:val="0"/>
        <w:spacing w:line="44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详见商务标评审表。</w:t>
      </w:r>
    </w:p>
    <w:p w14:paraId="617E89B0">
      <w:pPr>
        <w:pStyle w:val="3"/>
        <w:pageBreakBefore w:val="0"/>
        <w:kinsoku/>
        <w:overflowPunct/>
        <w:topLinePunct w:val="0"/>
        <w:autoSpaceDE/>
        <w:autoSpaceDN/>
        <w:bidi w:val="0"/>
        <w:adjustRightInd w:val="0"/>
        <w:snapToGrid w:val="0"/>
        <w:spacing w:before="0" w:after="0" w:line="440" w:lineRule="exact"/>
        <w:ind w:firstLine="422" w:firstLineChars="200"/>
        <w:textAlignment w:val="auto"/>
        <w:rPr>
          <w:rFonts w:hint="eastAsia" w:ascii="黑体" w:hAnsi="黑体" w:cs="黑体"/>
          <w:color w:val="auto"/>
          <w:sz w:val="21"/>
          <w:szCs w:val="21"/>
          <w:highlight w:val="none"/>
        </w:rPr>
      </w:pPr>
      <w:r>
        <w:rPr>
          <w:rFonts w:hint="eastAsia" w:ascii="黑体" w:hAnsi="黑体" w:cs="黑体"/>
          <w:color w:val="auto"/>
          <w:sz w:val="21"/>
          <w:szCs w:val="21"/>
          <w:highlight w:val="none"/>
        </w:rPr>
        <w:t>3.4推荐中标候选人</w:t>
      </w:r>
    </w:p>
    <w:p w14:paraId="18371287">
      <w:pPr>
        <w:pageBreakBefore w:val="0"/>
        <w:kinsoku/>
        <w:overflowPunct/>
        <w:topLinePunct w:val="0"/>
        <w:autoSpaceDE/>
        <w:autoSpaceDN/>
        <w:bidi w:val="0"/>
        <w:adjustRightInd w:val="0"/>
        <w:snapToGrid w:val="0"/>
        <w:spacing w:line="44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资信评审、技术标评审、商务标评审后，推荐中标候选人，并标明排序。</w:t>
      </w:r>
    </w:p>
    <w:p w14:paraId="3113A55A">
      <w:pPr>
        <w:pStyle w:val="3"/>
        <w:pageBreakBefore w:val="0"/>
        <w:kinsoku/>
        <w:overflowPunct/>
        <w:topLinePunct w:val="0"/>
        <w:autoSpaceDE/>
        <w:autoSpaceDN/>
        <w:bidi w:val="0"/>
        <w:spacing w:beforeLines="50" w:afterLines="50" w:line="440" w:lineRule="exact"/>
        <w:ind w:firstLine="422" w:firstLineChars="200"/>
        <w:textAlignment w:val="auto"/>
        <w:rPr>
          <w:rFonts w:ascii="宋体" w:hAnsi="宋体" w:eastAsia="宋体" w:cs="宋体"/>
          <w:color w:val="auto"/>
          <w:highlight w:val="none"/>
        </w:rPr>
      </w:pPr>
      <w:r>
        <w:rPr>
          <w:rFonts w:hint="eastAsia" w:ascii="宋体" w:hAnsi="宋体" w:eastAsia="宋体" w:cs="宋体"/>
          <w:color w:val="auto"/>
          <w:highlight w:val="none"/>
        </w:rPr>
        <w:t>4.评审内容</w:t>
      </w:r>
      <w:bookmarkEnd w:id="820"/>
      <w:bookmarkEnd w:id="821"/>
      <w:bookmarkEnd w:id="822"/>
      <w:bookmarkEnd w:id="823"/>
      <w:bookmarkEnd w:id="824"/>
      <w:bookmarkEnd w:id="825"/>
      <w:bookmarkEnd w:id="826"/>
    </w:p>
    <w:p w14:paraId="3980C2DF">
      <w:pPr>
        <w:pStyle w:val="3"/>
        <w:pageBreakBefore w:val="0"/>
        <w:kinsoku/>
        <w:overflowPunct/>
        <w:topLinePunct w:val="0"/>
        <w:autoSpaceDE/>
        <w:autoSpaceDN/>
        <w:bidi w:val="0"/>
        <w:spacing w:line="440" w:lineRule="exact"/>
        <w:ind w:firstLine="422" w:firstLineChars="200"/>
        <w:textAlignment w:val="auto"/>
        <w:rPr>
          <w:rFonts w:hint="eastAsia" w:ascii="宋体" w:hAnsi="宋体" w:eastAsia="宋体" w:cs="宋体"/>
          <w:color w:val="auto"/>
          <w:highlight w:val="none"/>
        </w:rPr>
      </w:pPr>
      <w:bookmarkStart w:id="828" w:name="_Toc95223436"/>
      <w:bookmarkStart w:id="829" w:name="_Toc9630"/>
      <w:bookmarkStart w:id="830" w:name="_Toc78803390"/>
      <w:r>
        <w:rPr>
          <w:rFonts w:hint="eastAsia" w:ascii="宋体" w:hAnsi="宋体" w:eastAsia="宋体" w:cs="宋体"/>
          <w:color w:val="auto"/>
          <w:highlight w:val="none"/>
        </w:rPr>
        <w:t>4.1技术标评审</w:t>
      </w:r>
      <w:bookmarkEnd w:id="828"/>
    </w:p>
    <w:p w14:paraId="4D238764">
      <w:pPr>
        <w:pageBreakBefore w:val="0"/>
        <w:shd w:val="clear"/>
        <w:kinsoku/>
        <w:overflowPunct/>
        <w:topLinePunct w:val="0"/>
        <w:autoSpaceDE/>
        <w:autoSpaceDN/>
        <w:bidi w:val="0"/>
        <w:adjustRightInd w:val="0"/>
        <w:snapToGrid w:val="0"/>
        <w:spacing w:line="44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4.1.1形式性评审标准：见技术标评审表。</w:t>
      </w:r>
    </w:p>
    <w:p w14:paraId="24C8A179">
      <w:pPr>
        <w:pageBreakBefore w:val="0"/>
        <w:shd w:val="clear"/>
        <w:kinsoku/>
        <w:overflowPunct/>
        <w:topLinePunct w:val="0"/>
        <w:autoSpaceDE/>
        <w:autoSpaceDN/>
        <w:bidi w:val="0"/>
        <w:adjustRightInd w:val="0"/>
        <w:snapToGrid w:val="0"/>
        <w:spacing w:line="44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4.1.2响应性评审标准：见技术标评审表。</w:t>
      </w:r>
    </w:p>
    <w:p w14:paraId="4B6D9D4A">
      <w:pPr>
        <w:pageBreakBefore w:val="0"/>
        <w:shd w:val="clear"/>
        <w:kinsoku/>
        <w:overflowPunct/>
        <w:topLinePunct w:val="0"/>
        <w:autoSpaceDE/>
        <w:autoSpaceDN/>
        <w:bidi w:val="0"/>
        <w:adjustRightInd w:val="0"/>
        <w:snapToGrid w:val="0"/>
        <w:spacing w:line="44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评标委员会依据上述标准对投标文件进行形式性评审和响应性评审。有一项不符合评审标准的，作无效投标处理。对否定的技术标，评标委员会要提出充足的否定理由，并填写在技术标评标记录上。</w:t>
      </w:r>
    </w:p>
    <w:bookmarkEnd w:id="829"/>
    <w:bookmarkEnd w:id="830"/>
    <w:p w14:paraId="55926CFF">
      <w:pPr>
        <w:pStyle w:val="3"/>
        <w:pageBreakBefore w:val="0"/>
        <w:kinsoku/>
        <w:overflowPunct/>
        <w:topLinePunct w:val="0"/>
        <w:autoSpaceDE/>
        <w:autoSpaceDN/>
        <w:bidi w:val="0"/>
        <w:adjustRightInd w:val="0"/>
        <w:snapToGrid w:val="0"/>
        <w:spacing w:before="0" w:after="0" w:line="440" w:lineRule="exact"/>
        <w:ind w:firstLine="422" w:firstLineChars="200"/>
        <w:textAlignment w:val="auto"/>
        <w:rPr>
          <w:rFonts w:hint="eastAsia" w:ascii="黑体" w:hAnsi="黑体" w:cs="黑体"/>
          <w:color w:val="auto"/>
          <w:sz w:val="21"/>
          <w:szCs w:val="21"/>
          <w:highlight w:val="none"/>
        </w:rPr>
      </w:pPr>
      <w:bookmarkStart w:id="831" w:name="_Toc95223437"/>
      <w:bookmarkStart w:id="832" w:name="_Toc78803392"/>
      <w:bookmarkStart w:id="833" w:name="_Toc506107328"/>
      <w:bookmarkStart w:id="834" w:name="_Toc13125"/>
      <w:bookmarkStart w:id="835" w:name="_Toc35424957"/>
      <w:bookmarkStart w:id="836" w:name="_Toc324404876"/>
      <w:bookmarkStart w:id="837" w:name="_Toc35425123"/>
      <w:bookmarkStart w:id="838" w:name="_Toc15058922"/>
      <w:r>
        <w:rPr>
          <w:rFonts w:hint="eastAsia" w:ascii="黑体" w:hAnsi="黑体" w:cs="黑体"/>
          <w:color w:val="auto"/>
          <w:sz w:val="21"/>
          <w:szCs w:val="21"/>
          <w:highlight w:val="none"/>
        </w:rPr>
        <w:t>4.2商务标评审</w:t>
      </w:r>
      <w:bookmarkEnd w:id="831"/>
    </w:p>
    <w:p w14:paraId="05C9FD15">
      <w:pPr>
        <w:pageBreakBefore w:val="0"/>
        <w:shd w:val="clear"/>
        <w:kinsoku/>
        <w:overflowPunct/>
        <w:topLinePunct w:val="0"/>
        <w:autoSpaceDE/>
        <w:autoSpaceDN/>
        <w:bidi w:val="0"/>
        <w:adjustRightInd w:val="0"/>
        <w:snapToGrid w:val="0"/>
        <w:spacing w:line="44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只有通过技术标评审的投标才能够进入本阶段评审。</w:t>
      </w:r>
    </w:p>
    <w:p w14:paraId="640ECBF6">
      <w:pPr>
        <w:pageBreakBefore w:val="0"/>
        <w:shd w:val="clear"/>
        <w:kinsoku/>
        <w:overflowPunct/>
        <w:topLinePunct w:val="0"/>
        <w:autoSpaceDE/>
        <w:autoSpaceDN/>
        <w:bidi w:val="0"/>
        <w:adjustRightInd w:val="0"/>
        <w:snapToGrid w:val="0"/>
        <w:spacing w:line="44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4.2.1形式性评审标准：见商务标评审表。</w:t>
      </w:r>
    </w:p>
    <w:p w14:paraId="4F79532E">
      <w:pPr>
        <w:pageBreakBefore w:val="0"/>
        <w:shd w:val="clear"/>
        <w:kinsoku/>
        <w:overflowPunct/>
        <w:topLinePunct w:val="0"/>
        <w:autoSpaceDE/>
        <w:autoSpaceDN/>
        <w:bidi w:val="0"/>
        <w:adjustRightInd w:val="0"/>
        <w:snapToGrid w:val="0"/>
        <w:spacing w:line="44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4.2.2响应性评审标准：见商务标评审表。</w:t>
      </w:r>
    </w:p>
    <w:p w14:paraId="2AEC4164">
      <w:pPr>
        <w:pageBreakBefore w:val="0"/>
        <w:shd w:val="clear"/>
        <w:kinsoku/>
        <w:overflowPunct/>
        <w:topLinePunct w:val="0"/>
        <w:autoSpaceDE/>
        <w:autoSpaceDN/>
        <w:bidi w:val="0"/>
        <w:adjustRightInd w:val="0"/>
        <w:snapToGrid w:val="0"/>
        <w:spacing w:line="44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评标委员会依据上述标准对投标文件进行初步评审。有一项不符合评审标准的，作无效投标处理。</w:t>
      </w:r>
    </w:p>
    <w:p w14:paraId="3D50DD69">
      <w:pPr>
        <w:pageBreakBefore w:val="0"/>
        <w:shd w:val="clear"/>
        <w:kinsoku/>
        <w:overflowPunct/>
        <w:topLinePunct w:val="0"/>
        <w:autoSpaceDE/>
        <w:autoSpaceDN/>
        <w:bidi w:val="0"/>
        <w:adjustRightInd w:val="0"/>
        <w:snapToGrid w:val="0"/>
        <w:spacing w:line="44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4.2.3详细评审标准：见商务标评审表。</w:t>
      </w:r>
    </w:p>
    <w:p w14:paraId="7DFCA053">
      <w:pPr>
        <w:pageBreakBefore w:val="0"/>
        <w:shd w:val="clear"/>
        <w:kinsoku/>
        <w:overflowPunct/>
        <w:topLinePunct w:val="0"/>
        <w:autoSpaceDE/>
        <w:autoSpaceDN/>
        <w:bidi w:val="0"/>
        <w:adjustRightInd w:val="0"/>
        <w:snapToGrid w:val="0"/>
        <w:spacing w:line="44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4.2.4评标委员会审查投标文件，审核并确认清标结果，包括工程投标报价的校核、审查全部数据计算的正确性、分析各种费用构成的合理性和正确性等内容，看其是否有计算或表达上的错误，投标报价有错误的，评标委员会按以下原则对投标报价进行修正。</w:t>
      </w:r>
    </w:p>
    <w:p w14:paraId="1FF06586">
      <w:pPr>
        <w:pageBreakBefore w:val="0"/>
        <w:shd w:val="clear"/>
        <w:kinsoku/>
        <w:overflowPunct/>
        <w:topLinePunct w:val="0"/>
        <w:autoSpaceDE/>
        <w:autoSpaceDN/>
        <w:bidi w:val="0"/>
        <w:adjustRightInd w:val="0"/>
        <w:snapToGrid w:val="0"/>
        <w:spacing w:line="44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（1）投标文件中的大写金额与小写金额不一致的，以大写金额为准。</w:t>
      </w:r>
    </w:p>
    <w:p w14:paraId="5C529CE2">
      <w:pPr>
        <w:pageBreakBefore w:val="0"/>
        <w:shd w:val="clear"/>
        <w:kinsoku/>
        <w:overflowPunct/>
        <w:topLinePunct w:val="0"/>
        <w:autoSpaceDE/>
        <w:autoSpaceDN/>
        <w:bidi w:val="0"/>
        <w:adjustRightInd w:val="0"/>
        <w:snapToGrid w:val="0"/>
        <w:spacing w:line="44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（2）总价金额与依据单价计算出的结果不一致的，以单价金额为准修正总价，但单价金额小数点有明显错误的除外。</w:t>
      </w:r>
    </w:p>
    <w:p w14:paraId="7371A27A">
      <w:pPr>
        <w:pageBreakBefore w:val="0"/>
        <w:shd w:val="clear"/>
        <w:kinsoku/>
        <w:overflowPunct/>
        <w:topLinePunct w:val="0"/>
        <w:autoSpaceDE/>
        <w:autoSpaceDN/>
        <w:bidi w:val="0"/>
        <w:adjustRightInd w:val="0"/>
        <w:snapToGrid w:val="0"/>
        <w:spacing w:line="44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（3）工程量清单报价表中综合单价与工程量清单项目价格分析表相对应综合单价不一致时，以工程量清单项目价格分析表中标出的综合单价为准。</w:t>
      </w:r>
    </w:p>
    <w:p w14:paraId="255794AA">
      <w:pPr>
        <w:pageBreakBefore w:val="0"/>
        <w:shd w:val="clear"/>
        <w:kinsoku/>
        <w:overflowPunct/>
        <w:topLinePunct w:val="0"/>
        <w:autoSpaceDE/>
        <w:autoSpaceDN/>
        <w:bidi w:val="0"/>
        <w:adjustRightInd w:val="0"/>
        <w:snapToGrid w:val="0"/>
        <w:spacing w:line="44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按上述修正错误的原则及方法调整或修正投标文件的投标报价，调整或修正的价格经投标人书面确认后具有约束力。中标价原则上以调整或修正后的价格为准，调整或修正后的价格与投标报价相比，价格低的为中标价。投标人不接受的，其投标将被拒绝。</w:t>
      </w:r>
    </w:p>
    <w:p w14:paraId="0D8AA3CD">
      <w:pPr>
        <w:pStyle w:val="3"/>
        <w:pageBreakBefore w:val="0"/>
        <w:kinsoku/>
        <w:overflowPunct/>
        <w:topLinePunct w:val="0"/>
        <w:autoSpaceDE/>
        <w:autoSpaceDN/>
        <w:bidi w:val="0"/>
        <w:spacing w:beforeLines="50" w:afterLines="50" w:line="440" w:lineRule="exact"/>
        <w:ind w:firstLine="422"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5.无效投标条款</w:t>
      </w:r>
      <w:bookmarkEnd w:id="832"/>
      <w:bookmarkEnd w:id="833"/>
      <w:bookmarkEnd w:id="834"/>
      <w:bookmarkEnd w:id="835"/>
      <w:bookmarkEnd w:id="836"/>
      <w:bookmarkEnd w:id="837"/>
      <w:bookmarkEnd w:id="838"/>
    </w:p>
    <w:p w14:paraId="3E3E65E8">
      <w:pPr>
        <w:pageBreakBefore w:val="0"/>
        <w:kinsoku/>
        <w:overflowPunct/>
        <w:topLinePunct w:val="0"/>
        <w:autoSpaceDE/>
        <w:autoSpaceDN/>
        <w:bidi w:val="0"/>
        <w:spacing w:line="440" w:lineRule="exact"/>
        <w:ind w:firstLine="420" w:firstLineChars="200"/>
        <w:jc w:val="left"/>
        <w:textAlignment w:val="auto"/>
        <w:rPr>
          <w:rFonts w:hint="eastAsia" w:ascii="宋体" w:hAnsi="宋体" w:eastAsia="宋体" w:cs="宋体"/>
          <w:color w:val="auto"/>
          <w:highlight w:val="none"/>
        </w:rPr>
      </w:pPr>
      <w:bookmarkStart w:id="839" w:name="_Toc324404877"/>
      <w:bookmarkStart w:id="840" w:name="_Toc35425124"/>
      <w:bookmarkStart w:id="841" w:name="_Toc15058923"/>
      <w:bookmarkStart w:id="842" w:name="_Toc27846"/>
      <w:bookmarkStart w:id="843" w:name="_Toc506107329"/>
      <w:bookmarkStart w:id="844" w:name="_Toc78803393"/>
      <w:bookmarkStart w:id="845" w:name="_Toc35424958"/>
      <w:r>
        <w:rPr>
          <w:rFonts w:hint="eastAsia" w:ascii="宋体" w:hAnsi="宋体" w:eastAsia="宋体" w:cs="宋体"/>
          <w:color w:val="auto"/>
          <w:highlight w:val="none"/>
        </w:rPr>
        <w:t>5.1投标人存在下列情形的招标人将拒收投标文件：</w:t>
      </w:r>
    </w:p>
    <w:p w14:paraId="7C3A9FFB">
      <w:pPr>
        <w:pageBreakBefore w:val="0"/>
        <w:kinsoku/>
        <w:overflowPunct/>
        <w:topLinePunct w:val="0"/>
        <w:autoSpaceDE/>
        <w:autoSpaceDN/>
        <w:bidi w:val="0"/>
        <w:spacing w:line="440" w:lineRule="exact"/>
        <w:ind w:firstLine="420" w:firstLineChars="200"/>
        <w:jc w:val="left"/>
        <w:textAlignment w:val="auto"/>
        <w:rPr>
          <w:rFonts w:hint="eastAsia" w:ascii="宋体" w:hAnsi="宋体" w:eastAsia="宋体" w:cs="宋体"/>
          <w:color w:val="auto"/>
          <w:highlight w:val="none"/>
          <w:lang w:eastAsia="zh-CN"/>
        </w:rPr>
      </w:pPr>
      <w:bookmarkStart w:id="846" w:name="_Toc60061505"/>
      <w:r>
        <w:rPr>
          <w:rFonts w:hint="eastAsia" w:ascii="宋体" w:hAnsi="宋体" w:eastAsia="宋体" w:cs="宋体"/>
          <w:color w:val="auto"/>
          <w:highlight w:val="none"/>
        </w:rPr>
        <w:t>（</w:t>
      </w:r>
      <w:r>
        <w:rPr>
          <w:rFonts w:hint="eastAsia" w:ascii="宋体" w:hAnsi="宋体" w:eastAsia="宋体" w:cs="宋体"/>
          <w:color w:val="auto"/>
          <w:highlight w:val="none"/>
          <w:lang w:val="en-US" w:eastAsia="zh-CN"/>
        </w:rPr>
        <w:t>1</w:t>
      </w:r>
      <w:r>
        <w:rPr>
          <w:rFonts w:hint="eastAsia" w:ascii="宋体" w:hAnsi="宋体" w:eastAsia="宋体" w:cs="宋体"/>
          <w:color w:val="auto"/>
          <w:highlight w:val="none"/>
        </w:rPr>
        <w:t>）未在投标截止时</w:t>
      </w:r>
      <w:bookmarkEnd w:id="846"/>
      <w:r>
        <w:rPr>
          <w:rFonts w:hint="eastAsia" w:ascii="宋体" w:hAnsi="宋体" w:eastAsia="宋体" w:cs="宋体"/>
          <w:color w:val="auto"/>
          <w:highlight w:val="none"/>
        </w:rPr>
        <w:t>间前通过网上招标投标系统递交有效电子投标文件的，开标系统不予接收，投标将被拒绝</w:t>
      </w:r>
      <w:r>
        <w:rPr>
          <w:rFonts w:hint="eastAsia" w:ascii="宋体" w:hAnsi="宋体" w:eastAsia="宋体" w:cs="宋体"/>
          <w:color w:val="auto"/>
          <w:highlight w:val="none"/>
          <w:lang w:eastAsia="zh-CN"/>
        </w:rPr>
        <w:t>。</w:t>
      </w:r>
    </w:p>
    <w:p w14:paraId="0794123B">
      <w:pPr>
        <w:pageBreakBefore w:val="0"/>
        <w:kinsoku/>
        <w:overflowPunct/>
        <w:topLinePunct w:val="0"/>
        <w:autoSpaceDE/>
        <w:autoSpaceDN/>
        <w:bidi w:val="0"/>
        <w:spacing w:line="440" w:lineRule="exact"/>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2）所有投标人应在规定时间里完成投标文件的解密工作【投标企业接到远程解密指令后，须在规定时间内解密（以网上开评标系统解密倒计时为准）。因投标人自身原因导致投标文件在规定时间内未能解密、解密失败或解密超时，投标文件无效</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w:t>
      </w:r>
    </w:p>
    <w:p w14:paraId="66C9671D">
      <w:pPr>
        <w:pageBreakBefore w:val="0"/>
        <w:kinsoku/>
        <w:overflowPunct/>
        <w:topLinePunct w:val="0"/>
        <w:autoSpaceDE/>
        <w:autoSpaceDN/>
        <w:bidi w:val="0"/>
        <w:adjustRightInd w:val="0"/>
        <w:snapToGrid w:val="0"/>
        <w:spacing w:line="44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5.2投标人有下列情形的，经评审后其投标作无效投标处理：</w:t>
      </w:r>
    </w:p>
    <w:p w14:paraId="34DC5366">
      <w:pPr>
        <w:pageBreakBefore w:val="0"/>
        <w:kinsoku/>
        <w:overflowPunct/>
        <w:topLinePunct w:val="0"/>
        <w:autoSpaceDE/>
        <w:autoSpaceDN/>
        <w:bidi w:val="0"/>
        <w:adjustRightInd w:val="0"/>
        <w:snapToGrid w:val="0"/>
        <w:spacing w:line="44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5.2.1技术标评审</w:t>
      </w:r>
    </w:p>
    <w:p w14:paraId="039E0426">
      <w:pPr>
        <w:pageBreakBefore w:val="0"/>
        <w:kinsoku/>
        <w:overflowPunct/>
        <w:topLinePunct w:val="0"/>
        <w:autoSpaceDE/>
        <w:autoSpaceDN/>
        <w:bidi w:val="0"/>
        <w:adjustRightInd w:val="0"/>
        <w:snapToGrid w:val="0"/>
        <w:spacing w:line="44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评标委员会依据《技术标评审表》进行形式性评审和响应性评审。有一项不符合评审标准的，做无效投标处理；对否定的技术标，评标委员会要提出充足的否定理由，并填写在技术标评标记录上。</w:t>
      </w:r>
    </w:p>
    <w:p w14:paraId="7B09A123">
      <w:pPr>
        <w:pageBreakBefore w:val="0"/>
        <w:kinsoku/>
        <w:overflowPunct/>
        <w:topLinePunct w:val="0"/>
        <w:autoSpaceDE/>
        <w:autoSpaceDN/>
        <w:bidi w:val="0"/>
        <w:adjustRightInd w:val="0"/>
        <w:snapToGrid w:val="0"/>
        <w:spacing w:line="44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5.2.2商务标评审</w:t>
      </w:r>
    </w:p>
    <w:p w14:paraId="169EECD8">
      <w:pPr>
        <w:pageBreakBefore w:val="0"/>
        <w:kinsoku/>
        <w:overflowPunct/>
        <w:topLinePunct w:val="0"/>
        <w:autoSpaceDE/>
        <w:autoSpaceDN/>
        <w:bidi w:val="0"/>
        <w:adjustRightInd w:val="0"/>
        <w:snapToGrid w:val="0"/>
        <w:spacing w:line="44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(1)评标委员会依据《商务标评审表》进行形式性评审和响应性评审。有一项不符合评审标准的，做无效投标处理；</w:t>
      </w:r>
    </w:p>
    <w:p w14:paraId="520DB812">
      <w:pPr>
        <w:pageBreakBefore w:val="0"/>
        <w:kinsoku/>
        <w:overflowPunct/>
        <w:topLinePunct w:val="0"/>
        <w:autoSpaceDE/>
        <w:autoSpaceDN/>
        <w:bidi w:val="0"/>
        <w:adjustRightInd w:val="0"/>
        <w:snapToGrid w:val="0"/>
        <w:spacing w:line="44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（2）商务标详细评审标准中有任何一项不能通过评审的，作无效投标处理。</w:t>
      </w:r>
    </w:p>
    <w:p w14:paraId="11B68C29">
      <w:pPr>
        <w:pageBreakBefore w:val="0"/>
        <w:kinsoku/>
        <w:overflowPunct/>
        <w:topLinePunct w:val="0"/>
        <w:autoSpaceDE/>
        <w:autoSpaceDN/>
        <w:bidi w:val="0"/>
        <w:spacing w:line="440" w:lineRule="exact"/>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5.3其他无效投标情况：</w:t>
      </w:r>
    </w:p>
    <w:p w14:paraId="5D501451">
      <w:pPr>
        <w:pageBreakBefore w:val="0"/>
        <w:kinsoku/>
        <w:overflowPunct/>
        <w:topLinePunct w:val="0"/>
        <w:autoSpaceDE/>
        <w:autoSpaceDN/>
        <w:bidi w:val="0"/>
        <w:spacing w:line="440" w:lineRule="exact"/>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1）评标委员会发现投标人的投标报价明显低于其他投标报价，使得其投标报价可能低于其成本的，应当要求该投标人作出书面说明并提供相应的证明材料。投标人不能合理说明或者不能提供相应证明材料的，由评标委员会认定该投标人以低于成本报价竞标，其投标作无效投标处理。</w:t>
      </w:r>
    </w:p>
    <w:p w14:paraId="214A4A89">
      <w:pPr>
        <w:pageBreakBefore w:val="0"/>
        <w:kinsoku/>
        <w:overflowPunct/>
        <w:topLinePunct w:val="0"/>
        <w:autoSpaceDE/>
        <w:autoSpaceDN/>
        <w:bidi w:val="0"/>
        <w:spacing w:line="440" w:lineRule="exact"/>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（2）按第四章“评标方法”第4.2.4项修正错误的原则及方法调整或修正投标文件的投标报价，调整或修正的价格经投标人书面确认后具有约束力。投标人不接受修正价格的，其投标将被拒绝。</w:t>
      </w:r>
    </w:p>
    <w:p w14:paraId="7C1D2B26">
      <w:pPr>
        <w:pageBreakBefore w:val="0"/>
        <w:kinsoku/>
        <w:overflowPunct/>
        <w:topLinePunct w:val="0"/>
        <w:autoSpaceDE/>
        <w:autoSpaceDN/>
        <w:bidi w:val="0"/>
        <w:spacing w:line="440" w:lineRule="exact"/>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（3）第二章“投标人须知”第1.4.3项规定的任何一种情形的。</w:t>
      </w:r>
    </w:p>
    <w:p w14:paraId="48DD6505">
      <w:pPr>
        <w:pageBreakBefore w:val="0"/>
        <w:kinsoku/>
        <w:overflowPunct/>
        <w:topLinePunct w:val="0"/>
        <w:autoSpaceDE/>
        <w:autoSpaceDN/>
        <w:bidi w:val="0"/>
        <w:spacing w:line="440" w:lineRule="exact"/>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（4）投标人有串通投标、视为串通投标、弄虚作假、行贿等违法行为。</w:t>
      </w:r>
    </w:p>
    <w:p w14:paraId="7AE90BB0">
      <w:pPr>
        <w:pageBreakBefore w:val="0"/>
        <w:kinsoku/>
        <w:overflowPunct/>
        <w:topLinePunct w:val="0"/>
        <w:autoSpaceDE/>
        <w:autoSpaceDN/>
        <w:bidi w:val="0"/>
        <w:spacing w:line="440" w:lineRule="exact"/>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（5）投标文件没有对招标文件的实质性要求和条件作出响应。</w:t>
      </w:r>
    </w:p>
    <w:p w14:paraId="08A90169">
      <w:pPr>
        <w:pageBreakBefore w:val="0"/>
        <w:kinsoku/>
        <w:overflowPunct/>
        <w:topLinePunct w:val="0"/>
        <w:autoSpaceDE/>
        <w:autoSpaceDN/>
        <w:bidi w:val="0"/>
        <w:spacing w:line="440" w:lineRule="exact"/>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（6）未按规定的格式填写导致实质性内容不全以及实质上不响应，或者关键字迹模糊、无法辨认。</w:t>
      </w:r>
    </w:p>
    <w:p w14:paraId="00808C1E">
      <w:pPr>
        <w:pageBreakBefore w:val="0"/>
        <w:kinsoku/>
        <w:overflowPunct/>
        <w:topLinePunct w:val="0"/>
        <w:autoSpaceDE/>
        <w:autoSpaceDN/>
        <w:bidi w:val="0"/>
        <w:spacing w:line="440" w:lineRule="exact"/>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（7）同一投标人提交两个以上不同的投标文件或者投标报价，但招标文件规定提交备选投标的除外。</w:t>
      </w:r>
    </w:p>
    <w:p w14:paraId="2533827A">
      <w:pPr>
        <w:pageBreakBefore w:val="0"/>
        <w:kinsoku/>
        <w:overflowPunct/>
        <w:topLinePunct w:val="0"/>
        <w:autoSpaceDE/>
        <w:autoSpaceDN/>
        <w:bidi w:val="0"/>
        <w:spacing w:line="440" w:lineRule="exact"/>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（8）投标文件中存在招标人不能接受的其他实质性条件。</w:t>
      </w:r>
    </w:p>
    <w:p w14:paraId="524D53D9">
      <w:pPr>
        <w:pageBreakBefore w:val="0"/>
        <w:kinsoku/>
        <w:overflowPunct/>
        <w:topLinePunct w:val="0"/>
        <w:autoSpaceDE/>
        <w:autoSpaceDN/>
        <w:bidi w:val="0"/>
        <w:spacing w:line="440" w:lineRule="exact"/>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（9）投标文件中填报的拟任项目经理（建造师）与资格审查通过的项目经理（建造师）前后不一致的。</w:t>
      </w:r>
    </w:p>
    <w:p w14:paraId="3D744B31">
      <w:pPr>
        <w:pageBreakBefore w:val="0"/>
        <w:kinsoku/>
        <w:overflowPunct/>
        <w:topLinePunct w:val="0"/>
        <w:autoSpaceDE/>
        <w:autoSpaceDN/>
        <w:bidi w:val="0"/>
        <w:spacing w:line="440" w:lineRule="exact"/>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（10）投标人拒不按照要求对投标文件进行澄清、说明、补正的，或评标委员会根据招标文件的规定对招标文件的计算错误进行修正后，投标人不接受修正的投标报价的。</w:t>
      </w:r>
    </w:p>
    <w:p w14:paraId="512E080E">
      <w:pPr>
        <w:pageBreakBefore w:val="0"/>
        <w:kinsoku/>
        <w:overflowPunct/>
        <w:topLinePunct w:val="0"/>
        <w:autoSpaceDE/>
        <w:autoSpaceDN/>
        <w:bidi w:val="0"/>
        <w:spacing w:line="440" w:lineRule="exact"/>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（1</w:t>
      </w:r>
      <w:r>
        <w:rPr>
          <w:rFonts w:hint="eastAsia" w:ascii="宋体" w:hAnsi="宋体" w:eastAsia="宋体" w:cs="宋体"/>
          <w:color w:val="auto"/>
          <w:highlight w:val="none"/>
          <w:lang w:val="en-US" w:eastAsia="zh-CN"/>
        </w:rPr>
        <w:t>1</w:t>
      </w:r>
      <w:r>
        <w:rPr>
          <w:rFonts w:hint="eastAsia" w:ascii="宋体" w:hAnsi="宋体" w:eastAsia="宋体" w:cs="宋体"/>
          <w:color w:val="auto"/>
          <w:highlight w:val="none"/>
        </w:rPr>
        <w:t>）投标人单方面出现其他投标人材料。</w:t>
      </w:r>
    </w:p>
    <w:p w14:paraId="47D8332E">
      <w:pPr>
        <w:pageBreakBefore w:val="0"/>
        <w:kinsoku/>
        <w:overflowPunct/>
        <w:topLinePunct w:val="0"/>
        <w:autoSpaceDE/>
        <w:autoSpaceDN/>
        <w:bidi w:val="0"/>
        <w:spacing w:line="440" w:lineRule="exact"/>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（1</w:t>
      </w:r>
      <w:r>
        <w:rPr>
          <w:rFonts w:hint="eastAsia" w:ascii="宋体" w:hAnsi="宋体" w:eastAsia="宋体" w:cs="宋体"/>
          <w:color w:val="auto"/>
          <w:highlight w:val="none"/>
          <w:lang w:val="en-US" w:eastAsia="zh-CN"/>
        </w:rPr>
        <w:t>2</w:t>
      </w:r>
      <w:r>
        <w:rPr>
          <w:rFonts w:hint="eastAsia" w:ascii="宋体" w:hAnsi="宋体" w:eastAsia="宋体" w:cs="宋体"/>
          <w:color w:val="auto"/>
          <w:highlight w:val="none"/>
        </w:rPr>
        <w:t>）投标人联系人或联系电话相同的。</w:t>
      </w:r>
    </w:p>
    <w:p w14:paraId="14639CA5">
      <w:pPr>
        <w:pageBreakBefore w:val="0"/>
        <w:kinsoku/>
        <w:overflowPunct/>
        <w:topLinePunct w:val="0"/>
        <w:autoSpaceDE/>
        <w:autoSpaceDN/>
        <w:bidi w:val="0"/>
        <w:spacing w:line="440" w:lineRule="exact"/>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w:t>
      </w:r>
      <w:r>
        <w:rPr>
          <w:rFonts w:hint="eastAsia" w:ascii="宋体" w:hAnsi="宋体" w:eastAsia="宋体" w:cs="宋体"/>
          <w:color w:val="auto"/>
          <w:highlight w:val="none"/>
          <w:lang w:val="en-US" w:eastAsia="zh-CN"/>
        </w:rPr>
        <w:t>13</w:t>
      </w:r>
      <w:r>
        <w:rPr>
          <w:rFonts w:hint="eastAsia" w:ascii="宋体" w:hAnsi="宋体" w:eastAsia="宋体" w:cs="宋体"/>
          <w:color w:val="auto"/>
          <w:highlight w:val="none"/>
        </w:rPr>
        <w:t>）法律、法规规定的其他情形。</w:t>
      </w:r>
    </w:p>
    <w:p w14:paraId="5A018EF6">
      <w:pPr>
        <w:pStyle w:val="3"/>
        <w:pageBreakBefore w:val="0"/>
        <w:kinsoku/>
        <w:overflowPunct/>
        <w:topLinePunct w:val="0"/>
        <w:autoSpaceDE/>
        <w:autoSpaceDN/>
        <w:bidi w:val="0"/>
        <w:spacing w:beforeLines="50" w:afterLines="50" w:line="440" w:lineRule="exact"/>
        <w:ind w:firstLine="422" w:firstLineChars="200"/>
        <w:textAlignment w:val="auto"/>
        <w:rPr>
          <w:rFonts w:hint="eastAsia" w:ascii="宋体" w:hAnsi="宋体" w:eastAsia="宋体" w:cs="宋体"/>
          <w:color w:val="auto"/>
          <w:highlight w:val="none"/>
        </w:rPr>
      </w:pPr>
      <w:bookmarkStart w:id="847" w:name="_Toc95223409"/>
      <w:r>
        <w:rPr>
          <w:rFonts w:hint="eastAsia" w:ascii="宋体" w:hAnsi="宋体" w:eastAsia="宋体" w:cs="宋体"/>
          <w:color w:val="auto"/>
          <w:highlight w:val="none"/>
        </w:rPr>
        <w:t>6.投标文件的澄清和补正</w:t>
      </w:r>
      <w:bookmarkEnd w:id="847"/>
    </w:p>
    <w:p w14:paraId="4C9D7324">
      <w:pPr>
        <w:pageBreakBefore w:val="0"/>
        <w:kinsoku/>
        <w:overflowPunct/>
        <w:topLinePunct w:val="0"/>
        <w:autoSpaceDE/>
        <w:autoSpaceDN/>
        <w:bidi w:val="0"/>
        <w:spacing w:line="440" w:lineRule="exact"/>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6.1在评标过程中，评标委员会可以书面形式要求投标</w:t>
      </w:r>
      <w:bookmarkStart w:id="848" w:name="_Toc60061506"/>
      <w:r>
        <w:rPr>
          <w:rFonts w:hint="eastAsia" w:ascii="宋体" w:hAnsi="宋体" w:eastAsia="宋体" w:cs="宋体"/>
          <w:color w:val="auto"/>
          <w:highlight w:val="none"/>
        </w:rPr>
        <w:t>人对所提交的投标文件中含</w:t>
      </w:r>
      <w:bookmarkEnd w:id="848"/>
      <w:r>
        <w:rPr>
          <w:rFonts w:hint="eastAsia" w:ascii="宋体" w:hAnsi="宋体" w:eastAsia="宋体" w:cs="宋体"/>
          <w:color w:val="auto"/>
          <w:highlight w:val="none"/>
        </w:rPr>
        <w:t>义不明确、对同类问题表述不一致或者有明显文字和计算错误的内容进行书面澄清或说明，或者对细微偏差进行补正。评标委员会不接受投标人主动提出的澄清、说明或补正。</w:t>
      </w:r>
    </w:p>
    <w:p w14:paraId="4AF5F2BE">
      <w:pPr>
        <w:pageBreakBefore w:val="0"/>
        <w:kinsoku/>
        <w:overflowPunct/>
        <w:topLinePunct w:val="0"/>
        <w:autoSpaceDE/>
        <w:autoSpaceDN/>
        <w:bidi w:val="0"/>
        <w:spacing w:line="440" w:lineRule="exact"/>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6.2澄清、说明和补正不得改变投标文件的实质性内容（算术性错误修正的除外）。投标人的书面澄清、说明和补正属于投标文件的组成部分。</w:t>
      </w:r>
    </w:p>
    <w:p w14:paraId="5067B074">
      <w:pPr>
        <w:pageBreakBefore w:val="0"/>
        <w:kinsoku/>
        <w:overflowPunct/>
        <w:topLinePunct w:val="0"/>
        <w:autoSpaceDE/>
        <w:autoSpaceDN/>
        <w:bidi w:val="0"/>
        <w:spacing w:line="440" w:lineRule="exact"/>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6.3评标委员会对投标人提交的澄清、说明和补正有疑问的，可以要求投标人进一步澄清、说明或补正、直至满足评标委员会的要求。</w:t>
      </w:r>
    </w:p>
    <w:p w14:paraId="42BDF8A3">
      <w:pPr>
        <w:pageBreakBefore w:val="0"/>
        <w:kinsoku/>
        <w:overflowPunct/>
        <w:topLinePunct w:val="0"/>
        <w:autoSpaceDE/>
        <w:autoSpaceDN/>
        <w:bidi w:val="0"/>
        <w:spacing w:line="440" w:lineRule="exact"/>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按照投标文件规定进行澄清、补正后的投标报价经投标人的法定代表人或其委托代理人确认后即为该投标人的最终投标报价。投标人一旦中标，此报价即为中标价。</w:t>
      </w:r>
    </w:p>
    <w:bookmarkEnd w:id="799"/>
    <w:bookmarkEnd w:id="800"/>
    <w:bookmarkEnd w:id="801"/>
    <w:bookmarkEnd w:id="802"/>
    <w:bookmarkEnd w:id="803"/>
    <w:bookmarkEnd w:id="804"/>
    <w:bookmarkEnd w:id="805"/>
    <w:bookmarkEnd w:id="806"/>
    <w:bookmarkEnd w:id="839"/>
    <w:bookmarkEnd w:id="840"/>
    <w:bookmarkEnd w:id="841"/>
    <w:bookmarkEnd w:id="842"/>
    <w:bookmarkEnd w:id="843"/>
    <w:bookmarkEnd w:id="844"/>
    <w:bookmarkEnd w:id="845"/>
    <w:p w14:paraId="7BC20C8A">
      <w:pPr>
        <w:pStyle w:val="3"/>
        <w:pageBreakBefore w:val="0"/>
        <w:kinsoku/>
        <w:overflowPunct/>
        <w:topLinePunct w:val="0"/>
        <w:autoSpaceDE/>
        <w:autoSpaceDN/>
        <w:bidi w:val="0"/>
        <w:spacing w:beforeLines="50" w:afterLines="50" w:line="440" w:lineRule="exact"/>
        <w:ind w:firstLine="422" w:firstLineChars="200"/>
        <w:textAlignment w:val="auto"/>
        <w:rPr>
          <w:rFonts w:hint="eastAsia" w:ascii="宋体" w:hAnsi="宋体" w:eastAsia="宋体" w:cs="宋体"/>
          <w:color w:val="auto"/>
          <w:highlight w:val="none"/>
        </w:rPr>
      </w:pPr>
      <w:bookmarkStart w:id="849" w:name="_Toc95223410"/>
      <w:bookmarkStart w:id="850" w:name="_Toc35425128"/>
      <w:bookmarkStart w:id="851" w:name="_Toc35424962"/>
      <w:bookmarkStart w:id="852" w:name="_Toc15058927"/>
      <w:bookmarkStart w:id="853" w:name="_Toc506107333"/>
      <w:bookmarkStart w:id="854" w:name="_Toc152042546"/>
      <w:bookmarkStart w:id="855" w:name="_Toc152045767"/>
      <w:bookmarkStart w:id="856" w:name="_Toc179632785"/>
      <w:bookmarkStart w:id="857" w:name="_Toc144974826"/>
      <w:r>
        <w:rPr>
          <w:rFonts w:hint="eastAsia" w:ascii="宋体" w:hAnsi="宋体" w:eastAsia="宋体" w:cs="宋体"/>
          <w:color w:val="auto"/>
          <w:highlight w:val="none"/>
        </w:rPr>
        <w:t>7.评分标准</w:t>
      </w:r>
      <w:bookmarkEnd w:id="849"/>
    </w:p>
    <w:p w14:paraId="7967A07C">
      <w:pPr>
        <w:shd w:val="clear"/>
        <w:adjustRightInd w:val="0"/>
        <w:snapToGrid w:val="0"/>
        <w:spacing w:line="560" w:lineRule="exact"/>
        <w:ind w:firstLine="420" w:firstLineChars="200"/>
        <w:rPr>
          <w:rFonts w:hint="eastAsia" w:ascii="宋体" w:hAnsi="宋体" w:cs="宋体"/>
          <w:color w:val="auto"/>
          <w:szCs w:val="21"/>
          <w:highlight w:val="none"/>
        </w:rPr>
      </w:pPr>
      <w:bookmarkStart w:id="858" w:name="_Toc95223411"/>
      <w:r>
        <w:rPr>
          <w:rFonts w:hint="eastAsia" w:ascii="宋体" w:hAnsi="宋体" w:cs="宋体"/>
          <w:color w:val="auto"/>
          <w:szCs w:val="21"/>
          <w:highlight w:val="none"/>
        </w:rPr>
        <w:t>7.1评分标准：见资信、技术及商务评分表。</w:t>
      </w:r>
    </w:p>
    <w:p w14:paraId="1ED9F886">
      <w:pPr>
        <w:pStyle w:val="3"/>
        <w:pageBreakBefore w:val="0"/>
        <w:kinsoku/>
        <w:overflowPunct/>
        <w:topLinePunct w:val="0"/>
        <w:autoSpaceDE/>
        <w:autoSpaceDN/>
        <w:bidi w:val="0"/>
        <w:spacing w:beforeLines="50" w:afterLines="50" w:line="440" w:lineRule="exact"/>
        <w:ind w:firstLine="422"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8.评审结果</w:t>
      </w:r>
      <w:bookmarkEnd w:id="858"/>
    </w:p>
    <w:p w14:paraId="57B55835">
      <w:pPr>
        <w:shd w:val="clear"/>
        <w:adjustRightInd w:val="0"/>
        <w:snapToGrid w:val="0"/>
        <w:spacing w:line="560" w:lineRule="exact"/>
        <w:ind w:firstLine="420" w:firstLineChars="200"/>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8.1除第二章“投标人须知”及其前附表授权直接确定中标人外，评标委员会按照总得分由高到低顺序推荐中标候选人</w:t>
      </w:r>
      <w:r>
        <w:rPr>
          <w:rFonts w:hint="eastAsia" w:ascii="宋体" w:hAnsi="宋体" w:eastAsia="宋体" w:cs="宋体"/>
          <w:color w:val="auto"/>
          <w:szCs w:val="21"/>
          <w:highlight w:val="none"/>
          <w:lang w:eastAsia="zh-CN"/>
        </w:rPr>
        <w:t>。</w:t>
      </w:r>
    </w:p>
    <w:p w14:paraId="0586443D">
      <w:pPr>
        <w:shd w:val="clear"/>
        <w:adjustRightInd w:val="0"/>
        <w:snapToGrid w:val="0"/>
        <w:spacing w:line="56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8.2评标委员会完成评标后，应当向招标人提交书面评标报告。评标报告应当如实记载以下内容：</w:t>
      </w:r>
    </w:p>
    <w:p w14:paraId="60C496F3">
      <w:pPr>
        <w:pageBreakBefore w:val="0"/>
        <w:kinsoku/>
        <w:overflowPunct/>
        <w:topLinePunct w:val="0"/>
        <w:autoSpaceDE/>
        <w:autoSpaceDN/>
        <w:bidi w:val="0"/>
        <w:spacing w:line="440" w:lineRule="exact"/>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（1）基本情况和数据表。</w:t>
      </w:r>
    </w:p>
    <w:p w14:paraId="2FF38250">
      <w:pPr>
        <w:pageBreakBefore w:val="0"/>
        <w:kinsoku/>
        <w:overflowPunct/>
        <w:topLinePunct w:val="0"/>
        <w:autoSpaceDE/>
        <w:autoSpaceDN/>
        <w:bidi w:val="0"/>
        <w:spacing w:line="440" w:lineRule="exact"/>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（2）评标委员会成员名单。</w:t>
      </w:r>
    </w:p>
    <w:p w14:paraId="3E8F5A80">
      <w:pPr>
        <w:pageBreakBefore w:val="0"/>
        <w:kinsoku/>
        <w:overflowPunct/>
        <w:topLinePunct w:val="0"/>
        <w:autoSpaceDE/>
        <w:autoSpaceDN/>
        <w:bidi w:val="0"/>
        <w:spacing w:line="440" w:lineRule="exact"/>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（3）开标记录。</w:t>
      </w:r>
    </w:p>
    <w:p w14:paraId="77CE3783">
      <w:pPr>
        <w:pageBreakBefore w:val="0"/>
        <w:kinsoku/>
        <w:overflowPunct/>
        <w:topLinePunct w:val="0"/>
        <w:autoSpaceDE/>
        <w:autoSpaceDN/>
        <w:bidi w:val="0"/>
        <w:spacing w:line="440" w:lineRule="exact"/>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（4）符合要求的投标人一览表。</w:t>
      </w:r>
    </w:p>
    <w:p w14:paraId="1A0FCCDD">
      <w:pPr>
        <w:pageBreakBefore w:val="0"/>
        <w:kinsoku/>
        <w:overflowPunct/>
        <w:topLinePunct w:val="0"/>
        <w:autoSpaceDE/>
        <w:autoSpaceDN/>
        <w:bidi w:val="0"/>
        <w:spacing w:line="440" w:lineRule="exact"/>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（5）否决投标情况说明。</w:t>
      </w:r>
    </w:p>
    <w:p w14:paraId="18FE4A2D">
      <w:pPr>
        <w:pageBreakBefore w:val="0"/>
        <w:kinsoku/>
        <w:overflowPunct/>
        <w:topLinePunct w:val="0"/>
        <w:autoSpaceDE/>
        <w:autoSpaceDN/>
        <w:bidi w:val="0"/>
        <w:spacing w:line="440" w:lineRule="exact"/>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（6）评标标准、评标方法或者评标因素。</w:t>
      </w:r>
    </w:p>
    <w:p w14:paraId="4F8B3E86">
      <w:pPr>
        <w:pageBreakBefore w:val="0"/>
        <w:kinsoku/>
        <w:overflowPunct/>
        <w:topLinePunct w:val="0"/>
        <w:autoSpaceDE/>
        <w:autoSpaceDN/>
        <w:bidi w:val="0"/>
        <w:spacing w:line="440" w:lineRule="exact"/>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（7）经评审的价格比较一览表。</w:t>
      </w:r>
    </w:p>
    <w:p w14:paraId="4B89E24A">
      <w:pPr>
        <w:pageBreakBefore w:val="0"/>
        <w:kinsoku/>
        <w:overflowPunct/>
        <w:topLinePunct w:val="0"/>
        <w:autoSpaceDE/>
        <w:autoSpaceDN/>
        <w:bidi w:val="0"/>
        <w:spacing w:line="440" w:lineRule="exact"/>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（8）经评审的投标人排序。</w:t>
      </w:r>
    </w:p>
    <w:p w14:paraId="3C2A0C70">
      <w:pPr>
        <w:pageBreakBefore w:val="0"/>
        <w:kinsoku/>
        <w:overflowPunct/>
        <w:topLinePunct w:val="0"/>
        <w:autoSpaceDE/>
        <w:autoSpaceDN/>
        <w:bidi w:val="0"/>
        <w:spacing w:line="440" w:lineRule="exact"/>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（9）推荐的中标候选人名单与签订合同前要处理的事宜。</w:t>
      </w:r>
    </w:p>
    <w:p w14:paraId="03A977F1">
      <w:pPr>
        <w:pageBreakBefore w:val="0"/>
        <w:kinsoku/>
        <w:overflowPunct/>
        <w:topLinePunct w:val="0"/>
        <w:autoSpaceDE/>
        <w:autoSpaceDN/>
        <w:bidi w:val="0"/>
        <w:spacing w:line="440" w:lineRule="exact"/>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（10）澄清、说明、补正事项纪要。</w:t>
      </w:r>
    </w:p>
    <w:p w14:paraId="7CC0D938">
      <w:pPr>
        <w:pageBreakBefore w:val="0"/>
        <w:kinsoku/>
        <w:overflowPunct/>
        <w:topLinePunct w:val="0"/>
        <w:autoSpaceDE/>
        <w:autoSpaceDN/>
        <w:bidi w:val="0"/>
        <w:spacing w:line="440" w:lineRule="exact"/>
        <w:ind w:firstLine="420" w:firstLineChars="200"/>
        <w:jc w:val="left"/>
        <w:textAlignment w:val="auto"/>
        <w:rPr>
          <w:rFonts w:hint="eastAsia" w:ascii="宋体" w:hAnsi="宋体" w:eastAsia="宋体" w:cs="宋体"/>
          <w:color w:val="auto"/>
          <w:highlight w:val="none"/>
        </w:rPr>
      </w:pPr>
      <w:bookmarkStart w:id="859" w:name="_Toc95223412"/>
      <w:r>
        <w:rPr>
          <w:rFonts w:hint="eastAsia" w:ascii="宋体" w:hAnsi="宋体" w:eastAsia="宋体" w:cs="宋体"/>
          <w:color w:val="auto"/>
          <w:highlight w:val="none"/>
        </w:rPr>
        <w:t>8.3依法必须进行招标的项目，招标人应当确定排名第一的中标候选人为中标人。排名第一的中标候选人放弃中标、因不可抗力不能履行合同、不按照招标文件要求提交履约保证金，或者被查实存在影响中标结果的违法行为等情形，不符合中标条件的，招标人可以按照评标委员会提出的中标候选人名单排序依次确定其他中标候选人为中标人，也可以重新招标。</w:t>
      </w:r>
    </w:p>
    <w:p w14:paraId="15095E2F">
      <w:pPr>
        <w:pageBreakBefore w:val="0"/>
        <w:kinsoku/>
        <w:overflowPunct/>
        <w:topLinePunct w:val="0"/>
        <w:autoSpaceDE/>
        <w:autoSpaceDN/>
        <w:bidi w:val="0"/>
        <w:spacing w:line="440" w:lineRule="exact"/>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依法必须进行招标的项目，除第一中标候选人或者中标人以外的其他投标人存在串通投标、弄虚作假、行贿情形且在评标过程中未被发现的，视为对中标结果没有造成实质性影响，招标人可以依法继续开展招标活动。</w:t>
      </w:r>
    </w:p>
    <w:p w14:paraId="22FE37EA">
      <w:pPr>
        <w:pStyle w:val="3"/>
        <w:pageBreakBefore w:val="0"/>
        <w:kinsoku/>
        <w:overflowPunct/>
        <w:topLinePunct w:val="0"/>
        <w:autoSpaceDE/>
        <w:autoSpaceDN/>
        <w:bidi w:val="0"/>
        <w:spacing w:beforeLines="50" w:afterLines="50" w:line="440" w:lineRule="exact"/>
        <w:ind w:firstLine="422"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9.其他</w:t>
      </w:r>
      <w:bookmarkEnd w:id="859"/>
    </w:p>
    <w:p w14:paraId="754314B4">
      <w:pPr>
        <w:pageBreakBefore w:val="0"/>
        <w:kinsoku/>
        <w:overflowPunct/>
        <w:topLinePunct w:val="0"/>
        <w:autoSpaceDE/>
        <w:autoSpaceDN/>
        <w:bidi w:val="0"/>
        <w:adjustRightInd w:val="0"/>
        <w:snapToGrid w:val="0"/>
        <w:spacing w:line="440" w:lineRule="exact"/>
        <w:ind w:firstLine="420" w:firstLineChars="200"/>
        <w:textAlignment w:val="auto"/>
        <w:rPr>
          <w:color w:val="auto"/>
          <w:highlight w:val="none"/>
        </w:rPr>
        <w:sectPr>
          <w:footerReference r:id="rId9" w:type="default"/>
          <w:footnotePr>
            <w:numFmt w:val="decimalEnclosedCircleChinese"/>
            <w:numRestart w:val="eachPage"/>
          </w:footnotePr>
          <w:pgSz w:w="11907" w:h="16840"/>
          <w:pgMar w:top="1474" w:right="1474" w:bottom="1474" w:left="1474" w:header="799" w:footer="907" w:gutter="0"/>
          <w:pgNumType w:fmt="decimal" w:start="1"/>
          <w:cols w:space="720" w:num="1"/>
          <w:docGrid w:linePitch="271" w:charSpace="0"/>
        </w:sectPr>
      </w:pPr>
      <w:r>
        <w:rPr>
          <w:rFonts w:hint="eastAsia" w:ascii="宋体" w:hAnsi="宋体" w:cs="宋体"/>
          <w:color w:val="auto"/>
          <w:szCs w:val="21"/>
          <w:highlight w:val="none"/>
        </w:rPr>
        <w:t>投标人提供的与投标文件有关的各类证书、证明、文件、资料等的真实性、合法性由投标人负全责。</w:t>
      </w:r>
    </w:p>
    <w:p w14:paraId="65923B12">
      <w:pPr>
        <w:rPr>
          <w:rFonts w:hint="eastAsia"/>
          <w:color w:val="auto"/>
          <w:highlight w:val="none"/>
        </w:rPr>
      </w:pPr>
      <w:bookmarkStart w:id="860" w:name="_Toc78803397"/>
    </w:p>
    <w:bookmarkEnd w:id="850"/>
    <w:bookmarkEnd w:id="851"/>
    <w:bookmarkEnd w:id="852"/>
    <w:bookmarkEnd w:id="853"/>
    <w:bookmarkEnd w:id="860"/>
    <w:p w14:paraId="226BC7FC">
      <w:pPr>
        <w:pStyle w:val="2"/>
        <w:spacing w:beforeLines="50" w:afterLines="50"/>
        <w:rPr>
          <w:rFonts w:hint="eastAsia" w:ascii="Arial" w:hAnsi="Arial" w:eastAsia="宋体" w:cs="Times New Roman"/>
          <w:color w:val="auto"/>
          <w:kern w:val="0"/>
          <w:sz w:val="32"/>
          <w:szCs w:val="32"/>
          <w:highlight w:val="none"/>
          <w:lang w:val="en-US" w:eastAsia="zh-CN"/>
        </w:rPr>
      </w:pPr>
      <w:bookmarkStart w:id="861" w:name="_Toc16721"/>
      <w:r>
        <w:rPr>
          <w:rFonts w:hint="eastAsia" w:ascii="Arial" w:hAnsi="Arial" w:eastAsia="宋体" w:cs="Times New Roman"/>
          <w:color w:val="auto"/>
          <w:kern w:val="0"/>
          <w:sz w:val="32"/>
          <w:szCs w:val="32"/>
          <w:highlight w:val="none"/>
          <w:lang w:val="en-US" w:eastAsia="zh-CN"/>
        </w:rPr>
        <w:t>第五章  合同条款及格式</w:t>
      </w:r>
      <w:bookmarkEnd w:id="861"/>
    </w:p>
    <w:p w14:paraId="4CE3F04B">
      <w:pPr>
        <w:spacing w:line="360" w:lineRule="auto"/>
        <w:jc w:val="center"/>
        <w:rPr>
          <w:rFonts w:ascii="仿宋_GB2312" w:eastAsia="仿宋_GB2312"/>
          <w:b/>
          <w:color w:val="auto"/>
          <w:sz w:val="28"/>
          <w:szCs w:val="28"/>
          <w:highlight w:val="none"/>
        </w:rPr>
      </w:pPr>
    </w:p>
    <w:p w14:paraId="5957ECD4">
      <w:pPr>
        <w:jc w:val="center"/>
        <w:rPr>
          <w:rFonts w:hint="eastAsia" w:ascii="宋体" w:hAnsi="宋体" w:cs="宋体"/>
          <w:bCs/>
          <w:color w:val="auto"/>
          <w:sz w:val="32"/>
          <w:szCs w:val="32"/>
          <w:highlight w:val="none"/>
          <w:u w:val="single"/>
        </w:rPr>
      </w:pPr>
      <w:r>
        <w:rPr>
          <w:rFonts w:hint="eastAsia" w:ascii="宋体" w:hAnsi="宋体" w:cs="宋体"/>
          <w:bCs/>
          <w:color w:val="auto"/>
          <w:sz w:val="32"/>
          <w:szCs w:val="32"/>
          <w:highlight w:val="none"/>
        </w:rPr>
        <w:t>合同编号：</w:t>
      </w:r>
      <w:r>
        <w:rPr>
          <w:rFonts w:hint="eastAsia" w:ascii="宋体" w:hAnsi="宋体" w:cs="宋体"/>
          <w:bCs/>
          <w:color w:val="auto"/>
          <w:sz w:val="32"/>
          <w:szCs w:val="32"/>
          <w:highlight w:val="none"/>
          <w:u w:val="single"/>
        </w:rPr>
        <w:t>（HT-YL- ）</w:t>
      </w:r>
    </w:p>
    <w:p w14:paraId="00921190">
      <w:pPr>
        <w:ind w:firstLine="1771" w:firstLineChars="245"/>
        <w:rPr>
          <w:rFonts w:hint="eastAsia" w:ascii="宋体" w:hAnsi="宋体" w:cs="宋体"/>
          <w:b/>
          <w:color w:val="auto"/>
          <w:sz w:val="72"/>
          <w:szCs w:val="52"/>
          <w:highlight w:val="none"/>
        </w:rPr>
      </w:pPr>
    </w:p>
    <w:p w14:paraId="01221F91">
      <w:pPr>
        <w:jc w:val="center"/>
        <w:rPr>
          <w:rFonts w:hint="eastAsia" w:ascii="宋体" w:hAnsi="宋体" w:cs="宋体"/>
          <w:b/>
          <w:color w:val="auto"/>
          <w:sz w:val="52"/>
          <w:szCs w:val="52"/>
          <w:highlight w:val="none"/>
        </w:rPr>
      </w:pPr>
      <w:r>
        <w:rPr>
          <w:rFonts w:hint="eastAsia" w:ascii="宋体" w:hAnsi="宋体" w:cs="宋体"/>
          <w:b/>
          <w:color w:val="auto"/>
          <w:sz w:val="56"/>
          <w:szCs w:val="44"/>
          <w:highlight w:val="none"/>
          <w:lang w:eastAsia="zh-CN"/>
        </w:rPr>
        <w:t>琅琊区健康食品产业园（二期）屋顶分布式光伏发电项目</w:t>
      </w:r>
      <w:r>
        <w:rPr>
          <w:rFonts w:hint="eastAsia" w:ascii="宋体" w:hAnsi="宋体" w:cs="宋体"/>
          <w:b/>
          <w:color w:val="auto"/>
          <w:sz w:val="56"/>
          <w:szCs w:val="44"/>
          <w:highlight w:val="none"/>
        </w:rPr>
        <w:t>施工合同</w:t>
      </w:r>
      <w:r>
        <w:rPr>
          <w:rFonts w:hint="eastAsia" w:ascii="宋体" w:hAnsi="宋体" w:cs="宋体"/>
          <w:b/>
          <w:color w:val="auto"/>
          <w:sz w:val="52"/>
          <w:szCs w:val="52"/>
          <w:highlight w:val="none"/>
        </w:rPr>
        <w:br w:type="textWrapping"/>
      </w:r>
    </w:p>
    <w:p w14:paraId="48820318">
      <w:pPr>
        <w:jc w:val="center"/>
        <w:rPr>
          <w:rFonts w:hint="eastAsia" w:ascii="宋体" w:hAnsi="宋体" w:cs="宋体"/>
          <w:b/>
          <w:color w:val="auto"/>
          <w:sz w:val="52"/>
          <w:szCs w:val="52"/>
          <w:highlight w:val="none"/>
        </w:rPr>
      </w:pPr>
    </w:p>
    <w:p w14:paraId="2F116064">
      <w:pPr>
        <w:jc w:val="center"/>
        <w:rPr>
          <w:rFonts w:hint="eastAsia" w:ascii="宋体" w:hAnsi="宋体" w:cs="宋体"/>
          <w:b/>
          <w:color w:val="auto"/>
          <w:sz w:val="72"/>
          <w:szCs w:val="72"/>
          <w:highlight w:val="none"/>
        </w:rPr>
      </w:pPr>
    </w:p>
    <w:p w14:paraId="57BFE166">
      <w:pPr>
        <w:jc w:val="center"/>
        <w:rPr>
          <w:rFonts w:hint="eastAsia" w:ascii="宋体" w:hAnsi="宋体" w:cs="宋体"/>
          <w:b/>
          <w:color w:val="auto"/>
          <w:sz w:val="72"/>
          <w:szCs w:val="72"/>
          <w:highlight w:val="none"/>
        </w:rPr>
      </w:pPr>
    </w:p>
    <w:p w14:paraId="4ACEE727">
      <w:pPr>
        <w:jc w:val="center"/>
        <w:rPr>
          <w:rFonts w:hint="eastAsia" w:ascii="宋体" w:hAnsi="宋体" w:cs="宋体"/>
          <w:b/>
          <w:color w:val="auto"/>
          <w:sz w:val="52"/>
          <w:szCs w:val="52"/>
          <w:highlight w:val="none"/>
        </w:rPr>
      </w:pPr>
    </w:p>
    <w:p w14:paraId="24241A9D">
      <w:pPr>
        <w:rPr>
          <w:rFonts w:hint="eastAsia" w:ascii="宋体" w:hAnsi="宋体" w:cs="宋体"/>
          <w:b/>
          <w:color w:val="auto"/>
          <w:sz w:val="28"/>
          <w:szCs w:val="28"/>
          <w:highlight w:val="none"/>
        </w:rPr>
      </w:pPr>
    </w:p>
    <w:p w14:paraId="7E8F0CD5">
      <w:pPr>
        <w:pStyle w:val="14"/>
        <w:rPr>
          <w:rFonts w:hint="eastAsia" w:ascii="宋体" w:hAnsi="宋体" w:cs="宋体"/>
          <w:b/>
          <w:color w:val="auto"/>
          <w:sz w:val="28"/>
          <w:szCs w:val="28"/>
          <w:highlight w:val="none"/>
        </w:rPr>
      </w:pPr>
    </w:p>
    <w:p w14:paraId="07304872">
      <w:pPr>
        <w:rPr>
          <w:rFonts w:hint="eastAsia" w:ascii="宋体" w:hAnsi="宋体" w:cs="宋体"/>
          <w:b/>
          <w:color w:val="auto"/>
          <w:sz w:val="28"/>
          <w:szCs w:val="28"/>
          <w:highlight w:val="none"/>
        </w:rPr>
      </w:pPr>
    </w:p>
    <w:p w14:paraId="632E45DF">
      <w:pPr>
        <w:pStyle w:val="14"/>
        <w:rPr>
          <w:rFonts w:hint="eastAsia" w:ascii="宋体" w:hAnsi="宋体" w:cs="宋体"/>
          <w:b/>
          <w:color w:val="auto"/>
          <w:sz w:val="28"/>
          <w:szCs w:val="28"/>
          <w:highlight w:val="none"/>
        </w:rPr>
      </w:pPr>
    </w:p>
    <w:p w14:paraId="2591F34C">
      <w:pPr>
        <w:rPr>
          <w:rFonts w:hint="eastAsia"/>
          <w:color w:val="auto"/>
          <w:highlight w:val="none"/>
        </w:rPr>
      </w:pPr>
    </w:p>
    <w:p w14:paraId="6BF65F7C">
      <w:pPr>
        <w:pStyle w:val="27"/>
        <w:rPr>
          <w:rFonts w:hint="eastAsia" w:ascii="宋体" w:hAnsi="宋体" w:cs="宋体"/>
          <w:b/>
          <w:color w:val="auto"/>
          <w:sz w:val="28"/>
          <w:szCs w:val="28"/>
          <w:highlight w:val="none"/>
        </w:rPr>
      </w:pPr>
    </w:p>
    <w:p w14:paraId="6A708499">
      <w:pPr>
        <w:rPr>
          <w:b/>
          <w:color w:val="auto"/>
          <w:sz w:val="28"/>
          <w:szCs w:val="28"/>
          <w:highlight w:val="none"/>
        </w:rPr>
      </w:pPr>
    </w:p>
    <w:p w14:paraId="0EBB5AE7">
      <w:pPr>
        <w:jc w:val="center"/>
        <w:rPr>
          <w:b/>
          <w:color w:val="auto"/>
          <w:sz w:val="28"/>
          <w:szCs w:val="28"/>
          <w:highlight w:val="none"/>
        </w:rPr>
      </w:pPr>
    </w:p>
    <w:p w14:paraId="2405A6FC">
      <w:pPr>
        <w:jc w:val="center"/>
        <w:rPr>
          <w:b/>
          <w:color w:val="auto"/>
          <w:sz w:val="32"/>
          <w:szCs w:val="28"/>
          <w:highlight w:val="none"/>
        </w:rPr>
      </w:pPr>
      <w:r>
        <w:rPr>
          <w:color w:val="auto"/>
          <w:szCs w:val="22"/>
          <w:highlight w:val="none"/>
        </w:rPr>
        <mc:AlternateContent>
          <mc:Choice Requires="wps">
            <w:drawing>
              <wp:anchor distT="0" distB="0" distL="114300" distR="114300" simplePos="0" relativeHeight="251660288" behindDoc="0" locked="0" layoutInCell="1" allowOverlap="1">
                <wp:simplePos x="0" y="0"/>
                <wp:positionH relativeFrom="column">
                  <wp:posOffset>4495800</wp:posOffset>
                </wp:positionH>
                <wp:positionV relativeFrom="paragraph">
                  <wp:posOffset>213360</wp:posOffset>
                </wp:positionV>
                <wp:extent cx="723900" cy="457200"/>
                <wp:effectExtent l="4445" t="4445" r="14605" b="14605"/>
                <wp:wrapNone/>
                <wp:docPr id="30" name="文本框 30"/>
                <wp:cNvGraphicFramePr/>
                <a:graphic xmlns:a="http://schemas.openxmlformats.org/drawingml/2006/main">
                  <a:graphicData uri="http://schemas.microsoft.com/office/word/2010/wordprocessingShape">
                    <wps:wsp>
                      <wps:cNvSpPr txBox="1"/>
                      <wps:spPr>
                        <a:xfrm>
                          <a:off x="0" y="0"/>
                          <a:ext cx="723900" cy="457200"/>
                        </a:xfrm>
                        <a:prstGeom prst="rect">
                          <a:avLst/>
                        </a:prstGeom>
                        <a:noFill/>
                        <a:ln w="9525" cap="flat" cmpd="sng">
                          <a:solidFill>
                            <a:srgbClr val="FFFFFF"/>
                          </a:solidFill>
                          <a:prstDash val="solid"/>
                          <a:miter/>
                          <a:headEnd type="none" w="med" len="med"/>
                          <a:tailEnd type="none" w="med" len="med"/>
                        </a:ln>
                        <a:effectLst/>
                      </wps:spPr>
                      <wps:txbx>
                        <w:txbxContent>
                          <w:p w14:paraId="0C2B60C3">
                            <w:pPr>
                              <w:rPr>
                                <w:b/>
                                <w:bCs/>
                                <w:sz w:val="32"/>
                              </w:rPr>
                            </w:pPr>
                            <w:r>
                              <w:rPr>
                                <w:rFonts w:hint="eastAsia"/>
                                <w:b/>
                                <w:bCs/>
                                <w:sz w:val="32"/>
                              </w:rPr>
                              <w:t>制定</w:t>
                            </w:r>
                          </w:p>
                        </w:txbxContent>
                      </wps:txbx>
                      <wps:bodyPr upright="1"/>
                    </wps:wsp>
                  </a:graphicData>
                </a:graphic>
              </wp:anchor>
            </w:drawing>
          </mc:Choice>
          <mc:Fallback>
            <w:pict>
              <v:shape id="_x0000_s1026" o:spid="_x0000_s1026" o:spt="202" type="#_x0000_t202" style="position:absolute;left:0pt;margin-left:354pt;margin-top:16.8pt;height:36pt;width:57pt;z-index:251660288;mso-width-relative:page;mso-height-relative:page;" filled="f" stroked="t" coordsize="21600,21600" o:gfxdata="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7cypq2QAAAAoBAAAPAAAAAAAAAAEAIAAA&#10;ACIAAABkcnMvZG93bnJldi54bWxQSwECFAAUAAAACACHTuJA/8oVsQsCAAAcBAAADgAAAAAAAAAB&#10;ACAAAAAoAQAAZHJzL2Uyb0RvYy54bWxQSwUGAAAAAAYABgBZAQAApQUAAAAA&#10;">
                <v:fill on="f" focussize="0,0"/>
                <v:stroke color="#FFFFFF" joinstyle="miter"/>
                <v:imagedata o:title=""/>
                <o:lock v:ext="edit" aspectratio="f"/>
                <v:textbox>
                  <w:txbxContent>
                    <w:p w14:paraId="0C2B60C3">
                      <w:pPr>
                        <w:rPr>
                          <w:b/>
                          <w:bCs/>
                          <w:sz w:val="32"/>
                        </w:rPr>
                      </w:pPr>
                      <w:r>
                        <w:rPr>
                          <w:rFonts w:hint="eastAsia"/>
                          <w:b/>
                          <w:bCs/>
                          <w:sz w:val="32"/>
                        </w:rPr>
                        <w:t>制定</w:t>
                      </w:r>
                    </w:p>
                  </w:txbxContent>
                </v:textbox>
              </v:shape>
            </w:pict>
          </mc:Fallback>
        </mc:AlternateContent>
      </w:r>
      <w:r>
        <w:rPr>
          <w:rFonts w:hint="eastAsia"/>
          <w:b/>
          <w:color w:val="auto"/>
          <w:sz w:val="32"/>
          <w:szCs w:val="28"/>
          <w:highlight w:val="none"/>
        </w:rPr>
        <w:t>住房和城乡建设部</w:t>
      </w:r>
    </w:p>
    <w:p w14:paraId="7F94B3DC">
      <w:pPr>
        <w:jc w:val="center"/>
        <w:rPr>
          <w:rFonts w:hint="eastAsia" w:ascii="黑体" w:eastAsia="黑体" w:cs="黑体"/>
          <w:color w:val="auto"/>
          <w:highlight w:val="none"/>
        </w:rPr>
      </w:pPr>
      <w:r>
        <w:rPr>
          <w:rFonts w:hint="eastAsia"/>
          <w:b/>
          <w:color w:val="auto"/>
          <w:sz w:val="32"/>
          <w:szCs w:val="28"/>
          <w:highlight w:val="none"/>
        </w:rPr>
        <w:t>国家工商行政管理总局</w:t>
      </w:r>
    </w:p>
    <w:p w14:paraId="2758F104">
      <w:pPr>
        <w:rPr>
          <w:rFonts w:hint="eastAsia" w:ascii="黑体" w:eastAsia="黑体" w:cs="黑体"/>
          <w:color w:val="auto"/>
          <w:highlight w:val="none"/>
        </w:rPr>
      </w:pPr>
      <w:r>
        <w:rPr>
          <w:rFonts w:hint="eastAsia" w:ascii="黑体" w:eastAsia="黑体" w:cs="黑体"/>
          <w:color w:val="auto"/>
          <w:highlight w:val="none"/>
        </w:rPr>
        <w:br w:type="page"/>
      </w:r>
    </w:p>
    <w:p w14:paraId="5CFCB6A7">
      <w:pPr>
        <w:pStyle w:val="4"/>
        <w:jc w:val="center"/>
        <w:rPr>
          <w:rFonts w:ascii="黑体" w:eastAsia="黑体" w:cs="黑体"/>
          <w:b w:val="0"/>
          <w:color w:val="auto"/>
          <w:highlight w:val="none"/>
        </w:rPr>
      </w:pPr>
      <w:r>
        <w:rPr>
          <w:rFonts w:hint="eastAsia" w:ascii="黑体" w:eastAsia="黑体" w:cs="黑体"/>
          <w:color w:val="auto"/>
          <w:highlight w:val="none"/>
        </w:rPr>
        <w:t>第一节 合同协议书</w:t>
      </w:r>
    </w:p>
    <w:p w14:paraId="2A6C10D9">
      <w:pPr>
        <w:spacing w:line="440" w:lineRule="exact"/>
        <w:ind w:firstLine="420" w:firstLineChars="200"/>
        <w:rPr>
          <w:rFonts w:hint="eastAsia" w:ascii="宋体" w:cs="宋体"/>
          <w:color w:val="auto"/>
          <w:szCs w:val="21"/>
          <w:highlight w:val="none"/>
          <w:u w:val="single"/>
        </w:rPr>
      </w:pPr>
      <w:r>
        <w:rPr>
          <w:rFonts w:hint="eastAsia" w:ascii="宋体" w:cs="宋体"/>
          <w:color w:val="auto"/>
          <w:szCs w:val="21"/>
          <w:highlight w:val="none"/>
        </w:rPr>
        <w:t>发包人（全称）：</w:t>
      </w:r>
      <w:r>
        <w:rPr>
          <w:rFonts w:hint="eastAsia" w:ascii="宋体" w:cs="宋体"/>
          <w:color w:val="auto"/>
          <w:szCs w:val="21"/>
          <w:highlight w:val="none"/>
          <w:u w:val="single"/>
        </w:rPr>
        <w:t xml:space="preserve">    </w:t>
      </w:r>
      <w:r>
        <w:rPr>
          <w:rFonts w:hint="eastAsia" w:ascii="宋体" w:cs="宋体"/>
          <w:color w:val="auto"/>
          <w:szCs w:val="21"/>
          <w:highlight w:val="none"/>
          <w:u w:val="single"/>
          <w:lang w:eastAsia="zh-CN"/>
        </w:rPr>
        <w:t>安徽富邦建设工程有限公司</w:t>
      </w:r>
      <w:r>
        <w:rPr>
          <w:rFonts w:hint="eastAsia" w:ascii="宋体" w:cs="宋体"/>
          <w:color w:val="auto"/>
          <w:szCs w:val="21"/>
          <w:highlight w:val="none"/>
          <w:u w:val="single"/>
        </w:rPr>
        <w:t xml:space="preserve">  </w:t>
      </w:r>
    </w:p>
    <w:p w14:paraId="6B96C0CD">
      <w:pPr>
        <w:spacing w:line="440" w:lineRule="exact"/>
        <w:ind w:firstLine="420" w:firstLineChars="200"/>
        <w:rPr>
          <w:rFonts w:hint="eastAsia" w:ascii="宋体" w:cs="宋体"/>
          <w:color w:val="auto"/>
          <w:szCs w:val="21"/>
          <w:highlight w:val="none"/>
          <w:u w:val="single"/>
        </w:rPr>
      </w:pPr>
      <w:r>
        <w:rPr>
          <w:rFonts w:hint="eastAsia" w:ascii="宋体" w:cs="宋体"/>
          <w:color w:val="auto"/>
          <w:szCs w:val="21"/>
          <w:highlight w:val="none"/>
        </w:rPr>
        <w:t>承包人（全称）：</w:t>
      </w:r>
      <w:r>
        <w:rPr>
          <w:rFonts w:hint="eastAsia" w:ascii="宋体" w:cs="宋体"/>
          <w:color w:val="auto"/>
          <w:szCs w:val="21"/>
          <w:highlight w:val="none"/>
          <w:u w:val="single"/>
        </w:rPr>
        <w:t xml:space="preserve">                                    </w:t>
      </w:r>
    </w:p>
    <w:p w14:paraId="3DCEDB6F">
      <w:pPr>
        <w:spacing w:line="440" w:lineRule="exact"/>
        <w:ind w:firstLine="420" w:firstLineChars="200"/>
        <w:rPr>
          <w:rFonts w:hint="eastAsia" w:ascii="宋体" w:cs="宋体"/>
          <w:color w:val="auto"/>
          <w:szCs w:val="21"/>
          <w:highlight w:val="none"/>
        </w:rPr>
      </w:pPr>
      <w:r>
        <w:rPr>
          <w:rFonts w:hint="eastAsia" w:ascii="宋体" w:cs="宋体"/>
          <w:color w:val="auto"/>
          <w:szCs w:val="21"/>
          <w:highlight w:val="none"/>
        </w:rPr>
        <w:t>根据《中华人民共和国民法典》、《中华人民共和国建筑法》及有关法律规定，遵循平等、自愿、公平和诚实信用的原则，双方就</w:t>
      </w:r>
      <w:r>
        <w:rPr>
          <w:rFonts w:hint="eastAsia" w:ascii="宋体" w:cs="宋体"/>
          <w:color w:val="auto"/>
          <w:szCs w:val="21"/>
          <w:highlight w:val="none"/>
          <w:u w:val="single"/>
          <w:lang w:val="en-US" w:eastAsia="zh-CN"/>
        </w:rPr>
        <w:t xml:space="preserve"> 琅琊区健康食品产业园（二期）屋顶分布式光伏发电项目</w:t>
      </w:r>
      <w:r>
        <w:rPr>
          <w:rFonts w:hint="eastAsia" w:ascii="宋体" w:cs="宋体"/>
          <w:color w:val="auto"/>
          <w:szCs w:val="21"/>
          <w:highlight w:val="none"/>
          <w:u w:val="single"/>
        </w:rPr>
        <w:t xml:space="preserve"> </w:t>
      </w:r>
      <w:r>
        <w:rPr>
          <w:rFonts w:hint="eastAsia" w:ascii="宋体" w:cs="宋体"/>
          <w:color w:val="auto"/>
          <w:szCs w:val="21"/>
          <w:highlight w:val="none"/>
        </w:rPr>
        <w:t>施工及有关事项协商一致，共同达成如下协议：</w:t>
      </w:r>
    </w:p>
    <w:p w14:paraId="1300C206">
      <w:pPr>
        <w:pStyle w:val="5"/>
        <w:spacing w:before="0" w:after="0" w:line="440" w:lineRule="exact"/>
        <w:ind w:firstLine="420" w:firstLineChars="200"/>
        <w:rPr>
          <w:rFonts w:hint="eastAsia" w:ascii="宋体" w:eastAsia="宋体" w:cs="宋体"/>
          <w:bCs w:val="0"/>
          <w:color w:val="auto"/>
          <w:sz w:val="21"/>
          <w:szCs w:val="21"/>
          <w:highlight w:val="none"/>
        </w:rPr>
      </w:pPr>
      <w:r>
        <w:rPr>
          <w:rFonts w:hint="eastAsia" w:ascii="宋体" w:eastAsia="宋体" w:cs="宋体"/>
          <w:b w:val="0"/>
          <w:color w:val="auto"/>
          <w:sz w:val="21"/>
          <w:szCs w:val="21"/>
          <w:highlight w:val="none"/>
        </w:rPr>
        <w:t>一、工程概况</w:t>
      </w:r>
    </w:p>
    <w:p w14:paraId="236F5668">
      <w:pPr>
        <w:spacing w:line="440" w:lineRule="exact"/>
        <w:ind w:firstLine="420" w:firstLineChars="200"/>
        <w:rPr>
          <w:rFonts w:hint="eastAsia" w:ascii="宋体" w:cs="宋体"/>
          <w:color w:val="auto"/>
          <w:szCs w:val="21"/>
          <w:highlight w:val="none"/>
          <w:u w:val="single"/>
        </w:rPr>
      </w:pPr>
      <w:r>
        <w:rPr>
          <w:rFonts w:hint="eastAsia" w:ascii="宋体" w:cs="宋体"/>
          <w:bCs/>
          <w:color w:val="auto"/>
          <w:szCs w:val="21"/>
          <w:highlight w:val="none"/>
        </w:rPr>
        <w:t>1.工程名称</w:t>
      </w:r>
      <w:r>
        <w:rPr>
          <w:rFonts w:hint="eastAsia" w:ascii="宋体" w:cs="宋体"/>
          <w:color w:val="auto"/>
          <w:szCs w:val="21"/>
          <w:highlight w:val="none"/>
        </w:rPr>
        <w:t>：</w:t>
      </w:r>
      <w:r>
        <w:rPr>
          <w:rFonts w:hint="eastAsia" w:ascii="宋体" w:cs="宋体"/>
          <w:color w:val="auto"/>
          <w:szCs w:val="21"/>
          <w:highlight w:val="none"/>
          <w:u w:val="single"/>
        </w:rPr>
        <w:t xml:space="preserve">  </w:t>
      </w:r>
      <w:r>
        <w:rPr>
          <w:rFonts w:hint="eastAsia" w:ascii="宋体" w:cs="宋体"/>
          <w:color w:val="auto"/>
          <w:szCs w:val="21"/>
          <w:highlight w:val="none"/>
          <w:u w:val="single"/>
          <w:lang w:eastAsia="zh-CN"/>
        </w:rPr>
        <w:t xml:space="preserve">琅琊区健康食品产业园（二期）屋顶分布式光伏发电项目 </w:t>
      </w:r>
      <w:r>
        <w:rPr>
          <w:rFonts w:hint="eastAsia" w:ascii="宋体" w:cs="宋体"/>
          <w:color w:val="auto"/>
          <w:szCs w:val="21"/>
          <w:highlight w:val="none"/>
          <w:u w:val="single"/>
        </w:rPr>
        <w:t xml:space="preserve"> </w:t>
      </w:r>
      <w:r>
        <w:rPr>
          <w:rFonts w:hint="eastAsia" w:ascii="宋体" w:cs="宋体"/>
          <w:color w:val="auto"/>
          <w:szCs w:val="21"/>
          <w:highlight w:val="none"/>
        </w:rPr>
        <w:t>。</w:t>
      </w:r>
    </w:p>
    <w:p w14:paraId="05EDF5A6">
      <w:pPr>
        <w:spacing w:line="440" w:lineRule="exact"/>
        <w:ind w:firstLine="420" w:firstLineChars="200"/>
        <w:rPr>
          <w:rFonts w:hint="eastAsia" w:ascii="宋体" w:cs="宋体"/>
          <w:bCs/>
          <w:color w:val="auto"/>
          <w:szCs w:val="21"/>
          <w:highlight w:val="none"/>
        </w:rPr>
      </w:pPr>
      <w:r>
        <w:rPr>
          <w:rFonts w:hint="eastAsia" w:ascii="宋体" w:cs="宋体"/>
          <w:bCs/>
          <w:color w:val="auto"/>
          <w:szCs w:val="21"/>
          <w:highlight w:val="none"/>
        </w:rPr>
        <w:t>2.工程地点：</w:t>
      </w:r>
      <w:r>
        <w:rPr>
          <w:rFonts w:hint="eastAsia" w:ascii="宋体" w:cs="宋体"/>
          <w:color w:val="auto"/>
          <w:szCs w:val="21"/>
          <w:highlight w:val="none"/>
          <w:u w:val="single"/>
        </w:rPr>
        <w:t xml:space="preserve">  </w:t>
      </w:r>
      <w:r>
        <w:rPr>
          <w:rFonts w:hint="eastAsia" w:ascii="宋体" w:hAnsi="Times New Roman" w:eastAsia="宋体" w:cs="宋体"/>
          <w:color w:val="auto"/>
          <w:szCs w:val="21"/>
          <w:highlight w:val="none"/>
          <w:u w:val="single"/>
          <w:lang w:val="en-US" w:eastAsia="zh-CN"/>
        </w:rPr>
        <w:t>招标人指定地点</w:t>
      </w:r>
      <w:r>
        <w:rPr>
          <w:rFonts w:hint="eastAsia" w:ascii="宋体" w:cs="宋体"/>
          <w:color w:val="auto"/>
          <w:szCs w:val="21"/>
          <w:highlight w:val="none"/>
          <w:u w:val="single"/>
        </w:rPr>
        <w:t xml:space="preserve">  </w:t>
      </w:r>
      <w:r>
        <w:rPr>
          <w:rFonts w:hint="eastAsia" w:ascii="宋体" w:cs="宋体"/>
          <w:color w:val="auto"/>
          <w:szCs w:val="21"/>
          <w:highlight w:val="none"/>
        </w:rPr>
        <w:t>。</w:t>
      </w:r>
    </w:p>
    <w:p w14:paraId="2621E034">
      <w:pPr>
        <w:spacing w:line="440" w:lineRule="exact"/>
        <w:ind w:firstLine="420" w:firstLineChars="200"/>
        <w:rPr>
          <w:rFonts w:hint="eastAsia" w:ascii="宋体" w:hAnsi="Times New Roman" w:eastAsia="宋体" w:cs="宋体"/>
          <w:bCs/>
          <w:color w:val="auto"/>
          <w:szCs w:val="21"/>
          <w:highlight w:val="none"/>
          <w:u w:val="single"/>
        </w:rPr>
      </w:pPr>
      <w:r>
        <w:rPr>
          <w:rFonts w:hint="eastAsia" w:ascii="宋体" w:hAnsi="Times New Roman" w:eastAsia="宋体" w:cs="宋体"/>
          <w:bCs/>
          <w:color w:val="auto"/>
          <w:szCs w:val="21"/>
          <w:highlight w:val="none"/>
        </w:rPr>
        <w:t>3.工程立项批准文号：</w:t>
      </w:r>
      <w:r>
        <w:rPr>
          <w:rFonts w:hint="eastAsia" w:ascii="宋体" w:hAnsi="Times New Roman" w:eastAsia="宋体" w:cs="宋体"/>
          <w:bCs/>
          <w:color w:val="auto"/>
          <w:szCs w:val="21"/>
          <w:highlight w:val="none"/>
          <w:u w:val="single"/>
        </w:rPr>
        <w:t xml:space="preserve">                             。</w:t>
      </w:r>
    </w:p>
    <w:p w14:paraId="2A46B856">
      <w:pPr>
        <w:spacing w:line="440" w:lineRule="exact"/>
        <w:ind w:firstLine="420" w:firstLineChars="200"/>
        <w:rPr>
          <w:rFonts w:hint="eastAsia" w:ascii="宋体" w:hAnsi="Times New Roman" w:eastAsia="宋体" w:cs="宋体"/>
          <w:bCs/>
          <w:color w:val="auto"/>
          <w:szCs w:val="21"/>
          <w:highlight w:val="none"/>
          <w:u w:val="single"/>
        </w:rPr>
      </w:pPr>
      <w:r>
        <w:rPr>
          <w:rFonts w:hint="eastAsia" w:ascii="宋体" w:hAnsi="Times New Roman" w:eastAsia="宋体" w:cs="宋体"/>
          <w:bCs/>
          <w:color w:val="auto"/>
          <w:szCs w:val="21"/>
          <w:highlight w:val="none"/>
        </w:rPr>
        <w:t>4.资金来源：</w:t>
      </w:r>
      <w:r>
        <w:rPr>
          <w:rFonts w:hint="eastAsia" w:ascii="宋体" w:hAnsi="Times New Roman" w:eastAsia="宋体" w:cs="宋体"/>
          <w:bCs/>
          <w:color w:val="auto"/>
          <w:szCs w:val="21"/>
          <w:highlight w:val="none"/>
          <w:u w:val="single"/>
        </w:rPr>
        <w:t xml:space="preserve">         </w:t>
      </w:r>
      <w:r>
        <w:rPr>
          <w:rFonts w:hint="eastAsia" w:ascii="宋体" w:hAnsi="Times New Roman" w:eastAsia="宋体" w:cs="宋体"/>
          <w:bCs/>
          <w:color w:val="auto"/>
          <w:szCs w:val="21"/>
          <w:highlight w:val="none"/>
          <w:u w:val="single"/>
          <w:lang w:val="en-US" w:eastAsia="zh-CN"/>
        </w:rPr>
        <w:t>自筹资金</w:t>
      </w:r>
      <w:r>
        <w:rPr>
          <w:rFonts w:hint="eastAsia" w:ascii="宋体" w:hAnsi="Times New Roman" w:eastAsia="宋体" w:cs="宋体"/>
          <w:bCs/>
          <w:color w:val="auto"/>
          <w:szCs w:val="21"/>
          <w:highlight w:val="none"/>
          <w:u w:val="single"/>
        </w:rPr>
        <w:t xml:space="preserve">                  。</w:t>
      </w:r>
    </w:p>
    <w:p w14:paraId="2F00C2D8">
      <w:pPr>
        <w:spacing w:line="440" w:lineRule="exact"/>
        <w:ind w:firstLine="420" w:firstLineChars="200"/>
        <w:rPr>
          <w:rFonts w:hint="eastAsia" w:ascii="宋体" w:cs="宋体"/>
          <w:bCs/>
          <w:color w:val="auto"/>
          <w:szCs w:val="21"/>
          <w:highlight w:val="none"/>
        </w:rPr>
      </w:pPr>
      <w:r>
        <w:rPr>
          <w:rFonts w:hint="eastAsia" w:ascii="宋体" w:cs="宋体"/>
          <w:bCs/>
          <w:color w:val="auto"/>
          <w:szCs w:val="21"/>
          <w:highlight w:val="none"/>
        </w:rPr>
        <w:t>5.工程内容：</w:t>
      </w:r>
      <w:r>
        <w:rPr>
          <w:rFonts w:hint="eastAsia" w:ascii="宋体" w:hAnsi="Times New Roman" w:cs="宋体"/>
          <w:bCs/>
          <w:color w:val="auto"/>
          <w:szCs w:val="21"/>
          <w:highlight w:val="none"/>
          <w:u w:val="single"/>
          <w:lang w:val="en-US" w:eastAsia="zh-CN"/>
        </w:rPr>
        <w:t xml:space="preserve"> </w:t>
      </w:r>
      <w:r>
        <w:rPr>
          <w:rFonts w:hint="eastAsia" w:ascii="宋体" w:hAnsi="Times New Roman" w:eastAsia="宋体" w:cs="宋体"/>
          <w:bCs/>
          <w:color w:val="auto"/>
          <w:szCs w:val="21"/>
          <w:highlight w:val="none"/>
          <w:u w:val="single"/>
          <w:lang w:val="en-US" w:eastAsia="zh-CN"/>
        </w:rPr>
        <w:t xml:space="preserve">本工程施工图纸和工程量清单中的所有内容 </w:t>
      </w:r>
      <w:r>
        <w:rPr>
          <w:rFonts w:hint="eastAsia" w:ascii="宋体" w:cs="宋体"/>
          <w:bCs/>
          <w:color w:val="auto"/>
          <w:szCs w:val="21"/>
          <w:highlight w:val="none"/>
        </w:rPr>
        <w:t>。</w:t>
      </w:r>
    </w:p>
    <w:p w14:paraId="0B09708D">
      <w:pPr>
        <w:spacing w:line="440" w:lineRule="exact"/>
        <w:ind w:firstLine="420" w:firstLineChars="200"/>
        <w:rPr>
          <w:rFonts w:hint="eastAsia" w:ascii="宋体" w:cs="宋体"/>
          <w:bCs/>
          <w:color w:val="auto"/>
          <w:szCs w:val="21"/>
          <w:highlight w:val="none"/>
        </w:rPr>
      </w:pPr>
      <w:r>
        <w:rPr>
          <w:rFonts w:hint="eastAsia" w:ascii="宋体" w:cs="宋体"/>
          <w:color w:val="auto"/>
          <w:szCs w:val="21"/>
          <w:highlight w:val="none"/>
        </w:rPr>
        <w:t>群体工程应附《承包人承揽工程项目一览表》（附件1）。</w:t>
      </w:r>
    </w:p>
    <w:p w14:paraId="3EA9822A">
      <w:pPr>
        <w:spacing w:line="440" w:lineRule="exact"/>
        <w:ind w:firstLine="420" w:firstLineChars="200"/>
        <w:rPr>
          <w:rFonts w:hint="eastAsia" w:ascii="宋体" w:cs="宋体"/>
          <w:color w:val="auto"/>
          <w:szCs w:val="21"/>
          <w:highlight w:val="none"/>
        </w:rPr>
      </w:pPr>
      <w:r>
        <w:rPr>
          <w:rFonts w:hint="eastAsia" w:ascii="宋体" w:cs="宋体"/>
          <w:bCs/>
          <w:color w:val="auto"/>
          <w:szCs w:val="21"/>
          <w:highlight w:val="none"/>
        </w:rPr>
        <w:t>6.工程承包范围：</w:t>
      </w:r>
      <w:r>
        <w:rPr>
          <w:rFonts w:hint="eastAsia" w:ascii="宋体" w:cs="宋体"/>
          <w:color w:val="auto"/>
          <w:szCs w:val="21"/>
          <w:highlight w:val="none"/>
          <w:u w:val="single"/>
        </w:rPr>
        <w:t xml:space="preserve">  </w:t>
      </w:r>
      <w:r>
        <w:rPr>
          <w:rFonts w:hint="eastAsia" w:ascii="宋体" w:hAnsi="宋体" w:cs="宋体"/>
          <w:b/>
          <w:bCs/>
          <w:color w:val="auto"/>
          <w:szCs w:val="21"/>
          <w:highlight w:val="none"/>
          <w:u w:val="single"/>
        </w:rPr>
        <w:t>施工图纸</w:t>
      </w:r>
      <w:r>
        <w:rPr>
          <w:rFonts w:hint="eastAsia" w:ascii="宋体" w:hAnsi="宋体" w:cs="宋体"/>
          <w:b/>
          <w:bCs/>
          <w:strike w:val="0"/>
          <w:dstrike w:val="0"/>
          <w:color w:val="auto"/>
          <w:szCs w:val="21"/>
          <w:highlight w:val="none"/>
          <w:u w:val="single"/>
        </w:rPr>
        <w:t>和工程量清单</w:t>
      </w:r>
      <w:r>
        <w:rPr>
          <w:rFonts w:hint="eastAsia" w:ascii="宋体" w:hAnsi="宋体" w:cs="宋体"/>
          <w:b/>
          <w:bCs/>
          <w:color w:val="auto"/>
          <w:szCs w:val="21"/>
          <w:highlight w:val="none"/>
          <w:u w:val="single"/>
        </w:rPr>
        <w:t>载明的施工内容及施工过程中的变更调整内容（如施工图纸和工程量清单不一致，由</w:t>
      </w:r>
      <w:r>
        <w:rPr>
          <w:rFonts w:hint="eastAsia" w:ascii="宋体" w:hAnsi="宋体" w:cs="宋体"/>
          <w:b/>
          <w:bCs/>
          <w:color w:val="auto"/>
          <w:szCs w:val="21"/>
          <w:highlight w:val="none"/>
          <w:u w:val="single"/>
          <w:lang w:eastAsia="zh-CN"/>
        </w:rPr>
        <w:t>发包人</w:t>
      </w:r>
      <w:r>
        <w:rPr>
          <w:rFonts w:hint="eastAsia" w:ascii="宋体" w:hAnsi="宋体" w:cs="宋体"/>
          <w:b/>
          <w:bCs/>
          <w:color w:val="auto"/>
          <w:szCs w:val="21"/>
          <w:highlight w:val="none"/>
          <w:u w:val="single"/>
        </w:rPr>
        <w:t>负责解释</w:t>
      </w:r>
      <w:r>
        <w:rPr>
          <w:rFonts w:hint="eastAsia" w:ascii="宋体" w:hAnsi="宋体" w:cs="宋体"/>
          <w:color w:val="auto"/>
          <w:szCs w:val="21"/>
          <w:highlight w:val="none"/>
          <w:u w:val="single"/>
        </w:rPr>
        <w:t>）</w:t>
      </w:r>
      <w:r>
        <w:rPr>
          <w:rFonts w:hint="eastAsia" w:ascii="宋体" w:cs="宋体"/>
          <w:color w:val="auto"/>
          <w:szCs w:val="21"/>
          <w:highlight w:val="none"/>
          <w:u w:val="single"/>
        </w:rPr>
        <w:t></w:t>
      </w:r>
      <w:r>
        <w:rPr>
          <w:rFonts w:hint="eastAsia" w:ascii="宋体" w:cs="宋体"/>
          <w:color w:val="auto"/>
          <w:szCs w:val="21"/>
          <w:highlight w:val="none"/>
        </w:rPr>
        <w:t>。</w:t>
      </w:r>
    </w:p>
    <w:p w14:paraId="497ADE28">
      <w:pPr>
        <w:pStyle w:val="5"/>
        <w:spacing w:before="0" w:after="0" w:line="440" w:lineRule="exact"/>
        <w:ind w:firstLine="420" w:firstLineChars="200"/>
        <w:rPr>
          <w:rFonts w:hint="eastAsia" w:ascii="宋体" w:eastAsia="宋体" w:cs="宋体"/>
          <w:b w:val="0"/>
          <w:color w:val="auto"/>
          <w:sz w:val="21"/>
          <w:szCs w:val="21"/>
          <w:highlight w:val="none"/>
        </w:rPr>
      </w:pPr>
      <w:r>
        <w:rPr>
          <w:rFonts w:hint="eastAsia" w:ascii="宋体" w:eastAsia="宋体" w:cs="宋体"/>
          <w:b w:val="0"/>
          <w:color w:val="auto"/>
          <w:sz w:val="21"/>
          <w:szCs w:val="21"/>
          <w:highlight w:val="none"/>
        </w:rPr>
        <w:t>二、合同工期</w:t>
      </w:r>
    </w:p>
    <w:p w14:paraId="73E52071">
      <w:pPr>
        <w:spacing w:line="440" w:lineRule="exact"/>
        <w:ind w:firstLine="420" w:firstLineChars="200"/>
        <w:rPr>
          <w:rFonts w:hint="eastAsia" w:ascii="宋体" w:cs="宋体"/>
          <w:color w:val="auto"/>
          <w:szCs w:val="21"/>
          <w:highlight w:val="none"/>
        </w:rPr>
      </w:pPr>
      <w:r>
        <w:rPr>
          <w:rFonts w:hint="eastAsia" w:ascii="宋体" w:cs="宋体"/>
          <w:color w:val="auto"/>
          <w:szCs w:val="21"/>
          <w:highlight w:val="none"/>
        </w:rPr>
        <w:t>计划开工日期：</w:t>
      </w:r>
      <w:r>
        <w:rPr>
          <w:rFonts w:hint="eastAsia" w:ascii="宋体" w:cs="宋体"/>
          <w:color w:val="auto"/>
          <w:szCs w:val="21"/>
          <w:highlight w:val="none"/>
          <w:u w:val="single"/>
        </w:rPr>
        <w:t xml:space="preserve">       </w:t>
      </w:r>
      <w:r>
        <w:rPr>
          <w:rFonts w:hint="eastAsia" w:ascii="宋体" w:cs="宋体"/>
          <w:color w:val="auto"/>
          <w:szCs w:val="21"/>
          <w:highlight w:val="none"/>
        </w:rPr>
        <w:t>年</w:t>
      </w:r>
      <w:r>
        <w:rPr>
          <w:rFonts w:hint="eastAsia" w:ascii="宋体" w:cs="宋体"/>
          <w:color w:val="auto"/>
          <w:szCs w:val="21"/>
          <w:highlight w:val="none"/>
          <w:u w:val="single"/>
        </w:rPr>
        <w:t xml:space="preserve">          </w:t>
      </w:r>
      <w:r>
        <w:rPr>
          <w:rFonts w:hint="eastAsia" w:ascii="宋体" w:cs="宋体"/>
          <w:color w:val="auto"/>
          <w:szCs w:val="21"/>
          <w:highlight w:val="none"/>
        </w:rPr>
        <w:t>月</w:t>
      </w:r>
      <w:r>
        <w:rPr>
          <w:rFonts w:hint="eastAsia" w:ascii="宋体" w:cs="宋体"/>
          <w:color w:val="auto"/>
          <w:szCs w:val="21"/>
          <w:highlight w:val="none"/>
          <w:u w:val="single"/>
        </w:rPr>
        <w:t xml:space="preserve">       </w:t>
      </w:r>
      <w:r>
        <w:rPr>
          <w:rFonts w:hint="eastAsia" w:ascii="宋体" w:cs="宋体"/>
          <w:color w:val="auto"/>
          <w:szCs w:val="21"/>
          <w:highlight w:val="none"/>
        </w:rPr>
        <w:t>日。</w:t>
      </w:r>
      <w:r>
        <w:rPr>
          <w:rFonts w:hint="eastAsia" w:ascii="宋体" w:cs="宋体"/>
          <w:color w:val="auto"/>
          <w:szCs w:val="21"/>
          <w:highlight w:val="none"/>
          <w:lang w:eastAsia="zh-CN"/>
        </w:rPr>
        <w:t>（</w:t>
      </w:r>
      <w:r>
        <w:rPr>
          <w:rFonts w:hint="eastAsia" w:ascii="宋体" w:cs="宋体"/>
          <w:color w:val="auto"/>
          <w:szCs w:val="21"/>
          <w:highlight w:val="none"/>
        </w:rPr>
        <w:t>以开工令为准</w:t>
      </w:r>
      <w:r>
        <w:rPr>
          <w:rFonts w:hint="eastAsia" w:ascii="宋体" w:cs="宋体"/>
          <w:color w:val="auto"/>
          <w:szCs w:val="21"/>
          <w:highlight w:val="none"/>
          <w:lang w:eastAsia="zh-CN"/>
        </w:rPr>
        <w:t>）</w:t>
      </w:r>
    </w:p>
    <w:p w14:paraId="094895E8">
      <w:pPr>
        <w:spacing w:line="440" w:lineRule="exact"/>
        <w:ind w:firstLine="420" w:firstLineChars="200"/>
        <w:rPr>
          <w:rFonts w:hint="eastAsia" w:ascii="宋体" w:cs="宋体"/>
          <w:color w:val="auto"/>
          <w:szCs w:val="21"/>
          <w:highlight w:val="none"/>
        </w:rPr>
      </w:pPr>
      <w:r>
        <w:rPr>
          <w:rFonts w:hint="eastAsia" w:ascii="宋体" w:cs="宋体"/>
          <w:color w:val="auto"/>
          <w:szCs w:val="21"/>
          <w:highlight w:val="none"/>
        </w:rPr>
        <w:t>计划竣工日期：</w:t>
      </w:r>
      <w:r>
        <w:rPr>
          <w:rFonts w:hint="eastAsia" w:ascii="宋体" w:cs="宋体"/>
          <w:color w:val="auto"/>
          <w:szCs w:val="21"/>
          <w:highlight w:val="none"/>
          <w:u w:val="single"/>
        </w:rPr>
        <w:t xml:space="preserve">       </w:t>
      </w:r>
      <w:r>
        <w:rPr>
          <w:rFonts w:hint="eastAsia" w:ascii="宋体" w:cs="宋体"/>
          <w:color w:val="auto"/>
          <w:szCs w:val="21"/>
          <w:highlight w:val="none"/>
        </w:rPr>
        <w:t>年</w:t>
      </w:r>
      <w:r>
        <w:rPr>
          <w:rFonts w:hint="eastAsia" w:ascii="宋体" w:cs="宋体"/>
          <w:color w:val="auto"/>
          <w:szCs w:val="21"/>
          <w:highlight w:val="none"/>
          <w:u w:val="single"/>
        </w:rPr>
        <w:t xml:space="preserve">          </w:t>
      </w:r>
      <w:r>
        <w:rPr>
          <w:rFonts w:hint="eastAsia" w:ascii="宋体" w:cs="宋体"/>
          <w:color w:val="auto"/>
          <w:szCs w:val="21"/>
          <w:highlight w:val="none"/>
        </w:rPr>
        <w:t>月</w:t>
      </w:r>
      <w:r>
        <w:rPr>
          <w:rFonts w:hint="eastAsia" w:ascii="宋体" w:cs="宋体"/>
          <w:color w:val="auto"/>
          <w:szCs w:val="21"/>
          <w:highlight w:val="none"/>
          <w:u w:val="single"/>
        </w:rPr>
        <w:t xml:space="preserve">       </w:t>
      </w:r>
      <w:r>
        <w:rPr>
          <w:rFonts w:hint="eastAsia" w:ascii="宋体" w:cs="宋体"/>
          <w:color w:val="auto"/>
          <w:szCs w:val="21"/>
          <w:highlight w:val="none"/>
        </w:rPr>
        <w:t>日。</w:t>
      </w:r>
    </w:p>
    <w:p w14:paraId="1FB9E0BE">
      <w:pPr>
        <w:spacing w:line="440" w:lineRule="exact"/>
        <w:ind w:firstLine="420" w:firstLineChars="200"/>
        <w:rPr>
          <w:rFonts w:hint="eastAsia" w:ascii="宋体" w:cs="宋体"/>
          <w:color w:val="auto"/>
          <w:szCs w:val="21"/>
          <w:highlight w:val="none"/>
        </w:rPr>
      </w:pPr>
      <w:r>
        <w:rPr>
          <w:rFonts w:hint="eastAsia" w:ascii="宋体" w:cs="宋体"/>
          <w:color w:val="auto"/>
          <w:szCs w:val="21"/>
          <w:highlight w:val="none"/>
        </w:rPr>
        <w:t>工期总日历天数：</w:t>
      </w:r>
      <w:r>
        <w:rPr>
          <w:rFonts w:hint="eastAsia" w:ascii="宋体" w:cs="宋体"/>
          <w:color w:val="auto"/>
          <w:szCs w:val="21"/>
          <w:highlight w:val="none"/>
          <w:u w:val="single"/>
        </w:rPr>
        <w:t xml:space="preserve">  </w:t>
      </w:r>
      <w:r>
        <w:rPr>
          <w:rFonts w:hint="eastAsia" w:ascii="宋体" w:cs="宋体"/>
          <w:color w:val="auto"/>
          <w:szCs w:val="21"/>
          <w:highlight w:val="none"/>
          <w:u w:val="single"/>
          <w:lang w:val="en-US" w:eastAsia="zh-CN"/>
        </w:rPr>
        <w:t xml:space="preserve">  </w:t>
      </w:r>
      <w:r>
        <w:rPr>
          <w:rFonts w:hint="eastAsia" w:ascii="宋体" w:cs="宋体"/>
          <w:color w:val="auto"/>
          <w:szCs w:val="21"/>
          <w:highlight w:val="none"/>
          <w:u w:val="single"/>
        </w:rPr>
        <w:t xml:space="preserve">  </w:t>
      </w:r>
      <w:r>
        <w:rPr>
          <w:rFonts w:hint="eastAsia" w:ascii="宋体" w:cs="宋体"/>
          <w:color w:val="auto"/>
          <w:szCs w:val="21"/>
          <w:highlight w:val="none"/>
        </w:rPr>
        <w:t>天</w:t>
      </w:r>
      <w:r>
        <w:rPr>
          <w:rFonts w:hint="eastAsia" w:ascii="宋体" w:cs="宋体"/>
          <w:color w:val="auto"/>
          <w:szCs w:val="21"/>
          <w:highlight w:val="none"/>
          <w:lang w:eastAsia="zh-CN"/>
        </w:rPr>
        <w:t>。</w:t>
      </w:r>
      <w:r>
        <w:rPr>
          <w:rFonts w:hint="eastAsia" w:ascii="宋体" w:cs="宋体"/>
          <w:color w:val="auto"/>
          <w:szCs w:val="21"/>
          <w:highlight w:val="none"/>
        </w:rPr>
        <w:t>工期总日历天数与根据前述计划开竣工日期计算的工期天数不一致的，以工期总日历天数为准。</w:t>
      </w:r>
    </w:p>
    <w:p w14:paraId="5131FFEB">
      <w:pPr>
        <w:pStyle w:val="5"/>
        <w:spacing w:before="0" w:after="0" w:line="440" w:lineRule="exact"/>
        <w:ind w:firstLine="420" w:firstLineChars="200"/>
        <w:rPr>
          <w:rFonts w:hint="eastAsia" w:ascii="宋体" w:eastAsia="宋体" w:cs="宋体"/>
          <w:bCs w:val="0"/>
          <w:color w:val="auto"/>
          <w:sz w:val="21"/>
          <w:szCs w:val="21"/>
          <w:highlight w:val="none"/>
        </w:rPr>
      </w:pPr>
      <w:r>
        <w:rPr>
          <w:rFonts w:hint="eastAsia" w:ascii="宋体" w:eastAsia="宋体" w:cs="宋体"/>
          <w:b w:val="0"/>
          <w:color w:val="auto"/>
          <w:sz w:val="21"/>
          <w:szCs w:val="21"/>
          <w:highlight w:val="none"/>
        </w:rPr>
        <w:t>三、质量标准</w:t>
      </w:r>
    </w:p>
    <w:p w14:paraId="6380E96E">
      <w:pPr>
        <w:spacing w:line="440" w:lineRule="exact"/>
        <w:ind w:firstLine="420" w:firstLineChars="200"/>
        <w:rPr>
          <w:rFonts w:hint="eastAsia" w:ascii="宋体" w:cs="宋体"/>
          <w:color w:val="auto"/>
          <w:szCs w:val="21"/>
          <w:highlight w:val="none"/>
        </w:rPr>
      </w:pPr>
      <w:r>
        <w:rPr>
          <w:rFonts w:hint="eastAsia"/>
          <w:color w:val="auto"/>
          <w:szCs w:val="21"/>
          <w:highlight w:val="none"/>
        </w:rPr>
        <w:t>工程质量必须达到国家工程施工质量验收</w:t>
      </w:r>
      <w:r>
        <w:rPr>
          <w:rFonts w:hint="eastAsia"/>
          <w:b/>
          <w:color w:val="auto"/>
          <w:szCs w:val="21"/>
          <w:highlight w:val="none"/>
          <w:u w:val="single"/>
        </w:rPr>
        <w:t xml:space="preserve">  合格  </w:t>
      </w:r>
      <w:r>
        <w:rPr>
          <w:rFonts w:hint="eastAsia"/>
          <w:color w:val="auto"/>
          <w:szCs w:val="21"/>
          <w:highlight w:val="none"/>
        </w:rPr>
        <w:t>标准。</w:t>
      </w:r>
    </w:p>
    <w:p w14:paraId="5A41FA8D">
      <w:pPr>
        <w:pStyle w:val="5"/>
        <w:pageBreakBefore w:val="0"/>
        <w:widowControl w:val="0"/>
        <w:kinsoku/>
        <w:wordWrap/>
        <w:overflowPunct/>
        <w:topLinePunct w:val="0"/>
        <w:autoSpaceDE/>
        <w:autoSpaceDN/>
        <w:bidi w:val="0"/>
        <w:adjustRightInd/>
        <w:snapToGrid/>
        <w:spacing w:before="0" w:after="0" w:line="440" w:lineRule="exact"/>
        <w:ind w:firstLine="420" w:firstLineChars="200"/>
        <w:textAlignment w:val="auto"/>
        <w:rPr>
          <w:rFonts w:hint="eastAsia" w:ascii="宋体" w:eastAsia="宋体" w:cs="宋体"/>
          <w:bCs w:val="0"/>
          <w:color w:val="auto"/>
          <w:sz w:val="21"/>
          <w:szCs w:val="21"/>
          <w:highlight w:val="none"/>
        </w:rPr>
      </w:pPr>
      <w:r>
        <w:rPr>
          <w:rFonts w:hint="eastAsia" w:ascii="宋体" w:eastAsia="宋体" w:cs="宋体"/>
          <w:b w:val="0"/>
          <w:color w:val="auto"/>
          <w:sz w:val="21"/>
          <w:szCs w:val="21"/>
          <w:highlight w:val="none"/>
        </w:rPr>
        <w:t>四、签约合同价与合同价格形式</w:t>
      </w:r>
      <w:r>
        <w:rPr>
          <w:rFonts w:hint="eastAsia" w:ascii="宋体" w:eastAsia="宋体" w:cs="宋体"/>
          <w:b w:val="0"/>
          <w:color w:val="auto"/>
          <w:sz w:val="21"/>
          <w:szCs w:val="21"/>
          <w:highlight w:val="none"/>
        </w:rPr>
        <w:tab/>
      </w:r>
    </w:p>
    <w:p w14:paraId="2A2832C0">
      <w:pPr>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color w:val="auto"/>
          <w:szCs w:val="21"/>
          <w:highlight w:val="none"/>
          <w:u w:val="single"/>
          <w:lang w:val="en-US" w:eastAsia="zh-CN"/>
        </w:rPr>
      </w:pPr>
      <w:r>
        <w:rPr>
          <w:rFonts w:hint="eastAsia" w:ascii="宋体" w:hAnsi="宋体" w:cs="宋体"/>
          <w:color w:val="auto"/>
          <w:szCs w:val="21"/>
          <w:highlight w:val="none"/>
          <w:u w:val="single"/>
        </w:rPr>
        <w:t>1. 签约合同价为：人民币（大写）                 (¥          元)；</w:t>
      </w:r>
      <w:r>
        <w:rPr>
          <w:rFonts w:hint="eastAsia" w:ascii="宋体" w:hAnsi="宋体" w:cs="宋体"/>
          <w:color w:val="auto"/>
          <w:szCs w:val="21"/>
          <w:highlight w:val="none"/>
          <w:u w:val="single"/>
          <w:lang w:eastAsia="zh-CN"/>
        </w:rPr>
        <w:t>其中不含税价为　　　元，税费　　　　元。</w:t>
      </w:r>
    </w:p>
    <w:p w14:paraId="2319A16F">
      <w:pPr>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2. 合同价格形式：</w:t>
      </w:r>
      <w:r>
        <w:rPr>
          <w:rFonts w:hint="eastAsia" w:ascii="宋体" w:hAnsi="宋体" w:cs="宋体"/>
          <w:color w:val="auto"/>
          <w:szCs w:val="21"/>
          <w:highlight w:val="none"/>
          <w:u w:val="single"/>
        </w:rPr>
        <w:t xml:space="preserve">  </w:t>
      </w:r>
      <w:r>
        <w:rPr>
          <w:rFonts w:hint="eastAsia" w:ascii="宋体" w:hAnsi="宋体" w:eastAsia="宋体" w:cs="宋体"/>
          <w:b w:val="0"/>
          <w:bCs w:val="0"/>
          <w:color w:val="auto"/>
          <w:kern w:val="2"/>
          <w:sz w:val="21"/>
          <w:szCs w:val="21"/>
          <w:highlight w:val="none"/>
          <w:u w:val="single"/>
          <w:lang w:val="en-US" w:eastAsia="zh-CN" w:bidi="ar"/>
        </w:rPr>
        <w:t xml:space="preserve">固定单价合同 </w:t>
      </w:r>
      <w:r>
        <w:rPr>
          <w:rFonts w:hint="eastAsia" w:ascii="宋体" w:hAnsi="宋体" w:cs="宋体"/>
          <w:color w:val="auto"/>
          <w:szCs w:val="21"/>
          <w:highlight w:val="none"/>
          <w:u w:val="single"/>
        </w:rPr>
        <w:t></w:t>
      </w:r>
      <w:r>
        <w:rPr>
          <w:rFonts w:hint="eastAsia" w:ascii="宋体" w:hAnsi="宋体" w:cs="宋体"/>
          <w:color w:val="auto"/>
          <w:szCs w:val="21"/>
          <w:highlight w:val="none"/>
        </w:rPr>
        <w:t>。</w:t>
      </w:r>
    </w:p>
    <w:p w14:paraId="6952254A">
      <w:pPr>
        <w:pStyle w:val="5"/>
        <w:spacing w:before="0" w:after="0" w:line="440" w:lineRule="exact"/>
        <w:ind w:firstLine="420" w:firstLineChars="200"/>
        <w:rPr>
          <w:rFonts w:hint="eastAsia" w:ascii="宋体" w:eastAsia="宋体" w:cs="宋体"/>
          <w:b w:val="0"/>
          <w:color w:val="auto"/>
          <w:sz w:val="21"/>
          <w:szCs w:val="21"/>
          <w:highlight w:val="none"/>
        </w:rPr>
      </w:pPr>
      <w:r>
        <w:rPr>
          <w:rFonts w:hint="eastAsia" w:ascii="宋体" w:eastAsia="宋体" w:cs="宋体"/>
          <w:b w:val="0"/>
          <w:color w:val="auto"/>
          <w:sz w:val="21"/>
          <w:szCs w:val="21"/>
          <w:highlight w:val="none"/>
        </w:rPr>
        <w:t>五、项目</w:t>
      </w:r>
      <w:r>
        <w:rPr>
          <w:rFonts w:hint="eastAsia" w:ascii="宋体" w:eastAsia="宋体" w:cs="宋体"/>
          <w:b w:val="0"/>
          <w:color w:val="auto"/>
          <w:sz w:val="21"/>
          <w:szCs w:val="21"/>
          <w:highlight w:val="none"/>
          <w:lang w:val="en-US" w:eastAsia="zh-CN"/>
        </w:rPr>
        <w:t>经理</w:t>
      </w:r>
    </w:p>
    <w:p w14:paraId="71CB4DD1">
      <w:pPr>
        <w:spacing w:line="440" w:lineRule="exact"/>
        <w:ind w:firstLine="420" w:firstLineChars="200"/>
        <w:rPr>
          <w:rFonts w:hint="eastAsia" w:ascii="宋体" w:cs="宋体"/>
          <w:color w:val="auto"/>
          <w:szCs w:val="21"/>
          <w:highlight w:val="none"/>
        </w:rPr>
      </w:pPr>
      <w:r>
        <w:rPr>
          <w:rFonts w:hint="eastAsia" w:ascii="宋体" w:cs="宋体"/>
          <w:color w:val="auto"/>
          <w:szCs w:val="21"/>
          <w:highlight w:val="none"/>
        </w:rPr>
        <w:t>承包人项目经理：</w:t>
      </w:r>
      <w:r>
        <w:rPr>
          <w:rFonts w:hint="eastAsia" w:ascii="宋体" w:cs="宋体"/>
          <w:color w:val="auto"/>
          <w:szCs w:val="21"/>
          <w:highlight w:val="none"/>
          <w:u w:val="single"/>
        </w:rPr>
        <w:t xml:space="preserve">               </w:t>
      </w:r>
      <w:r>
        <w:rPr>
          <w:rFonts w:hint="eastAsia" w:ascii="宋体" w:cs="宋体"/>
          <w:color w:val="auto"/>
          <w:szCs w:val="21"/>
          <w:highlight w:val="none"/>
        </w:rPr>
        <w:t>。</w:t>
      </w:r>
    </w:p>
    <w:p w14:paraId="32977BEF">
      <w:pPr>
        <w:pStyle w:val="5"/>
        <w:spacing w:before="0" w:after="0" w:line="440" w:lineRule="exact"/>
        <w:ind w:firstLine="420" w:firstLineChars="200"/>
        <w:rPr>
          <w:rFonts w:hint="eastAsia" w:ascii="宋体" w:eastAsia="宋体" w:cs="宋体"/>
          <w:bCs w:val="0"/>
          <w:color w:val="auto"/>
          <w:sz w:val="21"/>
          <w:szCs w:val="21"/>
          <w:highlight w:val="none"/>
        </w:rPr>
      </w:pPr>
      <w:r>
        <w:rPr>
          <w:rFonts w:hint="eastAsia" w:ascii="宋体" w:eastAsia="宋体" w:cs="宋体"/>
          <w:b w:val="0"/>
          <w:color w:val="auto"/>
          <w:sz w:val="21"/>
          <w:szCs w:val="21"/>
          <w:highlight w:val="none"/>
        </w:rPr>
        <w:t>六、合同文件构成</w:t>
      </w:r>
    </w:p>
    <w:p w14:paraId="3F438B89">
      <w:pPr>
        <w:spacing w:line="440" w:lineRule="exact"/>
        <w:ind w:firstLine="420" w:firstLineChars="200"/>
        <w:rPr>
          <w:rFonts w:hint="eastAsia" w:ascii="宋体" w:cs="宋体"/>
          <w:bCs/>
          <w:color w:val="auto"/>
          <w:szCs w:val="21"/>
          <w:highlight w:val="none"/>
        </w:rPr>
      </w:pPr>
      <w:r>
        <w:rPr>
          <w:rFonts w:hint="eastAsia" w:ascii="宋体" w:cs="宋体"/>
          <w:bCs/>
          <w:color w:val="auto"/>
          <w:szCs w:val="21"/>
          <w:highlight w:val="none"/>
        </w:rPr>
        <w:t>本协议书与下列文件一起构成合同文件：</w:t>
      </w:r>
    </w:p>
    <w:p w14:paraId="45E7BAD1">
      <w:pPr>
        <w:autoSpaceDE w:val="0"/>
        <w:autoSpaceDN w:val="0"/>
        <w:adjustRightInd w:val="0"/>
        <w:snapToGrid w:val="0"/>
        <w:spacing w:line="440" w:lineRule="exact"/>
        <w:ind w:firstLine="420" w:firstLineChars="200"/>
        <w:jc w:val="left"/>
        <w:rPr>
          <w:rFonts w:hint="eastAsia" w:ascii="宋体" w:cs="宋体"/>
          <w:color w:val="auto"/>
          <w:szCs w:val="21"/>
          <w:highlight w:val="none"/>
        </w:rPr>
      </w:pPr>
      <w:r>
        <w:rPr>
          <w:rFonts w:hint="eastAsia" w:ascii="宋体" w:cs="宋体"/>
          <w:color w:val="auto"/>
          <w:szCs w:val="21"/>
          <w:highlight w:val="none"/>
        </w:rPr>
        <w:t>（1）中</w:t>
      </w:r>
      <w:r>
        <w:rPr>
          <w:rFonts w:hint="eastAsia" w:ascii="宋体" w:cs="宋体"/>
          <w:color w:val="auto"/>
          <w:szCs w:val="21"/>
          <w:highlight w:val="none"/>
          <w:lang w:val="en-US" w:eastAsia="zh-CN"/>
        </w:rPr>
        <w:t>标</w:t>
      </w:r>
      <w:r>
        <w:rPr>
          <w:rFonts w:hint="eastAsia" w:ascii="宋体" w:cs="宋体"/>
          <w:color w:val="auto"/>
          <w:szCs w:val="21"/>
          <w:highlight w:val="none"/>
        </w:rPr>
        <w:t>通知书；</w:t>
      </w:r>
    </w:p>
    <w:p w14:paraId="53227739">
      <w:pPr>
        <w:autoSpaceDE w:val="0"/>
        <w:autoSpaceDN w:val="0"/>
        <w:adjustRightInd w:val="0"/>
        <w:snapToGrid w:val="0"/>
        <w:spacing w:line="440" w:lineRule="exact"/>
        <w:ind w:firstLine="420" w:firstLineChars="200"/>
        <w:jc w:val="left"/>
        <w:rPr>
          <w:rFonts w:hint="eastAsia" w:ascii="宋体" w:cs="宋体"/>
          <w:color w:val="auto"/>
          <w:szCs w:val="21"/>
          <w:highlight w:val="none"/>
        </w:rPr>
      </w:pPr>
      <w:r>
        <w:rPr>
          <w:rFonts w:hint="eastAsia" w:ascii="宋体" w:cs="宋体"/>
          <w:color w:val="auto"/>
          <w:szCs w:val="21"/>
          <w:highlight w:val="none"/>
        </w:rPr>
        <w:t xml:space="preserve">（2）确认函及其附录； </w:t>
      </w:r>
    </w:p>
    <w:p w14:paraId="46087623">
      <w:pPr>
        <w:autoSpaceDE w:val="0"/>
        <w:autoSpaceDN w:val="0"/>
        <w:adjustRightInd w:val="0"/>
        <w:snapToGrid w:val="0"/>
        <w:spacing w:line="440" w:lineRule="exact"/>
        <w:ind w:firstLine="420" w:firstLineChars="200"/>
        <w:jc w:val="left"/>
        <w:rPr>
          <w:rFonts w:hint="eastAsia" w:ascii="宋体" w:cs="宋体"/>
          <w:color w:val="auto"/>
          <w:szCs w:val="21"/>
          <w:highlight w:val="none"/>
        </w:rPr>
      </w:pPr>
      <w:r>
        <w:rPr>
          <w:rFonts w:hint="eastAsia" w:ascii="宋体" w:cs="宋体"/>
          <w:color w:val="auto"/>
          <w:szCs w:val="21"/>
          <w:highlight w:val="none"/>
        </w:rPr>
        <w:t>（3）专用合同条款及其附件；</w:t>
      </w:r>
    </w:p>
    <w:p w14:paraId="39FFA3B8">
      <w:pPr>
        <w:autoSpaceDE w:val="0"/>
        <w:autoSpaceDN w:val="0"/>
        <w:adjustRightInd w:val="0"/>
        <w:snapToGrid w:val="0"/>
        <w:spacing w:line="440" w:lineRule="exact"/>
        <w:ind w:firstLine="420" w:firstLineChars="200"/>
        <w:jc w:val="left"/>
        <w:rPr>
          <w:rFonts w:hint="eastAsia" w:ascii="宋体" w:cs="宋体"/>
          <w:color w:val="auto"/>
          <w:szCs w:val="21"/>
          <w:highlight w:val="none"/>
        </w:rPr>
      </w:pPr>
      <w:r>
        <w:rPr>
          <w:rFonts w:hint="eastAsia" w:ascii="宋体" w:cs="宋体"/>
          <w:color w:val="auto"/>
          <w:szCs w:val="21"/>
          <w:highlight w:val="none"/>
        </w:rPr>
        <w:t>（4）通用合同条款；</w:t>
      </w:r>
    </w:p>
    <w:p w14:paraId="36334CD8">
      <w:pPr>
        <w:autoSpaceDE w:val="0"/>
        <w:autoSpaceDN w:val="0"/>
        <w:adjustRightInd w:val="0"/>
        <w:snapToGrid w:val="0"/>
        <w:spacing w:line="440" w:lineRule="exact"/>
        <w:ind w:firstLine="420" w:firstLineChars="200"/>
        <w:jc w:val="left"/>
        <w:rPr>
          <w:rFonts w:hint="eastAsia" w:ascii="宋体" w:cs="宋体"/>
          <w:color w:val="auto"/>
          <w:szCs w:val="21"/>
          <w:highlight w:val="none"/>
        </w:rPr>
      </w:pPr>
      <w:r>
        <w:rPr>
          <w:rFonts w:hint="eastAsia" w:ascii="宋体" w:cs="宋体"/>
          <w:color w:val="auto"/>
          <w:szCs w:val="21"/>
          <w:highlight w:val="none"/>
        </w:rPr>
        <w:t>（5）技术标准和要求；</w:t>
      </w:r>
    </w:p>
    <w:p w14:paraId="30225A2D">
      <w:pPr>
        <w:autoSpaceDE w:val="0"/>
        <w:autoSpaceDN w:val="0"/>
        <w:adjustRightInd w:val="0"/>
        <w:snapToGrid w:val="0"/>
        <w:spacing w:line="440" w:lineRule="exact"/>
        <w:ind w:firstLine="420" w:firstLineChars="200"/>
        <w:jc w:val="left"/>
        <w:rPr>
          <w:rFonts w:hint="eastAsia" w:ascii="宋体" w:cs="宋体"/>
          <w:color w:val="auto"/>
          <w:szCs w:val="21"/>
          <w:highlight w:val="none"/>
        </w:rPr>
      </w:pPr>
      <w:r>
        <w:rPr>
          <w:rFonts w:hint="eastAsia" w:ascii="宋体" w:cs="宋体"/>
          <w:color w:val="auto"/>
          <w:szCs w:val="21"/>
          <w:highlight w:val="none"/>
        </w:rPr>
        <w:t>（6）图纸；</w:t>
      </w:r>
    </w:p>
    <w:p w14:paraId="0F8AFA18">
      <w:pPr>
        <w:autoSpaceDE w:val="0"/>
        <w:autoSpaceDN w:val="0"/>
        <w:adjustRightInd w:val="0"/>
        <w:snapToGrid w:val="0"/>
        <w:spacing w:line="440" w:lineRule="exact"/>
        <w:ind w:firstLine="420" w:firstLineChars="200"/>
        <w:jc w:val="left"/>
        <w:rPr>
          <w:rFonts w:hint="eastAsia" w:ascii="宋体" w:cs="宋体"/>
          <w:color w:val="auto"/>
          <w:szCs w:val="21"/>
          <w:highlight w:val="none"/>
        </w:rPr>
      </w:pPr>
      <w:r>
        <w:rPr>
          <w:rFonts w:hint="eastAsia" w:ascii="宋体" w:cs="宋体"/>
          <w:color w:val="auto"/>
          <w:szCs w:val="21"/>
          <w:highlight w:val="none"/>
        </w:rPr>
        <w:t>（7）已标价工程量清单或预算书；</w:t>
      </w:r>
    </w:p>
    <w:p w14:paraId="5EB9179B">
      <w:pPr>
        <w:spacing w:line="440" w:lineRule="exact"/>
        <w:ind w:firstLine="420" w:firstLineChars="200"/>
        <w:rPr>
          <w:rFonts w:hint="eastAsia" w:ascii="宋体" w:hAnsi="Times New Roman" w:eastAsia="宋体" w:cs="宋体"/>
          <w:color w:val="auto"/>
          <w:szCs w:val="21"/>
          <w:highlight w:val="none"/>
        </w:rPr>
      </w:pPr>
      <w:r>
        <w:rPr>
          <w:rFonts w:hint="eastAsia" w:ascii="宋体" w:hAnsi="Times New Roman" w:eastAsia="宋体" w:cs="宋体"/>
          <w:color w:val="auto"/>
          <w:szCs w:val="21"/>
          <w:highlight w:val="none"/>
        </w:rPr>
        <w:t>（8）其他合同文件。</w:t>
      </w:r>
    </w:p>
    <w:p w14:paraId="6BD3A458">
      <w:pPr>
        <w:spacing w:line="440" w:lineRule="exact"/>
        <w:ind w:firstLine="420" w:firstLineChars="200"/>
        <w:rPr>
          <w:rFonts w:hint="eastAsia" w:ascii="宋体" w:hAnsi="Times New Roman" w:eastAsia="宋体" w:cs="宋体"/>
          <w:color w:val="auto"/>
          <w:szCs w:val="21"/>
          <w:highlight w:val="none"/>
        </w:rPr>
      </w:pPr>
      <w:r>
        <w:rPr>
          <w:rFonts w:hint="eastAsia" w:ascii="宋体" w:hAnsi="Times New Roman" w:eastAsia="宋体" w:cs="宋体"/>
          <w:color w:val="auto"/>
          <w:szCs w:val="21"/>
          <w:highlight w:val="none"/>
        </w:rPr>
        <w:t>在合同订立及履行过程中形成的与合同有关的文件均构成合同文件组成部分。</w:t>
      </w:r>
    </w:p>
    <w:p w14:paraId="7E9714A5">
      <w:pPr>
        <w:spacing w:line="440" w:lineRule="exact"/>
        <w:ind w:firstLine="420" w:firstLineChars="200"/>
        <w:rPr>
          <w:rFonts w:hint="eastAsia" w:ascii="宋体" w:hAnsi="Times New Roman" w:eastAsia="宋体" w:cs="宋体"/>
          <w:color w:val="auto"/>
          <w:szCs w:val="21"/>
          <w:highlight w:val="none"/>
        </w:rPr>
      </w:pPr>
      <w:r>
        <w:rPr>
          <w:rFonts w:hint="eastAsia" w:ascii="宋体" w:hAnsi="Times New Roman" w:eastAsia="宋体" w:cs="宋体"/>
          <w:color w:val="auto"/>
          <w:szCs w:val="21"/>
          <w:highlight w:val="none"/>
        </w:rPr>
        <w:t>上述各项合同文件包括合同当事人就该项合同文件所作出的补充和修改，属于同一类内容的文件，应以最新签署的为准。专用合同条款及其附件须经合同当事人签字或盖章。</w:t>
      </w:r>
    </w:p>
    <w:p w14:paraId="16010B41">
      <w:pPr>
        <w:pStyle w:val="5"/>
        <w:spacing w:before="0" w:after="0" w:line="440" w:lineRule="exact"/>
        <w:ind w:firstLine="420" w:firstLineChars="200"/>
        <w:rPr>
          <w:rFonts w:hint="eastAsia" w:ascii="宋体" w:eastAsia="宋体" w:cs="宋体"/>
          <w:b w:val="0"/>
          <w:bCs w:val="0"/>
          <w:color w:val="auto"/>
          <w:sz w:val="21"/>
          <w:szCs w:val="21"/>
          <w:highlight w:val="none"/>
        </w:rPr>
      </w:pPr>
      <w:r>
        <w:rPr>
          <w:rFonts w:hint="eastAsia" w:ascii="宋体" w:eastAsia="宋体" w:cs="宋体"/>
          <w:b w:val="0"/>
          <w:color w:val="auto"/>
          <w:sz w:val="21"/>
          <w:szCs w:val="21"/>
          <w:highlight w:val="none"/>
        </w:rPr>
        <w:t>七、承诺</w:t>
      </w:r>
    </w:p>
    <w:p w14:paraId="4EB03A8A">
      <w:pPr>
        <w:spacing w:line="440" w:lineRule="exact"/>
        <w:ind w:firstLine="420" w:firstLineChars="200"/>
        <w:rPr>
          <w:rFonts w:hint="eastAsia" w:ascii="宋体" w:cs="宋体"/>
          <w:bCs/>
          <w:color w:val="auto"/>
          <w:szCs w:val="21"/>
          <w:highlight w:val="none"/>
        </w:rPr>
      </w:pPr>
      <w:r>
        <w:rPr>
          <w:rFonts w:hint="eastAsia" w:ascii="宋体" w:cs="宋体"/>
          <w:bCs/>
          <w:color w:val="auto"/>
          <w:szCs w:val="21"/>
          <w:highlight w:val="none"/>
        </w:rPr>
        <w:t>1.发包人承诺按照法律规定履行项目审批手续、筹集工程建设资金并按照合同约定的期限和方式支付合同价款。</w:t>
      </w:r>
    </w:p>
    <w:p w14:paraId="3C0F0D61">
      <w:pPr>
        <w:spacing w:line="440" w:lineRule="exact"/>
        <w:ind w:firstLine="420" w:firstLineChars="200"/>
        <w:rPr>
          <w:rFonts w:hint="eastAsia" w:ascii="宋体" w:cs="宋体"/>
          <w:bCs/>
          <w:color w:val="auto"/>
          <w:szCs w:val="21"/>
          <w:highlight w:val="none"/>
        </w:rPr>
      </w:pPr>
      <w:r>
        <w:rPr>
          <w:rFonts w:hint="eastAsia" w:ascii="宋体" w:cs="宋体"/>
          <w:bCs/>
          <w:color w:val="auto"/>
          <w:szCs w:val="21"/>
          <w:highlight w:val="none"/>
        </w:rPr>
        <w:t>2.承包人承诺按照法律规定及合同约定组织完成工程施工，确保工程质量和安全，不进行转包及违法分包，并在缺陷责任期及保修期内承担相应的工程维修责任。</w:t>
      </w:r>
    </w:p>
    <w:p w14:paraId="2928C31B">
      <w:pPr>
        <w:spacing w:line="440" w:lineRule="exact"/>
        <w:ind w:firstLine="420" w:firstLineChars="200"/>
        <w:rPr>
          <w:rFonts w:hint="eastAsia" w:ascii="宋体" w:cs="宋体"/>
          <w:bCs/>
          <w:color w:val="auto"/>
          <w:szCs w:val="21"/>
          <w:highlight w:val="none"/>
        </w:rPr>
      </w:pPr>
      <w:r>
        <w:rPr>
          <w:rFonts w:hint="eastAsia" w:ascii="宋体" w:cs="宋体"/>
          <w:bCs/>
          <w:color w:val="auto"/>
          <w:szCs w:val="21"/>
          <w:highlight w:val="none"/>
        </w:rPr>
        <w:t>3.发包人和承包人通过招投标形式签订合同的，双方理解并承诺不再就同一工程另行签订与合同实质性内容相背离的协议。</w:t>
      </w:r>
    </w:p>
    <w:p w14:paraId="08E1DCA2">
      <w:pPr>
        <w:spacing w:line="440" w:lineRule="exact"/>
        <w:ind w:firstLine="420" w:firstLineChars="200"/>
        <w:rPr>
          <w:rFonts w:hint="eastAsia" w:ascii="宋体" w:cs="宋体"/>
          <w:bCs/>
          <w:color w:val="auto"/>
          <w:szCs w:val="21"/>
          <w:highlight w:val="none"/>
        </w:rPr>
      </w:pPr>
      <w:r>
        <w:rPr>
          <w:rFonts w:hint="eastAsia" w:ascii="宋体" w:cs="宋体"/>
          <w:color w:val="auto"/>
          <w:szCs w:val="21"/>
          <w:highlight w:val="none"/>
        </w:rPr>
        <w:t>八、词语含义</w:t>
      </w:r>
    </w:p>
    <w:p w14:paraId="31689870">
      <w:pPr>
        <w:spacing w:line="440" w:lineRule="exact"/>
        <w:ind w:firstLine="420" w:firstLineChars="200"/>
        <w:rPr>
          <w:rFonts w:hint="eastAsia" w:ascii="宋体" w:cs="宋体"/>
          <w:bCs/>
          <w:color w:val="auto"/>
          <w:szCs w:val="21"/>
          <w:highlight w:val="none"/>
        </w:rPr>
      </w:pPr>
      <w:r>
        <w:rPr>
          <w:rFonts w:hint="eastAsia" w:ascii="宋体" w:cs="宋体"/>
          <w:bCs/>
          <w:color w:val="auto"/>
          <w:szCs w:val="21"/>
          <w:highlight w:val="none"/>
        </w:rPr>
        <w:t>本协议书中词语含义与第二部分通用合同条款中赋予的含义相同。</w:t>
      </w:r>
    </w:p>
    <w:p w14:paraId="31603E32">
      <w:pPr>
        <w:pStyle w:val="5"/>
        <w:spacing w:before="0" w:after="0" w:line="440" w:lineRule="exact"/>
        <w:ind w:firstLine="420" w:firstLineChars="200"/>
        <w:rPr>
          <w:rFonts w:hint="eastAsia" w:ascii="宋体" w:eastAsia="宋体" w:cs="宋体"/>
          <w:bCs w:val="0"/>
          <w:color w:val="auto"/>
          <w:sz w:val="21"/>
          <w:szCs w:val="21"/>
          <w:highlight w:val="none"/>
        </w:rPr>
      </w:pPr>
      <w:r>
        <w:rPr>
          <w:rFonts w:hint="eastAsia" w:ascii="宋体" w:eastAsia="宋体" w:cs="宋体"/>
          <w:b w:val="0"/>
          <w:color w:val="auto"/>
          <w:sz w:val="21"/>
          <w:szCs w:val="21"/>
          <w:highlight w:val="none"/>
        </w:rPr>
        <w:t>九、签订时间</w:t>
      </w:r>
    </w:p>
    <w:p w14:paraId="168B7B41">
      <w:pPr>
        <w:spacing w:line="440" w:lineRule="exact"/>
        <w:ind w:firstLine="420" w:firstLineChars="200"/>
        <w:rPr>
          <w:rFonts w:hint="eastAsia" w:ascii="宋体" w:cs="宋体"/>
          <w:bCs/>
          <w:color w:val="auto"/>
          <w:szCs w:val="21"/>
          <w:highlight w:val="none"/>
        </w:rPr>
      </w:pPr>
      <w:r>
        <w:rPr>
          <w:rFonts w:hint="eastAsia" w:ascii="宋体" w:cs="宋体"/>
          <w:bCs/>
          <w:color w:val="auto"/>
          <w:szCs w:val="21"/>
          <w:highlight w:val="none"/>
        </w:rPr>
        <w:t>本合同于</w:t>
      </w:r>
      <w:r>
        <w:rPr>
          <w:rFonts w:hint="eastAsia" w:ascii="宋体" w:cs="宋体"/>
          <w:bCs/>
          <w:color w:val="auto"/>
          <w:szCs w:val="21"/>
          <w:highlight w:val="none"/>
          <w:u w:val="single"/>
        </w:rPr>
        <w:t xml:space="preserve">         </w:t>
      </w:r>
      <w:r>
        <w:rPr>
          <w:rFonts w:hint="eastAsia" w:ascii="宋体" w:cs="宋体"/>
          <w:bCs/>
          <w:color w:val="auto"/>
          <w:szCs w:val="21"/>
          <w:highlight w:val="none"/>
        </w:rPr>
        <w:t>年</w:t>
      </w:r>
      <w:r>
        <w:rPr>
          <w:rFonts w:hint="eastAsia" w:ascii="宋体" w:cs="宋体"/>
          <w:bCs/>
          <w:color w:val="auto"/>
          <w:szCs w:val="21"/>
          <w:highlight w:val="none"/>
          <w:u w:val="single"/>
        </w:rPr>
        <w:t xml:space="preserve">       </w:t>
      </w:r>
      <w:r>
        <w:rPr>
          <w:rFonts w:hint="eastAsia" w:ascii="宋体" w:cs="宋体"/>
          <w:bCs/>
          <w:color w:val="auto"/>
          <w:szCs w:val="21"/>
          <w:highlight w:val="none"/>
        </w:rPr>
        <w:t>月</w:t>
      </w:r>
      <w:r>
        <w:rPr>
          <w:rFonts w:hint="eastAsia" w:ascii="宋体" w:cs="宋体"/>
          <w:bCs/>
          <w:color w:val="auto"/>
          <w:szCs w:val="21"/>
          <w:highlight w:val="none"/>
          <w:u w:val="single"/>
        </w:rPr>
        <w:t xml:space="preserve">        </w:t>
      </w:r>
      <w:r>
        <w:rPr>
          <w:rFonts w:hint="eastAsia" w:ascii="宋体" w:cs="宋体"/>
          <w:bCs/>
          <w:color w:val="auto"/>
          <w:szCs w:val="21"/>
          <w:highlight w:val="none"/>
        </w:rPr>
        <w:t>日签订。</w:t>
      </w:r>
    </w:p>
    <w:p w14:paraId="6A42F258">
      <w:pPr>
        <w:pStyle w:val="5"/>
        <w:spacing w:before="0" w:after="0" w:line="440" w:lineRule="exact"/>
        <w:ind w:firstLine="420" w:firstLineChars="200"/>
        <w:rPr>
          <w:rFonts w:hint="eastAsia" w:ascii="宋体" w:eastAsia="宋体" w:cs="宋体"/>
          <w:bCs w:val="0"/>
          <w:color w:val="auto"/>
          <w:sz w:val="21"/>
          <w:szCs w:val="21"/>
          <w:highlight w:val="none"/>
        </w:rPr>
      </w:pPr>
      <w:r>
        <w:rPr>
          <w:rFonts w:hint="eastAsia" w:ascii="宋体" w:eastAsia="宋体" w:cs="宋体"/>
          <w:b w:val="0"/>
          <w:color w:val="auto"/>
          <w:sz w:val="21"/>
          <w:szCs w:val="21"/>
          <w:highlight w:val="none"/>
        </w:rPr>
        <w:t>十、签订地点</w:t>
      </w:r>
    </w:p>
    <w:p w14:paraId="6BF73051">
      <w:pPr>
        <w:spacing w:line="440" w:lineRule="exact"/>
        <w:ind w:firstLine="420" w:firstLineChars="200"/>
        <w:rPr>
          <w:rFonts w:hint="eastAsia" w:ascii="宋体" w:cs="宋体"/>
          <w:bCs/>
          <w:color w:val="auto"/>
          <w:szCs w:val="21"/>
          <w:highlight w:val="none"/>
        </w:rPr>
      </w:pPr>
      <w:r>
        <w:rPr>
          <w:rFonts w:hint="eastAsia" w:ascii="宋体" w:cs="宋体"/>
          <w:bCs/>
          <w:color w:val="auto"/>
          <w:szCs w:val="21"/>
          <w:highlight w:val="none"/>
        </w:rPr>
        <w:t>本合同在</w:t>
      </w:r>
      <w:r>
        <w:rPr>
          <w:rFonts w:hint="eastAsia" w:ascii="宋体" w:cs="宋体"/>
          <w:bCs/>
          <w:color w:val="auto"/>
          <w:szCs w:val="21"/>
          <w:highlight w:val="none"/>
          <w:u w:val="single"/>
        </w:rPr>
        <w:t xml:space="preserve">              </w:t>
      </w:r>
      <w:r>
        <w:rPr>
          <w:rFonts w:hint="eastAsia" w:ascii="宋体" w:cs="宋体"/>
          <w:bCs/>
          <w:color w:val="auto"/>
          <w:szCs w:val="21"/>
          <w:highlight w:val="none"/>
        </w:rPr>
        <w:t>签订。</w:t>
      </w:r>
    </w:p>
    <w:p w14:paraId="12148FBD">
      <w:pPr>
        <w:pStyle w:val="5"/>
        <w:spacing w:before="0" w:after="0" w:line="440" w:lineRule="exact"/>
        <w:ind w:firstLine="420" w:firstLineChars="200"/>
        <w:rPr>
          <w:rFonts w:hint="eastAsia" w:ascii="宋体" w:eastAsia="宋体" w:cs="宋体"/>
          <w:bCs w:val="0"/>
          <w:color w:val="auto"/>
          <w:sz w:val="21"/>
          <w:szCs w:val="21"/>
          <w:highlight w:val="none"/>
        </w:rPr>
      </w:pPr>
      <w:r>
        <w:rPr>
          <w:rFonts w:hint="eastAsia" w:ascii="宋体" w:eastAsia="宋体" w:cs="宋体"/>
          <w:b w:val="0"/>
          <w:color w:val="auto"/>
          <w:sz w:val="21"/>
          <w:szCs w:val="21"/>
          <w:highlight w:val="none"/>
        </w:rPr>
        <w:t>十一、补充协议</w:t>
      </w:r>
    </w:p>
    <w:p w14:paraId="55238B76">
      <w:pPr>
        <w:spacing w:line="440" w:lineRule="exact"/>
        <w:ind w:firstLine="420" w:firstLineChars="200"/>
        <w:rPr>
          <w:rFonts w:hint="eastAsia" w:ascii="宋体" w:cs="宋体"/>
          <w:b/>
          <w:bCs/>
          <w:color w:val="auto"/>
          <w:szCs w:val="21"/>
          <w:highlight w:val="none"/>
        </w:rPr>
      </w:pPr>
      <w:r>
        <w:rPr>
          <w:rFonts w:hint="eastAsia" w:ascii="宋体" w:cs="宋体"/>
          <w:bCs/>
          <w:color w:val="auto"/>
          <w:szCs w:val="21"/>
          <w:highlight w:val="none"/>
        </w:rPr>
        <w:t>合同未尽事宜，合同当事人另行签订补充协议，补充协议是合同的组成部分。</w:t>
      </w:r>
    </w:p>
    <w:p w14:paraId="0C8BEAE8">
      <w:pPr>
        <w:pStyle w:val="5"/>
        <w:spacing w:before="0" w:after="0" w:line="440" w:lineRule="exact"/>
        <w:ind w:firstLine="420" w:firstLineChars="200"/>
        <w:rPr>
          <w:rFonts w:hint="eastAsia" w:ascii="宋体" w:eastAsia="宋体" w:cs="宋体"/>
          <w:bCs w:val="0"/>
          <w:color w:val="auto"/>
          <w:sz w:val="21"/>
          <w:szCs w:val="21"/>
          <w:highlight w:val="none"/>
        </w:rPr>
      </w:pPr>
      <w:r>
        <w:rPr>
          <w:rFonts w:hint="eastAsia" w:ascii="宋体" w:eastAsia="宋体" w:cs="宋体"/>
          <w:b w:val="0"/>
          <w:color w:val="auto"/>
          <w:sz w:val="21"/>
          <w:szCs w:val="21"/>
          <w:highlight w:val="none"/>
        </w:rPr>
        <w:t>十二、合同生效</w:t>
      </w:r>
    </w:p>
    <w:p w14:paraId="5BF34A4F">
      <w:pPr>
        <w:spacing w:line="440" w:lineRule="exact"/>
        <w:ind w:firstLine="420" w:firstLineChars="200"/>
        <w:rPr>
          <w:rFonts w:hint="eastAsia" w:ascii="宋体" w:cs="宋体"/>
          <w:bCs/>
          <w:color w:val="auto"/>
          <w:szCs w:val="21"/>
          <w:highlight w:val="none"/>
        </w:rPr>
      </w:pPr>
      <w:r>
        <w:rPr>
          <w:rFonts w:hint="eastAsia" w:ascii="宋体" w:cs="宋体"/>
          <w:bCs/>
          <w:color w:val="auto"/>
          <w:szCs w:val="21"/>
          <w:highlight w:val="none"/>
        </w:rPr>
        <w:t>本合同自</w:t>
      </w:r>
      <w:r>
        <w:rPr>
          <w:rFonts w:hint="eastAsia" w:ascii="宋体" w:cs="宋体"/>
          <w:bCs/>
          <w:color w:val="auto"/>
          <w:szCs w:val="21"/>
          <w:highlight w:val="none"/>
          <w:u w:val="single"/>
        </w:rPr>
        <w:t xml:space="preserve">  </w:t>
      </w:r>
      <w:r>
        <w:rPr>
          <w:rFonts w:hint="eastAsia" w:ascii="宋体" w:hAnsi="宋体"/>
          <w:color w:val="auto"/>
          <w:szCs w:val="21"/>
          <w:highlight w:val="none"/>
          <w:u w:val="single"/>
        </w:rPr>
        <w:t xml:space="preserve">  </w:t>
      </w:r>
      <w:r>
        <w:rPr>
          <w:rFonts w:hint="eastAsia" w:ascii="宋体" w:hAnsi="宋体" w:eastAsia="宋体" w:cs="宋体"/>
          <w:color w:val="auto"/>
          <w:sz w:val="21"/>
          <w:szCs w:val="21"/>
          <w:highlight w:val="none"/>
          <w:u w:val="single"/>
          <w:shd w:val="clear" w:color="auto" w:fill="auto"/>
        </w:rPr>
        <w:t>双方签字盖章后</w:t>
      </w:r>
      <w:r>
        <w:rPr>
          <w:rFonts w:hint="eastAsia" w:ascii="宋体" w:cs="宋体"/>
          <w:color w:val="auto"/>
          <w:szCs w:val="21"/>
          <w:highlight w:val="none"/>
          <w:u w:val="single"/>
        </w:rPr>
        <w:t xml:space="preserve">   </w:t>
      </w:r>
      <w:r>
        <w:rPr>
          <w:rFonts w:hint="eastAsia" w:ascii="宋体" w:cs="宋体"/>
          <w:bCs/>
          <w:color w:val="auto"/>
          <w:szCs w:val="21"/>
          <w:highlight w:val="none"/>
        </w:rPr>
        <w:t>生效。</w:t>
      </w:r>
    </w:p>
    <w:p w14:paraId="0CD88474">
      <w:pPr>
        <w:pStyle w:val="5"/>
        <w:spacing w:before="0" w:after="0" w:line="440" w:lineRule="exact"/>
        <w:ind w:firstLine="420" w:firstLineChars="200"/>
        <w:rPr>
          <w:rFonts w:hint="eastAsia" w:ascii="宋体" w:eastAsia="宋体" w:cs="宋体"/>
          <w:bCs w:val="0"/>
          <w:color w:val="auto"/>
          <w:sz w:val="21"/>
          <w:szCs w:val="21"/>
          <w:highlight w:val="none"/>
        </w:rPr>
      </w:pPr>
      <w:r>
        <w:rPr>
          <w:rFonts w:hint="eastAsia" w:ascii="宋体" w:eastAsia="宋体" w:cs="宋体"/>
          <w:b w:val="0"/>
          <w:color w:val="auto"/>
          <w:sz w:val="21"/>
          <w:szCs w:val="21"/>
          <w:highlight w:val="none"/>
        </w:rPr>
        <w:t>十三、合同份数</w:t>
      </w:r>
    </w:p>
    <w:p w14:paraId="5C5834D4">
      <w:pPr>
        <w:spacing w:line="440" w:lineRule="exact"/>
        <w:ind w:firstLine="420" w:firstLineChars="200"/>
        <w:rPr>
          <w:rFonts w:hint="eastAsia" w:ascii="宋体" w:cs="宋体"/>
          <w:bCs/>
          <w:color w:val="auto"/>
          <w:szCs w:val="21"/>
          <w:highlight w:val="none"/>
        </w:rPr>
      </w:pPr>
      <w:r>
        <w:rPr>
          <w:rFonts w:hint="eastAsia" w:ascii="宋体" w:cs="宋体"/>
          <w:bCs/>
          <w:color w:val="auto"/>
          <w:szCs w:val="21"/>
          <w:highlight w:val="none"/>
        </w:rPr>
        <w:t>本合同一式</w:t>
      </w:r>
      <w:r>
        <w:rPr>
          <w:rFonts w:hint="eastAsia" w:ascii="宋体" w:cs="宋体"/>
          <w:bCs/>
          <w:color w:val="auto"/>
          <w:szCs w:val="21"/>
          <w:highlight w:val="none"/>
          <w:lang w:eastAsia="zh-CN"/>
        </w:rPr>
        <w:t>肆</w:t>
      </w:r>
      <w:r>
        <w:rPr>
          <w:rFonts w:hint="eastAsia" w:ascii="宋体" w:cs="宋体"/>
          <w:bCs/>
          <w:color w:val="auto"/>
          <w:szCs w:val="21"/>
          <w:highlight w:val="none"/>
        </w:rPr>
        <w:t>份，正本贰份、副本贰份，均具有同等法律效力，发包人执正本壹份、副本叁份，承包人执正本壹份、副本叁份。</w:t>
      </w:r>
    </w:p>
    <w:tbl>
      <w:tblPr>
        <w:tblStyle w:val="47"/>
        <w:tblpPr w:leftFromText="180" w:rightFromText="180" w:vertAnchor="text" w:horzAnchor="page" w:tblpX="1702" w:tblpY="119"/>
        <w:tblW w:w="9072" w:type="dxa"/>
        <w:tblInd w:w="0" w:type="dxa"/>
        <w:tblLayout w:type="fixed"/>
        <w:tblCellMar>
          <w:top w:w="0" w:type="dxa"/>
          <w:left w:w="108" w:type="dxa"/>
          <w:bottom w:w="0" w:type="dxa"/>
          <w:right w:w="108" w:type="dxa"/>
        </w:tblCellMar>
      </w:tblPr>
      <w:tblGrid>
        <w:gridCol w:w="4507"/>
        <w:gridCol w:w="4565"/>
      </w:tblGrid>
      <w:tr w14:paraId="3C620217">
        <w:trPr>
          <w:trHeight w:val="535" w:hRule="atLeast"/>
        </w:trPr>
        <w:tc>
          <w:tcPr>
            <w:tcW w:w="4507" w:type="dxa"/>
            <w:noWrap w:val="0"/>
            <w:vAlign w:val="center"/>
          </w:tcPr>
          <w:p w14:paraId="767BB201">
            <w:pPr>
              <w:pStyle w:val="214"/>
              <w:keepNext w:val="0"/>
              <w:keepLines w:val="0"/>
              <w:pageBreakBefore w:val="0"/>
              <w:framePr w:hSpace="0" w:wrap="auto" w:vAnchor="margin" w:hAnchor="text" w:yAlign="inline"/>
              <w:widowControl/>
              <w:suppressLineNumbers w:val="0"/>
              <w:wordWrap/>
              <w:overflowPunct/>
              <w:topLinePunct w:val="0"/>
              <w:bidi w:val="0"/>
              <w:spacing w:before="0" w:beforeAutospacing="0" w:after="0" w:afterAutospacing="0" w:line="440" w:lineRule="exact"/>
              <w:ind w:left="0" w:right="0"/>
              <w:textAlignment w:val="auto"/>
              <w:rPr>
                <w:rFonts w:hint="eastAsia" w:hAnsi="宋体" w:cs="宋体"/>
                <w:color w:val="auto"/>
                <w:sz w:val="21"/>
                <w:szCs w:val="21"/>
                <w:highlight w:val="none"/>
              </w:rPr>
            </w:pPr>
            <w:r>
              <w:rPr>
                <w:rFonts w:hint="eastAsia" w:hAnsi="宋体" w:cs="宋体"/>
                <w:color w:val="auto"/>
                <w:sz w:val="21"/>
                <w:szCs w:val="21"/>
                <w:highlight w:val="none"/>
              </w:rPr>
              <w:t>发包人：（公章）</w:t>
            </w:r>
          </w:p>
        </w:tc>
        <w:tc>
          <w:tcPr>
            <w:tcW w:w="4565" w:type="dxa"/>
            <w:noWrap w:val="0"/>
            <w:vAlign w:val="center"/>
          </w:tcPr>
          <w:p w14:paraId="2E70C625">
            <w:pPr>
              <w:pStyle w:val="214"/>
              <w:keepNext w:val="0"/>
              <w:keepLines w:val="0"/>
              <w:pageBreakBefore w:val="0"/>
              <w:framePr w:hSpace="0" w:wrap="auto" w:vAnchor="margin" w:hAnchor="text" w:yAlign="inline"/>
              <w:widowControl/>
              <w:suppressLineNumbers w:val="0"/>
              <w:wordWrap/>
              <w:overflowPunct/>
              <w:topLinePunct w:val="0"/>
              <w:bidi w:val="0"/>
              <w:spacing w:before="0" w:beforeAutospacing="0" w:after="0" w:afterAutospacing="0" w:line="440" w:lineRule="exact"/>
              <w:ind w:left="0" w:right="0"/>
              <w:textAlignment w:val="auto"/>
              <w:rPr>
                <w:rFonts w:hint="eastAsia" w:hAnsi="宋体" w:cs="宋体"/>
                <w:color w:val="auto"/>
                <w:sz w:val="21"/>
                <w:szCs w:val="21"/>
                <w:highlight w:val="none"/>
              </w:rPr>
            </w:pPr>
            <w:r>
              <w:rPr>
                <w:rFonts w:hint="eastAsia" w:hAnsi="宋体" w:cs="宋体"/>
                <w:color w:val="auto"/>
                <w:sz w:val="21"/>
                <w:szCs w:val="21"/>
                <w:highlight w:val="none"/>
              </w:rPr>
              <w:t>承包人：（公章）</w:t>
            </w:r>
          </w:p>
        </w:tc>
      </w:tr>
      <w:tr w14:paraId="39CCE870">
        <w:tblPrEx>
          <w:tblCellMar>
            <w:top w:w="0" w:type="dxa"/>
            <w:left w:w="108" w:type="dxa"/>
            <w:bottom w:w="0" w:type="dxa"/>
            <w:right w:w="108" w:type="dxa"/>
          </w:tblCellMar>
        </w:tblPrEx>
        <w:trPr>
          <w:trHeight w:val="930" w:hRule="atLeast"/>
        </w:trPr>
        <w:tc>
          <w:tcPr>
            <w:tcW w:w="4507" w:type="dxa"/>
            <w:noWrap w:val="0"/>
            <w:vAlign w:val="center"/>
          </w:tcPr>
          <w:p w14:paraId="325670F8">
            <w:pPr>
              <w:pStyle w:val="214"/>
              <w:keepNext w:val="0"/>
              <w:keepLines w:val="0"/>
              <w:pageBreakBefore w:val="0"/>
              <w:framePr w:hSpace="0" w:wrap="auto" w:vAnchor="margin" w:hAnchor="text" w:yAlign="inline"/>
              <w:widowControl/>
              <w:suppressLineNumbers w:val="0"/>
              <w:wordWrap/>
              <w:overflowPunct/>
              <w:topLinePunct w:val="0"/>
              <w:bidi w:val="0"/>
              <w:spacing w:before="0" w:beforeAutospacing="0" w:after="0" w:afterAutospacing="0" w:line="440" w:lineRule="exact"/>
              <w:ind w:left="0" w:right="0"/>
              <w:textAlignment w:val="auto"/>
              <w:rPr>
                <w:rFonts w:hint="eastAsia" w:hAnsi="宋体" w:cs="宋体"/>
                <w:color w:val="auto"/>
                <w:sz w:val="21"/>
                <w:szCs w:val="21"/>
                <w:highlight w:val="none"/>
              </w:rPr>
            </w:pPr>
            <w:r>
              <w:rPr>
                <w:rFonts w:hint="eastAsia" w:hAnsi="宋体" w:cs="宋体"/>
                <w:color w:val="auto"/>
                <w:sz w:val="21"/>
                <w:szCs w:val="21"/>
                <w:highlight w:val="none"/>
              </w:rPr>
              <w:t>法定代表人或其委托代理人：</w:t>
            </w:r>
          </w:p>
          <w:p w14:paraId="37B501DF">
            <w:pPr>
              <w:pStyle w:val="214"/>
              <w:keepNext w:val="0"/>
              <w:keepLines w:val="0"/>
              <w:pageBreakBefore w:val="0"/>
              <w:framePr w:hSpace="0" w:wrap="auto" w:vAnchor="margin" w:hAnchor="text" w:yAlign="inline"/>
              <w:widowControl/>
              <w:suppressLineNumbers w:val="0"/>
              <w:wordWrap/>
              <w:overflowPunct/>
              <w:topLinePunct w:val="0"/>
              <w:bidi w:val="0"/>
              <w:spacing w:before="0" w:beforeAutospacing="0" w:after="0" w:afterAutospacing="0" w:line="440" w:lineRule="exact"/>
              <w:ind w:left="0" w:right="0"/>
              <w:textAlignment w:val="auto"/>
              <w:rPr>
                <w:rFonts w:hint="eastAsia" w:hAnsi="宋体" w:cs="宋体"/>
                <w:color w:val="auto"/>
                <w:sz w:val="21"/>
                <w:szCs w:val="21"/>
                <w:highlight w:val="none"/>
              </w:rPr>
            </w:pPr>
            <w:r>
              <w:rPr>
                <w:rFonts w:hint="eastAsia" w:hAnsi="宋体" w:cs="宋体"/>
                <w:color w:val="auto"/>
                <w:sz w:val="21"/>
                <w:szCs w:val="21"/>
                <w:highlight w:val="none"/>
              </w:rPr>
              <w:t>（签字）</w:t>
            </w:r>
          </w:p>
        </w:tc>
        <w:tc>
          <w:tcPr>
            <w:tcW w:w="4565" w:type="dxa"/>
            <w:noWrap w:val="0"/>
            <w:vAlign w:val="center"/>
          </w:tcPr>
          <w:p w14:paraId="0B928B4C">
            <w:pPr>
              <w:pStyle w:val="214"/>
              <w:keepNext w:val="0"/>
              <w:keepLines w:val="0"/>
              <w:pageBreakBefore w:val="0"/>
              <w:framePr w:hSpace="0" w:wrap="auto" w:vAnchor="margin" w:hAnchor="text" w:yAlign="inline"/>
              <w:widowControl/>
              <w:suppressLineNumbers w:val="0"/>
              <w:wordWrap/>
              <w:overflowPunct/>
              <w:topLinePunct w:val="0"/>
              <w:bidi w:val="0"/>
              <w:spacing w:before="0" w:beforeAutospacing="0" w:after="0" w:afterAutospacing="0" w:line="440" w:lineRule="exact"/>
              <w:ind w:left="0" w:right="0"/>
              <w:textAlignment w:val="auto"/>
              <w:rPr>
                <w:rFonts w:hint="eastAsia" w:hAnsi="宋体" w:cs="宋体"/>
                <w:color w:val="auto"/>
                <w:sz w:val="21"/>
                <w:szCs w:val="21"/>
                <w:highlight w:val="none"/>
              </w:rPr>
            </w:pPr>
            <w:r>
              <w:rPr>
                <w:rFonts w:hint="eastAsia" w:hAnsi="宋体" w:cs="宋体"/>
                <w:color w:val="auto"/>
                <w:sz w:val="21"/>
                <w:szCs w:val="21"/>
                <w:highlight w:val="none"/>
              </w:rPr>
              <w:t>法定代表人或其委托代理人：</w:t>
            </w:r>
          </w:p>
          <w:p w14:paraId="6300316E">
            <w:pPr>
              <w:pStyle w:val="214"/>
              <w:keepNext w:val="0"/>
              <w:keepLines w:val="0"/>
              <w:pageBreakBefore w:val="0"/>
              <w:framePr w:hSpace="0" w:wrap="auto" w:vAnchor="margin" w:hAnchor="text" w:yAlign="inline"/>
              <w:widowControl/>
              <w:suppressLineNumbers w:val="0"/>
              <w:wordWrap/>
              <w:overflowPunct/>
              <w:topLinePunct w:val="0"/>
              <w:bidi w:val="0"/>
              <w:spacing w:before="0" w:beforeAutospacing="0" w:after="0" w:afterAutospacing="0" w:line="440" w:lineRule="exact"/>
              <w:ind w:left="0" w:right="0"/>
              <w:textAlignment w:val="auto"/>
              <w:rPr>
                <w:rFonts w:hint="eastAsia" w:hAnsi="宋体" w:cs="宋体"/>
                <w:color w:val="auto"/>
                <w:sz w:val="21"/>
                <w:szCs w:val="21"/>
                <w:highlight w:val="none"/>
              </w:rPr>
            </w:pPr>
            <w:r>
              <w:rPr>
                <w:rFonts w:hint="eastAsia" w:hAnsi="宋体" w:cs="宋体"/>
                <w:color w:val="auto"/>
                <w:sz w:val="21"/>
                <w:szCs w:val="21"/>
                <w:highlight w:val="none"/>
              </w:rPr>
              <w:t>（签字）</w:t>
            </w:r>
          </w:p>
        </w:tc>
      </w:tr>
      <w:tr w14:paraId="49D26254">
        <w:tblPrEx>
          <w:tblCellMar>
            <w:top w:w="0" w:type="dxa"/>
            <w:left w:w="108" w:type="dxa"/>
            <w:bottom w:w="0" w:type="dxa"/>
            <w:right w:w="108" w:type="dxa"/>
          </w:tblCellMar>
        </w:tblPrEx>
        <w:trPr>
          <w:trHeight w:val="4445" w:hRule="atLeast"/>
        </w:trPr>
        <w:tc>
          <w:tcPr>
            <w:tcW w:w="4507" w:type="dxa"/>
            <w:noWrap w:val="0"/>
            <w:vAlign w:val="top"/>
          </w:tcPr>
          <w:p w14:paraId="41BA7F06">
            <w:pPr>
              <w:pStyle w:val="214"/>
              <w:keepNext w:val="0"/>
              <w:keepLines w:val="0"/>
              <w:pageBreakBefore w:val="0"/>
              <w:framePr w:hSpace="0" w:wrap="auto" w:vAnchor="margin" w:hAnchor="text" w:yAlign="inline"/>
              <w:widowControl/>
              <w:suppressLineNumbers w:val="0"/>
              <w:wordWrap/>
              <w:overflowPunct/>
              <w:topLinePunct w:val="0"/>
              <w:bidi w:val="0"/>
              <w:spacing w:before="0" w:beforeAutospacing="0" w:after="0" w:afterAutospacing="0" w:line="440" w:lineRule="exact"/>
              <w:ind w:left="0" w:right="0"/>
              <w:textAlignment w:val="auto"/>
              <w:rPr>
                <w:rFonts w:hint="eastAsia" w:hAnsi="宋体" w:cs="宋体"/>
                <w:color w:val="auto"/>
                <w:sz w:val="21"/>
                <w:szCs w:val="21"/>
                <w:highlight w:val="none"/>
              </w:rPr>
            </w:pPr>
            <w:r>
              <w:rPr>
                <w:rFonts w:hint="eastAsia" w:hAnsi="宋体" w:cs="宋体"/>
                <w:color w:val="auto"/>
                <w:sz w:val="21"/>
                <w:szCs w:val="21"/>
                <w:highlight w:val="none"/>
              </w:rPr>
              <w:t>统一社会信用代码：</w:t>
            </w:r>
            <w:r>
              <w:rPr>
                <w:rFonts w:hint="eastAsia" w:hAnsi="宋体" w:cs="宋体"/>
                <w:color w:val="auto"/>
                <w:kern w:val="0"/>
                <w:sz w:val="21"/>
                <w:szCs w:val="21"/>
                <w:highlight w:val="none"/>
                <w:u w:val="single"/>
              </w:rPr>
              <w:t xml:space="preserve">            </w:t>
            </w:r>
          </w:p>
          <w:p w14:paraId="58297E91">
            <w:pPr>
              <w:keepNext w:val="0"/>
              <w:keepLines w:val="0"/>
              <w:widowControl/>
              <w:suppressLineNumbers w:val="0"/>
              <w:adjustRightInd w:val="0"/>
              <w:snapToGrid w:val="0"/>
              <w:spacing w:before="0" w:beforeAutospacing="0" w:after="0" w:afterAutospacing="0" w:line="560" w:lineRule="exact"/>
              <w:ind w:left="0" w:right="0"/>
              <w:jc w:val="left"/>
              <w:rPr>
                <w:rFonts w:hint="eastAsia" w:ascii="宋体" w:hAnsi="宋体" w:eastAsia="宋体" w:cs="宋体"/>
                <w:color w:val="auto"/>
                <w:kern w:val="0"/>
                <w:sz w:val="21"/>
                <w:szCs w:val="21"/>
                <w:highlight w:val="none"/>
                <w:u w:val="single"/>
                <w:lang w:val="en-US" w:eastAsia="zh-CN" w:bidi="ar-SA"/>
              </w:rPr>
            </w:pPr>
            <w:r>
              <w:rPr>
                <w:rFonts w:hint="eastAsia" w:hAnsi="宋体" w:cs="宋体"/>
                <w:color w:val="auto"/>
                <w:sz w:val="21"/>
                <w:szCs w:val="21"/>
                <w:highlight w:val="none"/>
              </w:rPr>
              <w:t>地址：</w:t>
            </w:r>
            <w:r>
              <w:rPr>
                <w:rFonts w:hint="eastAsia" w:hAnsi="宋体" w:cs="宋体"/>
                <w:color w:val="auto"/>
                <w:kern w:val="0"/>
                <w:sz w:val="21"/>
                <w:szCs w:val="21"/>
                <w:highlight w:val="none"/>
                <w:u w:val="single"/>
              </w:rPr>
              <w:t xml:space="preserve">                        </w:t>
            </w:r>
          </w:p>
          <w:p w14:paraId="663FAD6B">
            <w:pPr>
              <w:pStyle w:val="214"/>
              <w:keepNext w:val="0"/>
              <w:keepLines w:val="0"/>
              <w:pageBreakBefore w:val="0"/>
              <w:framePr w:hSpace="0" w:wrap="auto" w:vAnchor="margin" w:hAnchor="text" w:yAlign="inline"/>
              <w:widowControl/>
              <w:suppressLineNumbers w:val="0"/>
              <w:wordWrap/>
              <w:overflowPunct/>
              <w:topLinePunct w:val="0"/>
              <w:bidi w:val="0"/>
              <w:spacing w:before="0" w:beforeAutospacing="0" w:after="0" w:afterAutospacing="0" w:line="440" w:lineRule="exact"/>
              <w:ind w:left="0" w:right="0"/>
              <w:textAlignment w:val="auto"/>
              <w:rPr>
                <w:rFonts w:hint="eastAsia" w:hAnsi="宋体" w:cs="宋体"/>
                <w:color w:val="auto"/>
                <w:sz w:val="21"/>
                <w:szCs w:val="21"/>
                <w:highlight w:val="none"/>
              </w:rPr>
            </w:pPr>
            <w:r>
              <w:rPr>
                <w:rFonts w:hint="eastAsia" w:hAnsi="宋体" w:cs="宋体"/>
                <w:color w:val="auto"/>
                <w:sz w:val="21"/>
                <w:szCs w:val="21"/>
                <w:highlight w:val="none"/>
              </w:rPr>
              <w:t>邮政编码：</w:t>
            </w:r>
            <w:r>
              <w:rPr>
                <w:rFonts w:hint="eastAsia" w:hAnsi="宋体" w:cs="宋体"/>
                <w:color w:val="auto"/>
                <w:kern w:val="0"/>
                <w:sz w:val="21"/>
                <w:szCs w:val="21"/>
                <w:highlight w:val="none"/>
                <w:u w:val="single"/>
              </w:rPr>
              <w:t xml:space="preserve">                      </w:t>
            </w:r>
          </w:p>
          <w:p w14:paraId="5FD42647">
            <w:pPr>
              <w:pStyle w:val="214"/>
              <w:keepNext w:val="0"/>
              <w:keepLines w:val="0"/>
              <w:pageBreakBefore w:val="0"/>
              <w:framePr w:hSpace="0" w:wrap="auto" w:vAnchor="margin" w:hAnchor="text" w:yAlign="inline"/>
              <w:widowControl/>
              <w:suppressLineNumbers w:val="0"/>
              <w:wordWrap/>
              <w:overflowPunct/>
              <w:topLinePunct w:val="0"/>
              <w:bidi w:val="0"/>
              <w:spacing w:before="0" w:beforeAutospacing="0" w:after="0" w:afterAutospacing="0" w:line="440" w:lineRule="exact"/>
              <w:ind w:left="0" w:right="0"/>
              <w:textAlignment w:val="auto"/>
              <w:rPr>
                <w:rFonts w:hint="eastAsia" w:hAnsi="宋体" w:cs="宋体"/>
                <w:color w:val="auto"/>
                <w:sz w:val="21"/>
                <w:szCs w:val="21"/>
                <w:highlight w:val="none"/>
              </w:rPr>
            </w:pPr>
            <w:r>
              <w:rPr>
                <w:rFonts w:hint="eastAsia" w:hAnsi="宋体" w:cs="宋体"/>
                <w:color w:val="auto"/>
                <w:sz w:val="21"/>
                <w:szCs w:val="21"/>
                <w:highlight w:val="none"/>
              </w:rPr>
              <w:t>法定代表人：</w:t>
            </w:r>
            <w:r>
              <w:rPr>
                <w:rFonts w:hint="eastAsia" w:hAnsi="宋体" w:cs="宋体"/>
                <w:color w:val="auto"/>
                <w:kern w:val="0"/>
                <w:sz w:val="21"/>
                <w:szCs w:val="21"/>
                <w:highlight w:val="none"/>
                <w:u w:val="single"/>
              </w:rPr>
              <w:t xml:space="preserve">                 </w:t>
            </w:r>
          </w:p>
          <w:p w14:paraId="084F11C0">
            <w:pPr>
              <w:pStyle w:val="214"/>
              <w:keepNext w:val="0"/>
              <w:keepLines w:val="0"/>
              <w:pageBreakBefore w:val="0"/>
              <w:framePr w:hSpace="0" w:wrap="auto" w:vAnchor="margin" w:hAnchor="text" w:yAlign="inline"/>
              <w:widowControl/>
              <w:suppressLineNumbers w:val="0"/>
              <w:wordWrap/>
              <w:overflowPunct/>
              <w:topLinePunct w:val="0"/>
              <w:bidi w:val="0"/>
              <w:spacing w:before="0" w:beforeAutospacing="0" w:after="0" w:afterAutospacing="0" w:line="440" w:lineRule="exact"/>
              <w:ind w:left="0" w:right="0"/>
              <w:textAlignment w:val="auto"/>
              <w:rPr>
                <w:rFonts w:hint="eastAsia" w:hAnsi="宋体" w:cs="宋体"/>
                <w:color w:val="auto"/>
                <w:sz w:val="21"/>
                <w:szCs w:val="21"/>
                <w:highlight w:val="none"/>
              </w:rPr>
            </w:pPr>
            <w:r>
              <w:rPr>
                <w:rFonts w:hint="eastAsia" w:hAnsi="宋体" w:cs="宋体"/>
                <w:color w:val="auto"/>
                <w:sz w:val="21"/>
                <w:szCs w:val="21"/>
                <w:highlight w:val="none"/>
              </w:rPr>
              <w:t>委托代理人：</w:t>
            </w:r>
            <w:r>
              <w:rPr>
                <w:rFonts w:hint="eastAsia" w:hAnsi="宋体" w:cs="宋体"/>
                <w:color w:val="auto"/>
                <w:kern w:val="0"/>
                <w:sz w:val="21"/>
                <w:szCs w:val="21"/>
                <w:highlight w:val="none"/>
                <w:u w:val="single"/>
              </w:rPr>
              <w:t xml:space="preserve">                 </w:t>
            </w:r>
          </w:p>
          <w:p w14:paraId="2D04A8F9">
            <w:pPr>
              <w:pStyle w:val="214"/>
              <w:keepNext w:val="0"/>
              <w:keepLines w:val="0"/>
              <w:pageBreakBefore w:val="0"/>
              <w:framePr w:hSpace="0" w:wrap="auto" w:vAnchor="margin" w:hAnchor="text" w:yAlign="inline"/>
              <w:widowControl/>
              <w:suppressLineNumbers w:val="0"/>
              <w:wordWrap/>
              <w:overflowPunct/>
              <w:topLinePunct w:val="0"/>
              <w:bidi w:val="0"/>
              <w:spacing w:before="0" w:beforeAutospacing="0" w:after="0" w:afterAutospacing="0" w:line="440" w:lineRule="exact"/>
              <w:ind w:left="0" w:right="0"/>
              <w:textAlignment w:val="auto"/>
              <w:rPr>
                <w:rFonts w:hint="eastAsia" w:hAnsi="宋体" w:cs="宋体"/>
                <w:color w:val="auto"/>
                <w:sz w:val="21"/>
                <w:szCs w:val="21"/>
                <w:highlight w:val="none"/>
              </w:rPr>
            </w:pPr>
            <w:r>
              <w:rPr>
                <w:rFonts w:hint="eastAsia" w:hAnsi="宋体" w:cs="宋体"/>
                <w:color w:val="auto"/>
                <w:sz w:val="21"/>
                <w:szCs w:val="21"/>
                <w:highlight w:val="none"/>
              </w:rPr>
              <w:t>电话：</w:t>
            </w:r>
          </w:p>
          <w:p w14:paraId="49690741">
            <w:pPr>
              <w:pStyle w:val="214"/>
              <w:keepNext w:val="0"/>
              <w:keepLines w:val="0"/>
              <w:pageBreakBefore w:val="0"/>
              <w:framePr w:hSpace="0" w:wrap="auto" w:vAnchor="margin" w:hAnchor="text" w:yAlign="inline"/>
              <w:widowControl/>
              <w:suppressLineNumbers w:val="0"/>
              <w:wordWrap/>
              <w:overflowPunct/>
              <w:topLinePunct w:val="0"/>
              <w:bidi w:val="0"/>
              <w:spacing w:before="0" w:beforeAutospacing="0" w:after="0" w:afterAutospacing="0" w:line="440" w:lineRule="exact"/>
              <w:ind w:left="0" w:right="0"/>
              <w:textAlignment w:val="auto"/>
              <w:rPr>
                <w:rFonts w:hint="eastAsia" w:hAnsi="宋体" w:cs="宋体"/>
                <w:color w:val="auto"/>
                <w:sz w:val="21"/>
                <w:szCs w:val="21"/>
                <w:highlight w:val="none"/>
              </w:rPr>
            </w:pPr>
            <w:r>
              <w:rPr>
                <w:rFonts w:hint="eastAsia" w:hAnsi="宋体" w:cs="宋体"/>
                <w:color w:val="auto"/>
                <w:sz w:val="21"/>
                <w:szCs w:val="21"/>
                <w:highlight w:val="none"/>
              </w:rPr>
              <w:t>传真：</w:t>
            </w:r>
            <w:r>
              <w:rPr>
                <w:rFonts w:hint="eastAsia" w:hAnsi="宋体" w:cs="宋体"/>
                <w:color w:val="auto"/>
                <w:kern w:val="0"/>
                <w:sz w:val="21"/>
                <w:szCs w:val="21"/>
                <w:highlight w:val="none"/>
                <w:u w:val="single"/>
              </w:rPr>
              <w:t xml:space="preserve">                       </w:t>
            </w:r>
          </w:p>
          <w:p w14:paraId="4605A7BF">
            <w:pPr>
              <w:pStyle w:val="214"/>
              <w:keepNext w:val="0"/>
              <w:keepLines w:val="0"/>
              <w:pageBreakBefore w:val="0"/>
              <w:framePr w:hSpace="0" w:wrap="auto" w:vAnchor="margin" w:hAnchor="text" w:yAlign="inline"/>
              <w:widowControl/>
              <w:suppressLineNumbers w:val="0"/>
              <w:wordWrap/>
              <w:overflowPunct/>
              <w:topLinePunct w:val="0"/>
              <w:bidi w:val="0"/>
              <w:spacing w:before="0" w:beforeAutospacing="0" w:after="0" w:afterAutospacing="0" w:line="440" w:lineRule="exact"/>
              <w:ind w:left="0" w:right="0"/>
              <w:textAlignment w:val="auto"/>
              <w:rPr>
                <w:rFonts w:hint="eastAsia" w:hAnsi="宋体" w:cs="宋体"/>
                <w:color w:val="auto"/>
                <w:sz w:val="21"/>
                <w:szCs w:val="21"/>
                <w:highlight w:val="none"/>
              </w:rPr>
            </w:pPr>
            <w:r>
              <w:rPr>
                <w:rFonts w:hint="eastAsia" w:hAnsi="宋体" w:cs="宋体"/>
                <w:color w:val="auto"/>
                <w:sz w:val="21"/>
                <w:szCs w:val="21"/>
                <w:highlight w:val="none"/>
              </w:rPr>
              <w:t>电子信箱：</w:t>
            </w:r>
            <w:r>
              <w:rPr>
                <w:rFonts w:hint="eastAsia" w:hAnsi="宋体" w:cs="宋体"/>
                <w:color w:val="auto"/>
                <w:kern w:val="0"/>
                <w:sz w:val="21"/>
                <w:szCs w:val="21"/>
                <w:highlight w:val="none"/>
                <w:u w:val="single"/>
              </w:rPr>
              <w:t xml:space="preserve">                   </w:t>
            </w:r>
          </w:p>
          <w:p w14:paraId="18700968">
            <w:pPr>
              <w:pStyle w:val="214"/>
              <w:keepNext w:val="0"/>
              <w:keepLines w:val="0"/>
              <w:pageBreakBefore w:val="0"/>
              <w:framePr w:hSpace="0" w:wrap="auto" w:vAnchor="margin" w:hAnchor="text" w:yAlign="inline"/>
              <w:widowControl/>
              <w:suppressLineNumbers w:val="0"/>
              <w:wordWrap/>
              <w:overflowPunct/>
              <w:topLinePunct w:val="0"/>
              <w:bidi w:val="0"/>
              <w:spacing w:before="0" w:beforeAutospacing="0" w:after="0" w:afterAutospacing="0" w:line="440" w:lineRule="exact"/>
              <w:ind w:left="0" w:right="0"/>
              <w:textAlignment w:val="auto"/>
              <w:rPr>
                <w:rFonts w:hint="eastAsia" w:hAnsi="宋体" w:cs="宋体"/>
                <w:color w:val="auto"/>
                <w:sz w:val="21"/>
                <w:szCs w:val="21"/>
                <w:highlight w:val="none"/>
              </w:rPr>
            </w:pPr>
            <w:r>
              <w:rPr>
                <w:rFonts w:hint="eastAsia" w:hAnsi="宋体" w:cs="宋体"/>
                <w:color w:val="auto"/>
                <w:sz w:val="21"/>
                <w:szCs w:val="21"/>
                <w:highlight w:val="none"/>
              </w:rPr>
              <w:t>开户银行：</w:t>
            </w:r>
            <w:r>
              <w:rPr>
                <w:rFonts w:hint="eastAsia" w:hAnsi="宋体" w:cs="宋体"/>
                <w:color w:val="auto"/>
                <w:kern w:val="0"/>
                <w:sz w:val="21"/>
                <w:szCs w:val="21"/>
                <w:highlight w:val="none"/>
                <w:u w:val="single"/>
              </w:rPr>
              <w:t xml:space="preserve">                   </w:t>
            </w:r>
          </w:p>
          <w:p w14:paraId="3F3EBEF5">
            <w:pPr>
              <w:pStyle w:val="214"/>
              <w:keepNext w:val="0"/>
              <w:keepLines w:val="0"/>
              <w:pageBreakBefore w:val="0"/>
              <w:framePr w:hSpace="0" w:wrap="auto" w:vAnchor="margin" w:hAnchor="text" w:yAlign="inline"/>
              <w:widowControl/>
              <w:suppressLineNumbers w:val="0"/>
              <w:wordWrap/>
              <w:overflowPunct/>
              <w:topLinePunct w:val="0"/>
              <w:bidi w:val="0"/>
              <w:spacing w:before="0" w:beforeAutospacing="0" w:after="0" w:afterAutospacing="0" w:line="440" w:lineRule="exact"/>
              <w:ind w:left="0" w:right="0"/>
              <w:textAlignment w:val="auto"/>
              <w:rPr>
                <w:rFonts w:hint="eastAsia" w:hAnsi="宋体" w:eastAsia="宋体" w:cs="宋体"/>
                <w:color w:val="auto"/>
                <w:sz w:val="21"/>
                <w:szCs w:val="21"/>
                <w:highlight w:val="none"/>
                <w:lang w:eastAsia="zh-CN"/>
              </w:rPr>
            </w:pPr>
            <w:r>
              <w:rPr>
                <w:rFonts w:hint="eastAsia" w:hAnsi="宋体" w:cs="宋体"/>
                <w:color w:val="auto"/>
                <w:sz w:val="21"/>
                <w:szCs w:val="21"/>
                <w:highlight w:val="none"/>
              </w:rPr>
              <w:t>账号：</w:t>
            </w:r>
            <w:r>
              <w:rPr>
                <w:rFonts w:hint="eastAsia" w:hAnsi="宋体" w:cs="宋体"/>
                <w:color w:val="auto"/>
                <w:sz w:val="21"/>
                <w:szCs w:val="21"/>
                <w:highlight w:val="none"/>
                <w:u w:val="single"/>
              </w:rPr>
              <w:t xml:space="preserve">                       </w:t>
            </w:r>
          </w:p>
        </w:tc>
        <w:tc>
          <w:tcPr>
            <w:tcW w:w="4565" w:type="dxa"/>
            <w:noWrap w:val="0"/>
            <w:vAlign w:val="top"/>
          </w:tcPr>
          <w:p w14:paraId="54C0FB4B">
            <w:pPr>
              <w:pStyle w:val="214"/>
              <w:keepNext w:val="0"/>
              <w:keepLines w:val="0"/>
              <w:pageBreakBefore w:val="0"/>
              <w:framePr w:hSpace="0" w:wrap="auto" w:vAnchor="margin" w:hAnchor="text" w:yAlign="inline"/>
              <w:widowControl/>
              <w:suppressLineNumbers w:val="0"/>
              <w:wordWrap/>
              <w:overflowPunct/>
              <w:topLinePunct w:val="0"/>
              <w:bidi w:val="0"/>
              <w:spacing w:before="0" w:beforeAutospacing="0" w:after="0" w:afterAutospacing="0" w:line="440" w:lineRule="exact"/>
              <w:ind w:left="0" w:right="0"/>
              <w:textAlignment w:val="auto"/>
              <w:rPr>
                <w:rFonts w:hint="eastAsia" w:hAnsi="宋体" w:cs="宋体"/>
                <w:color w:val="auto"/>
                <w:sz w:val="21"/>
                <w:szCs w:val="21"/>
                <w:highlight w:val="none"/>
              </w:rPr>
            </w:pPr>
            <w:r>
              <w:rPr>
                <w:rFonts w:hint="eastAsia" w:hAnsi="宋体" w:cs="宋体"/>
                <w:color w:val="auto"/>
                <w:sz w:val="21"/>
                <w:szCs w:val="21"/>
                <w:highlight w:val="none"/>
              </w:rPr>
              <w:t>统一社会信用代码：</w:t>
            </w:r>
            <w:r>
              <w:rPr>
                <w:rFonts w:hint="eastAsia" w:hAnsi="宋体" w:cs="宋体"/>
                <w:color w:val="auto"/>
                <w:kern w:val="0"/>
                <w:sz w:val="21"/>
                <w:szCs w:val="21"/>
                <w:highlight w:val="none"/>
                <w:u w:val="single"/>
              </w:rPr>
              <w:t xml:space="preserve">            </w:t>
            </w:r>
          </w:p>
          <w:p w14:paraId="742B4A2B">
            <w:pPr>
              <w:pStyle w:val="214"/>
              <w:keepNext w:val="0"/>
              <w:keepLines w:val="0"/>
              <w:pageBreakBefore w:val="0"/>
              <w:framePr w:hSpace="0" w:wrap="auto" w:vAnchor="margin" w:hAnchor="text" w:yAlign="inline"/>
              <w:widowControl/>
              <w:suppressLineNumbers w:val="0"/>
              <w:wordWrap/>
              <w:overflowPunct/>
              <w:topLinePunct w:val="0"/>
              <w:bidi w:val="0"/>
              <w:spacing w:before="0" w:beforeAutospacing="0" w:after="0" w:afterAutospacing="0" w:line="440" w:lineRule="exact"/>
              <w:ind w:left="0" w:right="0"/>
              <w:textAlignment w:val="auto"/>
              <w:rPr>
                <w:rFonts w:hint="eastAsia" w:hAnsi="宋体" w:cs="宋体"/>
                <w:color w:val="auto"/>
                <w:sz w:val="21"/>
                <w:szCs w:val="21"/>
                <w:highlight w:val="none"/>
              </w:rPr>
            </w:pPr>
            <w:r>
              <w:rPr>
                <w:rFonts w:hint="eastAsia" w:hAnsi="宋体" w:cs="宋体"/>
                <w:color w:val="auto"/>
                <w:sz w:val="21"/>
                <w:szCs w:val="21"/>
                <w:highlight w:val="none"/>
              </w:rPr>
              <w:t>地址：</w:t>
            </w:r>
            <w:r>
              <w:rPr>
                <w:rFonts w:hint="eastAsia" w:hAnsi="宋体" w:cs="宋体"/>
                <w:color w:val="auto"/>
                <w:kern w:val="0"/>
                <w:sz w:val="21"/>
                <w:szCs w:val="21"/>
                <w:highlight w:val="none"/>
                <w:u w:val="single"/>
              </w:rPr>
              <w:t xml:space="preserve">                        </w:t>
            </w:r>
          </w:p>
          <w:p w14:paraId="000701D5">
            <w:pPr>
              <w:pStyle w:val="214"/>
              <w:keepNext w:val="0"/>
              <w:keepLines w:val="0"/>
              <w:pageBreakBefore w:val="0"/>
              <w:framePr w:hSpace="0" w:wrap="auto" w:vAnchor="margin" w:hAnchor="text" w:yAlign="inline"/>
              <w:widowControl/>
              <w:suppressLineNumbers w:val="0"/>
              <w:wordWrap/>
              <w:overflowPunct/>
              <w:topLinePunct w:val="0"/>
              <w:bidi w:val="0"/>
              <w:spacing w:before="0" w:beforeAutospacing="0" w:after="0" w:afterAutospacing="0" w:line="440" w:lineRule="exact"/>
              <w:ind w:left="0" w:right="0"/>
              <w:textAlignment w:val="auto"/>
              <w:rPr>
                <w:rFonts w:hint="eastAsia" w:hAnsi="宋体" w:cs="宋体"/>
                <w:color w:val="auto"/>
                <w:sz w:val="21"/>
                <w:szCs w:val="21"/>
                <w:highlight w:val="none"/>
              </w:rPr>
            </w:pPr>
            <w:r>
              <w:rPr>
                <w:rFonts w:hint="eastAsia" w:hAnsi="宋体" w:cs="宋体"/>
                <w:color w:val="auto"/>
                <w:sz w:val="21"/>
                <w:szCs w:val="21"/>
                <w:highlight w:val="none"/>
              </w:rPr>
              <w:t>邮政编码：</w:t>
            </w:r>
            <w:r>
              <w:rPr>
                <w:rFonts w:hint="eastAsia" w:hAnsi="宋体" w:cs="宋体"/>
                <w:color w:val="auto"/>
                <w:kern w:val="0"/>
                <w:sz w:val="21"/>
                <w:szCs w:val="21"/>
                <w:highlight w:val="none"/>
                <w:u w:val="single"/>
              </w:rPr>
              <w:t xml:space="preserve">                      </w:t>
            </w:r>
          </w:p>
          <w:p w14:paraId="195737DB">
            <w:pPr>
              <w:pStyle w:val="214"/>
              <w:keepNext w:val="0"/>
              <w:keepLines w:val="0"/>
              <w:pageBreakBefore w:val="0"/>
              <w:framePr w:hSpace="0" w:wrap="auto" w:vAnchor="margin" w:hAnchor="text" w:yAlign="inline"/>
              <w:widowControl/>
              <w:suppressLineNumbers w:val="0"/>
              <w:wordWrap/>
              <w:overflowPunct/>
              <w:topLinePunct w:val="0"/>
              <w:bidi w:val="0"/>
              <w:spacing w:before="0" w:beforeAutospacing="0" w:after="0" w:afterAutospacing="0" w:line="440" w:lineRule="exact"/>
              <w:ind w:left="0" w:right="0"/>
              <w:textAlignment w:val="auto"/>
              <w:rPr>
                <w:rFonts w:hint="eastAsia" w:hAnsi="宋体" w:cs="宋体"/>
                <w:color w:val="auto"/>
                <w:sz w:val="21"/>
                <w:szCs w:val="21"/>
                <w:highlight w:val="none"/>
              </w:rPr>
            </w:pPr>
            <w:r>
              <w:rPr>
                <w:rFonts w:hint="eastAsia" w:hAnsi="宋体" w:cs="宋体"/>
                <w:color w:val="auto"/>
                <w:sz w:val="21"/>
                <w:szCs w:val="21"/>
                <w:highlight w:val="none"/>
              </w:rPr>
              <w:t>法定代表人：</w:t>
            </w:r>
            <w:r>
              <w:rPr>
                <w:rFonts w:hint="eastAsia" w:hAnsi="宋体" w:cs="宋体"/>
                <w:color w:val="auto"/>
                <w:kern w:val="0"/>
                <w:sz w:val="21"/>
                <w:szCs w:val="21"/>
                <w:highlight w:val="none"/>
                <w:u w:val="single"/>
              </w:rPr>
              <w:t xml:space="preserve">                  </w:t>
            </w:r>
          </w:p>
          <w:p w14:paraId="59688CFD">
            <w:pPr>
              <w:pStyle w:val="214"/>
              <w:keepNext w:val="0"/>
              <w:keepLines w:val="0"/>
              <w:pageBreakBefore w:val="0"/>
              <w:framePr w:hSpace="0" w:wrap="auto" w:vAnchor="margin" w:hAnchor="text" w:yAlign="inline"/>
              <w:widowControl/>
              <w:suppressLineNumbers w:val="0"/>
              <w:wordWrap/>
              <w:overflowPunct/>
              <w:topLinePunct w:val="0"/>
              <w:bidi w:val="0"/>
              <w:spacing w:before="0" w:beforeAutospacing="0" w:after="0" w:afterAutospacing="0" w:line="440" w:lineRule="exact"/>
              <w:ind w:left="0" w:right="0"/>
              <w:textAlignment w:val="auto"/>
              <w:rPr>
                <w:rFonts w:hint="eastAsia" w:hAnsi="宋体" w:cs="宋体"/>
                <w:color w:val="auto"/>
                <w:sz w:val="21"/>
                <w:szCs w:val="21"/>
                <w:highlight w:val="none"/>
              </w:rPr>
            </w:pPr>
            <w:r>
              <w:rPr>
                <w:rFonts w:hint="eastAsia" w:hAnsi="宋体" w:cs="宋体"/>
                <w:color w:val="auto"/>
                <w:sz w:val="21"/>
                <w:szCs w:val="21"/>
                <w:highlight w:val="none"/>
              </w:rPr>
              <w:t>委托代理人：</w:t>
            </w:r>
            <w:r>
              <w:rPr>
                <w:rFonts w:hint="eastAsia" w:hAnsi="宋体" w:cs="宋体"/>
                <w:color w:val="auto"/>
                <w:kern w:val="0"/>
                <w:sz w:val="21"/>
                <w:szCs w:val="21"/>
                <w:highlight w:val="none"/>
                <w:u w:val="single"/>
              </w:rPr>
              <w:t xml:space="preserve">                 </w:t>
            </w:r>
          </w:p>
          <w:p w14:paraId="2A24C2DC">
            <w:pPr>
              <w:pStyle w:val="214"/>
              <w:keepNext w:val="0"/>
              <w:keepLines w:val="0"/>
              <w:pageBreakBefore w:val="0"/>
              <w:framePr w:hSpace="0" w:wrap="auto" w:vAnchor="margin" w:hAnchor="text" w:yAlign="inline"/>
              <w:widowControl/>
              <w:suppressLineNumbers w:val="0"/>
              <w:wordWrap/>
              <w:overflowPunct/>
              <w:topLinePunct w:val="0"/>
              <w:bidi w:val="0"/>
              <w:spacing w:before="0" w:beforeAutospacing="0" w:after="0" w:afterAutospacing="0" w:line="440" w:lineRule="exact"/>
              <w:ind w:left="0" w:right="0"/>
              <w:textAlignment w:val="auto"/>
              <w:rPr>
                <w:rFonts w:hint="eastAsia" w:hAnsi="宋体" w:cs="宋体"/>
                <w:color w:val="auto"/>
                <w:sz w:val="21"/>
                <w:szCs w:val="21"/>
                <w:highlight w:val="none"/>
              </w:rPr>
            </w:pPr>
            <w:r>
              <w:rPr>
                <w:rFonts w:hint="eastAsia" w:hAnsi="宋体" w:cs="宋体"/>
                <w:color w:val="auto"/>
                <w:sz w:val="21"/>
                <w:szCs w:val="21"/>
                <w:highlight w:val="none"/>
              </w:rPr>
              <w:t>电话：</w:t>
            </w:r>
            <w:r>
              <w:rPr>
                <w:rFonts w:hint="eastAsia" w:hAnsi="宋体" w:cs="宋体"/>
                <w:color w:val="auto"/>
                <w:kern w:val="0"/>
                <w:sz w:val="21"/>
                <w:szCs w:val="21"/>
                <w:highlight w:val="none"/>
                <w:u w:val="single"/>
              </w:rPr>
              <w:t xml:space="preserve">                       </w:t>
            </w:r>
          </w:p>
          <w:p w14:paraId="14A94376">
            <w:pPr>
              <w:pStyle w:val="214"/>
              <w:keepNext w:val="0"/>
              <w:keepLines w:val="0"/>
              <w:pageBreakBefore w:val="0"/>
              <w:framePr w:hSpace="0" w:wrap="auto" w:vAnchor="margin" w:hAnchor="text" w:yAlign="inline"/>
              <w:widowControl/>
              <w:suppressLineNumbers w:val="0"/>
              <w:wordWrap/>
              <w:overflowPunct/>
              <w:topLinePunct w:val="0"/>
              <w:bidi w:val="0"/>
              <w:spacing w:before="0" w:beforeAutospacing="0" w:after="0" w:afterAutospacing="0" w:line="440" w:lineRule="exact"/>
              <w:ind w:left="0" w:right="0"/>
              <w:textAlignment w:val="auto"/>
              <w:rPr>
                <w:rFonts w:hint="eastAsia" w:hAnsi="宋体" w:cs="宋体"/>
                <w:color w:val="auto"/>
                <w:sz w:val="21"/>
                <w:szCs w:val="21"/>
                <w:highlight w:val="none"/>
              </w:rPr>
            </w:pPr>
            <w:r>
              <w:rPr>
                <w:rFonts w:hint="eastAsia" w:hAnsi="宋体" w:cs="宋体"/>
                <w:color w:val="auto"/>
                <w:sz w:val="21"/>
                <w:szCs w:val="21"/>
                <w:highlight w:val="none"/>
              </w:rPr>
              <w:t>传真：</w:t>
            </w:r>
            <w:r>
              <w:rPr>
                <w:rFonts w:hint="eastAsia" w:hAnsi="宋体" w:cs="宋体"/>
                <w:color w:val="auto"/>
                <w:kern w:val="0"/>
                <w:sz w:val="21"/>
                <w:szCs w:val="21"/>
                <w:highlight w:val="none"/>
                <w:u w:val="single"/>
              </w:rPr>
              <w:t xml:space="preserve">                       </w:t>
            </w:r>
          </w:p>
          <w:p w14:paraId="24EA8B29">
            <w:pPr>
              <w:pStyle w:val="214"/>
              <w:keepNext w:val="0"/>
              <w:keepLines w:val="0"/>
              <w:pageBreakBefore w:val="0"/>
              <w:framePr w:hSpace="0" w:wrap="auto" w:vAnchor="margin" w:hAnchor="text" w:yAlign="inline"/>
              <w:widowControl/>
              <w:suppressLineNumbers w:val="0"/>
              <w:wordWrap/>
              <w:overflowPunct/>
              <w:topLinePunct w:val="0"/>
              <w:bidi w:val="0"/>
              <w:spacing w:before="0" w:beforeAutospacing="0" w:after="0" w:afterAutospacing="0" w:line="440" w:lineRule="exact"/>
              <w:ind w:left="0" w:right="0"/>
              <w:textAlignment w:val="auto"/>
              <w:rPr>
                <w:rFonts w:hint="eastAsia" w:hAnsi="宋体" w:cs="宋体"/>
                <w:color w:val="auto"/>
                <w:sz w:val="21"/>
                <w:szCs w:val="21"/>
                <w:highlight w:val="none"/>
              </w:rPr>
            </w:pPr>
            <w:r>
              <w:rPr>
                <w:rFonts w:hint="eastAsia" w:hAnsi="宋体" w:cs="宋体"/>
                <w:color w:val="auto"/>
                <w:sz w:val="21"/>
                <w:szCs w:val="21"/>
                <w:highlight w:val="none"/>
              </w:rPr>
              <w:t>电子信箱：</w:t>
            </w:r>
            <w:r>
              <w:rPr>
                <w:rFonts w:hint="eastAsia" w:hAnsi="宋体" w:cs="宋体"/>
                <w:color w:val="auto"/>
                <w:kern w:val="0"/>
                <w:sz w:val="21"/>
                <w:szCs w:val="21"/>
                <w:highlight w:val="none"/>
                <w:u w:val="single"/>
              </w:rPr>
              <w:t xml:space="preserve">                   </w:t>
            </w:r>
          </w:p>
          <w:p w14:paraId="204F9C21">
            <w:pPr>
              <w:pStyle w:val="214"/>
              <w:keepNext w:val="0"/>
              <w:keepLines w:val="0"/>
              <w:pageBreakBefore w:val="0"/>
              <w:framePr w:hSpace="0" w:wrap="auto" w:vAnchor="margin" w:hAnchor="text" w:yAlign="inline"/>
              <w:widowControl/>
              <w:suppressLineNumbers w:val="0"/>
              <w:wordWrap/>
              <w:overflowPunct/>
              <w:topLinePunct w:val="0"/>
              <w:bidi w:val="0"/>
              <w:spacing w:before="0" w:beforeAutospacing="0" w:after="0" w:afterAutospacing="0" w:line="440" w:lineRule="exact"/>
              <w:ind w:left="0" w:right="0"/>
              <w:textAlignment w:val="auto"/>
              <w:rPr>
                <w:rFonts w:hint="eastAsia" w:hAnsi="宋体" w:cs="宋体"/>
                <w:color w:val="auto"/>
                <w:sz w:val="21"/>
                <w:szCs w:val="21"/>
                <w:highlight w:val="none"/>
              </w:rPr>
            </w:pPr>
            <w:r>
              <w:rPr>
                <w:rFonts w:hint="eastAsia" w:hAnsi="宋体" w:cs="宋体"/>
                <w:color w:val="auto"/>
                <w:sz w:val="21"/>
                <w:szCs w:val="21"/>
                <w:highlight w:val="none"/>
              </w:rPr>
              <w:t>开户银行：</w:t>
            </w:r>
            <w:r>
              <w:rPr>
                <w:rFonts w:hint="eastAsia" w:hAnsi="宋体" w:cs="宋体"/>
                <w:color w:val="auto"/>
                <w:kern w:val="0"/>
                <w:sz w:val="21"/>
                <w:szCs w:val="21"/>
                <w:highlight w:val="none"/>
                <w:u w:val="single"/>
              </w:rPr>
              <w:t xml:space="preserve">                   </w:t>
            </w:r>
          </w:p>
          <w:p w14:paraId="6DFD805E">
            <w:pPr>
              <w:pStyle w:val="214"/>
              <w:keepNext w:val="0"/>
              <w:keepLines w:val="0"/>
              <w:pageBreakBefore w:val="0"/>
              <w:framePr w:hSpace="0" w:wrap="auto" w:vAnchor="margin" w:hAnchor="text" w:yAlign="inline"/>
              <w:widowControl/>
              <w:suppressLineNumbers w:val="0"/>
              <w:wordWrap/>
              <w:overflowPunct/>
              <w:topLinePunct w:val="0"/>
              <w:bidi w:val="0"/>
              <w:spacing w:before="0" w:beforeAutospacing="0" w:after="0" w:afterAutospacing="0" w:line="440" w:lineRule="exact"/>
              <w:ind w:left="0" w:right="0"/>
              <w:textAlignment w:val="auto"/>
              <w:rPr>
                <w:rFonts w:hint="eastAsia" w:hAnsi="宋体" w:cs="宋体"/>
                <w:color w:val="auto"/>
                <w:sz w:val="21"/>
                <w:szCs w:val="21"/>
                <w:highlight w:val="none"/>
              </w:rPr>
            </w:pPr>
            <w:r>
              <w:rPr>
                <w:rFonts w:hint="eastAsia" w:hAnsi="宋体" w:cs="宋体"/>
                <w:color w:val="auto"/>
                <w:sz w:val="21"/>
                <w:szCs w:val="21"/>
                <w:highlight w:val="none"/>
              </w:rPr>
              <w:t>账号：</w:t>
            </w:r>
            <w:r>
              <w:rPr>
                <w:rFonts w:hint="eastAsia" w:hAnsi="宋体" w:cs="宋体"/>
                <w:color w:val="auto"/>
                <w:sz w:val="21"/>
                <w:szCs w:val="21"/>
                <w:highlight w:val="none"/>
                <w:u w:val="single"/>
              </w:rPr>
              <w:t xml:space="preserve">                       </w:t>
            </w:r>
          </w:p>
        </w:tc>
      </w:tr>
    </w:tbl>
    <w:p w14:paraId="2421115B">
      <w:pPr>
        <w:spacing w:line="440" w:lineRule="exact"/>
        <w:rPr>
          <w:rFonts w:hint="eastAsia" w:ascii="宋体" w:cs="宋体"/>
          <w:color w:val="auto"/>
          <w:szCs w:val="21"/>
          <w:highlight w:val="none"/>
        </w:rPr>
      </w:pPr>
      <w:r>
        <w:rPr>
          <w:rFonts w:hint="eastAsia" w:ascii="宋体" w:cs="宋体"/>
          <w:color w:val="auto"/>
          <w:szCs w:val="21"/>
          <w:highlight w:val="none"/>
        </w:rPr>
        <w:t xml:space="preserve">                     </w:t>
      </w:r>
    </w:p>
    <w:p w14:paraId="47DE9D2C">
      <w:pPr>
        <w:spacing w:line="440" w:lineRule="exact"/>
        <w:ind w:firstLine="4410" w:firstLineChars="2100"/>
        <w:rPr>
          <w:rFonts w:hint="eastAsia" w:ascii="宋体" w:cs="宋体"/>
          <w:color w:val="auto"/>
          <w:szCs w:val="21"/>
          <w:highlight w:val="none"/>
        </w:rPr>
      </w:pPr>
    </w:p>
    <w:p w14:paraId="73F4574A">
      <w:pPr>
        <w:spacing w:line="440" w:lineRule="exact"/>
        <w:ind w:firstLine="4410" w:firstLineChars="2100"/>
        <w:rPr>
          <w:rFonts w:hint="eastAsia" w:ascii="宋体" w:cs="宋体"/>
          <w:color w:val="auto"/>
          <w:szCs w:val="21"/>
          <w:highlight w:val="none"/>
        </w:rPr>
      </w:pPr>
    </w:p>
    <w:p w14:paraId="3943C5F0">
      <w:pPr>
        <w:spacing w:line="440" w:lineRule="exact"/>
        <w:ind w:firstLine="4410" w:firstLineChars="2100"/>
        <w:rPr>
          <w:rFonts w:hint="eastAsia" w:ascii="宋体" w:cs="宋体"/>
          <w:color w:val="auto"/>
          <w:szCs w:val="21"/>
          <w:highlight w:val="none"/>
        </w:rPr>
      </w:pPr>
    </w:p>
    <w:p w14:paraId="7FDB86E4">
      <w:pPr>
        <w:pStyle w:val="14"/>
        <w:rPr>
          <w:rFonts w:hint="eastAsia" w:ascii="宋体" w:cs="宋体"/>
          <w:color w:val="auto"/>
          <w:szCs w:val="21"/>
          <w:highlight w:val="none"/>
        </w:rPr>
      </w:pPr>
    </w:p>
    <w:p w14:paraId="45D8C436">
      <w:pPr>
        <w:rPr>
          <w:rFonts w:hint="eastAsia" w:ascii="宋体" w:cs="宋体"/>
          <w:color w:val="auto"/>
          <w:szCs w:val="21"/>
          <w:highlight w:val="none"/>
        </w:rPr>
      </w:pPr>
    </w:p>
    <w:p w14:paraId="68996332">
      <w:pPr>
        <w:spacing w:line="440" w:lineRule="exact"/>
        <w:rPr>
          <w:rFonts w:hint="eastAsia" w:ascii="宋体" w:cs="宋体"/>
          <w:color w:val="auto"/>
          <w:szCs w:val="21"/>
          <w:highlight w:val="none"/>
        </w:rPr>
      </w:pPr>
      <w:r>
        <w:rPr>
          <w:rFonts w:hint="eastAsia" w:ascii="宋体" w:cs="宋体"/>
          <w:color w:val="auto"/>
          <w:szCs w:val="21"/>
          <w:highlight w:val="none"/>
        </w:rPr>
        <w:t xml:space="preserve">           </w:t>
      </w:r>
    </w:p>
    <w:p w14:paraId="6E6FB372">
      <w:pPr>
        <w:rPr>
          <w:rFonts w:hint="eastAsia" w:ascii="黑体" w:eastAsia="黑体" w:cs="黑体"/>
          <w:color w:val="auto"/>
          <w:highlight w:val="none"/>
        </w:rPr>
      </w:pPr>
      <w:r>
        <w:rPr>
          <w:rFonts w:hint="eastAsia" w:ascii="黑体" w:eastAsia="黑体" w:cs="黑体"/>
          <w:color w:val="auto"/>
          <w:highlight w:val="none"/>
        </w:rPr>
        <w:br w:type="page"/>
      </w:r>
    </w:p>
    <w:p w14:paraId="5D951C3C">
      <w:pPr>
        <w:pStyle w:val="4"/>
        <w:jc w:val="center"/>
        <w:rPr>
          <w:rFonts w:hint="eastAsia" w:ascii="黑体" w:eastAsia="黑体" w:cs="黑体"/>
          <w:color w:val="auto"/>
          <w:highlight w:val="none"/>
        </w:rPr>
      </w:pPr>
      <w:r>
        <w:rPr>
          <w:rFonts w:hint="eastAsia" w:ascii="黑体" w:eastAsia="黑体" w:cs="黑体"/>
          <w:color w:val="auto"/>
          <w:highlight w:val="none"/>
        </w:rPr>
        <w:t>第二节 通用合同条款</w:t>
      </w:r>
    </w:p>
    <w:p w14:paraId="3BD1B480">
      <w:pPr>
        <w:adjustRightInd w:val="0"/>
        <w:snapToGrid w:val="0"/>
        <w:spacing w:line="480" w:lineRule="auto"/>
        <w:ind w:firstLine="562" w:firstLineChars="200"/>
        <w:rPr>
          <w:rFonts w:hint="eastAsia" w:ascii="宋体" w:hAnsi="宋体" w:cs="宋体"/>
          <w:b/>
          <w:bCs/>
          <w:snapToGrid w:val="0"/>
          <w:color w:val="auto"/>
          <w:kern w:val="0"/>
          <w:sz w:val="28"/>
          <w:highlight w:val="none"/>
        </w:rPr>
      </w:pPr>
      <w:r>
        <w:rPr>
          <w:rFonts w:hint="eastAsia" w:ascii="宋体" w:hAnsi="宋体" w:cs="宋体"/>
          <w:b/>
          <w:bCs/>
          <w:snapToGrid w:val="0"/>
          <w:color w:val="auto"/>
          <w:kern w:val="0"/>
          <w:sz w:val="28"/>
          <w:highlight w:val="none"/>
        </w:rPr>
        <w:t>采用《建设工程施工合同(示范文本)》（GF-2017-0201）中通用合同条款。上述资料由</w:t>
      </w:r>
      <w:r>
        <w:rPr>
          <w:rFonts w:hint="eastAsia" w:ascii="宋体" w:hAnsi="宋体" w:cs="宋体"/>
          <w:b/>
          <w:bCs/>
          <w:snapToGrid w:val="0"/>
          <w:color w:val="auto"/>
          <w:kern w:val="0"/>
          <w:sz w:val="28"/>
          <w:highlight w:val="none"/>
          <w:lang w:val="en-US" w:eastAsia="zh-CN"/>
        </w:rPr>
        <w:t>中</w:t>
      </w:r>
      <w:r>
        <w:rPr>
          <w:rFonts w:hint="eastAsia" w:ascii="宋体" w:hAnsi="宋体" w:cs="宋体"/>
          <w:b/>
          <w:bCs/>
          <w:snapToGrid w:val="0"/>
          <w:color w:val="auto"/>
          <w:kern w:val="0"/>
          <w:sz w:val="28"/>
          <w:highlight w:val="none"/>
        </w:rPr>
        <w:t>标人自行准备。</w:t>
      </w:r>
    </w:p>
    <w:p w14:paraId="48D17398">
      <w:pPr>
        <w:spacing w:line="440" w:lineRule="exact"/>
        <w:ind w:firstLine="420" w:firstLineChars="200"/>
        <w:rPr>
          <w:rFonts w:hint="eastAsia"/>
          <w:color w:val="auto"/>
          <w:highlight w:val="none"/>
        </w:rPr>
      </w:pPr>
    </w:p>
    <w:p w14:paraId="20A9D62C">
      <w:pPr>
        <w:pStyle w:val="4"/>
        <w:jc w:val="center"/>
        <w:rPr>
          <w:rFonts w:hint="eastAsia" w:ascii="黑体" w:eastAsia="黑体" w:cs="黑体"/>
          <w:color w:val="auto"/>
          <w:highlight w:val="none"/>
        </w:rPr>
      </w:pPr>
      <w:r>
        <w:rPr>
          <w:rFonts w:hint="eastAsia" w:ascii="黑体" w:eastAsia="黑体" w:cs="黑体"/>
          <w:color w:val="auto"/>
          <w:highlight w:val="none"/>
        </w:rPr>
        <w:t>第三节 专用合同条款</w:t>
      </w:r>
    </w:p>
    <w:p w14:paraId="0E66893B">
      <w:pPr>
        <w:pStyle w:val="5"/>
        <w:snapToGrid w:val="0"/>
        <w:spacing w:before="0" w:after="0" w:line="440" w:lineRule="exact"/>
        <w:ind w:firstLine="420" w:firstLineChars="200"/>
        <w:rPr>
          <w:rFonts w:hint="eastAsia" w:ascii="宋体" w:eastAsia="宋体" w:cs="宋体"/>
          <w:b w:val="0"/>
          <w:color w:val="auto"/>
          <w:sz w:val="21"/>
          <w:szCs w:val="21"/>
          <w:highlight w:val="none"/>
        </w:rPr>
      </w:pPr>
      <w:r>
        <w:rPr>
          <w:rFonts w:hint="eastAsia" w:ascii="宋体" w:eastAsia="宋体" w:cs="宋体"/>
          <w:b w:val="0"/>
          <w:color w:val="auto"/>
          <w:sz w:val="21"/>
          <w:szCs w:val="21"/>
          <w:highlight w:val="none"/>
        </w:rPr>
        <w:t>1. 一般约定</w:t>
      </w:r>
    </w:p>
    <w:p w14:paraId="564E7E8D">
      <w:pPr>
        <w:snapToGrid w:val="0"/>
        <w:spacing w:line="440" w:lineRule="exact"/>
        <w:ind w:firstLine="420" w:firstLineChars="200"/>
        <w:rPr>
          <w:rFonts w:hint="eastAsia" w:ascii="宋体" w:cs="宋体"/>
          <w:color w:val="auto"/>
          <w:szCs w:val="21"/>
          <w:highlight w:val="none"/>
        </w:rPr>
      </w:pPr>
      <w:r>
        <w:rPr>
          <w:rFonts w:hint="eastAsia" w:ascii="宋体" w:cs="宋体"/>
          <w:color w:val="auto"/>
          <w:szCs w:val="21"/>
          <w:highlight w:val="none"/>
        </w:rPr>
        <w:t>1.1 词语定义</w:t>
      </w:r>
    </w:p>
    <w:p w14:paraId="0352C5D3">
      <w:pPr>
        <w:snapToGrid w:val="0"/>
        <w:spacing w:line="440" w:lineRule="exact"/>
        <w:ind w:firstLine="420" w:firstLineChars="200"/>
        <w:rPr>
          <w:rFonts w:hint="eastAsia" w:ascii="宋体" w:cs="宋体"/>
          <w:color w:val="auto"/>
          <w:kern w:val="0"/>
          <w:szCs w:val="21"/>
          <w:highlight w:val="none"/>
        </w:rPr>
      </w:pPr>
      <w:r>
        <w:rPr>
          <w:rFonts w:hint="eastAsia" w:ascii="宋体" w:cs="宋体"/>
          <w:color w:val="auto"/>
          <w:kern w:val="0"/>
          <w:szCs w:val="21"/>
          <w:highlight w:val="none"/>
        </w:rPr>
        <w:t>1.1.1合同</w:t>
      </w:r>
    </w:p>
    <w:p w14:paraId="6EA12D57">
      <w:pPr>
        <w:snapToGrid w:val="0"/>
        <w:spacing w:line="440" w:lineRule="exact"/>
        <w:ind w:firstLine="420" w:firstLineChars="200"/>
        <w:rPr>
          <w:rFonts w:hint="eastAsia" w:ascii="宋体" w:cs="宋体"/>
          <w:color w:val="auto"/>
          <w:kern w:val="0"/>
          <w:szCs w:val="21"/>
          <w:highlight w:val="none"/>
        </w:rPr>
      </w:pPr>
      <w:r>
        <w:rPr>
          <w:rFonts w:hint="eastAsia" w:ascii="宋体" w:cs="宋体"/>
          <w:color w:val="auto"/>
          <w:kern w:val="0"/>
          <w:szCs w:val="21"/>
          <w:highlight w:val="none"/>
        </w:rPr>
        <w:t>1.1.1.1其他合同文件包括：</w:t>
      </w:r>
      <w:r>
        <w:rPr>
          <w:rFonts w:hint="eastAsia" w:ascii="宋体" w:cs="宋体"/>
          <w:color w:val="auto"/>
          <w:szCs w:val="21"/>
          <w:highlight w:val="none"/>
          <w:u w:val="single"/>
        </w:rPr>
        <w:t xml:space="preserve">本项目招标文件、在合同订立及履行过程中形成的与合同有关的文件均构成合同文件组成部分。 </w:t>
      </w:r>
    </w:p>
    <w:p w14:paraId="3A8F2FC2">
      <w:pPr>
        <w:keepNext w:val="0"/>
        <w:keepLines w:val="0"/>
        <w:pageBreakBefore w:val="0"/>
        <w:widowControl w:val="0"/>
        <w:kinsoku/>
        <w:wordWrap/>
        <w:overflowPunct/>
        <w:topLinePunct w:val="0"/>
        <w:autoSpaceDE/>
        <w:autoSpaceDN/>
        <w:bidi w:val="0"/>
        <w:snapToGrid w:val="0"/>
        <w:spacing w:line="440" w:lineRule="exact"/>
        <w:ind w:firstLine="420" w:firstLineChars="200"/>
        <w:textAlignment w:val="auto"/>
        <w:rPr>
          <w:rFonts w:hint="eastAsia" w:ascii="宋体" w:cs="宋体"/>
          <w:color w:val="auto"/>
          <w:szCs w:val="21"/>
          <w:highlight w:val="none"/>
          <w:lang w:eastAsia="zh-CN"/>
        </w:rPr>
      </w:pPr>
      <w:r>
        <w:rPr>
          <w:rFonts w:hint="eastAsia" w:ascii="宋体" w:cs="宋体"/>
          <w:color w:val="auto"/>
          <w:szCs w:val="21"/>
          <w:highlight w:val="none"/>
        </w:rPr>
        <w:t>1.1.2 合同其他相关方</w:t>
      </w:r>
      <w:r>
        <w:rPr>
          <w:rFonts w:hint="eastAsia" w:ascii="宋体" w:cs="宋体"/>
          <w:color w:val="auto"/>
          <w:szCs w:val="21"/>
          <w:highlight w:val="none"/>
          <w:lang w:eastAsia="zh-CN"/>
        </w:rPr>
        <w:t>：</w:t>
      </w:r>
    </w:p>
    <w:p w14:paraId="6FC2FD5D">
      <w:pPr>
        <w:keepNext w:val="0"/>
        <w:keepLines w:val="0"/>
        <w:pageBreakBefore w:val="0"/>
        <w:widowControl w:val="0"/>
        <w:kinsoku/>
        <w:wordWrap/>
        <w:overflowPunct/>
        <w:topLinePunct w:val="0"/>
        <w:autoSpaceDE/>
        <w:autoSpaceDN/>
        <w:bidi w:val="0"/>
        <w:adjustRightInd w:val="0"/>
        <w:snapToGrid w:val="0"/>
        <w:spacing w:line="440" w:lineRule="exact"/>
        <w:ind w:firstLine="420" w:firstLineChars="200"/>
        <w:textAlignment w:val="auto"/>
        <w:rPr>
          <w:rFonts w:hint="eastAsia" w:ascii="宋体" w:hAnsi="宋体" w:cs="宋体"/>
          <w:color w:val="auto"/>
          <w:highlight w:val="none"/>
        </w:rPr>
      </w:pPr>
      <w:r>
        <w:rPr>
          <w:rFonts w:hint="eastAsia" w:ascii="宋体" w:hAnsi="宋体" w:cs="宋体"/>
          <w:color w:val="auto"/>
          <w:highlight w:val="none"/>
        </w:rPr>
        <w:t>1.1.2.4 监理人：</w:t>
      </w:r>
    </w:p>
    <w:p w14:paraId="77E42711">
      <w:pPr>
        <w:keepNext w:val="0"/>
        <w:keepLines w:val="0"/>
        <w:pageBreakBefore w:val="0"/>
        <w:widowControl w:val="0"/>
        <w:kinsoku/>
        <w:wordWrap/>
        <w:overflowPunct/>
        <w:topLinePunct w:val="0"/>
        <w:autoSpaceDE/>
        <w:autoSpaceDN/>
        <w:bidi w:val="0"/>
        <w:adjustRightInd w:val="0"/>
        <w:snapToGrid w:val="0"/>
        <w:spacing w:line="440" w:lineRule="exact"/>
        <w:ind w:firstLine="420" w:firstLineChars="200"/>
        <w:textAlignment w:val="auto"/>
        <w:rPr>
          <w:rFonts w:hint="eastAsia" w:ascii="宋体" w:hAnsi="宋体" w:cs="宋体"/>
          <w:color w:val="auto"/>
          <w:highlight w:val="none"/>
        </w:rPr>
      </w:pPr>
      <w:r>
        <w:rPr>
          <w:rFonts w:hint="eastAsia" w:ascii="宋体" w:hAnsi="宋体" w:cs="宋体"/>
          <w:color w:val="auto"/>
          <w:highlight w:val="none"/>
        </w:rPr>
        <w:t>名    称：</w:t>
      </w:r>
      <w:r>
        <w:rPr>
          <w:rFonts w:hint="eastAsia" w:ascii="宋体" w:hAnsi="宋体" w:cs="宋体"/>
          <w:color w:val="auto"/>
          <w:highlight w:val="none"/>
          <w:u w:val="single"/>
        </w:rPr>
        <w:t xml:space="preserve">  </w:t>
      </w:r>
      <w:r>
        <w:rPr>
          <w:rFonts w:hint="eastAsia" w:ascii="宋体" w:hAnsi="宋体" w:cs="宋体"/>
          <w:color w:val="auto"/>
          <w:highlight w:val="none"/>
          <w:u w:val="single"/>
          <w:lang w:val="en-US" w:eastAsia="zh-CN"/>
        </w:rPr>
        <w:t xml:space="preserve">                                         </w:t>
      </w:r>
      <w:r>
        <w:rPr>
          <w:rFonts w:hint="eastAsia" w:ascii="宋体" w:hAnsi="宋体" w:cs="宋体"/>
          <w:color w:val="auto"/>
          <w:highlight w:val="none"/>
          <w:u w:val="single"/>
        </w:rPr>
        <w:t xml:space="preserve">  </w:t>
      </w:r>
      <w:r>
        <w:rPr>
          <w:rFonts w:hint="eastAsia" w:ascii="宋体" w:hAnsi="宋体" w:cs="宋体"/>
          <w:color w:val="auto"/>
          <w:highlight w:val="none"/>
        </w:rPr>
        <w:t>；</w:t>
      </w:r>
    </w:p>
    <w:p w14:paraId="1DF6448A">
      <w:pPr>
        <w:keepNext w:val="0"/>
        <w:keepLines w:val="0"/>
        <w:pageBreakBefore w:val="0"/>
        <w:widowControl w:val="0"/>
        <w:kinsoku/>
        <w:wordWrap/>
        <w:overflowPunct/>
        <w:topLinePunct w:val="0"/>
        <w:autoSpaceDE/>
        <w:autoSpaceDN/>
        <w:bidi w:val="0"/>
        <w:adjustRightInd w:val="0"/>
        <w:snapToGrid w:val="0"/>
        <w:spacing w:line="440" w:lineRule="exact"/>
        <w:ind w:firstLine="420" w:firstLineChars="200"/>
        <w:textAlignment w:val="auto"/>
        <w:rPr>
          <w:rFonts w:hint="eastAsia" w:ascii="宋体" w:hAnsi="宋体" w:cs="宋体"/>
          <w:color w:val="auto"/>
          <w:highlight w:val="none"/>
        </w:rPr>
      </w:pPr>
      <w:r>
        <w:rPr>
          <w:rFonts w:hint="eastAsia" w:ascii="宋体" w:hAnsi="宋体" w:cs="宋体"/>
          <w:color w:val="auto"/>
          <w:highlight w:val="none"/>
        </w:rPr>
        <w:t>资质类别和等级：</w:t>
      </w:r>
      <w:r>
        <w:rPr>
          <w:rFonts w:hint="eastAsia" w:ascii="宋体" w:hAnsi="宋体" w:cs="宋体"/>
          <w:color w:val="auto"/>
          <w:highlight w:val="none"/>
          <w:u w:val="single"/>
        </w:rPr>
        <w:t xml:space="preserve">    </w:t>
      </w:r>
      <w:r>
        <w:rPr>
          <w:rFonts w:hint="eastAsia" w:ascii="宋体" w:hAnsi="宋体" w:cs="宋体"/>
          <w:color w:val="auto"/>
          <w:highlight w:val="none"/>
          <w:u w:val="single"/>
          <w:lang w:val="en-US" w:eastAsia="zh-CN"/>
        </w:rPr>
        <w:t xml:space="preserve">                                 </w:t>
      </w:r>
      <w:r>
        <w:rPr>
          <w:rFonts w:hint="eastAsia" w:ascii="宋体" w:hAnsi="宋体" w:cs="宋体"/>
          <w:color w:val="auto"/>
          <w:highlight w:val="none"/>
          <w:u w:val="single"/>
        </w:rPr>
        <w:t></w:t>
      </w:r>
      <w:r>
        <w:rPr>
          <w:rFonts w:hint="eastAsia" w:ascii="宋体" w:hAnsi="宋体" w:cs="宋体"/>
          <w:color w:val="auto"/>
          <w:highlight w:val="none"/>
        </w:rPr>
        <w:t>；</w:t>
      </w:r>
    </w:p>
    <w:p w14:paraId="05C8B7B2">
      <w:pPr>
        <w:keepNext w:val="0"/>
        <w:keepLines w:val="0"/>
        <w:pageBreakBefore w:val="0"/>
        <w:widowControl w:val="0"/>
        <w:kinsoku/>
        <w:wordWrap/>
        <w:overflowPunct/>
        <w:topLinePunct w:val="0"/>
        <w:autoSpaceDE/>
        <w:autoSpaceDN/>
        <w:bidi w:val="0"/>
        <w:adjustRightInd w:val="0"/>
        <w:snapToGrid w:val="0"/>
        <w:spacing w:line="440" w:lineRule="exact"/>
        <w:ind w:firstLine="420" w:firstLineChars="200"/>
        <w:textAlignment w:val="auto"/>
        <w:rPr>
          <w:rFonts w:hint="eastAsia" w:ascii="宋体" w:hAnsi="宋体" w:cs="宋体"/>
          <w:color w:val="auto"/>
          <w:highlight w:val="none"/>
        </w:rPr>
      </w:pPr>
      <w:r>
        <w:rPr>
          <w:rFonts w:hint="eastAsia" w:ascii="宋体" w:hAnsi="宋体" w:cs="宋体"/>
          <w:color w:val="auto"/>
          <w:highlight w:val="none"/>
        </w:rPr>
        <w:t>联系电话：</w:t>
      </w:r>
      <w:r>
        <w:rPr>
          <w:rFonts w:hint="eastAsia" w:ascii="宋体" w:hAnsi="宋体" w:cs="宋体"/>
          <w:color w:val="auto"/>
          <w:highlight w:val="none"/>
          <w:u w:val="single"/>
        </w:rPr>
        <w:t xml:space="preserve">                                             </w:t>
      </w:r>
      <w:r>
        <w:rPr>
          <w:rFonts w:hint="eastAsia" w:ascii="宋体" w:hAnsi="宋体" w:cs="宋体"/>
          <w:color w:val="auto"/>
          <w:highlight w:val="none"/>
        </w:rPr>
        <w:t>；</w:t>
      </w:r>
    </w:p>
    <w:p w14:paraId="281D6EB5">
      <w:pPr>
        <w:keepNext w:val="0"/>
        <w:keepLines w:val="0"/>
        <w:pageBreakBefore w:val="0"/>
        <w:widowControl w:val="0"/>
        <w:kinsoku/>
        <w:wordWrap/>
        <w:overflowPunct/>
        <w:topLinePunct w:val="0"/>
        <w:autoSpaceDE/>
        <w:autoSpaceDN/>
        <w:bidi w:val="0"/>
        <w:adjustRightInd w:val="0"/>
        <w:snapToGrid w:val="0"/>
        <w:spacing w:line="440" w:lineRule="exact"/>
        <w:ind w:firstLine="420" w:firstLineChars="200"/>
        <w:textAlignment w:val="auto"/>
        <w:rPr>
          <w:rFonts w:hint="eastAsia" w:ascii="宋体" w:hAnsi="宋体" w:cs="宋体"/>
          <w:color w:val="auto"/>
          <w:highlight w:val="none"/>
        </w:rPr>
      </w:pPr>
      <w:r>
        <w:rPr>
          <w:rFonts w:hint="eastAsia" w:ascii="宋体" w:hAnsi="宋体" w:cs="宋体"/>
          <w:color w:val="auto"/>
          <w:highlight w:val="none"/>
        </w:rPr>
        <w:t>电子信箱：</w:t>
      </w:r>
      <w:r>
        <w:rPr>
          <w:rFonts w:hint="eastAsia" w:ascii="宋体" w:hAnsi="宋体" w:cs="宋体"/>
          <w:color w:val="auto"/>
          <w:highlight w:val="none"/>
          <w:u w:val="single"/>
        </w:rPr>
        <w:t xml:space="preserve">                                             </w:t>
      </w:r>
      <w:r>
        <w:rPr>
          <w:rFonts w:hint="eastAsia" w:ascii="宋体" w:hAnsi="宋体" w:cs="宋体"/>
          <w:color w:val="auto"/>
          <w:highlight w:val="none"/>
        </w:rPr>
        <w:t>；</w:t>
      </w:r>
    </w:p>
    <w:p w14:paraId="08AA5962">
      <w:pPr>
        <w:keepNext w:val="0"/>
        <w:keepLines w:val="0"/>
        <w:pageBreakBefore w:val="0"/>
        <w:widowControl w:val="0"/>
        <w:kinsoku/>
        <w:wordWrap/>
        <w:overflowPunct/>
        <w:topLinePunct w:val="0"/>
        <w:autoSpaceDE/>
        <w:autoSpaceDN/>
        <w:bidi w:val="0"/>
        <w:adjustRightInd w:val="0"/>
        <w:snapToGrid w:val="0"/>
        <w:spacing w:line="440" w:lineRule="exact"/>
        <w:ind w:firstLine="420" w:firstLineChars="200"/>
        <w:textAlignment w:val="auto"/>
        <w:rPr>
          <w:rFonts w:hint="eastAsia" w:ascii="宋体" w:hAnsi="宋体" w:cs="宋体"/>
          <w:color w:val="auto"/>
          <w:highlight w:val="none"/>
        </w:rPr>
      </w:pPr>
      <w:r>
        <w:rPr>
          <w:rFonts w:hint="eastAsia" w:ascii="宋体" w:hAnsi="宋体" w:cs="宋体"/>
          <w:color w:val="auto"/>
          <w:highlight w:val="none"/>
        </w:rPr>
        <w:t>通信地址：</w:t>
      </w:r>
      <w:r>
        <w:rPr>
          <w:rFonts w:hint="eastAsia" w:ascii="宋体" w:hAnsi="宋体" w:cs="宋体"/>
          <w:color w:val="auto"/>
          <w:highlight w:val="none"/>
          <w:u w:val="single"/>
        </w:rPr>
        <w:t xml:space="preserve">                                             </w:t>
      </w:r>
      <w:r>
        <w:rPr>
          <w:rFonts w:hint="eastAsia" w:ascii="宋体" w:hAnsi="宋体" w:cs="宋体"/>
          <w:color w:val="auto"/>
          <w:highlight w:val="none"/>
        </w:rPr>
        <w:t>。</w:t>
      </w:r>
    </w:p>
    <w:p w14:paraId="43B9DEFE">
      <w:pPr>
        <w:keepNext w:val="0"/>
        <w:keepLines w:val="0"/>
        <w:pageBreakBefore w:val="0"/>
        <w:widowControl w:val="0"/>
        <w:kinsoku/>
        <w:wordWrap/>
        <w:overflowPunct/>
        <w:topLinePunct w:val="0"/>
        <w:autoSpaceDE/>
        <w:autoSpaceDN/>
        <w:bidi w:val="0"/>
        <w:adjustRightInd w:val="0"/>
        <w:snapToGrid w:val="0"/>
        <w:spacing w:line="440" w:lineRule="exact"/>
        <w:ind w:firstLine="420" w:firstLineChars="200"/>
        <w:textAlignment w:val="auto"/>
        <w:rPr>
          <w:rFonts w:hint="eastAsia" w:ascii="宋体" w:hAnsi="宋体" w:cs="宋体"/>
          <w:color w:val="auto"/>
          <w:highlight w:val="none"/>
        </w:rPr>
      </w:pPr>
      <w:r>
        <w:rPr>
          <w:rFonts w:hint="eastAsia" w:ascii="宋体" w:hAnsi="宋体" w:cs="宋体"/>
          <w:color w:val="auto"/>
          <w:highlight w:val="none"/>
        </w:rPr>
        <w:t>1.1.2.5 设计人：</w:t>
      </w:r>
    </w:p>
    <w:p w14:paraId="18D24B2F">
      <w:pPr>
        <w:keepNext w:val="0"/>
        <w:keepLines w:val="0"/>
        <w:pageBreakBefore w:val="0"/>
        <w:widowControl w:val="0"/>
        <w:kinsoku/>
        <w:wordWrap/>
        <w:overflowPunct/>
        <w:topLinePunct w:val="0"/>
        <w:autoSpaceDE/>
        <w:autoSpaceDN/>
        <w:bidi w:val="0"/>
        <w:adjustRightInd w:val="0"/>
        <w:snapToGrid w:val="0"/>
        <w:spacing w:line="440" w:lineRule="exact"/>
        <w:ind w:firstLine="420" w:firstLineChars="200"/>
        <w:textAlignment w:val="auto"/>
        <w:rPr>
          <w:rFonts w:hint="eastAsia" w:ascii="宋体" w:hAnsi="宋体" w:cs="宋体"/>
          <w:color w:val="auto"/>
          <w:highlight w:val="none"/>
        </w:rPr>
      </w:pPr>
      <w:r>
        <w:rPr>
          <w:rFonts w:hint="eastAsia" w:ascii="宋体" w:hAnsi="宋体" w:cs="宋体"/>
          <w:color w:val="auto"/>
          <w:highlight w:val="none"/>
        </w:rPr>
        <w:t>名    称：</w:t>
      </w:r>
      <w:r>
        <w:rPr>
          <w:rFonts w:hint="eastAsia" w:ascii="宋体" w:hAnsi="宋体" w:cs="宋体"/>
          <w:color w:val="auto"/>
          <w:highlight w:val="none"/>
          <w:u w:val="single"/>
        </w:rPr>
        <w:t xml:space="preserve">     </w:t>
      </w:r>
      <w:r>
        <w:rPr>
          <w:rFonts w:hint="eastAsia" w:ascii="宋体" w:hAnsi="宋体" w:cs="宋体"/>
          <w:color w:val="auto"/>
          <w:highlight w:val="none"/>
          <w:u w:val="single"/>
          <w:lang w:val="en-US" w:eastAsia="zh-CN"/>
        </w:rPr>
        <w:t xml:space="preserve">                                   </w:t>
      </w:r>
      <w:r>
        <w:rPr>
          <w:rFonts w:hint="eastAsia" w:ascii="宋体" w:hAnsi="宋体" w:cs="宋体"/>
          <w:color w:val="auto"/>
          <w:highlight w:val="none"/>
          <w:u w:val="single"/>
        </w:rPr>
        <w:t xml:space="preserve">    </w:t>
      </w:r>
      <w:r>
        <w:rPr>
          <w:rFonts w:hint="eastAsia" w:ascii="宋体" w:hAnsi="宋体" w:cs="宋体"/>
          <w:color w:val="auto"/>
          <w:highlight w:val="none"/>
        </w:rPr>
        <w:t>；</w:t>
      </w:r>
    </w:p>
    <w:p w14:paraId="08FA030E">
      <w:pPr>
        <w:keepNext w:val="0"/>
        <w:keepLines w:val="0"/>
        <w:pageBreakBefore w:val="0"/>
        <w:widowControl w:val="0"/>
        <w:kinsoku/>
        <w:wordWrap/>
        <w:overflowPunct/>
        <w:topLinePunct w:val="0"/>
        <w:autoSpaceDE/>
        <w:autoSpaceDN/>
        <w:bidi w:val="0"/>
        <w:adjustRightInd w:val="0"/>
        <w:snapToGrid w:val="0"/>
        <w:spacing w:line="440" w:lineRule="exact"/>
        <w:ind w:firstLine="420" w:firstLineChars="200"/>
        <w:textAlignment w:val="auto"/>
        <w:rPr>
          <w:rFonts w:hint="eastAsia" w:ascii="宋体" w:hAnsi="宋体" w:cs="宋体"/>
          <w:color w:val="auto"/>
          <w:highlight w:val="none"/>
        </w:rPr>
      </w:pPr>
      <w:r>
        <w:rPr>
          <w:rFonts w:hint="eastAsia" w:ascii="宋体" w:hAnsi="宋体" w:cs="宋体"/>
          <w:color w:val="auto"/>
          <w:highlight w:val="none"/>
        </w:rPr>
        <w:t>资质类别和等级：</w:t>
      </w:r>
      <w:r>
        <w:rPr>
          <w:rFonts w:hint="eastAsia" w:ascii="宋体" w:hAnsi="宋体" w:cs="宋体"/>
          <w:color w:val="auto"/>
          <w:highlight w:val="none"/>
          <w:u w:val="single"/>
        </w:rPr>
        <w:t></w:t>
      </w:r>
      <w:r>
        <w:rPr>
          <w:rFonts w:hint="eastAsia" w:ascii="宋体" w:hAnsi="宋体" w:cs="宋体"/>
          <w:color w:val="auto"/>
          <w:highlight w:val="none"/>
          <w:u w:val="single"/>
          <w:lang w:val="en-US" w:eastAsia="zh-CN"/>
        </w:rPr>
        <w:t xml:space="preserve">                                  </w:t>
      </w:r>
      <w:r>
        <w:rPr>
          <w:rFonts w:hint="eastAsia" w:ascii="宋体" w:hAnsi="宋体" w:cs="宋体"/>
          <w:color w:val="auto"/>
          <w:highlight w:val="none"/>
          <w:u w:val="single"/>
        </w:rPr>
        <w:t></w:t>
      </w:r>
      <w:r>
        <w:rPr>
          <w:rFonts w:hint="eastAsia" w:ascii="宋体" w:hAnsi="宋体" w:cs="宋体"/>
          <w:color w:val="auto"/>
          <w:highlight w:val="none"/>
        </w:rPr>
        <w:t>；</w:t>
      </w:r>
    </w:p>
    <w:p w14:paraId="30AB8948">
      <w:pPr>
        <w:keepNext w:val="0"/>
        <w:keepLines w:val="0"/>
        <w:pageBreakBefore w:val="0"/>
        <w:widowControl w:val="0"/>
        <w:kinsoku/>
        <w:wordWrap/>
        <w:overflowPunct/>
        <w:topLinePunct w:val="0"/>
        <w:autoSpaceDE/>
        <w:autoSpaceDN/>
        <w:bidi w:val="0"/>
        <w:adjustRightInd w:val="0"/>
        <w:snapToGrid w:val="0"/>
        <w:spacing w:line="440" w:lineRule="exact"/>
        <w:ind w:firstLine="420" w:firstLineChars="200"/>
        <w:textAlignment w:val="auto"/>
        <w:rPr>
          <w:rFonts w:hint="eastAsia" w:ascii="宋体" w:hAnsi="宋体" w:cs="宋体"/>
          <w:color w:val="auto"/>
          <w:highlight w:val="none"/>
        </w:rPr>
      </w:pPr>
      <w:r>
        <w:rPr>
          <w:rFonts w:hint="eastAsia" w:ascii="宋体" w:hAnsi="宋体" w:cs="宋体"/>
          <w:color w:val="auto"/>
          <w:highlight w:val="none"/>
        </w:rPr>
        <w:t>联系电话：</w:t>
      </w:r>
      <w:r>
        <w:rPr>
          <w:rFonts w:hint="eastAsia" w:ascii="宋体" w:hAnsi="宋体" w:cs="宋体"/>
          <w:color w:val="auto"/>
          <w:highlight w:val="none"/>
          <w:u w:val="single"/>
        </w:rPr>
        <w:t xml:space="preserve">                                           </w:t>
      </w:r>
      <w:r>
        <w:rPr>
          <w:rFonts w:hint="eastAsia" w:ascii="宋体" w:hAnsi="宋体" w:cs="宋体"/>
          <w:color w:val="auto"/>
          <w:highlight w:val="none"/>
        </w:rPr>
        <w:t>；</w:t>
      </w:r>
    </w:p>
    <w:p w14:paraId="1C7D3A05">
      <w:pPr>
        <w:keepNext w:val="0"/>
        <w:keepLines w:val="0"/>
        <w:pageBreakBefore w:val="0"/>
        <w:widowControl w:val="0"/>
        <w:kinsoku/>
        <w:wordWrap/>
        <w:overflowPunct/>
        <w:topLinePunct w:val="0"/>
        <w:autoSpaceDE/>
        <w:autoSpaceDN/>
        <w:bidi w:val="0"/>
        <w:adjustRightInd w:val="0"/>
        <w:snapToGrid w:val="0"/>
        <w:spacing w:line="440" w:lineRule="exact"/>
        <w:ind w:firstLine="420" w:firstLineChars="200"/>
        <w:textAlignment w:val="auto"/>
        <w:rPr>
          <w:rFonts w:hint="eastAsia" w:ascii="宋体" w:hAnsi="宋体" w:cs="宋体"/>
          <w:color w:val="auto"/>
          <w:highlight w:val="none"/>
        </w:rPr>
      </w:pPr>
      <w:r>
        <w:rPr>
          <w:rFonts w:hint="eastAsia" w:ascii="宋体" w:hAnsi="宋体" w:cs="宋体"/>
          <w:color w:val="auto"/>
          <w:highlight w:val="none"/>
        </w:rPr>
        <w:t>电子信箱：</w:t>
      </w:r>
      <w:r>
        <w:rPr>
          <w:rFonts w:hint="eastAsia" w:ascii="宋体" w:hAnsi="宋体" w:cs="宋体"/>
          <w:color w:val="auto"/>
          <w:highlight w:val="none"/>
          <w:u w:val="single"/>
        </w:rPr>
        <w:t xml:space="preserve">                                           </w:t>
      </w:r>
      <w:r>
        <w:rPr>
          <w:rFonts w:hint="eastAsia" w:ascii="宋体" w:hAnsi="宋体" w:cs="宋体"/>
          <w:color w:val="auto"/>
          <w:highlight w:val="none"/>
        </w:rPr>
        <w:t>；</w:t>
      </w:r>
    </w:p>
    <w:p w14:paraId="0F3F02F6">
      <w:pPr>
        <w:keepNext w:val="0"/>
        <w:keepLines w:val="0"/>
        <w:pageBreakBefore w:val="0"/>
        <w:widowControl w:val="0"/>
        <w:kinsoku/>
        <w:wordWrap/>
        <w:overflowPunct/>
        <w:topLinePunct w:val="0"/>
        <w:autoSpaceDE/>
        <w:autoSpaceDN/>
        <w:bidi w:val="0"/>
        <w:adjustRightInd w:val="0"/>
        <w:snapToGrid w:val="0"/>
        <w:spacing w:line="440" w:lineRule="exact"/>
        <w:ind w:firstLine="420" w:firstLineChars="200"/>
        <w:textAlignment w:val="auto"/>
        <w:rPr>
          <w:rFonts w:hint="eastAsia" w:ascii="宋体" w:hAnsi="宋体" w:cs="宋体"/>
          <w:color w:val="auto"/>
          <w:highlight w:val="none"/>
        </w:rPr>
      </w:pPr>
      <w:r>
        <w:rPr>
          <w:rFonts w:hint="eastAsia" w:ascii="宋体" w:hAnsi="宋体" w:cs="宋体"/>
          <w:color w:val="auto"/>
          <w:highlight w:val="none"/>
        </w:rPr>
        <w:t>通信地址：</w:t>
      </w:r>
      <w:r>
        <w:rPr>
          <w:rFonts w:hint="eastAsia" w:ascii="宋体" w:hAnsi="宋体" w:cs="宋体"/>
          <w:color w:val="auto"/>
          <w:highlight w:val="none"/>
          <w:u w:val="single"/>
        </w:rPr>
        <w:t xml:space="preserve">                                         </w:t>
      </w:r>
      <w:r>
        <w:rPr>
          <w:rFonts w:hint="eastAsia" w:ascii="宋体" w:hAnsi="宋体" w:cs="宋体"/>
          <w:color w:val="auto"/>
          <w:highlight w:val="none"/>
        </w:rPr>
        <w:t>。</w:t>
      </w:r>
    </w:p>
    <w:p w14:paraId="72FB9889">
      <w:pPr>
        <w:keepNext w:val="0"/>
        <w:keepLines w:val="0"/>
        <w:pageBreakBefore w:val="0"/>
        <w:widowControl w:val="0"/>
        <w:kinsoku/>
        <w:wordWrap/>
        <w:overflowPunct/>
        <w:topLinePunct w:val="0"/>
        <w:autoSpaceDE/>
        <w:autoSpaceDN/>
        <w:bidi w:val="0"/>
        <w:adjustRightInd w:val="0"/>
        <w:snapToGrid w:val="0"/>
        <w:spacing w:line="440" w:lineRule="exact"/>
        <w:ind w:firstLine="420" w:firstLineChars="200"/>
        <w:textAlignment w:val="auto"/>
        <w:rPr>
          <w:rFonts w:hint="eastAsia" w:ascii="宋体" w:hAnsi="宋体" w:cs="宋体"/>
          <w:color w:val="auto"/>
          <w:highlight w:val="none"/>
        </w:rPr>
      </w:pPr>
      <w:r>
        <w:rPr>
          <w:rFonts w:hint="eastAsia" w:ascii="宋体" w:hAnsi="宋体" w:cs="宋体"/>
          <w:color w:val="auto"/>
          <w:highlight w:val="none"/>
        </w:rPr>
        <w:t>1.1.3 工程和设备</w:t>
      </w:r>
    </w:p>
    <w:p w14:paraId="3185AED4">
      <w:pPr>
        <w:keepNext w:val="0"/>
        <w:keepLines w:val="0"/>
        <w:pageBreakBefore w:val="0"/>
        <w:widowControl w:val="0"/>
        <w:kinsoku/>
        <w:wordWrap/>
        <w:overflowPunct/>
        <w:topLinePunct w:val="0"/>
        <w:autoSpaceDE/>
        <w:autoSpaceDN/>
        <w:bidi w:val="0"/>
        <w:adjustRightInd w:val="0"/>
        <w:snapToGrid w:val="0"/>
        <w:spacing w:line="440" w:lineRule="exact"/>
        <w:ind w:firstLine="420" w:firstLineChars="200"/>
        <w:textAlignment w:val="auto"/>
        <w:rPr>
          <w:rFonts w:hint="eastAsia" w:ascii="宋体" w:hAnsi="宋体" w:cs="宋体"/>
          <w:color w:val="auto"/>
          <w:highlight w:val="none"/>
        </w:rPr>
      </w:pPr>
      <w:r>
        <w:rPr>
          <w:rFonts w:hint="eastAsia" w:ascii="宋体" w:hAnsi="宋体" w:cs="宋体"/>
          <w:color w:val="auto"/>
          <w:highlight w:val="none"/>
        </w:rPr>
        <w:t>1.1.3.7 作为施工现场组成部分的其他场所包括：</w:t>
      </w:r>
      <w:r>
        <w:rPr>
          <w:rFonts w:hint="eastAsia" w:ascii="宋体" w:hAnsi="宋体" w:cs="宋体"/>
          <w:color w:val="auto"/>
          <w:highlight w:val="none"/>
          <w:u w:val="single"/>
        </w:rPr>
        <w:t xml:space="preserve">  </w:t>
      </w:r>
      <w:r>
        <w:rPr>
          <w:rFonts w:hint="eastAsia" w:ascii="宋体" w:hAnsi="宋体" w:eastAsia="宋体" w:cs="宋体"/>
          <w:color w:val="auto"/>
          <w:szCs w:val="21"/>
          <w:highlight w:val="none"/>
          <w:u w:val="single"/>
        </w:rPr>
        <w:t>见施工图纸并现场确定</w:t>
      </w:r>
      <w:r>
        <w:rPr>
          <w:rFonts w:hint="eastAsia" w:ascii="宋体" w:hAnsi="宋体" w:cs="宋体"/>
          <w:color w:val="auto"/>
          <w:highlight w:val="none"/>
          <w:u w:val="single"/>
        </w:rPr>
        <w:t xml:space="preserve">  </w:t>
      </w:r>
      <w:r>
        <w:rPr>
          <w:rFonts w:hint="eastAsia" w:ascii="宋体" w:hAnsi="宋体" w:cs="宋体"/>
          <w:color w:val="auto"/>
          <w:highlight w:val="none"/>
        </w:rPr>
        <w:t>。</w:t>
      </w:r>
    </w:p>
    <w:p w14:paraId="3AF81C8A">
      <w:pPr>
        <w:keepNext w:val="0"/>
        <w:keepLines w:val="0"/>
        <w:pageBreakBefore w:val="0"/>
        <w:widowControl w:val="0"/>
        <w:kinsoku/>
        <w:wordWrap/>
        <w:overflowPunct/>
        <w:topLinePunct w:val="0"/>
        <w:autoSpaceDE/>
        <w:autoSpaceDN/>
        <w:bidi w:val="0"/>
        <w:adjustRightInd w:val="0"/>
        <w:snapToGrid w:val="0"/>
        <w:spacing w:line="440" w:lineRule="exact"/>
        <w:ind w:firstLine="420" w:firstLineChars="200"/>
        <w:textAlignment w:val="auto"/>
        <w:rPr>
          <w:rFonts w:hint="eastAsia" w:ascii="宋体" w:hAnsi="宋体" w:cs="宋体"/>
          <w:color w:val="auto"/>
          <w:kern w:val="0"/>
          <w:highlight w:val="none"/>
        </w:rPr>
      </w:pPr>
      <w:r>
        <w:rPr>
          <w:rFonts w:hint="eastAsia" w:ascii="宋体" w:hAnsi="宋体" w:cs="宋体"/>
          <w:color w:val="auto"/>
          <w:kern w:val="0"/>
          <w:highlight w:val="none"/>
        </w:rPr>
        <w:t>1.1.3.9 永久占地包括：</w:t>
      </w:r>
      <w:r>
        <w:rPr>
          <w:rFonts w:hint="eastAsia" w:ascii="宋体" w:hAnsi="宋体" w:cs="宋体"/>
          <w:color w:val="auto"/>
          <w:highlight w:val="none"/>
          <w:u w:val="single"/>
        </w:rPr>
        <w:t xml:space="preserve">     </w:t>
      </w:r>
      <w:r>
        <w:rPr>
          <w:rFonts w:hint="eastAsia" w:ascii="宋体" w:hAnsi="宋体" w:eastAsia="宋体" w:cs="宋体"/>
          <w:color w:val="auto"/>
          <w:szCs w:val="21"/>
          <w:highlight w:val="none"/>
          <w:u w:val="single"/>
        </w:rPr>
        <w:t>见施工图纸</w:t>
      </w:r>
      <w:r>
        <w:rPr>
          <w:rFonts w:hint="eastAsia" w:ascii="宋体" w:hAnsi="宋体" w:cs="宋体"/>
          <w:color w:val="auto"/>
          <w:highlight w:val="none"/>
          <w:u w:val="single"/>
        </w:rPr>
        <w:t xml:space="preserve">       </w:t>
      </w:r>
      <w:r>
        <w:rPr>
          <w:rFonts w:hint="eastAsia" w:ascii="宋体" w:hAnsi="宋体" w:cs="宋体"/>
          <w:color w:val="auto"/>
          <w:kern w:val="0"/>
          <w:highlight w:val="none"/>
        </w:rPr>
        <w:t>。</w:t>
      </w:r>
    </w:p>
    <w:p w14:paraId="02E584D3">
      <w:pPr>
        <w:keepNext w:val="0"/>
        <w:keepLines w:val="0"/>
        <w:pageBreakBefore w:val="0"/>
        <w:widowControl w:val="0"/>
        <w:kinsoku/>
        <w:wordWrap/>
        <w:overflowPunct/>
        <w:topLinePunct w:val="0"/>
        <w:autoSpaceDE/>
        <w:autoSpaceDN/>
        <w:bidi w:val="0"/>
        <w:adjustRightInd w:val="0"/>
        <w:snapToGrid w:val="0"/>
        <w:spacing w:line="440" w:lineRule="exact"/>
        <w:ind w:firstLine="420" w:firstLineChars="200"/>
        <w:textAlignment w:val="auto"/>
        <w:rPr>
          <w:rFonts w:hint="eastAsia" w:ascii="宋体" w:hAnsi="宋体" w:cs="宋体"/>
          <w:color w:val="auto"/>
          <w:highlight w:val="none"/>
        </w:rPr>
      </w:pPr>
      <w:r>
        <w:rPr>
          <w:rFonts w:hint="eastAsia" w:ascii="宋体" w:hAnsi="宋体" w:cs="宋体"/>
          <w:color w:val="auto"/>
          <w:kern w:val="0"/>
          <w:highlight w:val="none"/>
        </w:rPr>
        <w:t>1.1.3.10 临时占地包括：</w:t>
      </w:r>
      <w:r>
        <w:rPr>
          <w:rFonts w:hint="eastAsia" w:ascii="宋体" w:hAnsi="宋体" w:cs="宋体"/>
          <w:color w:val="auto"/>
          <w:highlight w:val="none"/>
          <w:u w:val="single"/>
        </w:rPr>
        <w:t xml:space="preserve">     </w:t>
      </w:r>
      <w:r>
        <w:rPr>
          <w:rFonts w:hint="eastAsia" w:ascii="宋体" w:hAnsi="宋体" w:eastAsia="宋体" w:cs="宋体"/>
          <w:color w:val="auto"/>
          <w:szCs w:val="21"/>
          <w:highlight w:val="none"/>
          <w:u w:val="single"/>
          <w:lang w:val="en-US" w:eastAsia="zh-CN"/>
        </w:rPr>
        <w:t>自行解决</w:t>
      </w:r>
      <w:r>
        <w:rPr>
          <w:rFonts w:hint="eastAsia" w:ascii="宋体" w:hAnsi="宋体" w:cs="宋体"/>
          <w:color w:val="auto"/>
          <w:highlight w:val="none"/>
          <w:u w:val="single"/>
        </w:rPr>
        <w:t>  </w:t>
      </w:r>
      <w:r>
        <w:rPr>
          <w:rFonts w:hint="eastAsia" w:ascii="宋体" w:hAnsi="宋体" w:cs="宋体"/>
          <w:color w:val="auto"/>
          <w:kern w:val="0"/>
          <w:highlight w:val="none"/>
        </w:rPr>
        <w:t>。</w:t>
      </w:r>
    </w:p>
    <w:p w14:paraId="3C9BD105">
      <w:pPr>
        <w:snapToGrid w:val="0"/>
        <w:spacing w:line="440" w:lineRule="exact"/>
        <w:ind w:firstLine="420" w:firstLineChars="200"/>
        <w:rPr>
          <w:rFonts w:hint="eastAsia" w:ascii="宋体" w:cs="宋体"/>
          <w:color w:val="auto"/>
          <w:szCs w:val="21"/>
          <w:highlight w:val="none"/>
        </w:rPr>
      </w:pPr>
      <w:r>
        <w:rPr>
          <w:rFonts w:hint="eastAsia" w:ascii="宋体" w:cs="宋体"/>
          <w:color w:val="auto"/>
          <w:szCs w:val="21"/>
          <w:highlight w:val="none"/>
        </w:rPr>
        <w:t xml:space="preserve">1.3法律 </w:t>
      </w:r>
    </w:p>
    <w:p w14:paraId="606A4442">
      <w:pPr>
        <w:autoSpaceDE w:val="0"/>
        <w:autoSpaceDN w:val="0"/>
        <w:adjustRightInd w:val="0"/>
        <w:snapToGrid w:val="0"/>
        <w:spacing w:line="440" w:lineRule="exact"/>
        <w:ind w:firstLine="420" w:firstLineChars="200"/>
        <w:jc w:val="left"/>
        <w:rPr>
          <w:rFonts w:hint="eastAsia" w:ascii="宋体" w:eastAsia="宋体" w:cs="宋体"/>
          <w:color w:val="auto"/>
          <w:szCs w:val="21"/>
          <w:highlight w:val="none"/>
          <w:u w:val="none"/>
          <w:lang w:eastAsia="zh-CN"/>
        </w:rPr>
      </w:pPr>
      <w:r>
        <w:rPr>
          <w:rFonts w:hint="eastAsia" w:ascii="宋体" w:cs="宋体"/>
          <w:color w:val="auto"/>
          <w:szCs w:val="21"/>
          <w:highlight w:val="none"/>
        </w:rPr>
        <w:t>适用于合同的其他规范性文件：</w:t>
      </w:r>
      <w:r>
        <w:rPr>
          <w:rFonts w:hint="eastAsia" w:ascii="宋体" w:cs="宋体"/>
          <w:color w:val="auto"/>
          <w:szCs w:val="21"/>
          <w:highlight w:val="none"/>
          <w:u w:val="single"/>
        </w:rPr>
        <w:t xml:space="preserve"> </w:t>
      </w:r>
      <w:r>
        <w:rPr>
          <w:rFonts w:hint="eastAsia" w:ascii="宋体" w:hAnsi="宋体" w:cs="宋体"/>
          <w:color w:val="auto"/>
          <w:szCs w:val="21"/>
          <w:highlight w:val="none"/>
          <w:u w:val="single"/>
        </w:rPr>
        <w:t>《中华人民共和国民法典》、《中华人民共和国建筑法》、《中华人民共和国招标投标法》、《建设工程质量管理条例》、《建设工程安全生产管理条例》等国家及工程所在地现行有效的法律法规和规章</w:t>
      </w:r>
      <w:r>
        <w:rPr>
          <w:rFonts w:hint="eastAsia" w:ascii="宋体" w:hAnsi="宋体" w:cs="宋体"/>
          <w:color w:val="auto"/>
          <w:szCs w:val="21"/>
          <w:highlight w:val="none"/>
          <w:u w:val="none"/>
          <w:lang w:eastAsia="zh-CN"/>
        </w:rPr>
        <w:t>。</w:t>
      </w:r>
    </w:p>
    <w:p w14:paraId="2E3CF4FF">
      <w:pPr>
        <w:snapToGrid w:val="0"/>
        <w:spacing w:line="440" w:lineRule="exact"/>
        <w:ind w:firstLine="420" w:firstLineChars="200"/>
        <w:rPr>
          <w:rFonts w:hint="eastAsia" w:ascii="宋体" w:cs="宋体"/>
          <w:color w:val="auto"/>
          <w:szCs w:val="21"/>
          <w:highlight w:val="none"/>
        </w:rPr>
      </w:pPr>
      <w:r>
        <w:rPr>
          <w:rFonts w:hint="eastAsia" w:ascii="宋体" w:cs="宋体"/>
          <w:color w:val="auto"/>
          <w:szCs w:val="21"/>
          <w:highlight w:val="none"/>
        </w:rPr>
        <w:t>1.4 标准和规范</w:t>
      </w:r>
    </w:p>
    <w:p w14:paraId="2A881762">
      <w:pPr>
        <w:snapToGrid w:val="0"/>
        <w:spacing w:line="440" w:lineRule="exact"/>
        <w:ind w:firstLine="420" w:firstLineChars="200"/>
        <w:rPr>
          <w:rFonts w:hint="eastAsia" w:ascii="宋体" w:cs="宋体"/>
          <w:color w:val="auto"/>
          <w:szCs w:val="21"/>
          <w:highlight w:val="none"/>
        </w:rPr>
      </w:pPr>
      <w:r>
        <w:rPr>
          <w:rFonts w:hint="eastAsia" w:ascii="宋体" w:cs="宋体"/>
          <w:color w:val="auto"/>
          <w:szCs w:val="21"/>
          <w:highlight w:val="none"/>
        </w:rPr>
        <w:t>1.4.1适用于工程的标准规范包括：</w:t>
      </w:r>
      <w:r>
        <w:rPr>
          <w:rFonts w:hint="eastAsia" w:ascii="宋体" w:cs="宋体"/>
          <w:color w:val="auto"/>
          <w:szCs w:val="21"/>
          <w:highlight w:val="none"/>
          <w:u w:val="single"/>
        </w:rPr>
        <w:t>中华人民共和国住房和城乡建设部等部门及省、市发布的有关文件</w:t>
      </w:r>
      <w:r>
        <w:rPr>
          <w:rFonts w:hint="eastAsia" w:ascii="宋体" w:cs="宋体"/>
          <w:color w:val="auto"/>
          <w:szCs w:val="21"/>
          <w:highlight w:val="none"/>
        </w:rPr>
        <w:t>。</w:t>
      </w:r>
    </w:p>
    <w:p w14:paraId="17E50D49">
      <w:pPr>
        <w:snapToGrid w:val="0"/>
        <w:spacing w:line="440" w:lineRule="exact"/>
        <w:ind w:firstLine="420" w:firstLineChars="200"/>
        <w:rPr>
          <w:rFonts w:hint="eastAsia" w:ascii="宋体" w:cs="宋体"/>
          <w:color w:val="auto"/>
          <w:kern w:val="0"/>
          <w:szCs w:val="21"/>
          <w:highlight w:val="none"/>
        </w:rPr>
      </w:pPr>
      <w:r>
        <w:rPr>
          <w:rFonts w:hint="eastAsia" w:ascii="宋体" w:cs="宋体"/>
          <w:color w:val="auto"/>
          <w:kern w:val="0"/>
          <w:szCs w:val="21"/>
          <w:highlight w:val="none"/>
        </w:rPr>
        <w:t>1.4.2 发包人提供国外标准、规范的名称：</w:t>
      </w:r>
      <w:r>
        <w:rPr>
          <w:rFonts w:hint="eastAsia" w:ascii="宋体" w:cs="宋体"/>
          <w:color w:val="auto"/>
          <w:kern w:val="0"/>
          <w:szCs w:val="21"/>
          <w:highlight w:val="none"/>
          <w:u w:val="single"/>
        </w:rPr>
        <w:t xml:space="preserve"> </w:t>
      </w:r>
      <w:r>
        <w:rPr>
          <w:rFonts w:hint="eastAsia" w:ascii="宋体" w:cs="宋体"/>
          <w:color w:val="auto"/>
          <w:szCs w:val="21"/>
          <w:highlight w:val="none"/>
          <w:u w:val="single"/>
        </w:rPr>
        <w:t>承包人自备国内现行适用的标准、规范</w:t>
      </w:r>
      <w:r>
        <w:rPr>
          <w:rFonts w:hint="eastAsia" w:ascii="宋体" w:cs="宋体"/>
          <w:color w:val="auto"/>
          <w:kern w:val="0"/>
          <w:szCs w:val="21"/>
          <w:highlight w:val="none"/>
          <w:u w:val="single"/>
        </w:rPr>
        <w:t xml:space="preserve"> </w:t>
      </w:r>
      <w:r>
        <w:rPr>
          <w:rFonts w:hint="eastAsia" w:ascii="宋体" w:cs="宋体"/>
          <w:color w:val="auto"/>
          <w:kern w:val="0"/>
          <w:szCs w:val="21"/>
          <w:highlight w:val="none"/>
        </w:rPr>
        <w:t>；</w:t>
      </w:r>
    </w:p>
    <w:p w14:paraId="5628EBE8">
      <w:pPr>
        <w:snapToGrid w:val="0"/>
        <w:spacing w:line="440" w:lineRule="exact"/>
        <w:ind w:firstLine="420" w:firstLineChars="200"/>
        <w:rPr>
          <w:rFonts w:hint="eastAsia" w:ascii="宋体" w:cs="宋体"/>
          <w:color w:val="auto"/>
          <w:kern w:val="0"/>
          <w:szCs w:val="21"/>
          <w:highlight w:val="none"/>
        </w:rPr>
      </w:pPr>
      <w:r>
        <w:rPr>
          <w:rFonts w:hint="eastAsia" w:ascii="宋体" w:cs="宋体"/>
          <w:color w:val="auto"/>
          <w:kern w:val="0"/>
          <w:szCs w:val="21"/>
          <w:highlight w:val="none"/>
        </w:rPr>
        <w:t>发包人提供国外标准、规范的份数：</w:t>
      </w:r>
      <w:r>
        <w:rPr>
          <w:rFonts w:hint="eastAsia" w:ascii="宋体" w:cs="宋体"/>
          <w:color w:val="auto"/>
          <w:kern w:val="0"/>
          <w:szCs w:val="21"/>
          <w:highlight w:val="none"/>
          <w:u w:val="single"/>
        </w:rPr>
        <w:t xml:space="preserve">   无   </w:t>
      </w:r>
      <w:r>
        <w:rPr>
          <w:rFonts w:hint="eastAsia" w:ascii="宋体" w:cs="宋体"/>
          <w:color w:val="auto"/>
          <w:kern w:val="0"/>
          <w:szCs w:val="21"/>
          <w:highlight w:val="none"/>
        </w:rPr>
        <w:t>；</w:t>
      </w:r>
    </w:p>
    <w:p w14:paraId="51E7E4F3">
      <w:pPr>
        <w:snapToGrid w:val="0"/>
        <w:spacing w:line="440" w:lineRule="exact"/>
        <w:ind w:firstLine="420" w:firstLineChars="200"/>
        <w:rPr>
          <w:rFonts w:hint="eastAsia" w:ascii="宋体" w:cs="宋体"/>
          <w:color w:val="auto"/>
          <w:szCs w:val="21"/>
          <w:highlight w:val="none"/>
        </w:rPr>
      </w:pPr>
      <w:r>
        <w:rPr>
          <w:rFonts w:hint="eastAsia" w:ascii="宋体" w:cs="宋体"/>
          <w:color w:val="auto"/>
          <w:kern w:val="0"/>
          <w:szCs w:val="21"/>
          <w:highlight w:val="none"/>
        </w:rPr>
        <w:t>发包人提供国外标准、规范的名称：</w:t>
      </w:r>
      <w:r>
        <w:rPr>
          <w:rFonts w:hint="eastAsia" w:ascii="宋体" w:cs="宋体"/>
          <w:color w:val="auto"/>
          <w:kern w:val="0"/>
          <w:szCs w:val="21"/>
          <w:highlight w:val="none"/>
          <w:u w:val="single"/>
        </w:rPr>
        <w:t xml:space="preserve">   无   </w:t>
      </w:r>
      <w:r>
        <w:rPr>
          <w:rFonts w:hint="eastAsia" w:ascii="宋体" w:cs="宋体"/>
          <w:color w:val="auto"/>
          <w:kern w:val="0"/>
          <w:szCs w:val="21"/>
          <w:highlight w:val="none"/>
        </w:rPr>
        <w:t>。</w:t>
      </w:r>
    </w:p>
    <w:p w14:paraId="111A04CD">
      <w:pPr>
        <w:snapToGrid w:val="0"/>
        <w:spacing w:line="440" w:lineRule="exact"/>
        <w:ind w:firstLine="420" w:firstLineChars="200"/>
        <w:rPr>
          <w:rFonts w:hint="eastAsia" w:ascii="宋体" w:cs="宋体"/>
          <w:color w:val="auto"/>
          <w:szCs w:val="21"/>
          <w:highlight w:val="none"/>
        </w:rPr>
      </w:pPr>
      <w:r>
        <w:rPr>
          <w:rFonts w:hint="eastAsia" w:ascii="宋体" w:cs="宋体"/>
          <w:color w:val="auto"/>
          <w:szCs w:val="21"/>
          <w:highlight w:val="none"/>
        </w:rPr>
        <w:t>1.4.3发包人对工程的技术标准和功能要求的特殊要求：</w:t>
      </w:r>
      <w:r>
        <w:rPr>
          <w:rFonts w:hint="eastAsia" w:ascii="宋体" w:cs="宋体"/>
          <w:color w:val="auto"/>
          <w:szCs w:val="21"/>
          <w:highlight w:val="none"/>
          <w:u w:val="single"/>
        </w:rPr>
        <w:t xml:space="preserve">按现行规范执行  </w:t>
      </w:r>
      <w:r>
        <w:rPr>
          <w:rFonts w:hint="eastAsia" w:ascii="宋体" w:cs="宋体"/>
          <w:color w:val="auto"/>
          <w:szCs w:val="21"/>
          <w:highlight w:val="none"/>
        </w:rPr>
        <w:t>。</w:t>
      </w:r>
    </w:p>
    <w:p w14:paraId="55F86147">
      <w:pPr>
        <w:snapToGrid w:val="0"/>
        <w:spacing w:line="440" w:lineRule="exact"/>
        <w:ind w:firstLine="420" w:firstLineChars="200"/>
        <w:rPr>
          <w:rFonts w:hint="eastAsia" w:ascii="宋体" w:cs="宋体"/>
          <w:color w:val="auto"/>
          <w:szCs w:val="21"/>
          <w:highlight w:val="none"/>
        </w:rPr>
      </w:pPr>
      <w:r>
        <w:rPr>
          <w:rFonts w:hint="eastAsia" w:ascii="宋体" w:cs="宋体"/>
          <w:color w:val="auto"/>
          <w:szCs w:val="21"/>
          <w:highlight w:val="none"/>
        </w:rPr>
        <w:t>1.5 合同文件的优先顺序</w:t>
      </w:r>
    </w:p>
    <w:p w14:paraId="07F18978">
      <w:pPr>
        <w:snapToGrid w:val="0"/>
        <w:spacing w:line="440" w:lineRule="exact"/>
        <w:ind w:firstLine="420" w:firstLineChars="200"/>
        <w:rPr>
          <w:color w:val="auto"/>
          <w:highlight w:val="none"/>
        </w:rPr>
      </w:pPr>
      <w:r>
        <w:rPr>
          <w:rFonts w:hint="eastAsia" w:ascii="宋体" w:cs="宋体"/>
          <w:color w:val="auto"/>
          <w:szCs w:val="21"/>
          <w:highlight w:val="none"/>
        </w:rPr>
        <w:t>合同文件组成及优先顺序为：</w:t>
      </w:r>
      <w:r>
        <w:rPr>
          <w:rFonts w:hint="eastAsia" w:ascii="宋体" w:cs="宋体"/>
          <w:color w:val="auto"/>
          <w:szCs w:val="21"/>
          <w:highlight w:val="none"/>
          <w:u w:val="single"/>
        </w:rPr>
        <w:t>（1）合同协议书；（2）中</w:t>
      </w:r>
      <w:r>
        <w:rPr>
          <w:rFonts w:hint="eastAsia" w:ascii="宋体" w:cs="宋体"/>
          <w:color w:val="auto"/>
          <w:szCs w:val="21"/>
          <w:highlight w:val="none"/>
          <w:u w:val="single"/>
          <w:lang w:val="en-US" w:eastAsia="zh-CN"/>
        </w:rPr>
        <w:t>标</w:t>
      </w:r>
      <w:r>
        <w:rPr>
          <w:rFonts w:hint="eastAsia" w:ascii="宋体" w:cs="宋体"/>
          <w:color w:val="auto"/>
          <w:szCs w:val="21"/>
          <w:highlight w:val="none"/>
          <w:u w:val="single"/>
        </w:rPr>
        <w:t>通知书；（3）确认函及其附录；（4）招标文件；（5）专用合同条款及其附件；（6）通用合同条款；（7）技术标准和要求；（8）图纸；（9）已标价工程量清单或预算书；（10）其他合同文件。</w:t>
      </w:r>
    </w:p>
    <w:p w14:paraId="2514E7E6">
      <w:pPr>
        <w:pStyle w:val="14"/>
        <w:spacing w:after="0" w:line="440" w:lineRule="exact"/>
        <w:ind w:left="0" w:leftChars="0"/>
        <w:rPr>
          <w:color w:val="auto"/>
          <w:highlight w:val="none"/>
        </w:rPr>
      </w:pPr>
      <w:r>
        <w:rPr>
          <w:color w:val="auto"/>
          <w:highlight w:val="none"/>
        </w:rPr>
        <w:t>上述各项合同文件包括合同当事人就该项合同文件所作出的补充和修改，属于同一类内容的文件，应以最新签署的为准。</w:t>
      </w:r>
    </w:p>
    <w:p w14:paraId="3FF7D5E3">
      <w:pPr>
        <w:pStyle w:val="14"/>
        <w:spacing w:after="0" w:line="440" w:lineRule="exact"/>
        <w:ind w:left="0" w:leftChars="0"/>
        <w:rPr>
          <w:color w:val="auto"/>
          <w:highlight w:val="none"/>
        </w:rPr>
      </w:pPr>
      <w:r>
        <w:rPr>
          <w:color w:val="auto"/>
          <w:highlight w:val="none"/>
        </w:rPr>
        <w:t>在合同订立及履行过程中形成的与合同有关的文件均构成合同文件组成部分，并根据其性质确定优先解释顺序。</w:t>
      </w:r>
    </w:p>
    <w:p w14:paraId="6CE4F3DC">
      <w:pPr>
        <w:snapToGrid w:val="0"/>
        <w:spacing w:line="440" w:lineRule="exact"/>
        <w:ind w:firstLine="420" w:firstLineChars="200"/>
        <w:rPr>
          <w:rFonts w:hint="eastAsia" w:ascii="宋体" w:cs="宋体"/>
          <w:color w:val="auto"/>
          <w:szCs w:val="21"/>
          <w:highlight w:val="none"/>
        </w:rPr>
      </w:pPr>
      <w:r>
        <w:rPr>
          <w:rFonts w:hint="eastAsia" w:ascii="宋体" w:cs="宋体"/>
          <w:color w:val="auto"/>
          <w:szCs w:val="21"/>
          <w:highlight w:val="none"/>
        </w:rPr>
        <w:t>1.6 图纸和承包人文件</w:t>
      </w:r>
      <w:r>
        <w:rPr>
          <w:rFonts w:hint="eastAsia" w:ascii="宋体" w:cs="宋体"/>
          <w:color w:val="auto"/>
          <w:szCs w:val="21"/>
          <w:highlight w:val="none"/>
        </w:rPr>
        <w:tab/>
      </w:r>
    </w:p>
    <w:p w14:paraId="49AE4B8A">
      <w:pPr>
        <w:snapToGrid w:val="0"/>
        <w:spacing w:line="440" w:lineRule="exact"/>
        <w:ind w:firstLine="420" w:firstLineChars="200"/>
        <w:rPr>
          <w:rFonts w:hint="eastAsia" w:ascii="宋体" w:cs="宋体"/>
          <w:color w:val="auto"/>
          <w:szCs w:val="21"/>
          <w:highlight w:val="none"/>
        </w:rPr>
      </w:pPr>
      <w:r>
        <w:rPr>
          <w:rFonts w:hint="eastAsia" w:ascii="宋体" w:cs="宋体"/>
          <w:color w:val="auto"/>
          <w:szCs w:val="21"/>
          <w:highlight w:val="none"/>
        </w:rPr>
        <w:t>1.6.1 图纸的提供</w:t>
      </w:r>
    </w:p>
    <w:p w14:paraId="4006C2E0">
      <w:pPr>
        <w:snapToGrid w:val="0"/>
        <w:spacing w:line="440" w:lineRule="exact"/>
        <w:ind w:firstLine="420" w:firstLineChars="200"/>
        <w:rPr>
          <w:rFonts w:hint="eastAsia" w:ascii="宋体" w:cs="宋体"/>
          <w:color w:val="auto"/>
          <w:szCs w:val="21"/>
          <w:highlight w:val="none"/>
        </w:rPr>
      </w:pPr>
      <w:r>
        <w:rPr>
          <w:rFonts w:hint="eastAsia" w:ascii="宋体" w:cs="宋体"/>
          <w:color w:val="auto"/>
          <w:szCs w:val="21"/>
          <w:highlight w:val="none"/>
        </w:rPr>
        <w:t>发包人向承包人提供图纸的期限：</w:t>
      </w:r>
      <w:r>
        <w:rPr>
          <w:rFonts w:hint="eastAsia" w:ascii="宋体" w:cs="宋体"/>
          <w:color w:val="auto"/>
          <w:szCs w:val="21"/>
          <w:highlight w:val="none"/>
          <w:u w:val="single"/>
        </w:rPr>
        <w:t xml:space="preserve"> 开工前</w:t>
      </w:r>
      <w:r>
        <w:rPr>
          <w:rFonts w:hint="eastAsia" w:ascii="宋体" w:cs="宋体"/>
          <w:color w:val="auto"/>
          <w:szCs w:val="21"/>
          <w:highlight w:val="none"/>
          <w:u w:val="single"/>
          <w:lang w:val="en-US" w:eastAsia="zh-CN"/>
        </w:rPr>
        <w:t>14</w:t>
      </w:r>
      <w:r>
        <w:rPr>
          <w:rFonts w:hint="eastAsia" w:ascii="宋体" w:cs="宋体"/>
          <w:color w:val="auto"/>
          <w:szCs w:val="21"/>
          <w:highlight w:val="none"/>
          <w:u w:val="single"/>
        </w:rPr>
        <w:t>天</w:t>
      </w:r>
      <w:r>
        <w:rPr>
          <w:rFonts w:hint="eastAsia" w:ascii="宋体" w:cs="宋体"/>
          <w:color w:val="auto"/>
          <w:szCs w:val="21"/>
          <w:highlight w:val="none"/>
        </w:rPr>
        <w:t>；</w:t>
      </w:r>
    </w:p>
    <w:p w14:paraId="0DB10BD2">
      <w:pPr>
        <w:snapToGrid w:val="0"/>
        <w:spacing w:line="440" w:lineRule="exact"/>
        <w:ind w:firstLine="420" w:firstLineChars="200"/>
        <w:rPr>
          <w:rFonts w:hint="eastAsia" w:ascii="宋体" w:cs="宋体"/>
          <w:color w:val="auto"/>
          <w:szCs w:val="21"/>
          <w:highlight w:val="none"/>
        </w:rPr>
      </w:pPr>
      <w:r>
        <w:rPr>
          <w:rFonts w:hint="eastAsia" w:ascii="宋体" w:cs="宋体"/>
          <w:color w:val="auto"/>
          <w:szCs w:val="21"/>
          <w:highlight w:val="none"/>
        </w:rPr>
        <w:t>发包人向承包人提供图纸的数量：</w:t>
      </w:r>
      <w:r>
        <w:rPr>
          <w:rFonts w:hint="eastAsia" w:ascii="宋体" w:cs="宋体"/>
          <w:color w:val="auto"/>
          <w:szCs w:val="21"/>
          <w:highlight w:val="none"/>
          <w:u w:val="single"/>
        </w:rPr>
        <w:t>3份</w:t>
      </w:r>
      <w:r>
        <w:rPr>
          <w:rFonts w:hint="eastAsia" w:ascii="宋体" w:cs="宋体"/>
          <w:color w:val="auto"/>
          <w:szCs w:val="21"/>
          <w:highlight w:val="none"/>
          <w:u w:val="single"/>
          <w:lang w:eastAsia="zh-CN"/>
        </w:rPr>
        <w:t>，</w:t>
      </w:r>
      <w:r>
        <w:rPr>
          <w:rFonts w:hint="eastAsia" w:ascii="宋体" w:hAnsi="宋体" w:cs="宋体"/>
          <w:color w:val="auto"/>
          <w:szCs w:val="21"/>
          <w:highlight w:val="none"/>
          <w:u w:val="single"/>
        </w:rPr>
        <w:t>不足的由承包人自行复制，费用自理</w:t>
      </w:r>
      <w:r>
        <w:rPr>
          <w:rFonts w:hint="eastAsia" w:ascii="宋体" w:cs="宋体"/>
          <w:color w:val="auto"/>
          <w:szCs w:val="21"/>
          <w:highlight w:val="none"/>
          <w:u w:val="single"/>
        </w:rPr>
        <w:t xml:space="preserve"> </w:t>
      </w:r>
      <w:r>
        <w:rPr>
          <w:rFonts w:hint="eastAsia" w:ascii="宋体" w:cs="宋体"/>
          <w:color w:val="auto"/>
          <w:szCs w:val="21"/>
          <w:highlight w:val="none"/>
        </w:rPr>
        <w:t>；</w:t>
      </w:r>
    </w:p>
    <w:p w14:paraId="6F027253">
      <w:pPr>
        <w:snapToGrid w:val="0"/>
        <w:spacing w:line="440" w:lineRule="exact"/>
        <w:ind w:firstLine="420" w:firstLineChars="200"/>
        <w:rPr>
          <w:rFonts w:hint="eastAsia" w:ascii="宋体" w:cs="宋体"/>
          <w:color w:val="auto"/>
          <w:szCs w:val="21"/>
          <w:highlight w:val="none"/>
        </w:rPr>
      </w:pPr>
      <w:r>
        <w:rPr>
          <w:rFonts w:hint="eastAsia" w:ascii="宋体" w:cs="宋体"/>
          <w:color w:val="auto"/>
          <w:szCs w:val="21"/>
          <w:highlight w:val="none"/>
        </w:rPr>
        <w:t>发包人向承包人提供图纸的内容：</w:t>
      </w:r>
      <w:r>
        <w:rPr>
          <w:rFonts w:hint="eastAsia" w:ascii="宋体" w:cs="宋体"/>
          <w:color w:val="auto"/>
          <w:szCs w:val="21"/>
          <w:highlight w:val="none"/>
          <w:u w:val="single"/>
        </w:rPr>
        <w:t>全套施工图 </w:t>
      </w:r>
      <w:r>
        <w:rPr>
          <w:rFonts w:hint="eastAsia" w:ascii="宋体" w:cs="宋体"/>
          <w:color w:val="auto"/>
          <w:szCs w:val="21"/>
          <w:highlight w:val="none"/>
        </w:rPr>
        <w:t>。</w:t>
      </w:r>
    </w:p>
    <w:p w14:paraId="0FFF32E7">
      <w:pPr>
        <w:snapToGrid w:val="0"/>
        <w:spacing w:line="440" w:lineRule="exact"/>
        <w:ind w:firstLine="420" w:firstLineChars="200"/>
        <w:rPr>
          <w:rFonts w:hint="eastAsia" w:ascii="宋体" w:cs="宋体"/>
          <w:color w:val="auto"/>
          <w:szCs w:val="21"/>
          <w:highlight w:val="none"/>
        </w:rPr>
      </w:pPr>
      <w:r>
        <w:rPr>
          <w:rFonts w:hint="eastAsia" w:ascii="宋体" w:cs="宋体"/>
          <w:color w:val="auto"/>
          <w:szCs w:val="21"/>
          <w:highlight w:val="none"/>
        </w:rPr>
        <w:t>1.6.4 承包人文件</w:t>
      </w:r>
    </w:p>
    <w:p w14:paraId="4D3450EB">
      <w:pPr>
        <w:snapToGrid w:val="0"/>
        <w:spacing w:line="440" w:lineRule="exact"/>
        <w:ind w:firstLine="420" w:firstLineChars="200"/>
        <w:jc w:val="left"/>
        <w:rPr>
          <w:rFonts w:hint="eastAsia" w:ascii="宋体" w:cs="宋体"/>
          <w:color w:val="auto"/>
          <w:szCs w:val="21"/>
          <w:highlight w:val="none"/>
          <w:u w:val="single"/>
        </w:rPr>
      </w:pPr>
      <w:r>
        <w:rPr>
          <w:rFonts w:hint="eastAsia" w:ascii="宋体" w:cs="宋体"/>
          <w:color w:val="auto"/>
          <w:szCs w:val="21"/>
          <w:highlight w:val="none"/>
        </w:rPr>
        <w:t>需要由承包人提供的文件，包括：</w:t>
      </w:r>
      <w:r>
        <w:rPr>
          <w:rFonts w:hint="eastAsia" w:ascii="宋体" w:cs="宋体"/>
          <w:color w:val="auto"/>
          <w:szCs w:val="21"/>
          <w:highlight w:val="none"/>
          <w:u w:val="single"/>
        </w:rPr>
        <w:t></w:t>
      </w:r>
      <w:r>
        <w:rPr>
          <w:rFonts w:hint="eastAsia" w:ascii="宋体" w:hAnsi="宋体" w:eastAsia="宋体" w:cs="宋体"/>
          <w:color w:val="auto"/>
          <w:szCs w:val="21"/>
          <w:highlight w:val="none"/>
          <w:u w:val="single"/>
        </w:rPr>
        <w:t>按监理要求执行，包括但不限于项目部人员证书、项目部任命文、实施性施工组织设计等</w:t>
      </w:r>
      <w:r>
        <w:rPr>
          <w:rFonts w:hint="eastAsia" w:ascii="宋体" w:cs="宋体"/>
          <w:color w:val="auto"/>
          <w:szCs w:val="21"/>
          <w:highlight w:val="none"/>
          <w:u w:val="single"/>
        </w:rPr>
        <w:t xml:space="preserve">  </w:t>
      </w:r>
      <w:r>
        <w:rPr>
          <w:rFonts w:hint="eastAsia" w:ascii="宋体" w:cs="宋体"/>
          <w:color w:val="auto"/>
          <w:szCs w:val="21"/>
          <w:highlight w:val="none"/>
        </w:rPr>
        <w:t>；</w:t>
      </w:r>
    </w:p>
    <w:p w14:paraId="7F094FB9">
      <w:pPr>
        <w:snapToGrid w:val="0"/>
        <w:spacing w:line="440" w:lineRule="exact"/>
        <w:ind w:firstLine="420" w:firstLineChars="200"/>
        <w:rPr>
          <w:rFonts w:hint="eastAsia" w:ascii="宋体" w:cs="宋体"/>
          <w:color w:val="auto"/>
          <w:szCs w:val="21"/>
          <w:highlight w:val="none"/>
        </w:rPr>
      </w:pPr>
      <w:r>
        <w:rPr>
          <w:rFonts w:hint="eastAsia" w:ascii="宋体" w:cs="宋体"/>
          <w:color w:val="auto"/>
          <w:szCs w:val="21"/>
          <w:highlight w:val="none"/>
        </w:rPr>
        <w:t>承包人提供的文件的期限为：</w:t>
      </w:r>
      <w:r>
        <w:rPr>
          <w:rFonts w:hint="eastAsia" w:ascii="宋体" w:cs="宋体"/>
          <w:color w:val="auto"/>
          <w:szCs w:val="21"/>
          <w:highlight w:val="none"/>
          <w:u w:val="single"/>
        </w:rPr>
        <w:t xml:space="preserve">按监理要求执行    </w:t>
      </w:r>
      <w:r>
        <w:rPr>
          <w:rFonts w:hint="eastAsia" w:ascii="宋体" w:cs="宋体"/>
          <w:color w:val="auto"/>
          <w:szCs w:val="21"/>
          <w:highlight w:val="none"/>
        </w:rPr>
        <w:t>；</w:t>
      </w:r>
    </w:p>
    <w:p w14:paraId="4FDFFB2E">
      <w:pPr>
        <w:snapToGrid w:val="0"/>
        <w:spacing w:line="440" w:lineRule="exact"/>
        <w:ind w:firstLine="420" w:firstLineChars="200"/>
        <w:rPr>
          <w:rFonts w:hint="eastAsia" w:ascii="宋体" w:cs="宋体"/>
          <w:color w:val="auto"/>
          <w:szCs w:val="21"/>
          <w:highlight w:val="none"/>
        </w:rPr>
      </w:pPr>
      <w:r>
        <w:rPr>
          <w:rFonts w:hint="eastAsia" w:ascii="宋体" w:cs="宋体"/>
          <w:color w:val="auto"/>
          <w:szCs w:val="21"/>
          <w:highlight w:val="none"/>
        </w:rPr>
        <w:t>承包人提供的文件的数量为：</w:t>
      </w:r>
      <w:r>
        <w:rPr>
          <w:rFonts w:hint="eastAsia" w:ascii="宋体" w:cs="宋体"/>
          <w:color w:val="auto"/>
          <w:szCs w:val="21"/>
          <w:highlight w:val="none"/>
          <w:u w:val="single"/>
        </w:rPr>
        <w:t>  按</w:t>
      </w:r>
      <w:r>
        <w:rPr>
          <w:rFonts w:hint="eastAsia" w:ascii="宋体" w:hAnsi="Times New Roman" w:eastAsia="宋体" w:cs="宋体"/>
          <w:color w:val="auto"/>
          <w:szCs w:val="21"/>
          <w:highlight w:val="none"/>
          <w:u w:val="single"/>
        </w:rPr>
        <w:t>监理</w:t>
      </w:r>
      <w:r>
        <w:rPr>
          <w:rFonts w:hint="eastAsia" w:ascii="宋体" w:cs="宋体"/>
          <w:color w:val="auto"/>
          <w:szCs w:val="21"/>
          <w:highlight w:val="none"/>
          <w:u w:val="single"/>
        </w:rPr>
        <w:t xml:space="preserve">要求执行    </w:t>
      </w:r>
      <w:r>
        <w:rPr>
          <w:rFonts w:hint="eastAsia" w:ascii="宋体" w:cs="宋体"/>
          <w:color w:val="auto"/>
          <w:szCs w:val="21"/>
          <w:highlight w:val="none"/>
        </w:rPr>
        <w:t>；</w:t>
      </w:r>
    </w:p>
    <w:p w14:paraId="0D7ADC33">
      <w:pPr>
        <w:snapToGrid w:val="0"/>
        <w:spacing w:line="440" w:lineRule="exact"/>
        <w:ind w:firstLine="420" w:firstLineChars="200"/>
        <w:rPr>
          <w:rFonts w:hint="eastAsia" w:ascii="宋体" w:cs="宋体"/>
          <w:color w:val="auto"/>
          <w:szCs w:val="21"/>
          <w:highlight w:val="none"/>
        </w:rPr>
      </w:pPr>
      <w:r>
        <w:rPr>
          <w:rFonts w:hint="eastAsia" w:ascii="宋体" w:cs="宋体"/>
          <w:color w:val="auto"/>
          <w:szCs w:val="21"/>
          <w:highlight w:val="none"/>
        </w:rPr>
        <w:t>承包人提供的文件的形式为：</w:t>
      </w:r>
      <w:r>
        <w:rPr>
          <w:rFonts w:hint="eastAsia" w:ascii="宋体" w:cs="宋体"/>
          <w:color w:val="auto"/>
          <w:szCs w:val="21"/>
          <w:highlight w:val="none"/>
          <w:u w:val="single"/>
        </w:rPr>
        <w:t>按</w:t>
      </w:r>
      <w:r>
        <w:rPr>
          <w:rFonts w:hint="eastAsia" w:ascii="宋体" w:hAnsi="Times New Roman" w:eastAsia="宋体" w:cs="宋体"/>
          <w:color w:val="auto"/>
          <w:szCs w:val="21"/>
          <w:highlight w:val="none"/>
          <w:u w:val="single"/>
        </w:rPr>
        <w:t>监理</w:t>
      </w:r>
      <w:r>
        <w:rPr>
          <w:rFonts w:hint="eastAsia" w:ascii="宋体" w:cs="宋体"/>
          <w:color w:val="auto"/>
          <w:szCs w:val="21"/>
          <w:highlight w:val="none"/>
          <w:u w:val="single"/>
        </w:rPr>
        <w:t>要求执行  </w:t>
      </w:r>
      <w:r>
        <w:rPr>
          <w:rFonts w:hint="eastAsia" w:ascii="宋体" w:cs="宋体"/>
          <w:color w:val="auto"/>
          <w:szCs w:val="21"/>
          <w:highlight w:val="none"/>
        </w:rPr>
        <w:t>；</w:t>
      </w:r>
    </w:p>
    <w:p w14:paraId="46811BDE">
      <w:pPr>
        <w:snapToGrid w:val="0"/>
        <w:spacing w:line="440" w:lineRule="exact"/>
        <w:ind w:firstLine="420" w:firstLineChars="200"/>
        <w:rPr>
          <w:rFonts w:hint="eastAsia" w:ascii="宋体" w:cs="宋体"/>
          <w:color w:val="auto"/>
          <w:szCs w:val="21"/>
          <w:highlight w:val="none"/>
        </w:rPr>
      </w:pPr>
      <w:r>
        <w:rPr>
          <w:rFonts w:hint="eastAsia" w:ascii="宋体" w:cs="宋体"/>
          <w:color w:val="auto"/>
          <w:szCs w:val="21"/>
          <w:highlight w:val="none"/>
        </w:rPr>
        <w:t>发包人审批承包人文件的期限：</w:t>
      </w:r>
      <w:r>
        <w:rPr>
          <w:rFonts w:hint="eastAsia" w:ascii="宋体" w:cs="宋体"/>
          <w:color w:val="auto"/>
          <w:szCs w:val="21"/>
          <w:highlight w:val="none"/>
          <w:u w:val="single"/>
        </w:rPr>
        <w:t></w:t>
      </w:r>
      <w:r>
        <w:rPr>
          <w:rFonts w:ascii="宋体" w:hAnsi="宋体" w:eastAsia="宋体" w:cs="宋体"/>
          <w:color w:val="auto"/>
          <w:spacing w:val="-1"/>
          <w:sz w:val="21"/>
          <w:szCs w:val="21"/>
          <w:highlight w:val="none"/>
          <w:u w:val="single" w:color="auto"/>
        </w:rPr>
        <w:t>收到文件后七日内</w:t>
      </w:r>
      <w:r>
        <w:rPr>
          <w:rFonts w:hint="eastAsia" w:ascii="宋体" w:cs="宋体"/>
          <w:color w:val="auto"/>
          <w:szCs w:val="21"/>
          <w:highlight w:val="none"/>
          <w:u w:val="single"/>
        </w:rPr>
        <w:t xml:space="preserve"> </w:t>
      </w:r>
      <w:r>
        <w:rPr>
          <w:rFonts w:hint="eastAsia" w:ascii="宋体" w:cs="宋体"/>
          <w:color w:val="auto"/>
          <w:szCs w:val="21"/>
          <w:highlight w:val="none"/>
        </w:rPr>
        <w:t>。</w:t>
      </w:r>
    </w:p>
    <w:p w14:paraId="459C45CB">
      <w:pPr>
        <w:snapToGrid w:val="0"/>
        <w:spacing w:line="440" w:lineRule="exact"/>
        <w:ind w:firstLine="420" w:firstLineChars="200"/>
        <w:rPr>
          <w:rFonts w:hint="eastAsia" w:ascii="宋体" w:cs="宋体"/>
          <w:color w:val="auto"/>
          <w:szCs w:val="21"/>
          <w:highlight w:val="none"/>
        </w:rPr>
      </w:pPr>
      <w:r>
        <w:rPr>
          <w:rFonts w:hint="eastAsia" w:ascii="宋体" w:cs="宋体"/>
          <w:color w:val="auto"/>
          <w:szCs w:val="21"/>
          <w:highlight w:val="none"/>
        </w:rPr>
        <w:t>1.6.5 图纸和承包人文件的保管</w:t>
      </w:r>
    </w:p>
    <w:p w14:paraId="31BDD3BA">
      <w:pPr>
        <w:snapToGrid w:val="0"/>
        <w:spacing w:line="440" w:lineRule="exact"/>
        <w:ind w:firstLine="420" w:firstLineChars="200"/>
        <w:rPr>
          <w:rFonts w:hint="eastAsia" w:ascii="宋体" w:cs="宋体"/>
          <w:color w:val="auto"/>
          <w:szCs w:val="21"/>
          <w:highlight w:val="none"/>
        </w:rPr>
      </w:pPr>
      <w:r>
        <w:rPr>
          <w:rFonts w:hint="eastAsia" w:ascii="宋体" w:cs="宋体"/>
          <w:color w:val="auto"/>
          <w:szCs w:val="21"/>
          <w:highlight w:val="none"/>
        </w:rPr>
        <w:t>关于图纸和承包人文件的保管的约定：</w:t>
      </w:r>
      <w:r>
        <w:rPr>
          <w:rFonts w:hint="eastAsia" w:ascii="宋体" w:cs="宋体"/>
          <w:color w:val="auto"/>
          <w:szCs w:val="21"/>
          <w:highlight w:val="none"/>
          <w:u w:val="single"/>
        </w:rPr>
        <w:t>除专用合同条款另有约定外，承包人应在施工现场另外保存一套完整的图纸和承包人文件，供发包人、</w:t>
      </w:r>
      <w:r>
        <w:rPr>
          <w:rFonts w:hint="eastAsia" w:ascii="宋体" w:hAnsi="Times New Roman" w:eastAsia="宋体" w:cs="宋体"/>
          <w:color w:val="auto"/>
          <w:szCs w:val="21"/>
          <w:highlight w:val="none"/>
          <w:u w:val="single"/>
        </w:rPr>
        <w:t>监理人</w:t>
      </w:r>
      <w:r>
        <w:rPr>
          <w:rFonts w:hint="eastAsia" w:ascii="宋体" w:cs="宋体"/>
          <w:color w:val="auto"/>
          <w:szCs w:val="21"/>
          <w:highlight w:val="none"/>
          <w:u w:val="single"/>
        </w:rPr>
        <w:t>及有关人员进行工程检查时使用</w:t>
      </w:r>
      <w:r>
        <w:rPr>
          <w:rFonts w:hint="eastAsia" w:ascii="宋体" w:cs="宋体"/>
          <w:color w:val="auto"/>
          <w:szCs w:val="21"/>
          <w:highlight w:val="none"/>
        </w:rPr>
        <w:t>。</w:t>
      </w:r>
    </w:p>
    <w:p w14:paraId="1B98A67A">
      <w:pPr>
        <w:snapToGrid w:val="0"/>
        <w:spacing w:line="440" w:lineRule="exact"/>
        <w:ind w:firstLine="420" w:firstLineChars="200"/>
        <w:rPr>
          <w:rFonts w:hint="eastAsia" w:ascii="宋体" w:cs="宋体"/>
          <w:color w:val="auto"/>
          <w:szCs w:val="21"/>
          <w:highlight w:val="none"/>
        </w:rPr>
      </w:pPr>
      <w:r>
        <w:rPr>
          <w:rFonts w:hint="eastAsia" w:ascii="宋体" w:cs="宋体"/>
          <w:color w:val="auto"/>
          <w:szCs w:val="21"/>
          <w:highlight w:val="none"/>
        </w:rPr>
        <w:t>1.7 联络</w:t>
      </w:r>
    </w:p>
    <w:p w14:paraId="5082B600">
      <w:pPr>
        <w:snapToGrid w:val="0"/>
        <w:spacing w:line="440" w:lineRule="exact"/>
        <w:ind w:firstLine="420" w:firstLineChars="200"/>
        <w:jc w:val="left"/>
        <w:rPr>
          <w:rFonts w:hint="eastAsia" w:ascii="宋体" w:cs="宋体"/>
          <w:color w:val="auto"/>
          <w:kern w:val="0"/>
          <w:szCs w:val="21"/>
          <w:highlight w:val="none"/>
        </w:rPr>
      </w:pPr>
      <w:r>
        <w:rPr>
          <w:rFonts w:hint="eastAsia" w:ascii="宋体" w:cs="宋体"/>
          <w:color w:val="auto"/>
          <w:kern w:val="0"/>
          <w:szCs w:val="21"/>
          <w:highlight w:val="none"/>
        </w:rPr>
        <w:t>1.7.1发包人和承包人应当在</w:t>
      </w:r>
      <w:r>
        <w:rPr>
          <w:rFonts w:hint="eastAsia" w:ascii="宋体" w:cs="宋体"/>
          <w:color w:val="auto"/>
          <w:szCs w:val="21"/>
          <w:highlight w:val="none"/>
          <w:u w:val="single"/>
        </w:rPr>
        <w:t xml:space="preserve">7  </w:t>
      </w:r>
      <w:r>
        <w:rPr>
          <w:rFonts w:hint="eastAsia" w:ascii="宋体" w:cs="宋体"/>
          <w:color w:val="auto"/>
          <w:kern w:val="0"/>
          <w:szCs w:val="21"/>
          <w:highlight w:val="none"/>
        </w:rPr>
        <w:t>天内将与合同有关的通知、批准、证明、证书、指示、指令、要求、请求、同意、意见、确定和决定等书面函件送达对方当事人。</w:t>
      </w:r>
    </w:p>
    <w:p w14:paraId="49589ADB">
      <w:pPr>
        <w:snapToGrid w:val="0"/>
        <w:spacing w:line="440" w:lineRule="exact"/>
        <w:ind w:firstLine="420" w:firstLineChars="200"/>
        <w:rPr>
          <w:rFonts w:hint="eastAsia" w:ascii="宋体" w:cs="宋体"/>
          <w:color w:val="auto"/>
          <w:kern w:val="0"/>
          <w:szCs w:val="21"/>
          <w:highlight w:val="none"/>
        </w:rPr>
      </w:pPr>
      <w:r>
        <w:rPr>
          <w:rFonts w:hint="eastAsia" w:ascii="宋体" w:cs="宋体"/>
          <w:color w:val="auto"/>
          <w:kern w:val="0"/>
          <w:szCs w:val="21"/>
          <w:highlight w:val="none"/>
        </w:rPr>
        <w:t>1.7.2 发包人接收文件的地点：</w:t>
      </w:r>
      <w:r>
        <w:rPr>
          <w:rFonts w:hint="eastAsia" w:ascii="宋体" w:cs="宋体"/>
          <w:color w:val="auto"/>
          <w:szCs w:val="21"/>
          <w:highlight w:val="none"/>
          <w:u w:val="single"/>
        </w:rPr>
        <w:t></w:t>
      </w:r>
      <w:r>
        <w:rPr>
          <w:rFonts w:hint="eastAsia" w:ascii="宋体" w:cs="宋体"/>
          <w:color w:val="auto"/>
          <w:szCs w:val="21"/>
          <w:highlight w:val="none"/>
          <w:u w:val="single"/>
          <w:lang w:val="en-US" w:eastAsia="zh-CN"/>
        </w:rPr>
        <w:t xml:space="preserve">      </w:t>
      </w:r>
      <w:r>
        <w:rPr>
          <w:rFonts w:hint="eastAsia" w:ascii="宋体" w:cs="宋体"/>
          <w:color w:val="auto"/>
          <w:szCs w:val="21"/>
          <w:highlight w:val="none"/>
          <w:u w:val="single"/>
        </w:rPr>
        <w:t></w:t>
      </w:r>
      <w:r>
        <w:rPr>
          <w:rFonts w:hint="eastAsia" w:ascii="宋体" w:cs="宋体"/>
          <w:color w:val="auto"/>
          <w:kern w:val="0"/>
          <w:szCs w:val="21"/>
          <w:highlight w:val="none"/>
        </w:rPr>
        <w:t>；</w:t>
      </w:r>
    </w:p>
    <w:p w14:paraId="7F9F8532">
      <w:pPr>
        <w:snapToGrid w:val="0"/>
        <w:spacing w:line="440" w:lineRule="exact"/>
        <w:ind w:firstLine="420" w:firstLineChars="200"/>
        <w:rPr>
          <w:rFonts w:hint="eastAsia" w:ascii="宋体" w:cs="宋体"/>
          <w:color w:val="auto"/>
          <w:kern w:val="0"/>
          <w:szCs w:val="21"/>
          <w:highlight w:val="none"/>
        </w:rPr>
      </w:pPr>
      <w:r>
        <w:rPr>
          <w:rFonts w:hint="eastAsia" w:ascii="宋体" w:cs="宋体"/>
          <w:color w:val="auto"/>
          <w:kern w:val="0"/>
          <w:szCs w:val="21"/>
          <w:highlight w:val="none"/>
        </w:rPr>
        <w:t>发包人指定的接收人为：</w:t>
      </w:r>
      <w:r>
        <w:rPr>
          <w:rFonts w:hint="eastAsia" w:ascii="宋体" w:cs="宋体"/>
          <w:color w:val="auto"/>
          <w:szCs w:val="21"/>
          <w:highlight w:val="none"/>
          <w:u w:val="single"/>
        </w:rPr>
        <w:t>发包人代表</w:t>
      </w:r>
      <w:r>
        <w:rPr>
          <w:rFonts w:hint="eastAsia" w:ascii="宋体" w:cs="宋体"/>
          <w:color w:val="auto"/>
          <w:kern w:val="0"/>
          <w:szCs w:val="21"/>
          <w:highlight w:val="none"/>
        </w:rPr>
        <w:t>；</w:t>
      </w:r>
    </w:p>
    <w:p w14:paraId="1AB726B2">
      <w:pPr>
        <w:snapToGrid w:val="0"/>
        <w:spacing w:line="440" w:lineRule="exact"/>
        <w:ind w:firstLine="420" w:firstLineChars="200"/>
        <w:rPr>
          <w:rFonts w:hint="eastAsia" w:ascii="宋体" w:cs="宋体"/>
          <w:color w:val="auto"/>
          <w:kern w:val="0"/>
          <w:szCs w:val="21"/>
          <w:highlight w:val="none"/>
        </w:rPr>
      </w:pPr>
      <w:r>
        <w:rPr>
          <w:rFonts w:hint="eastAsia" w:ascii="宋体" w:cs="宋体"/>
          <w:color w:val="auto"/>
          <w:kern w:val="0"/>
          <w:szCs w:val="21"/>
          <w:highlight w:val="none"/>
        </w:rPr>
        <w:t>承包人接收文件的地点：</w:t>
      </w:r>
      <w:r>
        <w:rPr>
          <w:rFonts w:hint="eastAsia" w:ascii="宋体" w:cs="宋体"/>
          <w:color w:val="auto"/>
          <w:szCs w:val="21"/>
          <w:highlight w:val="none"/>
          <w:u w:val="single"/>
        </w:rPr>
        <w:t></w:t>
      </w:r>
      <w:r>
        <w:rPr>
          <w:rFonts w:hint="eastAsia"/>
          <w:color w:val="auto"/>
          <w:highlight w:val="none"/>
          <w:u w:val="single"/>
        </w:rPr>
        <w:t>项目所在地承包人项目部</w:t>
      </w:r>
      <w:r>
        <w:rPr>
          <w:rFonts w:hint="eastAsia" w:ascii="宋体" w:cs="宋体"/>
          <w:color w:val="auto"/>
          <w:szCs w:val="21"/>
          <w:highlight w:val="none"/>
          <w:u w:val="single"/>
        </w:rPr>
        <w:t></w:t>
      </w:r>
      <w:r>
        <w:rPr>
          <w:rFonts w:hint="eastAsia" w:ascii="宋体" w:cs="宋体"/>
          <w:color w:val="auto"/>
          <w:kern w:val="0"/>
          <w:szCs w:val="21"/>
          <w:highlight w:val="none"/>
        </w:rPr>
        <w:t>；</w:t>
      </w:r>
    </w:p>
    <w:p w14:paraId="07356DA8">
      <w:pPr>
        <w:snapToGrid w:val="0"/>
        <w:spacing w:line="440" w:lineRule="exact"/>
        <w:ind w:firstLine="420" w:firstLineChars="200"/>
        <w:rPr>
          <w:rFonts w:hint="eastAsia" w:ascii="宋体" w:cs="宋体"/>
          <w:color w:val="auto"/>
          <w:kern w:val="0"/>
          <w:szCs w:val="21"/>
          <w:highlight w:val="none"/>
        </w:rPr>
      </w:pPr>
      <w:r>
        <w:rPr>
          <w:rFonts w:hint="eastAsia" w:ascii="宋体" w:cs="宋体"/>
          <w:color w:val="auto"/>
          <w:kern w:val="0"/>
          <w:szCs w:val="21"/>
          <w:highlight w:val="none"/>
        </w:rPr>
        <w:t>承包人指定的接收人为：</w:t>
      </w:r>
      <w:r>
        <w:rPr>
          <w:rFonts w:hint="eastAsia" w:ascii="宋体" w:cs="宋体"/>
          <w:color w:val="auto"/>
          <w:szCs w:val="21"/>
          <w:highlight w:val="none"/>
          <w:u w:val="single"/>
        </w:rPr>
        <w:t>项目负责人</w:t>
      </w:r>
      <w:r>
        <w:rPr>
          <w:rFonts w:hint="eastAsia" w:ascii="宋体" w:cs="宋体"/>
          <w:color w:val="auto"/>
          <w:kern w:val="0"/>
          <w:szCs w:val="21"/>
          <w:highlight w:val="none"/>
        </w:rPr>
        <w:t>。</w:t>
      </w:r>
    </w:p>
    <w:p w14:paraId="4C410AE1">
      <w:pPr>
        <w:snapToGrid w:val="0"/>
        <w:spacing w:line="440" w:lineRule="exact"/>
        <w:ind w:firstLine="420" w:firstLineChars="200"/>
        <w:rPr>
          <w:rFonts w:hint="eastAsia" w:ascii="宋体" w:cs="宋体"/>
          <w:color w:val="auto"/>
          <w:kern w:val="0"/>
          <w:szCs w:val="21"/>
          <w:highlight w:val="none"/>
        </w:rPr>
      </w:pPr>
      <w:r>
        <w:rPr>
          <w:rFonts w:hint="eastAsia" w:ascii="宋体" w:cs="宋体"/>
          <w:color w:val="auto"/>
          <w:kern w:val="0"/>
          <w:szCs w:val="21"/>
          <w:highlight w:val="none"/>
        </w:rPr>
        <w:t>监理人接收文件的地点：</w:t>
      </w:r>
      <w:r>
        <w:rPr>
          <w:rFonts w:hint="eastAsia" w:ascii="宋体" w:cs="宋体"/>
          <w:color w:val="auto"/>
          <w:szCs w:val="21"/>
          <w:highlight w:val="none"/>
          <w:u w:val="single"/>
        </w:rPr>
        <w:t xml:space="preserve"> </w:t>
      </w:r>
      <w:r>
        <w:rPr>
          <w:rFonts w:hint="eastAsia"/>
          <w:color w:val="auto"/>
          <w:highlight w:val="none"/>
          <w:u w:val="single"/>
        </w:rPr>
        <w:t>项目所在地监理人</w:t>
      </w:r>
      <w:r>
        <w:rPr>
          <w:rFonts w:hint="eastAsia"/>
          <w:color w:val="auto"/>
          <w:highlight w:val="none"/>
          <w:u w:val="single"/>
          <w:lang w:eastAsia="zh-CN"/>
        </w:rPr>
        <w:t>办公处</w:t>
      </w:r>
      <w:r>
        <w:rPr>
          <w:rFonts w:hint="eastAsia" w:ascii="宋体" w:cs="宋体"/>
          <w:color w:val="auto"/>
          <w:szCs w:val="21"/>
          <w:highlight w:val="none"/>
          <w:u w:val="single"/>
        </w:rPr>
        <w:t></w:t>
      </w:r>
      <w:r>
        <w:rPr>
          <w:rFonts w:hint="eastAsia" w:ascii="宋体" w:cs="宋体"/>
          <w:color w:val="auto"/>
          <w:kern w:val="0"/>
          <w:szCs w:val="21"/>
          <w:highlight w:val="none"/>
        </w:rPr>
        <w:t>；</w:t>
      </w:r>
    </w:p>
    <w:p w14:paraId="3E8F5999">
      <w:pPr>
        <w:snapToGrid w:val="0"/>
        <w:spacing w:line="440" w:lineRule="exact"/>
        <w:ind w:firstLine="420" w:firstLineChars="200"/>
        <w:rPr>
          <w:rFonts w:hint="eastAsia" w:ascii="宋体" w:cs="宋体"/>
          <w:color w:val="auto"/>
          <w:kern w:val="0"/>
          <w:szCs w:val="21"/>
          <w:highlight w:val="none"/>
        </w:rPr>
      </w:pPr>
      <w:r>
        <w:rPr>
          <w:rFonts w:hint="eastAsia" w:ascii="宋体" w:cs="宋体"/>
          <w:color w:val="auto"/>
          <w:kern w:val="0"/>
          <w:szCs w:val="21"/>
          <w:highlight w:val="none"/>
        </w:rPr>
        <w:t>监理人指定的接收人为：</w:t>
      </w:r>
      <w:r>
        <w:rPr>
          <w:rFonts w:hint="eastAsia" w:ascii="宋体" w:cs="宋体"/>
          <w:color w:val="auto"/>
          <w:szCs w:val="21"/>
          <w:highlight w:val="none"/>
          <w:u w:val="single"/>
        </w:rPr>
        <w:t></w:t>
      </w:r>
      <w:r>
        <w:rPr>
          <w:rFonts w:hint="eastAsia" w:ascii="宋体" w:hAnsi="Times New Roman" w:eastAsia="宋体" w:cs="宋体"/>
          <w:color w:val="auto"/>
          <w:szCs w:val="21"/>
          <w:highlight w:val="none"/>
          <w:u w:val="single"/>
        </w:rPr>
        <w:t xml:space="preserve">总监理工程师或总监代表 </w:t>
      </w:r>
      <w:r>
        <w:rPr>
          <w:rFonts w:hint="eastAsia" w:ascii="宋体" w:cs="宋体"/>
          <w:color w:val="auto"/>
          <w:szCs w:val="21"/>
          <w:highlight w:val="none"/>
          <w:u w:val="single"/>
        </w:rPr>
        <w:t></w:t>
      </w:r>
      <w:r>
        <w:rPr>
          <w:rFonts w:hint="eastAsia" w:ascii="宋体" w:cs="宋体"/>
          <w:color w:val="auto"/>
          <w:kern w:val="0"/>
          <w:szCs w:val="21"/>
          <w:highlight w:val="none"/>
        </w:rPr>
        <w:t>。</w:t>
      </w:r>
    </w:p>
    <w:p w14:paraId="4F9B4DB7">
      <w:pPr>
        <w:snapToGrid w:val="0"/>
        <w:spacing w:line="440" w:lineRule="exact"/>
        <w:ind w:firstLine="420" w:firstLineChars="200"/>
        <w:rPr>
          <w:rFonts w:hint="eastAsia" w:ascii="宋体" w:cs="宋体"/>
          <w:color w:val="auto"/>
          <w:szCs w:val="21"/>
          <w:highlight w:val="none"/>
        </w:rPr>
      </w:pPr>
      <w:r>
        <w:rPr>
          <w:rFonts w:hint="eastAsia" w:ascii="宋体" w:cs="宋体"/>
          <w:color w:val="auto"/>
          <w:szCs w:val="21"/>
          <w:highlight w:val="none"/>
        </w:rPr>
        <w:t>1.10 交通运输</w:t>
      </w:r>
    </w:p>
    <w:p w14:paraId="617E6E39">
      <w:pPr>
        <w:snapToGrid w:val="0"/>
        <w:spacing w:line="440" w:lineRule="exact"/>
        <w:ind w:firstLine="420" w:firstLineChars="200"/>
        <w:rPr>
          <w:rFonts w:hint="eastAsia" w:ascii="宋体" w:cs="宋体"/>
          <w:color w:val="auto"/>
          <w:szCs w:val="21"/>
          <w:highlight w:val="none"/>
        </w:rPr>
      </w:pPr>
      <w:r>
        <w:rPr>
          <w:rFonts w:hint="eastAsia" w:ascii="宋体" w:cs="宋体"/>
          <w:color w:val="auto"/>
          <w:szCs w:val="21"/>
          <w:highlight w:val="none"/>
        </w:rPr>
        <w:t>1.10.1 出入现场的权利</w:t>
      </w:r>
    </w:p>
    <w:p w14:paraId="634FADF8">
      <w:pPr>
        <w:snapToGrid w:val="0"/>
        <w:spacing w:line="440" w:lineRule="exact"/>
        <w:ind w:firstLine="420" w:firstLineChars="200"/>
        <w:rPr>
          <w:rFonts w:hint="eastAsia" w:ascii="宋体" w:cs="宋体"/>
          <w:color w:val="auto"/>
          <w:szCs w:val="21"/>
          <w:highlight w:val="none"/>
          <w:u w:val="single"/>
        </w:rPr>
      </w:pPr>
      <w:r>
        <w:rPr>
          <w:rFonts w:hint="eastAsia" w:ascii="宋体" w:cs="宋体"/>
          <w:color w:val="auto"/>
          <w:szCs w:val="21"/>
          <w:highlight w:val="none"/>
        </w:rPr>
        <w:t>关于出入现场的权利的约定：</w:t>
      </w:r>
      <w:r>
        <w:rPr>
          <w:rFonts w:hint="eastAsia" w:ascii="宋体" w:hAnsi="宋体" w:cs="宋体"/>
          <w:color w:val="auto"/>
          <w:szCs w:val="21"/>
          <w:highlight w:val="none"/>
          <w:u w:val="single"/>
          <w:lang w:val="en-US" w:eastAsia="zh-CN"/>
        </w:rPr>
        <w:t>承包人</w:t>
      </w:r>
      <w:r>
        <w:rPr>
          <w:rFonts w:hint="eastAsia" w:ascii="宋体" w:hAnsi="宋体" w:eastAsia="宋体" w:cs="宋体"/>
          <w:color w:val="auto"/>
          <w:szCs w:val="21"/>
          <w:highlight w:val="none"/>
          <w:u w:val="single"/>
        </w:rPr>
        <w:t>应根据施工需要，</w:t>
      </w:r>
      <w:r>
        <w:rPr>
          <w:rFonts w:hint="eastAsia" w:ascii="宋体" w:hAnsi="宋体" w:eastAsia="宋体" w:cs="宋体"/>
          <w:color w:val="auto"/>
          <w:szCs w:val="21"/>
          <w:highlight w:val="none"/>
          <w:u w:val="single"/>
          <w:lang w:val="en-US" w:eastAsia="zh-CN"/>
        </w:rPr>
        <w:t>自行</w:t>
      </w:r>
      <w:r>
        <w:rPr>
          <w:rFonts w:hint="eastAsia" w:ascii="宋体" w:hAnsi="宋体" w:eastAsia="宋体" w:cs="宋体"/>
          <w:color w:val="auto"/>
          <w:szCs w:val="21"/>
          <w:highlight w:val="none"/>
          <w:u w:val="single"/>
        </w:rPr>
        <w:t>负责取得出入施工现场所需的批准手续，以及取得因施工所需修建道路、桥梁以及其他基础设施并承担相关手续费用和建设费用</w:t>
      </w:r>
      <w:r>
        <w:rPr>
          <w:rFonts w:hint="eastAsia" w:ascii="宋体" w:cs="宋体"/>
          <w:color w:val="auto"/>
          <w:szCs w:val="21"/>
          <w:highlight w:val="none"/>
          <w:u w:val="single"/>
        </w:rPr>
        <w:t>。</w:t>
      </w:r>
    </w:p>
    <w:p w14:paraId="38163A1B">
      <w:pPr>
        <w:widowControl/>
        <w:snapToGrid w:val="0"/>
        <w:spacing w:line="440" w:lineRule="exact"/>
        <w:ind w:firstLine="420" w:firstLineChars="200"/>
        <w:rPr>
          <w:rFonts w:hint="eastAsia" w:ascii="宋体" w:cs="宋体"/>
          <w:color w:val="auto"/>
          <w:szCs w:val="21"/>
          <w:highlight w:val="none"/>
        </w:rPr>
      </w:pPr>
      <w:r>
        <w:rPr>
          <w:rFonts w:hint="eastAsia" w:ascii="宋体" w:cs="宋体"/>
          <w:color w:val="auto"/>
          <w:szCs w:val="21"/>
          <w:highlight w:val="none"/>
        </w:rPr>
        <w:t>1.10.3 场内交通</w:t>
      </w:r>
    </w:p>
    <w:p w14:paraId="77E56A02">
      <w:pPr>
        <w:snapToGrid w:val="0"/>
        <w:spacing w:line="440" w:lineRule="exact"/>
        <w:ind w:firstLine="420" w:firstLineChars="200"/>
        <w:jc w:val="left"/>
        <w:rPr>
          <w:rFonts w:hint="eastAsia" w:ascii="宋体" w:cs="宋体"/>
          <w:color w:val="auto"/>
          <w:szCs w:val="21"/>
          <w:highlight w:val="none"/>
          <w:u w:val="single"/>
        </w:rPr>
      </w:pPr>
      <w:r>
        <w:rPr>
          <w:rFonts w:hint="eastAsia" w:ascii="宋体" w:cs="宋体"/>
          <w:color w:val="auto"/>
          <w:kern w:val="0"/>
          <w:szCs w:val="21"/>
          <w:highlight w:val="none"/>
        </w:rPr>
        <w:t>关于场外交通和场内交通的边界的约定：</w:t>
      </w:r>
      <w:r>
        <w:rPr>
          <w:rFonts w:hint="eastAsia" w:ascii="宋体" w:hAnsi="宋体" w:eastAsia="宋体" w:cs="宋体"/>
          <w:color w:val="auto"/>
          <w:szCs w:val="21"/>
          <w:highlight w:val="none"/>
          <w:u w:val="single"/>
        </w:rPr>
        <w:t>场内交通设施和道路由承包人负责建设，发包人不另支付费用，场内交通边界现场确定</w:t>
      </w:r>
      <w:r>
        <w:rPr>
          <w:rFonts w:hint="eastAsia" w:ascii="宋体" w:cs="宋体"/>
          <w:color w:val="auto"/>
          <w:szCs w:val="21"/>
          <w:highlight w:val="none"/>
        </w:rPr>
        <w:t>。</w:t>
      </w:r>
    </w:p>
    <w:p w14:paraId="214E44E9">
      <w:pPr>
        <w:snapToGrid w:val="0"/>
        <w:spacing w:line="440" w:lineRule="exact"/>
        <w:ind w:firstLine="420" w:firstLineChars="200"/>
        <w:jc w:val="left"/>
        <w:rPr>
          <w:rFonts w:hint="eastAsia" w:ascii="宋体" w:cs="宋体"/>
          <w:color w:val="auto"/>
          <w:szCs w:val="21"/>
          <w:highlight w:val="none"/>
        </w:rPr>
      </w:pPr>
      <w:r>
        <w:rPr>
          <w:rFonts w:hint="eastAsia" w:ascii="宋体" w:cs="宋体"/>
          <w:color w:val="auto"/>
          <w:szCs w:val="21"/>
          <w:highlight w:val="none"/>
        </w:rPr>
        <w:t>关于发包人向承包人免费提供满足工程施工需要的场内道路和交通设施的约定：</w:t>
      </w:r>
      <w:r>
        <w:rPr>
          <w:rFonts w:hint="eastAsia" w:ascii="宋体" w:cs="宋体"/>
          <w:color w:val="auto"/>
          <w:szCs w:val="21"/>
          <w:highlight w:val="none"/>
          <w:u w:val="single"/>
        </w:rPr>
        <w:t xml:space="preserve">自行踏勘，自行解决 </w:t>
      </w:r>
      <w:r>
        <w:rPr>
          <w:rFonts w:hint="eastAsia" w:ascii="宋体" w:cs="宋体"/>
          <w:color w:val="auto"/>
          <w:szCs w:val="21"/>
          <w:highlight w:val="none"/>
        </w:rPr>
        <w:t>。</w:t>
      </w:r>
    </w:p>
    <w:p w14:paraId="7078FB7B">
      <w:pPr>
        <w:snapToGrid w:val="0"/>
        <w:spacing w:line="440" w:lineRule="exact"/>
        <w:ind w:firstLine="420" w:firstLineChars="200"/>
        <w:jc w:val="left"/>
        <w:rPr>
          <w:rFonts w:hint="eastAsia" w:ascii="宋体" w:cs="宋体"/>
          <w:color w:val="auto"/>
          <w:szCs w:val="21"/>
          <w:highlight w:val="none"/>
        </w:rPr>
      </w:pPr>
      <w:r>
        <w:rPr>
          <w:rFonts w:hint="eastAsia" w:ascii="宋体" w:cs="宋体"/>
          <w:color w:val="auto"/>
          <w:szCs w:val="21"/>
          <w:highlight w:val="none"/>
        </w:rPr>
        <w:t>1.10.4超大件和超重件的运输</w:t>
      </w:r>
    </w:p>
    <w:p w14:paraId="6D788909">
      <w:pPr>
        <w:snapToGrid w:val="0"/>
        <w:spacing w:line="440" w:lineRule="exact"/>
        <w:ind w:firstLine="420" w:firstLineChars="200"/>
        <w:jc w:val="left"/>
        <w:rPr>
          <w:rFonts w:hint="eastAsia" w:ascii="宋体" w:cs="宋体"/>
          <w:color w:val="auto"/>
          <w:szCs w:val="21"/>
          <w:highlight w:val="none"/>
        </w:rPr>
      </w:pPr>
      <w:r>
        <w:rPr>
          <w:rFonts w:hint="eastAsia" w:ascii="宋体" w:cs="宋体"/>
          <w:color w:val="auto"/>
          <w:szCs w:val="21"/>
          <w:highlight w:val="none"/>
        </w:rPr>
        <w:t>运输超大件或超重件所需的道路和桥梁临时加固改造费用和其他有关费用由</w:t>
      </w:r>
      <w:r>
        <w:rPr>
          <w:rFonts w:hint="eastAsia" w:ascii="宋体" w:cs="宋体"/>
          <w:color w:val="auto"/>
          <w:szCs w:val="21"/>
          <w:highlight w:val="none"/>
          <w:u w:val="single"/>
        </w:rPr>
        <w:t xml:space="preserve">  承包</w:t>
      </w:r>
      <w:r>
        <w:rPr>
          <w:rFonts w:hint="eastAsia" w:ascii="宋体" w:cs="宋体"/>
          <w:color w:val="auto"/>
          <w:szCs w:val="21"/>
          <w:highlight w:val="none"/>
          <w:u w:val="single"/>
          <w:lang w:val="en-US" w:eastAsia="zh-CN"/>
        </w:rPr>
        <w:t>人</w:t>
      </w:r>
      <w:r>
        <w:rPr>
          <w:rFonts w:hint="eastAsia" w:ascii="宋体" w:cs="宋体"/>
          <w:color w:val="auto"/>
          <w:szCs w:val="21"/>
          <w:highlight w:val="none"/>
          <w:u w:val="single"/>
        </w:rPr>
        <w:t xml:space="preserve"> </w:t>
      </w:r>
      <w:r>
        <w:rPr>
          <w:rFonts w:hint="eastAsia" w:ascii="宋体" w:cs="宋体"/>
          <w:color w:val="auto"/>
          <w:szCs w:val="21"/>
          <w:highlight w:val="none"/>
        </w:rPr>
        <w:t>承担。</w:t>
      </w:r>
    </w:p>
    <w:p w14:paraId="35C87F96">
      <w:pPr>
        <w:snapToGrid w:val="0"/>
        <w:spacing w:line="440" w:lineRule="exact"/>
        <w:ind w:firstLine="420" w:firstLineChars="200"/>
        <w:rPr>
          <w:rFonts w:hint="eastAsia" w:ascii="宋体" w:cs="宋体"/>
          <w:color w:val="auto"/>
          <w:szCs w:val="21"/>
          <w:highlight w:val="none"/>
        </w:rPr>
      </w:pPr>
      <w:r>
        <w:rPr>
          <w:rFonts w:hint="eastAsia" w:ascii="宋体" w:cs="宋体"/>
          <w:color w:val="auto"/>
          <w:szCs w:val="21"/>
          <w:highlight w:val="none"/>
        </w:rPr>
        <w:t>1.11 知识产权</w:t>
      </w:r>
    </w:p>
    <w:p w14:paraId="544F09B6">
      <w:pPr>
        <w:snapToGrid w:val="0"/>
        <w:spacing w:line="440" w:lineRule="exact"/>
        <w:ind w:firstLine="420" w:firstLineChars="200"/>
        <w:rPr>
          <w:rFonts w:hint="eastAsia" w:ascii="宋体" w:cs="宋体"/>
          <w:color w:val="auto"/>
          <w:szCs w:val="21"/>
          <w:highlight w:val="none"/>
          <w:u w:val="single"/>
        </w:rPr>
      </w:pPr>
      <w:r>
        <w:rPr>
          <w:rFonts w:hint="eastAsia" w:ascii="宋体" w:cs="宋体"/>
          <w:color w:val="auto"/>
          <w:szCs w:val="21"/>
          <w:highlight w:val="none"/>
        </w:rPr>
        <w:t>1.11.1关于发包人提供给承包人的图纸、发包人为实施工程自行编制或委托编制的技术规范以及反映发包人关于合同要求或其他类似性质的文件的著作权的归属：</w:t>
      </w:r>
      <w:r>
        <w:rPr>
          <w:rFonts w:hint="eastAsia" w:ascii="宋体" w:cs="宋体"/>
          <w:color w:val="auto"/>
          <w:szCs w:val="21"/>
          <w:highlight w:val="none"/>
          <w:u w:val="single"/>
        </w:rPr>
        <w:t xml:space="preserve">发包人 </w:t>
      </w:r>
      <w:r>
        <w:rPr>
          <w:rFonts w:hint="eastAsia" w:ascii="宋体" w:cs="宋体"/>
          <w:color w:val="auto"/>
          <w:szCs w:val="21"/>
          <w:highlight w:val="none"/>
        </w:rPr>
        <w:t>。</w:t>
      </w:r>
    </w:p>
    <w:p w14:paraId="577765A7">
      <w:pPr>
        <w:snapToGrid w:val="0"/>
        <w:spacing w:line="440" w:lineRule="exact"/>
        <w:ind w:firstLine="420" w:firstLineChars="200"/>
        <w:rPr>
          <w:rFonts w:hint="eastAsia" w:ascii="宋体" w:cs="宋体"/>
          <w:color w:val="auto"/>
          <w:szCs w:val="21"/>
          <w:highlight w:val="none"/>
        </w:rPr>
      </w:pPr>
      <w:r>
        <w:rPr>
          <w:rFonts w:hint="eastAsia" w:ascii="宋体" w:cs="宋体"/>
          <w:color w:val="auto"/>
          <w:szCs w:val="21"/>
          <w:highlight w:val="none"/>
        </w:rPr>
        <w:t>关于发包人提供的上述文件的使用限制的要求：</w:t>
      </w:r>
      <w:r>
        <w:rPr>
          <w:rFonts w:hint="eastAsia" w:ascii="宋体" w:hAnsi="宋体" w:eastAsia="宋体" w:cs="宋体"/>
          <w:color w:val="auto"/>
          <w:szCs w:val="21"/>
          <w:highlight w:val="none"/>
          <w:u w:val="single"/>
        </w:rPr>
        <w:t>未经发包人书面同意，承包人不得为了合同以外的目的而复制、使用上述文件或将之提供给任何第三方</w:t>
      </w:r>
      <w:r>
        <w:rPr>
          <w:rFonts w:hint="eastAsia" w:ascii="宋体" w:cs="宋体"/>
          <w:color w:val="auto"/>
          <w:szCs w:val="21"/>
          <w:highlight w:val="none"/>
          <w:u w:val="single"/>
        </w:rPr>
        <w:t>。</w:t>
      </w:r>
    </w:p>
    <w:p w14:paraId="0A5E29E5">
      <w:pPr>
        <w:snapToGrid w:val="0"/>
        <w:spacing w:line="440" w:lineRule="exact"/>
        <w:ind w:firstLine="420" w:firstLineChars="200"/>
        <w:rPr>
          <w:rFonts w:hint="eastAsia" w:ascii="宋体" w:cs="宋体"/>
          <w:color w:val="auto"/>
          <w:szCs w:val="21"/>
          <w:highlight w:val="none"/>
        </w:rPr>
      </w:pPr>
      <w:r>
        <w:rPr>
          <w:rFonts w:hint="eastAsia" w:ascii="宋体" w:cs="宋体"/>
          <w:color w:val="auto"/>
          <w:szCs w:val="21"/>
          <w:highlight w:val="none"/>
        </w:rPr>
        <w:t>1.11.2 关于承包人为实施工程所编制文件的著作权的归属：</w:t>
      </w:r>
      <w:r>
        <w:rPr>
          <w:rFonts w:hint="eastAsia" w:ascii="宋体" w:cs="宋体"/>
          <w:color w:val="auto"/>
          <w:szCs w:val="21"/>
          <w:highlight w:val="none"/>
          <w:u w:val="single"/>
        </w:rPr>
        <w:t xml:space="preserve"> 发包人  </w:t>
      </w:r>
      <w:r>
        <w:rPr>
          <w:rFonts w:hint="eastAsia" w:ascii="宋体" w:cs="宋体"/>
          <w:color w:val="auto"/>
          <w:szCs w:val="21"/>
          <w:highlight w:val="none"/>
        </w:rPr>
        <w:t>。</w:t>
      </w:r>
    </w:p>
    <w:p w14:paraId="0A376C87">
      <w:pPr>
        <w:snapToGrid w:val="0"/>
        <w:spacing w:line="440" w:lineRule="exact"/>
        <w:ind w:firstLine="420" w:firstLineChars="200"/>
        <w:rPr>
          <w:rFonts w:hint="eastAsia" w:ascii="宋体" w:cs="宋体"/>
          <w:color w:val="auto"/>
          <w:szCs w:val="21"/>
          <w:highlight w:val="none"/>
          <w:u w:val="single"/>
        </w:rPr>
      </w:pPr>
      <w:r>
        <w:rPr>
          <w:rFonts w:hint="eastAsia" w:ascii="宋体" w:cs="宋体"/>
          <w:color w:val="auto"/>
          <w:szCs w:val="21"/>
          <w:highlight w:val="none"/>
        </w:rPr>
        <w:t>关于承包人提供的上述文件的使用限制的要求：</w:t>
      </w:r>
      <w:r>
        <w:rPr>
          <w:rFonts w:hint="eastAsia" w:ascii="宋体" w:cs="宋体"/>
          <w:color w:val="auto"/>
          <w:szCs w:val="21"/>
          <w:highlight w:val="none"/>
          <w:u w:val="single"/>
        </w:rPr>
        <w:t xml:space="preserve">承包人可因实施工程的运行、调试、维修、改造等目的而复制、使用此类文件，但不能用于与合同无关的其他事项。未经发包人书面同意，承包人不得为了合同以外的目的而复制、使用上述文件或将之提供给任何第三方。 </w:t>
      </w:r>
    </w:p>
    <w:p w14:paraId="595F448B">
      <w:pPr>
        <w:snapToGrid w:val="0"/>
        <w:spacing w:line="440" w:lineRule="exact"/>
        <w:ind w:firstLine="420" w:firstLineChars="200"/>
        <w:rPr>
          <w:rFonts w:hint="eastAsia" w:ascii="宋体" w:cs="宋体"/>
          <w:color w:val="auto"/>
          <w:kern w:val="0"/>
          <w:szCs w:val="21"/>
          <w:highlight w:val="none"/>
        </w:rPr>
      </w:pPr>
      <w:r>
        <w:rPr>
          <w:rFonts w:hint="eastAsia" w:ascii="宋体" w:cs="宋体"/>
          <w:color w:val="auto"/>
          <w:szCs w:val="21"/>
          <w:highlight w:val="none"/>
        </w:rPr>
        <w:t>1.11.4 承包人在施工过程中所采用的专利、专有技术、技术秘密的使用费的承担方式：</w:t>
      </w:r>
      <w:r>
        <w:rPr>
          <w:rFonts w:hint="eastAsia" w:ascii="宋体" w:cs="宋体"/>
          <w:color w:val="auto"/>
          <w:szCs w:val="21"/>
          <w:highlight w:val="none"/>
          <w:u w:val="single"/>
        </w:rPr>
        <w:t>该费用已包含在签约合同价中。</w:t>
      </w:r>
    </w:p>
    <w:p w14:paraId="64136266">
      <w:pPr>
        <w:snapToGrid w:val="0"/>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1.13工程量清单错误的修正</w:t>
      </w:r>
    </w:p>
    <w:p w14:paraId="092541A9">
      <w:pPr>
        <w:snapToGrid w:val="0"/>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出现工程量清单错误时，是否调整合同价格：</w:t>
      </w:r>
      <w:r>
        <w:rPr>
          <w:rFonts w:hint="eastAsia" w:ascii="宋体" w:hAnsi="宋体" w:cs="宋体"/>
          <w:color w:val="auto"/>
          <w:szCs w:val="21"/>
          <w:highlight w:val="none"/>
          <w:u w:val="single"/>
        </w:rPr>
        <w:t xml:space="preserve">  是，具体调整方式见下款  </w:t>
      </w:r>
      <w:r>
        <w:rPr>
          <w:rFonts w:hint="eastAsia" w:ascii="宋体" w:hAnsi="宋体" w:cs="宋体"/>
          <w:color w:val="auto"/>
          <w:szCs w:val="21"/>
          <w:highlight w:val="none"/>
        </w:rPr>
        <w:t>。</w:t>
      </w:r>
    </w:p>
    <w:p w14:paraId="3BDB4DB3">
      <w:pPr>
        <w:snapToGrid w:val="0"/>
        <w:spacing w:line="440" w:lineRule="exact"/>
        <w:ind w:firstLine="420" w:firstLineChars="200"/>
        <w:rPr>
          <w:rFonts w:hint="eastAsia" w:ascii="宋体" w:hAnsi="宋体" w:cs="宋体"/>
          <w:color w:val="auto"/>
          <w:szCs w:val="21"/>
          <w:highlight w:val="none"/>
          <w:lang w:eastAsia="zh-CN"/>
        </w:rPr>
      </w:pPr>
      <w:r>
        <w:rPr>
          <w:rFonts w:hint="eastAsia" w:ascii="宋体" w:hAnsi="宋体" w:cs="宋体"/>
          <w:color w:val="auto"/>
          <w:szCs w:val="21"/>
          <w:highlight w:val="none"/>
        </w:rPr>
        <w:t>允许调整合同价格的工程量偏差范围：</w:t>
      </w:r>
      <w:r>
        <w:rPr>
          <w:rFonts w:hint="eastAsia" w:ascii="宋体" w:hAnsi="宋体" w:cs="宋体"/>
          <w:color w:val="auto"/>
          <w:szCs w:val="21"/>
          <w:highlight w:val="none"/>
          <w:lang w:eastAsia="zh-CN"/>
        </w:rPr>
        <w:t>招标发布的施工图纸以外的，在施工过程中工程量。</w:t>
      </w:r>
    </w:p>
    <w:p w14:paraId="4F56EEE7">
      <w:pPr>
        <w:spacing w:line="440" w:lineRule="exact"/>
        <w:ind w:firstLine="420" w:firstLineChars="200"/>
        <w:rPr>
          <w:rFonts w:hint="eastAsia"/>
          <w:color w:val="auto"/>
          <w:highlight w:val="none"/>
          <w:lang w:eastAsia="zh-CN"/>
        </w:rPr>
      </w:pPr>
      <w:r>
        <w:rPr>
          <w:rFonts w:hint="eastAsia" w:ascii="宋体" w:hAnsi="Times New Roman" w:eastAsia="宋体" w:cs="宋体"/>
          <w:b w:val="0"/>
          <w:bCs w:val="0"/>
          <w:color w:val="auto"/>
          <w:kern w:val="2"/>
          <w:sz w:val="21"/>
          <w:szCs w:val="21"/>
          <w:highlight w:val="none"/>
          <w:u w:val="single"/>
          <w:lang w:val="en-US" w:eastAsia="zh-CN" w:bidi="ar-SA"/>
        </w:rPr>
        <w:t>施工过程出现招标发布的施工设计文件范围以外的项目，以及业主新增工作要求，通过变更方式计入暂列金进行结算。</w:t>
      </w:r>
    </w:p>
    <w:p w14:paraId="1265A23C">
      <w:pPr>
        <w:snapToGrid w:val="0"/>
        <w:spacing w:line="440" w:lineRule="exact"/>
        <w:ind w:firstLine="422" w:firstLineChars="200"/>
        <w:rPr>
          <w:rFonts w:hint="eastAsia" w:ascii="宋体" w:hAnsi="宋体" w:eastAsia="宋体" w:cs="宋体"/>
          <w:b/>
          <w:bCs/>
          <w:color w:val="auto"/>
          <w:szCs w:val="21"/>
          <w:highlight w:val="none"/>
          <w:lang w:val="en-US" w:eastAsia="zh-CN"/>
        </w:rPr>
      </w:pPr>
      <w:r>
        <w:rPr>
          <w:rFonts w:hint="eastAsia" w:ascii="宋体" w:hAnsi="宋体" w:eastAsia="宋体" w:cs="宋体"/>
          <w:b/>
          <w:bCs/>
          <w:color w:val="auto"/>
          <w:szCs w:val="21"/>
          <w:highlight w:val="none"/>
          <w:u w:val="single"/>
        </w:rPr>
        <w:t>承包人拒绝实施因</w:t>
      </w:r>
      <w:r>
        <w:rPr>
          <w:rFonts w:hint="eastAsia" w:ascii="宋体" w:hAnsi="宋体" w:eastAsia="宋体" w:cs="宋体"/>
          <w:b/>
          <w:bCs/>
          <w:color w:val="auto"/>
          <w:spacing w:val="-6"/>
          <w:kern w:val="0"/>
          <w:szCs w:val="21"/>
          <w:highlight w:val="none"/>
          <w:u w:val="single"/>
        </w:rPr>
        <w:t>此产生变化的施工内容或范围</w:t>
      </w:r>
      <w:r>
        <w:rPr>
          <w:rFonts w:hint="eastAsia" w:ascii="宋体" w:hAnsi="宋体" w:eastAsia="宋体" w:cs="宋体"/>
          <w:b/>
          <w:bCs/>
          <w:color w:val="auto"/>
          <w:szCs w:val="21"/>
          <w:highlight w:val="none"/>
          <w:u w:val="single"/>
        </w:rPr>
        <w:t>，将被视为违约，发包人视情节轻重给予违约处罚。结算时，工程量按实计算。结算工程量减少或增加</w:t>
      </w:r>
      <w:r>
        <w:rPr>
          <w:rFonts w:hint="eastAsia" w:ascii="宋体" w:hAnsi="宋体" w:cs="宋体"/>
          <w:b/>
          <w:bCs/>
          <w:color w:val="auto"/>
          <w:szCs w:val="21"/>
          <w:highlight w:val="none"/>
          <w:u w:val="single"/>
          <w:lang w:val="en-US" w:eastAsia="zh-CN"/>
        </w:rPr>
        <w:t>的</w:t>
      </w:r>
      <w:r>
        <w:rPr>
          <w:rFonts w:hint="eastAsia" w:ascii="宋体" w:hAnsi="宋体" w:eastAsia="宋体" w:cs="宋体"/>
          <w:b/>
          <w:bCs/>
          <w:color w:val="auto"/>
          <w:szCs w:val="21"/>
          <w:highlight w:val="none"/>
          <w:u w:val="single"/>
        </w:rPr>
        <w:t>部分，</w:t>
      </w:r>
      <w:r>
        <w:rPr>
          <w:rFonts w:hint="eastAsia" w:ascii="宋体" w:hAnsi="宋体" w:eastAsia="宋体" w:cs="宋体"/>
          <w:b/>
          <w:bCs/>
          <w:color w:val="auto"/>
          <w:szCs w:val="21"/>
          <w:highlight w:val="none"/>
        </w:rPr>
        <w:t>执行</w:t>
      </w:r>
      <w:r>
        <w:rPr>
          <w:rFonts w:hint="eastAsia" w:ascii="宋体" w:hAnsi="宋体" w:cs="宋体"/>
          <w:b/>
          <w:bCs/>
          <w:color w:val="auto"/>
          <w:szCs w:val="21"/>
          <w:highlight w:val="none"/>
          <w:lang w:val="en-US" w:eastAsia="zh-CN"/>
        </w:rPr>
        <w:t>下列</w:t>
      </w:r>
      <w:r>
        <w:rPr>
          <w:rFonts w:hint="eastAsia" w:ascii="宋体" w:hAnsi="宋体" w:eastAsia="宋体" w:cs="宋体"/>
          <w:b/>
          <w:bCs/>
          <w:color w:val="auto"/>
          <w:szCs w:val="21"/>
          <w:highlight w:val="none"/>
        </w:rPr>
        <w:t>第（1）款或第（2）款</w:t>
      </w:r>
      <w:r>
        <w:rPr>
          <w:rFonts w:hint="eastAsia" w:ascii="宋体" w:hAnsi="宋体" w:cs="宋体"/>
          <w:b/>
          <w:bCs/>
          <w:color w:val="auto"/>
          <w:szCs w:val="21"/>
          <w:highlight w:val="none"/>
          <w:lang w:val="en-US" w:eastAsia="zh-CN"/>
        </w:rPr>
        <w:t>或第</w:t>
      </w:r>
      <w:r>
        <w:rPr>
          <w:rFonts w:hint="eastAsia" w:ascii="宋体" w:hAnsi="宋体" w:eastAsia="宋体" w:cs="宋体"/>
          <w:b/>
          <w:bCs/>
          <w:color w:val="auto"/>
          <w:szCs w:val="21"/>
          <w:highlight w:val="none"/>
        </w:rPr>
        <w:t>（</w:t>
      </w:r>
      <w:r>
        <w:rPr>
          <w:rFonts w:hint="eastAsia" w:ascii="宋体" w:hAnsi="宋体" w:cs="宋体"/>
          <w:b/>
          <w:bCs/>
          <w:color w:val="auto"/>
          <w:szCs w:val="21"/>
          <w:highlight w:val="none"/>
          <w:lang w:val="en-US" w:eastAsia="zh-CN"/>
        </w:rPr>
        <w:t>3</w:t>
      </w:r>
      <w:r>
        <w:rPr>
          <w:rFonts w:hint="eastAsia" w:ascii="宋体" w:hAnsi="宋体" w:eastAsia="宋体" w:cs="宋体"/>
          <w:b/>
          <w:bCs/>
          <w:color w:val="auto"/>
          <w:szCs w:val="21"/>
          <w:highlight w:val="none"/>
        </w:rPr>
        <w:t>）款确定的单价</w:t>
      </w:r>
      <w:r>
        <w:rPr>
          <w:rFonts w:hint="eastAsia" w:ascii="宋体" w:hAnsi="宋体" w:cs="宋体"/>
          <w:b/>
          <w:color w:val="auto"/>
          <w:highlight w:val="none"/>
          <w:u w:val="none"/>
          <w:lang w:eastAsia="zh-CN"/>
        </w:rPr>
        <w:t>。</w:t>
      </w:r>
    </w:p>
    <w:p w14:paraId="2D0E079E">
      <w:pPr>
        <w:snapToGrid w:val="0"/>
        <w:spacing w:line="440" w:lineRule="exact"/>
        <w:ind w:firstLine="422" w:firstLineChars="200"/>
        <w:rPr>
          <w:rFonts w:hint="default" w:ascii="宋体" w:hAnsi="宋体" w:eastAsia="宋体" w:cs="宋体"/>
          <w:b/>
          <w:bCs/>
          <w:color w:val="auto"/>
          <w:szCs w:val="21"/>
          <w:highlight w:val="none"/>
          <w:lang w:val="en-US" w:eastAsia="zh-CN"/>
        </w:rPr>
      </w:pPr>
      <w:r>
        <w:rPr>
          <w:rFonts w:hint="eastAsia" w:ascii="宋体" w:hAnsi="宋体" w:cs="宋体"/>
          <w:b/>
          <w:bCs/>
          <w:color w:val="auto"/>
          <w:szCs w:val="21"/>
          <w:highlight w:val="none"/>
          <w:lang w:val="en-US" w:eastAsia="zh-CN"/>
        </w:rPr>
        <w:t>1.13.1</w:t>
      </w:r>
    </w:p>
    <w:p w14:paraId="34D5324B">
      <w:pPr>
        <w:snapToGrid w:val="0"/>
        <w:spacing w:line="440" w:lineRule="exact"/>
        <w:ind w:firstLine="422" w:firstLineChars="200"/>
        <w:rPr>
          <w:rFonts w:hint="eastAsia" w:ascii="宋体" w:eastAsia="宋体" w:cs="宋体"/>
          <w:b w:val="0"/>
          <w:color w:val="auto"/>
          <w:sz w:val="21"/>
          <w:szCs w:val="21"/>
          <w:highlight w:val="none"/>
        </w:rPr>
      </w:pPr>
      <w:r>
        <w:rPr>
          <w:rFonts w:hint="eastAsia" w:ascii="宋体" w:hAnsi="宋体" w:eastAsia="宋体" w:cs="宋体"/>
          <w:b/>
          <w:color w:val="auto"/>
          <w:highlight w:val="none"/>
          <w:u w:val="none"/>
        </w:rPr>
        <w:t>（1）已标价工程量清单或预算书有相同项目的，按照相同项目单价认定；（2）已标价工程量清单或预算书中无相同项目，但有类似项目的，参照类似项目的单价认定</w:t>
      </w:r>
      <w:r>
        <w:rPr>
          <w:rFonts w:hint="eastAsia" w:ascii="宋体" w:hAnsi="宋体" w:eastAsia="宋体" w:cs="宋体"/>
          <w:b/>
          <w:color w:val="auto"/>
          <w:highlight w:val="none"/>
          <w:u w:val="none"/>
          <w:lang w:eastAsia="zh-CN"/>
        </w:rPr>
        <w:t>（</w:t>
      </w:r>
      <w:r>
        <w:rPr>
          <w:rFonts w:hint="eastAsia" w:ascii="宋体" w:hAnsi="宋体" w:eastAsia="宋体" w:cs="宋体"/>
          <w:b/>
          <w:color w:val="auto"/>
          <w:highlight w:val="none"/>
          <w:u w:val="none"/>
        </w:rPr>
        <w:t>类似项目的单价是指其采用的材料、施工工艺和方法基本相似的项目</w:t>
      </w:r>
      <w:r>
        <w:rPr>
          <w:rFonts w:hint="eastAsia" w:ascii="宋体" w:hAnsi="宋体" w:eastAsia="宋体" w:cs="宋体"/>
          <w:b/>
          <w:color w:val="auto"/>
          <w:highlight w:val="none"/>
          <w:u w:val="none"/>
          <w:lang w:eastAsia="zh-CN"/>
        </w:rPr>
        <w:t>）；（</w:t>
      </w:r>
      <w:r>
        <w:rPr>
          <w:rFonts w:hint="eastAsia" w:ascii="宋体" w:hAnsi="宋体" w:eastAsia="宋体" w:cs="宋体"/>
          <w:b/>
          <w:color w:val="auto"/>
          <w:highlight w:val="none"/>
          <w:u w:val="none"/>
          <w:lang w:val="en-US" w:eastAsia="zh-CN"/>
        </w:rPr>
        <w:t>3</w:t>
      </w:r>
      <w:r>
        <w:rPr>
          <w:rFonts w:hint="eastAsia" w:ascii="宋体" w:hAnsi="宋体" w:eastAsia="宋体" w:cs="宋体"/>
          <w:b/>
          <w:color w:val="auto"/>
          <w:highlight w:val="none"/>
          <w:u w:val="none"/>
          <w:lang w:eastAsia="zh-CN"/>
        </w:rPr>
        <w:t>）</w:t>
      </w:r>
      <w:r>
        <w:rPr>
          <w:rFonts w:hint="eastAsia" w:ascii="宋体" w:hAnsi="宋体" w:eastAsia="宋体" w:cs="宋体"/>
          <w:b/>
          <w:color w:val="auto"/>
          <w:highlight w:val="none"/>
          <w:u w:val="none"/>
        </w:rPr>
        <w:t>已标价工程量清单或预算书</w:t>
      </w:r>
      <w:r>
        <w:rPr>
          <w:rFonts w:hint="eastAsia" w:ascii="宋体" w:hAnsi="宋体" w:eastAsia="宋体" w:cs="宋体"/>
          <w:b/>
          <w:color w:val="auto"/>
          <w:highlight w:val="none"/>
          <w:u w:val="none"/>
          <w:lang w:val="en-US" w:eastAsia="zh-CN"/>
        </w:rPr>
        <w:t>既无</w:t>
      </w:r>
      <w:r>
        <w:rPr>
          <w:rFonts w:hint="eastAsia" w:ascii="宋体" w:hAnsi="宋体" w:eastAsia="宋体" w:cs="宋体"/>
          <w:b/>
          <w:color w:val="auto"/>
          <w:highlight w:val="none"/>
          <w:u w:val="none"/>
        </w:rPr>
        <w:t>相同项目</w:t>
      </w:r>
      <w:r>
        <w:rPr>
          <w:rFonts w:hint="eastAsia" w:ascii="宋体" w:hAnsi="宋体" w:eastAsia="宋体" w:cs="宋体"/>
          <w:b/>
          <w:color w:val="auto"/>
          <w:highlight w:val="none"/>
          <w:u w:val="none"/>
          <w:lang w:eastAsia="zh-CN"/>
        </w:rPr>
        <w:t>，</w:t>
      </w:r>
      <w:r>
        <w:rPr>
          <w:rFonts w:hint="eastAsia" w:ascii="宋体" w:hAnsi="宋体" w:eastAsia="宋体" w:cs="宋体"/>
          <w:b/>
          <w:color w:val="auto"/>
          <w:highlight w:val="none"/>
          <w:u w:val="none"/>
          <w:lang w:val="en-US" w:eastAsia="zh-CN"/>
        </w:rPr>
        <w:t>也无类似项目的单价</w:t>
      </w:r>
      <w:r>
        <w:rPr>
          <w:rFonts w:hint="eastAsia" w:ascii="宋体" w:hAnsi="宋体" w:eastAsia="宋体" w:cs="宋体"/>
          <w:b/>
          <w:color w:val="auto"/>
          <w:highlight w:val="none"/>
          <w:u w:val="none"/>
        </w:rPr>
        <w:t>按照最高投标限价的编制原则重新组价×投标让利幅度（上述投标让利幅度为中标价/最高投标限价，其中中标价和最高投标限价均扣除暂列金额、暂估价及相应税金</w:t>
      </w:r>
      <w:r>
        <w:rPr>
          <w:rFonts w:hint="eastAsia" w:ascii="宋体" w:hAnsi="宋体" w:eastAsia="宋体" w:cs="宋体"/>
          <w:b/>
          <w:color w:val="auto"/>
          <w:highlight w:val="none"/>
          <w:u w:val="none"/>
          <w:lang w:eastAsia="zh-CN"/>
        </w:rPr>
        <w:t>），</w:t>
      </w:r>
      <w:r>
        <w:rPr>
          <w:rFonts w:hint="eastAsia" w:ascii="宋体" w:hAnsi="宋体" w:eastAsia="宋体" w:cs="宋体"/>
          <w:b/>
          <w:color w:val="auto"/>
          <w:highlight w:val="none"/>
          <w:u w:val="none"/>
        </w:rPr>
        <w:t>材料</w:t>
      </w:r>
      <w:r>
        <w:rPr>
          <w:rFonts w:hint="eastAsia" w:ascii="宋体" w:hAnsi="宋体" w:eastAsia="宋体" w:cs="宋体"/>
          <w:b/>
          <w:color w:val="auto"/>
          <w:highlight w:val="none"/>
          <w:u w:val="none"/>
          <w:lang w:val="en-US" w:eastAsia="zh-CN"/>
        </w:rPr>
        <w:t>价</w:t>
      </w:r>
      <w:r>
        <w:rPr>
          <w:rFonts w:hint="eastAsia" w:ascii="宋体" w:hAnsi="宋体" w:eastAsia="宋体" w:cs="宋体"/>
          <w:b/>
          <w:color w:val="auto"/>
          <w:highlight w:val="none"/>
          <w:u w:val="none"/>
        </w:rPr>
        <w:t>按施工当期《</w:t>
      </w:r>
      <w:r>
        <w:rPr>
          <w:rFonts w:hint="eastAsia" w:ascii="宋体" w:hAnsi="宋体" w:eastAsia="宋体" w:cs="宋体"/>
          <w:b/>
          <w:color w:val="auto"/>
          <w:highlight w:val="none"/>
          <w:u w:val="none"/>
          <w:lang w:val="en-US" w:eastAsia="zh-CN"/>
        </w:rPr>
        <w:t>滁</w:t>
      </w:r>
      <w:r>
        <w:rPr>
          <w:rFonts w:hint="eastAsia" w:ascii="宋体" w:hAnsi="宋体" w:eastAsia="宋体" w:cs="宋体"/>
          <w:b/>
          <w:color w:val="auto"/>
          <w:highlight w:val="none"/>
          <w:u w:val="none"/>
        </w:rPr>
        <w:t>州</w:t>
      </w:r>
      <w:r>
        <w:rPr>
          <w:rFonts w:hint="eastAsia" w:ascii="宋体" w:hAnsi="宋体" w:eastAsia="宋体" w:cs="宋体"/>
          <w:b/>
          <w:color w:val="auto"/>
          <w:highlight w:val="none"/>
          <w:u w:val="none"/>
          <w:lang w:val="en-US" w:eastAsia="zh-CN"/>
        </w:rPr>
        <w:t>市</w:t>
      </w:r>
      <w:r>
        <w:rPr>
          <w:rFonts w:hint="eastAsia" w:ascii="宋体" w:hAnsi="宋体" w:eastAsia="宋体" w:cs="宋体"/>
          <w:b/>
          <w:color w:val="auto"/>
          <w:highlight w:val="none"/>
          <w:u w:val="none"/>
        </w:rPr>
        <w:t>建设工程</w:t>
      </w:r>
      <w:r>
        <w:rPr>
          <w:rFonts w:hint="eastAsia" w:ascii="宋体" w:hAnsi="宋体" w:eastAsia="宋体" w:cs="宋体"/>
          <w:b/>
          <w:color w:val="auto"/>
          <w:highlight w:val="none"/>
          <w:u w:val="none"/>
          <w:lang w:val="en-US" w:eastAsia="zh-CN"/>
        </w:rPr>
        <w:t>材料市场价格</w:t>
      </w:r>
      <w:r>
        <w:rPr>
          <w:rFonts w:hint="eastAsia" w:ascii="宋体" w:hAnsi="宋体" w:eastAsia="宋体" w:cs="宋体"/>
          <w:b/>
          <w:color w:val="auto"/>
          <w:highlight w:val="none"/>
          <w:u w:val="none"/>
        </w:rPr>
        <w:t>信息》确定：若信息价为区间价的，则按区间价的算术平均值计取；信息价中没有的材料，由业主、监理、施工三方核定后确定，认价材料不参与下浮</w:t>
      </w:r>
      <w:r>
        <w:rPr>
          <w:rFonts w:hint="eastAsia" w:ascii="宋体" w:hAnsi="宋体" w:cs="宋体"/>
          <w:b/>
          <w:color w:val="auto"/>
          <w:highlight w:val="none"/>
          <w:u w:val="none"/>
          <w:lang w:eastAsia="zh-CN"/>
        </w:rPr>
        <w:t>；</w:t>
      </w:r>
      <w:r>
        <w:rPr>
          <w:rFonts w:hint="eastAsia" w:ascii="宋体" w:hAnsi="宋体" w:eastAsia="宋体" w:cs="宋体"/>
          <w:b/>
          <w:color w:val="auto"/>
          <w:highlight w:val="none"/>
          <w:u w:val="none"/>
          <w:lang w:eastAsia="zh-CN"/>
        </w:rPr>
        <w:t>（</w:t>
      </w:r>
      <w:r>
        <w:rPr>
          <w:rFonts w:hint="eastAsia" w:ascii="宋体" w:hAnsi="宋体" w:eastAsia="宋体" w:cs="宋体"/>
          <w:b/>
          <w:color w:val="auto"/>
          <w:highlight w:val="none"/>
          <w:u w:val="none"/>
          <w:lang w:val="en-US" w:eastAsia="zh-CN"/>
        </w:rPr>
        <w:t>4</w:t>
      </w:r>
      <w:r>
        <w:rPr>
          <w:rFonts w:hint="eastAsia" w:ascii="宋体" w:hAnsi="宋体" w:eastAsia="宋体" w:cs="宋体"/>
          <w:b/>
          <w:color w:val="auto"/>
          <w:highlight w:val="none"/>
          <w:u w:val="none"/>
          <w:lang w:eastAsia="zh-CN"/>
        </w:rPr>
        <w:t>）</w:t>
      </w:r>
      <w:r>
        <w:rPr>
          <w:rFonts w:hint="eastAsia" w:ascii="宋体" w:hAnsi="宋体" w:eastAsia="宋体" w:cs="宋体"/>
          <w:b/>
          <w:color w:val="auto"/>
          <w:highlight w:val="none"/>
          <w:u w:val="none"/>
        </w:rPr>
        <w:t>若取消某工程项目，则该项目的价款不予支付</w:t>
      </w:r>
      <w:r>
        <w:rPr>
          <w:rFonts w:hint="eastAsia" w:ascii="宋体" w:hAnsi="宋体" w:cs="宋体"/>
          <w:b/>
          <w:color w:val="auto"/>
          <w:highlight w:val="none"/>
          <w:u w:val="none"/>
          <w:lang w:eastAsia="zh-CN"/>
        </w:rPr>
        <w:t>。</w:t>
      </w:r>
    </w:p>
    <w:p w14:paraId="0E87E501">
      <w:pPr>
        <w:pStyle w:val="5"/>
        <w:pageBreakBefore w:val="0"/>
        <w:widowControl w:val="0"/>
        <w:kinsoku/>
        <w:wordWrap/>
        <w:overflowPunct/>
        <w:topLinePunct w:val="0"/>
        <w:autoSpaceDE/>
        <w:autoSpaceDN/>
        <w:bidi w:val="0"/>
        <w:snapToGrid w:val="0"/>
        <w:spacing w:before="0" w:after="0" w:line="440" w:lineRule="exact"/>
        <w:ind w:firstLine="420" w:firstLineChars="200"/>
        <w:textAlignment w:val="auto"/>
        <w:rPr>
          <w:rFonts w:hint="eastAsia" w:ascii="宋体" w:eastAsia="宋体" w:cs="宋体"/>
          <w:b w:val="0"/>
          <w:color w:val="auto"/>
          <w:sz w:val="21"/>
          <w:szCs w:val="21"/>
          <w:highlight w:val="none"/>
        </w:rPr>
      </w:pPr>
      <w:r>
        <w:rPr>
          <w:rFonts w:hint="eastAsia" w:ascii="宋体" w:eastAsia="宋体" w:cs="宋体"/>
          <w:b w:val="0"/>
          <w:color w:val="auto"/>
          <w:sz w:val="21"/>
          <w:szCs w:val="21"/>
          <w:highlight w:val="none"/>
        </w:rPr>
        <w:t>2. 发包人</w:t>
      </w:r>
    </w:p>
    <w:p w14:paraId="2B2D6BFC">
      <w:pPr>
        <w:keepNext/>
        <w:keepLines/>
        <w:pageBreakBefore w:val="0"/>
        <w:widowControl w:val="0"/>
        <w:kinsoku/>
        <w:wordWrap/>
        <w:overflowPunct/>
        <w:topLinePunct w:val="0"/>
        <w:autoSpaceDE/>
        <w:autoSpaceDN/>
        <w:bidi w:val="0"/>
        <w:adjustRightInd w:val="0"/>
        <w:snapToGrid w:val="0"/>
        <w:spacing w:line="440" w:lineRule="exact"/>
        <w:ind w:firstLine="420" w:firstLineChars="200"/>
        <w:textAlignment w:val="auto"/>
        <w:outlineLvl w:val="3"/>
        <w:rPr>
          <w:rFonts w:hint="eastAsia" w:ascii="宋体" w:hAnsi="宋体" w:cs="宋体"/>
          <w:bCs/>
          <w:color w:val="auto"/>
          <w:szCs w:val="28"/>
          <w:highlight w:val="none"/>
        </w:rPr>
      </w:pPr>
      <w:r>
        <w:rPr>
          <w:rFonts w:hint="eastAsia" w:ascii="宋体" w:hAnsi="宋体" w:cs="宋体"/>
          <w:bCs/>
          <w:color w:val="auto"/>
          <w:szCs w:val="28"/>
          <w:highlight w:val="none"/>
        </w:rPr>
        <w:t>2.2 发包人代表</w:t>
      </w:r>
    </w:p>
    <w:p w14:paraId="01AD4559">
      <w:pPr>
        <w:pageBreakBefore w:val="0"/>
        <w:widowControl w:val="0"/>
        <w:kinsoku/>
        <w:wordWrap/>
        <w:overflowPunct/>
        <w:topLinePunct w:val="0"/>
        <w:autoSpaceDE/>
        <w:autoSpaceDN/>
        <w:bidi w:val="0"/>
        <w:adjustRightInd w:val="0"/>
        <w:snapToGrid w:val="0"/>
        <w:spacing w:line="440" w:lineRule="exact"/>
        <w:ind w:firstLine="420" w:firstLineChars="200"/>
        <w:textAlignment w:val="auto"/>
        <w:rPr>
          <w:rFonts w:hint="eastAsia" w:ascii="宋体" w:hAnsi="宋体" w:cs="宋体"/>
          <w:color w:val="auto"/>
          <w:highlight w:val="none"/>
        </w:rPr>
      </w:pPr>
      <w:r>
        <w:rPr>
          <w:rFonts w:hint="eastAsia" w:ascii="宋体" w:hAnsi="宋体" w:cs="宋体"/>
          <w:color w:val="auto"/>
          <w:highlight w:val="none"/>
        </w:rPr>
        <w:t>发包人代表：</w:t>
      </w:r>
    </w:p>
    <w:p w14:paraId="410A721D">
      <w:pPr>
        <w:pageBreakBefore w:val="0"/>
        <w:widowControl w:val="0"/>
        <w:kinsoku/>
        <w:wordWrap/>
        <w:overflowPunct/>
        <w:topLinePunct w:val="0"/>
        <w:autoSpaceDE/>
        <w:autoSpaceDN/>
        <w:bidi w:val="0"/>
        <w:adjustRightInd w:val="0"/>
        <w:snapToGrid w:val="0"/>
        <w:spacing w:line="440" w:lineRule="exact"/>
        <w:ind w:firstLine="420" w:firstLineChars="200"/>
        <w:textAlignment w:val="auto"/>
        <w:rPr>
          <w:rFonts w:hint="eastAsia" w:ascii="宋体" w:hAnsi="宋体" w:cs="宋体"/>
          <w:color w:val="auto"/>
          <w:highlight w:val="none"/>
        </w:rPr>
      </w:pPr>
      <w:r>
        <w:rPr>
          <w:rFonts w:hint="eastAsia" w:ascii="宋体" w:hAnsi="宋体" w:cs="宋体"/>
          <w:color w:val="auto"/>
          <w:highlight w:val="none"/>
        </w:rPr>
        <w:t>姓    名：</w:t>
      </w:r>
      <w:r>
        <w:rPr>
          <w:rFonts w:hint="eastAsia" w:ascii="宋体" w:hAnsi="宋体" w:cs="宋体"/>
          <w:color w:val="auto"/>
          <w:highlight w:val="none"/>
          <w:u w:val="single"/>
        </w:rPr>
        <w:t xml:space="preserve">                                 </w:t>
      </w:r>
      <w:r>
        <w:rPr>
          <w:rFonts w:hint="eastAsia" w:ascii="宋体" w:hAnsi="宋体" w:cs="宋体"/>
          <w:color w:val="auto"/>
          <w:highlight w:val="none"/>
        </w:rPr>
        <w:t>；</w:t>
      </w:r>
    </w:p>
    <w:p w14:paraId="7F53E848">
      <w:pPr>
        <w:pageBreakBefore w:val="0"/>
        <w:widowControl w:val="0"/>
        <w:kinsoku/>
        <w:wordWrap/>
        <w:overflowPunct/>
        <w:topLinePunct w:val="0"/>
        <w:autoSpaceDE/>
        <w:autoSpaceDN/>
        <w:bidi w:val="0"/>
        <w:adjustRightInd w:val="0"/>
        <w:snapToGrid w:val="0"/>
        <w:spacing w:line="440" w:lineRule="exact"/>
        <w:ind w:firstLine="420" w:firstLineChars="200"/>
        <w:textAlignment w:val="auto"/>
        <w:rPr>
          <w:rFonts w:hint="eastAsia" w:ascii="宋体" w:hAnsi="宋体" w:cs="宋体"/>
          <w:color w:val="auto"/>
          <w:highlight w:val="none"/>
        </w:rPr>
      </w:pPr>
      <w:r>
        <w:rPr>
          <w:rFonts w:hint="eastAsia" w:ascii="宋体" w:hAnsi="宋体" w:cs="宋体"/>
          <w:color w:val="auto"/>
          <w:highlight w:val="none"/>
        </w:rPr>
        <w:t>身份证号：</w:t>
      </w:r>
      <w:r>
        <w:rPr>
          <w:rFonts w:hint="eastAsia" w:ascii="宋体" w:hAnsi="宋体" w:cs="宋体"/>
          <w:color w:val="auto"/>
          <w:highlight w:val="none"/>
          <w:u w:val="single"/>
        </w:rPr>
        <w:t xml:space="preserve">                                   </w:t>
      </w:r>
      <w:r>
        <w:rPr>
          <w:rFonts w:hint="eastAsia" w:ascii="宋体" w:hAnsi="宋体" w:cs="宋体"/>
          <w:color w:val="auto"/>
          <w:highlight w:val="none"/>
        </w:rPr>
        <w:t>；</w:t>
      </w:r>
    </w:p>
    <w:p w14:paraId="1D1A7BF2">
      <w:pPr>
        <w:pageBreakBefore w:val="0"/>
        <w:widowControl w:val="0"/>
        <w:kinsoku/>
        <w:wordWrap/>
        <w:overflowPunct/>
        <w:topLinePunct w:val="0"/>
        <w:autoSpaceDE/>
        <w:autoSpaceDN/>
        <w:bidi w:val="0"/>
        <w:adjustRightInd w:val="0"/>
        <w:snapToGrid w:val="0"/>
        <w:spacing w:line="440" w:lineRule="exact"/>
        <w:ind w:firstLine="420" w:firstLineChars="200"/>
        <w:textAlignment w:val="auto"/>
        <w:rPr>
          <w:rFonts w:hint="eastAsia" w:ascii="宋体" w:hAnsi="宋体" w:cs="宋体"/>
          <w:color w:val="auto"/>
          <w:highlight w:val="none"/>
        </w:rPr>
      </w:pPr>
      <w:r>
        <w:rPr>
          <w:rFonts w:hint="eastAsia" w:ascii="宋体" w:hAnsi="宋体" w:cs="宋体"/>
          <w:color w:val="auto"/>
          <w:highlight w:val="none"/>
        </w:rPr>
        <w:t>职    务：</w:t>
      </w:r>
      <w:r>
        <w:rPr>
          <w:rFonts w:hint="eastAsia" w:ascii="宋体" w:hAnsi="宋体" w:cs="宋体"/>
          <w:color w:val="auto"/>
          <w:highlight w:val="none"/>
          <w:u w:val="single"/>
        </w:rPr>
        <w:t xml:space="preserve">                                 </w:t>
      </w:r>
      <w:r>
        <w:rPr>
          <w:rFonts w:hint="eastAsia" w:ascii="宋体" w:hAnsi="宋体" w:cs="宋体"/>
          <w:color w:val="auto"/>
          <w:highlight w:val="none"/>
        </w:rPr>
        <w:t>；</w:t>
      </w:r>
    </w:p>
    <w:p w14:paraId="7DDD61B6">
      <w:pPr>
        <w:pageBreakBefore w:val="0"/>
        <w:widowControl w:val="0"/>
        <w:kinsoku/>
        <w:wordWrap/>
        <w:overflowPunct/>
        <w:topLinePunct w:val="0"/>
        <w:autoSpaceDE/>
        <w:autoSpaceDN/>
        <w:bidi w:val="0"/>
        <w:adjustRightInd w:val="0"/>
        <w:snapToGrid w:val="0"/>
        <w:spacing w:line="440" w:lineRule="exact"/>
        <w:ind w:firstLine="420" w:firstLineChars="200"/>
        <w:textAlignment w:val="auto"/>
        <w:rPr>
          <w:rFonts w:hint="eastAsia" w:ascii="宋体" w:hAnsi="宋体" w:cs="宋体"/>
          <w:color w:val="auto"/>
          <w:highlight w:val="none"/>
        </w:rPr>
      </w:pPr>
      <w:r>
        <w:rPr>
          <w:rFonts w:hint="eastAsia" w:ascii="宋体" w:hAnsi="宋体" w:cs="宋体"/>
          <w:color w:val="auto"/>
          <w:highlight w:val="none"/>
        </w:rPr>
        <w:t>联系电话：</w:t>
      </w:r>
      <w:r>
        <w:rPr>
          <w:rFonts w:hint="eastAsia" w:ascii="宋体" w:hAnsi="宋体" w:cs="宋体"/>
          <w:color w:val="auto"/>
          <w:highlight w:val="none"/>
          <w:u w:val="single"/>
        </w:rPr>
        <w:t xml:space="preserve">                                     </w:t>
      </w:r>
      <w:r>
        <w:rPr>
          <w:rFonts w:hint="eastAsia" w:ascii="宋体" w:hAnsi="宋体" w:cs="宋体"/>
          <w:color w:val="auto"/>
          <w:highlight w:val="none"/>
        </w:rPr>
        <w:t>；</w:t>
      </w:r>
    </w:p>
    <w:p w14:paraId="1124C25A">
      <w:pPr>
        <w:pageBreakBefore w:val="0"/>
        <w:widowControl w:val="0"/>
        <w:kinsoku/>
        <w:wordWrap/>
        <w:overflowPunct/>
        <w:topLinePunct w:val="0"/>
        <w:autoSpaceDE/>
        <w:autoSpaceDN/>
        <w:bidi w:val="0"/>
        <w:adjustRightInd w:val="0"/>
        <w:snapToGrid w:val="0"/>
        <w:spacing w:line="440" w:lineRule="exact"/>
        <w:ind w:firstLine="420" w:firstLineChars="200"/>
        <w:textAlignment w:val="auto"/>
        <w:rPr>
          <w:rFonts w:hint="eastAsia" w:ascii="宋体" w:hAnsi="宋体" w:cs="宋体"/>
          <w:color w:val="auto"/>
          <w:highlight w:val="none"/>
        </w:rPr>
      </w:pPr>
      <w:r>
        <w:rPr>
          <w:rFonts w:hint="eastAsia" w:ascii="宋体" w:hAnsi="宋体" w:cs="宋体"/>
          <w:color w:val="auto"/>
          <w:highlight w:val="none"/>
        </w:rPr>
        <w:t>电子信箱：</w:t>
      </w:r>
      <w:r>
        <w:rPr>
          <w:rFonts w:hint="eastAsia" w:ascii="宋体" w:hAnsi="宋体" w:cs="宋体"/>
          <w:color w:val="auto"/>
          <w:highlight w:val="none"/>
          <w:u w:val="single"/>
        </w:rPr>
        <w:t xml:space="preserve">                                   </w:t>
      </w:r>
      <w:r>
        <w:rPr>
          <w:rFonts w:hint="eastAsia" w:ascii="宋体" w:hAnsi="宋体" w:cs="宋体"/>
          <w:color w:val="auto"/>
          <w:highlight w:val="none"/>
        </w:rPr>
        <w:t>；</w:t>
      </w:r>
    </w:p>
    <w:p w14:paraId="0906ABFF">
      <w:pPr>
        <w:pageBreakBefore w:val="0"/>
        <w:widowControl w:val="0"/>
        <w:kinsoku/>
        <w:wordWrap/>
        <w:overflowPunct/>
        <w:topLinePunct w:val="0"/>
        <w:autoSpaceDE/>
        <w:autoSpaceDN/>
        <w:bidi w:val="0"/>
        <w:adjustRightInd w:val="0"/>
        <w:snapToGrid w:val="0"/>
        <w:spacing w:line="440" w:lineRule="exact"/>
        <w:ind w:firstLine="420" w:firstLineChars="200"/>
        <w:textAlignment w:val="auto"/>
        <w:rPr>
          <w:rFonts w:hint="eastAsia" w:ascii="宋体" w:hAnsi="宋体" w:cs="宋体"/>
          <w:color w:val="auto"/>
          <w:highlight w:val="none"/>
        </w:rPr>
      </w:pPr>
      <w:r>
        <w:rPr>
          <w:rFonts w:hint="eastAsia" w:ascii="宋体" w:hAnsi="宋体" w:cs="宋体"/>
          <w:color w:val="auto"/>
          <w:highlight w:val="none"/>
        </w:rPr>
        <w:t>通信地址：</w:t>
      </w:r>
      <w:r>
        <w:rPr>
          <w:rFonts w:hint="eastAsia" w:ascii="宋体" w:hAnsi="宋体" w:cs="宋体"/>
          <w:color w:val="auto"/>
          <w:highlight w:val="none"/>
          <w:u w:val="single"/>
        </w:rPr>
        <w:t xml:space="preserve">                                 </w:t>
      </w:r>
      <w:r>
        <w:rPr>
          <w:rFonts w:hint="eastAsia" w:ascii="宋体" w:hAnsi="宋体" w:cs="宋体"/>
          <w:color w:val="auto"/>
          <w:highlight w:val="none"/>
        </w:rPr>
        <w:t>。</w:t>
      </w:r>
    </w:p>
    <w:p w14:paraId="6137865A">
      <w:pPr>
        <w:pageBreakBefore w:val="0"/>
        <w:widowControl w:val="0"/>
        <w:kinsoku/>
        <w:wordWrap/>
        <w:overflowPunct/>
        <w:topLinePunct w:val="0"/>
        <w:autoSpaceDE/>
        <w:autoSpaceDN/>
        <w:bidi w:val="0"/>
        <w:adjustRightInd w:val="0"/>
        <w:snapToGrid w:val="0"/>
        <w:spacing w:line="440" w:lineRule="exact"/>
        <w:ind w:firstLine="420" w:firstLineChars="200"/>
        <w:textAlignment w:val="auto"/>
        <w:rPr>
          <w:rFonts w:hint="eastAsia" w:ascii="宋体" w:hAnsi="宋体" w:cs="宋体"/>
          <w:b/>
          <w:color w:val="auto"/>
          <w:highlight w:val="none"/>
        </w:rPr>
      </w:pPr>
      <w:r>
        <w:rPr>
          <w:rFonts w:hint="eastAsia" w:ascii="宋体" w:hAnsi="宋体" w:cs="宋体"/>
          <w:color w:val="auto"/>
          <w:highlight w:val="none"/>
        </w:rPr>
        <w:t>发包人对发包人代表的授权范围如下：</w:t>
      </w:r>
      <w:r>
        <w:rPr>
          <w:rFonts w:hint="eastAsia" w:ascii="宋体" w:hAnsi="宋体" w:cs="宋体"/>
          <w:color w:val="auto"/>
          <w:highlight w:val="none"/>
          <w:u w:val="single"/>
        </w:rPr>
        <w:t xml:space="preserve">             </w:t>
      </w:r>
      <w:r>
        <w:rPr>
          <w:rFonts w:hint="eastAsia" w:ascii="宋体" w:hAnsi="宋体" w:cs="宋体"/>
          <w:color w:val="auto"/>
          <w:highlight w:val="none"/>
        </w:rPr>
        <w:t>。</w:t>
      </w:r>
    </w:p>
    <w:p w14:paraId="31BD9F5C">
      <w:pPr>
        <w:pageBreakBefore w:val="0"/>
        <w:widowControl w:val="0"/>
        <w:kinsoku/>
        <w:wordWrap/>
        <w:overflowPunct/>
        <w:topLinePunct w:val="0"/>
        <w:autoSpaceDE/>
        <w:autoSpaceDN/>
        <w:bidi w:val="0"/>
        <w:snapToGrid w:val="0"/>
        <w:spacing w:line="440" w:lineRule="exact"/>
        <w:ind w:firstLine="420" w:firstLineChars="200"/>
        <w:textAlignment w:val="auto"/>
        <w:rPr>
          <w:rFonts w:hint="eastAsia" w:ascii="宋体" w:cs="宋体"/>
          <w:color w:val="auto"/>
          <w:szCs w:val="21"/>
          <w:highlight w:val="none"/>
        </w:rPr>
      </w:pPr>
      <w:r>
        <w:rPr>
          <w:rFonts w:hint="eastAsia" w:ascii="宋体" w:cs="宋体"/>
          <w:color w:val="auto"/>
          <w:szCs w:val="21"/>
          <w:highlight w:val="none"/>
        </w:rPr>
        <w:t>2.4 施工现场、施工条件和基础资料的提供</w:t>
      </w:r>
    </w:p>
    <w:p w14:paraId="05BCD48F">
      <w:pPr>
        <w:snapToGrid w:val="0"/>
        <w:spacing w:line="440" w:lineRule="exact"/>
        <w:ind w:firstLine="420" w:firstLineChars="200"/>
        <w:rPr>
          <w:rFonts w:hint="eastAsia" w:ascii="宋体" w:cs="宋体"/>
          <w:color w:val="auto"/>
          <w:szCs w:val="21"/>
          <w:highlight w:val="none"/>
        </w:rPr>
      </w:pPr>
      <w:r>
        <w:rPr>
          <w:rFonts w:hint="eastAsia" w:ascii="宋体" w:cs="宋体"/>
          <w:color w:val="auto"/>
          <w:szCs w:val="21"/>
          <w:highlight w:val="none"/>
        </w:rPr>
        <w:t>2.4.1 提供施工现场</w:t>
      </w:r>
    </w:p>
    <w:p w14:paraId="11142D30">
      <w:pPr>
        <w:snapToGrid w:val="0"/>
        <w:spacing w:line="440" w:lineRule="exact"/>
        <w:ind w:firstLine="420" w:firstLineChars="200"/>
        <w:jc w:val="left"/>
        <w:rPr>
          <w:rFonts w:hint="eastAsia" w:ascii="宋体" w:cs="宋体"/>
          <w:color w:val="auto"/>
          <w:szCs w:val="21"/>
          <w:highlight w:val="none"/>
        </w:rPr>
      </w:pPr>
      <w:r>
        <w:rPr>
          <w:rFonts w:hint="eastAsia" w:ascii="宋体" w:cs="宋体"/>
          <w:color w:val="auto"/>
          <w:szCs w:val="21"/>
          <w:highlight w:val="none"/>
        </w:rPr>
        <w:t>关于发包人移交施工现场的期限要求：</w:t>
      </w:r>
      <w:r>
        <w:rPr>
          <w:rFonts w:hint="eastAsia" w:ascii="宋体" w:cs="宋体"/>
          <w:color w:val="auto"/>
          <w:szCs w:val="21"/>
          <w:highlight w:val="none"/>
          <w:u w:val="single"/>
        </w:rPr>
        <w:t>发包人应最迟于开工日期7天前向承包人移交施工现场。</w:t>
      </w:r>
    </w:p>
    <w:p w14:paraId="586AEF0C">
      <w:pPr>
        <w:snapToGrid w:val="0"/>
        <w:spacing w:line="440" w:lineRule="exact"/>
        <w:ind w:firstLine="420" w:firstLineChars="200"/>
        <w:rPr>
          <w:rFonts w:hint="eastAsia" w:ascii="宋体" w:cs="宋体"/>
          <w:color w:val="auto"/>
          <w:szCs w:val="21"/>
          <w:highlight w:val="none"/>
        </w:rPr>
      </w:pPr>
      <w:r>
        <w:rPr>
          <w:rFonts w:hint="eastAsia" w:ascii="宋体" w:cs="宋体"/>
          <w:color w:val="auto"/>
          <w:szCs w:val="21"/>
          <w:highlight w:val="none"/>
        </w:rPr>
        <w:t>2.4.2 提供施工条件</w:t>
      </w:r>
    </w:p>
    <w:p w14:paraId="694C47BD">
      <w:pPr>
        <w:snapToGrid w:val="0"/>
        <w:spacing w:line="440" w:lineRule="exact"/>
        <w:ind w:firstLine="420" w:firstLineChars="200"/>
        <w:rPr>
          <w:rFonts w:hint="eastAsia" w:ascii="宋体" w:cs="宋体"/>
          <w:color w:val="auto"/>
          <w:szCs w:val="21"/>
          <w:highlight w:val="none"/>
          <w:u w:val="single"/>
        </w:rPr>
      </w:pPr>
      <w:r>
        <w:rPr>
          <w:rFonts w:hint="eastAsia" w:ascii="宋体" w:cs="宋体"/>
          <w:color w:val="auto"/>
          <w:szCs w:val="21"/>
          <w:highlight w:val="none"/>
        </w:rPr>
        <w:t>关于发包人应负责提供施工所需要的条件，包括：</w:t>
      </w:r>
      <w:r>
        <w:rPr>
          <w:rFonts w:hint="eastAsia" w:ascii="宋体" w:hAnsi="宋体" w:eastAsia="宋体" w:cs="宋体"/>
          <w:color w:val="auto"/>
          <w:szCs w:val="21"/>
          <w:highlight w:val="none"/>
          <w:u w:val="single"/>
          <w:lang w:val="en-US" w:eastAsia="zh-CN"/>
        </w:rPr>
        <w:t>现场所需所有施工条件均由承包人自行解决并承担相关费用。</w:t>
      </w:r>
    </w:p>
    <w:p w14:paraId="6143E00C">
      <w:pPr>
        <w:snapToGrid w:val="0"/>
        <w:spacing w:line="440" w:lineRule="exact"/>
        <w:ind w:firstLine="420" w:firstLineChars="200"/>
        <w:rPr>
          <w:rFonts w:hint="eastAsia" w:ascii="宋体" w:cs="宋体"/>
          <w:color w:val="auto"/>
          <w:szCs w:val="21"/>
          <w:highlight w:val="none"/>
        </w:rPr>
      </w:pPr>
      <w:r>
        <w:rPr>
          <w:rFonts w:hint="eastAsia" w:ascii="宋体" w:cs="宋体"/>
          <w:color w:val="auto"/>
          <w:szCs w:val="21"/>
          <w:highlight w:val="none"/>
        </w:rPr>
        <w:t>2.5 资金来源证明及支付担保</w:t>
      </w:r>
    </w:p>
    <w:p w14:paraId="7F5C1413">
      <w:pPr>
        <w:snapToGrid w:val="0"/>
        <w:spacing w:line="440" w:lineRule="exact"/>
        <w:ind w:firstLine="420" w:firstLineChars="200"/>
        <w:rPr>
          <w:rFonts w:hint="eastAsia" w:ascii="宋体" w:cs="宋体"/>
          <w:color w:val="auto"/>
          <w:szCs w:val="21"/>
          <w:highlight w:val="none"/>
        </w:rPr>
      </w:pPr>
      <w:r>
        <w:rPr>
          <w:rFonts w:hint="eastAsia" w:ascii="宋体" w:cs="宋体"/>
          <w:color w:val="auto"/>
          <w:szCs w:val="21"/>
          <w:highlight w:val="none"/>
        </w:rPr>
        <w:t>发包人提供资金来源证明的期限要求：</w:t>
      </w:r>
      <w:r>
        <w:rPr>
          <w:rFonts w:hint="eastAsia" w:ascii="宋体" w:cs="宋体"/>
          <w:color w:val="auto"/>
          <w:szCs w:val="21"/>
          <w:highlight w:val="none"/>
          <w:u w:val="single"/>
        </w:rPr>
        <w:t></w:t>
      </w:r>
      <w:r>
        <w:rPr>
          <w:rFonts w:hint="eastAsia" w:ascii="宋体" w:cs="宋体"/>
          <w:color w:val="auto"/>
          <w:szCs w:val="21"/>
          <w:highlight w:val="none"/>
          <w:u w:val="single"/>
          <w:lang w:val="en-US" w:eastAsia="zh-CN"/>
        </w:rPr>
        <w:t>自筹</w:t>
      </w:r>
      <w:r>
        <w:rPr>
          <w:rFonts w:hint="eastAsia" w:ascii="宋体" w:cs="宋体"/>
          <w:color w:val="auto"/>
          <w:szCs w:val="21"/>
          <w:highlight w:val="none"/>
          <w:u w:val="single"/>
        </w:rPr>
        <w:t xml:space="preserve">资金   </w:t>
      </w:r>
      <w:r>
        <w:rPr>
          <w:rFonts w:hint="eastAsia" w:ascii="宋体" w:cs="宋体"/>
          <w:color w:val="auto"/>
          <w:szCs w:val="21"/>
          <w:highlight w:val="none"/>
        </w:rPr>
        <w:t>。</w:t>
      </w:r>
    </w:p>
    <w:p w14:paraId="3FB71AC4">
      <w:pPr>
        <w:snapToGrid w:val="0"/>
        <w:spacing w:line="440" w:lineRule="exact"/>
        <w:ind w:firstLine="420" w:firstLineChars="200"/>
        <w:rPr>
          <w:rFonts w:hint="eastAsia" w:ascii="宋体" w:cs="宋体"/>
          <w:color w:val="auto"/>
          <w:szCs w:val="21"/>
          <w:highlight w:val="none"/>
        </w:rPr>
      </w:pPr>
      <w:r>
        <w:rPr>
          <w:rFonts w:hint="eastAsia" w:ascii="宋体" w:cs="宋体"/>
          <w:color w:val="auto"/>
          <w:szCs w:val="21"/>
          <w:highlight w:val="none"/>
        </w:rPr>
        <w:t>发包人是否提供支付担保：</w:t>
      </w:r>
      <w:r>
        <w:rPr>
          <w:rFonts w:hint="eastAsia" w:ascii="宋体" w:cs="宋体"/>
          <w:color w:val="auto"/>
          <w:szCs w:val="21"/>
          <w:highlight w:val="none"/>
          <w:u w:val="single"/>
        </w:rPr>
        <w:t xml:space="preserve">不提供   </w:t>
      </w:r>
      <w:r>
        <w:rPr>
          <w:rFonts w:hint="eastAsia" w:ascii="宋体" w:cs="宋体"/>
          <w:color w:val="auto"/>
          <w:szCs w:val="21"/>
          <w:highlight w:val="none"/>
        </w:rPr>
        <w:t>。</w:t>
      </w:r>
    </w:p>
    <w:p w14:paraId="3C6886CB">
      <w:pPr>
        <w:snapToGrid w:val="0"/>
        <w:spacing w:line="440" w:lineRule="exact"/>
        <w:ind w:firstLine="420" w:firstLineChars="200"/>
        <w:rPr>
          <w:rFonts w:hint="eastAsia" w:ascii="宋体" w:cs="宋体"/>
          <w:color w:val="auto"/>
          <w:szCs w:val="21"/>
          <w:highlight w:val="none"/>
          <w:u w:val="single"/>
        </w:rPr>
      </w:pPr>
      <w:r>
        <w:rPr>
          <w:rFonts w:hint="eastAsia" w:ascii="宋体" w:cs="宋体"/>
          <w:color w:val="auto"/>
          <w:szCs w:val="21"/>
          <w:highlight w:val="none"/>
        </w:rPr>
        <w:t>发包人提供支付担保的形式：</w:t>
      </w:r>
      <w:r>
        <w:rPr>
          <w:rFonts w:hint="eastAsia" w:ascii="宋体" w:cs="宋体"/>
          <w:color w:val="auto"/>
          <w:szCs w:val="21"/>
          <w:highlight w:val="none"/>
          <w:u w:val="single"/>
        </w:rPr>
        <w:t>无  </w:t>
      </w:r>
      <w:r>
        <w:rPr>
          <w:rFonts w:hint="eastAsia" w:ascii="宋体" w:cs="宋体"/>
          <w:color w:val="auto"/>
          <w:szCs w:val="21"/>
          <w:highlight w:val="none"/>
        </w:rPr>
        <w:t>。</w:t>
      </w:r>
    </w:p>
    <w:p w14:paraId="05ABEF29">
      <w:pPr>
        <w:pStyle w:val="5"/>
        <w:snapToGrid w:val="0"/>
        <w:spacing w:before="0" w:after="0" w:line="440" w:lineRule="exact"/>
        <w:ind w:firstLine="420" w:firstLineChars="200"/>
        <w:rPr>
          <w:rFonts w:hint="eastAsia" w:ascii="宋体" w:eastAsia="宋体" w:cs="宋体"/>
          <w:b w:val="0"/>
          <w:color w:val="auto"/>
          <w:sz w:val="21"/>
          <w:szCs w:val="21"/>
          <w:highlight w:val="none"/>
        </w:rPr>
      </w:pPr>
      <w:r>
        <w:rPr>
          <w:rFonts w:hint="eastAsia" w:ascii="宋体" w:eastAsia="宋体" w:cs="宋体"/>
          <w:b w:val="0"/>
          <w:color w:val="auto"/>
          <w:sz w:val="21"/>
          <w:szCs w:val="21"/>
          <w:highlight w:val="none"/>
        </w:rPr>
        <w:t>3. 承包人</w:t>
      </w:r>
    </w:p>
    <w:p w14:paraId="4941BCD2">
      <w:pPr>
        <w:snapToGrid w:val="0"/>
        <w:spacing w:line="440" w:lineRule="exact"/>
        <w:ind w:firstLine="420" w:firstLineChars="200"/>
        <w:rPr>
          <w:rFonts w:hint="eastAsia" w:ascii="宋体" w:cs="宋体"/>
          <w:color w:val="auto"/>
          <w:szCs w:val="21"/>
          <w:highlight w:val="none"/>
        </w:rPr>
      </w:pPr>
      <w:r>
        <w:rPr>
          <w:rFonts w:hint="eastAsia" w:ascii="宋体" w:cs="宋体"/>
          <w:color w:val="auto"/>
          <w:szCs w:val="21"/>
          <w:highlight w:val="none"/>
        </w:rPr>
        <w:t>3.1 承包人的一般义务</w:t>
      </w:r>
    </w:p>
    <w:p w14:paraId="2240B1EC">
      <w:pPr>
        <w:snapToGrid w:val="0"/>
        <w:spacing w:line="440" w:lineRule="exact"/>
        <w:ind w:firstLine="420" w:firstLineChars="200"/>
        <w:jc w:val="left"/>
        <w:rPr>
          <w:rFonts w:hint="eastAsia" w:ascii="宋体" w:cs="宋体"/>
          <w:color w:val="auto"/>
          <w:szCs w:val="21"/>
          <w:highlight w:val="none"/>
          <w:u w:val="single"/>
        </w:rPr>
      </w:pPr>
      <w:r>
        <w:rPr>
          <w:rFonts w:hint="eastAsia" w:ascii="宋体" w:cs="宋体"/>
          <w:color w:val="auto"/>
          <w:kern w:val="0"/>
          <w:szCs w:val="21"/>
          <w:highlight w:val="none"/>
        </w:rPr>
        <w:t>（9）</w:t>
      </w:r>
      <w:r>
        <w:rPr>
          <w:rFonts w:hint="eastAsia" w:ascii="宋体" w:cs="宋体"/>
          <w:color w:val="auto"/>
          <w:szCs w:val="21"/>
          <w:highlight w:val="none"/>
        </w:rPr>
        <w:t>承包人提交的竣工资料的内容：</w:t>
      </w:r>
      <w:r>
        <w:rPr>
          <w:rFonts w:hint="eastAsia" w:ascii="宋体" w:cs="宋体"/>
          <w:color w:val="auto"/>
          <w:szCs w:val="21"/>
          <w:highlight w:val="none"/>
          <w:u w:val="single"/>
        </w:rPr>
        <w:t xml:space="preserve">   按相关要求执行，包括但不限于竣工图、竣工报告、项目质检资料、结算资料等  </w:t>
      </w:r>
      <w:r>
        <w:rPr>
          <w:rFonts w:hint="eastAsia" w:ascii="宋体" w:cs="宋体"/>
          <w:color w:val="auto"/>
          <w:szCs w:val="21"/>
          <w:highlight w:val="none"/>
        </w:rPr>
        <w:t>。</w:t>
      </w:r>
    </w:p>
    <w:p w14:paraId="1CA1DB90">
      <w:pPr>
        <w:snapToGrid w:val="0"/>
        <w:spacing w:line="440" w:lineRule="exact"/>
        <w:ind w:firstLine="420" w:firstLineChars="200"/>
        <w:jc w:val="left"/>
        <w:rPr>
          <w:rFonts w:hint="eastAsia" w:ascii="宋体" w:cs="宋体"/>
          <w:color w:val="auto"/>
          <w:szCs w:val="21"/>
          <w:highlight w:val="none"/>
        </w:rPr>
      </w:pPr>
      <w:r>
        <w:rPr>
          <w:rFonts w:hint="eastAsia" w:ascii="宋体" w:cs="宋体"/>
          <w:color w:val="auto"/>
          <w:szCs w:val="21"/>
          <w:highlight w:val="none"/>
        </w:rPr>
        <w:t>承包人需要提交的竣工资料套数：</w:t>
      </w:r>
      <w:r>
        <w:rPr>
          <w:rFonts w:hint="eastAsia" w:ascii="宋体" w:cs="宋体"/>
          <w:color w:val="auto"/>
          <w:szCs w:val="21"/>
          <w:highlight w:val="none"/>
          <w:u w:val="single"/>
        </w:rPr>
        <w:t xml:space="preserve">      按相关要求执行，且不少于3套    </w:t>
      </w:r>
      <w:r>
        <w:rPr>
          <w:rFonts w:hint="eastAsia" w:ascii="宋体" w:cs="宋体"/>
          <w:color w:val="auto"/>
          <w:szCs w:val="21"/>
          <w:highlight w:val="none"/>
        </w:rPr>
        <w:t>。</w:t>
      </w:r>
    </w:p>
    <w:p w14:paraId="5FF31C14">
      <w:pPr>
        <w:snapToGrid w:val="0"/>
        <w:spacing w:line="440" w:lineRule="exact"/>
        <w:ind w:firstLine="420" w:firstLineChars="200"/>
        <w:jc w:val="left"/>
        <w:rPr>
          <w:rFonts w:hint="eastAsia" w:ascii="宋体" w:cs="宋体"/>
          <w:color w:val="auto"/>
          <w:szCs w:val="21"/>
          <w:highlight w:val="none"/>
        </w:rPr>
      </w:pPr>
      <w:r>
        <w:rPr>
          <w:rFonts w:hint="eastAsia" w:ascii="宋体" w:cs="宋体"/>
          <w:color w:val="auto"/>
          <w:szCs w:val="21"/>
          <w:highlight w:val="none"/>
        </w:rPr>
        <w:t>承包人提交的竣工资料的费用承担：</w:t>
      </w:r>
      <w:r>
        <w:rPr>
          <w:rFonts w:hint="eastAsia" w:ascii="宋体" w:cs="宋体"/>
          <w:color w:val="auto"/>
          <w:szCs w:val="21"/>
          <w:highlight w:val="none"/>
          <w:u w:val="single"/>
        </w:rPr>
        <w:t xml:space="preserve">   承包人           </w:t>
      </w:r>
      <w:r>
        <w:rPr>
          <w:rFonts w:hint="eastAsia" w:ascii="宋体" w:cs="宋体"/>
          <w:color w:val="auto"/>
          <w:szCs w:val="21"/>
          <w:highlight w:val="none"/>
        </w:rPr>
        <w:t>。</w:t>
      </w:r>
    </w:p>
    <w:p w14:paraId="3670ED4C">
      <w:pPr>
        <w:snapToGrid w:val="0"/>
        <w:spacing w:line="440" w:lineRule="exact"/>
        <w:ind w:firstLine="420" w:firstLineChars="200"/>
        <w:jc w:val="left"/>
        <w:rPr>
          <w:rFonts w:hint="eastAsia" w:ascii="宋体" w:cs="宋体"/>
          <w:color w:val="auto"/>
          <w:szCs w:val="21"/>
          <w:highlight w:val="none"/>
        </w:rPr>
      </w:pPr>
      <w:r>
        <w:rPr>
          <w:rFonts w:hint="eastAsia" w:ascii="宋体" w:cs="宋体"/>
          <w:color w:val="auto"/>
          <w:szCs w:val="21"/>
          <w:highlight w:val="none"/>
        </w:rPr>
        <w:t>承包人提交的竣工资料移交时间：</w:t>
      </w:r>
      <w:r>
        <w:rPr>
          <w:rFonts w:hint="eastAsia" w:ascii="宋体" w:cs="宋体"/>
          <w:color w:val="auto"/>
          <w:szCs w:val="21"/>
          <w:highlight w:val="none"/>
          <w:u w:val="single"/>
        </w:rPr>
        <w:t xml:space="preserve">     竣工验收合格后</w:t>
      </w:r>
      <w:r>
        <w:rPr>
          <w:rFonts w:hint="eastAsia" w:ascii="宋体" w:cs="宋体"/>
          <w:color w:val="auto"/>
          <w:szCs w:val="21"/>
          <w:highlight w:val="none"/>
          <w:u w:val="single"/>
          <w:lang w:val="en-US" w:eastAsia="zh-CN"/>
        </w:rPr>
        <w:t>30</w:t>
      </w:r>
      <w:r>
        <w:rPr>
          <w:rFonts w:hint="eastAsia" w:ascii="宋体" w:cs="宋体"/>
          <w:color w:val="auto"/>
          <w:szCs w:val="21"/>
          <w:highlight w:val="none"/>
          <w:u w:val="single"/>
        </w:rPr>
        <w:t xml:space="preserve">日内   </w:t>
      </w:r>
      <w:r>
        <w:rPr>
          <w:rFonts w:hint="eastAsia" w:ascii="宋体" w:cs="宋体"/>
          <w:color w:val="auto"/>
          <w:szCs w:val="21"/>
          <w:highlight w:val="none"/>
        </w:rPr>
        <w:t>。</w:t>
      </w:r>
    </w:p>
    <w:p w14:paraId="0DFB5EF9">
      <w:pPr>
        <w:snapToGrid w:val="0"/>
        <w:spacing w:line="440" w:lineRule="exact"/>
        <w:ind w:firstLine="420" w:firstLineChars="200"/>
        <w:jc w:val="left"/>
        <w:rPr>
          <w:rFonts w:hint="eastAsia" w:ascii="宋体" w:cs="宋体"/>
          <w:color w:val="auto"/>
          <w:szCs w:val="21"/>
          <w:highlight w:val="none"/>
        </w:rPr>
      </w:pPr>
      <w:r>
        <w:rPr>
          <w:rFonts w:hint="eastAsia" w:ascii="宋体" w:cs="宋体"/>
          <w:color w:val="auto"/>
          <w:szCs w:val="21"/>
          <w:highlight w:val="none"/>
        </w:rPr>
        <w:t>承包人提交的竣工资料形式要求：</w:t>
      </w:r>
      <w:r>
        <w:rPr>
          <w:rFonts w:hint="eastAsia" w:ascii="宋体" w:cs="宋体"/>
          <w:color w:val="auto"/>
          <w:szCs w:val="21"/>
          <w:highlight w:val="none"/>
          <w:u w:val="single"/>
        </w:rPr>
        <w:t xml:space="preserve">     纸质及电子形式   </w:t>
      </w:r>
      <w:r>
        <w:rPr>
          <w:rFonts w:hint="eastAsia" w:ascii="宋体" w:cs="宋体"/>
          <w:color w:val="auto"/>
          <w:szCs w:val="21"/>
          <w:highlight w:val="none"/>
        </w:rPr>
        <w:t>。</w:t>
      </w:r>
    </w:p>
    <w:p w14:paraId="57AC80D3">
      <w:pPr>
        <w:snapToGrid w:val="0"/>
        <w:spacing w:line="440" w:lineRule="exact"/>
        <w:ind w:firstLine="420" w:firstLineChars="200"/>
        <w:jc w:val="left"/>
        <w:rPr>
          <w:rFonts w:hint="eastAsia" w:ascii="宋体" w:cs="宋体"/>
          <w:color w:val="auto"/>
          <w:szCs w:val="21"/>
          <w:highlight w:val="none"/>
        </w:rPr>
      </w:pPr>
      <w:r>
        <w:rPr>
          <w:rFonts w:hint="eastAsia" w:ascii="宋体" w:cs="宋体"/>
          <w:color w:val="auto"/>
          <w:szCs w:val="21"/>
          <w:highlight w:val="none"/>
          <w:lang w:eastAsia="zh-CN"/>
        </w:rPr>
        <w:t>（</w:t>
      </w:r>
      <w:r>
        <w:rPr>
          <w:rFonts w:hint="eastAsia" w:ascii="宋体" w:cs="宋体"/>
          <w:color w:val="auto"/>
          <w:szCs w:val="21"/>
          <w:highlight w:val="none"/>
          <w:lang w:val="en-US" w:eastAsia="zh-CN"/>
        </w:rPr>
        <w:t>10）</w:t>
      </w:r>
      <w:r>
        <w:rPr>
          <w:rFonts w:hint="eastAsia" w:ascii="宋体" w:cs="宋体"/>
          <w:color w:val="auto"/>
          <w:kern w:val="0"/>
          <w:szCs w:val="21"/>
          <w:highlight w:val="none"/>
        </w:rPr>
        <w:t>承包人应履行的其他义务：</w:t>
      </w:r>
      <w:r>
        <w:rPr>
          <w:rFonts w:hint="eastAsia" w:ascii="宋体" w:cs="宋体"/>
          <w:strike w:val="0"/>
          <w:dstrike w:val="0"/>
          <w:color w:val="auto"/>
          <w:szCs w:val="21"/>
          <w:highlight w:val="none"/>
          <w:u w:val="single"/>
        </w:rPr>
        <w:t>①工程竣工半年</w:t>
      </w:r>
      <w:r>
        <w:rPr>
          <w:rFonts w:hint="eastAsia" w:ascii="宋体" w:cs="宋体"/>
          <w:strike w:val="0"/>
          <w:dstrike w:val="0"/>
          <w:color w:val="auto"/>
          <w:szCs w:val="21"/>
          <w:highlight w:val="none"/>
          <w:u w:val="single"/>
          <w:lang w:eastAsia="zh-CN"/>
        </w:rPr>
        <w:t>（</w:t>
      </w:r>
      <w:r>
        <w:rPr>
          <w:rFonts w:hint="eastAsia" w:ascii="宋体" w:cs="宋体"/>
          <w:strike w:val="0"/>
          <w:dstrike w:val="0"/>
          <w:color w:val="auto"/>
          <w:szCs w:val="21"/>
          <w:highlight w:val="none"/>
          <w:u w:val="single"/>
        </w:rPr>
        <w:t>含</w:t>
      </w:r>
      <w:r>
        <w:rPr>
          <w:rFonts w:hint="eastAsia" w:ascii="宋体" w:cs="宋体"/>
          <w:strike w:val="0"/>
          <w:dstrike w:val="0"/>
          <w:color w:val="auto"/>
          <w:szCs w:val="21"/>
          <w:highlight w:val="none"/>
          <w:u w:val="single"/>
          <w:lang w:eastAsia="zh-CN"/>
        </w:rPr>
        <w:t>）</w:t>
      </w:r>
      <w:r>
        <w:rPr>
          <w:rFonts w:hint="eastAsia" w:ascii="宋体" w:cs="宋体"/>
          <w:strike w:val="0"/>
          <w:dstrike w:val="0"/>
          <w:color w:val="auto"/>
          <w:szCs w:val="21"/>
          <w:highlight w:val="none"/>
          <w:u w:val="single"/>
        </w:rPr>
        <w:t>内完成竣工结算；</w:t>
      </w:r>
      <w:r>
        <w:rPr>
          <w:rFonts w:hint="eastAsia" w:ascii="宋体" w:cs="宋体"/>
          <w:color w:val="auto"/>
          <w:szCs w:val="21"/>
          <w:highlight w:val="none"/>
          <w:u w:val="single"/>
        </w:rPr>
        <w:t>②无合同纠纷等原因拖欠农民工工资、材料款，出现群访及时处理；③质量无缺陷，及时整改到位，处理及时；④施工现场服从调度或工程进度不超过合同工期或按合同期限按时移交的；⑤月工程量进度及时完成；⑥按规定提供工程资料并及时归档的；</w:t>
      </w:r>
    </w:p>
    <w:p w14:paraId="083F7B13">
      <w:pPr>
        <w:snapToGrid w:val="0"/>
        <w:spacing w:line="440" w:lineRule="exact"/>
        <w:ind w:firstLine="420" w:firstLineChars="200"/>
        <w:rPr>
          <w:rFonts w:hint="eastAsia" w:ascii="宋体" w:cs="宋体"/>
          <w:color w:val="auto"/>
          <w:szCs w:val="21"/>
          <w:highlight w:val="none"/>
        </w:rPr>
      </w:pPr>
      <w:r>
        <w:rPr>
          <w:rFonts w:hint="eastAsia" w:ascii="宋体" w:cs="宋体"/>
          <w:color w:val="auto"/>
          <w:szCs w:val="21"/>
          <w:highlight w:val="none"/>
        </w:rPr>
        <w:t>3.2 项目经理</w:t>
      </w:r>
    </w:p>
    <w:p w14:paraId="13611687">
      <w:pPr>
        <w:snapToGrid w:val="0"/>
        <w:spacing w:line="440" w:lineRule="exact"/>
        <w:ind w:firstLine="420" w:firstLineChars="200"/>
        <w:rPr>
          <w:rFonts w:hint="eastAsia" w:ascii="宋体" w:cs="宋体"/>
          <w:color w:val="auto"/>
          <w:szCs w:val="21"/>
          <w:highlight w:val="none"/>
        </w:rPr>
      </w:pPr>
      <w:r>
        <w:rPr>
          <w:rFonts w:hint="eastAsia" w:ascii="宋体" w:cs="宋体"/>
          <w:color w:val="auto"/>
          <w:kern w:val="0"/>
          <w:szCs w:val="21"/>
          <w:highlight w:val="none"/>
        </w:rPr>
        <w:t xml:space="preserve">3.2.1 </w:t>
      </w:r>
      <w:r>
        <w:rPr>
          <w:rFonts w:hint="eastAsia" w:ascii="宋体" w:cs="宋体"/>
          <w:color w:val="auto"/>
          <w:szCs w:val="21"/>
          <w:highlight w:val="none"/>
        </w:rPr>
        <w:t>项目经理：</w:t>
      </w:r>
    </w:p>
    <w:p w14:paraId="14770DDB">
      <w:pPr>
        <w:snapToGrid w:val="0"/>
        <w:spacing w:line="440" w:lineRule="exact"/>
        <w:ind w:firstLine="420" w:firstLineChars="200"/>
        <w:rPr>
          <w:rFonts w:hint="eastAsia" w:ascii="宋体" w:cs="宋体"/>
          <w:color w:val="auto"/>
          <w:szCs w:val="21"/>
          <w:highlight w:val="none"/>
        </w:rPr>
      </w:pPr>
      <w:r>
        <w:rPr>
          <w:rFonts w:hint="eastAsia" w:ascii="宋体" w:cs="宋体"/>
          <w:color w:val="auto"/>
          <w:szCs w:val="21"/>
          <w:highlight w:val="none"/>
        </w:rPr>
        <w:t>姓    名：</w:t>
      </w:r>
      <w:r>
        <w:rPr>
          <w:rFonts w:hint="eastAsia" w:ascii="宋体" w:cs="宋体"/>
          <w:color w:val="auto"/>
          <w:szCs w:val="21"/>
          <w:highlight w:val="none"/>
          <w:u w:val="single"/>
        </w:rPr>
        <w:t>         </w:t>
      </w:r>
      <w:r>
        <w:rPr>
          <w:rFonts w:hint="eastAsia" w:ascii="宋体" w:cs="宋体"/>
          <w:color w:val="auto"/>
          <w:szCs w:val="21"/>
          <w:highlight w:val="none"/>
        </w:rPr>
        <w:t>；</w:t>
      </w:r>
    </w:p>
    <w:p w14:paraId="3BA17073">
      <w:pPr>
        <w:snapToGrid w:val="0"/>
        <w:spacing w:line="440" w:lineRule="exact"/>
        <w:ind w:firstLine="420" w:firstLineChars="200"/>
        <w:rPr>
          <w:rFonts w:hint="eastAsia" w:ascii="宋体" w:cs="宋体"/>
          <w:color w:val="auto"/>
          <w:szCs w:val="21"/>
          <w:highlight w:val="none"/>
        </w:rPr>
      </w:pPr>
      <w:r>
        <w:rPr>
          <w:rFonts w:hint="eastAsia" w:ascii="宋体" w:cs="宋体"/>
          <w:color w:val="auto"/>
          <w:szCs w:val="21"/>
          <w:highlight w:val="none"/>
        </w:rPr>
        <w:t>身份证号：</w:t>
      </w:r>
      <w:r>
        <w:rPr>
          <w:rFonts w:hint="eastAsia" w:ascii="宋体" w:cs="宋体"/>
          <w:color w:val="auto"/>
          <w:szCs w:val="21"/>
          <w:highlight w:val="none"/>
          <w:u w:val="single"/>
        </w:rPr>
        <w:t>         </w:t>
      </w:r>
      <w:r>
        <w:rPr>
          <w:rFonts w:hint="eastAsia" w:ascii="宋体" w:cs="宋体"/>
          <w:color w:val="auto"/>
          <w:szCs w:val="21"/>
          <w:highlight w:val="none"/>
        </w:rPr>
        <w:t>；</w:t>
      </w:r>
    </w:p>
    <w:p w14:paraId="47204064">
      <w:pPr>
        <w:snapToGrid w:val="0"/>
        <w:spacing w:line="440" w:lineRule="exact"/>
        <w:ind w:firstLine="420" w:firstLineChars="200"/>
        <w:rPr>
          <w:rFonts w:hint="eastAsia" w:ascii="宋体" w:cs="宋体"/>
          <w:color w:val="auto"/>
          <w:szCs w:val="21"/>
          <w:highlight w:val="none"/>
        </w:rPr>
      </w:pPr>
      <w:r>
        <w:rPr>
          <w:rFonts w:hint="eastAsia" w:ascii="宋体" w:cs="宋体"/>
          <w:color w:val="auto"/>
          <w:szCs w:val="21"/>
          <w:highlight w:val="none"/>
        </w:rPr>
        <w:t>建造师执业资格等级：</w:t>
      </w:r>
      <w:r>
        <w:rPr>
          <w:rFonts w:hint="eastAsia" w:ascii="宋体" w:cs="宋体"/>
          <w:color w:val="auto"/>
          <w:szCs w:val="21"/>
          <w:highlight w:val="none"/>
          <w:u w:val="single"/>
        </w:rPr>
        <w:t>   </w:t>
      </w:r>
      <w:r>
        <w:rPr>
          <w:rFonts w:hint="eastAsia" w:ascii="宋体" w:cs="宋体"/>
          <w:color w:val="auto"/>
          <w:szCs w:val="21"/>
          <w:highlight w:val="none"/>
        </w:rPr>
        <w:t>；</w:t>
      </w:r>
    </w:p>
    <w:p w14:paraId="60174993">
      <w:pPr>
        <w:snapToGrid w:val="0"/>
        <w:spacing w:line="440" w:lineRule="exact"/>
        <w:ind w:firstLine="420" w:firstLineChars="200"/>
        <w:rPr>
          <w:rFonts w:hint="eastAsia" w:ascii="宋体" w:cs="宋体"/>
          <w:color w:val="auto"/>
          <w:szCs w:val="21"/>
          <w:highlight w:val="none"/>
        </w:rPr>
      </w:pPr>
      <w:r>
        <w:rPr>
          <w:rFonts w:hint="eastAsia" w:ascii="宋体" w:cs="宋体"/>
          <w:color w:val="auto"/>
          <w:szCs w:val="21"/>
          <w:highlight w:val="none"/>
        </w:rPr>
        <w:t>建造师注册证书号：</w:t>
      </w:r>
      <w:r>
        <w:rPr>
          <w:rFonts w:hint="eastAsia" w:ascii="宋体" w:cs="宋体"/>
          <w:color w:val="auto"/>
          <w:szCs w:val="21"/>
          <w:highlight w:val="none"/>
          <w:u w:val="single"/>
        </w:rPr>
        <w:t> </w:t>
      </w:r>
      <w:r>
        <w:rPr>
          <w:rFonts w:hint="eastAsia" w:ascii="宋体" w:cs="宋体"/>
          <w:color w:val="auto"/>
          <w:szCs w:val="21"/>
          <w:highlight w:val="none"/>
        </w:rPr>
        <w:t>；</w:t>
      </w:r>
    </w:p>
    <w:p w14:paraId="433B24F4">
      <w:pPr>
        <w:snapToGrid w:val="0"/>
        <w:spacing w:line="440" w:lineRule="exact"/>
        <w:ind w:firstLine="420" w:firstLineChars="200"/>
        <w:rPr>
          <w:rFonts w:hint="eastAsia" w:ascii="宋体" w:cs="宋体"/>
          <w:color w:val="auto"/>
          <w:szCs w:val="21"/>
          <w:highlight w:val="none"/>
        </w:rPr>
      </w:pPr>
      <w:r>
        <w:rPr>
          <w:rFonts w:hint="eastAsia" w:ascii="宋体" w:cs="宋体"/>
          <w:color w:val="auto"/>
          <w:szCs w:val="21"/>
          <w:highlight w:val="none"/>
        </w:rPr>
        <w:t>建造师执业印章号：</w:t>
      </w:r>
      <w:r>
        <w:rPr>
          <w:rFonts w:hint="eastAsia" w:ascii="宋体" w:cs="宋体"/>
          <w:color w:val="auto"/>
          <w:szCs w:val="21"/>
          <w:highlight w:val="none"/>
          <w:u w:val="single"/>
        </w:rPr>
        <w:t> </w:t>
      </w:r>
      <w:r>
        <w:rPr>
          <w:rFonts w:hint="eastAsia" w:ascii="宋体" w:cs="宋体"/>
          <w:color w:val="auto"/>
          <w:szCs w:val="21"/>
          <w:highlight w:val="none"/>
        </w:rPr>
        <w:t>；</w:t>
      </w:r>
    </w:p>
    <w:p w14:paraId="61D36B67">
      <w:pPr>
        <w:snapToGrid w:val="0"/>
        <w:spacing w:line="440" w:lineRule="exact"/>
        <w:ind w:firstLine="420" w:firstLineChars="200"/>
        <w:rPr>
          <w:rFonts w:hint="eastAsia" w:ascii="宋体" w:cs="宋体"/>
          <w:color w:val="auto"/>
          <w:szCs w:val="21"/>
          <w:highlight w:val="none"/>
        </w:rPr>
      </w:pPr>
      <w:r>
        <w:rPr>
          <w:rFonts w:hint="eastAsia" w:ascii="宋体" w:cs="宋体"/>
          <w:color w:val="auto"/>
          <w:szCs w:val="21"/>
          <w:highlight w:val="none"/>
        </w:rPr>
        <w:t>安全生产考核合格证书号：</w:t>
      </w:r>
      <w:r>
        <w:rPr>
          <w:rFonts w:hint="eastAsia" w:ascii="宋体" w:cs="宋体"/>
          <w:color w:val="auto"/>
          <w:szCs w:val="21"/>
          <w:highlight w:val="none"/>
          <w:u w:val="single"/>
        </w:rPr>
        <w:t> </w:t>
      </w:r>
      <w:r>
        <w:rPr>
          <w:rFonts w:hint="eastAsia" w:ascii="宋体" w:cs="宋体"/>
          <w:color w:val="auto"/>
          <w:szCs w:val="21"/>
          <w:highlight w:val="none"/>
        </w:rPr>
        <w:t>；</w:t>
      </w:r>
    </w:p>
    <w:p w14:paraId="7E9E6C57">
      <w:pPr>
        <w:snapToGrid w:val="0"/>
        <w:spacing w:line="440" w:lineRule="exact"/>
        <w:ind w:firstLine="420" w:firstLineChars="200"/>
        <w:rPr>
          <w:rFonts w:hint="eastAsia" w:ascii="宋体" w:cs="宋体"/>
          <w:color w:val="auto"/>
          <w:szCs w:val="21"/>
          <w:highlight w:val="none"/>
        </w:rPr>
      </w:pPr>
      <w:r>
        <w:rPr>
          <w:rFonts w:hint="eastAsia" w:ascii="宋体" w:cs="宋体"/>
          <w:color w:val="auto"/>
          <w:szCs w:val="21"/>
          <w:highlight w:val="none"/>
        </w:rPr>
        <w:t>联系电话：</w:t>
      </w:r>
      <w:r>
        <w:rPr>
          <w:rFonts w:hint="eastAsia" w:ascii="宋体" w:cs="宋体"/>
          <w:color w:val="auto"/>
          <w:szCs w:val="21"/>
          <w:highlight w:val="none"/>
          <w:u w:val="single"/>
        </w:rPr>
        <w:t>         </w:t>
      </w:r>
      <w:r>
        <w:rPr>
          <w:rFonts w:hint="eastAsia" w:ascii="宋体" w:cs="宋体"/>
          <w:color w:val="auto"/>
          <w:szCs w:val="21"/>
          <w:highlight w:val="none"/>
        </w:rPr>
        <w:t>；</w:t>
      </w:r>
    </w:p>
    <w:p w14:paraId="3F583591">
      <w:pPr>
        <w:snapToGrid w:val="0"/>
        <w:spacing w:line="440" w:lineRule="exact"/>
        <w:ind w:firstLine="420" w:firstLineChars="200"/>
        <w:rPr>
          <w:rFonts w:hint="eastAsia" w:ascii="宋体" w:cs="宋体"/>
          <w:color w:val="auto"/>
          <w:szCs w:val="21"/>
          <w:highlight w:val="none"/>
        </w:rPr>
      </w:pPr>
      <w:r>
        <w:rPr>
          <w:rFonts w:hint="eastAsia" w:ascii="宋体" w:cs="宋体"/>
          <w:color w:val="auto"/>
          <w:szCs w:val="21"/>
          <w:highlight w:val="none"/>
        </w:rPr>
        <w:t>电子信箱：</w:t>
      </w:r>
      <w:r>
        <w:rPr>
          <w:rFonts w:hint="eastAsia" w:ascii="宋体" w:cs="宋体"/>
          <w:color w:val="auto"/>
          <w:szCs w:val="21"/>
          <w:highlight w:val="none"/>
          <w:u w:val="single"/>
        </w:rPr>
        <w:t>         </w:t>
      </w:r>
      <w:r>
        <w:rPr>
          <w:rFonts w:hint="eastAsia" w:ascii="宋体" w:cs="宋体"/>
          <w:color w:val="auto"/>
          <w:szCs w:val="21"/>
          <w:highlight w:val="none"/>
        </w:rPr>
        <w:t>；</w:t>
      </w:r>
    </w:p>
    <w:p w14:paraId="1099BF5D">
      <w:pPr>
        <w:snapToGrid w:val="0"/>
        <w:spacing w:line="440" w:lineRule="exact"/>
        <w:ind w:firstLine="420" w:firstLineChars="200"/>
        <w:rPr>
          <w:rFonts w:hint="eastAsia" w:ascii="宋体" w:cs="宋体"/>
          <w:color w:val="auto"/>
          <w:szCs w:val="21"/>
          <w:highlight w:val="none"/>
        </w:rPr>
      </w:pPr>
      <w:r>
        <w:rPr>
          <w:rFonts w:hint="eastAsia" w:ascii="宋体" w:cs="宋体"/>
          <w:color w:val="auto"/>
          <w:szCs w:val="21"/>
          <w:highlight w:val="none"/>
        </w:rPr>
        <w:t>通信地址：</w:t>
      </w:r>
      <w:r>
        <w:rPr>
          <w:rFonts w:hint="eastAsia" w:ascii="宋体" w:cs="宋体"/>
          <w:color w:val="auto"/>
          <w:szCs w:val="21"/>
          <w:highlight w:val="none"/>
          <w:u w:val="single"/>
        </w:rPr>
        <w:t>         </w:t>
      </w:r>
      <w:r>
        <w:rPr>
          <w:rFonts w:hint="eastAsia" w:ascii="宋体" w:cs="宋体"/>
          <w:color w:val="auto"/>
          <w:szCs w:val="21"/>
          <w:highlight w:val="none"/>
        </w:rPr>
        <w:t>；</w:t>
      </w:r>
    </w:p>
    <w:p w14:paraId="037BD6D9">
      <w:pPr>
        <w:snapToGrid w:val="0"/>
        <w:spacing w:line="440" w:lineRule="exact"/>
        <w:ind w:firstLine="420" w:firstLineChars="200"/>
        <w:rPr>
          <w:rFonts w:hint="eastAsia" w:ascii="宋体" w:cs="宋体"/>
          <w:color w:val="auto"/>
          <w:szCs w:val="21"/>
          <w:highlight w:val="none"/>
        </w:rPr>
      </w:pPr>
      <w:r>
        <w:rPr>
          <w:rFonts w:hint="eastAsia" w:ascii="宋体" w:cs="宋体"/>
          <w:color w:val="auto"/>
          <w:szCs w:val="21"/>
          <w:highlight w:val="none"/>
        </w:rPr>
        <w:t>承包人对项目负责人的授权范围如下：</w:t>
      </w:r>
      <w:r>
        <w:rPr>
          <w:rFonts w:hint="eastAsia" w:ascii="宋体" w:cs="宋体"/>
          <w:color w:val="auto"/>
          <w:szCs w:val="21"/>
          <w:highlight w:val="none"/>
          <w:u w:val="single"/>
        </w:rPr>
        <w:t xml:space="preserve">由承包人明确授权范围  </w:t>
      </w:r>
      <w:r>
        <w:rPr>
          <w:rFonts w:hint="eastAsia" w:ascii="宋体" w:cs="宋体"/>
          <w:color w:val="auto"/>
          <w:szCs w:val="21"/>
          <w:highlight w:val="none"/>
        </w:rPr>
        <w:t>。</w:t>
      </w:r>
    </w:p>
    <w:p w14:paraId="0B02DEDD">
      <w:pPr>
        <w:snapToGrid w:val="0"/>
        <w:spacing w:line="440" w:lineRule="exact"/>
        <w:ind w:firstLine="420" w:firstLineChars="200"/>
        <w:jc w:val="left"/>
        <w:rPr>
          <w:rFonts w:hint="eastAsia" w:ascii="宋体" w:cs="宋体"/>
          <w:color w:val="auto"/>
          <w:kern w:val="0"/>
          <w:szCs w:val="21"/>
          <w:highlight w:val="none"/>
        </w:rPr>
      </w:pPr>
      <w:r>
        <w:rPr>
          <w:rFonts w:hint="eastAsia" w:ascii="宋体" w:cs="宋体"/>
          <w:color w:val="auto"/>
          <w:kern w:val="0"/>
          <w:szCs w:val="21"/>
          <w:highlight w:val="none"/>
        </w:rPr>
        <w:t>关于项目负责人每月在施工现场的时间要求：</w:t>
      </w:r>
      <w:r>
        <w:rPr>
          <w:rFonts w:hint="eastAsia" w:ascii="宋体" w:cs="宋体"/>
          <w:color w:val="auto"/>
          <w:szCs w:val="21"/>
          <w:highlight w:val="none"/>
          <w:u w:val="single"/>
        </w:rPr>
        <w:t>项目经理每月在岗时间不得少于2</w:t>
      </w:r>
      <w:r>
        <w:rPr>
          <w:rFonts w:hint="eastAsia" w:ascii="宋体" w:cs="宋体"/>
          <w:color w:val="auto"/>
          <w:szCs w:val="21"/>
          <w:highlight w:val="none"/>
          <w:u w:val="single"/>
          <w:lang w:val="en-US" w:eastAsia="zh-CN"/>
        </w:rPr>
        <w:t>2</w:t>
      </w:r>
      <w:r>
        <w:rPr>
          <w:rFonts w:hint="eastAsia" w:ascii="宋体" w:cs="宋体"/>
          <w:color w:val="auto"/>
          <w:szCs w:val="21"/>
          <w:highlight w:val="none"/>
          <w:u w:val="single"/>
        </w:rPr>
        <w:t>天。</w:t>
      </w:r>
    </w:p>
    <w:p w14:paraId="5C830A13">
      <w:pPr>
        <w:snapToGrid w:val="0"/>
        <w:spacing w:line="440" w:lineRule="exact"/>
        <w:ind w:firstLine="420" w:firstLineChars="200"/>
        <w:rPr>
          <w:rFonts w:hint="eastAsia" w:ascii="宋体" w:cs="宋体"/>
          <w:color w:val="auto"/>
          <w:kern w:val="0"/>
          <w:szCs w:val="21"/>
          <w:highlight w:val="none"/>
        </w:rPr>
      </w:pPr>
      <w:r>
        <w:rPr>
          <w:rFonts w:hint="eastAsia" w:ascii="宋体" w:cs="宋体"/>
          <w:color w:val="auto"/>
          <w:kern w:val="0"/>
          <w:szCs w:val="21"/>
          <w:highlight w:val="none"/>
        </w:rPr>
        <w:t>承包人未提交劳动合同，以及没有为建造师缴纳社会保险证明的违约责任：</w:t>
      </w:r>
      <w:r>
        <w:rPr>
          <w:rFonts w:hint="eastAsia" w:ascii="宋体" w:cs="宋体"/>
          <w:color w:val="auto"/>
          <w:kern w:val="0"/>
          <w:szCs w:val="21"/>
          <w:highlight w:val="none"/>
          <w:u w:val="single"/>
        </w:rPr>
        <w:t xml:space="preserve"> </w:t>
      </w:r>
      <w:r>
        <w:rPr>
          <w:rFonts w:hint="eastAsia" w:ascii="宋体" w:cs="宋体"/>
          <w:color w:val="auto"/>
          <w:szCs w:val="21"/>
          <w:highlight w:val="none"/>
          <w:u w:val="single"/>
        </w:rPr>
        <w:t>签订本合同前提供，资格审查时已提供的，不再重复提供</w:t>
      </w:r>
      <w:r>
        <w:rPr>
          <w:rFonts w:hint="eastAsia" w:ascii="宋体" w:cs="宋体"/>
          <w:color w:val="auto"/>
          <w:szCs w:val="21"/>
          <w:highlight w:val="none"/>
        </w:rPr>
        <w:t>。</w:t>
      </w:r>
    </w:p>
    <w:p w14:paraId="4B079E8B">
      <w:pPr>
        <w:snapToGrid w:val="0"/>
        <w:spacing w:line="440" w:lineRule="exact"/>
        <w:ind w:firstLine="420" w:firstLineChars="200"/>
        <w:rPr>
          <w:rFonts w:hint="eastAsia" w:ascii="宋体" w:hAnsi="宋体" w:eastAsia="宋体" w:cs="宋体"/>
          <w:color w:val="auto"/>
          <w:szCs w:val="21"/>
          <w:highlight w:val="none"/>
          <w:u w:val="single"/>
        </w:rPr>
      </w:pPr>
      <w:r>
        <w:rPr>
          <w:rFonts w:hint="eastAsia" w:ascii="宋体" w:cs="宋体"/>
          <w:color w:val="auto"/>
          <w:kern w:val="0"/>
          <w:szCs w:val="21"/>
          <w:highlight w:val="none"/>
        </w:rPr>
        <w:t>项目负责人未经批准，擅自离开施工现场的违约责任：</w:t>
      </w:r>
      <w:r>
        <w:rPr>
          <w:rFonts w:hint="eastAsia" w:ascii="宋体" w:hAnsi="宋体" w:eastAsia="宋体" w:cs="宋体"/>
          <w:color w:val="auto"/>
          <w:szCs w:val="21"/>
          <w:highlight w:val="none"/>
          <w:u w:val="single"/>
        </w:rPr>
        <w:t>发包人、监理人将对项目经理、</w:t>
      </w:r>
      <w:r>
        <w:rPr>
          <w:rFonts w:hint="default" w:ascii="宋体" w:hAnsi="宋体" w:eastAsia="宋体" w:cs="宋体"/>
          <w:color w:val="auto"/>
          <w:szCs w:val="21"/>
          <w:highlight w:val="none"/>
          <w:u w:val="single"/>
          <w:lang w:val="en-US" w:eastAsia="zh-CN"/>
        </w:rPr>
        <w:t>其他管理和技术人员</w:t>
      </w:r>
      <w:r>
        <w:rPr>
          <w:rFonts w:hint="eastAsia" w:ascii="宋体" w:hAnsi="宋体" w:eastAsia="宋体" w:cs="宋体"/>
          <w:color w:val="auto"/>
          <w:szCs w:val="21"/>
          <w:highlight w:val="none"/>
          <w:u w:val="single"/>
        </w:rPr>
        <w:t>实行考勤制度，必须保证上述人员每月至少有22天在本项目工地现场，短期离开施工场地，应事先征得监理人、发包人书面同意，并委派代表代行其职责。在工程实施期间，项目经理未经批准离开工地的或月考勤不足22天的，按</w:t>
      </w:r>
      <w:r>
        <w:rPr>
          <w:rFonts w:hint="eastAsia" w:ascii="宋体" w:hAnsi="宋体" w:cs="宋体"/>
          <w:color w:val="auto"/>
          <w:szCs w:val="21"/>
          <w:highlight w:val="none"/>
          <w:u w:val="single"/>
          <w:lang w:val="en-US" w:eastAsia="zh-CN"/>
        </w:rPr>
        <w:t>2</w:t>
      </w:r>
      <w:r>
        <w:rPr>
          <w:rFonts w:hint="eastAsia" w:ascii="宋体" w:hAnsi="宋体" w:eastAsia="宋体" w:cs="宋体"/>
          <w:color w:val="auto"/>
          <w:szCs w:val="21"/>
          <w:highlight w:val="none"/>
          <w:u w:val="single"/>
        </w:rPr>
        <w:t>000元/人•天</w:t>
      </w:r>
      <w:r>
        <w:rPr>
          <w:rFonts w:hint="eastAsia" w:ascii="宋体" w:hAnsi="宋体" w:eastAsia="宋体" w:cs="宋体"/>
          <w:color w:val="auto"/>
          <w:szCs w:val="21"/>
          <w:highlight w:val="none"/>
          <w:u w:val="single"/>
          <w:lang w:val="en-US" w:eastAsia="zh-CN"/>
        </w:rPr>
        <w:t>处以</w:t>
      </w:r>
      <w:r>
        <w:rPr>
          <w:rFonts w:hint="eastAsia" w:ascii="宋体" w:hAnsi="宋体" w:eastAsia="宋体" w:cs="宋体"/>
          <w:color w:val="auto"/>
          <w:szCs w:val="21"/>
          <w:highlight w:val="none"/>
          <w:u w:val="single"/>
        </w:rPr>
        <w:t>违约金。</w:t>
      </w:r>
    </w:p>
    <w:p w14:paraId="5B2257F3">
      <w:pPr>
        <w:snapToGrid w:val="0"/>
        <w:spacing w:line="440" w:lineRule="exact"/>
        <w:ind w:firstLine="420" w:firstLineChars="200"/>
        <w:rPr>
          <w:rFonts w:hint="eastAsia" w:ascii="宋体" w:cs="宋体"/>
          <w:b w:val="0"/>
          <w:bCs w:val="0"/>
          <w:color w:val="auto"/>
          <w:szCs w:val="21"/>
          <w:highlight w:val="none"/>
        </w:rPr>
      </w:pPr>
      <w:r>
        <w:rPr>
          <w:rFonts w:hint="eastAsia" w:ascii="宋体" w:cs="宋体"/>
          <w:color w:val="auto"/>
          <w:szCs w:val="21"/>
          <w:highlight w:val="none"/>
        </w:rPr>
        <w:t>3.2.3 承包人擅自更换项目负责人的违约责任：</w:t>
      </w:r>
      <w:r>
        <w:rPr>
          <w:rFonts w:hint="eastAsia" w:ascii="宋体" w:hAnsi="宋体" w:cs="宋体"/>
          <w:color w:val="auto"/>
          <w:szCs w:val="21"/>
          <w:highlight w:val="none"/>
          <w:u w:val="single"/>
        </w:rPr>
        <w:t>承包人不得擅自更换投标时所报项目经理,否则发包人有权解除合同，由此造成的损失由承包人自行承担，承包人还应赔偿由此造成发包人的全部损失。确需更换的须在签订合同后，报经发包人同意后按相关规定</w:t>
      </w:r>
      <w:r>
        <w:rPr>
          <w:rFonts w:hint="eastAsia" w:ascii="宋体" w:hAnsi="宋体" w:cs="宋体"/>
          <w:b w:val="0"/>
          <w:bCs w:val="0"/>
          <w:color w:val="auto"/>
          <w:szCs w:val="21"/>
          <w:highlight w:val="none"/>
          <w:u w:val="single"/>
        </w:rPr>
        <w:t>办理，并支付</w:t>
      </w:r>
      <w:r>
        <w:rPr>
          <w:rFonts w:hint="eastAsia" w:ascii="宋体" w:hAnsi="宋体" w:cs="宋体"/>
          <w:b w:val="0"/>
          <w:bCs w:val="0"/>
          <w:color w:val="auto"/>
          <w:szCs w:val="21"/>
          <w:highlight w:val="none"/>
          <w:u w:val="single"/>
          <w:lang w:val="en-US" w:eastAsia="zh-CN"/>
        </w:rPr>
        <w:t>10</w:t>
      </w:r>
      <w:r>
        <w:rPr>
          <w:rFonts w:hint="eastAsia" w:ascii="宋体" w:hAnsi="宋体" w:cs="宋体"/>
          <w:b w:val="0"/>
          <w:bCs w:val="0"/>
          <w:color w:val="auto"/>
          <w:szCs w:val="21"/>
          <w:highlight w:val="none"/>
          <w:u w:val="single"/>
        </w:rPr>
        <w:t>万元的违约金，更换后的人员不得低于承包人投标时所报人员资质和技术水平</w:t>
      </w:r>
      <w:r>
        <w:rPr>
          <w:rFonts w:hint="eastAsia" w:ascii="宋体" w:cs="宋体"/>
          <w:b w:val="0"/>
          <w:bCs w:val="0"/>
          <w:color w:val="auto"/>
          <w:szCs w:val="21"/>
          <w:highlight w:val="none"/>
          <w:u w:val="single"/>
        </w:rPr>
        <w:t>。</w:t>
      </w:r>
    </w:p>
    <w:p w14:paraId="3B022719">
      <w:pPr>
        <w:snapToGrid w:val="0"/>
        <w:spacing w:line="440" w:lineRule="exact"/>
        <w:ind w:firstLine="420" w:firstLineChars="200"/>
        <w:rPr>
          <w:rFonts w:hint="eastAsia" w:ascii="宋体" w:eastAsia="宋体" w:cs="宋体"/>
          <w:color w:val="auto"/>
          <w:szCs w:val="21"/>
          <w:highlight w:val="none"/>
          <w:u w:val="single"/>
          <w:lang w:eastAsia="zh-CN"/>
        </w:rPr>
      </w:pPr>
      <w:r>
        <w:rPr>
          <w:rFonts w:hint="eastAsia" w:ascii="宋体" w:cs="宋体"/>
          <w:color w:val="auto"/>
          <w:szCs w:val="21"/>
          <w:highlight w:val="none"/>
        </w:rPr>
        <w:t>3.2.4 承包人无正当理由拒绝更换项目经理的违约责任：</w:t>
      </w:r>
      <w:r>
        <w:rPr>
          <w:rFonts w:hint="eastAsia" w:ascii="宋体" w:hAnsi="宋体" w:eastAsia="宋体" w:cs="宋体"/>
          <w:color w:val="auto"/>
          <w:szCs w:val="21"/>
          <w:highlight w:val="none"/>
          <w:u w:val="single"/>
        </w:rPr>
        <w:t>发包人将组织对项目经理进行业务能力考核，对未按投标文件配备或经考核不合格要求更换人员的，承包人7日内必须整改调整到位。否则，对于项目经理和技术负责人，按照</w:t>
      </w:r>
      <w:r>
        <w:rPr>
          <w:rFonts w:hint="eastAsia" w:ascii="宋体" w:hAnsi="宋体" w:cs="宋体"/>
          <w:color w:val="auto"/>
          <w:szCs w:val="21"/>
          <w:highlight w:val="none"/>
          <w:u w:val="single"/>
          <w:lang w:val="en-US" w:eastAsia="zh-CN"/>
        </w:rPr>
        <w:t>2</w:t>
      </w:r>
      <w:r>
        <w:rPr>
          <w:rFonts w:hint="eastAsia" w:ascii="宋体" w:hAnsi="宋体" w:eastAsia="宋体" w:cs="宋体"/>
          <w:color w:val="auto"/>
          <w:szCs w:val="21"/>
          <w:highlight w:val="none"/>
          <w:u w:val="single"/>
        </w:rPr>
        <w:t>000元/人·天</w:t>
      </w:r>
      <w:r>
        <w:rPr>
          <w:rFonts w:hint="eastAsia" w:ascii="宋体" w:hAnsi="宋体" w:eastAsia="宋体" w:cs="宋体"/>
          <w:color w:val="auto"/>
          <w:szCs w:val="21"/>
          <w:highlight w:val="none"/>
          <w:u w:val="single"/>
          <w:lang w:val="en-US" w:eastAsia="zh-CN"/>
        </w:rPr>
        <w:t>处以</w:t>
      </w:r>
      <w:r>
        <w:rPr>
          <w:rFonts w:hint="eastAsia" w:ascii="宋体" w:hAnsi="宋体" w:eastAsia="宋体" w:cs="宋体"/>
          <w:color w:val="auto"/>
          <w:szCs w:val="21"/>
          <w:highlight w:val="none"/>
          <w:u w:val="single"/>
        </w:rPr>
        <w:t>违约金，28日内未整改调整到位的，发包人有权终止合同，并提请相关行政主管部门对企业和人员进行“黑名单”处罚</w:t>
      </w:r>
      <w:r>
        <w:rPr>
          <w:rFonts w:hint="eastAsia" w:ascii="宋体" w:hAnsi="宋体" w:eastAsia="宋体" w:cs="宋体"/>
          <w:color w:val="auto"/>
          <w:highlight w:val="none"/>
          <w:u w:val="single"/>
          <w:lang w:eastAsia="zh-CN"/>
        </w:rPr>
        <w:t>。</w:t>
      </w:r>
    </w:p>
    <w:p w14:paraId="6E545C3E">
      <w:pPr>
        <w:keepNext w:val="0"/>
        <w:keepLines w:val="0"/>
        <w:pageBreakBefore w:val="0"/>
        <w:widowControl w:val="0"/>
        <w:kinsoku/>
        <w:wordWrap/>
        <w:overflowPunct/>
        <w:topLinePunct w:val="0"/>
        <w:autoSpaceDE/>
        <w:autoSpaceDN/>
        <w:bidi w:val="0"/>
        <w:snapToGrid w:val="0"/>
        <w:spacing w:line="440" w:lineRule="exact"/>
        <w:ind w:firstLine="420" w:firstLineChars="200"/>
        <w:textAlignment w:val="auto"/>
        <w:rPr>
          <w:rFonts w:hint="eastAsia" w:ascii="宋体" w:cs="宋体"/>
          <w:color w:val="auto"/>
          <w:szCs w:val="21"/>
          <w:highlight w:val="none"/>
        </w:rPr>
      </w:pPr>
      <w:r>
        <w:rPr>
          <w:rFonts w:hint="eastAsia" w:ascii="宋体" w:cs="宋体"/>
          <w:color w:val="auto"/>
          <w:szCs w:val="21"/>
          <w:highlight w:val="none"/>
        </w:rPr>
        <w:t>3.3 承包人人员</w:t>
      </w:r>
    </w:p>
    <w:p w14:paraId="255F90F6">
      <w:pPr>
        <w:keepNext w:val="0"/>
        <w:keepLines w:val="0"/>
        <w:pageBreakBefore w:val="0"/>
        <w:widowControl w:val="0"/>
        <w:kinsoku/>
        <w:wordWrap/>
        <w:overflowPunct/>
        <w:topLinePunct w:val="0"/>
        <w:autoSpaceDE/>
        <w:autoSpaceDN/>
        <w:bidi w:val="0"/>
        <w:snapToGrid w:val="0"/>
        <w:spacing w:line="440" w:lineRule="exact"/>
        <w:ind w:firstLine="420" w:firstLineChars="200"/>
        <w:textAlignment w:val="auto"/>
        <w:rPr>
          <w:rFonts w:hint="eastAsia" w:ascii="宋体" w:cs="宋体"/>
          <w:color w:val="auto"/>
          <w:szCs w:val="21"/>
          <w:highlight w:val="none"/>
        </w:rPr>
      </w:pPr>
      <w:r>
        <w:rPr>
          <w:rFonts w:hint="eastAsia" w:ascii="宋体" w:cs="宋体"/>
          <w:color w:val="auto"/>
          <w:szCs w:val="21"/>
          <w:highlight w:val="none"/>
        </w:rPr>
        <w:t>3.3.1 承包人提交项目管理机构及施工现场管理人员安排报告的期限：</w:t>
      </w:r>
      <w:r>
        <w:rPr>
          <w:rFonts w:hint="eastAsia" w:ascii="宋体" w:cs="宋体"/>
          <w:color w:val="auto"/>
          <w:szCs w:val="21"/>
          <w:highlight w:val="none"/>
          <w:u w:val="single"/>
        </w:rPr>
        <w:t>承包人应在</w:t>
      </w:r>
      <w:r>
        <w:rPr>
          <w:rFonts w:hint="eastAsia"/>
          <w:color w:val="auto"/>
          <w:highlight w:val="none"/>
          <w:u w:val="single"/>
        </w:rPr>
        <w:t>合同签订</w:t>
      </w:r>
      <w:r>
        <w:rPr>
          <w:rFonts w:hint="eastAsia" w:ascii="宋体" w:cs="宋体"/>
          <w:color w:val="auto"/>
          <w:szCs w:val="21"/>
          <w:highlight w:val="none"/>
          <w:u w:val="single"/>
        </w:rPr>
        <w:t>后7日内，向监理人提交承包人项目管理机构及施工现场人员安排的报告，其内容应包括合同管理、施工、技术、材料、质量、安全、财务等主要施工管理人员名单及其岗位、注册执业资格等，以及各工种技术工人的安排情况，并同时提交主要施工管理人员与承包人之间的劳动关系证明和缴纳社会保险的有效证明。</w:t>
      </w:r>
    </w:p>
    <w:p w14:paraId="0ABFF03D">
      <w:pPr>
        <w:keepNext w:val="0"/>
        <w:keepLines w:val="0"/>
        <w:pageBreakBefore w:val="0"/>
        <w:widowControl w:val="0"/>
        <w:kinsoku/>
        <w:wordWrap/>
        <w:overflowPunct/>
        <w:topLinePunct w:val="0"/>
        <w:autoSpaceDE/>
        <w:autoSpaceDN/>
        <w:bidi w:val="0"/>
        <w:snapToGrid w:val="0"/>
        <w:spacing w:line="440" w:lineRule="exact"/>
        <w:ind w:firstLine="420" w:firstLineChars="200"/>
        <w:textAlignment w:val="auto"/>
        <w:rPr>
          <w:rFonts w:hint="eastAsia" w:ascii="宋体" w:cs="宋体"/>
          <w:color w:val="auto"/>
          <w:szCs w:val="21"/>
          <w:highlight w:val="none"/>
          <w:u w:val="single"/>
        </w:rPr>
      </w:pPr>
      <w:r>
        <w:rPr>
          <w:rFonts w:hint="eastAsia" w:ascii="宋体" w:cs="宋体"/>
          <w:color w:val="auto"/>
          <w:szCs w:val="21"/>
          <w:highlight w:val="none"/>
        </w:rPr>
        <w:t>3.3.3 承包人无正当理由拒绝撤换主要施工管理人员的违约责任：</w:t>
      </w:r>
      <w:r>
        <w:rPr>
          <w:rFonts w:hint="eastAsia" w:ascii="宋体" w:cs="宋体"/>
          <w:color w:val="auto"/>
          <w:szCs w:val="21"/>
          <w:highlight w:val="none"/>
          <w:u w:val="single"/>
        </w:rPr>
        <w:t xml:space="preserve"> </w:t>
      </w:r>
      <w:r>
        <w:rPr>
          <w:rFonts w:hint="eastAsia" w:ascii="宋体" w:hAnsi="宋体" w:eastAsia="宋体" w:cs="宋体"/>
          <w:color w:val="auto"/>
          <w:szCs w:val="21"/>
          <w:highlight w:val="none"/>
          <w:u w:val="single"/>
        </w:rPr>
        <w:t>发包人将组织对人员进行业务能力考核，对未按投标文件配备或经考核不合格要求更换人员的，承包人7日内必须整改调整到位。否则，对于施工现场其他管理人员按照1000元/人·天</w:t>
      </w:r>
      <w:r>
        <w:rPr>
          <w:rFonts w:hint="eastAsia" w:ascii="宋体" w:hAnsi="宋体" w:eastAsia="宋体" w:cs="宋体"/>
          <w:color w:val="auto"/>
          <w:szCs w:val="21"/>
          <w:highlight w:val="none"/>
          <w:u w:val="single"/>
          <w:lang w:val="en-US" w:eastAsia="zh-CN"/>
        </w:rPr>
        <w:t>处以</w:t>
      </w:r>
      <w:r>
        <w:rPr>
          <w:rFonts w:hint="eastAsia" w:ascii="宋体" w:hAnsi="宋体" w:eastAsia="宋体" w:cs="宋体"/>
          <w:color w:val="auto"/>
          <w:szCs w:val="21"/>
          <w:highlight w:val="none"/>
          <w:u w:val="single"/>
        </w:rPr>
        <w:t>违约金。28日内未整改调整到位的，发包人有权终止合同，并提请相关行政主管部门对企业和人员进行“黑名单”处罚</w:t>
      </w:r>
      <w:r>
        <w:rPr>
          <w:rFonts w:hint="eastAsia" w:ascii="宋体" w:cs="宋体"/>
          <w:color w:val="auto"/>
          <w:szCs w:val="21"/>
          <w:highlight w:val="none"/>
          <w:u w:val="single"/>
        </w:rPr>
        <w:t>。</w:t>
      </w:r>
    </w:p>
    <w:p w14:paraId="0D17F701">
      <w:pPr>
        <w:keepNext w:val="0"/>
        <w:keepLines w:val="0"/>
        <w:pageBreakBefore w:val="0"/>
        <w:widowControl w:val="0"/>
        <w:kinsoku/>
        <w:wordWrap/>
        <w:overflowPunct/>
        <w:topLinePunct w:val="0"/>
        <w:autoSpaceDE/>
        <w:autoSpaceDN/>
        <w:bidi w:val="0"/>
        <w:snapToGrid w:val="0"/>
        <w:spacing w:line="440" w:lineRule="exact"/>
        <w:ind w:firstLine="420" w:firstLineChars="200"/>
        <w:textAlignment w:val="auto"/>
        <w:rPr>
          <w:rFonts w:hint="eastAsia" w:ascii="宋体" w:hAnsi="宋体" w:eastAsia="宋体" w:cs="宋体"/>
          <w:color w:val="auto"/>
          <w:szCs w:val="21"/>
          <w:highlight w:val="none"/>
          <w:u w:val="single"/>
        </w:rPr>
      </w:pPr>
      <w:r>
        <w:rPr>
          <w:rFonts w:hint="eastAsia" w:ascii="宋体" w:cs="宋体"/>
          <w:color w:val="auto"/>
          <w:szCs w:val="21"/>
          <w:highlight w:val="none"/>
        </w:rPr>
        <w:t>3.3.4 承包人主要施工管理人员离开施工现场的批准要求：</w:t>
      </w:r>
      <w:r>
        <w:rPr>
          <w:rFonts w:hint="eastAsia" w:ascii="宋体" w:hAnsi="宋体" w:eastAsia="宋体" w:cs="宋体"/>
          <w:color w:val="auto"/>
          <w:szCs w:val="21"/>
          <w:highlight w:val="none"/>
          <w:u w:val="single"/>
        </w:rPr>
        <w:t>发包人、监理人将对项目经理、</w:t>
      </w:r>
      <w:r>
        <w:rPr>
          <w:rFonts w:hint="default" w:ascii="宋体" w:hAnsi="宋体" w:eastAsia="宋体" w:cs="宋体"/>
          <w:color w:val="auto"/>
          <w:szCs w:val="21"/>
          <w:highlight w:val="none"/>
          <w:u w:val="single"/>
          <w:lang w:val="en-US" w:eastAsia="zh-CN"/>
        </w:rPr>
        <w:t>其他管理和技术人员</w:t>
      </w:r>
      <w:r>
        <w:rPr>
          <w:rFonts w:hint="eastAsia" w:ascii="宋体" w:hAnsi="宋体" w:eastAsia="宋体" w:cs="宋体"/>
          <w:color w:val="auto"/>
          <w:szCs w:val="21"/>
          <w:highlight w:val="none"/>
          <w:u w:val="single"/>
        </w:rPr>
        <w:t>实行考勤制度，必须保证上述人员每月至少有22天在本项目工地现场，短期离开施工场地，应事先征得监理人、发包人书面同意，并委派代表代行其职责。在工程实施期间，项目经理、总工未经批准离开工地的或月考勤不足22天的，按</w:t>
      </w:r>
      <w:r>
        <w:rPr>
          <w:rFonts w:hint="eastAsia" w:ascii="宋体" w:hAnsi="宋体" w:cs="宋体"/>
          <w:color w:val="auto"/>
          <w:szCs w:val="21"/>
          <w:highlight w:val="none"/>
          <w:u w:val="single"/>
          <w:lang w:val="en-US" w:eastAsia="zh-CN"/>
        </w:rPr>
        <w:t>2</w:t>
      </w:r>
      <w:r>
        <w:rPr>
          <w:rFonts w:hint="eastAsia" w:ascii="宋体" w:hAnsi="宋体" w:eastAsia="宋体" w:cs="宋体"/>
          <w:color w:val="auto"/>
          <w:szCs w:val="21"/>
          <w:highlight w:val="none"/>
          <w:u w:val="single"/>
        </w:rPr>
        <w:t>000元/人•天</w:t>
      </w:r>
      <w:r>
        <w:rPr>
          <w:rFonts w:hint="eastAsia" w:ascii="宋体" w:hAnsi="宋体" w:eastAsia="宋体" w:cs="宋体"/>
          <w:color w:val="auto"/>
          <w:szCs w:val="21"/>
          <w:highlight w:val="none"/>
          <w:u w:val="single"/>
          <w:lang w:val="en-US" w:eastAsia="zh-CN"/>
        </w:rPr>
        <w:t>处以</w:t>
      </w:r>
      <w:r>
        <w:rPr>
          <w:rFonts w:hint="eastAsia" w:ascii="宋体" w:hAnsi="宋体" w:eastAsia="宋体" w:cs="宋体"/>
          <w:color w:val="auto"/>
          <w:szCs w:val="21"/>
          <w:highlight w:val="none"/>
          <w:u w:val="single"/>
        </w:rPr>
        <w:t>违约金，同时将作为承包人信誉评价的不良行为，上报</w:t>
      </w:r>
      <w:r>
        <w:rPr>
          <w:rFonts w:hint="eastAsia" w:ascii="宋体" w:hAnsi="宋体" w:eastAsia="宋体" w:cs="宋体"/>
          <w:color w:val="auto"/>
          <w:szCs w:val="21"/>
          <w:highlight w:val="none"/>
          <w:u w:val="single"/>
          <w:lang w:val="en-US" w:eastAsia="zh-CN"/>
        </w:rPr>
        <w:t>行政</w:t>
      </w:r>
      <w:r>
        <w:rPr>
          <w:rFonts w:hint="eastAsia" w:ascii="宋体" w:hAnsi="宋体" w:eastAsia="宋体" w:cs="宋体"/>
          <w:color w:val="auto"/>
          <w:szCs w:val="21"/>
          <w:highlight w:val="none"/>
          <w:u w:val="single"/>
        </w:rPr>
        <w:t>主管部门。</w:t>
      </w:r>
    </w:p>
    <w:p w14:paraId="4EEE0B3C">
      <w:pPr>
        <w:keepNext w:val="0"/>
        <w:keepLines w:val="0"/>
        <w:pageBreakBefore w:val="0"/>
        <w:widowControl w:val="0"/>
        <w:kinsoku/>
        <w:wordWrap/>
        <w:overflowPunct/>
        <w:topLinePunct w:val="0"/>
        <w:autoSpaceDE/>
        <w:autoSpaceDN/>
        <w:bidi w:val="0"/>
        <w:snapToGrid w:val="0"/>
        <w:spacing w:line="440" w:lineRule="exact"/>
        <w:ind w:firstLine="420" w:firstLineChars="200"/>
        <w:textAlignment w:val="auto"/>
        <w:rPr>
          <w:rFonts w:hint="eastAsia" w:ascii="宋体" w:cs="宋体"/>
          <w:color w:val="auto"/>
          <w:szCs w:val="21"/>
          <w:highlight w:val="none"/>
          <w:u w:val="single"/>
        </w:rPr>
      </w:pPr>
      <w:r>
        <w:rPr>
          <w:rFonts w:hint="eastAsia" w:ascii="宋体" w:cs="宋体"/>
          <w:color w:val="auto"/>
          <w:szCs w:val="21"/>
          <w:highlight w:val="none"/>
        </w:rPr>
        <w:t>3.3.5承包人擅自更换主要施工管理人员的违约责任：</w:t>
      </w:r>
      <w:r>
        <w:rPr>
          <w:rFonts w:hint="eastAsia" w:ascii="宋体" w:cs="宋体"/>
          <w:color w:val="auto"/>
          <w:szCs w:val="21"/>
          <w:highlight w:val="none"/>
          <w:u w:val="single"/>
        </w:rPr>
        <w:t>按照未按规定在岗履责进行处罚。</w:t>
      </w:r>
    </w:p>
    <w:p w14:paraId="3A806ABE">
      <w:pPr>
        <w:keepNext w:val="0"/>
        <w:keepLines w:val="0"/>
        <w:pageBreakBefore w:val="0"/>
        <w:widowControl w:val="0"/>
        <w:kinsoku/>
        <w:wordWrap/>
        <w:overflowPunct/>
        <w:topLinePunct w:val="0"/>
        <w:autoSpaceDE/>
        <w:autoSpaceDN/>
        <w:bidi w:val="0"/>
        <w:adjustRightInd w:val="0"/>
        <w:snapToGrid w:val="0"/>
        <w:spacing w:line="440" w:lineRule="exact"/>
        <w:ind w:firstLine="420" w:firstLineChars="200"/>
        <w:textAlignment w:val="auto"/>
        <w:rPr>
          <w:rFonts w:hint="eastAsia" w:ascii="宋体" w:hAnsi="宋体" w:cs="宋体"/>
          <w:color w:val="auto"/>
          <w:highlight w:val="none"/>
        </w:rPr>
      </w:pPr>
      <w:r>
        <w:rPr>
          <w:rFonts w:hint="eastAsia" w:ascii="宋体" w:hAnsi="宋体" w:cs="宋体"/>
          <w:color w:val="auto"/>
          <w:highlight w:val="none"/>
        </w:rPr>
        <w:t>承包人主要施工管理人员擅自离开施工现场的违约责任：</w:t>
      </w:r>
      <w:r>
        <w:rPr>
          <w:rFonts w:hint="eastAsia" w:ascii="宋体" w:hAnsi="宋体" w:cs="宋体"/>
          <w:color w:val="auto"/>
          <w:highlight w:val="none"/>
          <w:u w:val="single"/>
        </w:rPr>
        <w:t xml:space="preserve"> </w:t>
      </w:r>
      <w:r>
        <w:rPr>
          <w:rFonts w:hint="eastAsia" w:ascii="宋体" w:hAnsi="宋体" w:cs="宋体"/>
          <w:color w:val="auto"/>
          <w:szCs w:val="21"/>
          <w:highlight w:val="none"/>
          <w:u w:val="single"/>
          <w:lang w:val="en-US" w:eastAsia="zh-CN"/>
        </w:rPr>
        <w:t>按照</w:t>
      </w:r>
      <w:r>
        <w:rPr>
          <w:rFonts w:hint="eastAsia" w:ascii="宋体" w:hAnsi="宋体" w:eastAsia="宋体" w:cs="宋体"/>
          <w:color w:val="auto"/>
          <w:szCs w:val="21"/>
          <w:highlight w:val="none"/>
          <w:u w:val="single"/>
        </w:rPr>
        <w:t>未按规定在岗履责进行处罚</w:t>
      </w:r>
      <w:r>
        <w:rPr>
          <w:rFonts w:hint="eastAsia" w:ascii="宋体" w:hAnsi="宋体" w:cs="宋体"/>
          <w:color w:val="auto"/>
          <w:highlight w:val="none"/>
          <w:u w:val="single"/>
        </w:rPr>
        <w:t xml:space="preserve"> </w:t>
      </w:r>
      <w:r>
        <w:rPr>
          <w:rFonts w:hint="eastAsia" w:ascii="宋体" w:hAnsi="宋体" w:cs="宋体"/>
          <w:color w:val="auto"/>
          <w:highlight w:val="none"/>
        </w:rPr>
        <w:t>。</w:t>
      </w:r>
    </w:p>
    <w:p w14:paraId="36036898">
      <w:pPr>
        <w:snapToGrid w:val="0"/>
        <w:spacing w:line="440" w:lineRule="exact"/>
        <w:ind w:firstLine="420" w:firstLineChars="200"/>
        <w:rPr>
          <w:rFonts w:hint="eastAsia" w:ascii="宋体" w:cs="宋体"/>
          <w:color w:val="auto"/>
          <w:szCs w:val="21"/>
          <w:highlight w:val="none"/>
        </w:rPr>
      </w:pPr>
      <w:r>
        <w:rPr>
          <w:rFonts w:hint="eastAsia" w:ascii="宋体" w:cs="宋体"/>
          <w:color w:val="auto"/>
          <w:szCs w:val="21"/>
          <w:highlight w:val="none"/>
        </w:rPr>
        <w:t>3.5 分包</w:t>
      </w:r>
    </w:p>
    <w:p w14:paraId="75D5498A">
      <w:pPr>
        <w:snapToGrid w:val="0"/>
        <w:spacing w:line="440" w:lineRule="exact"/>
        <w:ind w:firstLine="420" w:firstLineChars="200"/>
        <w:rPr>
          <w:rFonts w:hint="eastAsia" w:ascii="宋体" w:cs="宋体"/>
          <w:color w:val="auto"/>
          <w:szCs w:val="21"/>
          <w:highlight w:val="none"/>
        </w:rPr>
      </w:pPr>
      <w:r>
        <w:rPr>
          <w:rFonts w:hint="eastAsia" w:ascii="宋体" w:cs="宋体"/>
          <w:color w:val="auto"/>
          <w:szCs w:val="21"/>
          <w:highlight w:val="none"/>
        </w:rPr>
        <w:t>3.5.1 分包的一般约定</w:t>
      </w:r>
    </w:p>
    <w:p w14:paraId="179597DD">
      <w:pPr>
        <w:snapToGrid w:val="0"/>
        <w:spacing w:line="440" w:lineRule="exact"/>
        <w:ind w:firstLine="420" w:firstLineChars="200"/>
        <w:jc w:val="left"/>
        <w:rPr>
          <w:rFonts w:hint="eastAsia" w:ascii="宋体" w:cs="宋体"/>
          <w:color w:val="auto"/>
          <w:szCs w:val="21"/>
          <w:highlight w:val="none"/>
          <w:u w:val="single"/>
        </w:rPr>
      </w:pPr>
      <w:r>
        <w:rPr>
          <w:rFonts w:hint="eastAsia" w:ascii="宋体" w:cs="宋体"/>
          <w:color w:val="auto"/>
          <w:szCs w:val="21"/>
          <w:highlight w:val="none"/>
        </w:rPr>
        <w:t>禁止分包的工程包括：</w:t>
      </w:r>
      <w:r>
        <w:rPr>
          <w:rFonts w:hint="eastAsia" w:ascii="宋体" w:cs="宋体"/>
          <w:color w:val="auto"/>
          <w:szCs w:val="21"/>
          <w:highlight w:val="none"/>
          <w:u w:val="single"/>
        </w:rPr>
        <w:t>承包人不得将其承包的全部工程转包给第三人，或将其承包的全部工程肢解后以分包的名义转包给第三人。承包人不得将工程主体结构、关键性工作及合同条款中禁止分包的专业工程分包给第三人，主体结构、关键性工作的范围由合同当事人按照法律规定在专用合同条款中予以明确。</w:t>
      </w:r>
    </w:p>
    <w:p w14:paraId="1BD0FF18">
      <w:pPr>
        <w:snapToGrid w:val="0"/>
        <w:spacing w:line="440" w:lineRule="exact"/>
        <w:ind w:firstLine="420" w:firstLineChars="200"/>
        <w:jc w:val="left"/>
        <w:rPr>
          <w:rFonts w:hint="eastAsia" w:ascii="宋体" w:cs="宋体"/>
          <w:color w:val="auto"/>
          <w:szCs w:val="21"/>
          <w:highlight w:val="none"/>
          <w:u w:val="single"/>
        </w:rPr>
      </w:pPr>
      <w:r>
        <w:rPr>
          <w:rFonts w:hint="eastAsia" w:ascii="宋体" w:cs="宋体"/>
          <w:color w:val="auto"/>
          <w:szCs w:val="21"/>
          <w:highlight w:val="none"/>
        </w:rPr>
        <w:t>主体结构、关键性工作的范围：</w:t>
      </w:r>
      <w:r>
        <w:rPr>
          <w:rFonts w:hint="eastAsia" w:ascii="宋体" w:cs="宋体"/>
          <w:color w:val="auto"/>
          <w:szCs w:val="21"/>
          <w:highlight w:val="none"/>
          <w:u w:val="single"/>
          <w:lang w:val="en-US" w:eastAsia="zh-CN"/>
        </w:rPr>
        <w:t>/</w:t>
      </w:r>
      <w:r>
        <w:rPr>
          <w:rFonts w:hint="eastAsia" w:ascii="宋体" w:cs="宋体"/>
          <w:color w:val="auto"/>
          <w:szCs w:val="21"/>
          <w:highlight w:val="none"/>
        </w:rPr>
        <w:t>。</w:t>
      </w:r>
    </w:p>
    <w:p w14:paraId="604036AC">
      <w:pPr>
        <w:snapToGrid w:val="0"/>
        <w:spacing w:line="440" w:lineRule="exact"/>
        <w:ind w:firstLine="420" w:firstLineChars="200"/>
        <w:rPr>
          <w:rFonts w:hint="eastAsia" w:ascii="宋体" w:cs="宋体"/>
          <w:color w:val="auto"/>
          <w:szCs w:val="21"/>
          <w:highlight w:val="none"/>
        </w:rPr>
      </w:pPr>
      <w:r>
        <w:rPr>
          <w:rFonts w:hint="eastAsia" w:ascii="宋体" w:cs="宋体"/>
          <w:color w:val="auto"/>
          <w:szCs w:val="21"/>
          <w:highlight w:val="none"/>
        </w:rPr>
        <w:t>3.5.2分包的确定</w:t>
      </w:r>
    </w:p>
    <w:p w14:paraId="61D1440D">
      <w:pPr>
        <w:snapToGrid w:val="0"/>
        <w:spacing w:line="440" w:lineRule="exact"/>
        <w:ind w:firstLine="420" w:firstLineChars="200"/>
        <w:rPr>
          <w:rFonts w:hint="eastAsia" w:ascii="宋体" w:cs="宋体"/>
          <w:color w:val="auto"/>
          <w:szCs w:val="21"/>
          <w:highlight w:val="none"/>
          <w:u w:val="single"/>
        </w:rPr>
      </w:pPr>
      <w:r>
        <w:rPr>
          <w:rFonts w:hint="eastAsia" w:ascii="宋体" w:cs="宋体"/>
          <w:color w:val="auto"/>
          <w:szCs w:val="21"/>
          <w:highlight w:val="none"/>
        </w:rPr>
        <w:t>允许分包的专业工程包括：</w:t>
      </w:r>
      <w:r>
        <w:rPr>
          <w:rFonts w:hint="eastAsia" w:ascii="宋体" w:cs="宋体"/>
          <w:color w:val="auto"/>
          <w:szCs w:val="21"/>
          <w:highlight w:val="none"/>
          <w:u w:val="single"/>
        </w:rPr>
        <w:t>主体结构、关键性工作的范围以外的专业工程。 承包人应按合同条款的约定进行分包，确定分包人。已标价工程量清单或预算书中给定暂估价的专业工程，按照第10.7款〔暂估价〕确定分包人。按照合同约定进行分包的，承包人应确保分包人具有相应的资质和能力。工程分包不减轻或免除承包人的责任和义务，承包人和分包人就分包工程向发包人承担连带责任。除合同另有约定外，承包人应在分包合同签订后7天内向发包人和监理人提交分包合同副本。</w:t>
      </w:r>
    </w:p>
    <w:p w14:paraId="0F098825">
      <w:pPr>
        <w:snapToGrid w:val="0"/>
        <w:spacing w:line="440" w:lineRule="exact"/>
        <w:ind w:firstLine="420" w:firstLineChars="200"/>
        <w:rPr>
          <w:rFonts w:hint="eastAsia" w:ascii="宋体" w:cs="宋体"/>
          <w:color w:val="auto"/>
          <w:szCs w:val="21"/>
          <w:highlight w:val="none"/>
          <w:u w:val="single"/>
        </w:rPr>
      </w:pPr>
      <w:r>
        <w:rPr>
          <w:rFonts w:hint="eastAsia" w:ascii="宋体" w:cs="宋体"/>
          <w:color w:val="auto"/>
          <w:szCs w:val="21"/>
          <w:highlight w:val="none"/>
        </w:rPr>
        <w:t>其他关于分包的约定：</w:t>
      </w:r>
      <w:r>
        <w:rPr>
          <w:rFonts w:hint="eastAsia" w:ascii="宋体" w:cs="宋体"/>
          <w:color w:val="auto"/>
          <w:szCs w:val="21"/>
          <w:highlight w:val="none"/>
          <w:u w:val="single"/>
        </w:rPr>
        <w:t xml:space="preserve"> 承包人不得以劳务分包的名义转包或违法分包工程。</w:t>
      </w:r>
      <w:r>
        <w:rPr>
          <w:rFonts w:hint="eastAsia" w:ascii="宋体" w:hAnsi="宋体" w:cs="宋体"/>
          <w:b/>
          <w:bCs/>
          <w:color w:val="auto"/>
          <w:szCs w:val="21"/>
          <w:highlight w:val="none"/>
          <w:u w:val="single"/>
        </w:rPr>
        <w:t>发包人在施工进场第一个月或施工过程中发现承包人转包、挂靠等行为的，发包人立即解除合同，清退出场，承包人已完合格工程量按合同价款60%进行结算。</w:t>
      </w:r>
    </w:p>
    <w:p w14:paraId="6D539E9D">
      <w:pPr>
        <w:snapToGrid w:val="0"/>
        <w:spacing w:line="440" w:lineRule="exact"/>
        <w:ind w:firstLine="420" w:firstLineChars="200"/>
        <w:rPr>
          <w:rFonts w:hint="eastAsia" w:ascii="宋体" w:cs="宋体"/>
          <w:color w:val="auto"/>
          <w:szCs w:val="21"/>
          <w:highlight w:val="none"/>
        </w:rPr>
      </w:pPr>
      <w:r>
        <w:rPr>
          <w:rFonts w:hint="eastAsia" w:ascii="宋体" w:cs="宋体"/>
          <w:color w:val="auto"/>
          <w:szCs w:val="21"/>
          <w:highlight w:val="none"/>
        </w:rPr>
        <w:t>3.5.4 分包合同价款</w:t>
      </w:r>
    </w:p>
    <w:p w14:paraId="2AB133F9">
      <w:pPr>
        <w:snapToGrid w:val="0"/>
        <w:spacing w:line="440" w:lineRule="exact"/>
        <w:ind w:firstLine="420" w:firstLineChars="200"/>
        <w:rPr>
          <w:rFonts w:hint="eastAsia" w:ascii="宋体" w:cs="宋体"/>
          <w:color w:val="auto"/>
          <w:szCs w:val="21"/>
          <w:highlight w:val="none"/>
          <w:u w:val="single"/>
        </w:rPr>
      </w:pPr>
      <w:r>
        <w:rPr>
          <w:rFonts w:hint="eastAsia" w:ascii="宋体" w:cs="宋体"/>
          <w:color w:val="auto"/>
          <w:szCs w:val="21"/>
          <w:highlight w:val="none"/>
        </w:rPr>
        <w:t>关于分包合同价款支付的约定：</w:t>
      </w:r>
      <w:r>
        <w:rPr>
          <w:rFonts w:hint="eastAsia" w:ascii="宋体" w:cs="宋体"/>
          <w:color w:val="auto"/>
          <w:szCs w:val="21"/>
          <w:highlight w:val="none"/>
          <w:u w:val="single"/>
        </w:rPr>
        <w:t>（1）除本项第（2）目约定的情况外，分包合同价款由承包人与分包人结算，未经承包人同意，发包人不得向分包人支付分包工程价款；（2）生效法律文书要求发包人向分包人支付分包合同价款的，发包人有权从应付承包人工程款中扣除该部分款项</w:t>
      </w:r>
      <w:r>
        <w:rPr>
          <w:rFonts w:hint="eastAsia" w:ascii="宋体" w:cs="宋体"/>
          <w:color w:val="auto"/>
          <w:szCs w:val="21"/>
          <w:highlight w:val="none"/>
        </w:rPr>
        <w:t>。</w:t>
      </w:r>
    </w:p>
    <w:p w14:paraId="3890FC7F">
      <w:pPr>
        <w:snapToGrid w:val="0"/>
        <w:spacing w:line="440" w:lineRule="exact"/>
        <w:ind w:firstLine="420" w:firstLineChars="200"/>
        <w:rPr>
          <w:rFonts w:hint="eastAsia" w:ascii="宋体" w:cs="宋体"/>
          <w:color w:val="auto"/>
          <w:szCs w:val="21"/>
          <w:highlight w:val="none"/>
        </w:rPr>
      </w:pPr>
      <w:r>
        <w:rPr>
          <w:rFonts w:hint="eastAsia" w:ascii="宋体" w:cs="宋体"/>
          <w:color w:val="auto"/>
          <w:szCs w:val="21"/>
          <w:highlight w:val="none"/>
        </w:rPr>
        <w:t>3.6 工程照管与成品、半成品保护</w:t>
      </w:r>
    </w:p>
    <w:p w14:paraId="2F3165FC">
      <w:pPr>
        <w:snapToGrid w:val="0"/>
        <w:spacing w:line="440" w:lineRule="exact"/>
        <w:ind w:firstLine="420" w:firstLineChars="200"/>
        <w:rPr>
          <w:rFonts w:hint="eastAsia" w:ascii="宋体" w:cs="宋体"/>
          <w:color w:val="auto"/>
          <w:kern w:val="0"/>
          <w:szCs w:val="21"/>
          <w:highlight w:val="none"/>
          <w:u w:val="single"/>
        </w:rPr>
      </w:pPr>
      <w:r>
        <w:rPr>
          <w:rFonts w:hint="eastAsia" w:ascii="宋体" w:cs="宋体"/>
          <w:color w:val="auto"/>
          <w:kern w:val="0"/>
          <w:szCs w:val="21"/>
          <w:highlight w:val="none"/>
        </w:rPr>
        <w:t>承包人负责照管工程及工程相关的材料、工程设备的起始时间：</w:t>
      </w:r>
      <w:r>
        <w:rPr>
          <w:rFonts w:hint="eastAsia" w:ascii="宋体" w:hAnsi="宋体" w:cs="宋体"/>
          <w:color w:val="auto"/>
          <w:szCs w:val="21"/>
          <w:highlight w:val="none"/>
          <w:u w:val="single"/>
        </w:rPr>
        <w:t>自发包人向承包人移交施工现场之日起，承包人应负责照管工程及工程相关的材料、工程设备，直到颁发工程</w:t>
      </w:r>
      <w:r>
        <w:rPr>
          <w:rFonts w:hint="eastAsia" w:ascii="宋体" w:hAnsi="宋体" w:cs="宋体"/>
          <w:color w:val="auto"/>
          <w:szCs w:val="21"/>
          <w:highlight w:val="none"/>
          <w:u w:val="single"/>
          <w:lang w:val="en-US" w:eastAsia="zh-CN"/>
        </w:rPr>
        <w:t>移交</w:t>
      </w:r>
      <w:r>
        <w:rPr>
          <w:rFonts w:hint="eastAsia" w:ascii="宋体" w:hAnsi="宋体" w:cs="宋体"/>
          <w:color w:val="auto"/>
          <w:szCs w:val="21"/>
          <w:highlight w:val="none"/>
          <w:u w:val="single"/>
        </w:rPr>
        <w:t>之日止</w:t>
      </w:r>
      <w:r>
        <w:rPr>
          <w:rFonts w:hint="eastAsia" w:ascii="宋体" w:cs="宋体"/>
          <w:color w:val="auto"/>
          <w:kern w:val="0"/>
          <w:szCs w:val="21"/>
          <w:highlight w:val="none"/>
          <w:u w:val="single"/>
        </w:rPr>
        <w:t>。</w:t>
      </w:r>
    </w:p>
    <w:p w14:paraId="7F366C5E">
      <w:pPr>
        <w:tabs>
          <w:tab w:val="left" w:pos="7740"/>
        </w:tabs>
        <w:snapToGrid w:val="0"/>
        <w:spacing w:line="440" w:lineRule="exact"/>
        <w:ind w:firstLine="420" w:firstLineChars="200"/>
        <w:rPr>
          <w:rFonts w:hint="eastAsia" w:ascii="宋体" w:cs="宋体"/>
          <w:color w:val="auto"/>
          <w:szCs w:val="21"/>
          <w:highlight w:val="none"/>
        </w:rPr>
      </w:pPr>
      <w:r>
        <w:rPr>
          <w:rFonts w:hint="eastAsia" w:ascii="宋体" w:cs="宋体"/>
          <w:color w:val="auto"/>
          <w:szCs w:val="21"/>
          <w:highlight w:val="none"/>
        </w:rPr>
        <w:t>3.7 履约担保</w:t>
      </w:r>
    </w:p>
    <w:p w14:paraId="214B02E2">
      <w:pPr>
        <w:tabs>
          <w:tab w:val="left" w:pos="7740"/>
        </w:tabs>
        <w:snapToGrid w:val="0"/>
        <w:spacing w:line="440" w:lineRule="exact"/>
        <w:ind w:firstLine="420" w:firstLineChars="200"/>
        <w:rPr>
          <w:rFonts w:hint="eastAsia" w:ascii="宋体" w:cs="宋体"/>
          <w:color w:val="auto"/>
          <w:szCs w:val="21"/>
          <w:highlight w:val="none"/>
        </w:rPr>
      </w:pPr>
      <w:r>
        <w:rPr>
          <w:rFonts w:hint="eastAsia" w:ascii="宋体" w:cs="宋体"/>
          <w:color w:val="auto"/>
          <w:szCs w:val="21"/>
          <w:highlight w:val="none"/>
        </w:rPr>
        <w:t>承包人是否提供履约担保：</w:t>
      </w:r>
      <w:r>
        <w:rPr>
          <w:rFonts w:hint="eastAsia" w:ascii="宋体" w:cs="宋体"/>
          <w:color w:val="auto"/>
          <w:szCs w:val="21"/>
          <w:highlight w:val="none"/>
          <w:u w:val="single"/>
        </w:rPr>
        <w:t xml:space="preserve"> </w:t>
      </w:r>
      <w:r>
        <w:rPr>
          <w:rFonts w:hint="eastAsia" w:ascii="宋体" w:hAnsi="宋体" w:cs="宋体"/>
          <w:color w:val="auto"/>
          <w:szCs w:val="21"/>
          <w:highlight w:val="none"/>
          <w:u w:val="single"/>
        </w:rPr>
        <w:t>提供</w:t>
      </w:r>
      <w:r>
        <w:rPr>
          <w:rFonts w:hint="eastAsia" w:ascii="宋体" w:cs="宋体"/>
          <w:color w:val="auto"/>
          <w:szCs w:val="21"/>
          <w:highlight w:val="none"/>
          <w:u w:val="single"/>
        </w:rPr>
        <w:t xml:space="preserve">  </w:t>
      </w:r>
      <w:r>
        <w:rPr>
          <w:rFonts w:hint="eastAsia" w:ascii="宋体" w:cs="宋体"/>
          <w:color w:val="auto"/>
          <w:szCs w:val="21"/>
          <w:highlight w:val="none"/>
        </w:rPr>
        <w:t>。</w:t>
      </w:r>
    </w:p>
    <w:p w14:paraId="683A46A0">
      <w:pPr>
        <w:tabs>
          <w:tab w:val="left" w:pos="7740"/>
        </w:tabs>
        <w:snapToGrid w:val="0"/>
        <w:spacing w:line="440" w:lineRule="exact"/>
        <w:ind w:firstLine="420" w:firstLineChars="200"/>
        <w:rPr>
          <w:rFonts w:hint="eastAsia" w:ascii="宋体" w:cs="宋体"/>
          <w:color w:val="auto"/>
          <w:szCs w:val="21"/>
          <w:highlight w:val="none"/>
        </w:rPr>
      </w:pPr>
      <w:r>
        <w:rPr>
          <w:rFonts w:hint="eastAsia" w:ascii="宋体" w:cs="宋体"/>
          <w:color w:val="auto"/>
          <w:szCs w:val="21"/>
          <w:highlight w:val="none"/>
        </w:rPr>
        <w:t>承包人提供履约担保的形式、金额及期限的：</w:t>
      </w:r>
      <w:r>
        <w:rPr>
          <w:rFonts w:hint="eastAsia" w:ascii="宋体" w:cs="宋体"/>
          <w:color w:val="auto"/>
          <w:szCs w:val="21"/>
          <w:highlight w:val="none"/>
          <w:lang w:val="en-US" w:eastAsia="zh-CN"/>
        </w:rPr>
        <w:t>具体要求详见投标人须知前附表</w:t>
      </w:r>
      <w:r>
        <w:rPr>
          <w:rFonts w:hint="eastAsia" w:ascii="宋体" w:cs="宋体"/>
          <w:color w:val="auto"/>
          <w:szCs w:val="21"/>
          <w:highlight w:val="none"/>
        </w:rPr>
        <w:t>。</w:t>
      </w:r>
    </w:p>
    <w:p w14:paraId="38296A20">
      <w:pPr>
        <w:tabs>
          <w:tab w:val="left" w:pos="7740"/>
        </w:tabs>
        <w:snapToGrid w:val="0"/>
        <w:spacing w:line="440" w:lineRule="exact"/>
        <w:ind w:firstLine="420" w:firstLineChars="200"/>
        <w:rPr>
          <w:rFonts w:hint="eastAsia" w:ascii="宋体" w:cs="宋体"/>
          <w:color w:val="auto"/>
          <w:szCs w:val="21"/>
          <w:highlight w:val="none"/>
        </w:rPr>
      </w:pPr>
      <w:r>
        <w:rPr>
          <w:rFonts w:hint="eastAsia" w:ascii="宋体" w:cs="宋体"/>
          <w:color w:val="auto"/>
          <w:szCs w:val="21"/>
          <w:highlight w:val="none"/>
        </w:rPr>
        <w:t>4. 监理人</w:t>
      </w:r>
    </w:p>
    <w:p w14:paraId="007344C9">
      <w:pPr>
        <w:snapToGrid w:val="0"/>
        <w:spacing w:line="440" w:lineRule="exact"/>
        <w:ind w:firstLine="420" w:firstLineChars="200"/>
        <w:rPr>
          <w:rFonts w:hint="eastAsia" w:ascii="宋体" w:cs="宋体"/>
          <w:color w:val="auto"/>
          <w:szCs w:val="21"/>
          <w:highlight w:val="none"/>
        </w:rPr>
      </w:pPr>
      <w:r>
        <w:rPr>
          <w:rFonts w:hint="eastAsia" w:ascii="宋体" w:cs="宋体"/>
          <w:color w:val="auto"/>
          <w:szCs w:val="21"/>
          <w:highlight w:val="none"/>
        </w:rPr>
        <w:t>4.1监理人的一般规定</w:t>
      </w:r>
    </w:p>
    <w:p w14:paraId="09044A47">
      <w:pPr>
        <w:snapToGrid w:val="0"/>
        <w:spacing w:line="440" w:lineRule="exact"/>
        <w:ind w:firstLine="420" w:firstLineChars="200"/>
        <w:jc w:val="left"/>
        <w:rPr>
          <w:rFonts w:hint="eastAsia" w:ascii="宋体" w:cs="宋体"/>
          <w:color w:val="auto"/>
          <w:szCs w:val="21"/>
          <w:highlight w:val="none"/>
        </w:rPr>
      </w:pPr>
      <w:r>
        <w:rPr>
          <w:rFonts w:hint="eastAsia" w:ascii="宋体" w:cs="宋体"/>
          <w:color w:val="auto"/>
          <w:szCs w:val="21"/>
          <w:highlight w:val="none"/>
        </w:rPr>
        <w:t>关于监理人的监理内容：</w:t>
      </w:r>
      <w:r>
        <w:rPr>
          <w:rFonts w:hint="eastAsia" w:ascii="宋体" w:cs="宋体"/>
          <w:color w:val="auto"/>
          <w:szCs w:val="21"/>
          <w:highlight w:val="none"/>
          <w:u w:val="single"/>
        </w:rPr>
        <w:t xml:space="preserve">  详见监理合同 </w:t>
      </w:r>
      <w:r>
        <w:rPr>
          <w:rFonts w:hint="eastAsia" w:ascii="宋体" w:cs="宋体"/>
          <w:color w:val="auto"/>
          <w:szCs w:val="21"/>
          <w:highlight w:val="none"/>
        </w:rPr>
        <w:t>。</w:t>
      </w:r>
    </w:p>
    <w:p w14:paraId="7F628324">
      <w:pPr>
        <w:snapToGrid w:val="0"/>
        <w:spacing w:line="440" w:lineRule="exact"/>
        <w:ind w:firstLine="420" w:firstLineChars="200"/>
        <w:jc w:val="left"/>
        <w:rPr>
          <w:rFonts w:hint="eastAsia" w:ascii="宋体" w:cs="宋体"/>
          <w:color w:val="auto"/>
          <w:szCs w:val="21"/>
          <w:highlight w:val="none"/>
        </w:rPr>
      </w:pPr>
      <w:r>
        <w:rPr>
          <w:rFonts w:hint="eastAsia" w:ascii="宋体" w:cs="宋体"/>
          <w:color w:val="auto"/>
          <w:szCs w:val="21"/>
          <w:highlight w:val="none"/>
        </w:rPr>
        <w:t>关于监理人的监理权限：</w:t>
      </w:r>
      <w:r>
        <w:rPr>
          <w:rFonts w:hint="eastAsia" w:ascii="宋体" w:cs="宋体"/>
          <w:color w:val="auto"/>
          <w:szCs w:val="21"/>
          <w:highlight w:val="none"/>
          <w:u w:val="single"/>
        </w:rPr>
        <w:t xml:space="preserve"> 发布开工令、停工令、复工令权；工程质量的监督权；工程上使用的材料和施工质量检验权、确认权；工程施工进度、安全的检查、监督权、发包人授权的处罚权；工程款支付的审核权；向承包人提出施工组织设计和技术方案的建议权；发包人和承包人间的组织协调的主持权；撤换不合格的工程建设分包单位和项目负责人及有关人员的建议权；分包单位资质及能力的审查权；等等  </w:t>
      </w:r>
      <w:r>
        <w:rPr>
          <w:rFonts w:hint="eastAsia" w:ascii="宋体" w:cs="宋体"/>
          <w:color w:val="auto"/>
          <w:szCs w:val="21"/>
          <w:highlight w:val="none"/>
        </w:rPr>
        <w:t xml:space="preserve">。 </w:t>
      </w:r>
    </w:p>
    <w:p w14:paraId="2993D52B">
      <w:pPr>
        <w:snapToGrid w:val="0"/>
        <w:spacing w:line="440" w:lineRule="exact"/>
        <w:ind w:firstLine="420" w:firstLineChars="200"/>
        <w:rPr>
          <w:rFonts w:hint="eastAsia" w:ascii="宋体" w:cs="宋体"/>
          <w:color w:val="auto"/>
          <w:szCs w:val="21"/>
          <w:highlight w:val="none"/>
          <w:u w:val="single"/>
        </w:rPr>
      </w:pPr>
      <w:r>
        <w:rPr>
          <w:rFonts w:hint="eastAsia" w:ascii="宋体" w:cs="宋体"/>
          <w:color w:val="auto"/>
          <w:szCs w:val="21"/>
          <w:highlight w:val="none"/>
        </w:rPr>
        <w:t>关于监理人在施工现场的办公场所、生活场所的提供和费用承担的约定：</w:t>
      </w:r>
      <w:r>
        <w:rPr>
          <w:rFonts w:hint="eastAsia" w:ascii="宋体" w:cs="宋体"/>
          <w:color w:val="auto"/>
          <w:szCs w:val="21"/>
          <w:highlight w:val="none"/>
          <w:u w:val="single"/>
        </w:rPr>
        <w:t>办公场所由承包人提供和承担，生活场所由监理人自行解决和承担 。</w:t>
      </w:r>
    </w:p>
    <w:p w14:paraId="68744750">
      <w:pPr>
        <w:snapToGrid w:val="0"/>
        <w:spacing w:line="440" w:lineRule="exact"/>
        <w:ind w:firstLine="420" w:firstLineChars="200"/>
        <w:rPr>
          <w:rFonts w:hint="eastAsia" w:ascii="宋体" w:cs="宋体"/>
          <w:color w:val="auto"/>
          <w:szCs w:val="21"/>
          <w:highlight w:val="none"/>
        </w:rPr>
      </w:pPr>
      <w:r>
        <w:rPr>
          <w:rFonts w:hint="eastAsia" w:ascii="宋体" w:cs="宋体"/>
          <w:color w:val="auto"/>
          <w:szCs w:val="21"/>
          <w:highlight w:val="none"/>
        </w:rPr>
        <w:t>4.2 监理人员</w:t>
      </w:r>
    </w:p>
    <w:p w14:paraId="1A37E990">
      <w:pPr>
        <w:snapToGrid w:val="0"/>
        <w:spacing w:line="440" w:lineRule="exact"/>
        <w:ind w:firstLine="420" w:firstLineChars="200"/>
        <w:rPr>
          <w:rFonts w:hint="eastAsia" w:ascii="宋体" w:cs="宋体"/>
          <w:color w:val="auto"/>
          <w:szCs w:val="21"/>
          <w:highlight w:val="none"/>
        </w:rPr>
      </w:pPr>
      <w:r>
        <w:rPr>
          <w:rFonts w:hint="eastAsia" w:ascii="宋体" w:cs="宋体"/>
          <w:color w:val="auto"/>
          <w:szCs w:val="21"/>
          <w:highlight w:val="none"/>
        </w:rPr>
        <w:t>总监理工程师：</w:t>
      </w:r>
    </w:p>
    <w:p w14:paraId="4683FF8C">
      <w:pPr>
        <w:snapToGrid w:val="0"/>
        <w:spacing w:line="440" w:lineRule="exact"/>
        <w:ind w:firstLine="420" w:firstLineChars="200"/>
        <w:rPr>
          <w:rFonts w:hint="eastAsia" w:ascii="宋体" w:cs="宋体"/>
          <w:color w:val="auto"/>
          <w:szCs w:val="21"/>
          <w:highlight w:val="none"/>
        </w:rPr>
      </w:pPr>
      <w:r>
        <w:rPr>
          <w:rFonts w:hint="eastAsia" w:ascii="宋体" w:cs="宋体"/>
          <w:color w:val="auto"/>
          <w:szCs w:val="21"/>
          <w:highlight w:val="none"/>
        </w:rPr>
        <w:t>姓    名：</w:t>
      </w:r>
      <w:r>
        <w:rPr>
          <w:rFonts w:hint="eastAsia" w:ascii="宋体" w:cs="宋体"/>
          <w:color w:val="auto"/>
          <w:szCs w:val="21"/>
          <w:highlight w:val="none"/>
          <w:u w:val="single"/>
        </w:rPr>
        <w:t>   </w:t>
      </w:r>
      <w:r>
        <w:rPr>
          <w:rFonts w:hint="eastAsia" w:ascii="宋体" w:cs="宋体"/>
          <w:color w:val="auto"/>
          <w:szCs w:val="21"/>
          <w:highlight w:val="none"/>
        </w:rPr>
        <w:t>；</w:t>
      </w:r>
    </w:p>
    <w:p w14:paraId="5904DAFE">
      <w:pPr>
        <w:snapToGrid w:val="0"/>
        <w:spacing w:line="440" w:lineRule="exact"/>
        <w:ind w:firstLine="420" w:firstLineChars="200"/>
        <w:rPr>
          <w:rFonts w:hint="eastAsia" w:ascii="宋体" w:cs="宋体"/>
          <w:color w:val="auto"/>
          <w:szCs w:val="21"/>
          <w:highlight w:val="none"/>
        </w:rPr>
      </w:pPr>
      <w:r>
        <w:rPr>
          <w:rFonts w:hint="eastAsia" w:ascii="宋体" w:cs="宋体"/>
          <w:color w:val="auto"/>
          <w:szCs w:val="21"/>
          <w:highlight w:val="none"/>
        </w:rPr>
        <w:t>职    务：</w:t>
      </w:r>
      <w:r>
        <w:rPr>
          <w:rFonts w:hint="eastAsia" w:ascii="宋体" w:cs="宋体"/>
          <w:color w:val="auto"/>
          <w:szCs w:val="21"/>
          <w:highlight w:val="none"/>
          <w:u w:val="single"/>
        </w:rPr>
        <w:t>   </w:t>
      </w:r>
      <w:r>
        <w:rPr>
          <w:rFonts w:hint="eastAsia" w:ascii="宋体" w:cs="宋体"/>
          <w:color w:val="auto"/>
          <w:szCs w:val="21"/>
          <w:highlight w:val="none"/>
        </w:rPr>
        <w:t>；</w:t>
      </w:r>
    </w:p>
    <w:p w14:paraId="58C9F6F8">
      <w:pPr>
        <w:snapToGrid w:val="0"/>
        <w:spacing w:line="440" w:lineRule="exact"/>
        <w:ind w:firstLine="420" w:firstLineChars="200"/>
        <w:rPr>
          <w:rFonts w:hint="eastAsia" w:ascii="宋体" w:cs="宋体"/>
          <w:color w:val="auto"/>
          <w:szCs w:val="21"/>
          <w:highlight w:val="none"/>
        </w:rPr>
      </w:pPr>
      <w:r>
        <w:rPr>
          <w:rFonts w:hint="eastAsia" w:ascii="宋体" w:cs="宋体"/>
          <w:color w:val="auto"/>
          <w:szCs w:val="21"/>
          <w:highlight w:val="none"/>
        </w:rPr>
        <w:t>监理工程师执业资格证书号：</w:t>
      </w:r>
      <w:r>
        <w:rPr>
          <w:rFonts w:hint="eastAsia" w:ascii="宋体" w:cs="宋体"/>
          <w:color w:val="auto"/>
          <w:szCs w:val="21"/>
          <w:highlight w:val="none"/>
          <w:u w:val="single"/>
        </w:rPr>
        <w:t> </w:t>
      </w:r>
      <w:r>
        <w:rPr>
          <w:rFonts w:hint="eastAsia" w:ascii="宋体" w:cs="宋体"/>
          <w:color w:val="auto"/>
          <w:szCs w:val="21"/>
          <w:highlight w:val="none"/>
        </w:rPr>
        <w:t>；</w:t>
      </w:r>
    </w:p>
    <w:p w14:paraId="56E09EDD">
      <w:pPr>
        <w:snapToGrid w:val="0"/>
        <w:spacing w:line="440" w:lineRule="exact"/>
        <w:ind w:firstLine="420" w:firstLineChars="200"/>
        <w:rPr>
          <w:rFonts w:hint="eastAsia" w:ascii="宋体" w:cs="宋体"/>
          <w:color w:val="auto"/>
          <w:szCs w:val="21"/>
          <w:highlight w:val="none"/>
        </w:rPr>
      </w:pPr>
      <w:r>
        <w:rPr>
          <w:rFonts w:hint="eastAsia" w:ascii="宋体" w:cs="宋体"/>
          <w:color w:val="auto"/>
          <w:szCs w:val="21"/>
          <w:highlight w:val="none"/>
        </w:rPr>
        <w:t>联系电话：</w:t>
      </w:r>
      <w:r>
        <w:rPr>
          <w:rFonts w:hint="eastAsia" w:ascii="宋体" w:cs="宋体"/>
          <w:color w:val="auto"/>
          <w:szCs w:val="21"/>
          <w:highlight w:val="none"/>
          <w:u w:val="single"/>
        </w:rPr>
        <w:t>   </w:t>
      </w:r>
      <w:r>
        <w:rPr>
          <w:rFonts w:hint="eastAsia" w:ascii="宋体" w:cs="宋体"/>
          <w:color w:val="auto"/>
          <w:szCs w:val="21"/>
          <w:highlight w:val="none"/>
        </w:rPr>
        <w:t>；</w:t>
      </w:r>
    </w:p>
    <w:p w14:paraId="44319910">
      <w:pPr>
        <w:snapToGrid w:val="0"/>
        <w:spacing w:line="440" w:lineRule="exact"/>
        <w:ind w:firstLine="420" w:firstLineChars="200"/>
        <w:rPr>
          <w:rFonts w:hint="eastAsia" w:ascii="宋体" w:cs="宋体"/>
          <w:color w:val="auto"/>
          <w:szCs w:val="21"/>
          <w:highlight w:val="none"/>
        </w:rPr>
      </w:pPr>
      <w:r>
        <w:rPr>
          <w:rFonts w:hint="eastAsia" w:ascii="宋体" w:cs="宋体"/>
          <w:color w:val="auto"/>
          <w:szCs w:val="21"/>
          <w:highlight w:val="none"/>
        </w:rPr>
        <w:t>电子信箱：</w:t>
      </w:r>
      <w:r>
        <w:rPr>
          <w:rFonts w:hint="eastAsia" w:ascii="宋体" w:cs="宋体"/>
          <w:color w:val="auto"/>
          <w:szCs w:val="21"/>
          <w:highlight w:val="none"/>
          <w:u w:val="single"/>
        </w:rPr>
        <w:t>   </w:t>
      </w:r>
      <w:r>
        <w:rPr>
          <w:rFonts w:hint="eastAsia" w:ascii="宋体" w:cs="宋体"/>
          <w:color w:val="auto"/>
          <w:szCs w:val="21"/>
          <w:highlight w:val="none"/>
        </w:rPr>
        <w:t>；</w:t>
      </w:r>
    </w:p>
    <w:p w14:paraId="7B91E098">
      <w:pPr>
        <w:snapToGrid w:val="0"/>
        <w:spacing w:line="440" w:lineRule="exact"/>
        <w:ind w:firstLine="420" w:firstLineChars="200"/>
        <w:rPr>
          <w:rFonts w:hint="eastAsia" w:ascii="宋体" w:cs="宋体"/>
          <w:color w:val="auto"/>
          <w:szCs w:val="21"/>
          <w:highlight w:val="none"/>
        </w:rPr>
      </w:pPr>
      <w:r>
        <w:rPr>
          <w:rFonts w:hint="eastAsia" w:ascii="宋体" w:cs="宋体"/>
          <w:color w:val="auto"/>
          <w:szCs w:val="21"/>
          <w:highlight w:val="none"/>
        </w:rPr>
        <w:t>通信地址：</w:t>
      </w:r>
      <w:r>
        <w:rPr>
          <w:rFonts w:hint="eastAsia" w:ascii="宋体" w:cs="宋体"/>
          <w:color w:val="auto"/>
          <w:szCs w:val="21"/>
          <w:highlight w:val="none"/>
          <w:u w:val="single"/>
        </w:rPr>
        <w:t>   </w:t>
      </w:r>
      <w:r>
        <w:rPr>
          <w:rFonts w:hint="eastAsia" w:ascii="宋体" w:cs="宋体"/>
          <w:color w:val="auto"/>
          <w:szCs w:val="21"/>
          <w:highlight w:val="none"/>
        </w:rPr>
        <w:t>；</w:t>
      </w:r>
    </w:p>
    <w:p w14:paraId="7C3A346F">
      <w:pPr>
        <w:snapToGrid w:val="0"/>
        <w:spacing w:line="440" w:lineRule="exact"/>
        <w:ind w:firstLine="420" w:firstLineChars="200"/>
        <w:rPr>
          <w:rFonts w:hint="eastAsia" w:ascii="宋体" w:cs="宋体"/>
          <w:color w:val="auto"/>
          <w:szCs w:val="21"/>
          <w:highlight w:val="none"/>
        </w:rPr>
      </w:pPr>
      <w:r>
        <w:rPr>
          <w:rFonts w:hint="eastAsia" w:ascii="宋体" w:cs="宋体"/>
          <w:color w:val="auto"/>
          <w:szCs w:val="21"/>
          <w:highlight w:val="none"/>
        </w:rPr>
        <w:t>关于监理人的其他约定：</w:t>
      </w:r>
      <w:r>
        <w:rPr>
          <w:rFonts w:hint="eastAsia" w:ascii="宋体" w:cs="宋体"/>
          <w:color w:val="auto"/>
          <w:szCs w:val="21"/>
          <w:highlight w:val="none"/>
          <w:u w:val="single"/>
        </w:rPr>
        <w:t>   </w:t>
      </w:r>
      <w:r>
        <w:rPr>
          <w:rFonts w:hint="eastAsia" w:ascii="宋体" w:cs="宋体"/>
          <w:color w:val="auto"/>
          <w:szCs w:val="21"/>
          <w:highlight w:val="none"/>
        </w:rPr>
        <w:t>。</w:t>
      </w:r>
    </w:p>
    <w:p w14:paraId="436AC609">
      <w:pPr>
        <w:snapToGrid w:val="0"/>
        <w:spacing w:line="440" w:lineRule="exact"/>
        <w:ind w:firstLine="420" w:firstLineChars="200"/>
        <w:rPr>
          <w:rFonts w:hint="eastAsia" w:ascii="宋体" w:cs="宋体"/>
          <w:color w:val="auto"/>
          <w:szCs w:val="21"/>
          <w:highlight w:val="none"/>
        </w:rPr>
      </w:pPr>
      <w:r>
        <w:rPr>
          <w:rFonts w:hint="eastAsia" w:ascii="宋体" w:cs="宋体"/>
          <w:color w:val="auto"/>
          <w:szCs w:val="21"/>
          <w:highlight w:val="none"/>
        </w:rPr>
        <w:t>4.4 商定或确定</w:t>
      </w:r>
    </w:p>
    <w:p w14:paraId="25D9F5A9">
      <w:pPr>
        <w:snapToGrid w:val="0"/>
        <w:spacing w:line="440" w:lineRule="exact"/>
        <w:ind w:firstLine="420" w:firstLineChars="200"/>
        <w:rPr>
          <w:rFonts w:hint="eastAsia" w:ascii="宋体" w:cs="宋体"/>
          <w:color w:val="auto"/>
          <w:szCs w:val="21"/>
          <w:highlight w:val="none"/>
        </w:rPr>
      </w:pPr>
      <w:r>
        <w:rPr>
          <w:rFonts w:hint="eastAsia" w:ascii="宋体" w:cs="宋体"/>
          <w:color w:val="auto"/>
          <w:szCs w:val="21"/>
          <w:highlight w:val="none"/>
        </w:rPr>
        <w:t>在发包人和承包人不能通过协商达成一致意见时，发包人授权监理人对以下事项进行确定：</w:t>
      </w:r>
    </w:p>
    <w:p w14:paraId="5D80E276">
      <w:pPr>
        <w:autoSpaceDE w:val="0"/>
        <w:autoSpaceDN w:val="0"/>
        <w:adjustRightInd w:val="0"/>
        <w:snapToGrid w:val="0"/>
        <w:spacing w:line="440" w:lineRule="exact"/>
        <w:ind w:firstLine="420" w:firstLineChars="200"/>
        <w:jc w:val="left"/>
        <w:rPr>
          <w:rFonts w:hint="eastAsia" w:ascii="宋体" w:cs="宋体"/>
          <w:color w:val="auto"/>
          <w:kern w:val="0"/>
          <w:szCs w:val="21"/>
          <w:highlight w:val="none"/>
        </w:rPr>
      </w:pPr>
      <w:r>
        <w:rPr>
          <w:rFonts w:hint="eastAsia" w:ascii="宋体" w:cs="宋体"/>
          <w:color w:val="auto"/>
          <w:kern w:val="0"/>
          <w:szCs w:val="21"/>
          <w:highlight w:val="none"/>
        </w:rPr>
        <w:t>（1）</w:t>
      </w:r>
      <w:r>
        <w:rPr>
          <w:rFonts w:hint="eastAsia" w:ascii="宋体" w:cs="宋体"/>
          <w:color w:val="auto"/>
          <w:szCs w:val="21"/>
          <w:highlight w:val="none"/>
          <w:u w:val="single"/>
        </w:rPr>
        <w:t xml:space="preserve">   施工方案    </w:t>
      </w:r>
      <w:r>
        <w:rPr>
          <w:rFonts w:hint="eastAsia" w:ascii="宋体" w:cs="宋体"/>
          <w:color w:val="auto"/>
          <w:szCs w:val="21"/>
          <w:highlight w:val="none"/>
        </w:rPr>
        <w:t>；</w:t>
      </w:r>
    </w:p>
    <w:p w14:paraId="47EE63B8">
      <w:pPr>
        <w:autoSpaceDE w:val="0"/>
        <w:autoSpaceDN w:val="0"/>
        <w:adjustRightInd w:val="0"/>
        <w:snapToGrid w:val="0"/>
        <w:spacing w:line="440" w:lineRule="exact"/>
        <w:ind w:firstLine="420" w:firstLineChars="200"/>
        <w:jc w:val="left"/>
        <w:rPr>
          <w:rFonts w:hint="eastAsia" w:ascii="宋体" w:cs="宋体"/>
          <w:color w:val="auto"/>
          <w:kern w:val="0"/>
          <w:szCs w:val="21"/>
          <w:highlight w:val="none"/>
        </w:rPr>
      </w:pPr>
      <w:r>
        <w:rPr>
          <w:rFonts w:hint="eastAsia" w:ascii="宋体" w:cs="宋体"/>
          <w:color w:val="auto"/>
          <w:kern w:val="0"/>
          <w:szCs w:val="21"/>
          <w:highlight w:val="none"/>
        </w:rPr>
        <w:t>（2）</w:t>
      </w:r>
      <w:r>
        <w:rPr>
          <w:rFonts w:hint="eastAsia" w:ascii="宋体" w:cs="宋体"/>
          <w:color w:val="auto"/>
          <w:szCs w:val="21"/>
          <w:highlight w:val="none"/>
          <w:u w:val="single"/>
        </w:rPr>
        <w:t xml:space="preserve">   索赔事项等    </w:t>
      </w:r>
      <w:r>
        <w:rPr>
          <w:rFonts w:hint="eastAsia" w:ascii="宋体" w:cs="宋体"/>
          <w:color w:val="auto"/>
          <w:szCs w:val="21"/>
          <w:highlight w:val="none"/>
        </w:rPr>
        <w:t>；</w:t>
      </w:r>
    </w:p>
    <w:p w14:paraId="0B4B73F6">
      <w:pPr>
        <w:pStyle w:val="5"/>
        <w:snapToGrid w:val="0"/>
        <w:spacing w:before="0" w:after="0" w:line="440" w:lineRule="exact"/>
        <w:ind w:firstLine="420" w:firstLineChars="200"/>
        <w:rPr>
          <w:rFonts w:hint="eastAsia" w:ascii="宋体" w:eastAsia="宋体" w:cs="宋体"/>
          <w:b w:val="0"/>
          <w:color w:val="auto"/>
          <w:sz w:val="21"/>
          <w:szCs w:val="21"/>
          <w:highlight w:val="none"/>
        </w:rPr>
      </w:pPr>
      <w:r>
        <w:rPr>
          <w:rFonts w:hint="eastAsia" w:ascii="宋体" w:eastAsia="宋体" w:cs="宋体"/>
          <w:b w:val="0"/>
          <w:color w:val="auto"/>
          <w:sz w:val="21"/>
          <w:szCs w:val="21"/>
          <w:highlight w:val="none"/>
        </w:rPr>
        <w:t>5. 工程质量</w:t>
      </w:r>
    </w:p>
    <w:p w14:paraId="725B46FA">
      <w:pPr>
        <w:snapToGrid w:val="0"/>
        <w:spacing w:line="440" w:lineRule="exact"/>
        <w:ind w:firstLine="420" w:firstLineChars="200"/>
        <w:rPr>
          <w:rFonts w:hint="eastAsia" w:ascii="宋体" w:cs="宋体"/>
          <w:color w:val="auto"/>
          <w:szCs w:val="21"/>
          <w:highlight w:val="none"/>
        </w:rPr>
      </w:pPr>
      <w:r>
        <w:rPr>
          <w:rFonts w:hint="eastAsia" w:ascii="宋体" w:cs="宋体"/>
          <w:color w:val="auto"/>
          <w:szCs w:val="21"/>
          <w:highlight w:val="none"/>
        </w:rPr>
        <w:t>5.1 质量要求</w:t>
      </w:r>
    </w:p>
    <w:p w14:paraId="7F8BE9EA">
      <w:pPr>
        <w:snapToGrid w:val="0"/>
        <w:spacing w:line="440" w:lineRule="exact"/>
        <w:ind w:firstLine="420" w:firstLineChars="200"/>
        <w:jc w:val="left"/>
        <w:rPr>
          <w:rFonts w:hint="eastAsia" w:ascii="宋体" w:cs="宋体"/>
          <w:color w:val="auto"/>
          <w:szCs w:val="21"/>
          <w:highlight w:val="none"/>
        </w:rPr>
      </w:pPr>
      <w:r>
        <w:rPr>
          <w:rFonts w:hint="eastAsia" w:ascii="宋体" w:cs="宋体"/>
          <w:color w:val="auto"/>
          <w:szCs w:val="21"/>
          <w:highlight w:val="none"/>
        </w:rPr>
        <w:t>5.1.1 特殊质量标准和要求：</w:t>
      </w:r>
      <w:r>
        <w:rPr>
          <w:rFonts w:hint="eastAsia" w:ascii="宋体" w:cs="宋体"/>
          <w:color w:val="auto"/>
          <w:szCs w:val="21"/>
          <w:highlight w:val="none"/>
          <w:u w:val="single"/>
        </w:rPr>
        <w:t xml:space="preserve"> 工程质量必须达到国家工程施工质量验收 合格 标准。 </w:t>
      </w:r>
    </w:p>
    <w:p w14:paraId="52928622">
      <w:pPr>
        <w:snapToGrid w:val="0"/>
        <w:spacing w:line="440" w:lineRule="exact"/>
        <w:ind w:firstLine="420" w:firstLineChars="200"/>
        <w:jc w:val="left"/>
        <w:rPr>
          <w:rFonts w:hint="eastAsia" w:ascii="宋体" w:cs="宋体"/>
          <w:color w:val="auto"/>
          <w:szCs w:val="21"/>
          <w:highlight w:val="none"/>
          <w:u w:val="single"/>
        </w:rPr>
      </w:pPr>
      <w:r>
        <w:rPr>
          <w:rFonts w:hint="eastAsia" w:ascii="宋体" w:cs="宋体"/>
          <w:color w:val="auto"/>
          <w:szCs w:val="21"/>
          <w:highlight w:val="none"/>
        </w:rPr>
        <w:t>关于工程奖项的约定：</w:t>
      </w:r>
      <w:r>
        <w:rPr>
          <w:rFonts w:hint="eastAsia" w:ascii="宋体" w:cs="宋体"/>
          <w:color w:val="auto"/>
          <w:szCs w:val="21"/>
          <w:highlight w:val="none"/>
          <w:u w:val="single"/>
        </w:rPr>
        <w:t xml:space="preserve"> / </w:t>
      </w:r>
      <w:r>
        <w:rPr>
          <w:rFonts w:hint="eastAsia" w:ascii="宋体" w:cs="宋体"/>
          <w:color w:val="auto"/>
          <w:szCs w:val="21"/>
          <w:highlight w:val="none"/>
        </w:rPr>
        <w:t>。</w:t>
      </w:r>
    </w:p>
    <w:p w14:paraId="36944099">
      <w:pPr>
        <w:keepNext w:val="0"/>
        <w:keepLines w:val="0"/>
        <w:pageBreakBefore w:val="0"/>
        <w:widowControl w:val="0"/>
        <w:kinsoku/>
        <w:wordWrap/>
        <w:overflowPunct/>
        <w:topLinePunct w:val="0"/>
        <w:autoSpaceDE/>
        <w:autoSpaceDN/>
        <w:bidi w:val="0"/>
        <w:snapToGrid w:val="0"/>
        <w:spacing w:line="440" w:lineRule="exact"/>
        <w:ind w:firstLine="420" w:firstLineChars="200"/>
        <w:textAlignment w:val="auto"/>
        <w:rPr>
          <w:rFonts w:hint="eastAsia" w:ascii="宋体" w:cs="宋体"/>
          <w:color w:val="auto"/>
          <w:szCs w:val="21"/>
          <w:highlight w:val="none"/>
        </w:rPr>
      </w:pPr>
      <w:r>
        <w:rPr>
          <w:rFonts w:hint="eastAsia" w:ascii="宋体" w:cs="宋体"/>
          <w:color w:val="auto"/>
          <w:szCs w:val="21"/>
          <w:highlight w:val="none"/>
        </w:rPr>
        <w:t>5.3 隐蔽工程检查</w:t>
      </w:r>
    </w:p>
    <w:p w14:paraId="749E1B7E">
      <w:pPr>
        <w:keepNext w:val="0"/>
        <w:keepLines w:val="0"/>
        <w:pageBreakBefore w:val="0"/>
        <w:widowControl w:val="0"/>
        <w:kinsoku/>
        <w:wordWrap/>
        <w:overflowPunct/>
        <w:topLinePunct w:val="0"/>
        <w:autoSpaceDE/>
        <w:autoSpaceDN/>
        <w:bidi w:val="0"/>
        <w:adjustRightInd w:val="0"/>
        <w:snapToGrid w:val="0"/>
        <w:spacing w:line="440" w:lineRule="exact"/>
        <w:ind w:firstLine="420" w:firstLineChars="200"/>
        <w:textAlignment w:val="auto"/>
        <w:rPr>
          <w:rFonts w:hint="eastAsia" w:ascii="宋体" w:hAnsi="宋体" w:eastAsia="宋体" w:cs="宋体"/>
          <w:color w:val="auto"/>
          <w:szCs w:val="21"/>
          <w:highlight w:val="none"/>
          <w:u w:val="single"/>
          <w:lang w:eastAsia="zh-CN"/>
        </w:rPr>
      </w:pPr>
      <w:r>
        <w:rPr>
          <w:rFonts w:hint="eastAsia" w:ascii="宋体" w:hAnsi="宋体" w:cs="宋体"/>
          <w:color w:val="auto"/>
          <w:highlight w:val="none"/>
        </w:rPr>
        <w:t>5.3.2 承包人提前通知监理人隐蔽工程检查的期限的约定：</w:t>
      </w:r>
      <w:r>
        <w:rPr>
          <w:rFonts w:hint="eastAsia" w:ascii="宋体" w:hAnsi="宋体" w:cs="宋体"/>
          <w:color w:val="auto"/>
          <w:szCs w:val="21"/>
          <w:highlight w:val="none"/>
          <w:u w:val="single"/>
        </w:rPr>
        <w:t xml:space="preserve">  </w:t>
      </w:r>
      <w:r>
        <w:rPr>
          <w:rFonts w:hint="eastAsia" w:ascii="宋体" w:hAnsi="宋体" w:eastAsia="宋体" w:cs="宋体"/>
          <w:color w:val="auto"/>
          <w:szCs w:val="21"/>
          <w:highlight w:val="none"/>
          <w:u w:val="single"/>
        </w:rPr>
        <w:t>工程隐蔽部位经承包人自检确认具备覆盖条件的，承包人应在共同检查前6小时书面通知监理人检查，通知中应载明隐蔽检查的内容、时间和地点，并应附有自检记录和必要的检查资料</w:t>
      </w:r>
      <w:r>
        <w:rPr>
          <w:rFonts w:hint="eastAsia" w:ascii="宋体" w:hAnsi="宋体" w:eastAsia="宋体" w:cs="宋体"/>
          <w:color w:val="auto"/>
          <w:szCs w:val="21"/>
          <w:highlight w:val="none"/>
          <w:u w:val="single"/>
          <w:lang w:eastAsia="zh-CN"/>
        </w:rPr>
        <w:t>（</w:t>
      </w:r>
      <w:r>
        <w:rPr>
          <w:rFonts w:hint="eastAsia" w:ascii="宋体" w:hAnsi="宋体" w:eastAsia="宋体" w:cs="宋体"/>
          <w:color w:val="auto"/>
          <w:szCs w:val="21"/>
          <w:highlight w:val="none"/>
          <w:u w:val="single"/>
          <w:lang w:val="en-US" w:eastAsia="zh-CN"/>
        </w:rPr>
        <w:t>包含不限于影像等相关资料</w:t>
      </w:r>
      <w:r>
        <w:rPr>
          <w:rFonts w:hint="eastAsia" w:ascii="宋体" w:hAnsi="宋体" w:eastAsia="宋体" w:cs="宋体"/>
          <w:color w:val="auto"/>
          <w:szCs w:val="21"/>
          <w:highlight w:val="none"/>
          <w:u w:val="single"/>
          <w:lang w:eastAsia="zh-CN"/>
        </w:rPr>
        <w:t>）。</w:t>
      </w:r>
    </w:p>
    <w:p w14:paraId="0C38704B">
      <w:pPr>
        <w:keepNext w:val="0"/>
        <w:keepLines w:val="0"/>
        <w:pageBreakBefore w:val="0"/>
        <w:widowControl w:val="0"/>
        <w:kinsoku/>
        <w:wordWrap/>
        <w:overflowPunct/>
        <w:topLinePunct w:val="0"/>
        <w:autoSpaceDE/>
        <w:autoSpaceDN/>
        <w:bidi w:val="0"/>
        <w:snapToGrid w:val="0"/>
        <w:spacing w:line="440" w:lineRule="exact"/>
        <w:ind w:firstLine="420" w:firstLineChars="200"/>
        <w:jc w:val="left"/>
        <w:textAlignment w:val="auto"/>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u w:val="single"/>
        </w:rPr>
        <w:t>监理人应按时到场并对隐蔽工程及其施工工艺、材料和工程设备进行检查。经监理人检查确认质量符合隐蔽要求，并在验收记录上签字后，承包人才能进行覆盖。经监理人检查质量不合格的，承包人应在监理人指示的时间内完成修复，并由监理人重新检查，由此增加的费用和（或）延误的工期由承包人承担。</w:t>
      </w:r>
    </w:p>
    <w:p w14:paraId="4B4DE381">
      <w:pPr>
        <w:keepNext w:val="0"/>
        <w:keepLines w:val="0"/>
        <w:pageBreakBefore w:val="0"/>
        <w:widowControl w:val="0"/>
        <w:kinsoku/>
        <w:wordWrap/>
        <w:overflowPunct/>
        <w:topLinePunct w:val="0"/>
        <w:autoSpaceDE/>
        <w:autoSpaceDN/>
        <w:bidi w:val="0"/>
        <w:adjustRightInd w:val="0"/>
        <w:snapToGrid w:val="0"/>
        <w:spacing w:line="440" w:lineRule="exact"/>
        <w:ind w:firstLine="420" w:firstLineChars="200"/>
        <w:textAlignment w:val="auto"/>
        <w:rPr>
          <w:rFonts w:hint="eastAsia" w:ascii="宋体" w:hAnsi="宋体" w:cs="宋体"/>
          <w:color w:val="auto"/>
          <w:highlight w:val="none"/>
          <w:u w:val="single"/>
        </w:rPr>
      </w:pPr>
      <w:r>
        <w:rPr>
          <w:rFonts w:hint="eastAsia" w:ascii="宋体" w:hAnsi="宋体" w:eastAsia="宋体" w:cs="宋体"/>
          <w:color w:val="auto"/>
          <w:szCs w:val="21"/>
          <w:highlight w:val="none"/>
          <w:u w:val="single"/>
        </w:rPr>
        <w:t>监理人不能按时进行检查的，应在检查前3小时向承包人提交书面延期要求，但延期不能超过6小时，由此导致工期延误的，工期应予以顺延。监理人未按时进行检查，也未提出延期要求的，视为隐蔽工程检查合格，承包人可自行完成覆盖工作，并作相应记录报送监理人，监理人应签字确认。监理人事后对检查记录有疑问的，可按第5.3.3项〔重新检查〕的约定重新检查</w:t>
      </w:r>
      <w:r>
        <w:rPr>
          <w:rFonts w:hint="eastAsia" w:ascii="宋体" w:hAnsi="宋体" w:cs="宋体"/>
          <w:color w:val="auto"/>
          <w:szCs w:val="21"/>
          <w:highlight w:val="none"/>
          <w:u w:val="single"/>
        </w:rPr>
        <w:t xml:space="preserve">  </w:t>
      </w:r>
      <w:r>
        <w:rPr>
          <w:rFonts w:hint="eastAsia" w:ascii="宋体" w:hAnsi="宋体" w:cs="宋体"/>
          <w:color w:val="auto"/>
          <w:highlight w:val="none"/>
        </w:rPr>
        <w:t>。</w:t>
      </w:r>
    </w:p>
    <w:p w14:paraId="63C243DF">
      <w:pPr>
        <w:keepNext w:val="0"/>
        <w:keepLines w:val="0"/>
        <w:pageBreakBefore w:val="0"/>
        <w:widowControl w:val="0"/>
        <w:kinsoku/>
        <w:wordWrap/>
        <w:overflowPunct/>
        <w:topLinePunct w:val="0"/>
        <w:autoSpaceDE/>
        <w:autoSpaceDN/>
        <w:bidi w:val="0"/>
        <w:adjustRightInd w:val="0"/>
        <w:snapToGrid w:val="0"/>
        <w:spacing w:line="440" w:lineRule="exact"/>
        <w:ind w:firstLine="420" w:firstLineChars="200"/>
        <w:textAlignment w:val="auto"/>
        <w:rPr>
          <w:rFonts w:hint="eastAsia" w:ascii="宋体" w:hAnsi="宋体" w:cs="宋体"/>
          <w:color w:val="auto"/>
          <w:highlight w:val="none"/>
        </w:rPr>
      </w:pPr>
      <w:r>
        <w:rPr>
          <w:rFonts w:hint="eastAsia" w:ascii="宋体" w:hAnsi="宋体" w:cs="宋体"/>
          <w:color w:val="auto"/>
          <w:highlight w:val="none"/>
        </w:rPr>
        <w:t>监理人不能按时进行检查时，应提前</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3</w:t>
      </w:r>
      <w:r>
        <w:rPr>
          <w:rFonts w:hint="eastAsia" w:ascii="宋体" w:hAnsi="宋体" w:cs="宋体"/>
          <w:color w:val="auto"/>
          <w:szCs w:val="21"/>
          <w:highlight w:val="none"/>
          <w:u w:val="single"/>
        </w:rPr>
        <w:t xml:space="preserve"> </w:t>
      </w:r>
      <w:r>
        <w:rPr>
          <w:rFonts w:hint="eastAsia" w:ascii="宋体" w:hAnsi="宋体" w:cs="宋体"/>
          <w:color w:val="auto"/>
          <w:highlight w:val="none"/>
        </w:rPr>
        <w:t>小时提交书面延期要求。</w:t>
      </w:r>
    </w:p>
    <w:p w14:paraId="1A5BDEEE">
      <w:pPr>
        <w:keepNext w:val="0"/>
        <w:keepLines w:val="0"/>
        <w:pageBreakBefore w:val="0"/>
        <w:widowControl w:val="0"/>
        <w:kinsoku/>
        <w:wordWrap/>
        <w:overflowPunct/>
        <w:topLinePunct w:val="0"/>
        <w:autoSpaceDE/>
        <w:autoSpaceDN/>
        <w:bidi w:val="0"/>
        <w:adjustRightInd w:val="0"/>
        <w:snapToGrid w:val="0"/>
        <w:spacing w:line="440" w:lineRule="exact"/>
        <w:ind w:firstLine="420" w:firstLineChars="200"/>
        <w:textAlignment w:val="auto"/>
        <w:rPr>
          <w:rFonts w:hint="eastAsia" w:ascii="宋体" w:hAnsi="宋体" w:cs="宋体"/>
          <w:color w:val="auto"/>
          <w:highlight w:val="none"/>
        </w:rPr>
      </w:pPr>
      <w:r>
        <w:rPr>
          <w:rFonts w:hint="eastAsia" w:ascii="宋体" w:hAnsi="宋体" w:cs="宋体"/>
          <w:color w:val="auto"/>
          <w:highlight w:val="none"/>
        </w:rPr>
        <w:t>关于延期最长不得超过：</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6</w:t>
      </w:r>
      <w:r>
        <w:rPr>
          <w:rFonts w:hint="eastAsia" w:ascii="宋体" w:hAnsi="宋体" w:cs="宋体"/>
          <w:color w:val="auto"/>
          <w:szCs w:val="21"/>
          <w:highlight w:val="none"/>
          <w:u w:val="single"/>
        </w:rPr>
        <w:t xml:space="preserve"> </w:t>
      </w:r>
      <w:r>
        <w:rPr>
          <w:rFonts w:hint="eastAsia" w:ascii="宋体" w:hAnsi="宋体" w:cs="宋体"/>
          <w:color w:val="auto"/>
          <w:highlight w:val="none"/>
        </w:rPr>
        <w:t>小时。</w:t>
      </w:r>
    </w:p>
    <w:p w14:paraId="1F4986B0">
      <w:pPr>
        <w:pStyle w:val="5"/>
        <w:tabs>
          <w:tab w:val="left" w:pos="3315"/>
        </w:tabs>
        <w:snapToGrid w:val="0"/>
        <w:spacing w:before="0" w:after="0" w:line="440" w:lineRule="exact"/>
        <w:ind w:firstLine="420" w:firstLineChars="200"/>
        <w:rPr>
          <w:rFonts w:hint="eastAsia" w:ascii="宋体" w:eastAsia="宋体" w:cs="宋体"/>
          <w:b w:val="0"/>
          <w:color w:val="auto"/>
          <w:sz w:val="21"/>
          <w:szCs w:val="21"/>
          <w:highlight w:val="none"/>
        </w:rPr>
      </w:pPr>
      <w:r>
        <w:rPr>
          <w:rFonts w:hint="eastAsia" w:ascii="宋体" w:eastAsia="宋体" w:cs="宋体"/>
          <w:b w:val="0"/>
          <w:color w:val="auto"/>
          <w:sz w:val="21"/>
          <w:szCs w:val="21"/>
          <w:highlight w:val="none"/>
        </w:rPr>
        <w:t>6. 安全文明施工与环境保护</w:t>
      </w:r>
      <w:r>
        <w:rPr>
          <w:rFonts w:hint="eastAsia" w:ascii="宋体" w:eastAsia="宋体" w:cs="宋体"/>
          <w:b w:val="0"/>
          <w:color w:val="auto"/>
          <w:sz w:val="21"/>
          <w:szCs w:val="21"/>
          <w:highlight w:val="none"/>
        </w:rPr>
        <w:tab/>
      </w:r>
    </w:p>
    <w:p w14:paraId="09FD88B5">
      <w:pPr>
        <w:snapToGrid w:val="0"/>
        <w:spacing w:line="440" w:lineRule="exact"/>
        <w:ind w:firstLine="420" w:firstLineChars="200"/>
        <w:rPr>
          <w:rFonts w:hint="eastAsia" w:ascii="宋体" w:cs="宋体"/>
          <w:color w:val="auto"/>
          <w:szCs w:val="21"/>
          <w:highlight w:val="none"/>
        </w:rPr>
      </w:pPr>
      <w:r>
        <w:rPr>
          <w:rFonts w:hint="eastAsia" w:ascii="宋体" w:cs="宋体"/>
          <w:color w:val="auto"/>
          <w:szCs w:val="21"/>
          <w:highlight w:val="none"/>
        </w:rPr>
        <w:t>6.1安全文明施工</w:t>
      </w:r>
    </w:p>
    <w:p w14:paraId="7B5AA553">
      <w:pPr>
        <w:snapToGrid w:val="0"/>
        <w:spacing w:line="440" w:lineRule="exact"/>
        <w:ind w:firstLine="420" w:firstLineChars="200"/>
        <w:jc w:val="left"/>
        <w:rPr>
          <w:rFonts w:hint="eastAsia" w:ascii="宋体" w:cs="宋体"/>
          <w:color w:val="auto"/>
          <w:szCs w:val="21"/>
          <w:highlight w:val="none"/>
        </w:rPr>
      </w:pPr>
      <w:r>
        <w:rPr>
          <w:rFonts w:hint="eastAsia" w:ascii="宋体" w:cs="宋体"/>
          <w:color w:val="auto"/>
          <w:szCs w:val="21"/>
          <w:highlight w:val="none"/>
        </w:rPr>
        <w:t>6.1.1 项目安全生产的达标目标及相应事项的约定</w:t>
      </w:r>
      <w:r>
        <w:rPr>
          <w:rFonts w:hint="eastAsia" w:ascii="宋体" w:cs="宋体"/>
          <w:color w:val="auto"/>
          <w:szCs w:val="21"/>
          <w:highlight w:val="none"/>
          <w:u w:val="single"/>
        </w:rPr>
        <w:t xml:space="preserve">  </w:t>
      </w:r>
      <w:r>
        <w:rPr>
          <w:rFonts w:hint="eastAsia" w:ascii="宋体" w:cs="宋体"/>
          <w:color w:val="auto"/>
          <w:szCs w:val="21"/>
          <w:highlight w:val="none"/>
          <w:u w:val="single"/>
          <w:lang w:val="en-US" w:eastAsia="zh-CN"/>
        </w:rPr>
        <w:t xml:space="preserve">  </w:t>
      </w:r>
      <w:r>
        <w:rPr>
          <w:rFonts w:hint="eastAsia" w:ascii="宋体" w:cs="宋体"/>
          <w:color w:val="auto"/>
          <w:szCs w:val="21"/>
          <w:highlight w:val="none"/>
          <w:u w:val="single"/>
        </w:rPr>
        <w:t xml:space="preserve">    。</w:t>
      </w:r>
    </w:p>
    <w:p w14:paraId="4907B10C">
      <w:pPr>
        <w:snapToGrid w:val="0"/>
        <w:spacing w:line="440" w:lineRule="exact"/>
        <w:ind w:firstLine="420" w:firstLineChars="200"/>
        <w:jc w:val="left"/>
        <w:rPr>
          <w:rFonts w:hint="eastAsia" w:ascii="宋体" w:cs="宋体"/>
          <w:color w:val="auto"/>
          <w:szCs w:val="21"/>
          <w:highlight w:val="none"/>
          <w:u w:val="single"/>
        </w:rPr>
      </w:pPr>
      <w:r>
        <w:rPr>
          <w:rFonts w:hint="eastAsia" w:ascii="宋体" w:cs="宋体"/>
          <w:color w:val="auto"/>
          <w:szCs w:val="21"/>
          <w:highlight w:val="none"/>
        </w:rPr>
        <w:t>6.1.4 关于治安保卫的特别约定：</w:t>
      </w:r>
      <w:r>
        <w:rPr>
          <w:rFonts w:hint="eastAsia" w:ascii="宋体" w:cs="宋体"/>
          <w:color w:val="auto"/>
          <w:szCs w:val="21"/>
          <w:highlight w:val="none"/>
          <w:u w:val="single"/>
        </w:rPr>
        <w:t xml:space="preserve"> </w:t>
      </w:r>
      <w:r>
        <w:rPr>
          <w:rFonts w:hint="eastAsia" w:ascii="宋体" w:cs="宋体"/>
          <w:color w:val="auto"/>
          <w:szCs w:val="21"/>
          <w:highlight w:val="none"/>
          <w:u w:val="single"/>
          <w:lang w:val="en-US" w:eastAsia="zh-CN"/>
        </w:rPr>
        <w:t xml:space="preserve">     </w:t>
      </w:r>
      <w:r>
        <w:rPr>
          <w:rFonts w:hint="eastAsia" w:ascii="宋体" w:cs="宋体"/>
          <w:color w:val="auto"/>
          <w:szCs w:val="21"/>
          <w:highlight w:val="none"/>
          <w:u w:val="single"/>
        </w:rPr>
        <w:t>。</w:t>
      </w:r>
    </w:p>
    <w:p w14:paraId="75767E2F">
      <w:pPr>
        <w:snapToGrid w:val="0"/>
        <w:spacing w:line="440" w:lineRule="exact"/>
        <w:ind w:firstLine="420" w:firstLineChars="200"/>
        <w:jc w:val="left"/>
        <w:rPr>
          <w:rFonts w:hint="eastAsia" w:ascii="宋体" w:cs="宋体"/>
          <w:color w:val="auto"/>
          <w:szCs w:val="21"/>
          <w:highlight w:val="none"/>
        </w:rPr>
      </w:pPr>
      <w:r>
        <w:rPr>
          <w:rFonts w:hint="eastAsia" w:ascii="宋体" w:cs="宋体"/>
          <w:color w:val="auto"/>
          <w:szCs w:val="21"/>
          <w:highlight w:val="none"/>
        </w:rPr>
        <w:t>关于编制施工场地治安管理计划的约定：</w:t>
      </w:r>
      <w:r>
        <w:rPr>
          <w:rFonts w:hint="eastAsia" w:ascii="宋体" w:cs="宋体"/>
          <w:color w:val="auto"/>
          <w:szCs w:val="21"/>
          <w:highlight w:val="none"/>
          <w:u w:val="single"/>
        </w:rPr>
        <w:t xml:space="preserve">   由承包人负责       </w:t>
      </w:r>
      <w:r>
        <w:rPr>
          <w:rFonts w:hint="eastAsia" w:ascii="宋体" w:cs="宋体"/>
          <w:color w:val="auto"/>
          <w:szCs w:val="21"/>
          <w:highlight w:val="none"/>
        </w:rPr>
        <w:t>。</w:t>
      </w:r>
    </w:p>
    <w:p w14:paraId="471254C5">
      <w:pPr>
        <w:snapToGrid w:val="0"/>
        <w:spacing w:line="440" w:lineRule="exact"/>
        <w:ind w:firstLine="420" w:firstLineChars="200"/>
        <w:jc w:val="left"/>
        <w:rPr>
          <w:rFonts w:hint="eastAsia" w:ascii="宋体" w:cs="宋体"/>
          <w:color w:val="auto"/>
          <w:szCs w:val="21"/>
          <w:highlight w:val="none"/>
        </w:rPr>
      </w:pPr>
      <w:r>
        <w:rPr>
          <w:rFonts w:hint="eastAsia" w:ascii="宋体" w:cs="宋体"/>
          <w:color w:val="auto"/>
          <w:szCs w:val="21"/>
          <w:highlight w:val="none"/>
        </w:rPr>
        <w:t>6.1.5 文明施工</w:t>
      </w:r>
    </w:p>
    <w:p w14:paraId="531A3B2F">
      <w:pPr>
        <w:snapToGrid w:val="0"/>
        <w:spacing w:line="440" w:lineRule="exact"/>
        <w:ind w:firstLine="420" w:firstLineChars="200"/>
        <w:jc w:val="left"/>
        <w:rPr>
          <w:rFonts w:hint="eastAsia" w:ascii="宋体" w:cs="宋体"/>
          <w:color w:val="auto"/>
          <w:szCs w:val="21"/>
          <w:highlight w:val="none"/>
          <w:u w:val="single"/>
        </w:rPr>
      </w:pPr>
      <w:r>
        <w:rPr>
          <w:rFonts w:hint="eastAsia" w:ascii="宋体" w:cs="宋体"/>
          <w:color w:val="auto"/>
          <w:szCs w:val="21"/>
          <w:highlight w:val="none"/>
        </w:rPr>
        <w:t>合同当事人对文明施工的要求：</w:t>
      </w:r>
      <w:r>
        <w:rPr>
          <w:rFonts w:hint="eastAsia" w:ascii="宋体" w:cs="宋体"/>
          <w:color w:val="auto"/>
          <w:szCs w:val="21"/>
          <w:highlight w:val="none"/>
          <w:u w:val="single"/>
        </w:rPr>
        <w:t xml:space="preserve">   执行</w:t>
      </w:r>
      <w:r>
        <w:rPr>
          <w:rFonts w:hint="eastAsia" w:ascii="宋体" w:cs="宋体"/>
          <w:color w:val="auto"/>
          <w:szCs w:val="21"/>
          <w:highlight w:val="none"/>
          <w:u w:val="single"/>
          <w:lang w:val="en-US" w:eastAsia="zh-CN"/>
        </w:rPr>
        <w:t>招标</w:t>
      </w:r>
      <w:r>
        <w:rPr>
          <w:rFonts w:hint="eastAsia" w:ascii="宋体" w:cs="宋体"/>
          <w:color w:val="auto"/>
          <w:szCs w:val="21"/>
          <w:highlight w:val="none"/>
          <w:u w:val="single"/>
        </w:rPr>
        <w:t xml:space="preserve">文件   </w:t>
      </w:r>
      <w:r>
        <w:rPr>
          <w:rFonts w:hint="eastAsia" w:ascii="宋体" w:cs="宋体"/>
          <w:color w:val="auto"/>
          <w:szCs w:val="21"/>
          <w:highlight w:val="none"/>
        </w:rPr>
        <w:t>。</w:t>
      </w:r>
    </w:p>
    <w:p w14:paraId="2873FDB8">
      <w:pPr>
        <w:snapToGrid w:val="0"/>
        <w:spacing w:line="440" w:lineRule="exact"/>
        <w:ind w:firstLine="420" w:firstLineChars="200"/>
        <w:jc w:val="left"/>
        <w:rPr>
          <w:rFonts w:hint="eastAsia" w:ascii="宋体" w:hAnsi="宋体" w:cs="宋体"/>
          <w:bCs/>
          <w:color w:val="auto"/>
          <w:szCs w:val="21"/>
          <w:highlight w:val="none"/>
          <w:u w:val="single"/>
        </w:rPr>
      </w:pPr>
      <w:r>
        <w:rPr>
          <w:rFonts w:hint="eastAsia" w:ascii="宋体" w:hAnsi="宋体" w:cs="宋体"/>
          <w:bCs/>
          <w:color w:val="auto"/>
          <w:szCs w:val="21"/>
          <w:highlight w:val="none"/>
        </w:rPr>
        <w:t>6.1.6 关于安全文明施工费支付比例和支付期限的约定：</w:t>
      </w:r>
      <w:r>
        <w:rPr>
          <w:rFonts w:hint="eastAsia" w:ascii="宋体" w:hAnsi="宋体" w:cs="宋体"/>
          <w:bCs/>
          <w:color w:val="auto"/>
          <w:szCs w:val="21"/>
          <w:highlight w:val="none"/>
          <w:u w:val="single"/>
          <w:lang w:val="en-US" w:eastAsia="zh-CN"/>
        </w:rPr>
        <w:t xml:space="preserve">              </w:t>
      </w:r>
      <w:r>
        <w:rPr>
          <w:rFonts w:hint="eastAsia" w:ascii="宋体" w:hAnsi="宋体" w:cs="宋体"/>
          <w:bCs/>
          <w:color w:val="auto"/>
          <w:szCs w:val="21"/>
          <w:highlight w:val="none"/>
          <w:u w:val="single"/>
        </w:rPr>
        <w:t>。</w:t>
      </w:r>
    </w:p>
    <w:p w14:paraId="7B42C225">
      <w:pPr>
        <w:pStyle w:val="5"/>
        <w:snapToGrid w:val="0"/>
        <w:spacing w:before="0" w:after="0" w:line="440" w:lineRule="exact"/>
        <w:ind w:firstLine="420" w:firstLineChars="200"/>
        <w:rPr>
          <w:rFonts w:hint="eastAsia" w:ascii="宋体" w:eastAsia="宋体" w:cs="宋体"/>
          <w:b w:val="0"/>
          <w:color w:val="auto"/>
          <w:sz w:val="21"/>
          <w:szCs w:val="21"/>
          <w:highlight w:val="none"/>
        </w:rPr>
      </w:pPr>
      <w:r>
        <w:rPr>
          <w:rFonts w:hint="eastAsia" w:ascii="宋体" w:eastAsia="宋体" w:cs="宋体"/>
          <w:b w:val="0"/>
          <w:color w:val="auto"/>
          <w:sz w:val="21"/>
          <w:szCs w:val="21"/>
          <w:highlight w:val="none"/>
        </w:rPr>
        <w:t>7. 工期和进度</w:t>
      </w:r>
    </w:p>
    <w:p w14:paraId="31B76BC6">
      <w:pPr>
        <w:tabs>
          <w:tab w:val="left" w:pos="3240"/>
        </w:tabs>
        <w:snapToGrid w:val="0"/>
        <w:spacing w:line="440" w:lineRule="exact"/>
        <w:ind w:firstLine="420" w:firstLineChars="200"/>
        <w:rPr>
          <w:rFonts w:hint="eastAsia" w:ascii="宋体" w:cs="宋体"/>
          <w:color w:val="auto"/>
          <w:szCs w:val="21"/>
          <w:highlight w:val="none"/>
        </w:rPr>
      </w:pPr>
      <w:r>
        <w:rPr>
          <w:rFonts w:hint="eastAsia" w:ascii="宋体" w:cs="宋体"/>
          <w:color w:val="auto"/>
          <w:szCs w:val="21"/>
          <w:highlight w:val="none"/>
        </w:rPr>
        <w:t>7.1 施工组织设计</w:t>
      </w:r>
      <w:r>
        <w:rPr>
          <w:rFonts w:hint="eastAsia" w:ascii="宋体" w:cs="宋体"/>
          <w:color w:val="auto"/>
          <w:szCs w:val="21"/>
          <w:highlight w:val="none"/>
        </w:rPr>
        <w:tab/>
      </w:r>
    </w:p>
    <w:p w14:paraId="7C6BE0DC">
      <w:pPr>
        <w:autoSpaceDE w:val="0"/>
        <w:autoSpaceDN w:val="0"/>
        <w:adjustRightInd w:val="0"/>
        <w:snapToGrid w:val="0"/>
        <w:spacing w:line="440" w:lineRule="exact"/>
        <w:ind w:firstLine="420" w:firstLineChars="200"/>
        <w:jc w:val="left"/>
        <w:rPr>
          <w:rFonts w:hint="eastAsia" w:ascii="宋体" w:cs="宋体"/>
          <w:color w:val="auto"/>
          <w:szCs w:val="21"/>
          <w:highlight w:val="none"/>
        </w:rPr>
      </w:pPr>
      <w:r>
        <w:rPr>
          <w:rFonts w:hint="eastAsia" w:ascii="宋体" w:cs="宋体"/>
          <w:color w:val="auto"/>
          <w:szCs w:val="21"/>
          <w:highlight w:val="none"/>
        </w:rPr>
        <w:t>7.1.1 （9）合</w:t>
      </w:r>
      <w:r>
        <w:rPr>
          <w:rFonts w:hint="eastAsia" w:ascii="宋体" w:cs="宋体"/>
          <w:color w:val="auto"/>
          <w:kern w:val="0"/>
          <w:szCs w:val="21"/>
          <w:highlight w:val="none"/>
        </w:rPr>
        <w:t>同当事人约定的施工组织设计应包括的其他内容：</w:t>
      </w:r>
      <w:r>
        <w:rPr>
          <w:rFonts w:hint="eastAsia" w:ascii="宋体" w:cs="宋体"/>
          <w:color w:val="auto"/>
          <w:szCs w:val="21"/>
          <w:highlight w:val="none"/>
          <w:u w:val="single"/>
        </w:rPr>
        <w:t xml:space="preserve"> </w:t>
      </w:r>
      <w:r>
        <w:rPr>
          <w:rFonts w:hint="eastAsia" w:ascii="宋体" w:hAnsi="宋体" w:cs="宋体"/>
          <w:color w:val="auto"/>
          <w:szCs w:val="21"/>
          <w:highlight w:val="none"/>
          <w:u w:val="single"/>
        </w:rPr>
        <w:t>总进度计划须含网络图、横道图</w:t>
      </w:r>
      <w:r>
        <w:rPr>
          <w:rFonts w:hint="eastAsia" w:ascii="宋体" w:cs="宋体"/>
          <w:color w:val="auto"/>
          <w:szCs w:val="21"/>
          <w:highlight w:val="none"/>
          <w:u w:val="single"/>
        </w:rPr>
        <w:t xml:space="preserve">  </w:t>
      </w:r>
      <w:r>
        <w:rPr>
          <w:rFonts w:hint="eastAsia" w:ascii="宋体" w:cs="宋体"/>
          <w:color w:val="auto"/>
          <w:szCs w:val="21"/>
          <w:highlight w:val="none"/>
        </w:rPr>
        <w:t>。</w:t>
      </w:r>
    </w:p>
    <w:p w14:paraId="447E4154">
      <w:pPr>
        <w:autoSpaceDE w:val="0"/>
        <w:autoSpaceDN w:val="0"/>
        <w:adjustRightInd w:val="0"/>
        <w:snapToGrid w:val="0"/>
        <w:spacing w:line="440" w:lineRule="exact"/>
        <w:ind w:firstLine="420" w:firstLineChars="200"/>
        <w:jc w:val="left"/>
        <w:rPr>
          <w:rFonts w:hint="eastAsia" w:ascii="宋体" w:cs="宋体"/>
          <w:color w:val="auto"/>
          <w:kern w:val="0"/>
          <w:szCs w:val="21"/>
          <w:highlight w:val="none"/>
        </w:rPr>
      </w:pPr>
      <w:r>
        <w:rPr>
          <w:rFonts w:hint="eastAsia" w:ascii="宋体" w:cs="宋体"/>
          <w:color w:val="auto"/>
          <w:szCs w:val="21"/>
          <w:highlight w:val="none"/>
        </w:rPr>
        <w:t xml:space="preserve">7.1.2 </w:t>
      </w:r>
      <w:r>
        <w:rPr>
          <w:rFonts w:hint="eastAsia" w:ascii="宋体" w:cs="宋体"/>
          <w:color w:val="auto"/>
          <w:kern w:val="0"/>
          <w:szCs w:val="21"/>
          <w:highlight w:val="none"/>
        </w:rPr>
        <w:t>施工组织设计的提交和修改</w:t>
      </w:r>
    </w:p>
    <w:p w14:paraId="34820E1B">
      <w:pPr>
        <w:autoSpaceDE w:val="0"/>
        <w:autoSpaceDN w:val="0"/>
        <w:adjustRightInd w:val="0"/>
        <w:snapToGrid w:val="0"/>
        <w:spacing w:line="440" w:lineRule="exact"/>
        <w:ind w:firstLine="420" w:firstLineChars="200"/>
        <w:jc w:val="left"/>
        <w:rPr>
          <w:rFonts w:hint="eastAsia" w:ascii="宋体" w:cs="宋体"/>
          <w:color w:val="auto"/>
          <w:szCs w:val="21"/>
          <w:highlight w:val="none"/>
        </w:rPr>
      </w:pPr>
      <w:r>
        <w:rPr>
          <w:rFonts w:hint="eastAsia" w:ascii="宋体" w:cs="宋体"/>
          <w:color w:val="auto"/>
          <w:kern w:val="0"/>
          <w:szCs w:val="21"/>
          <w:highlight w:val="none"/>
        </w:rPr>
        <w:t>承包人提交详细施工组织设计的期限的约定：</w:t>
      </w:r>
      <w:r>
        <w:rPr>
          <w:rFonts w:hint="eastAsia" w:ascii="宋体" w:cs="宋体"/>
          <w:color w:val="auto"/>
          <w:szCs w:val="21"/>
          <w:highlight w:val="none"/>
          <w:u w:val="single"/>
        </w:rPr>
        <w:t xml:space="preserve">图纸会审及设计交底后一周内提供标后实施性施工组织设计 </w:t>
      </w:r>
      <w:r>
        <w:rPr>
          <w:rFonts w:hint="eastAsia" w:ascii="宋体" w:cs="宋体"/>
          <w:color w:val="auto"/>
          <w:szCs w:val="21"/>
          <w:highlight w:val="none"/>
        </w:rPr>
        <w:t>。</w:t>
      </w:r>
    </w:p>
    <w:p w14:paraId="1D955992">
      <w:pPr>
        <w:snapToGrid w:val="0"/>
        <w:spacing w:line="440" w:lineRule="exact"/>
        <w:ind w:firstLine="420" w:firstLineChars="200"/>
        <w:jc w:val="left"/>
        <w:rPr>
          <w:rFonts w:hint="eastAsia" w:ascii="宋体" w:cs="宋体"/>
          <w:color w:val="auto"/>
          <w:szCs w:val="21"/>
          <w:highlight w:val="none"/>
        </w:rPr>
      </w:pPr>
      <w:r>
        <w:rPr>
          <w:rFonts w:hint="eastAsia" w:ascii="宋体" w:cs="宋体"/>
          <w:color w:val="auto"/>
          <w:szCs w:val="21"/>
          <w:highlight w:val="none"/>
        </w:rPr>
        <w:t>发包人和监理人在收到详细的施工组织设计后确认或提出修改意见的期限：</w:t>
      </w:r>
      <w:r>
        <w:rPr>
          <w:rFonts w:hint="eastAsia" w:ascii="宋体" w:cs="宋体"/>
          <w:color w:val="auto"/>
          <w:szCs w:val="21"/>
          <w:highlight w:val="none"/>
          <w:u w:val="single"/>
        </w:rPr>
        <w:t>发包人和监理人应在</w:t>
      </w:r>
      <w:r>
        <w:rPr>
          <w:rFonts w:hint="eastAsia" w:ascii="宋体" w:hAnsi="Times New Roman" w:eastAsia="宋体" w:cs="宋体"/>
          <w:color w:val="auto"/>
          <w:szCs w:val="21"/>
          <w:highlight w:val="none"/>
          <w:u w:val="single"/>
        </w:rPr>
        <w:t>监理人</w:t>
      </w:r>
      <w:r>
        <w:rPr>
          <w:rFonts w:hint="eastAsia" w:ascii="宋体" w:cs="宋体"/>
          <w:color w:val="auto"/>
          <w:szCs w:val="21"/>
          <w:highlight w:val="none"/>
          <w:u w:val="single"/>
        </w:rPr>
        <w:t>收到施工组织设计后7天内确认或提出修改意见。对发包人和</w:t>
      </w:r>
      <w:r>
        <w:rPr>
          <w:rFonts w:hint="eastAsia" w:ascii="宋体" w:hAnsi="Times New Roman" w:eastAsia="宋体" w:cs="宋体"/>
          <w:color w:val="auto"/>
          <w:szCs w:val="21"/>
          <w:highlight w:val="none"/>
          <w:u w:val="single"/>
        </w:rPr>
        <w:t>监理人</w:t>
      </w:r>
      <w:r>
        <w:rPr>
          <w:rFonts w:hint="eastAsia" w:ascii="宋体" w:cs="宋体"/>
          <w:color w:val="auto"/>
          <w:szCs w:val="21"/>
          <w:highlight w:val="none"/>
          <w:u w:val="single"/>
        </w:rPr>
        <w:t>提出的合理意见和要求，承包人应自费修改完善。根据工程实际情况需要修改施工组织设计的，承包人应向发包人和</w:t>
      </w:r>
      <w:r>
        <w:rPr>
          <w:rFonts w:hint="eastAsia" w:ascii="宋体" w:hAnsi="Times New Roman" w:eastAsia="宋体" w:cs="宋体"/>
          <w:color w:val="auto"/>
          <w:szCs w:val="21"/>
          <w:highlight w:val="none"/>
          <w:u w:val="single"/>
        </w:rPr>
        <w:t>监理人</w:t>
      </w:r>
      <w:r>
        <w:rPr>
          <w:rFonts w:hint="eastAsia" w:ascii="宋体" w:cs="宋体"/>
          <w:color w:val="auto"/>
          <w:szCs w:val="21"/>
          <w:highlight w:val="none"/>
          <w:u w:val="single"/>
        </w:rPr>
        <w:t>提交修改后的施工组织设计。</w:t>
      </w:r>
    </w:p>
    <w:p w14:paraId="58C52619">
      <w:pPr>
        <w:snapToGrid w:val="0"/>
        <w:spacing w:line="440" w:lineRule="exact"/>
        <w:ind w:firstLine="420" w:firstLineChars="200"/>
        <w:rPr>
          <w:rFonts w:hint="eastAsia" w:ascii="宋体" w:cs="宋体"/>
          <w:color w:val="auto"/>
          <w:szCs w:val="21"/>
          <w:highlight w:val="none"/>
        </w:rPr>
      </w:pPr>
      <w:r>
        <w:rPr>
          <w:rFonts w:hint="eastAsia" w:ascii="宋体" w:cs="宋体"/>
          <w:color w:val="auto"/>
          <w:szCs w:val="21"/>
          <w:highlight w:val="none"/>
        </w:rPr>
        <w:t>7.2 施工进度计划</w:t>
      </w:r>
    </w:p>
    <w:p w14:paraId="2B31F985">
      <w:pPr>
        <w:snapToGrid w:val="0"/>
        <w:spacing w:line="440" w:lineRule="exact"/>
        <w:ind w:firstLine="420" w:firstLineChars="200"/>
        <w:jc w:val="left"/>
        <w:rPr>
          <w:rFonts w:hint="eastAsia" w:ascii="宋体" w:cs="宋体"/>
          <w:color w:val="auto"/>
          <w:szCs w:val="21"/>
          <w:highlight w:val="none"/>
        </w:rPr>
      </w:pPr>
      <w:r>
        <w:rPr>
          <w:rFonts w:hint="eastAsia" w:ascii="宋体" w:cs="宋体"/>
          <w:color w:val="auto"/>
          <w:szCs w:val="21"/>
          <w:highlight w:val="none"/>
        </w:rPr>
        <w:t>7.2.2 施工进度计划的修订</w:t>
      </w:r>
    </w:p>
    <w:p w14:paraId="670071B5">
      <w:pPr>
        <w:snapToGrid w:val="0"/>
        <w:spacing w:line="440" w:lineRule="exact"/>
        <w:ind w:firstLine="420" w:firstLineChars="200"/>
        <w:jc w:val="left"/>
        <w:rPr>
          <w:rFonts w:hint="eastAsia" w:ascii="宋体" w:cs="宋体"/>
          <w:color w:val="auto"/>
          <w:szCs w:val="21"/>
          <w:highlight w:val="none"/>
          <w:u w:val="single"/>
        </w:rPr>
      </w:pPr>
      <w:r>
        <w:rPr>
          <w:rFonts w:hint="eastAsia" w:ascii="宋体" w:cs="宋体"/>
          <w:color w:val="auto"/>
          <w:szCs w:val="21"/>
          <w:highlight w:val="none"/>
        </w:rPr>
        <w:t>发包人和</w:t>
      </w:r>
      <w:r>
        <w:rPr>
          <w:rFonts w:hint="eastAsia" w:ascii="宋体" w:hAnsi="Times New Roman" w:eastAsia="宋体" w:cs="宋体"/>
          <w:color w:val="auto"/>
          <w:szCs w:val="21"/>
          <w:highlight w:val="none"/>
          <w:u w:val="single"/>
        </w:rPr>
        <w:t>监理人</w:t>
      </w:r>
      <w:r>
        <w:rPr>
          <w:rFonts w:hint="eastAsia" w:ascii="宋体" w:cs="宋体"/>
          <w:color w:val="auto"/>
          <w:szCs w:val="21"/>
          <w:highlight w:val="none"/>
        </w:rPr>
        <w:t>在收到修订的施工进度计划后确认或提出修改意见的期限：</w:t>
      </w:r>
      <w:r>
        <w:rPr>
          <w:rFonts w:hint="eastAsia" w:ascii="宋体" w:cs="宋体"/>
          <w:color w:val="auto"/>
          <w:szCs w:val="21"/>
          <w:highlight w:val="none"/>
          <w:u w:val="single"/>
        </w:rPr>
        <w:t>发包人和</w:t>
      </w:r>
      <w:r>
        <w:rPr>
          <w:rFonts w:hint="eastAsia" w:ascii="宋体" w:hAnsi="Times New Roman" w:eastAsia="宋体" w:cs="宋体"/>
          <w:color w:val="auto"/>
          <w:szCs w:val="21"/>
          <w:highlight w:val="none"/>
          <w:u w:val="single"/>
        </w:rPr>
        <w:t>监理人</w:t>
      </w:r>
      <w:r>
        <w:rPr>
          <w:rFonts w:hint="eastAsia" w:ascii="宋体" w:cs="宋体"/>
          <w:color w:val="auto"/>
          <w:szCs w:val="21"/>
          <w:highlight w:val="none"/>
          <w:u w:val="single"/>
        </w:rPr>
        <w:t>应在收到修订的施工进度计划后7天内完成审核和批准或提出修改意见。发包人和</w:t>
      </w:r>
      <w:r>
        <w:rPr>
          <w:rFonts w:hint="eastAsia" w:ascii="宋体" w:hAnsi="Times New Roman" w:eastAsia="宋体" w:cs="宋体"/>
          <w:color w:val="auto"/>
          <w:szCs w:val="21"/>
          <w:highlight w:val="none"/>
          <w:u w:val="single"/>
        </w:rPr>
        <w:t>监理人</w:t>
      </w:r>
      <w:r>
        <w:rPr>
          <w:rFonts w:hint="eastAsia" w:ascii="宋体" w:cs="宋体"/>
          <w:color w:val="auto"/>
          <w:szCs w:val="21"/>
          <w:highlight w:val="none"/>
          <w:u w:val="single"/>
        </w:rPr>
        <w:t>对承包人提交的施工进度计划的确认，不能减轻或免除承包人根据法律规定和合同约定应承担的任何责任或义务。承包人必须按照批准的进度计划组织施工，接受发包人对进度的检查、监督，工程实际进展与进度计划不符时，应提供修改，调整后的进度计划及相应的措施报发包人批准后执行。</w:t>
      </w:r>
    </w:p>
    <w:p w14:paraId="62980897">
      <w:pPr>
        <w:snapToGrid w:val="0"/>
        <w:spacing w:line="440" w:lineRule="exact"/>
        <w:ind w:firstLine="420" w:firstLineChars="200"/>
        <w:rPr>
          <w:rFonts w:hint="eastAsia" w:ascii="宋体" w:cs="宋体"/>
          <w:color w:val="auto"/>
          <w:szCs w:val="21"/>
          <w:highlight w:val="none"/>
        </w:rPr>
      </w:pPr>
      <w:r>
        <w:rPr>
          <w:rFonts w:hint="eastAsia" w:ascii="宋体" w:cs="宋体"/>
          <w:color w:val="auto"/>
          <w:szCs w:val="21"/>
          <w:highlight w:val="none"/>
        </w:rPr>
        <w:t>7.3 开工</w:t>
      </w:r>
    </w:p>
    <w:p w14:paraId="2B2F126F">
      <w:pPr>
        <w:snapToGrid w:val="0"/>
        <w:spacing w:line="440" w:lineRule="exact"/>
        <w:ind w:firstLine="420" w:firstLineChars="200"/>
        <w:jc w:val="left"/>
        <w:rPr>
          <w:rFonts w:hint="eastAsia" w:ascii="宋体" w:cs="宋体"/>
          <w:color w:val="auto"/>
          <w:szCs w:val="21"/>
          <w:highlight w:val="none"/>
        </w:rPr>
      </w:pPr>
      <w:r>
        <w:rPr>
          <w:rFonts w:hint="eastAsia" w:ascii="宋体" w:cs="宋体"/>
          <w:color w:val="auto"/>
          <w:szCs w:val="21"/>
          <w:highlight w:val="none"/>
        </w:rPr>
        <w:t>7.3.1 开工准备</w:t>
      </w:r>
    </w:p>
    <w:p w14:paraId="7A11D914">
      <w:pPr>
        <w:snapToGrid w:val="0"/>
        <w:spacing w:line="440" w:lineRule="exact"/>
        <w:ind w:firstLine="420" w:firstLineChars="200"/>
        <w:jc w:val="left"/>
        <w:rPr>
          <w:rFonts w:hint="eastAsia" w:ascii="宋体" w:cs="宋体"/>
          <w:color w:val="auto"/>
          <w:szCs w:val="21"/>
          <w:highlight w:val="none"/>
          <w:u w:val="single"/>
        </w:rPr>
      </w:pPr>
      <w:r>
        <w:rPr>
          <w:rFonts w:hint="eastAsia" w:ascii="宋体" w:cs="宋体"/>
          <w:color w:val="auto"/>
          <w:szCs w:val="21"/>
          <w:highlight w:val="none"/>
        </w:rPr>
        <w:t>关于承包人提交</w:t>
      </w:r>
      <w:r>
        <w:rPr>
          <w:rFonts w:hint="eastAsia" w:ascii="宋体" w:cs="宋体"/>
          <w:color w:val="auto"/>
          <w:kern w:val="0"/>
          <w:szCs w:val="21"/>
          <w:highlight w:val="none"/>
        </w:rPr>
        <w:t>工程开工报审表的期限：</w:t>
      </w:r>
      <w:r>
        <w:rPr>
          <w:rFonts w:hint="eastAsia" w:ascii="宋体" w:cs="宋体"/>
          <w:color w:val="auto"/>
          <w:szCs w:val="21"/>
          <w:highlight w:val="none"/>
          <w:u w:val="single"/>
        </w:rPr>
        <w:t xml:space="preserve"> 承包人应按照第7.1款〔施工组织设计〕约定的期限，向</w:t>
      </w:r>
      <w:r>
        <w:rPr>
          <w:rFonts w:hint="eastAsia" w:ascii="宋体" w:hAnsi="Times New Roman" w:eastAsia="宋体" w:cs="宋体"/>
          <w:color w:val="auto"/>
          <w:szCs w:val="21"/>
          <w:highlight w:val="none"/>
          <w:u w:val="single"/>
        </w:rPr>
        <w:t>监理人</w:t>
      </w:r>
      <w:r>
        <w:rPr>
          <w:rFonts w:hint="eastAsia" w:ascii="宋体" w:cs="宋体"/>
          <w:color w:val="auto"/>
          <w:szCs w:val="21"/>
          <w:highlight w:val="none"/>
          <w:u w:val="single"/>
        </w:rPr>
        <w:t>提交工程开工报审表，经</w:t>
      </w:r>
      <w:r>
        <w:rPr>
          <w:rFonts w:hint="eastAsia" w:ascii="宋体" w:hAnsi="Times New Roman" w:eastAsia="宋体" w:cs="宋体"/>
          <w:color w:val="auto"/>
          <w:szCs w:val="21"/>
          <w:highlight w:val="none"/>
          <w:u w:val="single"/>
        </w:rPr>
        <w:t>监理人</w:t>
      </w:r>
      <w:r>
        <w:rPr>
          <w:rFonts w:hint="eastAsia" w:ascii="宋体" w:cs="宋体"/>
          <w:color w:val="auto"/>
          <w:szCs w:val="21"/>
          <w:highlight w:val="none"/>
          <w:u w:val="single"/>
        </w:rPr>
        <w:t>报发包人批准后执行。开工报审表应详细说明按施工进度计划正常施工所需的施工道路、临时设施、材料、工程设备、施工设备、施工人员等落实情况以及工程的进度安排。</w:t>
      </w:r>
    </w:p>
    <w:p w14:paraId="53B6030B">
      <w:pPr>
        <w:snapToGrid w:val="0"/>
        <w:spacing w:line="440" w:lineRule="exact"/>
        <w:ind w:firstLine="420" w:firstLineChars="200"/>
        <w:jc w:val="left"/>
        <w:rPr>
          <w:rFonts w:hint="eastAsia" w:ascii="宋体" w:cs="宋体"/>
          <w:color w:val="auto"/>
          <w:szCs w:val="21"/>
          <w:highlight w:val="none"/>
          <w:u w:val="single"/>
        </w:rPr>
      </w:pPr>
      <w:r>
        <w:rPr>
          <w:rFonts w:hint="eastAsia" w:ascii="宋体" w:cs="宋体"/>
          <w:color w:val="auto"/>
          <w:szCs w:val="21"/>
          <w:highlight w:val="none"/>
        </w:rPr>
        <w:t>关于承包人应完成的其他开工准备工作及期限：</w:t>
      </w:r>
      <w:r>
        <w:rPr>
          <w:rFonts w:hint="eastAsia" w:ascii="宋体" w:cs="宋体"/>
          <w:color w:val="auto"/>
          <w:szCs w:val="21"/>
          <w:highlight w:val="none"/>
          <w:u w:val="single"/>
        </w:rPr>
        <w:t>合同当事人应按约定完成开工准备工作。</w:t>
      </w:r>
    </w:p>
    <w:p w14:paraId="58018775">
      <w:pPr>
        <w:snapToGrid w:val="0"/>
        <w:spacing w:line="440" w:lineRule="exact"/>
        <w:ind w:firstLine="420" w:firstLineChars="200"/>
        <w:jc w:val="left"/>
        <w:rPr>
          <w:rFonts w:hint="eastAsia" w:ascii="宋体" w:cs="宋体"/>
          <w:color w:val="auto"/>
          <w:szCs w:val="21"/>
          <w:highlight w:val="none"/>
        </w:rPr>
      </w:pPr>
      <w:r>
        <w:rPr>
          <w:rFonts w:hint="eastAsia" w:ascii="宋体" w:cs="宋体"/>
          <w:color w:val="auto"/>
          <w:szCs w:val="21"/>
          <w:highlight w:val="none"/>
        </w:rPr>
        <w:t>7.3.2开工通知</w:t>
      </w:r>
    </w:p>
    <w:p w14:paraId="1D19E8AF">
      <w:pPr>
        <w:snapToGrid w:val="0"/>
        <w:spacing w:line="440" w:lineRule="exact"/>
        <w:ind w:firstLine="420" w:firstLineChars="200"/>
        <w:jc w:val="left"/>
        <w:rPr>
          <w:rFonts w:hint="eastAsia" w:ascii="宋体" w:cs="宋体"/>
          <w:color w:val="auto"/>
          <w:szCs w:val="21"/>
          <w:highlight w:val="none"/>
        </w:rPr>
      </w:pPr>
      <w:r>
        <w:rPr>
          <w:rFonts w:hint="eastAsia" w:ascii="宋体" w:cs="宋体"/>
          <w:color w:val="auto"/>
          <w:szCs w:val="21"/>
          <w:highlight w:val="none"/>
        </w:rPr>
        <w:t>因发包人原因造成</w:t>
      </w:r>
      <w:r>
        <w:rPr>
          <w:rFonts w:hint="eastAsia" w:ascii="宋体" w:hAnsi="Times New Roman" w:eastAsia="宋体" w:cs="宋体"/>
          <w:color w:val="auto"/>
          <w:szCs w:val="21"/>
          <w:highlight w:val="none"/>
          <w:u w:val="single"/>
        </w:rPr>
        <w:t>监理人</w:t>
      </w:r>
      <w:r>
        <w:rPr>
          <w:rFonts w:hint="eastAsia" w:ascii="宋体" w:cs="宋体"/>
          <w:color w:val="auto"/>
          <w:szCs w:val="21"/>
          <w:highlight w:val="none"/>
        </w:rPr>
        <w:t>未能在计划开工日期之日起</w:t>
      </w:r>
      <w:r>
        <w:rPr>
          <w:rFonts w:hint="eastAsia" w:ascii="宋体" w:cs="宋体"/>
          <w:color w:val="auto"/>
          <w:szCs w:val="21"/>
          <w:highlight w:val="none"/>
          <w:u w:val="single"/>
        </w:rPr>
        <w:t xml:space="preserve">  90  </w:t>
      </w:r>
      <w:r>
        <w:rPr>
          <w:rFonts w:hint="eastAsia" w:ascii="宋体" w:cs="宋体"/>
          <w:color w:val="auto"/>
          <w:szCs w:val="21"/>
          <w:highlight w:val="none"/>
        </w:rPr>
        <w:t>天内发出开工通知的，承包人有权提出价格调整要求，或者解除合同。</w:t>
      </w:r>
    </w:p>
    <w:p w14:paraId="42564535">
      <w:pPr>
        <w:snapToGrid w:val="0"/>
        <w:spacing w:line="440" w:lineRule="exact"/>
        <w:ind w:firstLine="420" w:firstLineChars="200"/>
        <w:rPr>
          <w:rFonts w:hint="eastAsia" w:ascii="宋体" w:cs="宋体"/>
          <w:color w:val="auto"/>
          <w:szCs w:val="21"/>
          <w:highlight w:val="none"/>
        </w:rPr>
      </w:pPr>
      <w:r>
        <w:rPr>
          <w:rFonts w:hint="eastAsia" w:ascii="宋体" w:cs="宋体"/>
          <w:color w:val="auto"/>
          <w:szCs w:val="21"/>
          <w:highlight w:val="none"/>
        </w:rPr>
        <w:t>7.4 测量放线</w:t>
      </w:r>
    </w:p>
    <w:p w14:paraId="72BAFC92">
      <w:pPr>
        <w:snapToGrid w:val="0"/>
        <w:spacing w:line="440" w:lineRule="exact"/>
        <w:ind w:firstLine="420" w:firstLineChars="200"/>
        <w:jc w:val="left"/>
        <w:rPr>
          <w:rFonts w:hint="eastAsia" w:ascii="宋体" w:hAnsi="宋体" w:cs="宋体"/>
          <w:color w:val="auto"/>
          <w:highlight w:val="none"/>
        </w:rPr>
      </w:pPr>
      <w:r>
        <w:rPr>
          <w:rFonts w:hint="eastAsia" w:ascii="宋体" w:cs="宋体"/>
          <w:color w:val="auto"/>
          <w:szCs w:val="21"/>
          <w:highlight w:val="none"/>
        </w:rPr>
        <w:t>7.4.1发包人通过</w:t>
      </w:r>
      <w:r>
        <w:rPr>
          <w:rFonts w:hint="eastAsia" w:ascii="宋体" w:hAnsi="Times New Roman" w:eastAsia="宋体" w:cs="宋体"/>
          <w:color w:val="auto"/>
          <w:szCs w:val="21"/>
          <w:highlight w:val="none"/>
          <w:u w:val="single"/>
        </w:rPr>
        <w:t>监理人</w:t>
      </w:r>
      <w:r>
        <w:rPr>
          <w:rFonts w:hint="eastAsia" w:ascii="宋体" w:cs="宋体"/>
          <w:color w:val="auto"/>
          <w:szCs w:val="21"/>
          <w:highlight w:val="none"/>
        </w:rPr>
        <w:t>向承包人提供测量基准点、基准线和水准点及其书面资料的期限：</w:t>
      </w:r>
      <w:r>
        <w:rPr>
          <w:rFonts w:hint="eastAsia" w:ascii="宋体" w:cs="宋体"/>
          <w:color w:val="auto"/>
          <w:szCs w:val="21"/>
          <w:highlight w:val="none"/>
          <w:u w:val="single"/>
        </w:rPr>
        <w:t xml:space="preserve"> </w:t>
      </w:r>
      <w:r>
        <w:rPr>
          <w:rFonts w:hint="eastAsia" w:ascii="宋体" w:hAnsi="宋体" w:cs="宋体"/>
          <w:color w:val="auto"/>
          <w:highlight w:val="none"/>
          <w:u w:val="single"/>
        </w:rPr>
        <w:t>发包人应在至迟不得晚于第7.3.2项〔开工通知〕载明的开工日期前7天通过</w:t>
      </w:r>
      <w:r>
        <w:rPr>
          <w:rFonts w:hint="eastAsia" w:ascii="宋体" w:hAnsi="Times New Roman" w:eastAsia="宋体" w:cs="宋体"/>
          <w:color w:val="auto"/>
          <w:szCs w:val="21"/>
          <w:highlight w:val="none"/>
          <w:u w:val="single"/>
        </w:rPr>
        <w:t>监理人</w:t>
      </w:r>
      <w:r>
        <w:rPr>
          <w:rFonts w:hint="eastAsia" w:ascii="宋体" w:hAnsi="宋体" w:cs="宋体"/>
          <w:color w:val="auto"/>
          <w:highlight w:val="none"/>
          <w:u w:val="single"/>
        </w:rPr>
        <w:t>向承包人提供测量基准点、基准线和水准点及其书面资料。</w:t>
      </w:r>
    </w:p>
    <w:p w14:paraId="32B2DD48">
      <w:pPr>
        <w:snapToGrid w:val="0"/>
        <w:spacing w:line="440" w:lineRule="exact"/>
        <w:ind w:firstLine="420" w:firstLineChars="200"/>
        <w:rPr>
          <w:rFonts w:hint="eastAsia" w:ascii="宋体" w:cs="宋体"/>
          <w:color w:val="auto"/>
          <w:szCs w:val="21"/>
          <w:highlight w:val="none"/>
        </w:rPr>
      </w:pPr>
      <w:r>
        <w:rPr>
          <w:rFonts w:hint="eastAsia" w:ascii="宋体" w:cs="宋体"/>
          <w:color w:val="auto"/>
          <w:szCs w:val="21"/>
          <w:highlight w:val="none"/>
        </w:rPr>
        <w:t>7.5 工期延误</w:t>
      </w:r>
    </w:p>
    <w:p w14:paraId="11A63017">
      <w:pPr>
        <w:snapToGrid w:val="0"/>
        <w:spacing w:line="440" w:lineRule="exact"/>
        <w:ind w:firstLine="420" w:firstLineChars="200"/>
        <w:jc w:val="left"/>
        <w:rPr>
          <w:rFonts w:hint="eastAsia" w:ascii="宋体" w:cs="宋体"/>
          <w:color w:val="auto"/>
          <w:szCs w:val="21"/>
          <w:highlight w:val="none"/>
        </w:rPr>
      </w:pPr>
      <w:r>
        <w:rPr>
          <w:rFonts w:hint="eastAsia" w:ascii="宋体" w:cs="宋体"/>
          <w:color w:val="auto"/>
          <w:szCs w:val="21"/>
          <w:highlight w:val="none"/>
        </w:rPr>
        <w:t>7.5.1 因发包人原因导致工期延误</w:t>
      </w:r>
    </w:p>
    <w:p w14:paraId="16126CC6">
      <w:pPr>
        <w:snapToGrid w:val="0"/>
        <w:spacing w:line="440" w:lineRule="exact"/>
        <w:ind w:firstLine="420" w:firstLineChars="200"/>
        <w:jc w:val="left"/>
        <w:rPr>
          <w:rFonts w:hint="eastAsia" w:ascii="宋体" w:cs="宋体"/>
          <w:color w:val="auto"/>
          <w:szCs w:val="21"/>
          <w:highlight w:val="none"/>
        </w:rPr>
      </w:pPr>
      <w:r>
        <w:rPr>
          <w:rFonts w:hint="eastAsia" w:ascii="宋体" w:cs="宋体"/>
          <w:color w:val="auto"/>
          <w:szCs w:val="21"/>
          <w:highlight w:val="none"/>
        </w:rPr>
        <w:t>（7）因发包人原因导致工期延误的其他情形：</w:t>
      </w:r>
      <w:r>
        <w:rPr>
          <w:rFonts w:hint="eastAsia" w:ascii="宋体" w:cs="宋体"/>
          <w:color w:val="auto"/>
          <w:szCs w:val="21"/>
          <w:highlight w:val="none"/>
          <w:u w:val="single"/>
        </w:rPr>
        <w:t xml:space="preserve"> 无     。</w:t>
      </w:r>
      <w:r>
        <w:rPr>
          <w:rFonts w:hint="eastAsia" w:ascii="宋体" w:cs="宋体"/>
          <w:color w:val="auto"/>
          <w:szCs w:val="21"/>
          <w:highlight w:val="none"/>
        </w:rPr>
        <w:t xml:space="preserve">        </w:t>
      </w:r>
    </w:p>
    <w:p w14:paraId="1D361BB2">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jc w:val="left"/>
        <w:textAlignment w:val="auto"/>
        <w:rPr>
          <w:rFonts w:hint="eastAsia" w:ascii="宋体" w:cs="宋体"/>
          <w:color w:val="auto"/>
          <w:szCs w:val="21"/>
          <w:highlight w:val="none"/>
        </w:rPr>
      </w:pPr>
      <w:r>
        <w:rPr>
          <w:rFonts w:hint="eastAsia" w:ascii="宋体" w:cs="宋体"/>
          <w:color w:val="auto"/>
          <w:szCs w:val="21"/>
          <w:highlight w:val="none"/>
        </w:rPr>
        <w:t>7.5.2 因承包人原因导致工期延误</w:t>
      </w:r>
    </w:p>
    <w:p w14:paraId="6AD28E21">
      <w:pPr>
        <w:pStyle w:val="14"/>
        <w:keepNext w:val="0"/>
        <w:keepLines w:val="0"/>
        <w:pageBreakBefore w:val="0"/>
        <w:widowControl w:val="0"/>
        <w:kinsoku/>
        <w:wordWrap/>
        <w:overflowPunct/>
        <w:topLinePunct w:val="0"/>
        <w:autoSpaceDE/>
        <w:autoSpaceDN/>
        <w:bidi w:val="0"/>
        <w:adjustRightInd/>
        <w:spacing w:after="0" w:line="440" w:lineRule="exact"/>
        <w:ind w:left="0" w:leftChars="0"/>
        <w:textAlignment w:val="auto"/>
        <w:rPr>
          <w:rFonts w:hint="eastAsia"/>
          <w:color w:val="auto"/>
          <w:highlight w:val="none"/>
          <w:u w:val="single"/>
          <w:lang w:val="en-US" w:eastAsia="zh-CN"/>
        </w:rPr>
      </w:pPr>
      <w:r>
        <w:rPr>
          <w:rFonts w:hint="eastAsia"/>
          <w:color w:val="auto"/>
          <w:highlight w:val="none"/>
        </w:rPr>
        <w:t>因承包人原因造成工期延误，逾期竣工违约金的计算方法为：</w:t>
      </w:r>
      <w:r>
        <w:rPr>
          <w:rFonts w:hint="eastAsia"/>
          <w:color w:val="auto"/>
          <w:highlight w:val="none"/>
          <w:u w:val="single"/>
        </w:rPr>
        <w:t xml:space="preserve"> </w:t>
      </w:r>
      <w:r>
        <w:rPr>
          <w:rFonts w:hint="eastAsia" w:ascii="宋体" w:hAnsi="宋体" w:cs="宋体"/>
          <w:color w:val="auto"/>
          <w:szCs w:val="21"/>
          <w:highlight w:val="none"/>
          <w:u w:val="single"/>
        </w:rPr>
        <w:t xml:space="preserve"> </w:t>
      </w:r>
      <w:r>
        <w:rPr>
          <w:rFonts w:hint="eastAsia" w:ascii="宋体" w:hAnsi="宋体" w:eastAsia="宋体" w:cs="宋体"/>
          <w:color w:val="auto"/>
          <w:highlight w:val="none"/>
          <w:u w:val="single"/>
        </w:rPr>
        <w:t>因承包</w:t>
      </w:r>
      <w:r>
        <w:rPr>
          <w:rFonts w:hint="eastAsia" w:ascii="宋体" w:hAnsi="宋体" w:eastAsia="宋体" w:cs="宋体"/>
          <w:color w:val="auto"/>
          <w:highlight w:val="none"/>
          <w:u w:val="single"/>
          <w:lang w:val="en-US" w:eastAsia="zh-CN"/>
        </w:rPr>
        <w:t>人</w:t>
      </w:r>
      <w:r>
        <w:rPr>
          <w:rFonts w:hint="eastAsia" w:ascii="宋体" w:hAnsi="宋体" w:eastAsia="宋体" w:cs="宋体"/>
          <w:color w:val="auto"/>
          <w:highlight w:val="none"/>
          <w:u w:val="single"/>
        </w:rPr>
        <w:t>原因造成的工期延误，</w:t>
      </w:r>
      <w:r>
        <w:rPr>
          <w:rFonts w:hint="eastAsia" w:ascii="宋体" w:hAnsi="宋体" w:eastAsia="宋体" w:cs="宋体"/>
          <w:color w:val="auto"/>
          <w:sz w:val="21"/>
          <w:szCs w:val="21"/>
          <w:highlight w:val="none"/>
          <w:u w:val="single"/>
          <w:lang w:eastAsia="zh-CN"/>
        </w:rPr>
        <w:t>工期每推迟一天，按</w:t>
      </w:r>
      <w:r>
        <w:rPr>
          <w:rFonts w:hint="eastAsia" w:hAnsi="宋体" w:cs="宋体"/>
          <w:color w:val="auto"/>
          <w:sz w:val="21"/>
          <w:szCs w:val="21"/>
          <w:highlight w:val="none"/>
          <w:u w:val="single"/>
          <w:lang w:val="en-US" w:eastAsia="zh-CN"/>
        </w:rPr>
        <w:t>3000</w:t>
      </w:r>
      <w:r>
        <w:rPr>
          <w:rFonts w:hint="eastAsia" w:ascii="宋体" w:hAnsi="宋体" w:eastAsia="宋体" w:cs="宋体"/>
          <w:color w:val="auto"/>
          <w:sz w:val="21"/>
          <w:szCs w:val="21"/>
          <w:highlight w:val="none"/>
          <w:u w:val="single"/>
        </w:rPr>
        <w:t>元/天处以违约金</w:t>
      </w:r>
      <w:r>
        <w:rPr>
          <w:rFonts w:hint="eastAsia"/>
          <w:color w:val="auto"/>
          <w:highlight w:val="none"/>
          <w:u w:val="single"/>
          <w:lang w:val="en-US" w:eastAsia="zh-CN"/>
        </w:rPr>
        <w:t>。</w:t>
      </w:r>
    </w:p>
    <w:p w14:paraId="6D2F809F">
      <w:pPr>
        <w:pStyle w:val="14"/>
        <w:keepNext w:val="0"/>
        <w:keepLines w:val="0"/>
        <w:pageBreakBefore w:val="0"/>
        <w:widowControl w:val="0"/>
        <w:kinsoku/>
        <w:wordWrap/>
        <w:overflowPunct/>
        <w:topLinePunct w:val="0"/>
        <w:autoSpaceDE/>
        <w:autoSpaceDN/>
        <w:bidi w:val="0"/>
        <w:adjustRightInd/>
        <w:spacing w:after="0" w:line="440" w:lineRule="exact"/>
        <w:ind w:left="0" w:leftChars="0"/>
        <w:textAlignment w:val="auto"/>
        <w:rPr>
          <w:rFonts w:hint="eastAsia"/>
          <w:color w:val="auto"/>
          <w:highlight w:val="none"/>
        </w:rPr>
      </w:pPr>
      <w:r>
        <w:rPr>
          <w:rFonts w:hint="eastAsia"/>
          <w:color w:val="auto"/>
          <w:highlight w:val="none"/>
        </w:rPr>
        <w:t>因承包人原因造成工期延误，逾期竣工违约金的上限：</w:t>
      </w:r>
      <w:r>
        <w:rPr>
          <w:rFonts w:hint="eastAsia"/>
          <w:color w:val="auto"/>
          <w:highlight w:val="none"/>
          <w:u w:val="single"/>
        </w:rPr>
        <w:t xml:space="preserve"> 全额履约保证金 </w:t>
      </w:r>
      <w:r>
        <w:rPr>
          <w:rFonts w:hint="eastAsia"/>
          <w:color w:val="auto"/>
          <w:highlight w:val="none"/>
        </w:rPr>
        <w:t>。</w:t>
      </w:r>
    </w:p>
    <w:p w14:paraId="18128484">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hAnsi="宋体" w:eastAsia="宋体" w:cs="宋体"/>
          <w:color w:val="auto"/>
          <w:szCs w:val="21"/>
          <w:highlight w:val="none"/>
          <w:u w:val="single"/>
          <w:lang w:eastAsia="zh-CN"/>
        </w:rPr>
      </w:pPr>
      <w:r>
        <w:rPr>
          <w:rFonts w:hint="eastAsia" w:ascii="宋体" w:hAnsi="宋体" w:eastAsia="宋体" w:cs="宋体"/>
          <w:bCs/>
          <w:strike w:val="0"/>
          <w:dstrike w:val="0"/>
          <w:color w:val="auto"/>
          <w:szCs w:val="21"/>
          <w:highlight w:val="none"/>
          <w:u w:val="single"/>
          <w:lang w:val="en-US" w:eastAsia="zh-CN"/>
        </w:rPr>
        <w:t>发包人</w:t>
      </w:r>
      <w:r>
        <w:rPr>
          <w:rFonts w:hint="eastAsia" w:ascii="宋体" w:hAnsi="宋体" w:eastAsia="宋体" w:cs="宋体"/>
          <w:bCs/>
          <w:strike w:val="0"/>
          <w:dstrike w:val="0"/>
          <w:color w:val="auto"/>
          <w:szCs w:val="21"/>
          <w:highlight w:val="none"/>
          <w:u w:val="single"/>
        </w:rPr>
        <w:t>根据拖延工期的严重程度采用以下方法处理</w:t>
      </w:r>
      <w:r>
        <w:rPr>
          <w:rFonts w:hint="eastAsia" w:ascii="宋体" w:hAnsi="宋体" w:eastAsia="宋体" w:cs="宋体"/>
          <w:bCs/>
          <w:strike w:val="0"/>
          <w:dstrike w:val="0"/>
          <w:color w:val="auto"/>
          <w:szCs w:val="21"/>
          <w:highlight w:val="none"/>
          <w:u w:val="single"/>
          <w:lang w:eastAsia="zh-CN"/>
        </w:rPr>
        <w:t>：（</w:t>
      </w:r>
      <w:r>
        <w:rPr>
          <w:rFonts w:hint="eastAsia" w:ascii="宋体" w:hAnsi="宋体" w:eastAsia="宋体" w:cs="宋体"/>
          <w:bCs/>
          <w:strike w:val="0"/>
          <w:dstrike w:val="0"/>
          <w:color w:val="auto"/>
          <w:szCs w:val="21"/>
          <w:highlight w:val="none"/>
          <w:u w:val="single"/>
          <w:lang w:val="en-US" w:eastAsia="zh-CN"/>
        </w:rPr>
        <w:t>1</w:t>
      </w:r>
      <w:r>
        <w:rPr>
          <w:rFonts w:hint="eastAsia" w:ascii="宋体" w:hAnsi="宋体" w:eastAsia="宋体" w:cs="宋体"/>
          <w:bCs/>
          <w:strike w:val="0"/>
          <w:dstrike w:val="0"/>
          <w:color w:val="auto"/>
          <w:szCs w:val="21"/>
          <w:highlight w:val="none"/>
          <w:u w:val="single"/>
          <w:lang w:eastAsia="zh-CN"/>
        </w:rPr>
        <w:t>）</w:t>
      </w:r>
      <w:r>
        <w:rPr>
          <w:rFonts w:hint="eastAsia" w:ascii="宋体" w:hAnsi="宋体" w:eastAsia="宋体" w:cs="宋体"/>
          <w:bCs/>
          <w:strike w:val="0"/>
          <w:dstrike w:val="0"/>
          <w:color w:val="auto"/>
          <w:szCs w:val="21"/>
          <w:highlight w:val="none"/>
          <w:u w:val="single"/>
        </w:rPr>
        <w:t>督促承包人采取有效的赶工措施（费用自理）；</w:t>
      </w:r>
      <w:r>
        <w:rPr>
          <w:rFonts w:hint="eastAsia" w:ascii="宋体" w:hAnsi="宋体" w:eastAsia="宋体" w:cs="宋体"/>
          <w:strike w:val="0"/>
          <w:dstrike w:val="0"/>
          <w:color w:val="auto"/>
          <w:szCs w:val="21"/>
          <w:highlight w:val="none"/>
          <w:u w:val="single"/>
        </w:rPr>
        <w:t>（</w:t>
      </w:r>
      <w:r>
        <w:rPr>
          <w:rFonts w:hint="eastAsia" w:ascii="宋体" w:hAnsi="宋体" w:eastAsia="宋体" w:cs="宋体"/>
          <w:strike w:val="0"/>
          <w:dstrike w:val="0"/>
          <w:color w:val="auto"/>
          <w:szCs w:val="21"/>
          <w:highlight w:val="none"/>
          <w:u w:val="single"/>
          <w:lang w:val="en-US" w:eastAsia="zh-CN"/>
        </w:rPr>
        <w:t>2</w:t>
      </w:r>
      <w:r>
        <w:rPr>
          <w:rFonts w:hint="eastAsia" w:ascii="宋体" w:hAnsi="宋体" w:eastAsia="宋体" w:cs="宋体"/>
          <w:strike w:val="0"/>
          <w:dstrike w:val="0"/>
          <w:color w:val="auto"/>
          <w:szCs w:val="21"/>
          <w:highlight w:val="none"/>
          <w:u w:val="single"/>
        </w:rPr>
        <w:t>）</w:t>
      </w:r>
      <w:r>
        <w:rPr>
          <w:rFonts w:hint="eastAsia" w:ascii="宋体" w:hAnsi="宋体" w:eastAsia="宋体" w:cs="宋体"/>
          <w:bCs/>
          <w:strike w:val="0"/>
          <w:dstrike w:val="0"/>
          <w:color w:val="auto"/>
          <w:szCs w:val="21"/>
          <w:highlight w:val="none"/>
          <w:u w:val="single"/>
        </w:rPr>
        <w:t>对严重拖延工期，经发包人多次督促，承包人拒不执行的，发包人可</w:t>
      </w:r>
      <w:r>
        <w:rPr>
          <w:rFonts w:hint="eastAsia" w:ascii="宋体" w:hAnsi="宋体" w:eastAsia="宋体" w:cs="宋体"/>
          <w:strike w:val="0"/>
          <w:dstrike w:val="0"/>
          <w:color w:val="auto"/>
          <w:szCs w:val="21"/>
          <w:highlight w:val="none"/>
          <w:u w:val="single"/>
        </w:rPr>
        <w:t>终止</w:t>
      </w:r>
      <w:r>
        <w:rPr>
          <w:rFonts w:hint="eastAsia" w:ascii="宋体" w:hAnsi="宋体" w:eastAsia="宋体" w:cs="宋体"/>
          <w:bCs/>
          <w:strike w:val="0"/>
          <w:dstrike w:val="0"/>
          <w:color w:val="auto"/>
          <w:szCs w:val="21"/>
          <w:highlight w:val="none"/>
          <w:u w:val="single"/>
        </w:rPr>
        <w:t>施工合同，并和承包人进行清算。同时按原中标价格另选同样资质的施工队伍进场施工，原承包人须无条件配合，不得以任何借口阻挠另选的施工队伍施工，不得向发包人提出任何索赔要求</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eastAsia="zh-CN"/>
        </w:rPr>
        <w:t>。</w:t>
      </w:r>
    </w:p>
    <w:p w14:paraId="7BD0E645">
      <w:pPr>
        <w:snapToGrid w:val="0"/>
        <w:spacing w:line="440" w:lineRule="exact"/>
        <w:ind w:firstLine="420" w:firstLineChars="200"/>
        <w:rPr>
          <w:rFonts w:hint="eastAsia" w:ascii="宋体" w:cs="宋体"/>
          <w:color w:val="auto"/>
          <w:szCs w:val="21"/>
          <w:highlight w:val="none"/>
        </w:rPr>
      </w:pPr>
      <w:r>
        <w:rPr>
          <w:rFonts w:hint="eastAsia" w:ascii="宋体" w:cs="宋体"/>
          <w:color w:val="auto"/>
          <w:szCs w:val="21"/>
          <w:highlight w:val="none"/>
        </w:rPr>
        <w:t>7.6 不利物质条件</w:t>
      </w:r>
    </w:p>
    <w:p w14:paraId="2645C99D">
      <w:pPr>
        <w:snapToGrid w:val="0"/>
        <w:spacing w:line="440" w:lineRule="exact"/>
        <w:ind w:firstLine="420" w:firstLineChars="200"/>
        <w:jc w:val="left"/>
        <w:rPr>
          <w:rFonts w:ascii="宋体" w:cs="宋体"/>
          <w:color w:val="auto"/>
          <w:szCs w:val="21"/>
          <w:highlight w:val="none"/>
          <w:u w:val="single"/>
        </w:rPr>
      </w:pPr>
      <w:r>
        <w:rPr>
          <w:rFonts w:hint="eastAsia" w:ascii="宋体" w:cs="宋体"/>
          <w:color w:val="auto"/>
          <w:szCs w:val="21"/>
          <w:highlight w:val="none"/>
        </w:rPr>
        <w:t>不利物质条件的其他情形和有关约定：</w:t>
      </w:r>
      <w:r>
        <w:rPr>
          <w:rFonts w:hint="eastAsia" w:ascii="宋体" w:cs="宋体"/>
          <w:color w:val="auto"/>
          <w:szCs w:val="21"/>
          <w:highlight w:val="none"/>
          <w:u w:val="single"/>
        </w:rPr>
        <w:t xml:space="preserve"> 无  。</w:t>
      </w:r>
    </w:p>
    <w:p w14:paraId="049DF00A">
      <w:pPr>
        <w:snapToGrid w:val="0"/>
        <w:spacing w:line="440" w:lineRule="exact"/>
        <w:ind w:firstLine="420" w:firstLineChars="200"/>
        <w:rPr>
          <w:rFonts w:hint="eastAsia" w:ascii="宋体" w:cs="宋体"/>
          <w:color w:val="auto"/>
          <w:szCs w:val="21"/>
          <w:highlight w:val="none"/>
        </w:rPr>
      </w:pPr>
      <w:r>
        <w:rPr>
          <w:rFonts w:hint="eastAsia" w:ascii="宋体" w:cs="宋体"/>
          <w:color w:val="auto"/>
          <w:szCs w:val="21"/>
          <w:highlight w:val="none"/>
        </w:rPr>
        <w:t>7.7异常恶劣的气候条件</w:t>
      </w:r>
    </w:p>
    <w:p w14:paraId="1EEDCDCF">
      <w:pPr>
        <w:snapToGrid w:val="0"/>
        <w:spacing w:line="440" w:lineRule="exact"/>
        <w:ind w:firstLine="420" w:firstLineChars="200"/>
        <w:jc w:val="left"/>
        <w:rPr>
          <w:rFonts w:hint="eastAsia" w:ascii="宋体" w:cs="宋体"/>
          <w:color w:val="auto"/>
          <w:szCs w:val="21"/>
          <w:highlight w:val="none"/>
        </w:rPr>
      </w:pPr>
      <w:r>
        <w:rPr>
          <w:rFonts w:hint="eastAsia" w:ascii="宋体" w:cs="宋体"/>
          <w:color w:val="auto"/>
          <w:szCs w:val="21"/>
          <w:highlight w:val="none"/>
        </w:rPr>
        <w:t>发包人和承包人同意以下情形视为异常恶劣的气候条件：</w:t>
      </w:r>
    </w:p>
    <w:p w14:paraId="06996BDA">
      <w:pPr>
        <w:numPr>
          <w:ilvl w:val="0"/>
          <w:numId w:val="2"/>
        </w:numPr>
        <w:snapToGrid w:val="0"/>
        <w:spacing w:line="440" w:lineRule="exact"/>
        <w:ind w:firstLine="420" w:firstLineChars="200"/>
        <w:jc w:val="left"/>
        <w:rPr>
          <w:rFonts w:hint="eastAsia"/>
          <w:color w:val="auto"/>
          <w:highlight w:val="none"/>
        </w:rPr>
      </w:pPr>
      <w:r>
        <w:rPr>
          <w:rFonts w:hint="eastAsia" w:ascii="宋体" w:cs="宋体"/>
          <w:color w:val="auto"/>
          <w:szCs w:val="21"/>
          <w:highlight w:val="none"/>
          <w:u w:val="single"/>
        </w:rPr>
        <w:t xml:space="preserve"> 无   </w:t>
      </w:r>
      <w:r>
        <w:rPr>
          <w:rFonts w:hint="eastAsia" w:ascii="宋体" w:cs="宋体"/>
          <w:color w:val="auto"/>
          <w:szCs w:val="21"/>
          <w:highlight w:val="none"/>
        </w:rPr>
        <w:t>；</w:t>
      </w:r>
    </w:p>
    <w:p w14:paraId="419186D3">
      <w:pPr>
        <w:numPr>
          <w:ilvl w:val="0"/>
          <w:numId w:val="2"/>
        </w:numPr>
        <w:snapToGrid w:val="0"/>
        <w:spacing w:line="440" w:lineRule="exact"/>
        <w:ind w:firstLine="420" w:firstLineChars="200"/>
        <w:jc w:val="left"/>
        <w:rPr>
          <w:rFonts w:hint="eastAsia"/>
          <w:color w:val="auto"/>
          <w:highlight w:val="none"/>
        </w:rPr>
      </w:pPr>
      <w:r>
        <w:rPr>
          <w:rFonts w:hint="eastAsia" w:ascii="宋体" w:cs="宋体"/>
          <w:color w:val="auto"/>
          <w:szCs w:val="21"/>
          <w:highlight w:val="none"/>
          <w:u w:val="single"/>
        </w:rPr>
        <w:t xml:space="preserve"> 无   </w:t>
      </w:r>
      <w:r>
        <w:rPr>
          <w:rFonts w:hint="eastAsia" w:ascii="宋体" w:cs="宋体"/>
          <w:color w:val="auto"/>
          <w:szCs w:val="21"/>
          <w:highlight w:val="none"/>
        </w:rPr>
        <w:t>；</w:t>
      </w:r>
    </w:p>
    <w:p w14:paraId="5A5BAC38">
      <w:pPr>
        <w:numPr>
          <w:ilvl w:val="0"/>
          <w:numId w:val="2"/>
        </w:numPr>
        <w:snapToGrid w:val="0"/>
        <w:spacing w:line="440" w:lineRule="exact"/>
        <w:ind w:firstLine="420" w:firstLineChars="200"/>
        <w:jc w:val="left"/>
        <w:rPr>
          <w:rFonts w:hint="eastAsia"/>
          <w:color w:val="auto"/>
          <w:highlight w:val="none"/>
        </w:rPr>
      </w:pPr>
      <w:r>
        <w:rPr>
          <w:rFonts w:hint="eastAsia" w:ascii="宋体" w:cs="宋体"/>
          <w:color w:val="auto"/>
          <w:szCs w:val="21"/>
          <w:highlight w:val="none"/>
          <w:u w:val="single"/>
        </w:rPr>
        <w:t xml:space="preserve"> 无   </w:t>
      </w:r>
      <w:r>
        <w:rPr>
          <w:rFonts w:hint="eastAsia" w:ascii="宋体" w:cs="宋体"/>
          <w:color w:val="auto"/>
          <w:szCs w:val="21"/>
          <w:highlight w:val="none"/>
        </w:rPr>
        <w:t>；</w:t>
      </w:r>
    </w:p>
    <w:p w14:paraId="72D8DA8A">
      <w:pPr>
        <w:snapToGrid w:val="0"/>
        <w:spacing w:line="440" w:lineRule="exact"/>
        <w:ind w:firstLine="420" w:firstLineChars="200"/>
        <w:jc w:val="left"/>
        <w:rPr>
          <w:rFonts w:hint="eastAsia" w:ascii="宋体" w:hAnsi="宋体" w:cs="宋体"/>
          <w:color w:val="auto"/>
          <w:highlight w:val="none"/>
        </w:rPr>
      </w:pPr>
      <w:r>
        <w:rPr>
          <w:rFonts w:hint="eastAsia" w:ascii="宋体" w:hAnsi="宋体" w:cs="宋体"/>
          <w:color w:val="auto"/>
          <w:highlight w:val="none"/>
        </w:rPr>
        <w:t>7.9 提前竣工的奖励</w:t>
      </w:r>
    </w:p>
    <w:p w14:paraId="6C6ED465">
      <w:pPr>
        <w:pStyle w:val="14"/>
        <w:spacing w:after="0" w:line="440" w:lineRule="exact"/>
        <w:ind w:left="0" w:leftChars="0"/>
        <w:rPr>
          <w:rFonts w:hint="eastAsia"/>
          <w:color w:val="auto"/>
          <w:highlight w:val="none"/>
        </w:rPr>
      </w:pPr>
      <w:r>
        <w:rPr>
          <w:rFonts w:hint="eastAsia"/>
          <w:color w:val="auto"/>
          <w:highlight w:val="none"/>
        </w:rPr>
        <w:t>7.9.2提前竣工的奖励：</w:t>
      </w:r>
      <w:r>
        <w:rPr>
          <w:rFonts w:hint="eastAsia"/>
          <w:color w:val="auto"/>
          <w:highlight w:val="none"/>
          <w:u w:val="single"/>
        </w:rPr>
        <w:t xml:space="preserve"> </w:t>
      </w:r>
      <w:r>
        <w:rPr>
          <w:rFonts w:hint="eastAsia" w:ascii="宋体" w:hAnsi="宋体" w:cs="宋体"/>
          <w:color w:val="auto"/>
          <w:highlight w:val="none"/>
          <w:u w:val="single"/>
          <w:lang w:val="en-US" w:eastAsia="zh-CN"/>
        </w:rPr>
        <w:t>此条不执行</w:t>
      </w:r>
      <w:r>
        <w:rPr>
          <w:rFonts w:hint="eastAsia"/>
          <w:color w:val="auto"/>
          <w:highlight w:val="none"/>
          <w:u w:val="single"/>
        </w:rPr>
        <w:t xml:space="preserve">   </w:t>
      </w:r>
      <w:r>
        <w:rPr>
          <w:rFonts w:hint="eastAsia"/>
          <w:color w:val="auto"/>
          <w:highlight w:val="none"/>
        </w:rPr>
        <w:t>。</w:t>
      </w:r>
    </w:p>
    <w:p w14:paraId="394DFA65">
      <w:pPr>
        <w:pStyle w:val="5"/>
        <w:snapToGrid w:val="0"/>
        <w:spacing w:before="0" w:after="0" w:line="440" w:lineRule="exact"/>
        <w:ind w:firstLine="420" w:firstLineChars="200"/>
        <w:rPr>
          <w:rFonts w:hint="eastAsia" w:ascii="宋体" w:eastAsia="宋体" w:cs="宋体"/>
          <w:b w:val="0"/>
          <w:color w:val="auto"/>
          <w:sz w:val="21"/>
          <w:szCs w:val="21"/>
          <w:highlight w:val="none"/>
        </w:rPr>
      </w:pPr>
      <w:r>
        <w:rPr>
          <w:rFonts w:hint="eastAsia" w:ascii="宋体" w:eastAsia="宋体" w:cs="宋体"/>
          <w:b w:val="0"/>
          <w:color w:val="auto"/>
          <w:sz w:val="21"/>
          <w:szCs w:val="21"/>
          <w:highlight w:val="none"/>
        </w:rPr>
        <w:t>8. 材料与设备</w:t>
      </w:r>
    </w:p>
    <w:p w14:paraId="2A8390C2">
      <w:pPr>
        <w:snapToGrid w:val="0"/>
        <w:spacing w:line="440" w:lineRule="exact"/>
        <w:ind w:firstLine="420" w:firstLineChars="200"/>
        <w:rPr>
          <w:rFonts w:hint="eastAsia" w:ascii="宋体" w:cs="宋体"/>
          <w:color w:val="auto"/>
          <w:szCs w:val="21"/>
          <w:highlight w:val="none"/>
        </w:rPr>
      </w:pPr>
      <w:r>
        <w:rPr>
          <w:rFonts w:hint="eastAsia" w:ascii="宋体" w:cs="宋体"/>
          <w:color w:val="auto"/>
          <w:szCs w:val="21"/>
          <w:highlight w:val="none"/>
        </w:rPr>
        <w:t>8.4材料与工程设备的保管与使用</w:t>
      </w:r>
    </w:p>
    <w:p w14:paraId="7406874C">
      <w:pPr>
        <w:snapToGrid w:val="0"/>
        <w:spacing w:line="440" w:lineRule="exact"/>
        <w:ind w:firstLine="420" w:firstLineChars="200"/>
        <w:jc w:val="left"/>
        <w:rPr>
          <w:rFonts w:hint="eastAsia" w:ascii="宋体" w:cs="宋体"/>
          <w:color w:val="auto"/>
          <w:szCs w:val="21"/>
          <w:highlight w:val="none"/>
          <w:u w:val="single"/>
        </w:rPr>
      </w:pPr>
      <w:r>
        <w:rPr>
          <w:rFonts w:hint="eastAsia" w:ascii="宋体" w:cs="宋体"/>
          <w:color w:val="auto"/>
          <w:szCs w:val="21"/>
          <w:highlight w:val="none"/>
        </w:rPr>
        <w:t>8.4.1发包人供应的材料设备的保管费用的承担：</w:t>
      </w:r>
      <w:r>
        <w:rPr>
          <w:rFonts w:hint="eastAsia" w:ascii="宋体" w:hAnsi="宋体" w:cs="宋体"/>
          <w:color w:val="auto"/>
          <w:highlight w:val="none"/>
          <w:u w:val="single"/>
          <w:lang w:val="en-US" w:eastAsia="zh-CN"/>
        </w:rPr>
        <w:t>此条不执行</w:t>
      </w:r>
      <w:r>
        <w:rPr>
          <w:rFonts w:hint="eastAsia" w:ascii="宋体" w:cs="宋体"/>
          <w:color w:val="auto"/>
          <w:szCs w:val="21"/>
          <w:highlight w:val="none"/>
          <w:u w:val="single"/>
        </w:rPr>
        <w:t>。</w:t>
      </w:r>
    </w:p>
    <w:p w14:paraId="44B60519">
      <w:pPr>
        <w:snapToGrid w:val="0"/>
        <w:spacing w:line="440" w:lineRule="exact"/>
        <w:ind w:firstLine="420" w:firstLineChars="200"/>
        <w:rPr>
          <w:rFonts w:hint="eastAsia" w:ascii="宋体" w:cs="宋体"/>
          <w:color w:val="auto"/>
          <w:szCs w:val="21"/>
          <w:highlight w:val="none"/>
        </w:rPr>
      </w:pPr>
      <w:r>
        <w:rPr>
          <w:rFonts w:hint="eastAsia" w:ascii="宋体" w:cs="宋体"/>
          <w:color w:val="auto"/>
          <w:szCs w:val="21"/>
          <w:highlight w:val="none"/>
        </w:rPr>
        <w:t>8.6 样品</w:t>
      </w:r>
    </w:p>
    <w:p w14:paraId="53B79BFB">
      <w:pPr>
        <w:autoSpaceDE w:val="0"/>
        <w:autoSpaceDN w:val="0"/>
        <w:adjustRightInd w:val="0"/>
        <w:snapToGrid w:val="0"/>
        <w:spacing w:line="440" w:lineRule="exact"/>
        <w:ind w:firstLine="420" w:firstLineChars="200"/>
        <w:jc w:val="left"/>
        <w:rPr>
          <w:rFonts w:hint="eastAsia" w:ascii="宋体" w:cs="宋体"/>
          <w:color w:val="auto"/>
          <w:kern w:val="0"/>
          <w:szCs w:val="21"/>
          <w:highlight w:val="none"/>
        </w:rPr>
      </w:pPr>
      <w:r>
        <w:rPr>
          <w:rFonts w:hint="eastAsia" w:ascii="宋体" w:cs="宋体"/>
          <w:color w:val="auto"/>
          <w:kern w:val="0"/>
          <w:szCs w:val="21"/>
          <w:highlight w:val="none"/>
        </w:rPr>
        <w:t>8.6.1样品的报送与封存</w:t>
      </w:r>
    </w:p>
    <w:p w14:paraId="1C7AD2DF">
      <w:pPr>
        <w:snapToGrid w:val="0"/>
        <w:spacing w:line="440" w:lineRule="exact"/>
        <w:ind w:firstLine="420" w:firstLineChars="200"/>
        <w:rPr>
          <w:rFonts w:hint="eastAsia" w:ascii="宋体" w:cs="宋体"/>
          <w:color w:val="auto"/>
          <w:szCs w:val="21"/>
          <w:highlight w:val="none"/>
          <w:u w:val="single"/>
        </w:rPr>
      </w:pPr>
      <w:r>
        <w:rPr>
          <w:rFonts w:hint="eastAsia" w:ascii="宋体" w:cs="宋体"/>
          <w:color w:val="auto"/>
          <w:szCs w:val="21"/>
          <w:highlight w:val="none"/>
        </w:rPr>
        <w:t>需要承包人报送样品的材料或工程设备，样品的种类、名称、规格、数量要求：</w:t>
      </w:r>
      <w:r>
        <w:rPr>
          <w:rFonts w:hint="eastAsia" w:ascii="宋体" w:cs="宋体"/>
          <w:color w:val="auto"/>
          <w:szCs w:val="21"/>
          <w:highlight w:val="none"/>
          <w:u w:val="single"/>
        </w:rPr>
        <w:t xml:space="preserve"> 执行</w:t>
      </w:r>
      <w:r>
        <w:rPr>
          <w:rFonts w:hint="eastAsia" w:ascii="宋体" w:cs="宋体"/>
          <w:color w:val="auto"/>
          <w:szCs w:val="21"/>
          <w:highlight w:val="none"/>
          <w:u w:val="single"/>
          <w:lang w:val="en-US" w:eastAsia="zh-CN"/>
        </w:rPr>
        <w:t>招标</w:t>
      </w:r>
      <w:r>
        <w:rPr>
          <w:rFonts w:hint="eastAsia" w:ascii="宋体" w:cs="宋体"/>
          <w:color w:val="auto"/>
          <w:szCs w:val="21"/>
          <w:highlight w:val="none"/>
          <w:u w:val="single"/>
        </w:rPr>
        <w:t xml:space="preserve">文件。 </w:t>
      </w:r>
    </w:p>
    <w:p w14:paraId="15D5C90B">
      <w:pPr>
        <w:snapToGrid w:val="0"/>
        <w:spacing w:line="440" w:lineRule="exact"/>
        <w:ind w:firstLine="420" w:firstLineChars="200"/>
        <w:rPr>
          <w:rFonts w:hint="eastAsia" w:ascii="宋体" w:cs="宋体"/>
          <w:color w:val="auto"/>
          <w:szCs w:val="21"/>
          <w:highlight w:val="none"/>
        </w:rPr>
      </w:pPr>
      <w:r>
        <w:rPr>
          <w:rFonts w:hint="eastAsia" w:ascii="宋体" w:cs="宋体"/>
          <w:color w:val="auto"/>
          <w:szCs w:val="21"/>
          <w:highlight w:val="none"/>
        </w:rPr>
        <w:t>8.8 施工设备和临时设施</w:t>
      </w:r>
    </w:p>
    <w:p w14:paraId="7E2E2EF1">
      <w:pPr>
        <w:autoSpaceDE w:val="0"/>
        <w:autoSpaceDN w:val="0"/>
        <w:adjustRightInd w:val="0"/>
        <w:snapToGrid w:val="0"/>
        <w:spacing w:line="440" w:lineRule="exact"/>
        <w:ind w:firstLine="420" w:firstLineChars="200"/>
        <w:jc w:val="left"/>
        <w:rPr>
          <w:rFonts w:hint="eastAsia" w:ascii="宋体" w:cs="宋体"/>
          <w:color w:val="auto"/>
          <w:szCs w:val="21"/>
          <w:highlight w:val="none"/>
        </w:rPr>
      </w:pPr>
      <w:r>
        <w:rPr>
          <w:rFonts w:hint="eastAsia" w:ascii="宋体" w:cs="宋体"/>
          <w:color w:val="auto"/>
          <w:szCs w:val="21"/>
          <w:highlight w:val="none"/>
        </w:rPr>
        <w:t>8.8.1 承包人提供的施工设备和临时设施</w:t>
      </w:r>
    </w:p>
    <w:p w14:paraId="52BEE37C">
      <w:pPr>
        <w:autoSpaceDE w:val="0"/>
        <w:autoSpaceDN w:val="0"/>
        <w:adjustRightInd w:val="0"/>
        <w:snapToGrid w:val="0"/>
        <w:spacing w:line="440" w:lineRule="exact"/>
        <w:ind w:firstLine="420" w:firstLineChars="200"/>
        <w:jc w:val="left"/>
        <w:rPr>
          <w:rFonts w:hint="eastAsia" w:ascii="宋体" w:cs="宋体"/>
          <w:color w:val="auto"/>
          <w:szCs w:val="21"/>
          <w:highlight w:val="none"/>
        </w:rPr>
      </w:pPr>
      <w:r>
        <w:rPr>
          <w:rFonts w:hint="eastAsia" w:ascii="宋体" w:cs="宋体"/>
          <w:color w:val="auto"/>
          <w:szCs w:val="21"/>
          <w:highlight w:val="none"/>
        </w:rPr>
        <w:t>关于修建临时设施费用承担的约定：</w:t>
      </w:r>
      <w:r>
        <w:rPr>
          <w:rFonts w:hint="eastAsia" w:ascii="宋体" w:cs="宋体"/>
          <w:color w:val="auto"/>
          <w:szCs w:val="21"/>
          <w:highlight w:val="none"/>
          <w:u w:val="single"/>
        </w:rPr>
        <w:t xml:space="preserve">  由承包人自行承担费用   </w:t>
      </w:r>
      <w:r>
        <w:rPr>
          <w:rFonts w:hint="eastAsia" w:ascii="宋体" w:cs="宋体"/>
          <w:color w:val="auto"/>
          <w:szCs w:val="21"/>
          <w:highlight w:val="none"/>
        </w:rPr>
        <w:t>。</w:t>
      </w:r>
    </w:p>
    <w:p w14:paraId="348BE2C6">
      <w:pPr>
        <w:pStyle w:val="5"/>
        <w:snapToGrid w:val="0"/>
        <w:spacing w:before="0" w:after="0" w:line="440" w:lineRule="exact"/>
        <w:ind w:firstLine="420" w:firstLineChars="200"/>
        <w:rPr>
          <w:rFonts w:hint="eastAsia" w:ascii="宋体" w:eastAsia="宋体" w:cs="宋体"/>
          <w:b w:val="0"/>
          <w:color w:val="auto"/>
          <w:sz w:val="21"/>
          <w:szCs w:val="21"/>
          <w:highlight w:val="none"/>
        </w:rPr>
      </w:pPr>
      <w:r>
        <w:rPr>
          <w:rFonts w:hint="eastAsia" w:ascii="宋体" w:eastAsia="宋体" w:cs="宋体"/>
          <w:b w:val="0"/>
          <w:color w:val="auto"/>
          <w:sz w:val="21"/>
          <w:szCs w:val="21"/>
          <w:highlight w:val="none"/>
        </w:rPr>
        <w:t>9. 试验与检验</w:t>
      </w:r>
    </w:p>
    <w:p w14:paraId="63F8F678">
      <w:pPr>
        <w:snapToGrid w:val="0"/>
        <w:spacing w:line="440" w:lineRule="exact"/>
        <w:ind w:firstLine="420" w:firstLineChars="200"/>
        <w:rPr>
          <w:rFonts w:hint="eastAsia" w:ascii="宋体" w:cs="宋体"/>
          <w:color w:val="auto"/>
          <w:szCs w:val="21"/>
          <w:highlight w:val="none"/>
        </w:rPr>
      </w:pPr>
      <w:r>
        <w:rPr>
          <w:rFonts w:hint="eastAsia" w:ascii="宋体" w:cs="宋体"/>
          <w:color w:val="auto"/>
          <w:szCs w:val="21"/>
          <w:highlight w:val="none"/>
        </w:rPr>
        <w:t>9.1试验设备与试验人员</w:t>
      </w:r>
    </w:p>
    <w:p w14:paraId="590F90A0">
      <w:pPr>
        <w:snapToGrid w:val="0"/>
        <w:spacing w:line="440" w:lineRule="exact"/>
        <w:ind w:firstLine="420" w:firstLineChars="200"/>
        <w:jc w:val="left"/>
        <w:rPr>
          <w:rFonts w:hint="eastAsia" w:ascii="宋体" w:cs="宋体"/>
          <w:color w:val="auto"/>
          <w:szCs w:val="21"/>
          <w:highlight w:val="none"/>
        </w:rPr>
      </w:pPr>
      <w:r>
        <w:rPr>
          <w:rFonts w:hint="eastAsia" w:ascii="宋体" w:cs="宋体"/>
          <w:color w:val="auto"/>
          <w:szCs w:val="21"/>
          <w:highlight w:val="none"/>
        </w:rPr>
        <w:t>9.1.2 试验设备</w:t>
      </w:r>
    </w:p>
    <w:p w14:paraId="7E98BA7C">
      <w:pPr>
        <w:snapToGrid w:val="0"/>
        <w:spacing w:line="440" w:lineRule="exact"/>
        <w:ind w:firstLine="420" w:firstLineChars="200"/>
        <w:jc w:val="left"/>
        <w:rPr>
          <w:rFonts w:hint="eastAsia" w:ascii="宋体" w:cs="宋体"/>
          <w:color w:val="auto"/>
          <w:szCs w:val="21"/>
          <w:highlight w:val="none"/>
          <w:u w:val="single"/>
        </w:rPr>
      </w:pPr>
      <w:r>
        <w:rPr>
          <w:rFonts w:hint="eastAsia" w:ascii="宋体" w:cs="宋体"/>
          <w:color w:val="auto"/>
          <w:szCs w:val="21"/>
          <w:highlight w:val="none"/>
        </w:rPr>
        <w:t>施工现场需要配置的试验场所：</w:t>
      </w:r>
      <w:r>
        <w:rPr>
          <w:rFonts w:hint="eastAsia" w:ascii="宋体" w:cs="宋体"/>
          <w:color w:val="auto"/>
          <w:szCs w:val="21"/>
          <w:highlight w:val="none"/>
          <w:u w:val="single"/>
        </w:rPr>
        <w:t xml:space="preserve">   执行</w:t>
      </w:r>
      <w:r>
        <w:rPr>
          <w:rFonts w:hint="eastAsia" w:ascii="宋体" w:cs="宋体"/>
          <w:color w:val="auto"/>
          <w:szCs w:val="21"/>
          <w:highlight w:val="none"/>
          <w:u w:val="single"/>
          <w:lang w:val="en-US" w:eastAsia="zh-CN"/>
        </w:rPr>
        <w:t>招标</w:t>
      </w:r>
      <w:r>
        <w:rPr>
          <w:rFonts w:hint="eastAsia" w:ascii="宋体" w:cs="宋体"/>
          <w:color w:val="auto"/>
          <w:szCs w:val="21"/>
          <w:highlight w:val="none"/>
          <w:u w:val="single"/>
        </w:rPr>
        <w:t xml:space="preserve">文件   </w:t>
      </w:r>
      <w:r>
        <w:rPr>
          <w:rFonts w:hint="eastAsia" w:ascii="宋体" w:cs="宋体"/>
          <w:color w:val="auto"/>
          <w:szCs w:val="21"/>
          <w:highlight w:val="none"/>
        </w:rPr>
        <w:t xml:space="preserve">。 </w:t>
      </w:r>
    </w:p>
    <w:p w14:paraId="30C3CD2D">
      <w:pPr>
        <w:snapToGrid w:val="0"/>
        <w:spacing w:line="440" w:lineRule="exact"/>
        <w:ind w:firstLine="420" w:firstLineChars="200"/>
        <w:jc w:val="left"/>
        <w:rPr>
          <w:rFonts w:hint="eastAsia" w:ascii="宋体" w:cs="宋体"/>
          <w:color w:val="auto"/>
          <w:szCs w:val="21"/>
          <w:highlight w:val="none"/>
          <w:u w:val="single"/>
        </w:rPr>
      </w:pPr>
      <w:r>
        <w:rPr>
          <w:rFonts w:hint="eastAsia" w:ascii="宋体" w:cs="宋体"/>
          <w:color w:val="auto"/>
          <w:szCs w:val="21"/>
          <w:highlight w:val="none"/>
        </w:rPr>
        <w:t>施工现场需要配备的试验设备：</w:t>
      </w:r>
      <w:r>
        <w:rPr>
          <w:rFonts w:hint="eastAsia" w:ascii="宋体" w:cs="宋体"/>
          <w:color w:val="auto"/>
          <w:szCs w:val="21"/>
          <w:highlight w:val="none"/>
          <w:u w:val="single"/>
        </w:rPr>
        <w:t xml:space="preserve">   执行</w:t>
      </w:r>
      <w:r>
        <w:rPr>
          <w:rFonts w:hint="eastAsia" w:ascii="宋体" w:cs="宋体"/>
          <w:color w:val="auto"/>
          <w:szCs w:val="21"/>
          <w:highlight w:val="none"/>
          <w:u w:val="single"/>
          <w:lang w:val="en-US" w:eastAsia="zh-CN"/>
        </w:rPr>
        <w:t>招标</w:t>
      </w:r>
      <w:r>
        <w:rPr>
          <w:rFonts w:hint="eastAsia" w:ascii="宋体" w:cs="宋体"/>
          <w:color w:val="auto"/>
          <w:szCs w:val="21"/>
          <w:highlight w:val="none"/>
          <w:u w:val="single"/>
        </w:rPr>
        <w:t xml:space="preserve">文件    </w:t>
      </w:r>
      <w:r>
        <w:rPr>
          <w:rFonts w:hint="eastAsia" w:ascii="宋体" w:cs="宋体"/>
          <w:color w:val="auto"/>
          <w:szCs w:val="21"/>
          <w:highlight w:val="none"/>
        </w:rPr>
        <w:t>。</w:t>
      </w:r>
    </w:p>
    <w:p w14:paraId="49322D05">
      <w:pPr>
        <w:snapToGrid w:val="0"/>
        <w:spacing w:line="440" w:lineRule="exact"/>
        <w:ind w:firstLine="420" w:firstLineChars="200"/>
        <w:jc w:val="left"/>
        <w:rPr>
          <w:rFonts w:hint="eastAsia" w:ascii="宋体" w:cs="宋体"/>
          <w:color w:val="auto"/>
          <w:szCs w:val="21"/>
          <w:highlight w:val="none"/>
          <w:u w:val="single"/>
        </w:rPr>
      </w:pPr>
      <w:r>
        <w:rPr>
          <w:rFonts w:hint="eastAsia" w:ascii="宋体" w:cs="宋体"/>
          <w:color w:val="auto"/>
          <w:szCs w:val="21"/>
          <w:highlight w:val="none"/>
        </w:rPr>
        <w:t>施工现场需要具备的其他试验条件：</w:t>
      </w:r>
      <w:r>
        <w:rPr>
          <w:rFonts w:hint="eastAsia" w:ascii="宋体" w:cs="宋体"/>
          <w:color w:val="auto"/>
          <w:szCs w:val="21"/>
          <w:highlight w:val="none"/>
          <w:u w:val="single"/>
        </w:rPr>
        <w:t xml:space="preserve">   执行</w:t>
      </w:r>
      <w:r>
        <w:rPr>
          <w:rFonts w:hint="eastAsia" w:ascii="宋体" w:cs="宋体"/>
          <w:color w:val="auto"/>
          <w:szCs w:val="21"/>
          <w:highlight w:val="none"/>
          <w:u w:val="single"/>
          <w:lang w:val="en-US" w:eastAsia="zh-CN"/>
        </w:rPr>
        <w:t>招标</w:t>
      </w:r>
      <w:r>
        <w:rPr>
          <w:rFonts w:hint="eastAsia" w:ascii="宋体" w:cs="宋体"/>
          <w:color w:val="auto"/>
          <w:szCs w:val="21"/>
          <w:highlight w:val="none"/>
          <w:u w:val="single"/>
        </w:rPr>
        <w:t xml:space="preserve">文件   </w:t>
      </w:r>
      <w:r>
        <w:rPr>
          <w:rFonts w:hint="eastAsia" w:ascii="宋体" w:cs="宋体"/>
          <w:color w:val="auto"/>
          <w:szCs w:val="21"/>
          <w:highlight w:val="none"/>
        </w:rPr>
        <w:t>。</w:t>
      </w:r>
    </w:p>
    <w:p w14:paraId="3106D772">
      <w:pPr>
        <w:snapToGrid w:val="0"/>
        <w:spacing w:line="440" w:lineRule="exact"/>
        <w:ind w:firstLine="420" w:firstLineChars="200"/>
        <w:rPr>
          <w:rFonts w:hint="eastAsia" w:ascii="宋体" w:cs="宋体"/>
          <w:color w:val="auto"/>
          <w:szCs w:val="21"/>
          <w:highlight w:val="none"/>
        </w:rPr>
      </w:pPr>
      <w:r>
        <w:rPr>
          <w:rFonts w:hint="eastAsia" w:ascii="宋体" w:cs="宋体"/>
          <w:color w:val="auto"/>
          <w:szCs w:val="21"/>
          <w:highlight w:val="none"/>
        </w:rPr>
        <w:t xml:space="preserve">9.4 现场工艺试验 </w:t>
      </w:r>
    </w:p>
    <w:p w14:paraId="57E8BD73">
      <w:pPr>
        <w:snapToGrid w:val="0"/>
        <w:spacing w:line="440" w:lineRule="exact"/>
        <w:ind w:firstLine="420" w:firstLineChars="200"/>
        <w:jc w:val="left"/>
        <w:rPr>
          <w:rFonts w:hint="eastAsia" w:ascii="宋体" w:cs="宋体"/>
          <w:color w:val="auto"/>
          <w:szCs w:val="21"/>
          <w:highlight w:val="none"/>
          <w:u w:val="single"/>
        </w:rPr>
      </w:pPr>
      <w:r>
        <w:rPr>
          <w:rFonts w:hint="eastAsia" w:ascii="宋体" w:cs="宋体"/>
          <w:color w:val="auto"/>
          <w:szCs w:val="21"/>
          <w:highlight w:val="none"/>
        </w:rPr>
        <w:t>现场工艺试验的有关约定：</w:t>
      </w:r>
      <w:r>
        <w:rPr>
          <w:rFonts w:hint="eastAsia" w:ascii="宋体" w:cs="宋体"/>
          <w:color w:val="auto"/>
          <w:szCs w:val="21"/>
          <w:highlight w:val="none"/>
          <w:u w:val="single"/>
        </w:rPr>
        <w:t xml:space="preserve">   按监理人指示    </w:t>
      </w:r>
      <w:r>
        <w:rPr>
          <w:rFonts w:hint="eastAsia" w:ascii="宋体" w:cs="宋体"/>
          <w:color w:val="auto"/>
          <w:szCs w:val="21"/>
          <w:highlight w:val="none"/>
        </w:rPr>
        <w:t>。</w:t>
      </w:r>
    </w:p>
    <w:p w14:paraId="0BF396F9">
      <w:pPr>
        <w:pStyle w:val="5"/>
        <w:snapToGrid w:val="0"/>
        <w:spacing w:before="0" w:after="0" w:line="440" w:lineRule="exact"/>
        <w:ind w:firstLine="420" w:firstLineChars="200"/>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10. 变更</w:t>
      </w:r>
    </w:p>
    <w:p w14:paraId="36E56CDB">
      <w:pPr>
        <w:snapToGrid w:val="0"/>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10.1变更的范围</w:t>
      </w:r>
    </w:p>
    <w:p w14:paraId="234E064E">
      <w:pPr>
        <w:snapToGrid w:val="0"/>
        <w:spacing w:line="440" w:lineRule="exact"/>
        <w:ind w:firstLine="420" w:firstLineChars="200"/>
        <w:jc w:val="left"/>
        <w:rPr>
          <w:rFonts w:hint="eastAsia" w:ascii="宋体" w:hAnsi="宋体" w:cs="宋体"/>
          <w:color w:val="auto"/>
          <w:szCs w:val="21"/>
          <w:highlight w:val="none"/>
          <w:u w:val="single"/>
        </w:rPr>
      </w:pPr>
      <w:r>
        <w:rPr>
          <w:rFonts w:hint="eastAsia" w:ascii="宋体" w:hAnsi="宋体" w:cs="宋体"/>
          <w:color w:val="auto"/>
          <w:szCs w:val="21"/>
          <w:highlight w:val="none"/>
        </w:rPr>
        <w:t>关于变更范围的约定：</w:t>
      </w:r>
      <w:r>
        <w:rPr>
          <w:rFonts w:hint="eastAsia" w:ascii="宋体" w:hAnsi="宋体" w:cs="宋体"/>
          <w:b/>
          <w:color w:val="auto"/>
          <w:szCs w:val="21"/>
          <w:highlight w:val="none"/>
          <w:u w:val="single"/>
        </w:rPr>
        <w:t>执行合同通用条款</w:t>
      </w:r>
      <w:r>
        <w:rPr>
          <w:rFonts w:hint="eastAsia" w:ascii="宋体" w:hAnsi="宋体" w:cs="宋体"/>
          <w:b/>
          <w:bCs/>
          <w:color w:val="auto"/>
          <w:szCs w:val="21"/>
          <w:highlight w:val="none"/>
          <w:u w:val="single"/>
        </w:rPr>
        <w:t>。</w:t>
      </w:r>
    </w:p>
    <w:p w14:paraId="7CC01665">
      <w:pPr>
        <w:snapToGrid w:val="0"/>
        <w:spacing w:line="44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10.4 变更估价</w:t>
      </w:r>
    </w:p>
    <w:p w14:paraId="363C3F75">
      <w:pPr>
        <w:keepNext w:val="0"/>
        <w:keepLines w:val="0"/>
        <w:pageBreakBefore w:val="0"/>
        <w:widowControl w:val="0"/>
        <w:kinsoku/>
        <w:wordWrap/>
        <w:overflowPunct/>
        <w:topLinePunct w:val="0"/>
        <w:autoSpaceDE/>
        <w:autoSpaceDN/>
        <w:bidi w:val="0"/>
        <w:adjustRightInd w:val="0"/>
        <w:snapToGrid w:val="0"/>
        <w:spacing w:line="440" w:lineRule="exact"/>
        <w:ind w:firstLine="420" w:firstLineChars="200"/>
        <w:textAlignment w:val="auto"/>
        <w:rPr>
          <w:rFonts w:hint="eastAsia" w:ascii="宋体" w:hAnsi="宋体" w:eastAsia="宋体" w:cs="宋体"/>
          <w:b/>
          <w:strike/>
          <w:dstrike w:val="0"/>
          <w:color w:val="auto"/>
          <w:highlight w:val="none"/>
          <w:lang w:eastAsia="zh-CN"/>
        </w:rPr>
      </w:pPr>
      <w:r>
        <w:rPr>
          <w:rFonts w:hint="eastAsia" w:ascii="宋体" w:hAnsi="宋体" w:cs="宋体"/>
          <w:color w:val="auto"/>
          <w:szCs w:val="21"/>
          <w:highlight w:val="none"/>
        </w:rPr>
        <w:t>10.4.1变更估价原则</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 xml:space="preserve">   </w:t>
      </w:r>
      <w:r>
        <w:rPr>
          <w:rFonts w:hint="eastAsia" w:ascii="宋体" w:hAnsi="宋体" w:cs="宋体"/>
          <w:color w:val="auto"/>
          <w:szCs w:val="21"/>
          <w:highlight w:val="none"/>
        </w:rPr>
        <w:t>关于变更估价的约定</w:t>
      </w:r>
      <w:r>
        <w:rPr>
          <w:rFonts w:hint="eastAsia" w:ascii="宋体" w:hAnsi="宋体" w:cs="宋体"/>
          <w:color w:val="auto"/>
          <w:szCs w:val="21"/>
          <w:highlight w:val="none"/>
          <w:lang w:eastAsia="zh-CN"/>
        </w:rPr>
        <w:t>：</w:t>
      </w:r>
    </w:p>
    <w:p w14:paraId="7BFAC980">
      <w:pPr>
        <w:keepNext w:val="0"/>
        <w:keepLines w:val="0"/>
        <w:pageBreakBefore w:val="0"/>
        <w:widowControl w:val="0"/>
        <w:kinsoku/>
        <w:wordWrap/>
        <w:overflowPunct/>
        <w:topLinePunct w:val="0"/>
        <w:autoSpaceDE/>
        <w:autoSpaceDN/>
        <w:bidi w:val="0"/>
        <w:adjustRightInd w:val="0"/>
        <w:snapToGrid w:val="0"/>
        <w:spacing w:line="440" w:lineRule="exact"/>
        <w:ind w:firstLine="422" w:firstLineChars="200"/>
        <w:textAlignment w:val="auto"/>
        <w:rPr>
          <w:rFonts w:hint="eastAsia" w:ascii="宋体" w:hAnsi="宋体" w:eastAsia="宋体" w:cs="宋体"/>
          <w:color w:val="auto"/>
          <w:kern w:val="0"/>
          <w:highlight w:val="none"/>
          <w:lang w:eastAsia="zh-CN"/>
        </w:rPr>
      </w:pPr>
      <w:r>
        <w:rPr>
          <w:rFonts w:hint="eastAsia" w:ascii="宋体" w:hAnsi="宋体" w:eastAsia="宋体" w:cs="宋体"/>
          <w:b/>
          <w:bCs/>
          <w:color w:val="auto"/>
          <w:szCs w:val="21"/>
          <w:highlight w:val="none"/>
        </w:rPr>
        <w:t>变更导致结算工程量（含1.13清单工程量错误产生的工程量）减少或增加</w:t>
      </w:r>
      <w:r>
        <w:rPr>
          <w:rFonts w:hint="eastAsia" w:ascii="宋体" w:hAnsi="宋体" w:cs="宋体"/>
          <w:b/>
          <w:bCs/>
          <w:color w:val="auto"/>
          <w:szCs w:val="21"/>
          <w:highlight w:val="none"/>
          <w:lang w:val="en-US" w:eastAsia="zh-CN"/>
        </w:rPr>
        <w:t>的</w:t>
      </w:r>
      <w:r>
        <w:rPr>
          <w:rFonts w:hint="eastAsia" w:ascii="宋体" w:hAnsi="宋体" w:eastAsia="宋体" w:cs="宋体"/>
          <w:b/>
          <w:bCs/>
          <w:color w:val="auto"/>
          <w:szCs w:val="21"/>
          <w:highlight w:val="none"/>
        </w:rPr>
        <w:t>部分，执行下列第（1）款或第（2）款</w:t>
      </w:r>
      <w:r>
        <w:rPr>
          <w:rFonts w:hint="eastAsia" w:ascii="宋体" w:hAnsi="宋体" w:cs="宋体"/>
          <w:b/>
          <w:bCs/>
          <w:color w:val="auto"/>
          <w:szCs w:val="21"/>
          <w:highlight w:val="none"/>
          <w:lang w:val="en-US" w:eastAsia="zh-CN"/>
        </w:rPr>
        <w:t>或第</w:t>
      </w:r>
      <w:r>
        <w:rPr>
          <w:rFonts w:hint="eastAsia" w:ascii="宋体" w:hAnsi="宋体" w:eastAsia="宋体" w:cs="宋体"/>
          <w:b/>
          <w:bCs/>
          <w:color w:val="auto"/>
          <w:szCs w:val="21"/>
          <w:highlight w:val="none"/>
        </w:rPr>
        <w:t>（</w:t>
      </w:r>
      <w:r>
        <w:rPr>
          <w:rFonts w:hint="eastAsia" w:ascii="宋体" w:hAnsi="宋体" w:cs="宋体"/>
          <w:b/>
          <w:bCs/>
          <w:color w:val="auto"/>
          <w:szCs w:val="21"/>
          <w:highlight w:val="none"/>
          <w:lang w:val="en-US" w:eastAsia="zh-CN"/>
        </w:rPr>
        <w:t>3</w:t>
      </w:r>
      <w:r>
        <w:rPr>
          <w:rFonts w:hint="eastAsia" w:ascii="宋体" w:hAnsi="宋体" w:eastAsia="宋体" w:cs="宋体"/>
          <w:b/>
          <w:bCs/>
          <w:color w:val="auto"/>
          <w:szCs w:val="21"/>
          <w:highlight w:val="none"/>
        </w:rPr>
        <w:t>）款确定的单价</w:t>
      </w:r>
      <w:r>
        <w:rPr>
          <w:rFonts w:hint="eastAsia" w:ascii="宋体" w:hAnsi="宋体" w:cs="宋体"/>
          <w:b/>
          <w:bCs/>
          <w:color w:val="auto"/>
          <w:szCs w:val="21"/>
          <w:highlight w:val="none"/>
          <w:lang w:eastAsia="zh-CN"/>
        </w:rPr>
        <w:t>。</w:t>
      </w:r>
    </w:p>
    <w:p w14:paraId="2513A76F">
      <w:pPr>
        <w:keepNext w:val="0"/>
        <w:keepLines w:val="0"/>
        <w:pageBreakBefore w:val="0"/>
        <w:widowControl w:val="0"/>
        <w:kinsoku/>
        <w:wordWrap/>
        <w:overflowPunct/>
        <w:topLinePunct w:val="0"/>
        <w:autoSpaceDE/>
        <w:autoSpaceDN/>
        <w:bidi w:val="0"/>
        <w:adjustRightInd w:val="0"/>
        <w:snapToGrid w:val="0"/>
        <w:spacing w:line="440" w:lineRule="exact"/>
        <w:ind w:firstLine="422" w:firstLineChars="200"/>
        <w:textAlignment w:val="auto"/>
        <w:rPr>
          <w:rFonts w:hint="eastAsia" w:ascii="宋体" w:hAnsi="宋体" w:eastAsia="宋体" w:cs="宋体"/>
          <w:b/>
          <w:color w:val="auto"/>
          <w:highlight w:val="none"/>
          <w:u w:val="none"/>
          <w:lang w:val="en-US" w:eastAsia="zh-CN"/>
        </w:rPr>
      </w:pPr>
      <w:r>
        <w:rPr>
          <w:rFonts w:hint="eastAsia" w:ascii="宋体" w:hAnsi="宋体" w:cs="宋体"/>
          <w:b/>
          <w:color w:val="auto"/>
          <w:kern w:val="0"/>
          <w:highlight w:val="none"/>
        </w:rPr>
        <w:t>10.4.1.1 因工程变更引起已标价工程量清单项目或其工程数量发生变化时，按下列规定调整：</w:t>
      </w:r>
      <w:r>
        <w:rPr>
          <w:rFonts w:hint="eastAsia" w:ascii="宋体" w:hAnsi="宋体" w:eastAsia="宋体" w:cs="宋体"/>
          <w:b/>
          <w:color w:val="auto"/>
          <w:highlight w:val="none"/>
          <w:u w:val="none"/>
        </w:rPr>
        <w:t>（1）已标价工程量清单或预算书有相同项目的，按照相同项目单价认定；（2）已标价工程量清单或预算书中无相同项目，但有类似项目的，参照类似项目的单价认定</w:t>
      </w:r>
      <w:r>
        <w:rPr>
          <w:rFonts w:hint="eastAsia" w:ascii="宋体" w:hAnsi="宋体" w:eastAsia="宋体" w:cs="宋体"/>
          <w:b/>
          <w:color w:val="auto"/>
          <w:highlight w:val="none"/>
          <w:u w:val="none"/>
          <w:lang w:eastAsia="zh-CN"/>
        </w:rPr>
        <w:t>（</w:t>
      </w:r>
      <w:r>
        <w:rPr>
          <w:rFonts w:hint="eastAsia" w:ascii="宋体" w:hAnsi="宋体" w:eastAsia="宋体" w:cs="宋体"/>
          <w:b/>
          <w:color w:val="auto"/>
          <w:highlight w:val="none"/>
          <w:u w:val="none"/>
        </w:rPr>
        <w:t>类似项目的单价是指其采用的材料、施工工艺和方法基本相似的项目</w:t>
      </w:r>
      <w:r>
        <w:rPr>
          <w:rFonts w:hint="eastAsia" w:ascii="宋体" w:hAnsi="宋体" w:eastAsia="宋体" w:cs="宋体"/>
          <w:b/>
          <w:color w:val="auto"/>
          <w:highlight w:val="none"/>
          <w:u w:val="none"/>
          <w:lang w:eastAsia="zh-CN"/>
        </w:rPr>
        <w:t>）；（</w:t>
      </w:r>
      <w:r>
        <w:rPr>
          <w:rFonts w:hint="eastAsia" w:ascii="宋体" w:hAnsi="宋体" w:eastAsia="宋体" w:cs="宋体"/>
          <w:b/>
          <w:color w:val="auto"/>
          <w:highlight w:val="none"/>
          <w:u w:val="none"/>
          <w:lang w:val="en-US" w:eastAsia="zh-CN"/>
        </w:rPr>
        <w:t>3</w:t>
      </w:r>
      <w:r>
        <w:rPr>
          <w:rFonts w:hint="eastAsia" w:ascii="宋体" w:hAnsi="宋体" w:eastAsia="宋体" w:cs="宋体"/>
          <w:b/>
          <w:color w:val="auto"/>
          <w:highlight w:val="none"/>
          <w:u w:val="none"/>
          <w:lang w:eastAsia="zh-CN"/>
        </w:rPr>
        <w:t>）</w:t>
      </w:r>
      <w:r>
        <w:rPr>
          <w:rFonts w:hint="eastAsia" w:ascii="宋体" w:hAnsi="宋体" w:eastAsia="宋体" w:cs="宋体"/>
          <w:b/>
          <w:color w:val="auto"/>
          <w:highlight w:val="none"/>
          <w:u w:val="none"/>
        </w:rPr>
        <w:t>已标价工程量清单或预算书</w:t>
      </w:r>
      <w:r>
        <w:rPr>
          <w:rFonts w:hint="eastAsia" w:ascii="宋体" w:hAnsi="宋体" w:eastAsia="宋体" w:cs="宋体"/>
          <w:b/>
          <w:color w:val="auto"/>
          <w:highlight w:val="none"/>
          <w:u w:val="none"/>
          <w:lang w:val="en-US" w:eastAsia="zh-CN"/>
        </w:rPr>
        <w:t>既无</w:t>
      </w:r>
      <w:r>
        <w:rPr>
          <w:rFonts w:hint="eastAsia" w:ascii="宋体" w:hAnsi="宋体" w:eastAsia="宋体" w:cs="宋体"/>
          <w:b/>
          <w:color w:val="auto"/>
          <w:highlight w:val="none"/>
          <w:u w:val="none"/>
        </w:rPr>
        <w:t>相同项目</w:t>
      </w:r>
      <w:r>
        <w:rPr>
          <w:rFonts w:hint="eastAsia" w:ascii="宋体" w:hAnsi="宋体" w:eastAsia="宋体" w:cs="宋体"/>
          <w:b/>
          <w:color w:val="auto"/>
          <w:highlight w:val="none"/>
          <w:u w:val="none"/>
          <w:lang w:eastAsia="zh-CN"/>
        </w:rPr>
        <w:t>，</w:t>
      </w:r>
      <w:r>
        <w:rPr>
          <w:rFonts w:hint="eastAsia" w:ascii="宋体" w:hAnsi="宋体" w:eastAsia="宋体" w:cs="宋体"/>
          <w:b/>
          <w:color w:val="auto"/>
          <w:highlight w:val="none"/>
          <w:u w:val="none"/>
          <w:lang w:val="en-US" w:eastAsia="zh-CN"/>
        </w:rPr>
        <w:t>也无类似项目的单价</w:t>
      </w:r>
      <w:r>
        <w:rPr>
          <w:rFonts w:hint="eastAsia" w:ascii="宋体" w:hAnsi="宋体" w:eastAsia="宋体" w:cs="宋体"/>
          <w:b/>
          <w:color w:val="auto"/>
          <w:highlight w:val="none"/>
          <w:u w:val="none"/>
        </w:rPr>
        <w:t>按照最高投标限价的编制原则重新组价×投标让利幅度（上述投标让利幅度为中标价/最高投标限价，其中中标价和最高投标限价均扣除暂列金额、暂估价及相应税金</w:t>
      </w:r>
      <w:r>
        <w:rPr>
          <w:rFonts w:hint="eastAsia" w:ascii="宋体" w:hAnsi="宋体" w:eastAsia="宋体" w:cs="宋体"/>
          <w:b/>
          <w:color w:val="auto"/>
          <w:highlight w:val="none"/>
          <w:u w:val="none"/>
          <w:lang w:eastAsia="zh-CN"/>
        </w:rPr>
        <w:t>），</w:t>
      </w:r>
      <w:r>
        <w:rPr>
          <w:rFonts w:hint="eastAsia" w:ascii="宋体" w:hAnsi="宋体" w:eastAsia="宋体" w:cs="宋体"/>
          <w:b/>
          <w:color w:val="auto"/>
          <w:highlight w:val="none"/>
          <w:u w:val="none"/>
        </w:rPr>
        <w:t>材料</w:t>
      </w:r>
      <w:r>
        <w:rPr>
          <w:rFonts w:hint="eastAsia" w:ascii="宋体" w:hAnsi="宋体" w:eastAsia="宋体" w:cs="宋体"/>
          <w:b/>
          <w:color w:val="auto"/>
          <w:highlight w:val="none"/>
          <w:u w:val="none"/>
          <w:lang w:val="en-US" w:eastAsia="zh-CN"/>
        </w:rPr>
        <w:t>价</w:t>
      </w:r>
      <w:r>
        <w:rPr>
          <w:rFonts w:hint="eastAsia" w:ascii="宋体" w:hAnsi="宋体" w:eastAsia="宋体" w:cs="宋体"/>
          <w:b/>
          <w:color w:val="auto"/>
          <w:highlight w:val="none"/>
          <w:u w:val="none"/>
        </w:rPr>
        <w:t>按施工当期《</w:t>
      </w:r>
      <w:r>
        <w:rPr>
          <w:rFonts w:hint="eastAsia" w:ascii="宋体" w:hAnsi="宋体" w:eastAsia="宋体" w:cs="宋体"/>
          <w:b/>
          <w:color w:val="auto"/>
          <w:highlight w:val="none"/>
          <w:u w:val="none"/>
          <w:lang w:val="en-US" w:eastAsia="zh-CN"/>
        </w:rPr>
        <w:t>滁</w:t>
      </w:r>
      <w:r>
        <w:rPr>
          <w:rFonts w:hint="eastAsia" w:ascii="宋体" w:hAnsi="宋体" w:eastAsia="宋体" w:cs="宋体"/>
          <w:b/>
          <w:color w:val="auto"/>
          <w:highlight w:val="none"/>
          <w:u w:val="none"/>
        </w:rPr>
        <w:t>州</w:t>
      </w:r>
      <w:r>
        <w:rPr>
          <w:rFonts w:hint="eastAsia" w:ascii="宋体" w:hAnsi="宋体" w:eastAsia="宋体" w:cs="宋体"/>
          <w:b/>
          <w:color w:val="auto"/>
          <w:highlight w:val="none"/>
          <w:u w:val="none"/>
          <w:lang w:val="en-US" w:eastAsia="zh-CN"/>
        </w:rPr>
        <w:t>市</w:t>
      </w:r>
      <w:r>
        <w:rPr>
          <w:rFonts w:hint="eastAsia" w:ascii="宋体" w:hAnsi="宋体" w:eastAsia="宋体" w:cs="宋体"/>
          <w:b/>
          <w:color w:val="auto"/>
          <w:highlight w:val="none"/>
          <w:u w:val="none"/>
        </w:rPr>
        <w:t>建设工程</w:t>
      </w:r>
      <w:r>
        <w:rPr>
          <w:rFonts w:hint="eastAsia" w:ascii="宋体" w:hAnsi="宋体" w:eastAsia="宋体" w:cs="宋体"/>
          <w:b/>
          <w:color w:val="auto"/>
          <w:highlight w:val="none"/>
          <w:u w:val="none"/>
          <w:lang w:val="en-US" w:eastAsia="zh-CN"/>
        </w:rPr>
        <w:t>材料市场价格</w:t>
      </w:r>
      <w:r>
        <w:rPr>
          <w:rFonts w:hint="eastAsia" w:ascii="宋体" w:hAnsi="宋体" w:eastAsia="宋体" w:cs="宋体"/>
          <w:b/>
          <w:color w:val="auto"/>
          <w:highlight w:val="none"/>
          <w:u w:val="none"/>
        </w:rPr>
        <w:t>信息》确定：若信息价为区间价的，则按区间价的算术平均值计取；信息价中没有的材料，由业主、监理、施工三方核定后确定，认价材料不参与下浮</w:t>
      </w:r>
      <w:r>
        <w:rPr>
          <w:rFonts w:hint="eastAsia" w:ascii="宋体" w:hAnsi="宋体" w:cs="宋体"/>
          <w:b/>
          <w:color w:val="auto"/>
          <w:highlight w:val="none"/>
          <w:u w:val="none"/>
          <w:lang w:eastAsia="zh-CN"/>
        </w:rPr>
        <w:t>；</w:t>
      </w:r>
      <w:r>
        <w:rPr>
          <w:rFonts w:hint="eastAsia" w:ascii="宋体" w:hAnsi="宋体" w:eastAsia="宋体" w:cs="宋体"/>
          <w:b/>
          <w:color w:val="auto"/>
          <w:highlight w:val="none"/>
          <w:u w:val="none"/>
          <w:lang w:eastAsia="zh-CN"/>
        </w:rPr>
        <w:t>（</w:t>
      </w:r>
      <w:r>
        <w:rPr>
          <w:rFonts w:hint="eastAsia" w:ascii="宋体" w:hAnsi="宋体" w:eastAsia="宋体" w:cs="宋体"/>
          <w:b/>
          <w:color w:val="auto"/>
          <w:highlight w:val="none"/>
          <w:u w:val="none"/>
          <w:lang w:val="en-US" w:eastAsia="zh-CN"/>
        </w:rPr>
        <w:t>4</w:t>
      </w:r>
      <w:r>
        <w:rPr>
          <w:rFonts w:hint="eastAsia" w:ascii="宋体" w:hAnsi="宋体" w:eastAsia="宋体" w:cs="宋体"/>
          <w:b/>
          <w:color w:val="auto"/>
          <w:highlight w:val="none"/>
          <w:u w:val="none"/>
          <w:lang w:eastAsia="zh-CN"/>
        </w:rPr>
        <w:t>）</w:t>
      </w:r>
      <w:r>
        <w:rPr>
          <w:rFonts w:hint="eastAsia" w:ascii="宋体" w:hAnsi="宋体" w:eastAsia="宋体" w:cs="宋体"/>
          <w:b/>
          <w:color w:val="auto"/>
          <w:highlight w:val="none"/>
          <w:u w:val="none"/>
        </w:rPr>
        <w:t>若取消某工程项目，则该项目的价款不予支付</w:t>
      </w:r>
      <w:r>
        <w:rPr>
          <w:rFonts w:hint="eastAsia" w:ascii="宋体" w:hAnsi="宋体" w:cs="宋体"/>
          <w:b/>
          <w:color w:val="auto"/>
          <w:highlight w:val="none"/>
          <w:u w:val="none"/>
          <w:lang w:eastAsia="zh-CN"/>
        </w:rPr>
        <w:t>。</w:t>
      </w:r>
    </w:p>
    <w:p w14:paraId="51FEC2A5">
      <w:pPr>
        <w:snapToGrid w:val="0"/>
        <w:spacing w:line="440" w:lineRule="exact"/>
        <w:ind w:firstLine="420" w:firstLineChars="200"/>
        <w:rPr>
          <w:rFonts w:hint="eastAsia" w:ascii="宋体" w:cs="宋体"/>
          <w:color w:val="auto"/>
          <w:szCs w:val="21"/>
          <w:highlight w:val="none"/>
        </w:rPr>
      </w:pPr>
      <w:r>
        <w:rPr>
          <w:rFonts w:hint="eastAsia" w:ascii="宋体" w:cs="宋体"/>
          <w:color w:val="auto"/>
          <w:szCs w:val="21"/>
          <w:highlight w:val="none"/>
        </w:rPr>
        <w:t>10.5承包人的合理化建议</w:t>
      </w:r>
    </w:p>
    <w:p w14:paraId="04E7A660">
      <w:pPr>
        <w:snapToGrid w:val="0"/>
        <w:spacing w:line="440" w:lineRule="exact"/>
        <w:ind w:firstLine="420" w:firstLineChars="200"/>
        <w:jc w:val="left"/>
        <w:rPr>
          <w:rFonts w:hint="eastAsia" w:ascii="宋体" w:cs="宋体"/>
          <w:color w:val="auto"/>
          <w:szCs w:val="21"/>
          <w:highlight w:val="none"/>
        </w:rPr>
      </w:pPr>
      <w:r>
        <w:rPr>
          <w:rFonts w:hint="eastAsia" w:ascii="宋体" w:cs="宋体"/>
          <w:color w:val="auto"/>
          <w:szCs w:val="21"/>
          <w:highlight w:val="none"/>
        </w:rPr>
        <w:t>监理人审查承包人合理化建议的期限：</w:t>
      </w:r>
      <w:r>
        <w:rPr>
          <w:rFonts w:hint="eastAsia" w:ascii="宋体" w:cs="宋体"/>
          <w:color w:val="auto"/>
          <w:szCs w:val="21"/>
          <w:highlight w:val="none"/>
          <w:u w:val="single"/>
        </w:rPr>
        <w:t xml:space="preserve"> </w:t>
      </w:r>
      <w:r>
        <w:rPr>
          <w:rFonts w:hint="eastAsia" w:ascii="宋体" w:hAnsi="Times New Roman" w:eastAsia="宋体" w:cs="宋体"/>
          <w:color w:val="auto"/>
          <w:szCs w:val="21"/>
          <w:highlight w:val="none"/>
          <w:u w:val="single"/>
        </w:rPr>
        <w:t>监理人</w:t>
      </w:r>
      <w:r>
        <w:rPr>
          <w:rFonts w:hint="eastAsia" w:ascii="宋体" w:cs="宋体"/>
          <w:color w:val="auto"/>
          <w:szCs w:val="21"/>
          <w:highlight w:val="none"/>
          <w:u w:val="single"/>
        </w:rPr>
        <w:t>应在收到承包人提交的合理化建议后7天内审查完毕并报送发包人，发现其中存在技术上的缺陷，应通知承包人修改。</w:t>
      </w:r>
    </w:p>
    <w:p w14:paraId="4C7FF324">
      <w:pPr>
        <w:snapToGrid w:val="0"/>
        <w:spacing w:line="440" w:lineRule="exact"/>
        <w:ind w:firstLine="420" w:firstLineChars="200"/>
        <w:jc w:val="left"/>
        <w:rPr>
          <w:rFonts w:hint="eastAsia" w:ascii="宋体" w:cs="宋体"/>
          <w:color w:val="auto"/>
          <w:szCs w:val="21"/>
          <w:highlight w:val="none"/>
        </w:rPr>
      </w:pPr>
      <w:r>
        <w:rPr>
          <w:rFonts w:hint="eastAsia" w:ascii="宋体" w:cs="宋体"/>
          <w:color w:val="auto"/>
          <w:szCs w:val="21"/>
          <w:highlight w:val="none"/>
        </w:rPr>
        <w:t>发包人审批承包人合理化建议的期限：</w:t>
      </w:r>
      <w:r>
        <w:rPr>
          <w:rFonts w:hint="eastAsia" w:ascii="宋体" w:cs="宋体"/>
          <w:color w:val="auto"/>
          <w:szCs w:val="21"/>
          <w:highlight w:val="none"/>
          <w:u w:val="single"/>
        </w:rPr>
        <w:t xml:space="preserve"> 发包人应在收到</w:t>
      </w:r>
      <w:r>
        <w:rPr>
          <w:rFonts w:hint="eastAsia" w:ascii="宋体" w:hAnsi="Times New Roman" w:eastAsia="宋体" w:cs="宋体"/>
          <w:color w:val="auto"/>
          <w:szCs w:val="21"/>
          <w:highlight w:val="none"/>
          <w:u w:val="single"/>
        </w:rPr>
        <w:t>监理人</w:t>
      </w:r>
      <w:r>
        <w:rPr>
          <w:rFonts w:hint="eastAsia" w:ascii="宋体" w:cs="宋体"/>
          <w:color w:val="auto"/>
          <w:szCs w:val="21"/>
          <w:highlight w:val="none"/>
          <w:u w:val="single"/>
        </w:rPr>
        <w:t>报送的合理化建议后7天内审批完毕。合理化建议经发包人批准的，</w:t>
      </w:r>
      <w:r>
        <w:rPr>
          <w:rFonts w:hint="eastAsia" w:ascii="宋体" w:hAnsi="Times New Roman" w:eastAsia="宋体" w:cs="宋体"/>
          <w:color w:val="auto"/>
          <w:szCs w:val="21"/>
          <w:highlight w:val="none"/>
          <w:u w:val="single"/>
        </w:rPr>
        <w:t>监理人</w:t>
      </w:r>
      <w:r>
        <w:rPr>
          <w:rFonts w:hint="eastAsia" w:ascii="宋体" w:cs="宋体"/>
          <w:color w:val="auto"/>
          <w:szCs w:val="21"/>
          <w:highlight w:val="none"/>
          <w:u w:val="single"/>
        </w:rPr>
        <w:t>应及时发出变更指示，由此引起的合同价格调整按照第10.4款〔变更估价〕约定执行。发包人不同意变更的，</w:t>
      </w:r>
      <w:r>
        <w:rPr>
          <w:rFonts w:hint="eastAsia" w:ascii="宋体" w:hAnsi="Times New Roman" w:eastAsia="宋体" w:cs="宋体"/>
          <w:color w:val="auto"/>
          <w:szCs w:val="21"/>
          <w:highlight w:val="none"/>
          <w:u w:val="single"/>
        </w:rPr>
        <w:t>监理人</w:t>
      </w:r>
      <w:r>
        <w:rPr>
          <w:rFonts w:hint="eastAsia" w:ascii="宋体" w:cs="宋体"/>
          <w:color w:val="auto"/>
          <w:szCs w:val="21"/>
          <w:highlight w:val="none"/>
          <w:u w:val="single"/>
        </w:rPr>
        <w:t>应书面通知承包人。</w:t>
      </w:r>
    </w:p>
    <w:p w14:paraId="4F4C2DC1">
      <w:pPr>
        <w:snapToGrid w:val="0"/>
        <w:spacing w:line="440" w:lineRule="exact"/>
        <w:ind w:firstLine="420" w:firstLineChars="200"/>
        <w:jc w:val="left"/>
        <w:rPr>
          <w:rFonts w:hint="eastAsia" w:ascii="宋体" w:cs="宋体"/>
          <w:color w:val="auto"/>
          <w:szCs w:val="21"/>
          <w:highlight w:val="none"/>
          <w:u w:val="single"/>
        </w:rPr>
      </w:pPr>
      <w:r>
        <w:rPr>
          <w:rFonts w:hint="eastAsia" w:ascii="宋体" w:cs="宋体"/>
          <w:color w:val="auto"/>
          <w:szCs w:val="21"/>
          <w:highlight w:val="none"/>
        </w:rPr>
        <w:t>承包人提出的合理化建议降低了合同价格或者提高了工程经济效益的奖励的方法和金额为：</w:t>
      </w:r>
      <w:r>
        <w:rPr>
          <w:rFonts w:ascii="宋体" w:hAnsi="宋体" w:eastAsia="宋体" w:cs="宋体"/>
          <w:color w:val="auto"/>
          <w:spacing w:val="-1"/>
          <w:sz w:val="21"/>
          <w:szCs w:val="21"/>
          <w:highlight w:val="none"/>
          <w:u w:val="single" w:color="auto"/>
        </w:rPr>
        <w:t>此条不执行</w:t>
      </w:r>
      <w:r>
        <w:rPr>
          <w:rFonts w:hint="eastAsia"/>
          <w:color w:val="auto"/>
          <w:highlight w:val="none"/>
        </w:rPr>
        <w:t>。</w:t>
      </w:r>
    </w:p>
    <w:p w14:paraId="4D201892">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s="宋体"/>
          <w:color w:val="auto"/>
          <w:szCs w:val="21"/>
          <w:highlight w:val="none"/>
        </w:rPr>
      </w:pPr>
      <w:r>
        <w:rPr>
          <w:rFonts w:hint="eastAsia" w:ascii="宋体" w:cs="宋体"/>
          <w:color w:val="auto"/>
          <w:szCs w:val="21"/>
          <w:highlight w:val="none"/>
        </w:rPr>
        <w:t>10.8 暂列金额</w:t>
      </w:r>
    </w:p>
    <w:p w14:paraId="41EF1A4D">
      <w:pPr>
        <w:keepNext w:val="0"/>
        <w:keepLines w:val="0"/>
        <w:pageBreakBefore w:val="0"/>
        <w:widowControl/>
        <w:suppressLineNumbers w:val="0"/>
        <w:kinsoku/>
        <w:wordWrap/>
        <w:overflowPunct/>
        <w:topLinePunct w:val="0"/>
        <w:autoSpaceDE/>
        <w:autoSpaceDN/>
        <w:bidi w:val="0"/>
        <w:adjustRightInd/>
        <w:spacing w:line="440" w:lineRule="exact"/>
        <w:jc w:val="left"/>
        <w:textAlignment w:val="auto"/>
        <w:rPr>
          <w:color w:val="auto"/>
          <w:highlight w:val="none"/>
          <w:u w:val="single"/>
        </w:rPr>
      </w:pPr>
      <w:r>
        <w:rPr>
          <w:rFonts w:hint="eastAsia" w:ascii="宋体" w:hAnsi="宋体" w:cs="宋体"/>
          <w:color w:val="auto"/>
          <w:kern w:val="0"/>
          <w:highlight w:val="none"/>
          <w:lang w:eastAsia="zh-CN"/>
        </w:rPr>
        <w:t>　　</w:t>
      </w:r>
      <w:r>
        <w:rPr>
          <w:rFonts w:hint="eastAsia" w:ascii="宋体" w:hAnsi="宋体" w:cs="宋体"/>
          <w:color w:val="auto"/>
          <w:kern w:val="0"/>
          <w:highlight w:val="none"/>
        </w:rPr>
        <w:t>合同当事人关于暂列金额使用的约定：</w:t>
      </w:r>
      <w:r>
        <w:rPr>
          <w:rFonts w:hint="eastAsia" w:ascii="宋体" w:hAnsi="宋体" w:eastAsia="宋体" w:cs="宋体"/>
          <w:color w:val="auto"/>
          <w:kern w:val="0"/>
          <w:sz w:val="22"/>
          <w:szCs w:val="22"/>
          <w:highlight w:val="none"/>
          <w:u w:val="single"/>
          <w:lang w:val="en-US" w:eastAsia="zh-CN" w:bidi="ar"/>
        </w:rPr>
        <w:t>合同中标明的暂列金额一般不予动用，其使用由发包人核准批复。</w:t>
      </w:r>
    </w:p>
    <w:p w14:paraId="510AEE20">
      <w:pPr>
        <w:pStyle w:val="5"/>
        <w:pageBreakBefore w:val="0"/>
        <w:kinsoku/>
        <w:wordWrap/>
        <w:overflowPunct/>
        <w:topLinePunct w:val="0"/>
        <w:autoSpaceDE/>
        <w:autoSpaceDN/>
        <w:bidi w:val="0"/>
        <w:adjustRightInd/>
        <w:snapToGrid w:val="0"/>
        <w:spacing w:before="0" w:after="0" w:line="440" w:lineRule="exact"/>
        <w:ind w:firstLine="420" w:firstLineChars="200"/>
        <w:textAlignment w:val="auto"/>
        <w:rPr>
          <w:rFonts w:hint="eastAsia" w:ascii="宋体" w:eastAsia="宋体" w:cs="宋体"/>
          <w:b w:val="0"/>
          <w:color w:val="auto"/>
          <w:sz w:val="21"/>
          <w:szCs w:val="21"/>
          <w:highlight w:val="none"/>
        </w:rPr>
      </w:pPr>
      <w:r>
        <w:rPr>
          <w:rFonts w:hint="eastAsia" w:ascii="宋体" w:eastAsia="宋体" w:cs="宋体"/>
          <w:b w:val="0"/>
          <w:color w:val="auto"/>
          <w:sz w:val="21"/>
          <w:szCs w:val="21"/>
          <w:highlight w:val="none"/>
        </w:rPr>
        <w:t>11. 价格调整</w:t>
      </w:r>
    </w:p>
    <w:p w14:paraId="47D887AB">
      <w:pPr>
        <w:keepNext w:val="0"/>
        <w:keepLines w:val="0"/>
        <w:pageBreakBefore w:val="0"/>
        <w:widowControl w:val="0"/>
        <w:kinsoku/>
        <w:wordWrap/>
        <w:overflowPunct/>
        <w:topLinePunct w:val="0"/>
        <w:autoSpaceDE/>
        <w:autoSpaceDN/>
        <w:bidi w:val="0"/>
        <w:snapToGrid w:val="0"/>
        <w:spacing w:line="440" w:lineRule="exact"/>
        <w:ind w:firstLine="420" w:firstLineChars="200"/>
        <w:textAlignment w:val="auto"/>
        <w:rPr>
          <w:rFonts w:hint="eastAsia" w:ascii="宋体" w:cs="宋体"/>
          <w:color w:val="auto"/>
          <w:szCs w:val="21"/>
          <w:highlight w:val="none"/>
        </w:rPr>
      </w:pPr>
      <w:r>
        <w:rPr>
          <w:rFonts w:hint="eastAsia" w:ascii="宋体" w:cs="宋体"/>
          <w:color w:val="auto"/>
          <w:szCs w:val="21"/>
          <w:highlight w:val="none"/>
        </w:rPr>
        <w:t>11.1 市场价格波动引起的调整</w:t>
      </w:r>
    </w:p>
    <w:p w14:paraId="0EA59831">
      <w:pPr>
        <w:keepNext w:val="0"/>
        <w:keepLines w:val="0"/>
        <w:pageBreakBefore w:val="0"/>
        <w:widowControl w:val="0"/>
        <w:kinsoku/>
        <w:wordWrap/>
        <w:overflowPunct/>
        <w:topLinePunct w:val="0"/>
        <w:autoSpaceDE/>
        <w:autoSpaceDN/>
        <w:bidi w:val="0"/>
        <w:adjustRightInd w:val="0"/>
        <w:snapToGrid w:val="0"/>
        <w:spacing w:line="440" w:lineRule="exact"/>
        <w:ind w:firstLine="420" w:firstLineChars="200"/>
        <w:textAlignment w:val="auto"/>
        <w:rPr>
          <w:rFonts w:hint="eastAsia" w:ascii="宋体" w:hAnsi="宋体" w:cs="宋体"/>
          <w:color w:val="auto"/>
          <w:highlight w:val="none"/>
        </w:rPr>
      </w:pPr>
      <w:r>
        <w:rPr>
          <w:rFonts w:hint="eastAsia" w:ascii="宋体" w:hAnsi="宋体" w:cs="宋体"/>
          <w:color w:val="auto"/>
          <w:kern w:val="0"/>
          <w:highlight w:val="none"/>
        </w:rPr>
        <w:t>市场价格波动是否调整合同价格的约定：</w:t>
      </w:r>
      <w:r>
        <w:rPr>
          <w:rFonts w:hint="eastAsia" w:ascii="宋体" w:hAnsi="宋体" w:cs="宋体"/>
          <w:b/>
          <w:color w:val="auto"/>
          <w:highlight w:val="none"/>
          <w:u w:val="single"/>
        </w:rPr>
        <w:t xml:space="preserve"> </w:t>
      </w:r>
      <w:r>
        <w:rPr>
          <w:rFonts w:hint="eastAsia" w:ascii="宋体" w:hAnsi="宋体" w:eastAsia="宋体" w:cs="宋体"/>
          <w:color w:val="auto"/>
          <w:szCs w:val="21"/>
          <w:highlight w:val="none"/>
          <w:u w:val="single"/>
          <w:lang w:val="en-US" w:eastAsia="zh-CN"/>
        </w:rPr>
        <w:t>不调整</w:t>
      </w:r>
      <w:r>
        <w:rPr>
          <w:rFonts w:hint="eastAsia" w:ascii="宋体" w:hAnsi="宋体" w:cs="宋体"/>
          <w:b/>
          <w:color w:val="auto"/>
          <w:highlight w:val="none"/>
          <w:u w:val="single"/>
        </w:rPr>
        <w:t xml:space="preserve"> </w:t>
      </w:r>
      <w:r>
        <w:rPr>
          <w:rFonts w:hint="eastAsia" w:ascii="宋体" w:hAnsi="宋体" w:cs="宋体"/>
          <w:color w:val="auto"/>
          <w:highlight w:val="none"/>
        </w:rPr>
        <w:t>。</w:t>
      </w:r>
    </w:p>
    <w:p w14:paraId="46DA0321">
      <w:pPr>
        <w:keepNext w:val="0"/>
        <w:keepLines w:val="0"/>
        <w:pageBreakBefore w:val="0"/>
        <w:widowControl w:val="0"/>
        <w:kinsoku/>
        <w:wordWrap/>
        <w:overflowPunct/>
        <w:topLinePunct w:val="0"/>
        <w:autoSpaceDE/>
        <w:autoSpaceDN/>
        <w:bidi w:val="0"/>
        <w:adjustRightInd w:val="0"/>
        <w:snapToGrid w:val="0"/>
        <w:spacing w:line="440" w:lineRule="exact"/>
        <w:ind w:firstLine="420" w:firstLineChars="200"/>
        <w:textAlignment w:val="auto"/>
        <w:rPr>
          <w:rFonts w:hint="eastAsia" w:ascii="宋体" w:hAnsi="宋体" w:cs="宋体"/>
          <w:color w:val="auto"/>
          <w:highlight w:val="none"/>
        </w:rPr>
      </w:pPr>
      <w:r>
        <w:rPr>
          <w:rFonts w:hint="eastAsia" w:ascii="宋体" w:hAnsi="宋体" w:cs="宋体"/>
          <w:color w:val="auto"/>
          <w:highlight w:val="none"/>
        </w:rPr>
        <w:t>因市场价格波动调整合同价格，采用以下第</w:t>
      </w:r>
      <w:r>
        <w:rPr>
          <w:rFonts w:hint="eastAsia" w:ascii="宋体" w:hAnsi="宋体" w:cs="宋体"/>
          <w:color w:val="auto"/>
          <w:highlight w:val="none"/>
          <w:u w:val="single"/>
        </w:rPr>
        <w:t xml:space="preserve"> </w:t>
      </w:r>
      <w:r>
        <w:rPr>
          <w:rFonts w:hint="eastAsia" w:ascii="宋体" w:hAnsi="宋体" w:cs="宋体"/>
          <w:color w:val="auto"/>
          <w:highlight w:val="none"/>
          <w:u w:val="single"/>
          <w:lang w:val="en-US" w:eastAsia="zh-CN"/>
        </w:rPr>
        <w:t>/</w:t>
      </w:r>
      <w:r>
        <w:rPr>
          <w:rFonts w:hint="eastAsia" w:ascii="宋体" w:hAnsi="宋体" w:cs="宋体"/>
          <w:color w:val="auto"/>
          <w:highlight w:val="none"/>
          <w:u w:val="single"/>
        </w:rPr>
        <w:t xml:space="preserve">   </w:t>
      </w:r>
      <w:r>
        <w:rPr>
          <w:rFonts w:hint="eastAsia" w:ascii="宋体" w:hAnsi="宋体" w:cs="宋体"/>
          <w:color w:val="auto"/>
          <w:highlight w:val="none"/>
        </w:rPr>
        <w:t>种方式对合同价格进行调整：</w:t>
      </w:r>
    </w:p>
    <w:p w14:paraId="16EAEE22">
      <w:pPr>
        <w:keepNext w:val="0"/>
        <w:keepLines w:val="0"/>
        <w:pageBreakBefore w:val="0"/>
        <w:widowControl w:val="0"/>
        <w:kinsoku/>
        <w:wordWrap/>
        <w:overflowPunct/>
        <w:topLinePunct w:val="0"/>
        <w:autoSpaceDE/>
        <w:autoSpaceDN/>
        <w:bidi w:val="0"/>
        <w:adjustRightInd w:val="0"/>
        <w:snapToGrid w:val="0"/>
        <w:spacing w:line="440" w:lineRule="exact"/>
        <w:ind w:firstLine="420" w:firstLineChars="200"/>
        <w:textAlignment w:val="auto"/>
        <w:rPr>
          <w:rFonts w:hint="eastAsia" w:ascii="宋体" w:hAnsi="宋体" w:cs="宋体"/>
          <w:color w:val="auto"/>
          <w:highlight w:val="none"/>
        </w:rPr>
      </w:pPr>
      <w:r>
        <w:rPr>
          <w:rFonts w:hint="eastAsia" w:ascii="宋体" w:hAnsi="宋体" w:cs="宋体"/>
          <w:color w:val="auto"/>
          <w:highlight w:val="none"/>
        </w:rPr>
        <w:t>第1种方式：采用价格指数进行价格调整。</w:t>
      </w:r>
    </w:p>
    <w:p w14:paraId="120DC035">
      <w:pPr>
        <w:keepNext w:val="0"/>
        <w:keepLines w:val="0"/>
        <w:pageBreakBefore w:val="0"/>
        <w:widowControl w:val="0"/>
        <w:kinsoku/>
        <w:wordWrap/>
        <w:overflowPunct/>
        <w:topLinePunct w:val="0"/>
        <w:autoSpaceDE/>
        <w:autoSpaceDN/>
        <w:bidi w:val="0"/>
        <w:adjustRightInd w:val="0"/>
        <w:snapToGrid w:val="0"/>
        <w:spacing w:line="440" w:lineRule="exact"/>
        <w:ind w:firstLine="420" w:firstLineChars="200"/>
        <w:textAlignment w:val="auto"/>
        <w:rPr>
          <w:rFonts w:hint="eastAsia" w:ascii="宋体" w:hAnsi="宋体" w:cs="宋体"/>
          <w:color w:val="auto"/>
          <w:highlight w:val="none"/>
          <w:u w:val="single"/>
        </w:rPr>
      </w:pPr>
      <w:r>
        <w:rPr>
          <w:rFonts w:hint="eastAsia" w:ascii="宋体" w:hAnsi="宋体" w:cs="宋体"/>
          <w:color w:val="auto"/>
          <w:highlight w:val="none"/>
        </w:rPr>
        <w:t>关于各可调因子、定值和变值权重，以及基本价格指数及其来源的约定：</w:t>
      </w:r>
      <w:r>
        <w:rPr>
          <w:rFonts w:hint="eastAsia" w:ascii="宋体" w:hAnsi="宋体" w:cs="宋体"/>
          <w:color w:val="auto"/>
          <w:highlight w:val="none"/>
          <w:u w:val="single"/>
        </w:rPr>
        <w:t xml:space="preserve">  </w:t>
      </w:r>
      <w:r>
        <w:rPr>
          <w:rFonts w:hint="eastAsia" w:ascii="宋体" w:hAnsi="宋体" w:cs="宋体"/>
          <w:color w:val="auto"/>
          <w:highlight w:val="none"/>
          <w:u w:val="single"/>
          <w:lang w:val="en-US" w:eastAsia="zh-CN"/>
        </w:rPr>
        <w:t>/</w:t>
      </w:r>
      <w:r>
        <w:rPr>
          <w:rFonts w:hint="eastAsia" w:ascii="宋体" w:hAnsi="宋体" w:cs="宋体"/>
          <w:color w:val="auto"/>
          <w:highlight w:val="none"/>
          <w:u w:val="single"/>
        </w:rPr>
        <w:t xml:space="preserve">   </w:t>
      </w:r>
      <w:r>
        <w:rPr>
          <w:rFonts w:hint="eastAsia" w:ascii="宋体" w:hAnsi="宋体" w:cs="宋体"/>
          <w:color w:val="auto"/>
          <w:highlight w:val="none"/>
        </w:rPr>
        <w:t xml:space="preserve">； </w:t>
      </w:r>
    </w:p>
    <w:p w14:paraId="60D3AF7A">
      <w:pPr>
        <w:keepNext w:val="0"/>
        <w:keepLines w:val="0"/>
        <w:pageBreakBefore w:val="0"/>
        <w:widowControl w:val="0"/>
        <w:kinsoku/>
        <w:wordWrap/>
        <w:overflowPunct/>
        <w:topLinePunct w:val="0"/>
        <w:autoSpaceDE/>
        <w:autoSpaceDN/>
        <w:bidi w:val="0"/>
        <w:adjustRightInd w:val="0"/>
        <w:snapToGrid w:val="0"/>
        <w:spacing w:line="440" w:lineRule="exact"/>
        <w:ind w:firstLine="420" w:firstLineChars="200"/>
        <w:textAlignment w:val="auto"/>
        <w:rPr>
          <w:rFonts w:hint="eastAsia" w:ascii="宋体" w:hAnsi="宋体" w:cs="宋体"/>
          <w:color w:val="auto"/>
          <w:highlight w:val="none"/>
        </w:rPr>
      </w:pPr>
      <w:r>
        <w:rPr>
          <w:rFonts w:hint="eastAsia" w:ascii="宋体" w:hAnsi="宋体" w:cs="宋体"/>
          <w:color w:val="auto"/>
          <w:highlight w:val="none"/>
        </w:rPr>
        <w:t>第2种方式：采用造价信息进行价格调整。</w:t>
      </w:r>
    </w:p>
    <w:p w14:paraId="3E132DD0">
      <w:pPr>
        <w:keepNext w:val="0"/>
        <w:keepLines w:val="0"/>
        <w:pageBreakBefore w:val="0"/>
        <w:widowControl w:val="0"/>
        <w:kinsoku/>
        <w:wordWrap/>
        <w:overflowPunct/>
        <w:topLinePunct w:val="0"/>
        <w:autoSpaceDE/>
        <w:autoSpaceDN/>
        <w:bidi w:val="0"/>
        <w:adjustRightInd w:val="0"/>
        <w:snapToGrid w:val="0"/>
        <w:spacing w:line="440" w:lineRule="exact"/>
        <w:ind w:firstLine="420" w:firstLineChars="200"/>
        <w:textAlignment w:val="auto"/>
        <w:rPr>
          <w:rFonts w:hint="eastAsia" w:ascii="宋体" w:hAnsi="宋体" w:cs="宋体"/>
          <w:color w:val="auto"/>
          <w:highlight w:val="none"/>
        </w:rPr>
      </w:pPr>
      <w:r>
        <w:rPr>
          <w:rFonts w:hint="eastAsia" w:ascii="宋体" w:hAnsi="宋体" w:cs="宋体"/>
          <w:color w:val="auto"/>
          <w:highlight w:val="none"/>
        </w:rPr>
        <w:t>（1）价格的调整：</w:t>
      </w:r>
    </w:p>
    <w:p w14:paraId="6CAF00AC">
      <w:pPr>
        <w:keepNext w:val="0"/>
        <w:keepLines w:val="0"/>
        <w:pageBreakBefore w:val="0"/>
        <w:widowControl w:val="0"/>
        <w:kinsoku/>
        <w:wordWrap/>
        <w:overflowPunct/>
        <w:topLinePunct w:val="0"/>
        <w:autoSpaceDE/>
        <w:autoSpaceDN/>
        <w:bidi w:val="0"/>
        <w:adjustRightInd w:val="0"/>
        <w:snapToGrid w:val="0"/>
        <w:spacing w:line="440" w:lineRule="exact"/>
        <w:ind w:firstLine="420" w:firstLineChars="200"/>
        <w:textAlignment w:val="auto"/>
        <w:rPr>
          <w:rFonts w:hint="eastAsia" w:ascii="宋体" w:hAnsi="宋体" w:cs="宋体"/>
          <w:color w:val="auto"/>
          <w:highlight w:val="none"/>
        </w:rPr>
      </w:pPr>
      <w:r>
        <w:rPr>
          <w:rFonts w:hint="eastAsia" w:ascii="宋体" w:hAnsi="宋体" w:cs="宋体"/>
          <w:color w:val="auto"/>
          <w:highlight w:val="none"/>
        </w:rPr>
        <w:t>①可调整价格的主要材料范围的约定:</w:t>
      </w:r>
      <w:r>
        <w:rPr>
          <w:rFonts w:hint="eastAsia" w:ascii="宋体" w:hAnsi="宋体" w:cs="宋体"/>
          <w:color w:val="auto"/>
          <w:highlight w:val="none"/>
          <w:u w:val="single"/>
        </w:rPr>
        <w:t xml:space="preserve">        </w:t>
      </w:r>
      <w:r>
        <w:rPr>
          <w:rFonts w:hint="eastAsia" w:ascii="宋体" w:hAnsi="宋体" w:cs="宋体"/>
          <w:color w:val="auto"/>
          <w:highlight w:val="none"/>
        </w:rPr>
        <w:t>；</w:t>
      </w:r>
    </w:p>
    <w:p w14:paraId="723B5D1C">
      <w:pPr>
        <w:keepNext w:val="0"/>
        <w:keepLines w:val="0"/>
        <w:pageBreakBefore w:val="0"/>
        <w:widowControl w:val="0"/>
        <w:kinsoku/>
        <w:wordWrap/>
        <w:overflowPunct/>
        <w:topLinePunct w:val="0"/>
        <w:autoSpaceDE/>
        <w:autoSpaceDN/>
        <w:bidi w:val="0"/>
        <w:adjustRightInd w:val="0"/>
        <w:snapToGrid w:val="0"/>
        <w:spacing w:line="440" w:lineRule="exact"/>
        <w:ind w:firstLine="420" w:firstLineChars="200"/>
        <w:textAlignment w:val="auto"/>
        <w:rPr>
          <w:rFonts w:hint="eastAsia" w:ascii="宋体" w:hAnsi="宋体" w:cs="宋体"/>
          <w:color w:val="auto"/>
          <w:highlight w:val="none"/>
        </w:rPr>
      </w:pPr>
      <w:r>
        <w:rPr>
          <w:rFonts w:hint="eastAsia" w:ascii="宋体" w:hAnsi="宋体" w:cs="宋体"/>
          <w:color w:val="auto"/>
          <w:highlight w:val="none"/>
        </w:rPr>
        <w:t>②主要材料价差调整周期的约定:</w:t>
      </w:r>
      <w:r>
        <w:rPr>
          <w:rFonts w:hint="eastAsia" w:ascii="宋体" w:hAnsi="宋体" w:cs="宋体"/>
          <w:color w:val="auto"/>
          <w:highlight w:val="none"/>
          <w:u w:val="single"/>
        </w:rPr>
        <w:t xml:space="preserve">            </w:t>
      </w:r>
      <w:r>
        <w:rPr>
          <w:rFonts w:hint="eastAsia" w:ascii="宋体" w:hAnsi="宋体" w:cs="宋体"/>
          <w:color w:val="auto"/>
          <w:highlight w:val="none"/>
        </w:rPr>
        <w:t>；</w:t>
      </w:r>
    </w:p>
    <w:p w14:paraId="1B9B2103">
      <w:pPr>
        <w:keepNext w:val="0"/>
        <w:keepLines w:val="0"/>
        <w:pageBreakBefore w:val="0"/>
        <w:widowControl w:val="0"/>
        <w:kinsoku/>
        <w:wordWrap/>
        <w:overflowPunct/>
        <w:topLinePunct w:val="0"/>
        <w:autoSpaceDE/>
        <w:autoSpaceDN/>
        <w:bidi w:val="0"/>
        <w:adjustRightInd w:val="0"/>
        <w:snapToGrid w:val="0"/>
        <w:spacing w:line="440" w:lineRule="exact"/>
        <w:ind w:firstLine="420" w:firstLineChars="200"/>
        <w:textAlignment w:val="auto"/>
        <w:rPr>
          <w:rFonts w:hint="eastAsia" w:ascii="宋体" w:hAnsi="宋体" w:cs="宋体"/>
          <w:color w:val="auto"/>
          <w:sz w:val="24"/>
          <w:szCs w:val="32"/>
          <w:highlight w:val="none"/>
        </w:rPr>
      </w:pPr>
      <w:r>
        <w:rPr>
          <w:rFonts w:hint="eastAsia" w:ascii="宋体" w:hAnsi="宋体" w:cs="宋体"/>
          <w:color w:val="auto"/>
          <w:highlight w:val="none"/>
        </w:rPr>
        <w:t>③主要材料价差调整计算方法的约定:</w:t>
      </w:r>
      <w:r>
        <w:rPr>
          <w:rFonts w:hint="eastAsia" w:ascii="宋体" w:hAnsi="宋体" w:cs="宋体"/>
          <w:color w:val="auto"/>
          <w:highlight w:val="none"/>
          <w:u w:val="single"/>
        </w:rPr>
        <w:t xml:space="preserve">        </w:t>
      </w:r>
      <w:r>
        <w:rPr>
          <w:rFonts w:hint="eastAsia" w:ascii="宋体" w:hAnsi="宋体" w:cs="宋体"/>
          <w:color w:val="auto"/>
          <w:highlight w:val="none"/>
        </w:rPr>
        <w:t>；</w:t>
      </w:r>
    </w:p>
    <w:p w14:paraId="6E1C4C2C">
      <w:pPr>
        <w:keepNext w:val="0"/>
        <w:keepLines w:val="0"/>
        <w:pageBreakBefore w:val="0"/>
        <w:widowControl w:val="0"/>
        <w:kinsoku/>
        <w:wordWrap/>
        <w:overflowPunct/>
        <w:topLinePunct w:val="0"/>
        <w:autoSpaceDE/>
        <w:autoSpaceDN/>
        <w:bidi w:val="0"/>
        <w:adjustRightInd w:val="0"/>
        <w:snapToGrid w:val="0"/>
        <w:spacing w:line="440" w:lineRule="exact"/>
        <w:ind w:firstLine="420" w:firstLineChars="200"/>
        <w:textAlignment w:val="auto"/>
        <w:rPr>
          <w:rFonts w:hint="eastAsia" w:ascii="宋体" w:hAnsi="宋体" w:cs="宋体"/>
          <w:color w:val="auto"/>
          <w:highlight w:val="none"/>
        </w:rPr>
      </w:pPr>
      <w:r>
        <w:rPr>
          <w:rFonts w:hint="eastAsia" w:ascii="宋体" w:hAnsi="宋体" w:cs="宋体"/>
          <w:color w:val="auto"/>
          <w:highlight w:val="none"/>
        </w:rPr>
        <w:t>④主要材料价差调整时间的约定:</w:t>
      </w:r>
      <w:r>
        <w:rPr>
          <w:rFonts w:hint="eastAsia" w:ascii="宋体" w:hAnsi="宋体" w:cs="宋体"/>
          <w:color w:val="auto"/>
          <w:highlight w:val="none"/>
          <w:u w:val="single"/>
        </w:rPr>
        <w:t xml:space="preserve">            </w:t>
      </w:r>
      <w:r>
        <w:rPr>
          <w:rFonts w:hint="eastAsia" w:ascii="宋体" w:hAnsi="宋体" w:cs="宋体"/>
          <w:color w:val="auto"/>
          <w:highlight w:val="none"/>
        </w:rPr>
        <w:t>。</w:t>
      </w:r>
    </w:p>
    <w:p w14:paraId="64DDB168">
      <w:pPr>
        <w:keepNext w:val="0"/>
        <w:keepLines w:val="0"/>
        <w:pageBreakBefore w:val="0"/>
        <w:widowControl w:val="0"/>
        <w:kinsoku/>
        <w:wordWrap/>
        <w:overflowPunct/>
        <w:topLinePunct w:val="0"/>
        <w:autoSpaceDE/>
        <w:autoSpaceDN/>
        <w:bidi w:val="0"/>
        <w:adjustRightInd w:val="0"/>
        <w:snapToGrid w:val="0"/>
        <w:spacing w:line="440" w:lineRule="exact"/>
        <w:ind w:firstLine="420" w:firstLineChars="200"/>
        <w:textAlignment w:val="auto"/>
        <w:rPr>
          <w:rFonts w:hint="eastAsia" w:ascii="宋体" w:hAnsi="宋体" w:cs="宋体"/>
          <w:color w:val="auto"/>
          <w:highlight w:val="none"/>
        </w:rPr>
      </w:pPr>
      <w:r>
        <w:rPr>
          <w:rFonts w:hint="eastAsia" w:ascii="宋体" w:hAnsi="宋体" w:cs="宋体"/>
          <w:color w:val="auto"/>
          <w:highlight w:val="none"/>
        </w:rPr>
        <w:t>（2）关于基准价格的约定：</w:t>
      </w:r>
      <w:r>
        <w:rPr>
          <w:rFonts w:hint="eastAsia" w:ascii="宋体" w:hAnsi="宋体" w:cs="宋体"/>
          <w:color w:val="auto"/>
          <w:highlight w:val="none"/>
          <w:u w:val="single"/>
        </w:rPr>
        <w:t xml:space="preserve">         </w:t>
      </w:r>
      <w:r>
        <w:rPr>
          <w:rFonts w:hint="eastAsia" w:ascii="宋体" w:hAnsi="宋体" w:cs="宋体"/>
          <w:color w:val="auto"/>
          <w:highlight w:val="none"/>
          <w:u w:val="single"/>
          <w:lang w:val="en-US" w:eastAsia="zh-CN"/>
        </w:rPr>
        <w:t>/</w:t>
      </w:r>
      <w:r>
        <w:rPr>
          <w:rFonts w:hint="eastAsia" w:ascii="宋体" w:hAnsi="宋体" w:cs="宋体"/>
          <w:color w:val="auto"/>
          <w:highlight w:val="none"/>
          <w:u w:val="single"/>
        </w:rPr>
        <w:t xml:space="preserve">           </w:t>
      </w:r>
      <w:r>
        <w:rPr>
          <w:rFonts w:hint="eastAsia" w:ascii="宋体" w:hAnsi="宋体" w:cs="宋体"/>
          <w:color w:val="auto"/>
          <w:highlight w:val="none"/>
        </w:rPr>
        <w:t>。</w:t>
      </w:r>
    </w:p>
    <w:p w14:paraId="1F2C269F">
      <w:pPr>
        <w:keepNext w:val="0"/>
        <w:keepLines w:val="0"/>
        <w:pageBreakBefore w:val="0"/>
        <w:widowControl w:val="0"/>
        <w:kinsoku/>
        <w:wordWrap/>
        <w:overflowPunct/>
        <w:topLinePunct w:val="0"/>
        <w:autoSpaceDE/>
        <w:autoSpaceDN/>
        <w:bidi w:val="0"/>
        <w:adjustRightInd w:val="0"/>
        <w:snapToGrid w:val="0"/>
        <w:spacing w:line="44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①承包人在已标价工程量清单或预算书中载明的材料单价低于基准价格的：专用合同条款合同履行期间材料单价涨幅以基准价格为基础超过</w:t>
      </w:r>
      <w:r>
        <w:rPr>
          <w:rFonts w:hint="eastAsia" w:ascii="宋体" w:hAnsi="宋体" w:cs="宋体"/>
          <w:color w:val="auto"/>
          <w:highlight w:val="none"/>
          <w:u w:val="single"/>
          <w:lang w:val="en-US" w:eastAsia="zh-CN"/>
        </w:rPr>
        <w:t>/</w:t>
      </w:r>
      <w:r>
        <w:rPr>
          <w:rFonts w:hint="eastAsia" w:ascii="宋体" w:hAnsi="宋体" w:eastAsia="宋体" w:cs="宋体"/>
          <w:color w:val="auto"/>
          <w:highlight w:val="none"/>
        </w:rPr>
        <w:t>时，或材料单价跌幅以已标价工程量清单或预算书中载明材料单价为基础超过</w:t>
      </w:r>
      <w:r>
        <w:rPr>
          <w:rFonts w:hint="eastAsia" w:ascii="宋体" w:hAnsi="宋体" w:cs="宋体"/>
          <w:color w:val="auto"/>
          <w:highlight w:val="none"/>
          <w:u w:val="single"/>
          <w:lang w:val="en-US" w:eastAsia="zh-CN"/>
        </w:rPr>
        <w:t>/</w:t>
      </w:r>
      <w:r>
        <w:rPr>
          <w:rFonts w:hint="eastAsia" w:ascii="宋体" w:hAnsi="宋体" w:eastAsia="宋体" w:cs="宋体"/>
          <w:color w:val="auto"/>
          <w:highlight w:val="none"/>
        </w:rPr>
        <w:t>时，其超过部分据实调整。</w:t>
      </w:r>
    </w:p>
    <w:p w14:paraId="2D6B5402">
      <w:pPr>
        <w:keepNext w:val="0"/>
        <w:keepLines w:val="0"/>
        <w:pageBreakBefore w:val="0"/>
        <w:widowControl w:val="0"/>
        <w:kinsoku/>
        <w:wordWrap/>
        <w:overflowPunct/>
        <w:topLinePunct w:val="0"/>
        <w:autoSpaceDE/>
        <w:autoSpaceDN/>
        <w:bidi w:val="0"/>
        <w:adjustRightInd w:val="0"/>
        <w:snapToGrid w:val="0"/>
        <w:spacing w:line="440" w:lineRule="exact"/>
        <w:ind w:firstLine="420" w:firstLineChars="200"/>
        <w:textAlignment w:val="auto"/>
        <w:rPr>
          <w:rFonts w:hint="eastAsia" w:ascii="宋体" w:hAnsi="宋体" w:cs="宋体"/>
          <w:color w:val="auto"/>
          <w:highlight w:val="none"/>
        </w:rPr>
      </w:pPr>
      <w:r>
        <w:rPr>
          <w:rFonts w:hint="eastAsia" w:ascii="宋体" w:hAnsi="宋体" w:cs="宋体"/>
          <w:color w:val="auto"/>
          <w:highlight w:val="none"/>
        </w:rPr>
        <w:t>②承包人在已标价工程量清单或预算书中载明的材料单价高于基准价格的：专用合同条款合同履行期间材料单价跌幅以基准价格为基础超过</w:t>
      </w:r>
      <w:r>
        <w:rPr>
          <w:rFonts w:hint="eastAsia" w:ascii="宋体" w:hAnsi="宋体" w:cs="宋体"/>
          <w:color w:val="auto"/>
          <w:highlight w:val="none"/>
          <w:u w:val="single"/>
        </w:rPr>
        <w:t xml:space="preserve"> </w:t>
      </w:r>
      <w:r>
        <w:rPr>
          <w:rFonts w:hint="eastAsia" w:ascii="宋体" w:hAnsi="宋体" w:cs="宋体"/>
          <w:color w:val="auto"/>
          <w:highlight w:val="none"/>
          <w:u w:val="single"/>
          <w:lang w:val="en-US" w:eastAsia="zh-CN"/>
        </w:rPr>
        <w:t>/</w:t>
      </w:r>
      <w:r>
        <w:rPr>
          <w:rFonts w:hint="eastAsia" w:ascii="宋体" w:hAnsi="宋体" w:cs="宋体"/>
          <w:color w:val="auto"/>
          <w:highlight w:val="none"/>
        </w:rPr>
        <w:t>时，材料单价涨幅以已标价工程量清单或预算书中载明材料单价为基础超过</w:t>
      </w:r>
      <w:r>
        <w:rPr>
          <w:rFonts w:hint="eastAsia" w:ascii="宋体" w:hAnsi="宋体" w:cs="宋体"/>
          <w:color w:val="auto"/>
          <w:highlight w:val="none"/>
          <w:u w:val="single"/>
          <w:lang w:val="en-US" w:eastAsia="zh-CN"/>
        </w:rPr>
        <w:t>/</w:t>
      </w:r>
      <w:r>
        <w:rPr>
          <w:rFonts w:hint="eastAsia" w:ascii="宋体" w:hAnsi="宋体" w:cs="宋体"/>
          <w:color w:val="auto"/>
          <w:highlight w:val="none"/>
        </w:rPr>
        <w:t>时，其超过部分据实调整。</w:t>
      </w:r>
    </w:p>
    <w:p w14:paraId="652D9417">
      <w:pPr>
        <w:keepNext w:val="0"/>
        <w:keepLines w:val="0"/>
        <w:pageBreakBefore w:val="0"/>
        <w:widowControl w:val="0"/>
        <w:kinsoku/>
        <w:wordWrap/>
        <w:overflowPunct/>
        <w:topLinePunct w:val="0"/>
        <w:autoSpaceDE/>
        <w:autoSpaceDN/>
        <w:bidi w:val="0"/>
        <w:adjustRightInd w:val="0"/>
        <w:snapToGrid w:val="0"/>
        <w:spacing w:line="440" w:lineRule="exact"/>
        <w:ind w:firstLine="420" w:firstLineChars="200"/>
        <w:textAlignment w:val="auto"/>
        <w:rPr>
          <w:rFonts w:hint="eastAsia" w:ascii="宋体" w:hAnsi="宋体" w:cs="宋体"/>
          <w:color w:val="auto"/>
          <w:highlight w:val="none"/>
        </w:rPr>
      </w:pPr>
      <w:r>
        <w:rPr>
          <w:rFonts w:hint="eastAsia" w:ascii="宋体" w:hAnsi="宋体" w:cs="宋体"/>
          <w:color w:val="auto"/>
          <w:highlight w:val="none"/>
        </w:rPr>
        <w:t>③承包人在已标价工程量清单或预算书中载明的材料单价等于基准单价的：专用合同条款合同履行期间材料单价涨跌幅以基准单价为基础超过±</w:t>
      </w:r>
      <w:r>
        <w:rPr>
          <w:rFonts w:hint="eastAsia" w:ascii="宋体" w:hAnsi="宋体" w:cs="宋体"/>
          <w:color w:val="auto"/>
          <w:highlight w:val="none"/>
          <w:u w:val="single"/>
          <w:lang w:val="en-US" w:eastAsia="zh-CN"/>
        </w:rPr>
        <w:t>/</w:t>
      </w:r>
      <w:r>
        <w:rPr>
          <w:rFonts w:hint="eastAsia" w:ascii="宋体" w:hAnsi="宋体" w:cs="宋体"/>
          <w:color w:val="auto"/>
          <w:highlight w:val="none"/>
        </w:rPr>
        <w:t>时，其超过部分据实调整。</w:t>
      </w:r>
    </w:p>
    <w:p w14:paraId="682FE3EB">
      <w:pPr>
        <w:keepNext w:val="0"/>
        <w:keepLines w:val="0"/>
        <w:pageBreakBefore w:val="0"/>
        <w:widowControl w:val="0"/>
        <w:kinsoku/>
        <w:wordWrap/>
        <w:overflowPunct/>
        <w:topLinePunct w:val="0"/>
        <w:autoSpaceDE/>
        <w:autoSpaceDN/>
        <w:bidi w:val="0"/>
        <w:adjustRightInd w:val="0"/>
        <w:snapToGrid w:val="0"/>
        <w:spacing w:line="440" w:lineRule="exact"/>
        <w:ind w:firstLine="420" w:firstLineChars="200"/>
        <w:textAlignment w:val="auto"/>
        <w:rPr>
          <w:rFonts w:hint="eastAsia" w:ascii="宋体" w:hAnsi="宋体" w:cs="宋体"/>
          <w:color w:val="auto"/>
          <w:highlight w:val="none"/>
          <w:u w:val="single"/>
        </w:rPr>
      </w:pPr>
      <w:r>
        <w:rPr>
          <w:rFonts w:hint="eastAsia" w:ascii="宋体" w:hAnsi="宋体" w:cs="宋体"/>
          <w:color w:val="auto"/>
          <w:highlight w:val="none"/>
        </w:rPr>
        <w:t>第3种方式：其他价格调整方式：</w:t>
      </w:r>
      <w:r>
        <w:rPr>
          <w:rFonts w:hint="eastAsia" w:ascii="宋体" w:hAnsi="宋体" w:cs="宋体"/>
          <w:color w:val="auto"/>
          <w:highlight w:val="none"/>
          <w:u w:val="single"/>
        </w:rPr>
        <w:t xml:space="preserve">   </w:t>
      </w:r>
      <w:r>
        <w:rPr>
          <w:rFonts w:hint="eastAsia" w:ascii="宋体" w:hAnsi="宋体" w:cs="宋体"/>
          <w:color w:val="auto"/>
          <w:highlight w:val="none"/>
          <w:u w:val="single"/>
          <w:lang w:val="en-US" w:eastAsia="zh-CN"/>
        </w:rPr>
        <w:t>无</w:t>
      </w:r>
      <w:r>
        <w:rPr>
          <w:rFonts w:hint="eastAsia" w:ascii="宋体" w:hAnsi="宋体" w:cs="宋体"/>
          <w:color w:val="auto"/>
          <w:highlight w:val="none"/>
          <w:u w:val="single"/>
        </w:rPr>
        <w:t xml:space="preserve">     </w:t>
      </w:r>
      <w:r>
        <w:rPr>
          <w:rFonts w:hint="eastAsia" w:ascii="宋体" w:hAnsi="宋体" w:cs="宋体"/>
          <w:color w:val="auto"/>
          <w:highlight w:val="none"/>
        </w:rPr>
        <w:t>。</w:t>
      </w:r>
    </w:p>
    <w:p w14:paraId="23DE31B2">
      <w:pPr>
        <w:pStyle w:val="5"/>
        <w:snapToGrid w:val="0"/>
        <w:spacing w:before="0" w:after="0" w:line="440" w:lineRule="exact"/>
        <w:ind w:firstLine="420" w:firstLineChars="200"/>
        <w:rPr>
          <w:rFonts w:hint="eastAsia" w:ascii="宋体" w:eastAsia="宋体" w:cs="宋体"/>
          <w:b w:val="0"/>
          <w:color w:val="auto"/>
          <w:sz w:val="21"/>
          <w:szCs w:val="21"/>
          <w:highlight w:val="none"/>
        </w:rPr>
      </w:pPr>
      <w:r>
        <w:rPr>
          <w:rFonts w:hint="eastAsia" w:ascii="宋体" w:eastAsia="宋体" w:cs="宋体"/>
          <w:b w:val="0"/>
          <w:color w:val="auto"/>
          <w:sz w:val="21"/>
          <w:szCs w:val="21"/>
          <w:highlight w:val="none"/>
        </w:rPr>
        <w:t>12. 合同价格、计量与支付</w:t>
      </w:r>
    </w:p>
    <w:p w14:paraId="78AAEEA6">
      <w:pPr>
        <w:snapToGrid w:val="0"/>
        <w:spacing w:line="440" w:lineRule="exact"/>
        <w:ind w:firstLine="420" w:firstLineChars="200"/>
        <w:rPr>
          <w:rFonts w:hint="eastAsia" w:ascii="宋体" w:cs="宋体"/>
          <w:color w:val="auto"/>
          <w:szCs w:val="21"/>
          <w:highlight w:val="none"/>
        </w:rPr>
      </w:pPr>
      <w:r>
        <w:rPr>
          <w:rFonts w:hint="eastAsia" w:ascii="宋体" w:cs="宋体"/>
          <w:color w:val="auto"/>
          <w:szCs w:val="21"/>
          <w:highlight w:val="none"/>
        </w:rPr>
        <w:t>12.1 合同价格形式</w:t>
      </w:r>
    </w:p>
    <w:p w14:paraId="0EDC4618">
      <w:pPr>
        <w:snapToGrid w:val="0"/>
        <w:spacing w:line="440" w:lineRule="exact"/>
        <w:ind w:firstLine="420" w:firstLineChars="200"/>
        <w:jc w:val="left"/>
        <w:rPr>
          <w:rFonts w:hint="eastAsia" w:ascii="宋体" w:cs="宋体"/>
          <w:color w:val="auto"/>
          <w:szCs w:val="21"/>
          <w:highlight w:val="none"/>
        </w:rPr>
      </w:pPr>
      <w:r>
        <w:rPr>
          <w:rFonts w:hint="eastAsia" w:ascii="宋体" w:cs="宋体"/>
          <w:color w:val="auto"/>
          <w:szCs w:val="21"/>
          <w:highlight w:val="none"/>
        </w:rPr>
        <w:t>1、</w:t>
      </w:r>
      <w:r>
        <w:rPr>
          <w:rFonts w:hint="eastAsia" w:ascii="宋体" w:cs="宋体"/>
          <w:color w:val="auto"/>
          <w:szCs w:val="21"/>
          <w:highlight w:val="none"/>
          <w:lang w:val="en-US" w:eastAsia="zh-CN"/>
        </w:rPr>
        <w:t>固定</w:t>
      </w:r>
      <w:r>
        <w:rPr>
          <w:rFonts w:hint="eastAsia" w:ascii="宋体" w:cs="宋体"/>
          <w:color w:val="auto"/>
          <w:szCs w:val="21"/>
          <w:highlight w:val="none"/>
        </w:rPr>
        <w:t>单价合同</w:t>
      </w:r>
      <w:r>
        <w:rPr>
          <w:rFonts w:hint="eastAsia" w:ascii="宋体" w:cs="宋体"/>
          <w:color w:val="auto"/>
          <w:szCs w:val="21"/>
          <w:highlight w:val="none"/>
          <w:lang w:eastAsia="zh-CN"/>
        </w:rPr>
        <w:t>，单价采用全费用综合单价</w:t>
      </w:r>
      <w:r>
        <w:rPr>
          <w:rFonts w:hint="eastAsia" w:ascii="宋体" w:cs="宋体"/>
          <w:color w:val="auto"/>
          <w:szCs w:val="21"/>
          <w:highlight w:val="none"/>
        </w:rPr>
        <w:t>。</w:t>
      </w:r>
    </w:p>
    <w:p w14:paraId="34278DE4">
      <w:pPr>
        <w:snapToGrid w:val="0"/>
        <w:spacing w:line="440" w:lineRule="exact"/>
        <w:ind w:firstLine="420" w:firstLineChars="200"/>
        <w:jc w:val="left"/>
        <w:rPr>
          <w:rFonts w:hint="eastAsia" w:ascii="宋体" w:cs="宋体"/>
          <w:b/>
          <w:color w:val="auto"/>
          <w:szCs w:val="21"/>
          <w:highlight w:val="none"/>
          <w:u w:val="single"/>
        </w:rPr>
      </w:pPr>
      <w:r>
        <w:rPr>
          <w:rFonts w:hint="eastAsia" w:ascii="宋体" w:cs="宋体"/>
          <w:color w:val="auto"/>
          <w:szCs w:val="21"/>
          <w:highlight w:val="none"/>
          <w:lang w:val="en-US" w:eastAsia="zh-CN"/>
        </w:rPr>
        <w:t>全费用综合</w:t>
      </w:r>
      <w:r>
        <w:rPr>
          <w:rFonts w:hint="eastAsia" w:ascii="宋体" w:cs="宋体"/>
          <w:color w:val="auto"/>
          <w:szCs w:val="21"/>
          <w:highlight w:val="none"/>
        </w:rPr>
        <w:t>单价包含的风险范围：</w:t>
      </w:r>
      <w:r>
        <w:rPr>
          <w:rFonts w:hint="eastAsia" w:ascii="宋体" w:hAnsi="宋体" w:eastAsia="宋体" w:cs="宋体"/>
          <w:b/>
          <w:bCs/>
          <w:color w:val="auto"/>
          <w:szCs w:val="21"/>
          <w:highlight w:val="none"/>
          <w:u w:val="single"/>
        </w:rPr>
        <w:t>各种因素引起的材料价格（合同允许调差的材料除外）、机械使用费、管理费、利润</w:t>
      </w:r>
      <w:r>
        <w:rPr>
          <w:rFonts w:hint="eastAsia" w:ascii="宋体" w:hAnsi="宋体" w:cs="宋体"/>
          <w:b/>
          <w:bCs/>
          <w:color w:val="auto"/>
          <w:szCs w:val="21"/>
          <w:highlight w:val="none"/>
          <w:u w:val="single"/>
          <w:lang w:eastAsia="zh-CN"/>
        </w:rPr>
        <w:t>、</w:t>
      </w:r>
      <w:r>
        <w:rPr>
          <w:rFonts w:hint="eastAsia" w:ascii="宋体" w:hAnsi="宋体" w:cs="宋体"/>
          <w:b/>
          <w:bCs/>
          <w:color w:val="auto"/>
          <w:szCs w:val="21"/>
          <w:highlight w:val="none"/>
          <w:u w:val="single"/>
          <w:lang w:val="en-US" w:eastAsia="zh-CN"/>
        </w:rPr>
        <w:t>规费、税金</w:t>
      </w:r>
      <w:r>
        <w:rPr>
          <w:rFonts w:hint="eastAsia" w:ascii="宋体" w:hAnsi="宋体" w:eastAsia="宋体" w:cs="宋体"/>
          <w:b/>
          <w:bCs/>
          <w:color w:val="auto"/>
          <w:szCs w:val="21"/>
          <w:highlight w:val="none"/>
          <w:u w:val="single"/>
        </w:rPr>
        <w:t>等</w:t>
      </w:r>
      <w:r>
        <w:rPr>
          <w:rFonts w:hint="eastAsia" w:ascii="宋体" w:cs="宋体"/>
          <w:b/>
          <w:color w:val="auto"/>
          <w:szCs w:val="21"/>
          <w:highlight w:val="none"/>
          <w:u w:val="single"/>
        </w:rPr>
        <w:t>。</w:t>
      </w:r>
    </w:p>
    <w:p w14:paraId="7781F16A">
      <w:pPr>
        <w:snapToGrid w:val="0"/>
        <w:spacing w:line="440" w:lineRule="exact"/>
        <w:ind w:firstLine="420" w:firstLineChars="200"/>
        <w:jc w:val="left"/>
        <w:rPr>
          <w:rFonts w:hint="eastAsia" w:ascii="宋体" w:eastAsia="宋体" w:cs="宋体"/>
          <w:color w:val="auto"/>
          <w:szCs w:val="21"/>
          <w:highlight w:val="none"/>
          <w:u w:val="none"/>
          <w:lang w:eastAsia="zh-CN"/>
        </w:rPr>
      </w:pPr>
      <w:r>
        <w:rPr>
          <w:rFonts w:hint="eastAsia" w:ascii="宋体" w:cs="宋体"/>
          <w:color w:val="auto"/>
          <w:szCs w:val="21"/>
          <w:highlight w:val="none"/>
        </w:rPr>
        <w:t>风险费用的计算方法：</w:t>
      </w:r>
      <w:r>
        <w:rPr>
          <w:rFonts w:hint="eastAsia" w:ascii="宋体" w:cs="宋体"/>
          <w:color w:val="auto"/>
          <w:szCs w:val="21"/>
          <w:highlight w:val="none"/>
          <w:u w:val="single"/>
        </w:rPr>
        <w:t>不考虑</w:t>
      </w:r>
      <w:r>
        <w:rPr>
          <w:rFonts w:hint="eastAsia" w:ascii="宋体" w:cs="宋体"/>
          <w:color w:val="auto"/>
          <w:szCs w:val="21"/>
          <w:highlight w:val="none"/>
          <w:u w:val="none"/>
          <w:lang w:eastAsia="zh-CN"/>
        </w:rPr>
        <w:t>。</w:t>
      </w:r>
    </w:p>
    <w:p w14:paraId="04548219">
      <w:pPr>
        <w:snapToGrid w:val="0"/>
        <w:spacing w:line="440" w:lineRule="exact"/>
        <w:ind w:firstLine="420" w:firstLineChars="200"/>
        <w:jc w:val="left"/>
        <w:rPr>
          <w:rFonts w:hint="eastAsia" w:ascii="宋体" w:hAnsi="宋体" w:cs="宋体"/>
          <w:bCs/>
          <w:color w:val="auto"/>
          <w:szCs w:val="21"/>
          <w:highlight w:val="none"/>
          <w:u w:val="single"/>
        </w:rPr>
      </w:pPr>
      <w:r>
        <w:rPr>
          <w:rFonts w:hint="eastAsia"/>
          <w:color w:val="auto"/>
          <w:highlight w:val="none"/>
        </w:rPr>
        <w:t>风险范围以外合同价格的调整方法：</w:t>
      </w:r>
      <w:r>
        <w:rPr>
          <w:rFonts w:hint="eastAsia" w:ascii="宋体" w:hAnsi="宋体" w:eastAsia="宋体" w:cs="宋体"/>
          <w:b w:val="0"/>
          <w:bCs/>
          <w:color w:val="auto"/>
          <w:sz w:val="21"/>
          <w:szCs w:val="21"/>
          <w:highlight w:val="none"/>
          <w:u w:val="single"/>
          <w:shd w:val="clear" w:color="auto" w:fill="auto"/>
        </w:rPr>
        <w:t>结算总价为</w:t>
      </w:r>
      <w:r>
        <w:rPr>
          <w:rFonts w:hint="eastAsia" w:ascii="宋体" w:hAnsi="宋体" w:cs="宋体"/>
          <w:b w:val="0"/>
          <w:bCs/>
          <w:color w:val="auto"/>
          <w:sz w:val="21"/>
          <w:szCs w:val="21"/>
          <w:highlight w:val="none"/>
          <w:u w:val="single"/>
          <w:shd w:val="clear" w:color="auto" w:fill="auto"/>
          <w:lang w:eastAsia="zh-CN"/>
        </w:rPr>
        <w:t>相应的全费用综合单价</w:t>
      </w:r>
      <w:r>
        <w:rPr>
          <w:rFonts w:hint="eastAsia" w:ascii="宋体" w:hAnsi="宋体" w:eastAsia="宋体" w:cs="宋体"/>
          <w:b w:val="0"/>
          <w:bCs/>
          <w:color w:val="auto"/>
          <w:sz w:val="21"/>
          <w:szCs w:val="21"/>
          <w:highlight w:val="none"/>
          <w:u w:val="single"/>
          <w:shd w:val="clear" w:color="auto" w:fill="auto"/>
        </w:rPr>
        <w:t>乘以相应已完</w:t>
      </w:r>
      <w:r>
        <w:rPr>
          <w:rFonts w:hint="eastAsia" w:ascii="宋体" w:hAnsi="宋体" w:cs="宋体"/>
          <w:b w:val="0"/>
          <w:bCs/>
          <w:color w:val="auto"/>
          <w:sz w:val="21"/>
          <w:szCs w:val="21"/>
          <w:highlight w:val="none"/>
          <w:u w:val="single"/>
          <w:shd w:val="clear" w:color="auto" w:fill="auto"/>
          <w:lang w:eastAsia="zh-CN"/>
        </w:rPr>
        <w:t>成并经验收</w:t>
      </w:r>
      <w:r>
        <w:rPr>
          <w:rFonts w:hint="eastAsia" w:ascii="宋体" w:hAnsi="宋体" w:eastAsia="宋体" w:cs="宋体"/>
          <w:b w:val="0"/>
          <w:bCs/>
          <w:color w:val="auto"/>
          <w:sz w:val="21"/>
          <w:szCs w:val="21"/>
          <w:highlight w:val="none"/>
          <w:u w:val="single"/>
          <w:shd w:val="clear" w:color="auto" w:fill="auto"/>
        </w:rPr>
        <w:t>合格</w:t>
      </w:r>
      <w:r>
        <w:rPr>
          <w:rFonts w:hint="eastAsia" w:ascii="宋体" w:hAnsi="宋体" w:cs="宋体"/>
          <w:b w:val="0"/>
          <w:bCs/>
          <w:color w:val="auto"/>
          <w:sz w:val="21"/>
          <w:szCs w:val="21"/>
          <w:highlight w:val="none"/>
          <w:u w:val="single"/>
          <w:shd w:val="clear" w:color="auto" w:fill="auto"/>
          <w:lang w:eastAsia="zh-CN"/>
        </w:rPr>
        <w:t>的</w:t>
      </w:r>
      <w:r>
        <w:rPr>
          <w:rFonts w:hint="eastAsia" w:ascii="宋体" w:hAnsi="宋体" w:eastAsia="宋体" w:cs="宋体"/>
          <w:b w:val="0"/>
          <w:bCs/>
          <w:color w:val="auto"/>
          <w:sz w:val="21"/>
          <w:szCs w:val="21"/>
          <w:highlight w:val="none"/>
          <w:u w:val="single"/>
          <w:shd w:val="clear" w:color="auto" w:fill="auto"/>
        </w:rPr>
        <w:t>工程量累加之和</w:t>
      </w:r>
      <w:r>
        <w:rPr>
          <w:rFonts w:hint="eastAsia" w:ascii="宋体" w:hAnsi="宋体" w:cs="宋体"/>
          <w:b w:val="0"/>
          <w:bCs/>
          <w:color w:val="auto"/>
          <w:sz w:val="21"/>
          <w:szCs w:val="21"/>
          <w:highlight w:val="none"/>
          <w:u w:val="single"/>
          <w:shd w:val="clear" w:color="auto" w:fill="auto"/>
          <w:lang w:eastAsia="zh-CN"/>
        </w:rPr>
        <w:t>再加上经发包人核准批复的暂列金使用金额</w:t>
      </w:r>
      <w:r>
        <w:rPr>
          <w:rFonts w:hint="eastAsia" w:ascii="宋体" w:hAnsi="宋体" w:cs="宋体"/>
          <w:bCs/>
          <w:color w:val="auto"/>
          <w:szCs w:val="21"/>
          <w:highlight w:val="none"/>
          <w:u w:val="single"/>
        </w:rPr>
        <w:t xml:space="preserve">。 </w:t>
      </w:r>
    </w:p>
    <w:p w14:paraId="0D98921D">
      <w:pPr>
        <w:snapToGrid w:val="0"/>
        <w:spacing w:line="440" w:lineRule="exact"/>
        <w:ind w:firstLine="420" w:firstLineChars="200"/>
        <w:rPr>
          <w:rFonts w:hint="eastAsia" w:ascii="宋体" w:cs="宋体"/>
          <w:color w:val="auto"/>
          <w:szCs w:val="21"/>
          <w:highlight w:val="none"/>
        </w:rPr>
      </w:pPr>
      <w:r>
        <w:rPr>
          <w:rFonts w:hint="eastAsia" w:ascii="宋体" w:cs="宋体"/>
          <w:color w:val="auto"/>
          <w:szCs w:val="21"/>
          <w:highlight w:val="none"/>
        </w:rPr>
        <w:t>12.2 预付款</w:t>
      </w:r>
    </w:p>
    <w:p w14:paraId="19F1B615">
      <w:pPr>
        <w:snapToGrid w:val="0"/>
        <w:spacing w:line="440" w:lineRule="exact"/>
        <w:ind w:firstLine="420" w:firstLineChars="200"/>
        <w:jc w:val="left"/>
        <w:rPr>
          <w:rFonts w:hint="eastAsia" w:ascii="宋体" w:cs="宋体"/>
          <w:color w:val="auto"/>
          <w:szCs w:val="21"/>
          <w:highlight w:val="none"/>
        </w:rPr>
      </w:pPr>
      <w:r>
        <w:rPr>
          <w:rFonts w:hint="eastAsia" w:ascii="宋体" w:cs="宋体"/>
          <w:color w:val="auto"/>
          <w:szCs w:val="21"/>
          <w:highlight w:val="none"/>
        </w:rPr>
        <w:t>12.2.1 预付款的支付</w:t>
      </w:r>
    </w:p>
    <w:p w14:paraId="6DD4723E">
      <w:pPr>
        <w:snapToGrid w:val="0"/>
        <w:spacing w:line="440" w:lineRule="exact"/>
        <w:ind w:firstLine="420" w:firstLineChars="200"/>
        <w:jc w:val="left"/>
        <w:rPr>
          <w:rFonts w:hint="eastAsia" w:ascii="宋体" w:cs="宋体"/>
          <w:b w:val="0"/>
          <w:bCs w:val="0"/>
          <w:color w:val="auto"/>
          <w:szCs w:val="21"/>
          <w:highlight w:val="none"/>
        </w:rPr>
      </w:pPr>
      <w:r>
        <w:rPr>
          <w:rFonts w:hint="eastAsia" w:ascii="宋体" w:cs="宋体"/>
          <w:b w:val="0"/>
          <w:bCs w:val="0"/>
          <w:color w:val="auto"/>
          <w:szCs w:val="21"/>
          <w:highlight w:val="none"/>
        </w:rPr>
        <w:t>预付款支付比例或金额：</w:t>
      </w:r>
      <w:r>
        <w:rPr>
          <w:rFonts w:hint="eastAsia" w:ascii="宋体" w:cs="宋体"/>
          <w:b w:val="0"/>
          <w:bCs w:val="0"/>
          <w:color w:val="auto"/>
          <w:szCs w:val="21"/>
          <w:highlight w:val="none"/>
          <w:u w:val="single"/>
          <w:lang w:val="en-US" w:eastAsia="zh-CN"/>
        </w:rPr>
        <w:t>详见投标人须知</w:t>
      </w:r>
      <w:r>
        <w:rPr>
          <w:rFonts w:hint="eastAsia" w:ascii="宋体" w:cs="宋体"/>
          <w:b w:val="0"/>
          <w:bCs w:val="0"/>
          <w:color w:val="auto"/>
          <w:szCs w:val="21"/>
          <w:highlight w:val="none"/>
        </w:rPr>
        <w:t>。</w:t>
      </w:r>
    </w:p>
    <w:p w14:paraId="1F98206A">
      <w:pPr>
        <w:snapToGrid w:val="0"/>
        <w:spacing w:line="440" w:lineRule="exact"/>
        <w:ind w:firstLine="420" w:firstLineChars="200"/>
        <w:jc w:val="left"/>
        <w:rPr>
          <w:rFonts w:hint="eastAsia" w:ascii="宋体" w:cs="宋体"/>
          <w:b w:val="0"/>
          <w:bCs w:val="0"/>
          <w:color w:val="auto"/>
          <w:szCs w:val="21"/>
          <w:highlight w:val="none"/>
        </w:rPr>
      </w:pPr>
      <w:r>
        <w:rPr>
          <w:rFonts w:hint="eastAsia" w:ascii="宋体" w:cs="宋体"/>
          <w:b w:val="0"/>
          <w:bCs w:val="0"/>
          <w:color w:val="auto"/>
          <w:szCs w:val="21"/>
          <w:highlight w:val="none"/>
        </w:rPr>
        <w:t>预付款支付期限：</w:t>
      </w:r>
      <w:r>
        <w:rPr>
          <w:rFonts w:hint="eastAsia" w:ascii="宋体" w:cs="宋体"/>
          <w:b w:val="0"/>
          <w:bCs w:val="0"/>
          <w:color w:val="auto"/>
          <w:szCs w:val="21"/>
          <w:highlight w:val="none"/>
          <w:u w:val="single"/>
        </w:rPr>
        <w:t xml:space="preserve"> </w:t>
      </w:r>
      <w:r>
        <w:rPr>
          <w:rFonts w:hint="eastAsia" w:ascii="宋体" w:hAnsi="宋体" w:cs="宋体"/>
          <w:b w:val="0"/>
          <w:bCs w:val="0"/>
          <w:color w:val="auto"/>
          <w:highlight w:val="none"/>
          <w:u w:val="single"/>
          <w:lang w:val="en-US" w:eastAsia="zh-CN"/>
        </w:rPr>
        <w:t>详见投标人须知</w:t>
      </w:r>
      <w:r>
        <w:rPr>
          <w:rFonts w:hint="eastAsia" w:ascii="宋体" w:cs="宋体"/>
          <w:b w:val="0"/>
          <w:bCs w:val="0"/>
          <w:color w:val="auto"/>
          <w:szCs w:val="21"/>
          <w:highlight w:val="none"/>
          <w:u w:val="single"/>
        </w:rPr>
        <w:t xml:space="preserve"> </w:t>
      </w:r>
      <w:r>
        <w:rPr>
          <w:rFonts w:hint="eastAsia" w:ascii="宋体" w:cs="宋体"/>
          <w:b w:val="0"/>
          <w:bCs w:val="0"/>
          <w:color w:val="auto"/>
          <w:szCs w:val="21"/>
          <w:highlight w:val="none"/>
        </w:rPr>
        <w:t>。</w:t>
      </w:r>
    </w:p>
    <w:p w14:paraId="654B2BD8">
      <w:pPr>
        <w:snapToGrid w:val="0"/>
        <w:spacing w:line="440" w:lineRule="exact"/>
        <w:ind w:firstLine="420" w:firstLineChars="200"/>
        <w:jc w:val="left"/>
        <w:rPr>
          <w:rFonts w:hint="eastAsia" w:ascii="宋体" w:cs="宋体"/>
          <w:b w:val="0"/>
          <w:bCs w:val="0"/>
          <w:color w:val="auto"/>
          <w:szCs w:val="21"/>
          <w:highlight w:val="none"/>
        </w:rPr>
      </w:pPr>
      <w:r>
        <w:rPr>
          <w:rFonts w:hint="eastAsia" w:ascii="宋体" w:cs="宋体"/>
          <w:b w:val="0"/>
          <w:bCs w:val="0"/>
          <w:color w:val="auto"/>
          <w:szCs w:val="21"/>
          <w:highlight w:val="none"/>
        </w:rPr>
        <w:t>预付款扣回的方式：</w:t>
      </w:r>
      <w:r>
        <w:rPr>
          <w:rFonts w:hint="eastAsia" w:ascii="宋体" w:hAnsi="宋体" w:cs="宋体"/>
          <w:b w:val="0"/>
          <w:bCs w:val="0"/>
          <w:color w:val="auto"/>
          <w:highlight w:val="none"/>
          <w:u w:val="single"/>
          <w:lang w:val="en-US" w:eastAsia="zh-CN"/>
        </w:rPr>
        <w:t>详见投标人须知</w:t>
      </w:r>
      <w:r>
        <w:rPr>
          <w:rFonts w:hint="eastAsia" w:ascii="宋体" w:cs="宋体"/>
          <w:b w:val="0"/>
          <w:bCs w:val="0"/>
          <w:color w:val="auto"/>
          <w:szCs w:val="21"/>
          <w:highlight w:val="none"/>
          <w:u w:val="single"/>
        </w:rPr>
        <w:t xml:space="preserve"> </w:t>
      </w:r>
      <w:r>
        <w:rPr>
          <w:rFonts w:hint="eastAsia" w:ascii="宋体" w:cs="宋体"/>
          <w:b w:val="0"/>
          <w:bCs w:val="0"/>
          <w:color w:val="auto"/>
          <w:szCs w:val="21"/>
          <w:highlight w:val="none"/>
        </w:rPr>
        <w:t>。</w:t>
      </w:r>
    </w:p>
    <w:p w14:paraId="5D081596">
      <w:pPr>
        <w:snapToGrid w:val="0"/>
        <w:spacing w:line="440" w:lineRule="exact"/>
        <w:ind w:firstLine="420" w:firstLineChars="200"/>
        <w:jc w:val="left"/>
        <w:rPr>
          <w:rFonts w:hint="eastAsia" w:ascii="宋体" w:cs="宋体"/>
          <w:color w:val="auto"/>
          <w:szCs w:val="21"/>
          <w:highlight w:val="none"/>
        </w:rPr>
      </w:pPr>
      <w:r>
        <w:rPr>
          <w:rFonts w:hint="eastAsia" w:ascii="宋体" w:cs="宋体"/>
          <w:color w:val="auto"/>
          <w:szCs w:val="21"/>
          <w:highlight w:val="none"/>
        </w:rPr>
        <w:t>12.2.2 预付款担保</w:t>
      </w:r>
    </w:p>
    <w:p w14:paraId="0A3512B6">
      <w:pPr>
        <w:snapToGrid w:val="0"/>
        <w:spacing w:line="440" w:lineRule="exact"/>
        <w:ind w:firstLine="420" w:firstLineChars="200"/>
        <w:jc w:val="left"/>
        <w:rPr>
          <w:rFonts w:hint="eastAsia" w:ascii="宋体" w:cs="宋体"/>
          <w:color w:val="auto"/>
          <w:szCs w:val="21"/>
          <w:highlight w:val="none"/>
        </w:rPr>
      </w:pPr>
      <w:r>
        <w:rPr>
          <w:rFonts w:hint="eastAsia" w:ascii="宋体" w:cs="宋体"/>
          <w:color w:val="auto"/>
          <w:szCs w:val="21"/>
          <w:highlight w:val="none"/>
        </w:rPr>
        <w:t>承包人提交预付款担保的期限：</w:t>
      </w:r>
      <w:r>
        <w:rPr>
          <w:rFonts w:hint="eastAsia" w:ascii="宋体" w:cs="宋体"/>
          <w:color w:val="auto"/>
          <w:szCs w:val="21"/>
          <w:highlight w:val="none"/>
          <w:u w:val="single"/>
          <w:lang w:val="en-US" w:eastAsia="zh-CN"/>
        </w:rPr>
        <w:t>/</w:t>
      </w:r>
      <w:r>
        <w:rPr>
          <w:rFonts w:hint="eastAsia" w:ascii="宋体" w:cs="宋体"/>
          <w:color w:val="auto"/>
          <w:szCs w:val="21"/>
          <w:highlight w:val="none"/>
        </w:rPr>
        <w:t>。</w:t>
      </w:r>
    </w:p>
    <w:p w14:paraId="527EB018">
      <w:pPr>
        <w:snapToGrid w:val="0"/>
        <w:spacing w:line="440" w:lineRule="exact"/>
        <w:ind w:firstLine="420" w:firstLineChars="200"/>
        <w:jc w:val="left"/>
        <w:rPr>
          <w:rFonts w:hint="eastAsia" w:ascii="宋体" w:cs="宋体"/>
          <w:color w:val="auto"/>
          <w:szCs w:val="21"/>
          <w:highlight w:val="none"/>
        </w:rPr>
      </w:pPr>
      <w:r>
        <w:rPr>
          <w:rFonts w:hint="eastAsia" w:ascii="宋体" w:cs="宋体"/>
          <w:color w:val="auto"/>
          <w:szCs w:val="21"/>
          <w:highlight w:val="none"/>
        </w:rPr>
        <w:t>预付款担保的形式为：</w:t>
      </w:r>
      <w:r>
        <w:rPr>
          <w:rFonts w:hint="eastAsia" w:ascii="宋体" w:cs="宋体"/>
          <w:color w:val="auto"/>
          <w:szCs w:val="21"/>
          <w:highlight w:val="none"/>
          <w:u w:val="single"/>
          <w:lang w:val="en-US" w:eastAsia="zh-CN"/>
        </w:rPr>
        <w:t>/</w:t>
      </w:r>
      <w:r>
        <w:rPr>
          <w:rFonts w:hint="eastAsia" w:ascii="宋体" w:cs="宋体"/>
          <w:color w:val="auto"/>
          <w:szCs w:val="21"/>
          <w:highlight w:val="none"/>
        </w:rPr>
        <w:t>。</w:t>
      </w:r>
    </w:p>
    <w:p w14:paraId="6B8B988D">
      <w:pPr>
        <w:snapToGrid w:val="0"/>
        <w:spacing w:line="440" w:lineRule="exact"/>
        <w:ind w:firstLine="420" w:firstLineChars="200"/>
        <w:rPr>
          <w:rFonts w:hint="eastAsia" w:ascii="宋体" w:cs="宋体"/>
          <w:color w:val="auto"/>
          <w:szCs w:val="21"/>
          <w:highlight w:val="none"/>
        </w:rPr>
      </w:pPr>
      <w:r>
        <w:rPr>
          <w:rFonts w:hint="eastAsia" w:ascii="宋体" w:cs="宋体"/>
          <w:color w:val="auto"/>
          <w:szCs w:val="21"/>
          <w:highlight w:val="none"/>
        </w:rPr>
        <w:t>12.3 计量</w:t>
      </w:r>
    </w:p>
    <w:p w14:paraId="07AC1EDC">
      <w:pPr>
        <w:snapToGrid w:val="0"/>
        <w:spacing w:line="440" w:lineRule="exact"/>
        <w:ind w:firstLine="420" w:firstLineChars="200"/>
        <w:jc w:val="left"/>
        <w:rPr>
          <w:rFonts w:hint="eastAsia" w:ascii="宋体" w:cs="宋体"/>
          <w:color w:val="auto"/>
          <w:szCs w:val="21"/>
          <w:highlight w:val="none"/>
        </w:rPr>
      </w:pPr>
      <w:r>
        <w:rPr>
          <w:rFonts w:hint="eastAsia" w:ascii="宋体" w:cs="宋体"/>
          <w:color w:val="auto"/>
          <w:szCs w:val="21"/>
          <w:highlight w:val="none"/>
        </w:rPr>
        <w:t>12.3.1 计量原则</w:t>
      </w:r>
    </w:p>
    <w:p w14:paraId="4044A6EA">
      <w:pPr>
        <w:spacing w:line="440" w:lineRule="exact"/>
        <w:ind w:firstLine="420" w:firstLineChars="200"/>
        <w:rPr>
          <w:rFonts w:hint="eastAsia" w:ascii="宋体" w:cs="宋体"/>
          <w:color w:val="auto"/>
          <w:szCs w:val="21"/>
          <w:highlight w:val="none"/>
        </w:rPr>
      </w:pPr>
      <w:r>
        <w:rPr>
          <w:rFonts w:hint="eastAsia" w:ascii="宋体" w:cs="宋体"/>
          <w:color w:val="auto"/>
          <w:szCs w:val="21"/>
          <w:highlight w:val="none"/>
        </w:rPr>
        <w:t>工程量计算规则：</w:t>
      </w:r>
      <w:r>
        <w:rPr>
          <w:rFonts w:hint="eastAsia" w:ascii="宋体" w:hAnsi="宋体" w:cs="宋体"/>
          <w:color w:val="auto"/>
          <w:szCs w:val="21"/>
          <w:highlight w:val="none"/>
          <w:u w:val="single"/>
        </w:rPr>
        <w:t>按招标工程量清单及最高投标限价所采用的工程量清单计价规范及配套文件等</w:t>
      </w:r>
      <w:r>
        <w:rPr>
          <w:rFonts w:hint="eastAsia" w:ascii="宋体" w:cs="宋体"/>
          <w:color w:val="auto"/>
          <w:szCs w:val="21"/>
          <w:highlight w:val="none"/>
          <w:u w:val="single"/>
        </w:rPr>
        <w:t>。</w:t>
      </w:r>
    </w:p>
    <w:p w14:paraId="462C41C7">
      <w:pPr>
        <w:spacing w:line="440" w:lineRule="exact"/>
        <w:ind w:firstLine="420" w:firstLineChars="200"/>
        <w:rPr>
          <w:rFonts w:hint="eastAsia" w:ascii="宋体" w:cs="宋体"/>
          <w:color w:val="auto"/>
          <w:szCs w:val="21"/>
          <w:highlight w:val="none"/>
        </w:rPr>
      </w:pPr>
      <w:r>
        <w:rPr>
          <w:rFonts w:hint="eastAsia" w:ascii="宋体" w:cs="宋体"/>
          <w:color w:val="auto"/>
          <w:szCs w:val="21"/>
          <w:highlight w:val="none"/>
        </w:rPr>
        <w:t>12.3.2 计量周期</w:t>
      </w:r>
    </w:p>
    <w:p w14:paraId="3CE77272">
      <w:pPr>
        <w:spacing w:line="440" w:lineRule="exact"/>
        <w:ind w:firstLine="420" w:firstLineChars="200"/>
        <w:rPr>
          <w:rFonts w:hint="eastAsia" w:ascii="宋体" w:cs="宋体"/>
          <w:color w:val="auto"/>
          <w:szCs w:val="21"/>
          <w:highlight w:val="none"/>
        </w:rPr>
      </w:pPr>
      <w:r>
        <w:rPr>
          <w:rFonts w:hint="eastAsia" w:ascii="宋体" w:cs="宋体"/>
          <w:color w:val="auto"/>
          <w:szCs w:val="21"/>
          <w:highlight w:val="none"/>
        </w:rPr>
        <w:t>关于计量周期的约定：</w:t>
      </w:r>
      <w:r>
        <w:rPr>
          <w:rFonts w:hint="eastAsia" w:ascii="宋体" w:cs="宋体"/>
          <w:color w:val="auto"/>
          <w:szCs w:val="21"/>
          <w:highlight w:val="none"/>
          <w:u w:val="single"/>
        </w:rPr>
        <w:t xml:space="preserve"> 按月计量  </w:t>
      </w:r>
      <w:r>
        <w:rPr>
          <w:rFonts w:hint="eastAsia" w:ascii="宋体" w:cs="宋体"/>
          <w:color w:val="auto"/>
          <w:szCs w:val="21"/>
          <w:highlight w:val="none"/>
        </w:rPr>
        <w:t>。</w:t>
      </w:r>
    </w:p>
    <w:p w14:paraId="0F3A8815">
      <w:pPr>
        <w:snapToGrid w:val="0"/>
        <w:spacing w:line="440" w:lineRule="exact"/>
        <w:ind w:firstLine="420" w:firstLineChars="200"/>
        <w:jc w:val="left"/>
        <w:rPr>
          <w:rFonts w:hint="eastAsia" w:ascii="宋体" w:cs="宋体"/>
          <w:color w:val="auto"/>
          <w:szCs w:val="21"/>
          <w:highlight w:val="none"/>
        </w:rPr>
      </w:pPr>
      <w:r>
        <w:rPr>
          <w:rFonts w:hint="eastAsia" w:ascii="宋体" w:cs="宋体"/>
          <w:color w:val="auto"/>
          <w:szCs w:val="21"/>
          <w:highlight w:val="none"/>
        </w:rPr>
        <w:t>12.3.3 单价合同的计量</w:t>
      </w:r>
    </w:p>
    <w:p w14:paraId="315641B2">
      <w:pPr>
        <w:snapToGrid w:val="0"/>
        <w:spacing w:line="440" w:lineRule="exact"/>
        <w:ind w:firstLine="420" w:firstLineChars="200"/>
        <w:jc w:val="left"/>
        <w:rPr>
          <w:rFonts w:hint="eastAsia" w:ascii="宋体" w:cs="宋体"/>
          <w:color w:val="auto"/>
          <w:szCs w:val="21"/>
          <w:highlight w:val="none"/>
          <w:u w:val="single"/>
        </w:rPr>
      </w:pPr>
      <w:r>
        <w:rPr>
          <w:rFonts w:hint="eastAsia" w:ascii="宋体" w:cs="宋体"/>
          <w:color w:val="auto"/>
          <w:szCs w:val="21"/>
          <w:highlight w:val="none"/>
        </w:rPr>
        <w:t>关于单价合同计量的约定：</w:t>
      </w:r>
      <w:r>
        <w:rPr>
          <w:rFonts w:hint="eastAsia" w:ascii="宋体" w:cs="宋体"/>
          <w:color w:val="auto"/>
          <w:szCs w:val="21"/>
          <w:highlight w:val="none"/>
          <w:u w:val="single"/>
        </w:rPr>
        <w:t>（1）承包人应于每月25日向监理人报送上月20日至当月19日已完成的工程量报告，并附具进度付款申请单、已完成工程量报表和有关资料。（2）监理人应在收到承包人提交的工程量报告后7天内完成对承包人提交的工程量报表的审核并报送发包人，以确定当月实际完成的工程量。监理人对工程量有异议的，有权要求承包人进行共同复核或抽样复测。承包人应协助监理人进行复核或抽样复测，并按监理人要求提供补充计量资料。承包人未按监理人要求参加复核或抽样复测的，监理人复核或修正的工程量视为承包人实际完成的工程量。（3）监理人未在收到承包人提交的工程量报表后的7天内完成审核的，承包人</w:t>
      </w:r>
      <w:r>
        <w:rPr>
          <w:rFonts w:hint="eastAsia" w:ascii="宋体" w:cs="宋体"/>
          <w:color w:val="auto"/>
          <w:szCs w:val="21"/>
          <w:highlight w:val="none"/>
          <w:u w:val="single"/>
          <w:lang w:eastAsia="zh-CN"/>
        </w:rPr>
        <w:t>应通知发包人审核，发包人既不审核也不督促监理人复核，超过承包人报送时间</w:t>
      </w:r>
      <w:r>
        <w:rPr>
          <w:rFonts w:hint="eastAsia" w:ascii="宋体" w:cs="宋体"/>
          <w:color w:val="auto"/>
          <w:szCs w:val="21"/>
          <w:highlight w:val="none"/>
          <w:u w:val="single"/>
          <w:lang w:val="en-US" w:eastAsia="zh-CN"/>
        </w:rPr>
        <w:t>14日的，以</w:t>
      </w:r>
      <w:r>
        <w:rPr>
          <w:rFonts w:hint="eastAsia" w:ascii="宋体" w:cs="宋体"/>
          <w:color w:val="auto"/>
          <w:szCs w:val="21"/>
          <w:highlight w:val="none"/>
          <w:u w:val="single"/>
        </w:rPr>
        <w:t>承包人</w:t>
      </w:r>
      <w:r>
        <w:rPr>
          <w:rFonts w:hint="eastAsia" w:ascii="宋体" w:cs="宋体"/>
          <w:color w:val="auto"/>
          <w:szCs w:val="21"/>
          <w:highlight w:val="none"/>
          <w:u w:val="single"/>
          <w:lang w:eastAsia="zh-CN"/>
        </w:rPr>
        <w:t>报送</w:t>
      </w:r>
      <w:r>
        <w:rPr>
          <w:rFonts w:hint="eastAsia" w:ascii="宋体" w:cs="宋体"/>
          <w:color w:val="auto"/>
          <w:szCs w:val="21"/>
          <w:highlight w:val="none"/>
          <w:u w:val="single"/>
        </w:rPr>
        <w:t>的工程量，据此计算工程价款。</w:t>
      </w:r>
    </w:p>
    <w:p w14:paraId="34C8A998">
      <w:pPr>
        <w:snapToGrid w:val="0"/>
        <w:spacing w:line="440" w:lineRule="exact"/>
        <w:ind w:firstLine="420" w:firstLineChars="200"/>
        <w:jc w:val="left"/>
        <w:rPr>
          <w:rFonts w:hint="eastAsia" w:ascii="宋体" w:cs="宋体"/>
          <w:color w:val="auto"/>
          <w:szCs w:val="21"/>
          <w:highlight w:val="none"/>
        </w:rPr>
      </w:pPr>
      <w:r>
        <w:rPr>
          <w:rFonts w:hint="eastAsia" w:ascii="宋体" w:cs="宋体"/>
          <w:color w:val="auto"/>
          <w:szCs w:val="21"/>
          <w:highlight w:val="none"/>
        </w:rPr>
        <w:t>12.3.4 总价合同的计量</w:t>
      </w:r>
    </w:p>
    <w:p w14:paraId="72E9ACAB">
      <w:pPr>
        <w:snapToGrid w:val="0"/>
        <w:spacing w:line="440" w:lineRule="exact"/>
        <w:ind w:firstLine="420" w:firstLineChars="200"/>
        <w:jc w:val="left"/>
        <w:rPr>
          <w:rFonts w:hint="eastAsia" w:ascii="宋体" w:cs="宋体"/>
          <w:color w:val="auto"/>
          <w:szCs w:val="21"/>
          <w:highlight w:val="none"/>
        </w:rPr>
      </w:pPr>
      <w:r>
        <w:rPr>
          <w:rFonts w:hint="eastAsia" w:ascii="宋体" w:cs="宋体"/>
          <w:color w:val="auto"/>
          <w:szCs w:val="21"/>
          <w:highlight w:val="none"/>
        </w:rPr>
        <w:t>关于总价合同计量的约定：</w:t>
      </w:r>
      <w:r>
        <w:rPr>
          <w:rFonts w:hint="eastAsia" w:ascii="宋体" w:cs="宋体"/>
          <w:color w:val="auto"/>
          <w:szCs w:val="21"/>
          <w:highlight w:val="none"/>
          <w:u w:val="single"/>
        </w:rPr>
        <w:t xml:space="preserve"> 不采用 </w:t>
      </w:r>
      <w:r>
        <w:rPr>
          <w:rFonts w:hint="eastAsia" w:ascii="宋体" w:cs="宋体"/>
          <w:color w:val="auto"/>
          <w:szCs w:val="21"/>
          <w:highlight w:val="none"/>
        </w:rPr>
        <w:t>。</w:t>
      </w:r>
    </w:p>
    <w:p w14:paraId="1969EA1D">
      <w:pPr>
        <w:snapToGrid w:val="0"/>
        <w:spacing w:line="440" w:lineRule="exact"/>
        <w:ind w:firstLine="420" w:firstLineChars="200"/>
        <w:jc w:val="left"/>
        <w:rPr>
          <w:rFonts w:hint="eastAsia" w:ascii="宋体" w:cs="宋体"/>
          <w:color w:val="auto"/>
          <w:szCs w:val="21"/>
          <w:highlight w:val="none"/>
        </w:rPr>
      </w:pPr>
      <w:r>
        <w:rPr>
          <w:rFonts w:hint="eastAsia" w:ascii="宋体" w:cs="宋体"/>
          <w:color w:val="auto"/>
          <w:szCs w:val="21"/>
          <w:highlight w:val="none"/>
        </w:rPr>
        <w:t>12.3.5总价合同采用支付分解表计量支付的，是否适用第</w:t>
      </w:r>
      <w:r>
        <w:rPr>
          <w:rFonts w:hint="eastAsia" w:ascii="宋体" w:cs="宋体"/>
          <w:color w:val="auto"/>
          <w:kern w:val="0"/>
          <w:szCs w:val="21"/>
          <w:highlight w:val="none"/>
        </w:rPr>
        <w:t xml:space="preserve">12.3.4 </w:t>
      </w:r>
      <w:r>
        <w:rPr>
          <w:rFonts w:hint="eastAsia" w:ascii="宋体" w:cs="宋体"/>
          <w:color w:val="auto"/>
          <w:szCs w:val="21"/>
          <w:highlight w:val="none"/>
        </w:rPr>
        <w:t>项</w:t>
      </w:r>
      <w:r>
        <w:rPr>
          <w:rFonts w:hint="eastAsia" w:ascii="宋体" w:cs="宋体"/>
          <w:color w:val="auto"/>
          <w:kern w:val="0"/>
          <w:szCs w:val="21"/>
          <w:highlight w:val="none"/>
        </w:rPr>
        <w:t>〔总价合同的计量〕</w:t>
      </w:r>
      <w:r>
        <w:rPr>
          <w:rFonts w:hint="eastAsia" w:ascii="宋体" w:cs="宋体"/>
          <w:color w:val="auto"/>
          <w:szCs w:val="21"/>
          <w:highlight w:val="none"/>
        </w:rPr>
        <w:t>约定进行计量：</w:t>
      </w:r>
      <w:r>
        <w:rPr>
          <w:rFonts w:hint="eastAsia" w:ascii="宋体" w:cs="宋体"/>
          <w:color w:val="auto"/>
          <w:szCs w:val="21"/>
          <w:highlight w:val="none"/>
          <w:u w:val="single"/>
        </w:rPr>
        <w:t xml:space="preserve">   不采用   </w:t>
      </w:r>
      <w:r>
        <w:rPr>
          <w:rFonts w:hint="eastAsia" w:ascii="宋体" w:cs="宋体"/>
          <w:color w:val="auto"/>
          <w:szCs w:val="21"/>
          <w:highlight w:val="none"/>
        </w:rPr>
        <w:t>。</w:t>
      </w:r>
    </w:p>
    <w:p w14:paraId="3AB7FCAC">
      <w:pPr>
        <w:snapToGrid w:val="0"/>
        <w:spacing w:line="440" w:lineRule="exact"/>
        <w:ind w:firstLine="420" w:firstLineChars="200"/>
        <w:jc w:val="left"/>
        <w:rPr>
          <w:rFonts w:hint="eastAsia" w:ascii="宋体" w:cs="宋体"/>
          <w:color w:val="auto"/>
          <w:szCs w:val="21"/>
          <w:highlight w:val="none"/>
        </w:rPr>
      </w:pPr>
      <w:r>
        <w:rPr>
          <w:rFonts w:hint="eastAsia" w:ascii="宋体" w:cs="宋体"/>
          <w:color w:val="auto"/>
          <w:szCs w:val="21"/>
          <w:highlight w:val="none"/>
        </w:rPr>
        <w:t>12.3.6 其他价格形式合同的计量</w:t>
      </w:r>
    </w:p>
    <w:p w14:paraId="08ED57F0">
      <w:pPr>
        <w:snapToGrid w:val="0"/>
        <w:spacing w:line="440" w:lineRule="exact"/>
        <w:ind w:firstLine="420" w:firstLineChars="200"/>
        <w:jc w:val="left"/>
        <w:rPr>
          <w:rFonts w:hint="eastAsia" w:ascii="宋体" w:cs="宋体"/>
          <w:color w:val="auto"/>
          <w:szCs w:val="21"/>
          <w:highlight w:val="none"/>
        </w:rPr>
      </w:pPr>
      <w:r>
        <w:rPr>
          <w:rFonts w:hint="eastAsia" w:ascii="宋体" w:cs="宋体"/>
          <w:color w:val="auto"/>
          <w:szCs w:val="21"/>
          <w:highlight w:val="none"/>
        </w:rPr>
        <w:t>其他价格形式的计量方式和程序：</w:t>
      </w:r>
      <w:r>
        <w:rPr>
          <w:rFonts w:hint="eastAsia" w:ascii="宋体" w:cs="宋体"/>
          <w:color w:val="auto"/>
          <w:szCs w:val="21"/>
          <w:highlight w:val="none"/>
          <w:u w:val="single"/>
        </w:rPr>
        <w:t xml:space="preserve">   不采用   </w:t>
      </w:r>
      <w:r>
        <w:rPr>
          <w:rFonts w:hint="eastAsia" w:ascii="宋体" w:cs="宋体"/>
          <w:color w:val="auto"/>
          <w:szCs w:val="21"/>
          <w:highlight w:val="none"/>
        </w:rPr>
        <w:t>。</w:t>
      </w:r>
    </w:p>
    <w:p w14:paraId="3ACD67C3">
      <w:pPr>
        <w:snapToGrid w:val="0"/>
        <w:spacing w:line="440" w:lineRule="exact"/>
        <w:ind w:firstLine="420" w:firstLineChars="200"/>
        <w:rPr>
          <w:rFonts w:hint="eastAsia" w:ascii="宋体" w:cs="宋体"/>
          <w:color w:val="auto"/>
          <w:szCs w:val="21"/>
          <w:highlight w:val="none"/>
        </w:rPr>
      </w:pPr>
      <w:r>
        <w:rPr>
          <w:rFonts w:hint="eastAsia" w:ascii="宋体" w:cs="宋体"/>
          <w:color w:val="auto"/>
          <w:szCs w:val="21"/>
          <w:highlight w:val="none"/>
        </w:rPr>
        <w:t>12.4 工程进度款支付</w:t>
      </w:r>
    </w:p>
    <w:p w14:paraId="0FFCEC2D">
      <w:pPr>
        <w:snapToGrid w:val="0"/>
        <w:spacing w:line="440" w:lineRule="exact"/>
        <w:ind w:firstLine="420" w:firstLineChars="200"/>
        <w:jc w:val="left"/>
        <w:rPr>
          <w:rFonts w:hint="eastAsia" w:ascii="宋体" w:cs="宋体"/>
          <w:color w:val="auto"/>
          <w:szCs w:val="21"/>
          <w:highlight w:val="none"/>
        </w:rPr>
      </w:pPr>
      <w:r>
        <w:rPr>
          <w:rFonts w:hint="eastAsia" w:ascii="宋体" w:cs="宋体"/>
          <w:color w:val="auto"/>
          <w:szCs w:val="21"/>
          <w:highlight w:val="none"/>
        </w:rPr>
        <w:t>12.4.1 付款周期</w:t>
      </w:r>
    </w:p>
    <w:p w14:paraId="00DDD8B7">
      <w:pPr>
        <w:snapToGrid w:val="0"/>
        <w:spacing w:line="440" w:lineRule="exact"/>
        <w:ind w:firstLine="420" w:firstLineChars="200"/>
        <w:jc w:val="left"/>
        <w:rPr>
          <w:rFonts w:hint="eastAsia" w:ascii="宋体" w:cs="宋体"/>
          <w:color w:val="auto"/>
          <w:szCs w:val="21"/>
          <w:highlight w:val="none"/>
        </w:rPr>
      </w:pPr>
      <w:r>
        <w:rPr>
          <w:rFonts w:hint="eastAsia" w:ascii="宋体" w:cs="宋体"/>
          <w:color w:val="auto"/>
          <w:szCs w:val="21"/>
          <w:highlight w:val="none"/>
        </w:rPr>
        <w:t>关于付款周期的约定：</w:t>
      </w:r>
      <w:r>
        <w:rPr>
          <w:rFonts w:hint="eastAsia" w:ascii="宋体" w:hAnsi="宋体" w:cs="宋体"/>
          <w:color w:val="auto"/>
          <w:szCs w:val="21"/>
          <w:highlight w:val="none"/>
          <w:u w:val="single"/>
          <w:lang w:val="en-US" w:eastAsia="zh-CN"/>
        </w:rPr>
        <w:t>完成全容量发电并网验收付至签约合同价的90%；项目竣工验收合格后，经工程结算审核完成付至工程审计结算价款的98%，剩余2%作为质保金，工程缺陷责任期 (自竣工验收合格之日起满2年)满后付清余款。质量保证金支持保函（银行保函、担保机构担保、保证保险）使用。采用保函的不再从工程进度款中扣留质量保证金，保函有效期须与工程缺陷责任期截止时间保持一致。</w:t>
      </w:r>
    </w:p>
    <w:p w14:paraId="73EBFE99">
      <w:pPr>
        <w:keepNext w:val="0"/>
        <w:keepLines w:val="0"/>
        <w:pageBreakBefore w:val="0"/>
        <w:widowControl/>
        <w:suppressLineNumbers w:val="0"/>
        <w:kinsoku/>
        <w:wordWrap/>
        <w:overflowPunct/>
        <w:topLinePunct w:val="0"/>
        <w:autoSpaceDE/>
        <w:autoSpaceDN/>
        <w:bidi w:val="0"/>
        <w:adjustRightInd/>
        <w:snapToGrid/>
        <w:spacing w:line="500" w:lineRule="exact"/>
        <w:ind w:firstLine="420" w:firstLineChars="200"/>
        <w:jc w:val="left"/>
        <w:textAlignment w:val="auto"/>
        <w:rPr>
          <w:rFonts w:hint="eastAsia" w:ascii="宋体" w:cs="宋体"/>
          <w:color w:val="auto"/>
          <w:szCs w:val="21"/>
          <w:highlight w:val="none"/>
          <w:u w:val="single"/>
        </w:rPr>
      </w:pPr>
      <w:r>
        <w:rPr>
          <w:rFonts w:hint="eastAsia" w:ascii="宋体" w:hAnsi="宋体" w:cs="宋体"/>
          <w:color w:val="auto"/>
          <w:highlight w:val="none"/>
        </w:rPr>
        <w:t>关于付款周期的其他约定：</w:t>
      </w:r>
      <w:r>
        <w:rPr>
          <w:rFonts w:hint="eastAsia" w:ascii="宋体" w:hAnsi="宋体" w:cs="宋体"/>
          <w:color w:val="auto"/>
          <w:sz w:val="21"/>
          <w:szCs w:val="21"/>
          <w:highlight w:val="none"/>
          <w:u w:val="single"/>
          <w:lang w:val="en-US" w:eastAsia="zh-CN"/>
        </w:rPr>
        <w:t>每次付款承包人需提供出具的增值税税率为9%的增值税专用发票；竣工结算审核后，承包人开具审定金额剩余部分的全额增值税专用发票</w:t>
      </w:r>
      <w:r>
        <w:rPr>
          <w:rFonts w:hint="eastAsia" w:ascii="宋体" w:hAnsi="宋体" w:cs="宋体"/>
          <w:color w:val="auto"/>
          <w:highlight w:val="none"/>
          <w:u w:val="single"/>
        </w:rPr>
        <w:t>。</w:t>
      </w:r>
    </w:p>
    <w:p w14:paraId="0454091C">
      <w:pPr>
        <w:snapToGrid w:val="0"/>
        <w:spacing w:line="440" w:lineRule="exact"/>
        <w:ind w:firstLine="420" w:firstLineChars="200"/>
        <w:jc w:val="left"/>
        <w:rPr>
          <w:rFonts w:hint="eastAsia" w:ascii="宋体" w:cs="宋体"/>
          <w:color w:val="auto"/>
          <w:szCs w:val="21"/>
          <w:highlight w:val="none"/>
        </w:rPr>
      </w:pPr>
      <w:r>
        <w:rPr>
          <w:rFonts w:hint="eastAsia" w:ascii="宋体" w:cs="宋体"/>
          <w:color w:val="auto"/>
          <w:szCs w:val="21"/>
          <w:highlight w:val="none"/>
        </w:rPr>
        <w:t>12.4.2 进度付款申请单的编制</w:t>
      </w:r>
    </w:p>
    <w:p w14:paraId="1A2C3AE0">
      <w:pPr>
        <w:snapToGrid w:val="0"/>
        <w:spacing w:line="440" w:lineRule="exact"/>
        <w:ind w:firstLine="420" w:firstLineChars="200"/>
        <w:jc w:val="left"/>
        <w:rPr>
          <w:rFonts w:hint="eastAsia" w:ascii="宋体" w:cs="宋体"/>
          <w:color w:val="auto"/>
          <w:szCs w:val="21"/>
          <w:highlight w:val="none"/>
          <w:u w:val="single"/>
        </w:rPr>
      </w:pPr>
      <w:r>
        <w:rPr>
          <w:rFonts w:hint="eastAsia" w:ascii="宋体" w:cs="宋体"/>
          <w:color w:val="auto"/>
          <w:szCs w:val="21"/>
          <w:highlight w:val="none"/>
        </w:rPr>
        <w:t>关于进度付款申请单编制的约定：</w:t>
      </w:r>
      <w:r>
        <w:rPr>
          <w:rFonts w:hint="eastAsia" w:ascii="宋体" w:cs="宋体"/>
          <w:color w:val="auto"/>
          <w:szCs w:val="21"/>
          <w:highlight w:val="none"/>
          <w:u w:val="single"/>
        </w:rPr>
        <w:t>执行发包人统一内容格式。</w:t>
      </w:r>
    </w:p>
    <w:p w14:paraId="67596A3B">
      <w:pPr>
        <w:snapToGrid w:val="0"/>
        <w:spacing w:line="440" w:lineRule="exact"/>
        <w:ind w:firstLine="420" w:firstLineChars="200"/>
        <w:jc w:val="left"/>
        <w:rPr>
          <w:rFonts w:hint="eastAsia" w:ascii="宋体" w:cs="宋体"/>
          <w:color w:val="auto"/>
          <w:szCs w:val="21"/>
          <w:highlight w:val="none"/>
        </w:rPr>
      </w:pPr>
      <w:r>
        <w:rPr>
          <w:rFonts w:hint="eastAsia" w:ascii="宋体" w:cs="宋体"/>
          <w:color w:val="auto"/>
          <w:szCs w:val="21"/>
          <w:highlight w:val="none"/>
        </w:rPr>
        <w:t>12.4.3 进度付款申请单的提交</w:t>
      </w:r>
    </w:p>
    <w:p w14:paraId="31BB1BD4">
      <w:pPr>
        <w:snapToGrid w:val="0"/>
        <w:spacing w:line="440" w:lineRule="exact"/>
        <w:ind w:firstLine="420" w:firstLineChars="200"/>
        <w:jc w:val="left"/>
        <w:rPr>
          <w:rFonts w:hint="eastAsia" w:ascii="宋体" w:cs="宋体"/>
          <w:color w:val="auto"/>
          <w:szCs w:val="21"/>
          <w:highlight w:val="none"/>
        </w:rPr>
      </w:pPr>
      <w:r>
        <w:rPr>
          <w:rFonts w:hint="eastAsia" w:ascii="宋体" w:cs="宋体"/>
          <w:color w:val="auto"/>
          <w:szCs w:val="21"/>
          <w:highlight w:val="none"/>
        </w:rPr>
        <w:t>（1）单价合同进度付款申请单提交的约定：</w:t>
      </w:r>
      <w:r>
        <w:rPr>
          <w:rFonts w:hint="eastAsia" w:ascii="宋体" w:cs="宋体"/>
          <w:color w:val="auto"/>
          <w:szCs w:val="21"/>
          <w:highlight w:val="none"/>
          <w:u w:val="single"/>
        </w:rPr>
        <w:t xml:space="preserve"> </w:t>
      </w:r>
      <w:r>
        <w:rPr>
          <w:rFonts w:hint="eastAsia" w:ascii="宋体" w:hAnsi="宋体" w:eastAsia="宋体" w:cs="宋体"/>
          <w:color w:val="auto"/>
          <w:szCs w:val="21"/>
          <w:highlight w:val="none"/>
          <w:u w:val="single"/>
        </w:rPr>
        <w:t>按施工进度付款，承包人</w:t>
      </w:r>
      <w:r>
        <w:rPr>
          <w:rFonts w:hint="eastAsia" w:ascii="宋体" w:hAnsi="宋体" w:eastAsia="宋体" w:cs="宋体"/>
          <w:color w:val="auto"/>
          <w:szCs w:val="21"/>
          <w:highlight w:val="none"/>
          <w:u w:val="single"/>
          <w:lang w:val="en-US" w:eastAsia="zh-CN"/>
        </w:rPr>
        <w:t>按发包人要求</w:t>
      </w:r>
      <w:r>
        <w:rPr>
          <w:rFonts w:hint="eastAsia" w:ascii="宋体" w:hAnsi="宋体" w:eastAsia="宋体" w:cs="宋体"/>
          <w:color w:val="auto"/>
          <w:szCs w:val="21"/>
          <w:highlight w:val="none"/>
          <w:u w:val="single"/>
        </w:rPr>
        <w:t>向发包人报送请款资料</w:t>
      </w:r>
      <w:r>
        <w:rPr>
          <w:rFonts w:hint="eastAsia" w:ascii="黑体" w:eastAsia="黑体" w:cs="宋体"/>
          <w:b/>
          <w:bCs/>
          <w:color w:val="auto"/>
          <w:szCs w:val="21"/>
          <w:highlight w:val="none"/>
          <w:u w:val="single"/>
        </w:rPr>
        <w:t>。</w:t>
      </w:r>
    </w:p>
    <w:p w14:paraId="08FBBFD9">
      <w:pPr>
        <w:snapToGrid w:val="0"/>
        <w:spacing w:line="440" w:lineRule="exact"/>
        <w:ind w:firstLine="420" w:firstLineChars="200"/>
        <w:jc w:val="left"/>
        <w:rPr>
          <w:rFonts w:hint="eastAsia" w:ascii="宋体" w:cs="宋体"/>
          <w:color w:val="auto"/>
          <w:szCs w:val="21"/>
          <w:highlight w:val="none"/>
        </w:rPr>
      </w:pPr>
      <w:r>
        <w:rPr>
          <w:rFonts w:hint="eastAsia" w:ascii="宋体" w:cs="宋体"/>
          <w:color w:val="auto"/>
          <w:szCs w:val="21"/>
          <w:highlight w:val="none"/>
        </w:rPr>
        <w:t>（2）总价合同进度付款申请单提交的约定：</w:t>
      </w:r>
      <w:r>
        <w:rPr>
          <w:rFonts w:hint="eastAsia" w:ascii="宋体" w:cs="宋体"/>
          <w:color w:val="auto"/>
          <w:szCs w:val="21"/>
          <w:highlight w:val="none"/>
          <w:u w:val="single"/>
        </w:rPr>
        <w:t xml:space="preserve">   不采用   </w:t>
      </w:r>
      <w:r>
        <w:rPr>
          <w:rFonts w:hint="eastAsia" w:ascii="宋体" w:cs="宋体"/>
          <w:color w:val="auto"/>
          <w:szCs w:val="21"/>
          <w:highlight w:val="none"/>
        </w:rPr>
        <w:t>。</w:t>
      </w:r>
    </w:p>
    <w:p w14:paraId="5A498097">
      <w:pPr>
        <w:snapToGrid w:val="0"/>
        <w:spacing w:line="440" w:lineRule="exact"/>
        <w:ind w:firstLine="420" w:firstLineChars="200"/>
        <w:jc w:val="left"/>
        <w:rPr>
          <w:rFonts w:hint="eastAsia" w:ascii="宋体" w:cs="宋体"/>
          <w:color w:val="auto"/>
          <w:szCs w:val="21"/>
          <w:highlight w:val="none"/>
          <w:u w:val="single"/>
        </w:rPr>
      </w:pPr>
      <w:r>
        <w:rPr>
          <w:rFonts w:hint="eastAsia" w:ascii="宋体" w:cs="宋体"/>
          <w:color w:val="auto"/>
          <w:szCs w:val="21"/>
          <w:highlight w:val="none"/>
        </w:rPr>
        <w:t>（3）其他价格形式合同进度付款申请单提交的约定：</w:t>
      </w:r>
      <w:r>
        <w:rPr>
          <w:rFonts w:hint="eastAsia" w:ascii="宋体" w:cs="宋体"/>
          <w:color w:val="auto"/>
          <w:szCs w:val="21"/>
          <w:highlight w:val="none"/>
          <w:u w:val="single"/>
        </w:rPr>
        <w:t xml:space="preserve">  不采用  </w:t>
      </w:r>
      <w:r>
        <w:rPr>
          <w:rFonts w:hint="eastAsia" w:ascii="宋体" w:cs="宋体"/>
          <w:color w:val="auto"/>
          <w:szCs w:val="21"/>
          <w:highlight w:val="none"/>
        </w:rPr>
        <w:t>。</w:t>
      </w:r>
    </w:p>
    <w:p w14:paraId="65633967">
      <w:pPr>
        <w:snapToGrid w:val="0"/>
        <w:spacing w:line="440" w:lineRule="exact"/>
        <w:ind w:firstLine="420" w:firstLineChars="200"/>
        <w:jc w:val="left"/>
        <w:rPr>
          <w:rFonts w:hint="eastAsia" w:ascii="宋体" w:cs="宋体"/>
          <w:color w:val="auto"/>
          <w:szCs w:val="21"/>
          <w:highlight w:val="none"/>
        </w:rPr>
      </w:pPr>
      <w:r>
        <w:rPr>
          <w:rFonts w:hint="eastAsia" w:ascii="宋体" w:cs="宋体"/>
          <w:color w:val="auto"/>
          <w:szCs w:val="21"/>
          <w:highlight w:val="none"/>
        </w:rPr>
        <w:t>12.4.4 进度款审核和支付</w:t>
      </w:r>
    </w:p>
    <w:p w14:paraId="7322FDC7">
      <w:pPr>
        <w:snapToGrid w:val="0"/>
        <w:spacing w:line="440" w:lineRule="exact"/>
        <w:ind w:firstLine="420" w:firstLineChars="200"/>
        <w:jc w:val="left"/>
        <w:rPr>
          <w:rFonts w:hint="eastAsia"/>
          <w:color w:val="auto"/>
          <w:highlight w:val="none"/>
        </w:rPr>
      </w:pPr>
      <w:r>
        <w:rPr>
          <w:rFonts w:hint="eastAsia" w:ascii="宋体" w:cs="宋体"/>
          <w:color w:val="auto"/>
          <w:szCs w:val="21"/>
          <w:highlight w:val="none"/>
        </w:rPr>
        <w:t>（1）监理人审查并报送发包人的期限：</w:t>
      </w:r>
      <w:r>
        <w:rPr>
          <w:rFonts w:hint="eastAsia" w:ascii="宋体" w:cs="宋体"/>
          <w:color w:val="auto"/>
          <w:szCs w:val="21"/>
          <w:highlight w:val="none"/>
          <w:u w:val="single"/>
        </w:rPr>
        <w:t xml:space="preserve"> 监理人应在收到承包人进度付款申请单以及相关资料后7天内完成审查并报送发包人。</w:t>
      </w:r>
    </w:p>
    <w:p w14:paraId="43F584F5">
      <w:pPr>
        <w:snapToGrid w:val="0"/>
        <w:spacing w:line="440" w:lineRule="exact"/>
        <w:ind w:firstLine="420" w:firstLineChars="200"/>
        <w:jc w:val="left"/>
        <w:rPr>
          <w:rFonts w:hint="eastAsia" w:ascii="宋体" w:cs="宋体"/>
          <w:color w:val="auto"/>
          <w:szCs w:val="21"/>
          <w:highlight w:val="none"/>
          <w:u w:val="single"/>
        </w:rPr>
      </w:pPr>
      <w:r>
        <w:rPr>
          <w:rFonts w:hint="eastAsia" w:ascii="宋体" w:cs="宋体"/>
          <w:color w:val="auto"/>
          <w:szCs w:val="21"/>
          <w:highlight w:val="none"/>
        </w:rPr>
        <w:t>发包人完成审批并签发进度款支付证书的期限：</w:t>
      </w:r>
      <w:r>
        <w:rPr>
          <w:rFonts w:hint="eastAsia" w:ascii="宋体" w:cs="宋体"/>
          <w:color w:val="auto"/>
          <w:szCs w:val="21"/>
          <w:highlight w:val="none"/>
          <w:u w:val="single"/>
        </w:rPr>
        <w:t>发包人应在收到后7天内完成审批并签发进度款支付证书，跟踪审计人员审核时间除外</w:t>
      </w:r>
      <w:r>
        <w:rPr>
          <w:rFonts w:hint="eastAsia" w:ascii="宋体" w:cs="宋体"/>
          <w:color w:val="auto"/>
          <w:szCs w:val="21"/>
          <w:highlight w:val="none"/>
        </w:rPr>
        <w:t>。</w:t>
      </w:r>
    </w:p>
    <w:p w14:paraId="6FC3DBBE">
      <w:pPr>
        <w:tabs>
          <w:tab w:val="left" w:pos="0"/>
        </w:tabs>
        <w:snapToGrid w:val="0"/>
        <w:spacing w:line="440" w:lineRule="exact"/>
        <w:ind w:firstLine="420" w:firstLineChars="200"/>
        <w:rPr>
          <w:rFonts w:hint="eastAsia" w:ascii="宋体" w:cs="宋体"/>
          <w:b/>
          <w:color w:val="auto"/>
          <w:szCs w:val="21"/>
          <w:highlight w:val="none"/>
          <w:u w:val="single"/>
        </w:rPr>
      </w:pPr>
      <w:r>
        <w:rPr>
          <w:rFonts w:hint="eastAsia" w:ascii="宋体" w:cs="宋体"/>
          <w:color w:val="auto"/>
          <w:szCs w:val="21"/>
          <w:highlight w:val="none"/>
        </w:rPr>
        <w:t>（2）发包人支付进度款的期限：</w:t>
      </w:r>
      <w:r>
        <w:rPr>
          <w:rFonts w:hint="eastAsia" w:ascii="宋体" w:hAnsi="宋体" w:eastAsia="宋体" w:cs="宋体"/>
          <w:color w:val="auto"/>
          <w:szCs w:val="21"/>
          <w:highlight w:val="none"/>
          <w:u w:val="single"/>
        </w:rPr>
        <w:t>发票送达</w:t>
      </w:r>
      <w:r>
        <w:rPr>
          <w:rFonts w:hint="eastAsia" w:ascii="宋体" w:hAnsi="宋体" w:eastAsia="宋体" w:cs="宋体"/>
          <w:color w:val="auto"/>
          <w:szCs w:val="21"/>
          <w:highlight w:val="none"/>
          <w:u w:val="single"/>
          <w:lang w:val="en-US" w:eastAsia="zh-CN"/>
        </w:rPr>
        <w:t>30日</w:t>
      </w:r>
      <w:r>
        <w:rPr>
          <w:rFonts w:hint="eastAsia" w:ascii="宋体" w:hAnsi="宋体" w:eastAsia="宋体" w:cs="宋体"/>
          <w:color w:val="auto"/>
          <w:szCs w:val="21"/>
          <w:highlight w:val="none"/>
          <w:u w:val="single"/>
        </w:rPr>
        <w:t>内完成支付</w:t>
      </w:r>
      <w:r>
        <w:rPr>
          <w:rFonts w:hint="eastAsia" w:ascii="宋体" w:cs="宋体"/>
          <w:color w:val="auto"/>
          <w:szCs w:val="21"/>
          <w:highlight w:val="none"/>
        </w:rPr>
        <w:t>。</w:t>
      </w:r>
    </w:p>
    <w:p w14:paraId="497FE8DB">
      <w:pPr>
        <w:snapToGrid w:val="0"/>
        <w:spacing w:line="440" w:lineRule="exact"/>
        <w:ind w:firstLine="420" w:firstLineChars="200"/>
        <w:jc w:val="left"/>
        <w:rPr>
          <w:rFonts w:hint="eastAsia" w:ascii="宋体" w:cs="宋体"/>
          <w:color w:val="auto"/>
          <w:szCs w:val="21"/>
          <w:highlight w:val="none"/>
        </w:rPr>
      </w:pPr>
      <w:r>
        <w:rPr>
          <w:rFonts w:hint="eastAsia" w:ascii="宋体" w:cs="宋体"/>
          <w:color w:val="auto"/>
          <w:szCs w:val="21"/>
          <w:highlight w:val="none"/>
        </w:rPr>
        <w:t>发包人逾期支付进度款的违约金的计算方式：</w:t>
      </w:r>
      <w:r>
        <w:rPr>
          <w:rFonts w:hint="eastAsia" w:ascii="宋体" w:cs="宋体"/>
          <w:color w:val="auto"/>
          <w:szCs w:val="21"/>
          <w:highlight w:val="none"/>
          <w:u w:val="single"/>
        </w:rPr>
        <w:t xml:space="preserve">   不采用   </w:t>
      </w:r>
      <w:r>
        <w:rPr>
          <w:rFonts w:hint="eastAsia" w:ascii="宋体" w:cs="宋体"/>
          <w:color w:val="auto"/>
          <w:szCs w:val="21"/>
          <w:highlight w:val="none"/>
        </w:rPr>
        <w:t>。</w:t>
      </w:r>
    </w:p>
    <w:p w14:paraId="3BEA80C7">
      <w:pPr>
        <w:keepNext w:val="0"/>
        <w:keepLines w:val="0"/>
        <w:pageBreakBefore w:val="0"/>
        <w:widowControl w:val="0"/>
        <w:kinsoku/>
        <w:wordWrap/>
        <w:overflowPunct/>
        <w:topLinePunct w:val="0"/>
        <w:autoSpaceDE/>
        <w:autoSpaceDN/>
        <w:bidi w:val="0"/>
        <w:snapToGrid w:val="0"/>
        <w:spacing w:line="440" w:lineRule="exact"/>
        <w:ind w:firstLine="420" w:firstLineChars="200"/>
        <w:jc w:val="left"/>
        <w:textAlignment w:val="auto"/>
        <w:rPr>
          <w:rFonts w:hint="eastAsia" w:ascii="宋体" w:cs="宋体"/>
          <w:color w:val="auto"/>
          <w:szCs w:val="21"/>
          <w:highlight w:val="none"/>
        </w:rPr>
      </w:pPr>
      <w:r>
        <w:rPr>
          <w:rFonts w:hint="eastAsia" w:ascii="宋体" w:cs="宋体"/>
          <w:color w:val="auto"/>
          <w:szCs w:val="21"/>
          <w:highlight w:val="none"/>
        </w:rPr>
        <w:t>12.4.6 支付分解表的编制</w:t>
      </w:r>
    </w:p>
    <w:p w14:paraId="6CC24112">
      <w:pPr>
        <w:keepNext w:val="0"/>
        <w:keepLines w:val="0"/>
        <w:pageBreakBefore w:val="0"/>
        <w:widowControl w:val="0"/>
        <w:kinsoku/>
        <w:wordWrap/>
        <w:overflowPunct/>
        <w:topLinePunct w:val="0"/>
        <w:autoSpaceDE/>
        <w:autoSpaceDN/>
        <w:bidi w:val="0"/>
        <w:adjustRightInd w:val="0"/>
        <w:snapToGrid w:val="0"/>
        <w:spacing w:line="440" w:lineRule="exact"/>
        <w:ind w:firstLine="420" w:firstLineChars="200"/>
        <w:textAlignment w:val="auto"/>
        <w:rPr>
          <w:rFonts w:hint="eastAsia" w:ascii="宋体" w:hAnsi="宋体" w:cs="宋体"/>
          <w:color w:val="auto"/>
          <w:highlight w:val="none"/>
          <w:u w:val="single"/>
        </w:rPr>
      </w:pPr>
      <w:r>
        <w:rPr>
          <w:rFonts w:hint="eastAsia" w:ascii="宋体" w:hAnsi="宋体" w:cs="宋体"/>
          <w:color w:val="auto"/>
          <w:highlight w:val="none"/>
        </w:rPr>
        <w:t>(2)总价合同支付分解表的编制与审批：</w:t>
      </w:r>
      <w:r>
        <w:rPr>
          <w:rFonts w:hint="eastAsia" w:ascii="宋体" w:hAnsi="宋体" w:cs="宋体"/>
          <w:color w:val="auto"/>
          <w:highlight w:val="none"/>
          <w:u w:val="single"/>
        </w:rPr>
        <w:t xml:space="preserve">  /  </w:t>
      </w:r>
      <w:r>
        <w:rPr>
          <w:rFonts w:hint="eastAsia" w:ascii="宋体" w:hAnsi="宋体" w:cs="宋体"/>
          <w:color w:val="auto"/>
          <w:highlight w:val="none"/>
        </w:rPr>
        <w:t>。</w:t>
      </w:r>
    </w:p>
    <w:p w14:paraId="027D82E8">
      <w:pPr>
        <w:keepNext w:val="0"/>
        <w:keepLines w:val="0"/>
        <w:pageBreakBefore w:val="0"/>
        <w:widowControl w:val="0"/>
        <w:kinsoku/>
        <w:wordWrap/>
        <w:overflowPunct/>
        <w:topLinePunct w:val="0"/>
        <w:autoSpaceDE/>
        <w:autoSpaceDN/>
        <w:bidi w:val="0"/>
        <w:snapToGrid w:val="0"/>
        <w:spacing w:line="440" w:lineRule="exact"/>
        <w:ind w:firstLine="420" w:firstLineChars="200"/>
        <w:jc w:val="left"/>
        <w:textAlignment w:val="auto"/>
        <w:rPr>
          <w:rFonts w:hint="eastAsia" w:ascii="宋体" w:cs="宋体"/>
          <w:color w:val="auto"/>
          <w:szCs w:val="21"/>
          <w:highlight w:val="none"/>
          <w:u w:val="single"/>
        </w:rPr>
      </w:pPr>
      <w:r>
        <w:rPr>
          <w:rFonts w:hint="eastAsia" w:ascii="宋体" w:hAnsi="宋体" w:cs="宋体"/>
          <w:color w:val="auto"/>
          <w:highlight w:val="none"/>
        </w:rPr>
        <w:t>(3)单价合同的总价项目支付分解表的编制与审批：</w:t>
      </w:r>
      <w:r>
        <w:rPr>
          <w:rFonts w:hint="eastAsia" w:ascii="宋体" w:hAnsi="宋体" w:cs="宋体"/>
          <w:color w:val="auto"/>
          <w:highlight w:val="none"/>
          <w:u w:val="single"/>
        </w:rPr>
        <w:t xml:space="preserve">  /  </w:t>
      </w:r>
      <w:r>
        <w:rPr>
          <w:rFonts w:hint="eastAsia" w:ascii="宋体" w:hAnsi="宋体" w:cs="宋体"/>
          <w:color w:val="auto"/>
          <w:highlight w:val="none"/>
        </w:rPr>
        <w:t>。</w:t>
      </w:r>
    </w:p>
    <w:p w14:paraId="40F5896D">
      <w:pPr>
        <w:keepNext w:val="0"/>
        <w:keepLines w:val="0"/>
        <w:pageBreakBefore w:val="0"/>
        <w:widowControl w:val="0"/>
        <w:kinsoku/>
        <w:wordWrap/>
        <w:overflowPunct/>
        <w:topLinePunct w:val="0"/>
        <w:autoSpaceDE/>
        <w:autoSpaceDN/>
        <w:bidi w:val="0"/>
        <w:adjustRightInd w:val="0"/>
        <w:snapToGrid w:val="0"/>
        <w:spacing w:line="440" w:lineRule="exact"/>
        <w:ind w:firstLine="422" w:firstLineChars="200"/>
        <w:textAlignment w:val="auto"/>
        <w:rPr>
          <w:rFonts w:hint="eastAsia" w:ascii="宋体" w:hAnsi="宋体" w:cs="宋体"/>
          <w:b/>
          <w:color w:val="auto"/>
          <w:highlight w:val="none"/>
        </w:rPr>
      </w:pPr>
      <w:r>
        <w:rPr>
          <w:rFonts w:hint="eastAsia" w:ascii="宋体" w:hAnsi="宋体" w:cs="宋体"/>
          <w:b/>
          <w:color w:val="auto"/>
          <w:highlight w:val="none"/>
        </w:rPr>
        <w:t>12.4.7 农民工工资管理（</w:t>
      </w:r>
      <w:r>
        <w:rPr>
          <w:rFonts w:hint="eastAsia" w:ascii="宋体" w:hAnsi="宋体" w:cs="宋体"/>
          <w:b/>
          <w:color w:val="auto"/>
          <w:highlight w:val="none"/>
          <w:lang w:val="en-US" w:eastAsia="zh-CN"/>
        </w:rPr>
        <w:t>不采用</w:t>
      </w:r>
      <w:r>
        <w:rPr>
          <w:rFonts w:hint="eastAsia" w:ascii="宋体" w:hAnsi="宋体" w:cs="宋体"/>
          <w:b/>
          <w:color w:val="auto"/>
          <w:highlight w:val="none"/>
        </w:rPr>
        <w:t>）</w:t>
      </w:r>
    </w:p>
    <w:p w14:paraId="7031B0AE">
      <w:pPr>
        <w:keepNext w:val="0"/>
        <w:keepLines w:val="0"/>
        <w:pageBreakBefore w:val="0"/>
        <w:widowControl w:val="0"/>
        <w:kinsoku/>
        <w:wordWrap/>
        <w:overflowPunct/>
        <w:topLinePunct w:val="0"/>
        <w:autoSpaceDE/>
        <w:autoSpaceDN/>
        <w:bidi w:val="0"/>
        <w:adjustRightInd w:val="0"/>
        <w:snapToGrid w:val="0"/>
        <w:spacing w:line="440" w:lineRule="exact"/>
        <w:ind w:firstLine="420" w:firstLineChars="200"/>
        <w:textAlignment w:val="auto"/>
        <w:rPr>
          <w:rFonts w:hint="eastAsia" w:ascii="宋体" w:hAnsi="宋体" w:eastAsia="宋体" w:cs="宋体"/>
          <w:bCs/>
          <w:color w:val="auto"/>
          <w:highlight w:val="none"/>
          <w:lang w:eastAsia="zh-CN"/>
        </w:rPr>
      </w:pPr>
      <w:r>
        <w:rPr>
          <w:rFonts w:hint="eastAsia" w:ascii="宋体" w:hAnsi="宋体" w:cs="宋体"/>
          <w:bCs/>
          <w:color w:val="auto"/>
          <w:highlight w:val="none"/>
        </w:rPr>
        <w:t>(1)本工程农民工工资实行专用账户管理，承包人设立的专用账户开户行为</w:t>
      </w:r>
      <w:r>
        <w:rPr>
          <w:rFonts w:hint="eastAsia" w:ascii="宋体" w:hAnsi="宋体" w:cs="宋体"/>
          <w:bCs/>
          <w:color w:val="auto"/>
          <w:highlight w:val="none"/>
          <w:u w:val="single"/>
        </w:rPr>
        <w:t>：</w:t>
      </w:r>
      <w:r>
        <w:rPr>
          <w:rFonts w:hint="eastAsia" w:ascii="宋体" w:hAnsi="宋体" w:cs="宋体"/>
          <w:bCs/>
          <w:color w:val="auto"/>
          <w:highlight w:val="none"/>
          <w:u w:val="single"/>
          <w:lang w:val="en-US" w:eastAsia="zh-CN"/>
        </w:rPr>
        <w:t>/</w:t>
      </w:r>
      <w:r>
        <w:rPr>
          <w:rFonts w:hint="eastAsia" w:ascii="宋体" w:hAnsi="宋体" w:cs="宋体"/>
          <w:bCs/>
          <w:color w:val="auto"/>
          <w:highlight w:val="none"/>
        </w:rPr>
        <w:t>，账号：</w:t>
      </w:r>
      <w:r>
        <w:rPr>
          <w:rFonts w:hint="eastAsia" w:ascii="宋体" w:hAnsi="宋体" w:cs="宋体"/>
          <w:bCs/>
          <w:color w:val="auto"/>
          <w:highlight w:val="none"/>
          <w:u w:val="single"/>
          <w:lang w:val="en-US" w:eastAsia="zh-CN"/>
        </w:rPr>
        <w:t>/</w:t>
      </w:r>
      <w:r>
        <w:rPr>
          <w:rFonts w:hint="eastAsia" w:ascii="宋体" w:hAnsi="宋体" w:cs="宋体"/>
          <w:bCs/>
          <w:color w:val="auto"/>
          <w:highlight w:val="none"/>
          <w:lang w:eastAsia="zh-CN"/>
        </w:rPr>
        <w:t>；</w:t>
      </w:r>
    </w:p>
    <w:p w14:paraId="7102B370">
      <w:pPr>
        <w:keepNext w:val="0"/>
        <w:keepLines w:val="0"/>
        <w:pageBreakBefore w:val="0"/>
        <w:widowControl w:val="0"/>
        <w:kinsoku/>
        <w:wordWrap/>
        <w:overflowPunct/>
        <w:topLinePunct w:val="0"/>
        <w:autoSpaceDE/>
        <w:autoSpaceDN/>
        <w:bidi w:val="0"/>
        <w:adjustRightInd w:val="0"/>
        <w:snapToGrid w:val="0"/>
        <w:spacing w:line="440" w:lineRule="exact"/>
        <w:ind w:firstLine="420" w:firstLineChars="200"/>
        <w:textAlignment w:val="auto"/>
        <w:rPr>
          <w:rFonts w:hint="eastAsia" w:ascii="宋体" w:hAnsi="宋体" w:cs="宋体"/>
          <w:bCs/>
          <w:strike/>
          <w:dstrike w:val="0"/>
          <w:color w:val="auto"/>
          <w:highlight w:val="none"/>
        </w:rPr>
      </w:pPr>
      <w:r>
        <w:rPr>
          <w:rFonts w:hint="eastAsia" w:ascii="宋体" w:hAnsi="宋体" w:cs="宋体"/>
          <w:bCs/>
          <w:strike w:val="0"/>
          <w:dstrike w:val="0"/>
          <w:color w:val="auto"/>
          <w:highlight w:val="none"/>
        </w:rPr>
        <w:t>(</w:t>
      </w:r>
      <w:r>
        <w:rPr>
          <w:rFonts w:hint="eastAsia" w:ascii="宋体" w:hAnsi="宋体" w:cs="宋体"/>
          <w:bCs/>
          <w:strike w:val="0"/>
          <w:dstrike w:val="0"/>
          <w:color w:val="auto"/>
          <w:highlight w:val="none"/>
          <w:lang w:val="en-US" w:eastAsia="zh-CN"/>
        </w:rPr>
        <w:t>2</w:t>
      </w:r>
      <w:r>
        <w:rPr>
          <w:rFonts w:hint="eastAsia" w:ascii="宋体" w:hAnsi="宋体" w:cs="宋体"/>
          <w:bCs/>
          <w:strike w:val="0"/>
          <w:dstrike w:val="0"/>
          <w:color w:val="auto"/>
          <w:highlight w:val="none"/>
        </w:rPr>
        <w:t>)发包人</w:t>
      </w:r>
      <w:r>
        <w:rPr>
          <w:rFonts w:hint="eastAsia" w:ascii="宋体" w:hAnsi="宋体" w:cs="宋体"/>
          <w:bCs/>
          <w:strike w:val="0"/>
          <w:dstrike w:val="0"/>
          <w:color w:val="auto"/>
          <w:highlight w:val="none"/>
          <w:lang w:eastAsia="zh-CN"/>
        </w:rPr>
        <w:t>将按当期计量支付一定比例（一般情况下不低于</w:t>
      </w:r>
      <w:r>
        <w:rPr>
          <w:rFonts w:hint="eastAsia" w:ascii="宋体" w:hAnsi="宋体" w:cs="宋体"/>
          <w:bCs/>
          <w:strike w:val="0"/>
          <w:dstrike w:val="0"/>
          <w:color w:val="auto"/>
          <w:highlight w:val="none"/>
          <w:lang w:val="en-US" w:eastAsia="zh-CN"/>
        </w:rPr>
        <w:t>12%</w:t>
      </w:r>
      <w:r>
        <w:rPr>
          <w:rFonts w:hint="eastAsia" w:ascii="宋体" w:hAnsi="宋体" w:cs="宋体"/>
          <w:bCs/>
          <w:strike w:val="0"/>
          <w:dstrike w:val="0"/>
          <w:color w:val="auto"/>
          <w:highlight w:val="none"/>
          <w:lang w:eastAsia="zh-CN"/>
        </w:rPr>
        <w:t>）的</w:t>
      </w:r>
      <w:r>
        <w:rPr>
          <w:rFonts w:hint="eastAsia" w:ascii="宋体" w:hAnsi="宋体" w:cs="宋体"/>
          <w:bCs/>
          <w:strike w:val="0"/>
          <w:dstrike w:val="0"/>
          <w:color w:val="auto"/>
          <w:highlight w:val="none"/>
        </w:rPr>
        <w:t>进度款转入农民工工资专用账户。</w:t>
      </w:r>
    </w:p>
    <w:p w14:paraId="0629DC37">
      <w:pPr>
        <w:keepNext w:val="0"/>
        <w:keepLines w:val="0"/>
        <w:pageBreakBefore w:val="0"/>
        <w:widowControl w:val="0"/>
        <w:kinsoku/>
        <w:wordWrap/>
        <w:overflowPunct/>
        <w:topLinePunct w:val="0"/>
        <w:autoSpaceDE/>
        <w:autoSpaceDN/>
        <w:bidi w:val="0"/>
        <w:adjustRightInd w:val="0"/>
        <w:snapToGrid w:val="0"/>
        <w:spacing w:line="440" w:lineRule="exact"/>
        <w:ind w:firstLine="420" w:firstLineChars="200"/>
        <w:textAlignment w:val="auto"/>
        <w:rPr>
          <w:rFonts w:hint="eastAsia" w:ascii="宋体" w:hAnsi="宋体" w:cs="宋体"/>
          <w:bCs/>
          <w:color w:val="auto"/>
          <w:highlight w:val="none"/>
        </w:rPr>
      </w:pPr>
      <w:r>
        <w:rPr>
          <w:rFonts w:hint="eastAsia" w:ascii="宋体" w:hAnsi="宋体" w:cs="宋体"/>
          <w:bCs/>
          <w:color w:val="auto"/>
          <w:highlight w:val="none"/>
        </w:rPr>
        <w:t>(</w:t>
      </w:r>
      <w:r>
        <w:rPr>
          <w:rFonts w:hint="eastAsia" w:ascii="宋体" w:hAnsi="宋体" w:cs="宋体"/>
          <w:bCs/>
          <w:color w:val="auto"/>
          <w:highlight w:val="none"/>
          <w:lang w:val="en-US" w:eastAsia="zh-CN"/>
        </w:rPr>
        <w:t>3</w:t>
      </w:r>
      <w:r>
        <w:rPr>
          <w:rFonts w:hint="eastAsia" w:ascii="宋体" w:hAnsi="宋体" w:cs="宋体"/>
          <w:bCs/>
          <w:color w:val="auto"/>
          <w:highlight w:val="none"/>
        </w:rPr>
        <w:t>)承包人每月25日前上报本工程农民工工资清单，每月10日前委托开设农民工工资专用账户的银行支付农民工工资。</w:t>
      </w:r>
    </w:p>
    <w:p w14:paraId="61B132BB">
      <w:pPr>
        <w:keepNext w:val="0"/>
        <w:keepLines w:val="0"/>
        <w:pageBreakBefore w:val="0"/>
        <w:widowControl w:val="0"/>
        <w:kinsoku/>
        <w:wordWrap/>
        <w:overflowPunct/>
        <w:topLinePunct w:val="0"/>
        <w:autoSpaceDE/>
        <w:autoSpaceDN/>
        <w:bidi w:val="0"/>
        <w:adjustRightInd w:val="0"/>
        <w:snapToGrid w:val="0"/>
        <w:spacing w:line="440" w:lineRule="exact"/>
        <w:ind w:firstLine="420" w:firstLineChars="200"/>
        <w:textAlignment w:val="auto"/>
        <w:rPr>
          <w:rFonts w:hint="eastAsia" w:ascii="宋体" w:hAnsi="宋体" w:cs="宋体"/>
          <w:bCs/>
          <w:color w:val="auto"/>
          <w:highlight w:val="none"/>
        </w:rPr>
      </w:pPr>
      <w:r>
        <w:rPr>
          <w:rFonts w:hint="eastAsia" w:ascii="宋体" w:hAnsi="宋体" w:cs="宋体"/>
          <w:bCs/>
          <w:color w:val="auto"/>
          <w:highlight w:val="none"/>
        </w:rPr>
        <w:t>(</w:t>
      </w:r>
      <w:r>
        <w:rPr>
          <w:rFonts w:hint="eastAsia" w:ascii="宋体" w:hAnsi="宋体" w:cs="宋体"/>
          <w:bCs/>
          <w:color w:val="auto"/>
          <w:highlight w:val="none"/>
          <w:lang w:val="en-US" w:eastAsia="zh-CN"/>
        </w:rPr>
        <w:t>4</w:t>
      </w:r>
      <w:r>
        <w:rPr>
          <w:rFonts w:hint="eastAsia" w:ascii="宋体" w:hAnsi="宋体" w:cs="宋体"/>
          <w:bCs/>
          <w:color w:val="auto"/>
          <w:highlight w:val="none"/>
        </w:rPr>
        <w:t>)工程竣工后，经项目部农民工维权组确认无农民工工资拖欠后，发、承双方办理农民工工资专用账户撤销手续，农民工工资专用账户余额划至本合同约定的承包人账户。</w:t>
      </w:r>
    </w:p>
    <w:p w14:paraId="57B68465">
      <w:pPr>
        <w:pStyle w:val="5"/>
        <w:snapToGrid w:val="0"/>
        <w:spacing w:before="0" w:after="0" w:line="440" w:lineRule="exact"/>
        <w:ind w:firstLine="420" w:firstLineChars="200"/>
        <w:rPr>
          <w:rFonts w:hint="eastAsia" w:ascii="宋体" w:eastAsia="宋体" w:cs="宋体"/>
          <w:b w:val="0"/>
          <w:color w:val="auto"/>
          <w:sz w:val="21"/>
          <w:szCs w:val="21"/>
          <w:highlight w:val="none"/>
        </w:rPr>
      </w:pPr>
      <w:r>
        <w:rPr>
          <w:rFonts w:hint="eastAsia" w:ascii="宋体" w:eastAsia="宋体" w:cs="宋体"/>
          <w:b w:val="0"/>
          <w:color w:val="auto"/>
          <w:sz w:val="21"/>
          <w:szCs w:val="21"/>
          <w:highlight w:val="none"/>
        </w:rPr>
        <w:t>13. 验收和工程试车</w:t>
      </w:r>
    </w:p>
    <w:p w14:paraId="0E25E4A7">
      <w:pPr>
        <w:snapToGrid w:val="0"/>
        <w:spacing w:line="440" w:lineRule="exact"/>
        <w:ind w:firstLine="420" w:firstLineChars="200"/>
        <w:rPr>
          <w:rFonts w:hint="eastAsia" w:ascii="宋体" w:cs="宋体"/>
          <w:color w:val="auto"/>
          <w:szCs w:val="21"/>
          <w:highlight w:val="none"/>
        </w:rPr>
      </w:pPr>
      <w:r>
        <w:rPr>
          <w:rFonts w:hint="eastAsia" w:ascii="宋体" w:cs="宋体"/>
          <w:color w:val="auto"/>
          <w:szCs w:val="21"/>
          <w:highlight w:val="none"/>
        </w:rPr>
        <w:t>13.1 分部分项工程验收</w:t>
      </w:r>
    </w:p>
    <w:p w14:paraId="074CAD8F">
      <w:pPr>
        <w:snapToGrid w:val="0"/>
        <w:spacing w:line="440" w:lineRule="exact"/>
        <w:ind w:firstLine="420" w:firstLineChars="200"/>
        <w:jc w:val="left"/>
        <w:rPr>
          <w:rFonts w:hint="eastAsia" w:ascii="宋体" w:cs="宋体"/>
          <w:color w:val="auto"/>
          <w:szCs w:val="21"/>
          <w:highlight w:val="none"/>
        </w:rPr>
      </w:pPr>
      <w:r>
        <w:rPr>
          <w:rFonts w:hint="eastAsia" w:ascii="宋体" w:cs="宋体"/>
          <w:color w:val="auto"/>
          <w:szCs w:val="21"/>
          <w:highlight w:val="none"/>
        </w:rPr>
        <w:t>13.1.2监理人不能按时进行验收时，应提前</w:t>
      </w:r>
      <w:r>
        <w:rPr>
          <w:rFonts w:hint="eastAsia" w:ascii="宋体" w:cs="宋体"/>
          <w:color w:val="auto"/>
          <w:szCs w:val="21"/>
          <w:highlight w:val="none"/>
          <w:u w:val="single"/>
        </w:rPr>
        <w:t xml:space="preserve"> </w:t>
      </w:r>
      <w:r>
        <w:rPr>
          <w:rFonts w:hint="eastAsia" w:ascii="宋体" w:cs="宋体"/>
          <w:color w:val="auto"/>
          <w:szCs w:val="21"/>
          <w:highlight w:val="none"/>
          <w:u w:val="single"/>
          <w:lang w:val="en-US" w:eastAsia="zh-CN"/>
        </w:rPr>
        <w:t>24</w:t>
      </w:r>
      <w:r>
        <w:rPr>
          <w:rFonts w:hint="eastAsia" w:ascii="宋体" w:cs="宋体"/>
          <w:color w:val="auto"/>
          <w:szCs w:val="21"/>
          <w:highlight w:val="none"/>
          <w:u w:val="single"/>
        </w:rPr>
        <w:t xml:space="preserve"> </w:t>
      </w:r>
      <w:r>
        <w:rPr>
          <w:rFonts w:hint="eastAsia" w:ascii="宋体" w:cs="宋体"/>
          <w:color w:val="auto"/>
          <w:szCs w:val="21"/>
          <w:highlight w:val="none"/>
        </w:rPr>
        <w:t>小时提交书面延期要求。</w:t>
      </w:r>
    </w:p>
    <w:p w14:paraId="08571564">
      <w:pPr>
        <w:snapToGrid w:val="0"/>
        <w:spacing w:line="440" w:lineRule="exact"/>
        <w:ind w:firstLine="420" w:firstLineChars="200"/>
        <w:jc w:val="left"/>
        <w:rPr>
          <w:rFonts w:hint="eastAsia" w:ascii="宋体" w:cs="宋体"/>
          <w:color w:val="auto"/>
          <w:szCs w:val="21"/>
          <w:highlight w:val="none"/>
        </w:rPr>
      </w:pPr>
      <w:r>
        <w:rPr>
          <w:rFonts w:hint="eastAsia" w:ascii="宋体" w:cs="宋体"/>
          <w:color w:val="auto"/>
          <w:szCs w:val="21"/>
          <w:highlight w:val="none"/>
        </w:rPr>
        <w:t>关于延期最长不得超过：</w:t>
      </w:r>
      <w:r>
        <w:rPr>
          <w:rFonts w:hint="eastAsia" w:ascii="宋体" w:cs="宋体"/>
          <w:color w:val="auto"/>
          <w:szCs w:val="21"/>
          <w:highlight w:val="none"/>
          <w:u w:val="single"/>
        </w:rPr>
        <w:t xml:space="preserve"> </w:t>
      </w:r>
      <w:r>
        <w:rPr>
          <w:rFonts w:hint="eastAsia" w:ascii="宋体" w:cs="宋体"/>
          <w:color w:val="auto"/>
          <w:szCs w:val="21"/>
          <w:highlight w:val="none"/>
          <w:u w:val="single"/>
          <w:lang w:val="en-US" w:eastAsia="zh-CN"/>
        </w:rPr>
        <w:t>48</w:t>
      </w:r>
      <w:r>
        <w:rPr>
          <w:rFonts w:hint="eastAsia" w:ascii="宋体" w:cs="宋体"/>
          <w:color w:val="auto"/>
          <w:szCs w:val="21"/>
          <w:highlight w:val="none"/>
          <w:u w:val="single"/>
        </w:rPr>
        <w:t xml:space="preserve">  </w:t>
      </w:r>
      <w:r>
        <w:rPr>
          <w:rFonts w:hint="eastAsia" w:ascii="宋体" w:cs="宋体"/>
          <w:color w:val="auto"/>
          <w:szCs w:val="21"/>
          <w:highlight w:val="none"/>
        </w:rPr>
        <w:t>小时。</w:t>
      </w:r>
    </w:p>
    <w:p w14:paraId="4311906F">
      <w:pPr>
        <w:wordWrap w:val="0"/>
        <w:snapToGrid w:val="0"/>
        <w:spacing w:line="440" w:lineRule="exact"/>
        <w:ind w:firstLine="420" w:firstLineChars="200"/>
        <w:textAlignment w:val="bottom"/>
        <w:rPr>
          <w:rFonts w:hint="eastAsia" w:ascii="宋体" w:cs="宋体"/>
          <w:color w:val="auto"/>
          <w:szCs w:val="21"/>
          <w:highlight w:val="none"/>
        </w:rPr>
      </w:pPr>
      <w:r>
        <w:rPr>
          <w:rFonts w:hint="eastAsia" w:ascii="宋体" w:cs="宋体"/>
          <w:color w:val="auto"/>
          <w:szCs w:val="21"/>
          <w:highlight w:val="none"/>
        </w:rPr>
        <w:t>13.2 竣工验收</w:t>
      </w:r>
    </w:p>
    <w:p w14:paraId="60A871A1">
      <w:pPr>
        <w:snapToGrid w:val="0"/>
        <w:spacing w:line="440" w:lineRule="exact"/>
        <w:ind w:firstLine="420" w:firstLineChars="200"/>
        <w:jc w:val="left"/>
        <w:rPr>
          <w:rFonts w:hint="eastAsia" w:ascii="宋体" w:cs="宋体"/>
          <w:color w:val="auto"/>
          <w:szCs w:val="21"/>
          <w:highlight w:val="none"/>
        </w:rPr>
      </w:pPr>
      <w:r>
        <w:rPr>
          <w:rFonts w:hint="eastAsia" w:ascii="宋体" w:cs="宋体"/>
          <w:color w:val="auto"/>
          <w:szCs w:val="21"/>
          <w:highlight w:val="none"/>
        </w:rPr>
        <w:t>13.2.2竣工验收程序</w:t>
      </w:r>
    </w:p>
    <w:p w14:paraId="168ACE07">
      <w:pPr>
        <w:wordWrap w:val="0"/>
        <w:snapToGrid w:val="0"/>
        <w:spacing w:line="440" w:lineRule="exact"/>
        <w:ind w:firstLine="420" w:firstLineChars="200"/>
        <w:jc w:val="left"/>
        <w:rPr>
          <w:rFonts w:hint="eastAsia" w:ascii="宋体" w:cs="宋体"/>
          <w:color w:val="auto"/>
          <w:szCs w:val="21"/>
          <w:highlight w:val="none"/>
        </w:rPr>
      </w:pPr>
      <w:r>
        <w:rPr>
          <w:rFonts w:hint="eastAsia" w:ascii="宋体" w:cs="宋体"/>
          <w:color w:val="auto"/>
          <w:szCs w:val="21"/>
          <w:highlight w:val="none"/>
        </w:rPr>
        <w:t>关于竣工验收程序的约定：</w:t>
      </w:r>
      <w:r>
        <w:rPr>
          <w:rFonts w:hint="eastAsia" w:ascii="宋体" w:hAnsi="宋体" w:cs="宋体"/>
          <w:color w:val="auto"/>
          <w:szCs w:val="21"/>
          <w:highlight w:val="none"/>
          <w:u w:val="single"/>
        </w:rPr>
        <w:t>执行通用条款</w:t>
      </w:r>
      <w:r>
        <w:rPr>
          <w:rFonts w:ascii="宋体" w:hAnsi="宋体" w:cs="宋体"/>
          <w:color w:val="auto"/>
          <w:szCs w:val="21"/>
          <w:highlight w:val="none"/>
          <w:u w:val="single"/>
        </w:rPr>
        <w:t xml:space="preserve">  </w:t>
      </w:r>
      <w:r>
        <w:rPr>
          <w:rFonts w:hint="eastAsia" w:ascii="宋体" w:cs="宋体"/>
          <w:color w:val="auto"/>
          <w:szCs w:val="21"/>
          <w:highlight w:val="none"/>
          <w:u w:val="single"/>
        </w:rPr>
        <w:t>。</w:t>
      </w:r>
    </w:p>
    <w:p w14:paraId="609E1968">
      <w:pPr>
        <w:wordWrap w:val="0"/>
        <w:snapToGrid w:val="0"/>
        <w:spacing w:line="440" w:lineRule="exact"/>
        <w:ind w:firstLine="420" w:firstLineChars="200"/>
        <w:jc w:val="left"/>
        <w:rPr>
          <w:rFonts w:hint="eastAsia" w:ascii="宋体" w:cs="宋体"/>
          <w:color w:val="auto"/>
          <w:szCs w:val="21"/>
          <w:highlight w:val="none"/>
          <w:u w:val="single"/>
        </w:rPr>
      </w:pPr>
      <w:r>
        <w:rPr>
          <w:rFonts w:hint="eastAsia" w:ascii="宋体" w:cs="宋体"/>
          <w:color w:val="auto"/>
          <w:kern w:val="0"/>
          <w:szCs w:val="21"/>
          <w:highlight w:val="none"/>
        </w:rPr>
        <w:t>发包人不按照本项约定组织竣工验收、颁发工程接收证书的违约金的计算方法：</w:t>
      </w:r>
      <w:r>
        <w:rPr>
          <w:rFonts w:hint="eastAsia" w:ascii="宋体" w:cs="宋体"/>
          <w:color w:val="auto"/>
          <w:szCs w:val="21"/>
          <w:highlight w:val="none"/>
          <w:u w:val="single"/>
        </w:rPr>
        <w:t xml:space="preserve">  不考虑 </w:t>
      </w:r>
      <w:r>
        <w:rPr>
          <w:rFonts w:hint="eastAsia" w:ascii="宋体" w:cs="宋体"/>
          <w:color w:val="auto"/>
          <w:szCs w:val="21"/>
          <w:highlight w:val="none"/>
        </w:rPr>
        <w:t>。</w:t>
      </w:r>
    </w:p>
    <w:p w14:paraId="63B9CDA6">
      <w:pPr>
        <w:keepNext w:val="0"/>
        <w:keepLines w:val="0"/>
        <w:pageBreakBefore w:val="0"/>
        <w:widowControl w:val="0"/>
        <w:kinsoku/>
        <w:wordWrap/>
        <w:overflowPunct/>
        <w:topLinePunct w:val="0"/>
        <w:autoSpaceDE/>
        <w:autoSpaceDN/>
        <w:bidi w:val="0"/>
        <w:snapToGrid w:val="0"/>
        <w:spacing w:line="440" w:lineRule="exact"/>
        <w:ind w:firstLine="420" w:firstLineChars="200"/>
        <w:jc w:val="left"/>
        <w:textAlignment w:val="auto"/>
        <w:rPr>
          <w:rFonts w:hint="eastAsia" w:ascii="宋体" w:cs="宋体"/>
          <w:color w:val="auto"/>
          <w:szCs w:val="21"/>
          <w:highlight w:val="none"/>
        </w:rPr>
      </w:pPr>
      <w:r>
        <w:rPr>
          <w:rFonts w:hint="eastAsia" w:ascii="宋体" w:cs="宋体"/>
          <w:color w:val="auto"/>
          <w:szCs w:val="21"/>
          <w:highlight w:val="none"/>
        </w:rPr>
        <w:t>13.2.5移交、接收全部与部分工程</w:t>
      </w:r>
    </w:p>
    <w:p w14:paraId="2FE239F5">
      <w:pPr>
        <w:keepNext w:val="0"/>
        <w:keepLines w:val="0"/>
        <w:pageBreakBefore w:val="0"/>
        <w:widowControl w:val="0"/>
        <w:kinsoku/>
        <w:wordWrap/>
        <w:overflowPunct/>
        <w:topLinePunct w:val="0"/>
        <w:autoSpaceDE/>
        <w:autoSpaceDN/>
        <w:bidi w:val="0"/>
        <w:snapToGrid w:val="0"/>
        <w:spacing w:line="440" w:lineRule="exact"/>
        <w:ind w:firstLine="420" w:firstLineChars="200"/>
        <w:jc w:val="left"/>
        <w:textAlignment w:val="auto"/>
        <w:rPr>
          <w:rFonts w:hint="eastAsia" w:ascii="宋体" w:cs="宋体"/>
          <w:color w:val="auto"/>
          <w:kern w:val="0"/>
          <w:szCs w:val="21"/>
          <w:highlight w:val="none"/>
        </w:rPr>
      </w:pPr>
      <w:r>
        <w:rPr>
          <w:rFonts w:hint="eastAsia" w:ascii="宋体" w:cs="宋体"/>
          <w:color w:val="auto"/>
          <w:kern w:val="0"/>
          <w:szCs w:val="21"/>
          <w:highlight w:val="none"/>
        </w:rPr>
        <w:t>承包人向发包人移交工程的期限：</w:t>
      </w:r>
      <w:r>
        <w:rPr>
          <w:rFonts w:hint="eastAsia" w:ascii="宋体" w:cs="宋体"/>
          <w:color w:val="auto"/>
          <w:szCs w:val="21"/>
          <w:highlight w:val="none"/>
          <w:u w:val="single"/>
        </w:rPr>
        <w:t xml:space="preserve"> </w:t>
      </w:r>
      <w:r>
        <w:rPr>
          <w:rFonts w:hint="eastAsia" w:ascii="宋体" w:hAnsi="宋体" w:cs="宋体"/>
          <w:color w:val="auto"/>
          <w:szCs w:val="21"/>
          <w:highlight w:val="none"/>
          <w:u w:val="single"/>
          <w:lang w:val="en-US" w:eastAsia="zh-CN"/>
        </w:rPr>
        <w:t>工程竣工验收合格</w:t>
      </w:r>
      <w:r>
        <w:rPr>
          <w:rFonts w:hint="eastAsia" w:ascii="宋体" w:hAnsi="宋体" w:cs="宋体"/>
          <w:color w:val="auto"/>
          <w:szCs w:val="21"/>
          <w:highlight w:val="none"/>
          <w:u w:val="single"/>
        </w:rPr>
        <w:t>后</w:t>
      </w:r>
      <w:r>
        <w:rPr>
          <w:rFonts w:hint="eastAsia" w:ascii="宋体" w:hAnsi="宋体" w:cs="宋体"/>
          <w:color w:val="auto"/>
          <w:szCs w:val="21"/>
          <w:highlight w:val="none"/>
          <w:u w:val="single"/>
          <w:lang w:val="en-US" w:eastAsia="zh-CN"/>
        </w:rPr>
        <w:t>根据发包人要求的时间内</w:t>
      </w:r>
      <w:r>
        <w:rPr>
          <w:rFonts w:hint="eastAsia" w:ascii="宋体" w:hAnsi="宋体" w:cs="宋体"/>
          <w:color w:val="auto"/>
          <w:szCs w:val="21"/>
          <w:highlight w:val="none"/>
          <w:u w:val="single"/>
        </w:rPr>
        <w:t>完成工程的移交</w:t>
      </w:r>
      <w:r>
        <w:rPr>
          <w:rFonts w:hint="eastAsia" w:ascii="宋体" w:cs="宋体"/>
          <w:color w:val="auto"/>
          <w:szCs w:val="21"/>
          <w:highlight w:val="none"/>
          <w:u w:val="single"/>
        </w:rPr>
        <w:t>。</w:t>
      </w:r>
    </w:p>
    <w:p w14:paraId="61F54450">
      <w:pPr>
        <w:keepNext w:val="0"/>
        <w:keepLines w:val="0"/>
        <w:pageBreakBefore w:val="0"/>
        <w:widowControl w:val="0"/>
        <w:kinsoku/>
        <w:wordWrap/>
        <w:overflowPunct/>
        <w:topLinePunct w:val="0"/>
        <w:autoSpaceDE/>
        <w:autoSpaceDN/>
        <w:bidi w:val="0"/>
        <w:adjustRightInd w:val="0"/>
        <w:snapToGrid w:val="0"/>
        <w:spacing w:line="440" w:lineRule="exact"/>
        <w:ind w:firstLine="420" w:firstLineChars="200"/>
        <w:textAlignment w:val="auto"/>
        <w:rPr>
          <w:rFonts w:hint="eastAsia" w:ascii="宋体" w:hAnsi="宋体" w:cs="宋体"/>
          <w:color w:val="auto"/>
          <w:highlight w:val="none"/>
          <w:u w:val="single"/>
        </w:rPr>
      </w:pPr>
      <w:r>
        <w:rPr>
          <w:rFonts w:hint="eastAsia" w:ascii="宋体" w:hAnsi="宋体" w:cs="宋体"/>
          <w:color w:val="auto"/>
          <w:kern w:val="0"/>
          <w:highlight w:val="none"/>
        </w:rPr>
        <w:t>发包人未按本合同约定接收全部或部分工程的，违约金的计算方法为：</w:t>
      </w:r>
      <w:r>
        <w:rPr>
          <w:rFonts w:hint="eastAsia" w:ascii="宋体" w:hAnsi="宋体" w:cs="宋体"/>
          <w:color w:val="auto"/>
          <w:szCs w:val="21"/>
          <w:highlight w:val="none"/>
          <w:u w:val="single"/>
        </w:rPr>
        <w:t>发包人自应当接收工程之日起，承担工程照管、成品保护、保管等与工程有关的各项费用</w:t>
      </w:r>
      <w:r>
        <w:rPr>
          <w:rFonts w:hint="eastAsia" w:ascii="宋体" w:hAnsi="宋体" w:cs="宋体"/>
          <w:color w:val="auto"/>
          <w:highlight w:val="none"/>
        </w:rPr>
        <w:t>。</w:t>
      </w:r>
    </w:p>
    <w:p w14:paraId="7B23BE0E">
      <w:pPr>
        <w:keepNext w:val="0"/>
        <w:keepLines w:val="0"/>
        <w:pageBreakBefore w:val="0"/>
        <w:widowControl w:val="0"/>
        <w:kinsoku/>
        <w:wordWrap/>
        <w:overflowPunct/>
        <w:topLinePunct w:val="0"/>
        <w:autoSpaceDE/>
        <w:autoSpaceDN/>
        <w:bidi w:val="0"/>
        <w:adjustRightInd w:val="0"/>
        <w:snapToGrid w:val="0"/>
        <w:spacing w:line="440" w:lineRule="exact"/>
        <w:ind w:firstLine="420" w:firstLineChars="200"/>
        <w:textAlignment w:val="auto"/>
        <w:rPr>
          <w:rFonts w:hint="eastAsia" w:ascii="宋体" w:hAnsi="宋体" w:cs="宋体"/>
          <w:color w:val="auto"/>
          <w:highlight w:val="none"/>
          <w:u w:val="single"/>
        </w:rPr>
      </w:pPr>
      <w:r>
        <w:rPr>
          <w:rFonts w:hint="eastAsia" w:ascii="宋体" w:hAnsi="宋体" w:cs="宋体"/>
          <w:color w:val="auto"/>
          <w:highlight w:val="none"/>
        </w:rPr>
        <w:t>承包人未按时移交工程的，违约金的计算方法为：</w:t>
      </w:r>
      <w:r>
        <w:rPr>
          <w:rFonts w:hint="eastAsia" w:ascii="宋体" w:hAnsi="宋体" w:cs="宋体"/>
          <w:color w:val="auto"/>
          <w:szCs w:val="21"/>
          <w:highlight w:val="none"/>
          <w:u w:val="single"/>
        </w:rPr>
        <w:t>承包人应承担工程照管、成品保护、保管等与工程有关的各项费用</w:t>
      </w:r>
      <w:r>
        <w:rPr>
          <w:rFonts w:hint="eastAsia" w:ascii="宋体" w:hAnsi="宋体" w:cs="宋体"/>
          <w:color w:val="auto"/>
          <w:highlight w:val="none"/>
        </w:rPr>
        <w:t>。</w:t>
      </w:r>
    </w:p>
    <w:p w14:paraId="69750784">
      <w:pPr>
        <w:snapToGrid w:val="0"/>
        <w:spacing w:line="440" w:lineRule="exact"/>
        <w:ind w:firstLine="420" w:firstLineChars="200"/>
        <w:rPr>
          <w:rFonts w:hint="eastAsia" w:ascii="宋体" w:cs="宋体"/>
          <w:color w:val="auto"/>
          <w:szCs w:val="21"/>
          <w:highlight w:val="none"/>
        </w:rPr>
      </w:pPr>
      <w:r>
        <w:rPr>
          <w:rFonts w:hint="eastAsia" w:ascii="宋体" w:cs="宋体"/>
          <w:color w:val="auto"/>
          <w:szCs w:val="21"/>
          <w:highlight w:val="none"/>
        </w:rPr>
        <w:t>13.3 工程试车</w:t>
      </w:r>
    </w:p>
    <w:p w14:paraId="77C2EB8B">
      <w:pPr>
        <w:snapToGrid w:val="0"/>
        <w:spacing w:line="440" w:lineRule="exact"/>
        <w:ind w:firstLine="420" w:firstLineChars="200"/>
        <w:jc w:val="left"/>
        <w:rPr>
          <w:rFonts w:hint="eastAsia" w:ascii="宋体" w:cs="宋体"/>
          <w:color w:val="auto"/>
          <w:kern w:val="0"/>
          <w:szCs w:val="21"/>
          <w:highlight w:val="none"/>
        </w:rPr>
      </w:pPr>
      <w:r>
        <w:rPr>
          <w:rFonts w:hint="eastAsia" w:ascii="宋体" w:cs="宋体"/>
          <w:color w:val="auto"/>
          <w:kern w:val="0"/>
          <w:szCs w:val="21"/>
          <w:highlight w:val="none"/>
        </w:rPr>
        <w:t>13.3.1 试车程序</w:t>
      </w:r>
    </w:p>
    <w:p w14:paraId="7C418FC2">
      <w:pPr>
        <w:snapToGrid w:val="0"/>
        <w:spacing w:line="440" w:lineRule="exact"/>
        <w:ind w:firstLine="420" w:firstLineChars="200"/>
        <w:jc w:val="left"/>
        <w:rPr>
          <w:rFonts w:hint="eastAsia" w:ascii="宋体" w:cs="宋体"/>
          <w:color w:val="auto"/>
          <w:szCs w:val="21"/>
          <w:highlight w:val="none"/>
          <w:u w:val="single"/>
        </w:rPr>
      </w:pPr>
      <w:r>
        <w:rPr>
          <w:rFonts w:hint="eastAsia" w:ascii="宋体" w:cs="宋体"/>
          <w:color w:val="auto"/>
          <w:kern w:val="0"/>
          <w:szCs w:val="21"/>
          <w:highlight w:val="none"/>
        </w:rPr>
        <w:t>工程试车内容：</w:t>
      </w:r>
      <w:r>
        <w:rPr>
          <w:rFonts w:hint="eastAsia" w:ascii="宋体" w:cs="宋体"/>
          <w:color w:val="auto"/>
          <w:szCs w:val="21"/>
          <w:highlight w:val="none"/>
          <w:u w:val="single"/>
        </w:rPr>
        <w:t>工程需要试车的，试车内容应与承包人承包范围相一致，试车费用由承包人承担。</w:t>
      </w:r>
    </w:p>
    <w:p w14:paraId="140554A2">
      <w:pPr>
        <w:snapToGrid w:val="0"/>
        <w:spacing w:line="440" w:lineRule="exact"/>
        <w:ind w:firstLine="420" w:firstLineChars="200"/>
        <w:jc w:val="left"/>
        <w:rPr>
          <w:rFonts w:hint="eastAsia" w:ascii="宋体" w:cs="宋体"/>
          <w:color w:val="auto"/>
          <w:kern w:val="0"/>
          <w:szCs w:val="21"/>
          <w:highlight w:val="none"/>
        </w:rPr>
      </w:pPr>
      <w:r>
        <w:rPr>
          <w:rFonts w:hint="eastAsia" w:ascii="宋体" w:cs="宋体"/>
          <w:color w:val="auto"/>
          <w:kern w:val="0"/>
          <w:szCs w:val="21"/>
          <w:highlight w:val="none"/>
        </w:rPr>
        <w:t>（1）单机无负荷试车费用由</w:t>
      </w:r>
      <w:r>
        <w:rPr>
          <w:rFonts w:hint="eastAsia" w:ascii="宋体" w:cs="宋体"/>
          <w:color w:val="auto"/>
          <w:szCs w:val="21"/>
          <w:highlight w:val="none"/>
          <w:u w:val="single"/>
        </w:rPr>
        <w:t xml:space="preserve">  承包人  </w:t>
      </w:r>
      <w:r>
        <w:rPr>
          <w:rFonts w:hint="eastAsia" w:ascii="宋体" w:cs="宋体"/>
          <w:color w:val="auto"/>
          <w:kern w:val="0"/>
          <w:szCs w:val="21"/>
          <w:highlight w:val="none"/>
        </w:rPr>
        <w:t>承担；</w:t>
      </w:r>
    </w:p>
    <w:p w14:paraId="3B6AD9C6">
      <w:pPr>
        <w:snapToGrid w:val="0"/>
        <w:spacing w:line="440" w:lineRule="exact"/>
        <w:ind w:firstLine="420" w:firstLineChars="200"/>
        <w:jc w:val="left"/>
        <w:rPr>
          <w:rFonts w:hint="eastAsia" w:ascii="宋体" w:cs="宋体"/>
          <w:color w:val="auto"/>
          <w:kern w:val="0"/>
          <w:szCs w:val="21"/>
          <w:highlight w:val="none"/>
        </w:rPr>
      </w:pPr>
      <w:r>
        <w:rPr>
          <w:rFonts w:hint="eastAsia" w:ascii="宋体" w:cs="宋体"/>
          <w:color w:val="auto"/>
          <w:kern w:val="0"/>
          <w:szCs w:val="21"/>
          <w:highlight w:val="none"/>
        </w:rPr>
        <w:t>（2）无负荷联动试车费用由</w:t>
      </w:r>
      <w:r>
        <w:rPr>
          <w:rFonts w:hint="eastAsia" w:ascii="宋体" w:cs="宋体"/>
          <w:color w:val="auto"/>
          <w:szCs w:val="21"/>
          <w:highlight w:val="none"/>
          <w:u w:val="single"/>
        </w:rPr>
        <w:t xml:space="preserve">  承包人  </w:t>
      </w:r>
      <w:r>
        <w:rPr>
          <w:rFonts w:hint="eastAsia" w:ascii="宋体" w:cs="宋体"/>
          <w:color w:val="auto"/>
          <w:kern w:val="0"/>
          <w:szCs w:val="21"/>
          <w:highlight w:val="none"/>
        </w:rPr>
        <w:t>承担。</w:t>
      </w:r>
    </w:p>
    <w:p w14:paraId="1B5B61A8">
      <w:pPr>
        <w:snapToGrid w:val="0"/>
        <w:spacing w:line="440" w:lineRule="exact"/>
        <w:ind w:firstLine="420" w:firstLineChars="200"/>
        <w:jc w:val="left"/>
        <w:rPr>
          <w:rFonts w:hint="eastAsia" w:ascii="宋体" w:cs="宋体"/>
          <w:color w:val="auto"/>
          <w:kern w:val="0"/>
          <w:szCs w:val="21"/>
          <w:highlight w:val="none"/>
        </w:rPr>
      </w:pPr>
      <w:r>
        <w:rPr>
          <w:rFonts w:hint="eastAsia" w:ascii="宋体" w:cs="宋体"/>
          <w:color w:val="auto"/>
          <w:kern w:val="0"/>
          <w:szCs w:val="21"/>
          <w:highlight w:val="none"/>
        </w:rPr>
        <w:t>13.3.3 投料试车</w:t>
      </w:r>
    </w:p>
    <w:p w14:paraId="0ABBF0D2">
      <w:pPr>
        <w:snapToGrid w:val="0"/>
        <w:spacing w:line="440" w:lineRule="exact"/>
        <w:ind w:firstLine="420" w:firstLineChars="200"/>
        <w:jc w:val="left"/>
        <w:rPr>
          <w:rFonts w:hint="eastAsia" w:ascii="宋体" w:cs="宋体"/>
          <w:color w:val="auto"/>
          <w:szCs w:val="21"/>
          <w:highlight w:val="none"/>
          <w:u w:val="single"/>
        </w:rPr>
      </w:pPr>
      <w:r>
        <w:rPr>
          <w:rFonts w:hint="eastAsia" w:ascii="宋体" w:cs="宋体"/>
          <w:color w:val="auto"/>
          <w:kern w:val="0"/>
          <w:szCs w:val="21"/>
          <w:highlight w:val="none"/>
        </w:rPr>
        <w:t>关于投料试车相关事项的约定：</w:t>
      </w:r>
      <w:r>
        <w:rPr>
          <w:rFonts w:hint="eastAsia" w:ascii="宋体" w:hAnsi="宋体" w:cs="宋体"/>
          <w:color w:val="auto"/>
          <w:szCs w:val="21"/>
          <w:highlight w:val="none"/>
          <w:u w:val="single"/>
        </w:rPr>
        <w:t>执行通用条款</w:t>
      </w:r>
      <w:r>
        <w:rPr>
          <w:rFonts w:hint="eastAsia" w:ascii="宋体" w:cs="宋体"/>
          <w:color w:val="auto"/>
          <w:kern w:val="0"/>
          <w:szCs w:val="21"/>
          <w:highlight w:val="none"/>
          <w:u w:val="single"/>
        </w:rPr>
        <w:t>。</w:t>
      </w:r>
    </w:p>
    <w:p w14:paraId="0C3FBF2D">
      <w:pPr>
        <w:snapToGrid w:val="0"/>
        <w:spacing w:line="440" w:lineRule="exact"/>
        <w:ind w:firstLine="420" w:firstLineChars="200"/>
        <w:rPr>
          <w:rFonts w:hint="eastAsia" w:ascii="宋体" w:cs="宋体"/>
          <w:color w:val="auto"/>
          <w:szCs w:val="21"/>
          <w:highlight w:val="none"/>
        </w:rPr>
      </w:pPr>
      <w:r>
        <w:rPr>
          <w:rFonts w:hint="eastAsia" w:ascii="宋体" w:cs="宋体"/>
          <w:color w:val="auto"/>
          <w:szCs w:val="21"/>
          <w:highlight w:val="none"/>
        </w:rPr>
        <w:t>13.6 竣工退场</w:t>
      </w:r>
    </w:p>
    <w:p w14:paraId="21984A5F">
      <w:pPr>
        <w:snapToGrid w:val="0"/>
        <w:spacing w:line="440" w:lineRule="exact"/>
        <w:ind w:firstLine="420" w:firstLineChars="200"/>
        <w:jc w:val="left"/>
        <w:rPr>
          <w:rFonts w:hint="eastAsia" w:ascii="宋体" w:cs="宋体"/>
          <w:color w:val="auto"/>
          <w:kern w:val="0"/>
          <w:szCs w:val="21"/>
          <w:highlight w:val="none"/>
        </w:rPr>
      </w:pPr>
      <w:r>
        <w:rPr>
          <w:rFonts w:hint="eastAsia" w:ascii="宋体" w:cs="宋体"/>
          <w:color w:val="auto"/>
          <w:kern w:val="0"/>
          <w:szCs w:val="21"/>
          <w:highlight w:val="none"/>
        </w:rPr>
        <w:t>13.6.1 竣工退场</w:t>
      </w:r>
    </w:p>
    <w:p w14:paraId="721C3CF1">
      <w:pPr>
        <w:snapToGrid w:val="0"/>
        <w:spacing w:line="440" w:lineRule="exact"/>
        <w:ind w:firstLine="420" w:firstLineChars="200"/>
        <w:jc w:val="left"/>
        <w:rPr>
          <w:rFonts w:hint="eastAsia" w:ascii="宋体" w:cs="宋体"/>
          <w:color w:val="auto"/>
          <w:kern w:val="0"/>
          <w:szCs w:val="21"/>
          <w:highlight w:val="none"/>
        </w:rPr>
      </w:pPr>
      <w:r>
        <w:rPr>
          <w:rFonts w:hint="eastAsia" w:ascii="宋体" w:cs="宋体"/>
          <w:color w:val="auto"/>
          <w:kern w:val="0"/>
          <w:szCs w:val="21"/>
          <w:highlight w:val="none"/>
        </w:rPr>
        <w:t>承包人完成竣工退场的期限：</w:t>
      </w:r>
      <w:r>
        <w:rPr>
          <w:rFonts w:hint="eastAsia" w:ascii="宋体" w:cs="宋体"/>
          <w:color w:val="auto"/>
          <w:szCs w:val="21"/>
          <w:highlight w:val="none"/>
          <w:u w:val="single"/>
        </w:rPr>
        <w:t>工程竣工合格后，7天内退场。</w:t>
      </w:r>
    </w:p>
    <w:p w14:paraId="4ACF087A">
      <w:pPr>
        <w:pStyle w:val="5"/>
        <w:pageBreakBefore w:val="0"/>
        <w:widowControl w:val="0"/>
        <w:kinsoku/>
        <w:wordWrap/>
        <w:overflowPunct/>
        <w:topLinePunct w:val="0"/>
        <w:autoSpaceDE/>
        <w:autoSpaceDN/>
        <w:bidi w:val="0"/>
        <w:snapToGrid w:val="0"/>
        <w:spacing w:before="0" w:after="0" w:line="440" w:lineRule="exact"/>
        <w:ind w:firstLine="420" w:firstLineChars="200"/>
        <w:textAlignment w:val="auto"/>
        <w:rPr>
          <w:rFonts w:hint="eastAsia" w:ascii="宋体" w:eastAsia="宋体" w:cs="宋体"/>
          <w:b w:val="0"/>
          <w:color w:val="auto"/>
          <w:sz w:val="21"/>
          <w:szCs w:val="21"/>
          <w:highlight w:val="none"/>
        </w:rPr>
      </w:pPr>
      <w:r>
        <w:rPr>
          <w:rFonts w:hint="eastAsia" w:ascii="宋体" w:eastAsia="宋体" w:cs="宋体"/>
          <w:b w:val="0"/>
          <w:color w:val="auto"/>
          <w:sz w:val="21"/>
          <w:szCs w:val="21"/>
          <w:highlight w:val="none"/>
        </w:rPr>
        <w:t>14. 竣工结算</w:t>
      </w:r>
    </w:p>
    <w:p w14:paraId="48FCCD8B">
      <w:pPr>
        <w:pageBreakBefore w:val="0"/>
        <w:widowControl w:val="0"/>
        <w:kinsoku/>
        <w:wordWrap/>
        <w:overflowPunct/>
        <w:topLinePunct w:val="0"/>
        <w:autoSpaceDE/>
        <w:autoSpaceDN/>
        <w:bidi w:val="0"/>
        <w:snapToGrid w:val="0"/>
        <w:spacing w:line="440" w:lineRule="exact"/>
        <w:ind w:firstLine="420" w:firstLineChars="200"/>
        <w:textAlignment w:val="auto"/>
        <w:rPr>
          <w:rFonts w:hint="eastAsia" w:ascii="宋体" w:cs="宋体"/>
          <w:color w:val="auto"/>
          <w:szCs w:val="21"/>
          <w:highlight w:val="none"/>
        </w:rPr>
      </w:pPr>
      <w:r>
        <w:rPr>
          <w:rFonts w:hint="eastAsia" w:ascii="宋体" w:cs="宋体"/>
          <w:color w:val="auto"/>
          <w:szCs w:val="21"/>
          <w:highlight w:val="none"/>
        </w:rPr>
        <w:t>14.1 竣工付款申请</w:t>
      </w:r>
    </w:p>
    <w:p w14:paraId="1040422F">
      <w:pPr>
        <w:pageBreakBefore w:val="0"/>
        <w:widowControl w:val="0"/>
        <w:kinsoku/>
        <w:wordWrap/>
        <w:overflowPunct/>
        <w:topLinePunct w:val="0"/>
        <w:autoSpaceDE/>
        <w:autoSpaceDN/>
        <w:bidi w:val="0"/>
        <w:snapToGrid w:val="0"/>
        <w:spacing w:line="440" w:lineRule="exact"/>
        <w:ind w:firstLine="420" w:firstLineChars="200"/>
        <w:jc w:val="left"/>
        <w:textAlignment w:val="auto"/>
        <w:rPr>
          <w:rFonts w:hint="eastAsia" w:ascii="宋体" w:cs="宋体"/>
          <w:color w:val="auto"/>
          <w:szCs w:val="21"/>
          <w:highlight w:val="none"/>
        </w:rPr>
      </w:pPr>
      <w:r>
        <w:rPr>
          <w:rFonts w:hint="eastAsia" w:ascii="宋体" w:cs="宋体"/>
          <w:color w:val="auto"/>
          <w:szCs w:val="21"/>
          <w:highlight w:val="none"/>
        </w:rPr>
        <w:t>承包人提交竣工付款申请单的期限：</w:t>
      </w:r>
      <w:r>
        <w:rPr>
          <w:rFonts w:hint="eastAsia" w:ascii="宋体" w:hAnsi="宋体" w:cs="宋体"/>
          <w:color w:val="auto"/>
          <w:szCs w:val="21"/>
          <w:highlight w:val="none"/>
          <w:u w:val="single"/>
        </w:rPr>
        <w:t>承包人应在工程竣工验收合格后28天内</w:t>
      </w:r>
      <w:r>
        <w:rPr>
          <w:rFonts w:hint="eastAsia" w:ascii="宋体" w:cs="宋体"/>
          <w:color w:val="auto"/>
          <w:szCs w:val="21"/>
          <w:highlight w:val="none"/>
          <w:u w:val="single"/>
        </w:rPr>
        <w:t>。</w:t>
      </w:r>
    </w:p>
    <w:p w14:paraId="54CFBA26">
      <w:pPr>
        <w:pageBreakBefore w:val="0"/>
        <w:widowControl w:val="0"/>
        <w:kinsoku/>
        <w:wordWrap/>
        <w:overflowPunct/>
        <w:topLinePunct w:val="0"/>
        <w:autoSpaceDE/>
        <w:autoSpaceDN/>
        <w:bidi w:val="0"/>
        <w:snapToGrid w:val="0"/>
        <w:spacing w:line="440" w:lineRule="exact"/>
        <w:ind w:firstLine="420" w:firstLineChars="200"/>
        <w:jc w:val="left"/>
        <w:textAlignment w:val="auto"/>
        <w:rPr>
          <w:rFonts w:hint="eastAsia" w:ascii="宋体" w:cs="宋体"/>
          <w:color w:val="auto"/>
          <w:szCs w:val="21"/>
          <w:highlight w:val="none"/>
          <w:u w:val="single"/>
        </w:rPr>
      </w:pPr>
      <w:r>
        <w:rPr>
          <w:rFonts w:hint="eastAsia" w:ascii="宋体" w:cs="宋体"/>
          <w:color w:val="auto"/>
          <w:szCs w:val="21"/>
          <w:highlight w:val="none"/>
        </w:rPr>
        <w:t>竣工结算申请单应包括的内容：</w:t>
      </w:r>
      <w:r>
        <w:rPr>
          <w:rFonts w:hint="eastAsia" w:ascii="宋体" w:hAnsi="宋体" w:cs="宋体"/>
          <w:color w:val="auto"/>
          <w:szCs w:val="21"/>
          <w:highlight w:val="none"/>
          <w:u w:val="single"/>
        </w:rPr>
        <w:t>执行通用条款</w:t>
      </w:r>
      <w:r>
        <w:rPr>
          <w:rFonts w:hint="eastAsia" w:ascii="宋体" w:cs="宋体"/>
          <w:color w:val="auto"/>
          <w:szCs w:val="21"/>
          <w:highlight w:val="none"/>
          <w:u w:val="single"/>
        </w:rPr>
        <w:t>。</w:t>
      </w:r>
    </w:p>
    <w:p w14:paraId="0FF1F596">
      <w:pPr>
        <w:pageBreakBefore w:val="0"/>
        <w:widowControl w:val="0"/>
        <w:kinsoku/>
        <w:wordWrap/>
        <w:overflowPunct/>
        <w:topLinePunct w:val="0"/>
        <w:autoSpaceDE/>
        <w:autoSpaceDN/>
        <w:bidi w:val="0"/>
        <w:snapToGrid w:val="0"/>
        <w:spacing w:line="440" w:lineRule="exact"/>
        <w:ind w:firstLine="420" w:firstLineChars="200"/>
        <w:jc w:val="left"/>
        <w:textAlignment w:val="auto"/>
        <w:rPr>
          <w:rFonts w:hint="eastAsia" w:ascii="宋体" w:cs="宋体"/>
          <w:color w:val="auto"/>
          <w:szCs w:val="21"/>
          <w:highlight w:val="none"/>
        </w:rPr>
      </w:pPr>
      <w:r>
        <w:rPr>
          <w:rFonts w:hint="eastAsia" w:ascii="宋体" w:cs="宋体"/>
          <w:color w:val="auto"/>
          <w:szCs w:val="21"/>
          <w:highlight w:val="none"/>
        </w:rPr>
        <w:t>14.2 竣工结算审核</w:t>
      </w:r>
    </w:p>
    <w:p w14:paraId="45532D5D">
      <w:pPr>
        <w:pageBreakBefore w:val="0"/>
        <w:widowControl w:val="0"/>
        <w:kinsoku/>
        <w:wordWrap/>
        <w:overflowPunct/>
        <w:topLinePunct w:val="0"/>
        <w:autoSpaceDE/>
        <w:autoSpaceDN/>
        <w:bidi w:val="0"/>
        <w:snapToGrid w:val="0"/>
        <w:spacing w:line="440" w:lineRule="exact"/>
        <w:ind w:firstLine="420" w:firstLineChars="200"/>
        <w:jc w:val="left"/>
        <w:textAlignment w:val="auto"/>
        <w:rPr>
          <w:rFonts w:hint="eastAsia" w:ascii="宋体" w:eastAsia="宋体" w:cs="宋体"/>
          <w:color w:val="auto"/>
          <w:szCs w:val="21"/>
          <w:highlight w:val="none"/>
          <w:lang w:val="en-US" w:eastAsia="zh-CN"/>
        </w:rPr>
      </w:pPr>
      <w:r>
        <w:rPr>
          <w:rFonts w:hint="eastAsia" w:ascii="宋体" w:hAnsi="Times New Roman" w:eastAsia="宋体" w:cs="宋体"/>
          <w:color w:val="auto"/>
          <w:szCs w:val="21"/>
          <w:highlight w:val="none"/>
        </w:rPr>
        <w:t>发包人审批竣工付款申请单的期限：发包人应在收到监理人提交的经审核的竣工结算申请单后</w:t>
      </w:r>
      <w:r>
        <w:rPr>
          <w:rFonts w:hint="eastAsia" w:ascii="宋体" w:hAnsi="Times New Roman" w:eastAsia="宋体" w:cs="宋体"/>
          <w:color w:val="auto"/>
          <w:szCs w:val="21"/>
          <w:highlight w:val="none"/>
          <w:lang w:val="en-US" w:eastAsia="zh-CN"/>
        </w:rPr>
        <w:t>30</w:t>
      </w:r>
      <w:r>
        <w:rPr>
          <w:rFonts w:hint="eastAsia" w:ascii="宋体" w:hAnsi="Times New Roman" w:eastAsia="宋体" w:cs="宋体"/>
          <w:color w:val="auto"/>
          <w:szCs w:val="21"/>
          <w:highlight w:val="none"/>
        </w:rPr>
        <w:t>天内完成审批</w:t>
      </w:r>
      <w:r>
        <w:rPr>
          <w:rFonts w:hint="eastAsia" w:ascii="宋体" w:hAnsi="Times New Roman" w:eastAsia="宋体" w:cs="宋体"/>
          <w:color w:val="auto"/>
          <w:szCs w:val="21"/>
          <w:highlight w:val="none"/>
          <w:lang w:eastAsia="zh-CN"/>
        </w:rPr>
        <w:t>。</w:t>
      </w:r>
    </w:p>
    <w:p w14:paraId="25182441">
      <w:pPr>
        <w:pageBreakBefore w:val="0"/>
        <w:widowControl w:val="0"/>
        <w:kinsoku/>
        <w:wordWrap/>
        <w:overflowPunct/>
        <w:topLinePunct w:val="0"/>
        <w:autoSpaceDE/>
        <w:autoSpaceDN/>
        <w:bidi w:val="0"/>
        <w:adjustRightInd w:val="0"/>
        <w:snapToGrid w:val="0"/>
        <w:spacing w:line="440" w:lineRule="exact"/>
        <w:ind w:firstLine="420" w:firstLineChars="200"/>
        <w:textAlignment w:val="auto"/>
        <w:rPr>
          <w:rFonts w:hint="eastAsia" w:ascii="宋体" w:cs="宋体"/>
          <w:color w:val="auto"/>
          <w:szCs w:val="21"/>
          <w:highlight w:val="none"/>
        </w:rPr>
      </w:pPr>
      <w:r>
        <w:rPr>
          <w:rFonts w:hint="eastAsia" w:ascii="宋体" w:cs="宋体"/>
          <w:color w:val="auto"/>
          <w:szCs w:val="21"/>
          <w:highlight w:val="none"/>
        </w:rPr>
        <w:t>发包人完成竣工付款的期限：</w:t>
      </w:r>
      <w:r>
        <w:rPr>
          <w:rFonts w:hint="eastAsia" w:ascii="宋体" w:hAnsi="宋体" w:cs="宋体"/>
          <w:color w:val="auto"/>
          <w:szCs w:val="21"/>
          <w:highlight w:val="none"/>
        </w:rPr>
        <w:t>发包人应在签发竣工付款证书后的</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30</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天内，完成对承包人的竣工付款。</w:t>
      </w:r>
    </w:p>
    <w:p w14:paraId="0F251D9F">
      <w:pPr>
        <w:pageBreakBefore w:val="0"/>
        <w:widowControl w:val="0"/>
        <w:kinsoku/>
        <w:wordWrap/>
        <w:overflowPunct/>
        <w:topLinePunct w:val="0"/>
        <w:autoSpaceDE/>
        <w:autoSpaceDN/>
        <w:bidi w:val="0"/>
        <w:snapToGrid w:val="0"/>
        <w:spacing w:line="440" w:lineRule="exact"/>
        <w:ind w:firstLine="420" w:firstLineChars="200"/>
        <w:jc w:val="left"/>
        <w:textAlignment w:val="auto"/>
        <w:rPr>
          <w:rFonts w:hint="eastAsia" w:ascii="宋体" w:cs="宋体"/>
          <w:color w:val="auto"/>
          <w:szCs w:val="21"/>
          <w:highlight w:val="none"/>
          <w:u w:val="single"/>
        </w:rPr>
      </w:pPr>
      <w:r>
        <w:rPr>
          <w:rFonts w:hint="eastAsia" w:ascii="宋体" w:cs="宋体"/>
          <w:color w:val="auto"/>
          <w:szCs w:val="21"/>
          <w:highlight w:val="none"/>
        </w:rPr>
        <w:t>关于竣工付款证书异议部分复核的方式和程序：</w:t>
      </w:r>
      <w:r>
        <w:rPr>
          <w:rFonts w:hint="eastAsia" w:ascii="宋体" w:hAnsi="宋体" w:cs="宋体"/>
          <w:color w:val="auto"/>
          <w:szCs w:val="21"/>
          <w:highlight w:val="none"/>
          <w:u w:val="single"/>
        </w:rPr>
        <w:t>按照第20条〔争议解决〕约定处理</w:t>
      </w:r>
      <w:r>
        <w:rPr>
          <w:rFonts w:hint="eastAsia" w:ascii="宋体" w:cs="宋体"/>
          <w:color w:val="auto"/>
          <w:szCs w:val="21"/>
          <w:highlight w:val="none"/>
          <w:u w:val="single"/>
        </w:rPr>
        <w:t>。</w:t>
      </w:r>
    </w:p>
    <w:p w14:paraId="39A10FA1">
      <w:pPr>
        <w:snapToGrid w:val="0"/>
        <w:spacing w:line="440" w:lineRule="exact"/>
        <w:ind w:firstLine="420" w:firstLineChars="200"/>
        <w:rPr>
          <w:rFonts w:hint="eastAsia" w:ascii="宋体" w:cs="宋体"/>
          <w:color w:val="auto"/>
          <w:szCs w:val="21"/>
          <w:highlight w:val="none"/>
        </w:rPr>
      </w:pPr>
      <w:r>
        <w:rPr>
          <w:rFonts w:hint="eastAsia" w:ascii="宋体" w:cs="宋体"/>
          <w:color w:val="auto"/>
          <w:szCs w:val="21"/>
          <w:highlight w:val="none"/>
        </w:rPr>
        <w:t>14.4 最终结清</w:t>
      </w:r>
    </w:p>
    <w:p w14:paraId="2E1B441A">
      <w:pPr>
        <w:snapToGrid w:val="0"/>
        <w:spacing w:line="440" w:lineRule="exact"/>
        <w:ind w:firstLine="420" w:firstLineChars="200"/>
        <w:jc w:val="left"/>
        <w:rPr>
          <w:rFonts w:hint="eastAsia" w:ascii="宋体" w:cs="宋体"/>
          <w:color w:val="auto"/>
          <w:kern w:val="0"/>
          <w:szCs w:val="21"/>
          <w:highlight w:val="none"/>
        </w:rPr>
      </w:pPr>
      <w:r>
        <w:rPr>
          <w:rFonts w:hint="eastAsia" w:ascii="宋体" w:cs="宋体"/>
          <w:color w:val="auto"/>
          <w:kern w:val="0"/>
          <w:szCs w:val="21"/>
          <w:highlight w:val="none"/>
        </w:rPr>
        <w:t>14.4.1 最终结清申请单</w:t>
      </w:r>
    </w:p>
    <w:p w14:paraId="15B31B73">
      <w:pPr>
        <w:snapToGrid w:val="0"/>
        <w:spacing w:line="440" w:lineRule="exact"/>
        <w:ind w:firstLine="420" w:firstLineChars="200"/>
        <w:jc w:val="left"/>
        <w:rPr>
          <w:rFonts w:hint="eastAsia" w:ascii="宋体" w:cs="宋体"/>
          <w:color w:val="auto"/>
          <w:kern w:val="0"/>
          <w:szCs w:val="21"/>
          <w:highlight w:val="none"/>
        </w:rPr>
      </w:pPr>
      <w:r>
        <w:rPr>
          <w:rFonts w:hint="eastAsia" w:ascii="宋体" w:cs="宋体"/>
          <w:color w:val="auto"/>
          <w:kern w:val="0"/>
          <w:szCs w:val="21"/>
          <w:highlight w:val="none"/>
        </w:rPr>
        <w:t>承包人提交最终结清申请单的份数：</w:t>
      </w:r>
      <w:r>
        <w:rPr>
          <w:rFonts w:hint="eastAsia" w:ascii="宋体" w:cs="宋体"/>
          <w:color w:val="auto"/>
          <w:szCs w:val="21"/>
          <w:highlight w:val="none"/>
          <w:u w:val="single"/>
        </w:rPr>
        <w:t xml:space="preserve"> 4份  </w:t>
      </w:r>
      <w:r>
        <w:rPr>
          <w:rFonts w:hint="eastAsia" w:ascii="宋体" w:cs="宋体"/>
          <w:color w:val="auto"/>
          <w:szCs w:val="21"/>
          <w:highlight w:val="none"/>
        </w:rPr>
        <w:t>。</w:t>
      </w:r>
    </w:p>
    <w:p w14:paraId="75312F00">
      <w:pPr>
        <w:snapToGrid w:val="0"/>
        <w:spacing w:line="440" w:lineRule="exact"/>
        <w:ind w:firstLine="420" w:firstLineChars="200"/>
        <w:jc w:val="left"/>
        <w:rPr>
          <w:rFonts w:hint="eastAsia" w:ascii="宋体" w:cs="宋体"/>
          <w:color w:val="auto"/>
          <w:szCs w:val="21"/>
          <w:highlight w:val="none"/>
        </w:rPr>
      </w:pPr>
      <w:r>
        <w:rPr>
          <w:rFonts w:hint="eastAsia" w:ascii="宋体" w:cs="宋体"/>
          <w:color w:val="auto"/>
          <w:kern w:val="0"/>
          <w:szCs w:val="21"/>
          <w:highlight w:val="none"/>
        </w:rPr>
        <w:t>承包人提交最终结算申请单的期限：</w:t>
      </w:r>
      <w:r>
        <w:rPr>
          <w:rFonts w:hint="eastAsia" w:ascii="宋体" w:cs="宋体"/>
          <w:color w:val="auto"/>
          <w:szCs w:val="21"/>
          <w:highlight w:val="none"/>
          <w:u w:val="single"/>
        </w:rPr>
        <w:t xml:space="preserve"> 缺陷责任期满经复查合格后7天内。</w:t>
      </w:r>
    </w:p>
    <w:p w14:paraId="1F0AD7A1">
      <w:pPr>
        <w:snapToGrid w:val="0"/>
        <w:spacing w:line="440" w:lineRule="exact"/>
        <w:ind w:firstLine="420" w:firstLineChars="200"/>
        <w:jc w:val="left"/>
        <w:rPr>
          <w:rFonts w:hint="eastAsia" w:ascii="宋体" w:cs="宋体"/>
          <w:color w:val="auto"/>
          <w:szCs w:val="21"/>
          <w:highlight w:val="none"/>
        </w:rPr>
      </w:pPr>
      <w:r>
        <w:rPr>
          <w:rFonts w:hint="eastAsia" w:ascii="宋体" w:cs="宋体"/>
          <w:color w:val="auto"/>
          <w:szCs w:val="21"/>
          <w:highlight w:val="none"/>
        </w:rPr>
        <w:t>14.4.2 最终结清证书和支付</w:t>
      </w:r>
    </w:p>
    <w:p w14:paraId="543B6DBD">
      <w:pPr>
        <w:snapToGrid w:val="0"/>
        <w:spacing w:line="440" w:lineRule="exact"/>
        <w:ind w:firstLine="420" w:firstLineChars="200"/>
        <w:jc w:val="left"/>
        <w:rPr>
          <w:rFonts w:hint="eastAsia" w:ascii="宋体" w:cs="宋体"/>
          <w:color w:val="auto"/>
          <w:szCs w:val="21"/>
          <w:highlight w:val="none"/>
        </w:rPr>
      </w:pPr>
      <w:r>
        <w:rPr>
          <w:rFonts w:hint="eastAsia" w:ascii="宋体" w:cs="宋体"/>
          <w:color w:val="auto"/>
          <w:szCs w:val="21"/>
          <w:highlight w:val="none"/>
        </w:rPr>
        <w:t>（1）发包人完成最终结清申请单的审批并颁发最终结清证书的期限：</w:t>
      </w:r>
      <w:r>
        <w:rPr>
          <w:rFonts w:hint="eastAsia" w:ascii="宋体" w:cs="宋体"/>
          <w:color w:val="auto"/>
          <w:szCs w:val="21"/>
          <w:highlight w:val="none"/>
          <w:u w:val="single"/>
        </w:rPr>
        <w:t xml:space="preserve"> 缺陷责任期满经复查合格后14天内。</w:t>
      </w:r>
    </w:p>
    <w:p w14:paraId="7D1CF9E9">
      <w:pPr>
        <w:snapToGrid w:val="0"/>
        <w:spacing w:line="440" w:lineRule="exact"/>
        <w:ind w:firstLine="420" w:firstLineChars="200"/>
        <w:jc w:val="left"/>
        <w:rPr>
          <w:rFonts w:hint="eastAsia" w:ascii="宋体" w:cs="宋体"/>
          <w:color w:val="auto"/>
          <w:szCs w:val="21"/>
          <w:highlight w:val="none"/>
        </w:rPr>
      </w:pPr>
      <w:r>
        <w:rPr>
          <w:rFonts w:hint="eastAsia" w:ascii="宋体" w:cs="宋体"/>
          <w:color w:val="auto"/>
          <w:szCs w:val="21"/>
          <w:highlight w:val="none"/>
        </w:rPr>
        <w:t>（2）发包人完成支付的期限：</w:t>
      </w:r>
      <w:r>
        <w:rPr>
          <w:rFonts w:hint="eastAsia" w:ascii="宋体" w:cs="宋体"/>
          <w:color w:val="auto"/>
          <w:szCs w:val="21"/>
          <w:highlight w:val="none"/>
          <w:u w:val="single"/>
          <w:lang w:val="en-US" w:eastAsia="zh-CN"/>
        </w:rPr>
        <w:t>/</w:t>
      </w:r>
      <w:r>
        <w:rPr>
          <w:rFonts w:hint="eastAsia" w:ascii="宋体" w:cs="宋体"/>
          <w:color w:val="auto"/>
          <w:szCs w:val="21"/>
          <w:highlight w:val="none"/>
        </w:rPr>
        <w:t>。</w:t>
      </w:r>
    </w:p>
    <w:p w14:paraId="19EDB972">
      <w:pPr>
        <w:pStyle w:val="5"/>
        <w:snapToGrid w:val="0"/>
        <w:spacing w:before="0" w:after="0" w:line="440" w:lineRule="exact"/>
        <w:ind w:firstLine="420" w:firstLineChars="200"/>
        <w:rPr>
          <w:rFonts w:hint="eastAsia" w:ascii="宋体" w:eastAsia="宋体" w:cs="宋体"/>
          <w:b w:val="0"/>
          <w:color w:val="auto"/>
          <w:sz w:val="21"/>
          <w:szCs w:val="21"/>
          <w:highlight w:val="none"/>
        </w:rPr>
      </w:pPr>
      <w:r>
        <w:rPr>
          <w:rFonts w:hint="eastAsia" w:ascii="宋体" w:eastAsia="宋体" w:cs="宋体"/>
          <w:b w:val="0"/>
          <w:color w:val="auto"/>
          <w:sz w:val="21"/>
          <w:szCs w:val="21"/>
          <w:highlight w:val="none"/>
        </w:rPr>
        <w:t>15. 缺陷责任期与保修</w:t>
      </w:r>
    </w:p>
    <w:p w14:paraId="4739C256">
      <w:pPr>
        <w:snapToGrid w:val="0"/>
        <w:spacing w:line="440" w:lineRule="exact"/>
        <w:ind w:firstLine="420" w:firstLineChars="200"/>
        <w:rPr>
          <w:rFonts w:hint="eastAsia" w:ascii="宋体" w:cs="宋体"/>
          <w:color w:val="auto"/>
          <w:szCs w:val="21"/>
          <w:highlight w:val="none"/>
        </w:rPr>
      </w:pPr>
      <w:r>
        <w:rPr>
          <w:rFonts w:hint="eastAsia" w:ascii="宋体" w:cs="宋体"/>
          <w:color w:val="auto"/>
          <w:szCs w:val="21"/>
          <w:highlight w:val="none"/>
        </w:rPr>
        <w:t>15.2缺陷责任期</w:t>
      </w:r>
    </w:p>
    <w:p w14:paraId="572CC6ED">
      <w:pPr>
        <w:snapToGrid w:val="0"/>
        <w:spacing w:line="440" w:lineRule="exact"/>
        <w:ind w:firstLine="420" w:firstLineChars="200"/>
        <w:jc w:val="left"/>
        <w:rPr>
          <w:rFonts w:hint="eastAsia" w:ascii="宋体" w:cs="宋体"/>
          <w:color w:val="auto"/>
          <w:szCs w:val="21"/>
          <w:highlight w:val="none"/>
          <w:u w:val="single"/>
        </w:rPr>
      </w:pPr>
      <w:r>
        <w:rPr>
          <w:rFonts w:hint="eastAsia" w:ascii="宋体" w:cs="宋体"/>
          <w:color w:val="auto"/>
          <w:szCs w:val="21"/>
          <w:highlight w:val="none"/>
        </w:rPr>
        <w:t>缺陷责任期的具体期限：</w:t>
      </w:r>
      <w:r>
        <w:rPr>
          <w:rFonts w:hint="eastAsia" w:ascii="黑体" w:hAnsi="黑体" w:eastAsia="黑体" w:cs="黑体"/>
          <w:b/>
          <w:bCs/>
          <w:color w:val="auto"/>
          <w:szCs w:val="21"/>
          <w:highlight w:val="none"/>
          <w:u w:val="single"/>
        </w:rPr>
        <w:t>自竣工验收合格之日起</w:t>
      </w:r>
      <w:r>
        <w:rPr>
          <w:rFonts w:hint="eastAsia" w:ascii="黑体" w:hAnsi="黑体" w:eastAsia="黑体" w:cs="黑体"/>
          <w:b/>
          <w:bCs/>
          <w:color w:val="auto"/>
          <w:szCs w:val="21"/>
          <w:highlight w:val="none"/>
          <w:u w:val="single"/>
          <w:lang w:val="en-US" w:eastAsia="zh-CN"/>
        </w:rPr>
        <w:t>2年</w:t>
      </w:r>
      <w:r>
        <w:rPr>
          <w:rFonts w:hint="eastAsia" w:ascii="黑体" w:hAnsi="黑体" w:eastAsia="黑体" w:cs="黑体"/>
          <w:b/>
          <w:bCs/>
          <w:color w:val="auto"/>
          <w:szCs w:val="21"/>
          <w:highlight w:val="none"/>
          <w:u w:val="single"/>
        </w:rPr>
        <w:t>（详见付款方式）</w:t>
      </w:r>
      <w:r>
        <w:rPr>
          <w:rFonts w:hint="eastAsia" w:ascii="宋体" w:cs="宋体"/>
          <w:color w:val="auto"/>
          <w:szCs w:val="21"/>
          <w:highlight w:val="none"/>
          <w:u w:val="single"/>
        </w:rPr>
        <w:t>。</w:t>
      </w:r>
    </w:p>
    <w:p w14:paraId="3CF0815E">
      <w:pPr>
        <w:keepNext w:val="0"/>
        <w:keepLines w:val="0"/>
        <w:pageBreakBefore w:val="0"/>
        <w:widowControl w:val="0"/>
        <w:kinsoku/>
        <w:wordWrap/>
        <w:overflowPunct/>
        <w:topLinePunct w:val="0"/>
        <w:autoSpaceDE/>
        <w:autoSpaceDN/>
        <w:bidi w:val="0"/>
        <w:snapToGrid w:val="0"/>
        <w:spacing w:line="440" w:lineRule="exact"/>
        <w:ind w:firstLine="420" w:firstLineChars="200"/>
        <w:textAlignment w:val="auto"/>
        <w:rPr>
          <w:rFonts w:hint="eastAsia" w:ascii="宋体" w:cs="宋体"/>
          <w:color w:val="auto"/>
          <w:szCs w:val="21"/>
          <w:highlight w:val="none"/>
        </w:rPr>
      </w:pPr>
      <w:r>
        <w:rPr>
          <w:rFonts w:hint="eastAsia" w:ascii="宋体" w:cs="宋体"/>
          <w:color w:val="auto"/>
          <w:szCs w:val="21"/>
          <w:highlight w:val="none"/>
        </w:rPr>
        <w:t>15.3 质量保证金</w:t>
      </w:r>
    </w:p>
    <w:p w14:paraId="4CA46FC3">
      <w:pPr>
        <w:keepNext w:val="0"/>
        <w:keepLines w:val="0"/>
        <w:pageBreakBefore w:val="0"/>
        <w:widowControl w:val="0"/>
        <w:kinsoku/>
        <w:wordWrap/>
        <w:overflowPunct/>
        <w:topLinePunct w:val="0"/>
        <w:autoSpaceDE/>
        <w:autoSpaceDN/>
        <w:bidi w:val="0"/>
        <w:adjustRightInd w:val="0"/>
        <w:snapToGrid w:val="0"/>
        <w:spacing w:line="440" w:lineRule="exact"/>
        <w:ind w:firstLine="420" w:firstLineChars="200"/>
        <w:textAlignment w:val="auto"/>
        <w:rPr>
          <w:rFonts w:hint="eastAsia" w:ascii="宋体" w:hAnsi="宋体" w:cs="宋体"/>
          <w:color w:val="auto"/>
          <w:highlight w:val="none"/>
        </w:rPr>
      </w:pPr>
      <w:r>
        <w:rPr>
          <w:rFonts w:hint="eastAsia" w:ascii="宋体" w:hAnsi="宋体" w:cs="宋体"/>
          <w:color w:val="auto"/>
          <w:highlight w:val="none"/>
        </w:rPr>
        <w:t>关于是否扣留质量保证金的约定：</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是</w:t>
      </w:r>
      <w:r>
        <w:rPr>
          <w:rFonts w:hint="eastAsia" w:ascii="宋体" w:hAnsi="宋体" w:cs="宋体"/>
          <w:color w:val="auto"/>
          <w:szCs w:val="21"/>
          <w:highlight w:val="none"/>
          <w:u w:val="single"/>
        </w:rPr>
        <w:t xml:space="preserve">  </w:t>
      </w:r>
      <w:r>
        <w:rPr>
          <w:rFonts w:hint="eastAsia" w:ascii="宋体" w:hAnsi="宋体" w:cs="宋体"/>
          <w:color w:val="auto"/>
          <w:highlight w:val="none"/>
        </w:rPr>
        <w:t>。在工程项目竣工前，承包人按专用合同条款第3.7款提供履约保证金的，发包人不得同时预留工程质量保证金。</w:t>
      </w:r>
    </w:p>
    <w:p w14:paraId="561CBF79">
      <w:pPr>
        <w:keepNext w:val="0"/>
        <w:keepLines w:val="0"/>
        <w:pageBreakBefore w:val="0"/>
        <w:widowControl w:val="0"/>
        <w:kinsoku/>
        <w:wordWrap/>
        <w:overflowPunct/>
        <w:topLinePunct w:val="0"/>
        <w:autoSpaceDE/>
        <w:autoSpaceDN/>
        <w:bidi w:val="0"/>
        <w:adjustRightInd w:val="0"/>
        <w:snapToGrid w:val="0"/>
        <w:spacing w:line="440" w:lineRule="exact"/>
        <w:ind w:firstLine="420" w:firstLineChars="200"/>
        <w:textAlignment w:val="auto"/>
        <w:rPr>
          <w:rFonts w:hint="eastAsia" w:ascii="宋体" w:hAnsi="宋体" w:cs="宋体"/>
          <w:color w:val="auto"/>
          <w:highlight w:val="none"/>
        </w:rPr>
      </w:pPr>
      <w:r>
        <w:rPr>
          <w:rFonts w:hint="eastAsia" w:ascii="宋体" w:hAnsi="宋体" w:cs="宋体"/>
          <w:color w:val="auto"/>
          <w:highlight w:val="none"/>
        </w:rPr>
        <w:t>15.3.1 承包人提供质量保证金的方式</w:t>
      </w:r>
    </w:p>
    <w:p w14:paraId="29092FC2">
      <w:pPr>
        <w:keepNext w:val="0"/>
        <w:keepLines w:val="0"/>
        <w:pageBreakBefore w:val="0"/>
        <w:widowControl w:val="0"/>
        <w:kinsoku/>
        <w:wordWrap/>
        <w:overflowPunct/>
        <w:topLinePunct w:val="0"/>
        <w:autoSpaceDE/>
        <w:autoSpaceDN/>
        <w:bidi w:val="0"/>
        <w:adjustRightInd w:val="0"/>
        <w:snapToGrid w:val="0"/>
        <w:spacing w:line="440" w:lineRule="exact"/>
        <w:ind w:firstLine="420" w:firstLineChars="200"/>
        <w:textAlignment w:val="auto"/>
        <w:rPr>
          <w:rFonts w:hint="eastAsia" w:ascii="宋体" w:hAnsi="宋体" w:cs="宋体"/>
          <w:color w:val="auto"/>
          <w:highlight w:val="none"/>
        </w:rPr>
      </w:pPr>
      <w:r>
        <w:rPr>
          <w:rFonts w:hint="eastAsia" w:ascii="宋体" w:hAnsi="宋体" w:cs="宋体"/>
          <w:color w:val="auto"/>
          <w:highlight w:val="none"/>
        </w:rPr>
        <w:t>质量保证金采用</w:t>
      </w:r>
      <w:r>
        <w:rPr>
          <w:rFonts w:hint="eastAsia" w:ascii="宋体" w:hAnsi="宋体" w:cs="宋体"/>
          <w:color w:val="auto"/>
          <w:highlight w:val="none"/>
          <w:lang w:eastAsia="zh-CN"/>
        </w:rPr>
        <w:t>第</w:t>
      </w:r>
      <w:r>
        <w:rPr>
          <w:rFonts w:hint="eastAsia" w:ascii="宋体" w:hAnsi="宋体" w:cs="宋体"/>
          <w:color w:val="auto"/>
          <w:highlight w:val="none"/>
          <w:lang w:val="en-US" w:eastAsia="zh-CN"/>
        </w:rPr>
        <w:t>2种</w:t>
      </w:r>
      <w:r>
        <w:rPr>
          <w:rFonts w:hint="eastAsia" w:ascii="宋体" w:hAnsi="宋体" w:cs="宋体"/>
          <w:color w:val="auto"/>
          <w:highlight w:val="none"/>
        </w:rPr>
        <w:t>方式：</w:t>
      </w:r>
    </w:p>
    <w:p w14:paraId="404EED31">
      <w:pPr>
        <w:keepNext w:val="0"/>
        <w:keepLines w:val="0"/>
        <w:pageBreakBefore w:val="0"/>
        <w:widowControl w:val="0"/>
        <w:kinsoku/>
        <w:wordWrap/>
        <w:overflowPunct/>
        <w:topLinePunct w:val="0"/>
        <w:autoSpaceDE/>
        <w:autoSpaceDN/>
        <w:bidi w:val="0"/>
        <w:adjustRightInd w:val="0"/>
        <w:snapToGrid w:val="0"/>
        <w:spacing w:line="440" w:lineRule="exact"/>
        <w:ind w:firstLine="420" w:firstLineChars="200"/>
        <w:textAlignment w:val="auto"/>
        <w:rPr>
          <w:rFonts w:hint="eastAsia" w:ascii="宋体" w:hAnsi="宋体" w:cs="宋体"/>
          <w:color w:val="auto"/>
          <w:kern w:val="0"/>
          <w:highlight w:val="none"/>
        </w:rPr>
      </w:pPr>
      <w:r>
        <w:rPr>
          <w:rFonts w:hint="eastAsia" w:ascii="宋体" w:hAnsi="宋体" w:cs="宋体"/>
          <w:color w:val="auto"/>
          <w:kern w:val="0"/>
          <w:highlight w:val="none"/>
        </w:rPr>
        <w:t>（1）质量保证金保函，保证金额为：</w:t>
      </w:r>
      <w:r>
        <w:rPr>
          <w:rFonts w:hint="eastAsia" w:ascii="宋体" w:hAnsi="宋体" w:cs="宋体"/>
          <w:color w:val="auto"/>
          <w:kern w:val="0"/>
          <w:highlight w:val="none"/>
          <w:u w:val="single"/>
          <w:lang w:val="en-US" w:eastAsia="zh-CN"/>
        </w:rPr>
        <w:t>/</w:t>
      </w:r>
      <w:r>
        <w:rPr>
          <w:rFonts w:hint="eastAsia" w:ascii="宋体" w:hAnsi="宋体" w:cs="宋体"/>
          <w:color w:val="auto"/>
          <w:kern w:val="0"/>
          <w:highlight w:val="none"/>
        </w:rPr>
        <w:t xml:space="preserve">； </w:t>
      </w:r>
    </w:p>
    <w:p w14:paraId="77BF3C08">
      <w:pPr>
        <w:keepNext w:val="0"/>
        <w:keepLines w:val="0"/>
        <w:pageBreakBefore w:val="0"/>
        <w:widowControl w:val="0"/>
        <w:kinsoku/>
        <w:wordWrap/>
        <w:overflowPunct/>
        <w:topLinePunct w:val="0"/>
        <w:autoSpaceDE/>
        <w:autoSpaceDN/>
        <w:bidi w:val="0"/>
        <w:adjustRightInd w:val="0"/>
        <w:snapToGrid w:val="0"/>
        <w:spacing w:line="440" w:lineRule="exact"/>
        <w:ind w:firstLine="420" w:firstLineChars="200"/>
        <w:textAlignment w:val="auto"/>
        <w:rPr>
          <w:rFonts w:hint="eastAsia" w:ascii="宋体" w:hAnsi="宋体" w:cs="宋体"/>
          <w:color w:val="auto"/>
          <w:kern w:val="0"/>
          <w:highlight w:val="none"/>
        </w:rPr>
      </w:pPr>
      <w:r>
        <w:rPr>
          <w:rFonts w:hint="eastAsia" w:ascii="宋体" w:hAnsi="宋体" w:cs="宋体"/>
          <w:color w:val="auto"/>
          <w:kern w:val="0"/>
          <w:highlight w:val="none"/>
        </w:rPr>
        <w:t>（2）</w:t>
      </w:r>
      <w:r>
        <w:rPr>
          <w:rFonts w:hint="eastAsia" w:ascii="宋体" w:hAnsi="宋体" w:cs="宋体"/>
          <w:color w:val="auto"/>
          <w:kern w:val="0"/>
          <w:highlight w:val="none"/>
          <w:u w:val="single"/>
        </w:rPr>
        <w:t>2</w:t>
      </w:r>
      <w:r>
        <w:rPr>
          <w:rFonts w:hint="eastAsia" w:ascii="宋体" w:hAnsi="宋体" w:cs="宋体"/>
          <w:color w:val="auto"/>
          <w:kern w:val="0"/>
          <w:highlight w:val="none"/>
        </w:rPr>
        <w:t>%的工程款；</w:t>
      </w:r>
    </w:p>
    <w:p w14:paraId="23EA9768">
      <w:pPr>
        <w:keepNext w:val="0"/>
        <w:keepLines w:val="0"/>
        <w:pageBreakBefore w:val="0"/>
        <w:widowControl w:val="0"/>
        <w:kinsoku/>
        <w:wordWrap/>
        <w:overflowPunct/>
        <w:topLinePunct w:val="0"/>
        <w:autoSpaceDE/>
        <w:autoSpaceDN/>
        <w:bidi w:val="0"/>
        <w:adjustRightInd w:val="0"/>
        <w:snapToGrid w:val="0"/>
        <w:spacing w:line="440" w:lineRule="exact"/>
        <w:ind w:firstLine="420" w:firstLineChars="200"/>
        <w:textAlignment w:val="auto"/>
        <w:rPr>
          <w:rFonts w:hint="eastAsia" w:ascii="宋体" w:hAnsi="宋体" w:cs="宋体"/>
          <w:color w:val="auto"/>
          <w:kern w:val="0"/>
          <w:highlight w:val="none"/>
        </w:rPr>
      </w:pPr>
      <w:r>
        <w:rPr>
          <w:rFonts w:hint="eastAsia" w:ascii="宋体" w:hAnsi="宋体" w:cs="宋体"/>
          <w:color w:val="auto"/>
          <w:kern w:val="0"/>
          <w:highlight w:val="none"/>
        </w:rPr>
        <w:t>（3）其他方式:</w:t>
      </w:r>
      <w:r>
        <w:rPr>
          <w:rFonts w:hint="eastAsia" w:ascii="宋体" w:hAnsi="宋体" w:cs="宋体"/>
          <w:color w:val="auto"/>
          <w:kern w:val="0"/>
          <w:highlight w:val="none"/>
          <w:u w:val="single"/>
        </w:rPr>
        <w:t xml:space="preserve"> </w:t>
      </w:r>
      <w:r>
        <w:rPr>
          <w:rFonts w:hint="eastAsia" w:ascii="宋体" w:hAnsi="宋体" w:cs="宋体"/>
          <w:color w:val="auto"/>
          <w:kern w:val="0"/>
          <w:highlight w:val="none"/>
          <w:u w:val="single"/>
          <w:lang w:val="en-US" w:eastAsia="zh-CN"/>
        </w:rPr>
        <w:t>/</w:t>
      </w:r>
      <w:r>
        <w:rPr>
          <w:rFonts w:hint="eastAsia" w:ascii="宋体" w:hAnsi="宋体" w:cs="宋体"/>
          <w:color w:val="auto"/>
          <w:kern w:val="0"/>
          <w:highlight w:val="none"/>
          <w:u w:val="single"/>
        </w:rPr>
        <w:t xml:space="preserve"> </w:t>
      </w:r>
      <w:r>
        <w:rPr>
          <w:rFonts w:hint="eastAsia" w:ascii="宋体" w:hAnsi="宋体" w:cs="宋体"/>
          <w:color w:val="auto"/>
          <w:kern w:val="0"/>
          <w:highlight w:val="none"/>
        </w:rPr>
        <w:t>。</w:t>
      </w:r>
    </w:p>
    <w:p w14:paraId="616B4501">
      <w:pPr>
        <w:keepNext w:val="0"/>
        <w:keepLines w:val="0"/>
        <w:pageBreakBefore w:val="0"/>
        <w:widowControl w:val="0"/>
        <w:kinsoku/>
        <w:wordWrap/>
        <w:overflowPunct/>
        <w:topLinePunct w:val="0"/>
        <w:autoSpaceDE/>
        <w:autoSpaceDN/>
        <w:bidi w:val="0"/>
        <w:adjustRightInd w:val="0"/>
        <w:snapToGrid w:val="0"/>
        <w:spacing w:line="440" w:lineRule="exact"/>
        <w:ind w:firstLine="420" w:firstLineChars="200"/>
        <w:textAlignment w:val="auto"/>
        <w:rPr>
          <w:rFonts w:hint="eastAsia" w:ascii="宋体" w:hAnsi="宋体" w:cs="宋体"/>
          <w:color w:val="auto"/>
          <w:highlight w:val="none"/>
        </w:rPr>
      </w:pPr>
      <w:r>
        <w:rPr>
          <w:rFonts w:hint="eastAsia" w:ascii="宋体" w:hAnsi="宋体" w:cs="宋体"/>
          <w:color w:val="auto"/>
          <w:highlight w:val="none"/>
        </w:rPr>
        <w:t xml:space="preserve">15.3.2 质量保证金的扣留 </w:t>
      </w:r>
    </w:p>
    <w:p w14:paraId="53ADB371">
      <w:pPr>
        <w:keepNext w:val="0"/>
        <w:keepLines w:val="0"/>
        <w:pageBreakBefore w:val="0"/>
        <w:widowControl w:val="0"/>
        <w:kinsoku/>
        <w:wordWrap/>
        <w:overflowPunct/>
        <w:topLinePunct w:val="0"/>
        <w:autoSpaceDE/>
        <w:autoSpaceDN/>
        <w:bidi w:val="0"/>
        <w:adjustRightInd w:val="0"/>
        <w:snapToGrid w:val="0"/>
        <w:spacing w:line="440" w:lineRule="exact"/>
        <w:ind w:firstLine="420" w:firstLineChars="200"/>
        <w:textAlignment w:val="auto"/>
        <w:rPr>
          <w:rFonts w:hint="eastAsia" w:ascii="宋体" w:hAnsi="宋体" w:cs="宋体"/>
          <w:color w:val="auto"/>
          <w:highlight w:val="none"/>
        </w:rPr>
      </w:pPr>
      <w:r>
        <w:rPr>
          <w:rFonts w:hint="eastAsia" w:ascii="宋体" w:hAnsi="宋体" w:cs="宋体"/>
          <w:color w:val="auto"/>
          <w:highlight w:val="none"/>
        </w:rPr>
        <w:t>质量保证金的扣留采取以下</w:t>
      </w:r>
      <w:r>
        <w:rPr>
          <w:rFonts w:hint="eastAsia" w:ascii="宋体" w:hAnsi="宋体" w:cs="宋体"/>
          <w:color w:val="auto"/>
          <w:highlight w:val="none"/>
          <w:lang w:eastAsia="zh-CN"/>
        </w:rPr>
        <w:t>第</w:t>
      </w:r>
      <w:r>
        <w:rPr>
          <w:rFonts w:hint="eastAsia" w:ascii="宋体" w:hAnsi="宋体" w:cs="宋体"/>
          <w:color w:val="auto"/>
          <w:highlight w:val="none"/>
          <w:lang w:val="en-US" w:eastAsia="zh-CN"/>
        </w:rPr>
        <w:t>2种</w:t>
      </w:r>
      <w:r>
        <w:rPr>
          <w:rFonts w:hint="eastAsia" w:ascii="宋体" w:hAnsi="宋体" w:cs="宋体"/>
          <w:color w:val="auto"/>
          <w:highlight w:val="none"/>
        </w:rPr>
        <w:t>方式：</w:t>
      </w:r>
    </w:p>
    <w:p w14:paraId="7296B1E7">
      <w:pPr>
        <w:keepNext w:val="0"/>
        <w:keepLines w:val="0"/>
        <w:pageBreakBefore w:val="0"/>
        <w:widowControl w:val="0"/>
        <w:kinsoku/>
        <w:wordWrap/>
        <w:overflowPunct/>
        <w:topLinePunct w:val="0"/>
        <w:autoSpaceDE/>
        <w:autoSpaceDN/>
        <w:bidi w:val="0"/>
        <w:adjustRightInd w:val="0"/>
        <w:snapToGrid w:val="0"/>
        <w:spacing w:line="440" w:lineRule="exact"/>
        <w:ind w:firstLine="420" w:firstLineChars="200"/>
        <w:textAlignment w:val="auto"/>
        <w:rPr>
          <w:rFonts w:hint="eastAsia" w:ascii="宋体" w:hAnsi="宋体" w:cs="宋体"/>
          <w:color w:val="auto"/>
          <w:kern w:val="0"/>
          <w:highlight w:val="none"/>
        </w:rPr>
      </w:pPr>
      <w:r>
        <w:rPr>
          <w:rFonts w:hint="eastAsia" w:ascii="宋体" w:hAnsi="宋体" w:cs="宋体"/>
          <w:color w:val="auto"/>
          <w:kern w:val="0"/>
          <w:highlight w:val="none"/>
        </w:rPr>
        <w:t>（1）在支付工程进度款时逐次扣留，在此情形下，质量保证金的计算基数不包括预付款的支付、扣回以及价格调整的金额；</w:t>
      </w:r>
    </w:p>
    <w:p w14:paraId="2872C37C">
      <w:pPr>
        <w:keepNext w:val="0"/>
        <w:keepLines w:val="0"/>
        <w:pageBreakBefore w:val="0"/>
        <w:widowControl w:val="0"/>
        <w:kinsoku/>
        <w:wordWrap/>
        <w:overflowPunct/>
        <w:topLinePunct w:val="0"/>
        <w:autoSpaceDE/>
        <w:autoSpaceDN/>
        <w:bidi w:val="0"/>
        <w:adjustRightInd w:val="0"/>
        <w:snapToGrid w:val="0"/>
        <w:spacing w:line="440" w:lineRule="exact"/>
        <w:ind w:firstLine="420" w:firstLineChars="200"/>
        <w:textAlignment w:val="auto"/>
        <w:rPr>
          <w:rFonts w:hint="eastAsia" w:ascii="宋体" w:hAnsi="宋体" w:cs="宋体"/>
          <w:color w:val="auto"/>
          <w:kern w:val="0"/>
          <w:highlight w:val="none"/>
        </w:rPr>
      </w:pPr>
      <w:r>
        <w:rPr>
          <w:rFonts w:hint="eastAsia" w:ascii="宋体" w:hAnsi="宋体" w:cs="宋体"/>
          <w:color w:val="auto"/>
          <w:kern w:val="0"/>
          <w:highlight w:val="none"/>
        </w:rPr>
        <w:t>（2）工程竣工结算时一次性扣留质量保证金；</w:t>
      </w:r>
    </w:p>
    <w:p w14:paraId="0DC737CF">
      <w:pPr>
        <w:keepNext w:val="0"/>
        <w:keepLines w:val="0"/>
        <w:pageBreakBefore w:val="0"/>
        <w:widowControl w:val="0"/>
        <w:kinsoku/>
        <w:wordWrap/>
        <w:overflowPunct/>
        <w:topLinePunct w:val="0"/>
        <w:autoSpaceDE/>
        <w:autoSpaceDN/>
        <w:bidi w:val="0"/>
        <w:adjustRightInd w:val="0"/>
        <w:snapToGrid w:val="0"/>
        <w:spacing w:line="440" w:lineRule="exact"/>
        <w:ind w:firstLine="420" w:firstLineChars="200"/>
        <w:textAlignment w:val="auto"/>
        <w:rPr>
          <w:rFonts w:hint="eastAsia" w:ascii="宋体" w:hAnsi="宋体" w:cs="宋体"/>
          <w:color w:val="auto"/>
          <w:kern w:val="0"/>
          <w:highlight w:val="none"/>
        </w:rPr>
      </w:pPr>
      <w:r>
        <w:rPr>
          <w:rFonts w:hint="eastAsia" w:ascii="宋体" w:hAnsi="宋体" w:cs="宋体"/>
          <w:color w:val="auto"/>
          <w:kern w:val="0"/>
          <w:highlight w:val="none"/>
        </w:rPr>
        <w:t>（3）其他扣留方式:</w:t>
      </w:r>
      <w:r>
        <w:rPr>
          <w:rFonts w:hint="eastAsia" w:ascii="宋体" w:hAnsi="宋体" w:cs="宋体"/>
          <w:color w:val="auto"/>
          <w:kern w:val="0"/>
          <w:highlight w:val="none"/>
          <w:u w:val="single"/>
        </w:rPr>
        <w:t xml:space="preserve">      </w:t>
      </w:r>
      <w:r>
        <w:rPr>
          <w:rFonts w:hint="eastAsia" w:ascii="宋体" w:hAnsi="宋体" w:cs="宋体"/>
          <w:color w:val="auto"/>
          <w:kern w:val="0"/>
          <w:highlight w:val="none"/>
        </w:rPr>
        <w:t>。</w:t>
      </w:r>
    </w:p>
    <w:p w14:paraId="4BEF53BA">
      <w:pPr>
        <w:keepNext w:val="0"/>
        <w:keepLines w:val="0"/>
        <w:pageBreakBefore w:val="0"/>
        <w:widowControl w:val="0"/>
        <w:kinsoku/>
        <w:wordWrap/>
        <w:overflowPunct/>
        <w:topLinePunct w:val="0"/>
        <w:autoSpaceDE/>
        <w:autoSpaceDN/>
        <w:bidi w:val="0"/>
        <w:adjustRightInd w:val="0"/>
        <w:snapToGrid w:val="0"/>
        <w:spacing w:line="440" w:lineRule="exact"/>
        <w:ind w:firstLine="420" w:firstLineChars="200"/>
        <w:textAlignment w:val="auto"/>
        <w:rPr>
          <w:rFonts w:hint="eastAsia" w:ascii="宋体" w:hAnsi="宋体" w:cs="宋体"/>
          <w:color w:val="auto"/>
          <w:highlight w:val="none"/>
        </w:rPr>
      </w:pPr>
      <w:r>
        <w:rPr>
          <w:rFonts w:hint="eastAsia" w:ascii="宋体" w:hAnsi="宋体" w:cs="宋体"/>
          <w:color w:val="auto"/>
          <w:highlight w:val="none"/>
        </w:rPr>
        <w:t>关于质量保证金的补充约定：</w:t>
      </w:r>
      <w:r>
        <w:rPr>
          <w:rFonts w:hint="eastAsia" w:ascii="宋体" w:hAnsi="宋体" w:cs="宋体"/>
          <w:color w:val="auto"/>
          <w:kern w:val="0"/>
          <w:highlight w:val="none"/>
          <w:u w:val="single"/>
        </w:rPr>
        <w:t xml:space="preserve">      </w:t>
      </w:r>
      <w:r>
        <w:rPr>
          <w:rFonts w:hint="eastAsia" w:ascii="宋体" w:hAnsi="宋体" w:cs="宋体"/>
          <w:color w:val="auto"/>
          <w:kern w:val="0"/>
          <w:highlight w:val="none"/>
        </w:rPr>
        <w:t>。</w:t>
      </w:r>
    </w:p>
    <w:p w14:paraId="643D31C8">
      <w:pPr>
        <w:snapToGrid w:val="0"/>
        <w:spacing w:line="440" w:lineRule="exact"/>
        <w:ind w:firstLine="420" w:firstLineChars="200"/>
        <w:rPr>
          <w:rFonts w:hint="eastAsia" w:ascii="宋体" w:cs="宋体"/>
          <w:color w:val="auto"/>
          <w:szCs w:val="21"/>
          <w:highlight w:val="none"/>
        </w:rPr>
      </w:pPr>
      <w:r>
        <w:rPr>
          <w:rFonts w:hint="eastAsia" w:ascii="宋体" w:cs="宋体"/>
          <w:color w:val="auto"/>
          <w:szCs w:val="21"/>
          <w:highlight w:val="none"/>
        </w:rPr>
        <w:t>15.4保修</w:t>
      </w:r>
    </w:p>
    <w:p w14:paraId="2CEB8E23">
      <w:pPr>
        <w:snapToGrid w:val="0"/>
        <w:spacing w:line="440" w:lineRule="exact"/>
        <w:ind w:firstLine="420" w:firstLineChars="200"/>
        <w:jc w:val="left"/>
        <w:rPr>
          <w:rFonts w:hint="eastAsia" w:ascii="宋体" w:cs="宋体"/>
          <w:color w:val="auto"/>
          <w:szCs w:val="21"/>
          <w:highlight w:val="none"/>
        </w:rPr>
      </w:pPr>
      <w:r>
        <w:rPr>
          <w:rFonts w:hint="eastAsia" w:ascii="宋体" w:cs="宋体"/>
          <w:color w:val="auto"/>
          <w:szCs w:val="21"/>
          <w:highlight w:val="none"/>
        </w:rPr>
        <w:t>15.4.1 保修责任</w:t>
      </w:r>
    </w:p>
    <w:p w14:paraId="2156CD60">
      <w:pPr>
        <w:snapToGrid w:val="0"/>
        <w:spacing w:line="440" w:lineRule="exact"/>
        <w:ind w:firstLine="420" w:firstLineChars="200"/>
        <w:jc w:val="left"/>
        <w:rPr>
          <w:rFonts w:hint="eastAsia" w:ascii="宋体" w:cs="宋体"/>
          <w:color w:val="auto"/>
          <w:kern w:val="0"/>
          <w:szCs w:val="21"/>
          <w:highlight w:val="none"/>
          <w:u w:val="single"/>
        </w:rPr>
      </w:pPr>
      <w:r>
        <w:rPr>
          <w:rFonts w:hint="eastAsia" w:ascii="宋体" w:cs="宋体"/>
          <w:color w:val="auto"/>
          <w:szCs w:val="21"/>
          <w:highlight w:val="none"/>
        </w:rPr>
        <w:t>工程保修期为：</w:t>
      </w:r>
      <w:r>
        <w:rPr>
          <w:rFonts w:hint="eastAsia" w:ascii="宋体" w:cs="宋体"/>
          <w:color w:val="auto"/>
          <w:kern w:val="0"/>
          <w:szCs w:val="21"/>
          <w:highlight w:val="none"/>
          <w:u w:val="single"/>
        </w:rPr>
        <w:t xml:space="preserve">   </w:t>
      </w:r>
      <w:r>
        <w:rPr>
          <w:rFonts w:hint="eastAsia" w:ascii="宋体" w:hAnsi="宋体" w:cs="宋体"/>
          <w:color w:val="auto"/>
          <w:szCs w:val="21"/>
          <w:highlight w:val="none"/>
          <w:u w:val="single"/>
        </w:rPr>
        <w:t>执行《工程质量保修书》规定</w:t>
      </w:r>
      <w:r>
        <w:rPr>
          <w:rFonts w:hint="eastAsia" w:ascii="宋体" w:cs="宋体"/>
          <w:color w:val="auto"/>
          <w:kern w:val="0"/>
          <w:szCs w:val="21"/>
          <w:highlight w:val="none"/>
          <w:u w:val="single"/>
        </w:rPr>
        <w:t xml:space="preserve">。     </w:t>
      </w:r>
    </w:p>
    <w:p w14:paraId="33035DF3">
      <w:pPr>
        <w:snapToGrid w:val="0"/>
        <w:spacing w:line="440" w:lineRule="exact"/>
        <w:ind w:firstLine="420" w:firstLineChars="200"/>
        <w:jc w:val="left"/>
        <w:rPr>
          <w:rFonts w:hint="eastAsia" w:ascii="宋体" w:cs="宋体"/>
          <w:color w:val="auto"/>
          <w:kern w:val="0"/>
          <w:szCs w:val="21"/>
          <w:highlight w:val="none"/>
          <w:u w:val="single"/>
        </w:rPr>
      </w:pPr>
      <w:r>
        <w:rPr>
          <w:rFonts w:hint="eastAsia" w:ascii="宋体" w:cs="宋体"/>
          <w:color w:val="auto"/>
          <w:kern w:val="0"/>
          <w:szCs w:val="21"/>
          <w:highlight w:val="none"/>
        </w:rPr>
        <w:t>承包人收到保修通知并到达工程现场的合理时间：</w:t>
      </w:r>
      <w:r>
        <w:rPr>
          <w:rFonts w:hint="eastAsia" w:ascii="宋体" w:cs="宋体"/>
          <w:color w:val="auto"/>
          <w:kern w:val="0"/>
          <w:szCs w:val="21"/>
          <w:highlight w:val="none"/>
          <w:u w:val="single"/>
        </w:rPr>
        <w:t>自承包人收到保修通知起</w:t>
      </w:r>
      <w:r>
        <w:rPr>
          <w:rFonts w:hint="eastAsia" w:ascii="宋体" w:cs="宋体"/>
          <w:color w:val="auto"/>
          <w:kern w:val="0"/>
          <w:szCs w:val="21"/>
          <w:highlight w:val="none"/>
          <w:u w:val="single"/>
          <w:lang w:val="en-US" w:eastAsia="zh-CN"/>
        </w:rPr>
        <w:t>48</w:t>
      </w:r>
      <w:r>
        <w:rPr>
          <w:rFonts w:hint="eastAsia" w:ascii="宋体" w:cs="宋体"/>
          <w:color w:val="auto"/>
          <w:kern w:val="0"/>
          <w:szCs w:val="21"/>
          <w:highlight w:val="none"/>
          <w:u w:val="single"/>
        </w:rPr>
        <w:t xml:space="preserve">小时内到达工程现场。  </w:t>
      </w:r>
    </w:p>
    <w:p w14:paraId="15CF42AB">
      <w:pPr>
        <w:pStyle w:val="5"/>
        <w:snapToGrid w:val="0"/>
        <w:spacing w:before="0" w:after="0" w:line="440" w:lineRule="exact"/>
        <w:ind w:firstLine="420" w:firstLineChars="200"/>
        <w:rPr>
          <w:rFonts w:hint="eastAsia" w:ascii="宋体" w:eastAsia="宋体" w:cs="宋体"/>
          <w:b w:val="0"/>
          <w:color w:val="auto"/>
          <w:sz w:val="21"/>
          <w:szCs w:val="21"/>
          <w:highlight w:val="none"/>
        </w:rPr>
      </w:pPr>
      <w:r>
        <w:rPr>
          <w:rFonts w:hint="eastAsia" w:ascii="宋体" w:eastAsia="宋体" w:cs="宋体"/>
          <w:b w:val="0"/>
          <w:color w:val="auto"/>
          <w:sz w:val="21"/>
          <w:szCs w:val="21"/>
          <w:highlight w:val="none"/>
        </w:rPr>
        <w:t>16. 违约</w:t>
      </w:r>
    </w:p>
    <w:p w14:paraId="21A2DA49">
      <w:pPr>
        <w:snapToGrid w:val="0"/>
        <w:spacing w:line="440" w:lineRule="exact"/>
        <w:ind w:firstLine="420" w:firstLineChars="200"/>
        <w:rPr>
          <w:rFonts w:hint="eastAsia" w:ascii="宋体" w:cs="宋体"/>
          <w:color w:val="auto"/>
          <w:szCs w:val="21"/>
          <w:highlight w:val="none"/>
        </w:rPr>
      </w:pPr>
      <w:r>
        <w:rPr>
          <w:rFonts w:hint="eastAsia" w:ascii="宋体" w:cs="宋体"/>
          <w:color w:val="auto"/>
          <w:szCs w:val="21"/>
          <w:highlight w:val="none"/>
        </w:rPr>
        <w:t>16.1 发包人违约</w:t>
      </w:r>
    </w:p>
    <w:p w14:paraId="320C463F">
      <w:pPr>
        <w:snapToGrid w:val="0"/>
        <w:spacing w:line="440" w:lineRule="exact"/>
        <w:ind w:firstLine="420" w:firstLineChars="200"/>
        <w:jc w:val="left"/>
        <w:rPr>
          <w:rFonts w:hint="eastAsia" w:ascii="宋体" w:cs="宋体"/>
          <w:color w:val="auto"/>
          <w:szCs w:val="21"/>
          <w:highlight w:val="none"/>
        </w:rPr>
      </w:pPr>
      <w:r>
        <w:rPr>
          <w:rFonts w:hint="eastAsia" w:ascii="宋体" w:cs="宋体"/>
          <w:color w:val="auto"/>
          <w:szCs w:val="21"/>
          <w:highlight w:val="none"/>
        </w:rPr>
        <w:t>16.1.1发包人违约的情形</w:t>
      </w:r>
    </w:p>
    <w:p w14:paraId="2353DD21">
      <w:pPr>
        <w:snapToGrid w:val="0"/>
        <w:spacing w:line="440" w:lineRule="exact"/>
        <w:ind w:firstLine="420" w:firstLineChars="200"/>
        <w:jc w:val="left"/>
        <w:rPr>
          <w:rFonts w:hint="eastAsia" w:ascii="宋体" w:cs="宋体"/>
          <w:color w:val="auto"/>
          <w:kern w:val="0"/>
          <w:szCs w:val="21"/>
          <w:highlight w:val="none"/>
          <w:u w:val="single"/>
        </w:rPr>
      </w:pPr>
      <w:r>
        <w:rPr>
          <w:rFonts w:hint="eastAsia" w:ascii="宋体" w:cs="宋体"/>
          <w:color w:val="auto"/>
          <w:kern w:val="0"/>
          <w:szCs w:val="21"/>
          <w:highlight w:val="none"/>
        </w:rPr>
        <w:t>发包人违约的其他情形：</w:t>
      </w:r>
      <w:r>
        <w:rPr>
          <w:rFonts w:hint="eastAsia" w:ascii="宋体" w:cs="宋体"/>
          <w:color w:val="auto"/>
          <w:kern w:val="0"/>
          <w:szCs w:val="21"/>
          <w:highlight w:val="none"/>
          <w:u w:val="single"/>
        </w:rPr>
        <w:t xml:space="preserve">   无    </w:t>
      </w:r>
      <w:r>
        <w:rPr>
          <w:rFonts w:hint="eastAsia" w:ascii="宋体" w:cs="宋体"/>
          <w:color w:val="auto"/>
          <w:kern w:val="0"/>
          <w:szCs w:val="21"/>
          <w:highlight w:val="none"/>
        </w:rPr>
        <w:t>。</w:t>
      </w:r>
    </w:p>
    <w:p w14:paraId="290C3EEB">
      <w:pPr>
        <w:snapToGrid w:val="0"/>
        <w:spacing w:line="440" w:lineRule="exact"/>
        <w:ind w:firstLine="420" w:firstLineChars="200"/>
        <w:jc w:val="left"/>
        <w:rPr>
          <w:rFonts w:hint="eastAsia" w:ascii="宋体" w:cs="宋体"/>
          <w:color w:val="auto"/>
          <w:kern w:val="0"/>
          <w:szCs w:val="21"/>
          <w:highlight w:val="none"/>
        </w:rPr>
      </w:pPr>
      <w:r>
        <w:rPr>
          <w:rFonts w:hint="eastAsia" w:ascii="宋体" w:cs="宋体"/>
          <w:color w:val="auto"/>
          <w:kern w:val="0"/>
          <w:szCs w:val="21"/>
          <w:highlight w:val="none"/>
        </w:rPr>
        <w:t>16.1.2 发包人违约的责任</w:t>
      </w:r>
    </w:p>
    <w:p w14:paraId="1DCFBA53">
      <w:pPr>
        <w:snapToGrid w:val="0"/>
        <w:spacing w:line="440" w:lineRule="exact"/>
        <w:ind w:firstLine="420" w:firstLineChars="200"/>
        <w:jc w:val="left"/>
        <w:rPr>
          <w:rFonts w:hint="eastAsia" w:ascii="宋体" w:cs="宋体"/>
          <w:color w:val="auto"/>
          <w:kern w:val="0"/>
          <w:szCs w:val="21"/>
          <w:highlight w:val="none"/>
        </w:rPr>
      </w:pPr>
      <w:r>
        <w:rPr>
          <w:rFonts w:hint="eastAsia" w:ascii="宋体" w:cs="宋体"/>
          <w:color w:val="auto"/>
          <w:kern w:val="0"/>
          <w:szCs w:val="21"/>
          <w:highlight w:val="none"/>
        </w:rPr>
        <w:t>发包人违约责任的承担方式和计算方法：</w:t>
      </w:r>
    </w:p>
    <w:p w14:paraId="6356C663">
      <w:pPr>
        <w:snapToGrid w:val="0"/>
        <w:spacing w:line="440" w:lineRule="exact"/>
        <w:ind w:firstLine="420" w:firstLineChars="200"/>
        <w:jc w:val="left"/>
        <w:rPr>
          <w:rFonts w:hint="eastAsia" w:ascii="宋体" w:cs="宋体"/>
          <w:color w:val="auto"/>
          <w:kern w:val="0"/>
          <w:szCs w:val="21"/>
          <w:highlight w:val="none"/>
          <w:u w:val="single"/>
        </w:rPr>
      </w:pPr>
      <w:r>
        <w:rPr>
          <w:rFonts w:hint="eastAsia" w:ascii="宋体" w:cs="宋体"/>
          <w:color w:val="auto"/>
          <w:kern w:val="0"/>
          <w:szCs w:val="21"/>
          <w:highlight w:val="none"/>
        </w:rPr>
        <w:t>（1）因发包人原因未能在计划开工日期前7天内下达开工通知的违约责任：</w:t>
      </w:r>
      <w:r>
        <w:rPr>
          <w:rFonts w:hint="eastAsia" w:ascii="宋体" w:cs="宋体"/>
          <w:color w:val="auto"/>
          <w:kern w:val="0"/>
          <w:szCs w:val="21"/>
          <w:highlight w:val="none"/>
          <w:u w:val="single"/>
        </w:rPr>
        <w:t xml:space="preserve">  对工期造成影响的可顺延工期  </w:t>
      </w:r>
      <w:r>
        <w:rPr>
          <w:rFonts w:hint="eastAsia" w:ascii="宋体" w:cs="宋体"/>
          <w:color w:val="auto"/>
          <w:kern w:val="0"/>
          <w:szCs w:val="21"/>
          <w:highlight w:val="none"/>
        </w:rPr>
        <w:t>。</w:t>
      </w:r>
    </w:p>
    <w:p w14:paraId="1779894E">
      <w:pPr>
        <w:snapToGrid w:val="0"/>
        <w:spacing w:line="440" w:lineRule="exact"/>
        <w:ind w:firstLine="420" w:firstLineChars="200"/>
        <w:jc w:val="left"/>
        <w:rPr>
          <w:rFonts w:hint="eastAsia" w:ascii="宋体" w:cs="宋体"/>
          <w:color w:val="auto"/>
          <w:kern w:val="0"/>
          <w:szCs w:val="21"/>
          <w:highlight w:val="none"/>
        </w:rPr>
      </w:pPr>
      <w:r>
        <w:rPr>
          <w:rFonts w:hint="eastAsia" w:ascii="宋体" w:cs="宋体"/>
          <w:color w:val="auto"/>
          <w:kern w:val="0"/>
          <w:szCs w:val="21"/>
          <w:highlight w:val="none"/>
        </w:rPr>
        <w:t>（2）因发包人原因未能按合同约定支付合同价款的违约责任：</w:t>
      </w:r>
      <w:r>
        <w:rPr>
          <w:rFonts w:hint="eastAsia" w:ascii="宋体" w:cs="宋体"/>
          <w:color w:val="auto"/>
          <w:kern w:val="0"/>
          <w:szCs w:val="21"/>
          <w:highlight w:val="none"/>
          <w:u w:val="single"/>
        </w:rPr>
        <w:t xml:space="preserve">  可按照中国人民银行发布的同期同类贷款基准利率支付违约金</w:t>
      </w:r>
      <w:r>
        <w:rPr>
          <w:rFonts w:hint="eastAsia" w:ascii="宋体" w:cs="宋体"/>
          <w:color w:val="auto"/>
          <w:kern w:val="0"/>
          <w:szCs w:val="21"/>
          <w:highlight w:val="none"/>
        </w:rPr>
        <w:t>。</w:t>
      </w:r>
    </w:p>
    <w:p w14:paraId="011B4F5C">
      <w:pPr>
        <w:snapToGrid w:val="0"/>
        <w:spacing w:line="440" w:lineRule="exact"/>
        <w:ind w:firstLine="420" w:firstLineChars="200"/>
        <w:jc w:val="left"/>
        <w:rPr>
          <w:rFonts w:hint="eastAsia" w:ascii="宋体" w:cs="宋体"/>
          <w:color w:val="auto"/>
          <w:kern w:val="0"/>
          <w:szCs w:val="21"/>
          <w:highlight w:val="none"/>
          <w:u w:val="single"/>
        </w:rPr>
      </w:pPr>
      <w:r>
        <w:rPr>
          <w:rFonts w:hint="eastAsia" w:ascii="宋体" w:cs="宋体"/>
          <w:color w:val="auto"/>
          <w:kern w:val="0"/>
          <w:szCs w:val="21"/>
          <w:highlight w:val="none"/>
        </w:rPr>
        <w:t>（3）发包人违反第10.1款〔变更的范围〕第（2）项约定，自行实施被取消的工作或转由他人实施的违约责任：</w:t>
      </w:r>
      <w:r>
        <w:rPr>
          <w:rFonts w:hint="eastAsia" w:ascii="宋体" w:cs="宋体"/>
          <w:color w:val="auto"/>
          <w:kern w:val="0"/>
          <w:szCs w:val="21"/>
          <w:highlight w:val="none"/>
          <w:u w:val="single"/>
        </w:rPr>
        <w:t xml:space="preserve">   </w:t>
      </w:r>
      <w:r>
        <w:rPr>
          <w:rFonts w:hint="eastAsia" w:ascii="宋体" w:cs="宋体"/>
          <w:color w:val="auto"/>
          <w:kern w:val="0"/>
          <w:szCs w:val="21"/>
          <w:highlight w:val="none"/>
          <w:u w:val="single"/>
          <w:lang w:val="en-US" w:eastAsia="zh-CN"/>
        </w:rPr>
        <w:t>/</w:t>
      </w:r>
      <w:r>
        <w:rPr>
          <w:rFonts w:hint="eastAsia" w:ascii="宋体" w:cs="宋体"/>
          <w:color w:val="auto"/>
          <w:kern w:val="0"/>
          <w:szCs w:val="21"/>
          <w:highlight w:val="none"/>
          <w:u w:val="single"/>
        </w:rPr>
        <w:t xml:space="preserve">   </w:t>
      </w:r>
      <w:r>
        <w:rPr>
          <w:rFonts w:hint="eastAsia" w:ascii="宋体" w:cs="宋体"/>
          <w:color w:val="auto"/>
          <w:kern w:val="0"/>
          <w:szCs w:val="21"/>
          <w:highlight w:val="none"/>
        </w:rPr>
        <w:t>。</w:t>
      </w:r>
    </w:p>
    <w:p w14:paraId="3D77050F">
      <w:pPr>
        <w:snapToGrid w:val="0"/>
        <w:spacing w:line="440" w:lineRule="exact"/>
        <w:ind w:firstLine="420" w:firstLineChars="200"/>
        <w:jc w:val="left"/>
        <w:rPr>
          <w:rFonts w:hint="eastAsia" w:ascii="宋体" w:cs="宋体"/>
          <w:color w:val="auto"/>
          <w:kern w:val="0"/>
          <w:szCs w:val="21"/>
          <w:highlight w:val="none"/>
        </w:rPr>
      </w:pPr>
      <w:r>
        <w:rPr>
          <w:rFonts w:hint="eastAsia" w:ascii="宋体" w:cs="宋体"/>
          <w:color w:val="auto"/>
          <w:kern w:val="0"/>
          <w:szCs w:val="21"/>
          <w:highlight w:val="none"/>
        </w:rPr>
        <w:t>（4）发包人提供的材料、工程设备的规格、数量或质量不符合合同约定，或因发包人原因导致交货日期延误或交货地点变更等情况的违约责任：</w:t>
      </w:r>
      <w:r>
        <w:rPr>
          <w:rFonts w:hint="eastAsia" w:ascii="宋体" w:cs="宋体"/>
          <w:color w:val="auto"/>
          <w:kern w:val="0"/>
          <w:szCs w:val="21"/>
          <w:highlight w:val="none"/>
          <w:u w:val="single"/>
        </w:rPr>
        <w:t xml:space="preserve">   </w:t>
      </w:r>
      <w:r>
        <w:rPr>
          <w:rFonts w:hint="eastAsia" w:ascii="宋体" w:cs="宋体"/>
          <w:color w:val="auto"/>
          <w:kern w:val="0"/>
          <w:szCs w:val="21"/>
          <w:highlight w:val="none"/>
          <w:u w:val="single"/>
          <w:lang w:val="en-US" w:eastAsia="zh-CN"/>
        </w:rPr>
        <w:t>/</w:t>
      </w:r>
      <w:r>
        <w:rPr>
          <w:rFonts w:hint="eastAsia" w:ascii="宋体" w:cs="宋体"/>
          <w:color w:val="auto"/>
          <w:kern w:val="0"/>
          <w:szCs w:val="21"/>
          <w:highlight w:val="none"/>
          <w:u w:val="single"/>
        </w:rPr>
        <w:t xml:space="preserve">  </w:t>
      </w:r>
      <w:r>
        <w:rPr>
          <w:rFonts w:hint="eastAsia" w:ascii="宋体" w:cs="宋体"/>
          <w:color w:val="auto"/>
          <w:kern w:val="0"/>
          <w:szCs w:val="21"/>
          <w:highlight w:val="none"/>
        </w:rPr>
        <w:t>。</w:t>
      </w:r>
    </w:p>
    <w:p w14:paraId="38C7ED0D">
      <w:pPr>
        <w:snapToGrid w:val="0"/>
        <w:spacing w:line="440" w:lineRule="exact"/>
        <w:ind w:firstLine="420" w:firstLineChars="200"/>
        <w:jc w:val="left"/>
        <w:rPr>
          <w:rFonts w:hint="eastAsia" w:ascii="宋体" w:cs="宋体"/>
          <w:color w:val="auto"/>
          <w:kern w:val="0"/>
          <w:szCs w:val="21"/>
          <w:highlight w:val="none"/>
          <w:u w:val="single"/>
        </w:rPr>
      </w:pPr>
      <w:r>
        <w:rPr>
          <w:rFonts w:hint="eastAsia" w:ascii="宋体" w:cs="宋体"/>
          <w:color w:val="auto"/>
          <w:kern w:val="0"/>
          <w:szCs w:val="21"/>
          <w:highlight w:val="none"/>
        </w:rPr>
        <w:t>（5）因发包人违反合同约定造成暂停施工的违约责任：</w:t>
      </w:r>
      <w:r>
        <w:rPr>
          <w:rFonts w:hint="eastAsia" w:ascii="宋体" w:cs="宋体"/>
          <w:color w:val="auto"/>
          <w:kern w:val="0"/>
          <w:szCs w:val="21"/>
          <w:highlight w:val="none"/>
          <w:u w:val="single"/>
        </w:rPr>
        <w:t xml:space="preserve">  可顺延工期  </w:t>
      </w:r>
      <w:r>
        <w:rPr>
          <w:rFonts w:hint="eastAsia" w:ascii="宋体" w:cs="宋体"/>
          <w:color w:val="auto"/>
          <w:kern w:val="0"/>
          <w:szCs w:val="21"/>
          <w:highlight w:val="none"/>
        </w:rPr>
        <w:t>。</w:t>
      </w:r>
    </w:p>
    <w:p w14:paraId="4FB25F50">
      <w:pPr>
        <w:snapToGrid w:val="0"/>
        <w:spacing w:line="440" w:lineRule="exact"/>
        <w:ind w:firstLine="420" w:firstLineChars="200"/>
        <w:jc w:val="left"/>
        <w:rPr>
          <w:rFonts w:hint="eastAsia" w:ascii="宋体" w:cs="宋体"/>
          <w:color w:val="auto"/>
          <w:kern w:val="0"/>
          <w:szCs w:val="21"/>
          <w:highlight w:val="none"/>
        </w:rPr>
      </w:pPr>
      <w:r>
        <w:rPr>
          <w:rFonts w:hint="eastAsia" w:ascii="宋体" w:cs="宋体"/>
          <w:color w:val="auto"/>
          <w:kern w:val="0"/>
          <w:szCs w:val="21"/>
          <w:highlight w:val="none"/>
        </w:rPr>
        <w:t>（6）发包人无正当理由没有在约定期限内发出复工指示，导致承包人无法复工的违约责任：</w:t>
      </w:r>
      <w:r>
        <w:rPr>
          <w:rFonts w:hint="eastAsia" w:ascii="宋体" w:cs="宋体"/>
          <w:color w:val="auto"/>
          <w:kern w:val="0"/>
          <w:szCs w:val="21"/>
          <w:highlight w:val="none"/>
          <w:u w:val="single"/>
        </w:rPr>
        <w:t xml:space="preserve"> 对工期造成影响的可顺延工期  </w:t>
      </w:r>
      <w:r>
        <w:rPr>
          <w:rFonts w:hint="eastAsia" w:ascii="宋体" w:cs="宋体"/>
          <w:color w:val="auto"/>
          <w:kern w:val="0"/>
          <w:szCs w:val="21"/>
          <w:highlight w:val="none"/>
        </w:rPr>
        <w:t>。</w:t>
      </w:r>
    </w:p>
    <w:p w14:paraId="07E5A5A7">
      <w:pPr>
        <w:snapToGrid w:val="0"/>
        <w:spacing w:line="440" w:lineRule="exact"/>
        <w:ind w:firstLine="420" w:firstLineChars="200"/>
        <w:jc w:val="left"/>
        <w:rPr>
          <w:rFonts w:hint="eastAsia" w:ascii="宋体" w:cs="宋体"/>
          <w:color w:val="auto"/>
          <w:kern w:val="0"/>
          <w:szCs w:val="21"/>
          <w:highlight w:val="none"/>
        </w:rPr>
      </w:pPr>
      <w:r>
        <w:rPr>
          <w:rFonts w:hint="eastAsia" w:ascii="宋体" w:cs="宋体"/>
          <w:color w:val="auto"/>
          <w:kern w:val="0"/>
          <w:szCs w:val="21"/>
          <w:highlight w:val="none"/>
        </w:rPr>
        <w:t>（7）其他：</w:t>
      </w:r>
      <w:r>
        <w:rPr>
          <w:rFonts w:hint="eastAsia" w:ascii="宋体" w:cs="宋体"/>
          <w:color w:val="auto"/>
          <w:kern w:val="0"/>
          <w:szCs w:val="21"/>
          <w:highlight w:val="none"/>
          <w:u w:val="single"/>
        </w:rPr>
        <w:t xml:space="preserve">  无  </w:t>
      </w:r>
      <w:r>
        <w:rPr>
          <w:rFonts w:hint="eastAsia" w:ascii="宋体" w:cs="宋体"/>
          <w:color w:val="auto"/>
          <w:kern w:val="0"/>
          <w:szCs w:val="21"/>
          <w:highlight w:val="none"/>
        </w:rPr>
        <w:t>。</w:t>
      </w:r>
    </w:p>
    <w:p w14:paraId="78D1480D">
      <w:pPr>
        <w:snapToGrid w:val="0"/>
        <w:spacing w:line="440" w:lineRule="exact"/>
        <w:ind w:firstLine="420" w:firstLineChars="200"/>
        <w:jc w:val="left"/>
        <w:rPr>
          <w:rFonts w:hint="eastAsia" w:ascii="宋体" w:cs="宋体"/>
          <w:color w:val="auto"/>
          <w:szCs w:val="21"/>
          <w:highlight w:val="none"/>
        </w:rPr>
      </w:pPr>
      <w:r>
        <w:rPr>
          <w:rFonts w:hint="eastAsia" w:ascii="宋体" w:cs="宋体"/>
          <w:color w:val="auto"/>
          <w:szCs w:val="21"/>
          <w:highlight w:val="none"/>
        </w:rPr>
        <w:t>16.1.3 因发包人违约解除合同</w:t>
      </w:r>
    </w:p>
    <w:p w14:paraId="71B4528B">
      <w:pPr>
        <w:autoSpaceDE w:val="0"/>
        <w:autoSpaceDN w:val="0"/>
        <w:adjustRightInd w:val="0"/>
        <w:snapToGrid w:val="0"/>
        <w:spacing w:line="440" w:lineRule="exact"/>
        <w:ind w:firstLine="420" w:firstLineChars="200"/>
        <w:jc w:val="left"/>
        <w:rPr>
          <w:rFonts w:hint="eastAsia" w:ascii="宋体" w:cs="宋体"/>
          <w:color w:val="auto"/>
          <w:kern w:val="0"/>
          <w:szCs w:val="21"/>
          <w:highlight w:val="none"/>
        </w:rPr>
      </w:pPr>
      <w:r>
        <w:rPr>
          <w:rFonts w:hint="eastAsia" w:ascii="宋体" w:cs="宋体"/>
          <w:color w:val="auto"/>
          <w:kern w:val="0"/>
          <w:szCs w:val="21"/>
          <w:highlight w:val="none"/>
        </w:rPr>
        <w:t>承包人按16.1.1项〔发包人违约的情形〕约定暂停施工满</w:t>
      </w:r>
      <w:r>
        <w:rPr>
          <w:rFonts w:hint="eastAsia" w:ascii="宋体" w:cs="宋体"/>
          <w:color w:val="auto"/>
          <w:kern w:val="0"/>
          <w:szCs w:val="21"/>
          <w:highlight w:val="none"/>
          <w:u w:val="single"/>
        </w:rPr>
        <w:t xml:space="preserve">  28  </w:t>
      </w:r>
      <w:r>
        <w:rPr>
          <w:rFonts w:hint="eastAsia" w:ascii="宋体" w:cs="宋体"/>
          <w:color w:val="auto"/>
          <w:kern w:val="0"/>
          <w:szCs w:val="21"/>
          <w:highlight w:val="none"/>
        </w:rPr>
        <w:t>天后发包人仍不纠正其违约行为并致使合同目的不能实现的，承包人有权解除合同。</w:t>
      </w:r>
    </w:p>
    <w:p w14:paraId="73DCC081">
      <w:pPr>
        <w:snapToGrid w:val="0"/>
        <w:spacing w:line="440" w:lineRule="exact"/>
        <w:ind w:firstLine="420" w:firstLineChars="200"/>
        <w:rPr>
          <w:rFonts w:hint="eastAsia" w:ascii="宋体" w:cs="宋体"/>
          <w:color w:val="auto"/>
          <w:szCs w:val="21"/>
          <w:highlight w:val="none"/>
        </w:rPr>
      </w:pPr>
      <w:r>
        <w:rPr>
          <w:rFonts w:hint="eastAsia" w:ascii="宋体" w:cs="宋体"/>
          <w:color w:val="auto"/>
          <w:szCs w:val="21"/>
          <w:highlight w:val="none"/>
        </w:rPr>
        <w:t>16.2 承包人违约</w:t>
      </w:r>
    </w:p>
    <w:p w14:paraId="7CB9B8CD">
      <w:pPr>
        <w:snapToGrid w:val="0"/>
        <w:spacing w:line="440" w:lineRule="exact"/>
        <w:ind w:firstLine="420" w:firstLineChars="200"/>
        <w:jc w:val="left"/>
        <w:rPr>
          <w:rFonts w:hint="eastAsia" w:ascii="宋体" w:cs="宋体"/>
          <w:color w:val="auto"/>
          <w:kern w:val="0"/>
          <w:szCs w:val="21"/>
          <w:highlight w:val="none"/>
        </w:rPr>
      </w:pPr>
      <w:r>
        <w:rPr>
          <w:rFonts w:hint="eastAsia" w:ascii="宋体" w:cs="宋体"/>
          <w:color w:val="auto"/>
          <w:kern w:val="0"/>
          <w:szCs w:val="21"/>
          <w:highlight w:val="none"/>
        </w:rPr>
        <w:t>16.2.1 承包人违约的情形</w:t>
      </w:r>
    </w:p>
    <w:p w14:paraId="2CE802B8">
      <w:pPr>
        <w:snapToGrid w:val="0"/>
        <w:spacing w:line="440" w:lineRule="exact"/>
        <w:ind w:firstLine="420" w:firstLineChars="200"/>
        <w:jc w:val="left"/>
        <w:rPr>
          <w:rFonts w:hint="eastAsia" w:ascii="宋体" w:cs="宋体"/>
          <w:color w:val="auto"/>
          <w:kern w:val="0"/>
          <w:szCs w:val="21"/>
          <w:highlight w:val="none"/>
          <w:u w:val="single"/>
        </w:rPr>
      </w:pPr>
      <w:r>
        <w:rPr>
          <w:rFonts w:hint="eastAsia" w:ascii="宋体" w:cs="宋体"/>
          <w:color w:val="auto"/>
          <w:kern w:val="0"/>
          <w:szCs w:val="21"/>
          <w:highlight w:val="none"/>
        </w:rPr>
        <w:t>承包人违约的其他情形：</w:t>
      </w:r>
      <w:r>
        <w:rPr>
          <w:rFonts w:hint="eastAsia" w:ascii="宋体" w:cs="宋体"/>
          <w:color w:val="auto"/>
          <w:kern w:val="0"/>
          <w:szCs w:val="21"/>
          <w:highlight w:val="none"/>
          <w:u w:val="single"/>
        </w:rPr>
        <w:t xml:space="preserve">   执行补充条款   </w:t>
      </w:r>
      <w:r>
        <w:rPr>
          <w:rFonts w:hint="eastAsia" w:ascii="宋体" w:cs="宋体"/>
          <w:color w:val="auto"/>
          <w:kern w:val="0"/>
          <w:szCs w:val="21"/>
          <w:highlight w:val="none"/>
        </w:rPr>
        <w:t>。</w:t>
      </w:r>
    </w:p>
    <w:p w14:paraId="20D51133">
      <w:pPr>
        <w:snapToGrid w:val="0"/>
        <w:spacing w:line="440" w:lineRule="exact"/>
        <w:ind w:firstLine="420" w:firstLineChars="200"/>
        <w:jc w:val="left"/>
        <w:rPr>
          <w:rFonts w:hint="eastAsia" w:ascii="宋体" w:cs="宋体"/>
          <w:color w:val="auto"/>
          <w:kern w:val="0"/>
          <w:szCs w:val="21"/>
          <w:highlight w:val="none"/>
        </w:rPr>
      </w:pPr>
      <w:r>
        <w:rPr>
          <w:rFonts w:hint="eastAsia" w:ascii="宋体" w:cs="宋体"/>
          <w:color w:val="auto"/>
          <w:kern w:val="0"/>
          <w:szCs w:val="21"/>
          <w:highlight w:val="none"/>
        </w:rPr>
        <w:t>16.2.2承包人违约的责任</w:t>
      </w:r>
    </w:p>
    <w:p w14:paraId="2B5523EB">
      <w:pPr>
        <w:snapToGrid w:val="0"/>
        <w:spacing w:line="440" w:lineRule="exact"/>
        <w:ind w:firstLine="420" w:firstLineChars="200"/>
        <w:jc w:val="left"/>
        <w:rPr>
          <w:rFonts w:hint="eastAsia" w:ascii="宋体" w:cs="宋体"/>
          <w:color w:val="auto"/>
          <w:kern w:val="0"/>
          <w:szCs w:val="21"/>
          <w:highlight w:val="none"/>
          <w:u w:val="single"/>
        </w:rPr>
      </w:pPr>
      <w:r>
        <w:rPr>
          <w:rFonts w:hint="eastAsia" w:ascii="宋体" w:cs="宋体"/>
          <w:color w:val="auto"/>
          <w:kern w:val="0"/>
          <w:szCs w:val="21"/>
          <w:highlight w:val="none"/>
        </w:rPr>
        <w:t>承包人违约责任的承担方式和计算方法：</w:t>
      </w:r>
      <w:r>
        <w:rPr>
          <w:rFonts w:hint="eastAsia" w:ascii="宋体" w:cs="宋体"/>
          <w:color w:val="auto"/>
          <w:kern w:val="0"/>
          <w:szCs w:val="21"/>
          <w:highlight w:val="none"/>
          <w:u w:val="single"/>
        </w:rPr>
        <w:t xml:space="preserve"> 执行补充条款   </w:t>
      </w:r>
      <w:r>
        <w:rPr>
          <w:rFonts w:hint="eastAsia" w:ascii="宋体" w:cs="宋体"/>
          <w:color w:val="auto"/>
          <w:kern w:val="0"/>
          <w:szCs w:val="21"/>
          <w:highlight w:val="none"/>
        </w:rPr>
        <w:t>。</w:t>
      </w:r>
      <w:r>
        <w:rPr>
          <w:rFonts w:hint="eastAsia" w:ascii="宋体" w:cs="宋体"/>
          <w:color w:val="auto"/>
          <w:szCs w:val="21"/>
          <w:highlight w:val="none"/>
        </w:rPr>
        <w:t xml:space="preserve">    </w:t>
      </w:r>
    </w:p>
    <w:p w14:paraId="0AD59456">
      <w:pPr>
        <w:snapToGrid w:val="0"/>
        <w:spacing w:line="440" w:lineRule="exact"/>
        <w:ind w:firstLine="420" w:firstLineChars="200"/>
        <w:jc w:val="left"/>
        <w:rPr>
          <w:rFonts w:hint="eastAsia" w:ascii="宋体" w:cs="宋体"/>
          <w:color w:val="auto"/>
          <w:szCs w:val="21"/>
          <w:highlight w:val="none"/>
        </w:rPr>
      </w:pPr>
      <w:r>
        <w:rPr>
          <w:rFonts w:hint="eastAsia" w:ascii="宋体" w:cs="宋体"/>
          <w:color w:val="auto"/>
          <w:szCs w:val="21"/>
          <w:highlight w:val="none"/>
        </w:rPr>
        <w:t>16.2.3 因承包人违约解除合同</w:t>
      </w:r>
    </w:p>
    <w:p w14:paraId="75F03C63">
      <w:pPr>
        <w:snapToGrid w:val="0"/>
        <w:spacing w:line="440" w:lineRule="exact"/>
        <w:ind w:firstLine="420" w:firstLineChars="200"/>
        <w:rPr>
          <w:rFonts w:hint="eastAsia" w:ascii="宋体" w:cs="宋体"/>
          <w:color w:val="auto"/>
          <w:kern w:val="0"/>
          <w:szCs w:val="21"/>
          <w:highlight w:val="none"/>
        </w:rPr>
      </w:pPr>
      <w:r>
        <w:rPr>
          <w:rFonts w:hint="eastAsia" w:ascii="宋体" w:cs="宋体"/>
          <w:color w:val="auto"/>
          <w:kern w:val="0"/>
          <w:szCs w:val="21"/>
          <w:highlight w:val="none"/>
        </w:rPr>
        <w:t>关于承包人违约解除合同的特别约定：</w:t>
      </w:r>
      <w:r>
        <w:rPr>
          <w:rFonts w:hint="eastAsia" w:ascii="宋体" w:cs="宋体"/>
          <w:color w:val="auto"/>
          <w:kern w:val="0"/>
          <w:szCs w:val="21"/>
          <w:highlight w:val="none"/>
          <w:u w:val="single"/>
        </w:rPr>
        <w:t>执行</w:t>
      </w:r>
      <w:r>
        <w:rPr>
          <w:rFonts w:hint="eastAsia" w:ascii="宋体" w:cs="宋体"/>
          <w:color w:val="auto"/>
          <w:szCs w:val="21"/>
          <w:highlight w:val="none"/>
          <w:u w:val="single"/>
        </w:rPr>
        <w:t>补充条款。</w:t>
      </w:r>
    </w:p>
    <w:p w14:paraId="0F0F2C80">
      <w:pPr>
        <w:snapToGrid w:val="0"/>
        <w:spacing w:line="420" w:lineRule="exact"/>
        <w:ind w:firstLine="420" w:firstLineChars="200"/>
        <w:rPr>
          <w:rFonts w:hint="eastAsia" w:ascii="宋体" w:cs="宋体"/>
          <w:color w:val="auto"/>
          <w:kern w:val="0"/>
          <w:szCs w:val="21"/>
          <w:highlight w:val="none"/>
        </w:rPr>
      </w:pPr>
      <w:r>
        <w:rPr>
          <w:rFonts w:hint="eastAsia" w:ascii="宋体" w:cs="宋体"/>
          <w:color w:val="auto"/>
          <w:kern w:val="0"/>
          <w:szCs w:val="21"/>
          <w:highlight w:val="none"/>
        </w:rPr>
        <w:t>发包人继续使用承包人在施工现场的材料、设备、临时工程、承包人文件和由承包人或以其名义编制的其他文件的费用承担方式：</w:t>
      </w:r>
      <w:r>
        <w:rPr>
          <w:rFonts w:hint="eastAsia" w:ascii="宋体" w:cs="宋体"/>
          <w:color w:val="auto"/>
          <w:kern w:val="0"/>
          <w:szCs w:val="21"/>
          <w:highlight w:val="none"/>
          <w:u w:val="single"/>
        </w:rPr>
        <w:t xml:space="preserve">   发包人不承担费用   </w:t>
      </w:r>
      <w:r>
        <w:rPr>
          <w:rFonts w:hint="eastAsia" w:ascii="宋体" w:cs="宋体"/>
          <w:color w:val="auto"/>
          <w:kern w:val="0"/>
          <w:szCs w:val="21"/>
          <w:highlight w:val="none"/>
        </w:rPr>
        <w:t>。</w:t>
      </w:r>
    </w:p>
    <w:p w14:paraId="57D87209">
      <w:pPr>
        <w:pStyle w:val="5"/>
        <w:snapToGrid w:val="0"/>
        <w:spacing w:before="0" w:after="0" w:line="420" w:lineRule="exact"/>
        <w:ind w:firstLine="420" w:firstLineChars="200"/>
        <w:rPr>
          <w:rFonts w:hint="eastAsia" w:ascii="宋体" w:eastAsia="宋体" w:cs="宋体"/>
          <w:b w:val="0"/>
          <w:color w:val="auto"/>
          <w:sz w:val="21"/>
          <w:szCs w:val="21"/>
          <w:highlight w:val="none"/>
        </w:rPr>
      </w:pPr>
      <w:r>
        <w:rPr>
          <w:rFonts w:hint="eastAsia" w:ascii="宋体" w:eastAsia="宋体" w:cs="宋体"/>
          <w:b w:val="0"/>
          <w:color w:val="auto"/>
          <w:sz w:val="21"/>
          <w:szCs w:val="21"/>
          <w:highlight w:val="none"/>
        </w:rPr>
        <w:t xml:space="preserve">17. 不可抗力 </w:t>
      </w:r>
    </w:p>
    <w:p w14:paraId="0D008BF2">
      <w:pPr>
        <w:snapToGrid w:val="0"/>
        <w:spacing w:line="420" w:lineRule="exact"/>
        <w:ind w:firstLine="420" w:firstLineChars="200"/>
        <w:rPr>
          <w:rFonts w:hint="eastAsia" w:ascii="宋体" w:cs="宋体"/>
          <w:color w:val="auto"/>
          <w:szCs w:val="21"/>
          <w:highlight w:val="none"/>
        </w:rPr>
      </w:pPr>
      <w:r>
        <w:rPr>
          <w:rFonts w:hint="eastAsia" w:ascii="宋体" w:cs="宋体"/>
          <w:color w:val="auto"/>
          <w:szCs w:val="21"/>
          <w:highlight w:val="none"/>
        </w:rPr>
        <w:t>17.1 不可抗力的确认</w:t>
      </w:r>
    </w:p>
    <w:p w14:paraId="64D5803F">
      <w:pPr>
        <w:snapToGrid w:val="0"/>
        <w:spacing w:line="420" w:lineRule="exact"/>
        <w:ind w:firstLine="420" w:firstLineChars="200"/>
        <w:jc w:val="left"/>
        <w:rPr>
          <w:rFonts w:hint="eastAsia" w:ascii="宋体" w:cs="宋体"/>
          <w:color w:val="auto"/>
          <w:kern w:val="0"/>
          <w:szCs w:val="21"/>
          <w:highlight w:val="none"/>
          <w:u w:val="single"/>
        </w:rPr>
      </w:pPr>
      <w:r>
        <w:rPr>
          <w:rFonts w:hint="eastAsia" w:ascii="宋体" w:cs="宋体"/>
          <w:color w:val="auto"/>
          <w:szCs w:val="21"/>
          <w:highlight w:val="none"/>
        </w:rPr>
        <w:t>除通用合同条款约定的不可抗力事件之外，视为不可抗力的其他情形：</w:t>
      </w:r>
      <w:r>
        <w:rPr>
          <w:rFonts w:hint="eastAsia" w:ascii="宋体" w:cs="宋体"/>
          <w:color w:val="auto"/>
          <w:kern w:val="0"/>
          <w:szCs w:val="21"/>
          <w:highlight w:val="none"/>
          <w:u w:val="single"/>
        </w:rPr>
        <w:t xml:space="preserve">  </w:t>
      </w:r>
      <w:r>
        <w:rPr>
          <w:rFonts w:hint="eastAsia" w:ascii="宋体" w:hAnsi="宋体" w:cs="宋体"/>
          <w:color w:val="auto"/>
          <w:szCs w:val="21"/>
          <w:highlight w:val="none"/>
          <w:u w:val="single"/>
        </w:rPr>
        <w:t>执行通用条款</w:t>
      </w:r>
      <w:r>
        <w:rPr>
          <w:rFonts w:hint="eastAsia" w:ascii="宋体" w:cs="宋体"/>
          <w:color w:val="auto"/>
          <w:kern w:val="0"/>
          <w:szCs w:val="21"/>
          <w:highlight w:val="none"/>
          <w:u w:val="single"/>
        </w:rPr>
        <w:t xml:space="preserve"> </w:t>
      </w:r>
      <w:r>
        <w:rPr>
          <w:rFonts w:hint="eastAsia" w:ascii="宋体" w:cs="宋体"/>
          <w:color w:val="auto"/>
          <w:kern w:val="0"/>
          <w:szCs w:val="21"/>
          <w:highlight w:val="none"/>
        </w:rPr>
        <w:t>。</w:t>
      </w:r>
    </w:p>
    <w:p w14:paraId="7ABBF228">
      <w:pPr>
        <w:snapToGrid w:val="0"/>
        <w:spacing w:line="420" w:lineRule="exact"/>
        <w:ind w:firstLine="420" w:firstLineChars="200"/>
        <w:rPr>
          <w:rFonts w:hint="eastAsia" w:ascii="宋体" w:cs="宋体"/>
          <w:color w:val="auto"/>
          <w:szCs w:val="21"/>
          <w:highlight w:val="none"/>
        </w:rPr>
      </w:pPr>
      <w:r>
        <w:rPr>
          <w:rFonts w:hint="eastAsia" w:ascii="宋体" w:cs="宋体"/>
          <w:color w:val="auto"/>
          <w:szCs w:val="21"/>
          <w:highlight w:val="none"/>
        </w:rPr>
        <w:t>17.4 因不可抗力解除合同</w:t>
      </w:r>
    </w:p>
    <w:p w14:paraId="6BEBA983">
      <w:pPr>
        <w:snapToGrid w:val="0"/>
        <w:spacing w:line="420" w:lineRule="exact"/>
        <w:ind w:firstLine="420" w:firstLineChars="200"/>
        <w:jc w:val="left"/>
        <w:rPr>
          <w:rFonts w:hint="eastAsia" w:ascii="宋体" w:hAnsi="Times New Roman" w:eastAsia="宋体" w:cs="宋体"/>
          <w:color w:val="auto"/>
          <w:szCs w:val="21"/>
          <w:highlight w:val="none"/>
          <w:lang w:eastAsia="zh-CN"/>
        </w:rPr>
      </w:pPr>
      <w:r>
        <w:rPr>
          <w:rFonts w:hint="eastAsia" w:ascii="宋体" w:hAnsi="Times New Roman" w:eastAsia="宋体" w:cs="宋体"/>
          <w:color w:val="auto"/>
          <w:szCs w:val="21"/>
          <w:highlight w:val="none"/>
          <w:lang w:eastAsia="zh-CN"/>
        </w:rPr>
        <w:t>合同解除后，发包人应在发票送达一周内完成款项的支付。</w:t>
      </w:r>
    </w:p>
    <w:p w14:paraId="1B91FF85">
      <w:pPr>
        <w:pStyle w:val="5"/>
        <w:snapToGrid w:val="0"/>
        <w:spacing w:before="0" w:after="0" w:line="420" w:lineRule="exact"/>
        <w:ind w:firstLine="420" w:firstLineChars="200"/>
        <w:rPr>
          <w:rFonts w:hint="eastAsia" w:ascii="宋体" w:eastAsia="宋体" w:cs="宋体"/>
          <w:b w:val="0"/>
          <w:color w:val="auto"/>
          <w:sz w:val="21"/>
          <w:szCs w:val="21"/>
          <w:highlight w:val="none"/>
        </w:rPr>
      </w:pPr>
      <w:r>
        <w:rPr>
          <w:rFonts w:hint="eastAsia" w:ascii="宋体" w:eastAsia="宋体" w:cs="宋体"/>
          <w:b w:val="0"/>
          <w:color w:val="auto"/>
          <w:sz w:val="21"/>
          <w:szCs w:val="21"/>
          <w:highlight w:val="none"/>
        </w:rPr>
        <w:t>18. 保险</w:t>
      </w:r>
    </w:p>
    <w:p w14:paraId="4A9CD8E6">
      <w:pPr>
        <w:snapToGrid w:val="0"/>
        <w:spacing w:line="420" w:lineRule="exact"/>
        <w:ind w:firstLine="420" w:firstLineChars="200"/>
        <w:rPr>
          <w:rFonts w:hint="eastAsia" w:ascii="宋体" w:cs="宋体"/>
          <w:color w:val="auto"/>
          <w:szCs w:val="21"/>
          <w:highlight w:val="none"/>
        </w:rPr>
      </w:pPr>
      <w:r>
        <w:rPr>
          <w:rFonts w:hint="eastAsia" w:ascii="宋体" w:cs="宋体"/>
          <w:color w:val="auto"/>
          <w:szCs w:val="21"/>
          <w:highlight w:val="none"/>
        </w:rPr>
        <w:t>18.1 工程保险</w:t>
      </w:r>
    </w:p>
    <w:p w14:paraId="41CACA33">
      <w:pPr>
        <w:snapToGrid w:val="0"/>
        <w:spacing w:line="420" w:lineRule="exact"/>
        <w:ind w:firstLine="420" w:firstLineChars="200"/>
        <w:rPr>
          <w:rFonts w:hint="eastAsia"/>
          <w:color w:val="auto"/>
          <w:highlight w:val="none"/>
        </w:rPr>
      </w:pPr>
      <w:r>
        <w:rPr>
          <w:rFonts w:hint="eastAsia"/>
          <w:color w:val="auto"/>
          <w:highlight w:val="none"/>
        </w:rPr>
        <w:t>关于工程保险的特别约定：</w:t>
      </w:r>
      <w:r>
        <w:rPr>
          <w:rFonts w:hint="eastAsia" w:ascii="宋体" w:hAnsi="宋体" w:eastAsia="宋体" w:cs="宋体"/>
          <w:color w:val="auto"/>
          <w:szCs w:val="21"/>
          <w:highlight w:val="none"/>
          <w:u w:val="single"/>
          <w:lang w:val="en-US" w:eastAsia="zh-CN"/>
        </w:rPr>
        <w:t>承包人根据通用条款规定自行购买并承担费用</w:t>
      </w:r>
      <w:r>
        <w:rPr>
          <w:rFonts w:hint="eastAsia"/>
          <w:color w:val="auto"/>
          <w:highlight w:val="none"/>
          <w:u w:val="single"/>
        </w:rPr>
        <w:t xml:space="preserve"> </w:t>
      </w:r>
      <w:r>
        <w:rPr>
          <w:rFonts w:hint="eastAsia"/>
          <w:color w:val="auto"/>
          <w:highlight w:val="none"/>
        </w:rPr>
        <w:t>。</w:t>
      </w:r>
    </w:p>
    <w:p w14:paraId="4DC9B5E5">
      <w:pPr>
        <w:snapToGrid w:val="0"/>
        <w:spacing w:line="420" w:lineRule="exact"/>
        <w:ind w:firstLine="420" w:firstLineChars="200"/>
        <w:rPr>
          <w:rFonts w:hint="eastAsia" w:ascii="宋体" w:cs="宋体"/>
          <w:color w:val="auto"/>
          <w:szCs w:val="21"/>
          <w:highlight w:val="none"/>
        </w:rPr>
      </w:pPr>
      <w:r>
        <w:rPr>
          <w:rFonts w:hint="eastAsia" w:ascii="宋体" w:cs="宋体"/>
          <w:color w:val="auto"/>
          <w:szCs w:val="21"/>
          <w:highlight w:val="none"/>
        </w:rPr>
        <w:t>18.3 其他保险</w:t>
      </w:r>
    </w:p>
    <w:p w14:paraId="3C2CC8F0">
      <w:pPr>
        <w:snapToGrid w:val="0"/>
        <w:spacing w:line="420" w:lineRule="exact"/>
        <w:ind w:firstLine="420" w:firstLineChars="200"/>
        <w:jc w:val="left"/>
        <w:rPr>
          <w:rFonts w:hint="eastAsia" w:ascii="宋体" w:cs="宋体"/>
          <w:color w:val="auto"/>
          <w:kern w:val="0"/>
          <w:szCs w:val="21"/>
          <w:highlight w:val="none"/>
        </w:rPr>
      </w:pPr>
      <w:r>
        <w:rPr>
          <w:rFonts w:hint="eastAsia" w:ascii="宋体" w:cs="宋体"/>
          <w:color w:val="auto"/>
          <w:szCs w:val="21"/>
          <w:highlight w:val="none"/>
        </w:rPr>
        <w:t>关于其他保险的约定：</w:t>
      </w:r>
      <w:r>
        <w:rPr>
          <w:rFonts w:hint="eastAsia" w:ascii="宋体" w:cs="宋体"/>
          <w:color w:val="auto"/>
          <w:kern w:val="0"/>
          <w:szCs w:val="21"/>
          <w:highlight w:val="none"/>
          <w:u w:val="single"/>
        </w:rPr>
        <w:t xml:space="preserve"> </w:t>
      </w:r>
      <w:r>
        <w:rPr>
          <w:rFonts w:hint="eastAsia" w:ascii="宋体" w:hAnsi="宋体" w:cs="宋体"/>
          <w:color w:val="auto"/>
          <w:szCs w:val="21"/>
          <w:highlight w:val="none"/>
          <w:u w:val="single"/>
        </w:rPr>
        <w:t>承包人须为其施工现场的全部人员办理意外伤害保险并支付保险费，包括其员工及为履行合同聘请的第三方的人员</w:t>
      </w:r>
    </w:p>
    <w:p w14:paraId="0C9C511F">
      <w:pPr>
        <w:snapToGrid w:val="0"/>
        <w:spacing w:line="420" w:lineRule="exact"/>
        <w:ind w:firstLine="420" w:firstLineChars="200"/>
        <w:jc w:val="left"/>
        <w:rPr>
          <w:rFonts w:hint="eastAsia" w:ascii="宋体" w:cs="宋体"/>
          <w:color w:val="auto"/>
          <w:szCs w:val="21"/>
          <w:highlight w:val="none"/>
          <w:u w:val="single"/>
        </w:rPr>
      </w:pPr>
      <w:r>
        <w:rPr>
          <w:rFonts w:hint="eastAsia" w:ascii="宋体" w:cs="宋体"/>
          <w:color w:val="auto"/>
          <w:szCs w:val="21"/>
          <w:highlight w:val="none"/>
        </w:rPr>
        <w:t>承包人是否应为其施工设备等办理财产保险：</w:t>
      </w:r>
      <w:r>
        <w:rPr>
          <w:rFonts w:hint="eastAsia" w:ascii="宋体" w:hAnsi="宋体" w:cs="宋体"/>
          <w:color w:val="auto"/>
          <w:szCs w:val="21"/>
          <w:highlight w:val="none"/>
          <w:u w:val="single"/>
        </w:rPr>
        <w:t>执行通用条款</w:t>
      </w:r>
      <w:r>
        <w:rPr>
          <w:rFonts w:hint="eastAsia" w:ascii="宋体" w:cs="宋体"/>
          <w:color w:val="auto"/>
          <w:szCs w:val="21"/>
          <w:highlight w:val="none"/>
          <w:u w:val="single"/>
        </w:rPr>
        <w:t>。</w:t>
      </w:r>
    </w:p>
    <w:p w14:paraId="5C3AB220">
      <w:pPr>
        <w:snapToGrid w:val="0"/>
        <w:spacing w:line="420" w:lineRule="exact"/>
        <w:ind w:firstLine="420" w:firstLineChars="200"/>
        <w:rPr>
          <w:rFonts w:hint="eastAsia" w:ascii="宋体" w:cs="宋体"/>
          <w:color w:val="auto"/>
          <w:szCs w:val="21"/>
          <w:highlight w:val="none"/>
        </w:rPr>
      </w:pPr>
      <w:r>
        <w:rPr>
          <w:rFonts w:hint="eastAsia" w:ascii="宋体" w:cs="宋体"/>
          <w:color w:val="auto"/>
          <w:szCs w:val="21"/>
          <w:highlight w:val="none"/>
        </w:rPr>
        <w:t>18.7 通知义务</w:t>
      </w:r>
    </w:p>
    <w:p w14:paraId="2F3CC148">
      <w:pPr>
        <w:snapToGrid w:val="0"/>
        <w:spacing w:line="420" w:lineRule="exact"/>
        <w:ind w:firstLine="420" w:firstLineChars="200"/>
        <w:jc w:val="left"/>
        <w:rPr>
          <w:rFonts w:hint="eastAsia" w:ascii="宋体" w:cs="宋体"/>
          <w:color w:val="auto"/>
          <w:kern w:val="0"/>
          <w:szCs w:val="21"/>
          <w:highlight w:val="none"/>
          <w:u w:val="single"/>
        </w:rPr>
      </w:pPr>
      <w:r>
        <w:rPr>
          <w:rFonts w:hint="eastAsia" w:ascii="宋体" w:cs="宋体"/>
          <w:color w:val="auto"/>
          <w:kern w:val="0"/>
          <w:szCs w:val="21"/>
          <w:highlight w:val="none"/>
        </w:rPr>
        <w:t>关于变更保险合同时的通知义务的约定：</w:t>
      </w:r>
      <w:r>
        <w:rPr>
          <w:rFonts w:hint="eastAsia" w:ascii="宋体" w:hAnsi="宋体" w:cs="宋体"/>
          <w:color w:val="auto"/>
          <w:szCs w:val="21"/>
          <w:highlight w:val="none"/>
          <w:u w:val="single"/>
        </w:rPr>
        <w:t>执行通用条款</w:t>
      </w:r>
      <w:r>
        <w:rPr>
          <w:rFonts w:hint="eastAsia" w:ascii="宋体" w:cs="宋体"/>
          <w:color w:val="auto"/>
          <w:kern w:val="0"/>
          <w:szCs w:val="21"/>
          <w:highlight w:val="none"/>
          <w:u w:val="single"/>
        </w:rPr>
        <w:t>。</w:t>
      </w:r>
    </w:p>
    <w:p w14:paraId="22CAF1C3">
      <w:pPr>
        <w:snapToGrid w:val="0"/>
        <w:spacing w:line="420" w:lineRule="exact"/>
        <w:ind w:firstLine="420" w:firstLineChars="200"/>
        <w:jc w:val="left"/>
        <w:rPr>
          <w:rFonts w:hint="eastAsia" w:ascii="宋体" w:cs="宋体"/>
          <w:color w:val="auto"/>
          <w:kern w:val="0"/>
          <w:szCs w:val="21"/>
          <w:highlight w:val="none"/>
          <w:u w:val="single"/>
        </w:rPr>
      </w:pPr>
      <w:r>
        <w:rPr>
          <w:rFonts w:hint="eastAsia" w:ascii="宋体" w:cs="宋体"/>
          <w:color w:val="auto"/>
          <w:kern w:val="0"/>
          <w:szCs w:val="21"/>
          <w:highlight w:val="none"/>
          <w:u w:val="single"/>
        </w:rPr>
        <w:t>保险事故发生时，投保人应按照保险合同规定的条件和期限及时向保险人报告。发包人和承包人应当在知道保险事故发生后及时通知对方。</w:t>
      </w:r>
    </w:p>
    <w:p w14:paraId="5500005C">
      <w:pPr>
        <w:pStyle w:val="5"/>
        <w:snapToGrid w:val="0"/>
        <w:spacing w:before="0" w:after="0" w:line="420" w:lineRule="exact"/>
        <w:ind w:firstLine="420" w:firstLineChars="200"/>
        <w:rPr>
          <w:rFonts w:hint="eastAsia" w:ascii="宋体" w:eastAsia="宋体" w:cs="宋体"/>
          <w:b w:val="0"/>
          <w:color w:val="auto"/>
          <w:sz w:val="21"/>
          <w:szCs w:val="21"/>
          <w:highlight w:val="none"/>
        </w:rPr>
      </w:pPr>
      <w:r>
        <w:rPr>
          <w:rFonts w:hint="eastAsia" w:ascii="宋体" w:eastAsia="宋体" w:cs="宋体"/>
          <w:b w:val="0"/>
          <w:color w:val="auto"/>
          <w:sz w:val="21"/>
          <w:szCs w:val="21"/>
          <w:highlight w:val="none"/>
        </w:rPr>
        <w:t>20. 争议解决</w:t>
      </w:r>
    </w:p>
    <w:p w14:paraId="5E40BD8B">
      <w:pPr>
        <w:snapToGrid w:val="0"/>
        <w:spacing w:line="420" w:lineRule="exact"/>
        <w:ind w:firstLine="420" w:firstLineChars="200"/>
        <w:rPr>
          <w:rFonts w:hint="eastAsia" w:ascii="宋体" w:cs="宋体"/>
          <w:color w:val="auto"/>
          <w:szCs w:val="21"/>
          <w:highlight w:val="none"/>
        </w:rPr>
      </w:pPr>
      <w:r>
        <w:rPr>
          <w:rFonts w:hint="eastAsia" w:ascii="宋体" w:cs="宋体"/>
          <w:color w:val="auto"/>
          <w:szCs w:val="21"/>
          <w:highlight w:val="none"/>
        </w:rPr>
        <w:t>20.3 争议评审</w:t>
      </w:r>
    </w:p>
    <w:p w14:paraId="122C7CB9">
      <w:pPr>
        <w:snapToGrid w:val="0"/>
        <w:spacing w:line="420" w:lineRule="exact"/>
        <w:ind w:firstLine="420" w:firstLineChars="200"/>
        <w:jc w:val="left"/>
        <w:rPr>
          <w:rFonts w:hint="eastAsia" w:ascii="宋体" w:cs="宋体"/>
          <w:color w:val="auto"/>
          <w:szCs w:val="21"/>
          <w:highlight w:val="none"/>
          <w:u w:val="single"/>
        </w:rPr>
      </w:pPr>
      <w:r>
        <w:rPr>
          <w:rFonts w:hint="eastAsia" w:ascii="宋体" w:cs="宋体"/>
          <w:color w:val="auto"/>
          <w:szCs w:val="21"/>
          <w:highlight w:val="none"/>
        </w:rPr>
        <w:t>合同当事人是否同意将工程争议提交争议评审小组决定：</w:t>
      </w:r>
      <w:r>
        <w:rPr>
          <w:rFonts w:hint="eastAsia" w:ascii="宋体" w:cs="宋体"/>
          <w:color w:val="auto"/>
          <w:szCs w:val="21"/>
          <w:highlight w:val="none"/>
          <w:u w:val="single"/>
        </w:rPr>
        <w:t xml:space="preserve">  不同意   </w:t>
      </w:r>
      <w:r>
        <w:rPr>
          <w:rFonts w:hint="eastAsia" w:ascii="宋体" w:cs="宋体"/>
          <w:color w:val="auto"/>
          <w:szCs w:val="21"/>
          <w:highlight w:val="none"/>
        </w:rPr>
        <w:t xml:space="preserve">。  </w:t>
      </w:r>
    </w:p>
    <w:p w14:paraId="1FDAB0C3">
      <w:pPr>
        <w:snapToGrid w:val="0"/>
        <w:spacing w:line="420" w:lineRule="exact"/>
        <w:ind w:firstLine="420" w:firstLineChars="200"/>
        <w:jc w:val="left"/>
        <w:rPr>
          <w:rFonts w:hint="eastAsia" w:ascii="宋体" w:cs="宋体"/>
          <w:color w:val="auto"/>
          <w:szCs w:val="21"/>
          <w:highlight w:val="none"/>
        </w:rPr>
      </w:pPr>
      <w:r>
        <w:rPr>
          <w:rFonts w:hint="eastAsia" w:ascii="宋体" w:cs="宋体"/>
          <w:color w:val="auto"/>
          <w:szCs w:val="21"/>
          <w:highlight w:val="none"/>
        </w:rPr>
        <w:t>20.3.1 争议评审小组的确定</w:t>
      </w:r>
    </w:p>
    <w:p w14:paraId="5E4513A0">
      <w:pPr>
        <w:snapToGrid w:val="0"/>
        <w:spacing w:line="420" w:lineRule="exact"/>
        <w:ind w:firstLine="420" w:firstLineChars="200"/>
        <w:jc w:val="left"/>
        <w:rPr>
          <w:rFonts w:hint="eastAsia" w:ascii="宋体" w:cs="宋体"/>
          <w:color w:val="auto"/>
          <w:szCs w:val="21"/>
          <w:highlight w:val="none"/>
          <w:u w:val="single"/>
        </w:rPr>
      </w:pPr>
      <w:r>
        <w:rPr>
          <w:rFonts w:hint="eastAsia" w:ascii="宋体" w:cs="宋体"/>
          <w:color w:val="auto"/>
          <w:szCs w:val="21"/>
          <w:highlight w:val="none"/>
        </w:rPr>
        <w:t>争议评审小组成员的确定：</w:t>
      </w:r>
      <w:r>
        <w:rPr>
          <w:rFonts w:hint="eastAsia" w:ascii="宋体" w:cs="宋体"/>
          <w:color w:val="auto"/>
          <w:szCs w:val="21"/>
          <w:highlight w:val="none"/>
          <w:u w:val="single"/>
        </w:rPr>
        <w:t xml:space="preserve">  无   </w:t>
      </w:r>
      <w:r>
        <w:rPr>
          <w:rFonts w:hint="eastAsia" w:ascii="宋体" w:cs="宋体"/>
          <w:color w:val="auto"/>
          <w:szCs w:val="21"/>
          <w:highlight w:val="none"/>
        </w:rPr>
        <w:t>。</w:t>
      </w:r>
    </w:p>
    <w:p w14:paraId="56137968">
      <w:pPr>
        <w:snapToGrid w:val="0"/>
        <w:spacing w:line="420" w:lineRule="exact"/>
        <w:ind w:firstLine="420" w:firstLineChars="200"/>
        <w:jc w:val="left"/>
        <w:rPr>
          <w:rFonts w:hint="eastAsia" w:ascii="宋体" w:cs="宋体"/>
          <w:color w:val="auto"/>
          <w:szCs w:val="21"/>
          <w:highlight w:val="none"/>
        </w:rPr>
      </w:pPr>
      <w:r>
        <w:rPr>
          <w:rFonts w:hint="eastAsia" w:ascii="宋体" w:cs="宋体"/>
          <w:color w:val="auto"/>
          <w:szCs w:val="21"/>
          <w:highlight w:val="none"/>
        </w:rPr>
        <w:t>选定争议评审员的期限：</w:t>
      </w:r>
      <w:r>
        <w:rPr>
          <w:rFonts w:hint="eastAsia" w:ascii="宋体" w:cs="宋体"/>
          <w:color w:val="auto"/>
          <w:szCs w:val="21"/>
          <w:highlight w:val="none"/>
          <w:u w:val="single"/>
        </w:rPr>
        <w:t xml:space="preserve">  无   </w:t>
      </w:r>
      <w:r>
        <w:rPr>
          <w:rFonts w:hint="eastAsia" w:ascii="宋体" w:cs="宋体"/>
          <w:color w:val="auto"/>
          <w:szCs w:val="21"/>
          <w:highlight w:val="none"/>
        </w:rPr>
        <w:t>。</w:t>
      </w:r>
    </w:p>
    <w:p w14:paraId="4ECD594C">
      <w:pPr>
        <w:snapToGrid w:val="0"/>
        <w:spacing w:line="420" w:lineRule="exact"/>
        <w:ind w:firstLine="420" w:firstLineChars="200"/>
        <w:jc w:val="left"/>
        <w:rPr>
          <w:rFonts w:hint="eastAsia" w:ascii="宋体" w:cs="宋体"/>
          <w:color w:val="auto"/>
          <w:szCs w:val="21"/>
          <w:highlight w:val="none"/>
        </w:rPr>
      </w:pPr>
      <w:r>
        <w:rPr>
          <w:rFonts w:hint="eastAsia" w:ascii="宋体" w:cs="宋体"/>
          <w:color w:val="auto"/>
          <w:szCs w:val="21"/>
          <w:highlight w:val="none"/>
        </w:rPr>
        <w:t>争议评审小组成员的报酬承担方式：</w:t>
      </w:r>
      <w:r>
        <w:rPr>
          <w:rFonts w:hint="eastAsia" w:ascii="宋体" w:cs="宋体"/>
          <w:color w:val="auto"/>
          <w:szCs w:val="21"/>
          <w:highlight w:val="none"/>
          <w:u w:val="single"/>
        </w:rPr>
        <w:t xml:space="preserve">  无   </w:t>
      </w:r>
      <w:r>
        <w:rPr>
          <w:rFonts w:hint="eastAsia" w:ascii="宋体" w:cs="宋体"/>
          <w:color w:val="auto"/>
          <w:szCs w:val="21"/>
          <w:highlight w:val="none"/>
        </w:rPr>
        <w:t>。</w:t>
      </w:r>
    </w:p>
    <w:p w14:paraId="65008D3D">
      <w:pPr>
        <w:snapToGrid w:val="0"/>
        <w:spacing w:line="420" w:lineRule="exact"/>
        <w:ind w:firstLine="420" w:firstLineChars="200"/>
        <w:jc w:val="left"/>
        <w:rPr>
          <w:rFonts w:hint="eastAsia" w:ascii="宋体" w:cs="宋体"/>
          <w:color w:val="auto"/>
          <w:szCs w:val="21"/>
          <w:highlight w:val="none"/>
        </w:rPr>
      </w:pPr>
      <w:r>
        <w:rPr>
          <w:rFonts w:hint="eastAsia" w:ascii="宋体" w:cs="宋体"/>
          <w:color w:val="auto"/>
          <w:szCs w:val="21"/>
          <w:highlight w:val="none"/>
        </w:rPr>
        <w:t>其他事项的约定：</w:t>
      </w:r>
      <w:r>
        <w:rPr>
          <w:rFonts w:hint="eastAsia" w:ascii="宋体" w:cs="宋体"/>
          <w:color w:val="auto"/>
          <w:szCs w:val="21"/>
          <w:highlight w:val="none"/>
          <w:u w:val="single"/>
        </w:rPr>
        <w:t xml:space="preserve">  无   </w:t>
      </w:r>
      <w:r>
        <w:rPr>
          <w:rFonts w:hint="eastAsia" w:ascii="宋体" w:cs="宋体"/>
          <w:color w:val="auto"/>
          <w:szCs w:val="21"/>
          <w:highlight w:val="none"/>
        </w:rPr>
        <w:t>。</w:t>
      </w:r>
    </w:p>
    <w:p w14:paraId="03B06A94">
      <w:pPr>
        <w:autoSpaceDE w:val="0"/>
        <w:autoSpaceDN w:val="0"/>
        <w:adjustRightInd w:val="0"/>
        <w:snapToGrid w:val="0"/>
        <w:spacing w:line="420" w:lineRule="exact"/>
        <w:ind w:firstLine="420" w:firstLineChars="200"/>
        <w:jc w:val="left"/>
        <w:rPr>
          <w:rFonts w:hint="eastAsia" w:ascii="宋体" w:cs="宋体"/>
          <w:color w:val="auto"/>
          <w:kern w:val="0"/>
          <w:szCs w:val="21"/>
          <w:highlight w:val="none"/>
        </w:rPr>
      </w:pPr>
      <w:r>
        <w:rPr>
          <w:rFonts w:hint="eastAsia" w:ascii="宋体" w:cs="宋体"/>
          <w:color w:val="auto"/>
          <w:kern w:val="0"/>
          <w:szCs w:val="21"/>
          <w:highlight w:val="none"/>
        </w:rPr>
        <w:t>20.3.2 争议评审小组的决定</w:t>
      </w:r>
    </w:p>
    <w:p w14:paraId="1784E084">
      <w:pPr>
        <w:snapToGrid w:val="0"/>
        <w:spacing w:line="420" w:lineRule="exact"/>
        <w:ind w:firstLine="420" w:firstLineChars="200"/>
        <w:jc w:val="left"/>
        <w:rPr>
          <w:rFonts w:hint="eastAsia" w:ascii="宋体" w:cs="宋体"/>
          <w:color w:val="auto"/>
          <w:szCs w:val="21"/>
          <w:highlight w:val="none"/>
        </w:rPr>
      </w:pPr>
      <w:r>
        <w:rPr>
          <w:rFonts w:hint="eastAsia" w:ascii="宋体" w:cs="宋体"/>
          <w:color w:val="auto"/>
          <w:szCs w:val="21"/>
          <w:highlight w:val="none"/>
        </w:rPr>
        <w:t>合同当事人关于本项的约定：</w:t>
      </w:r>
      <w:r>
        <w:rPr>
          <w:rFonts w:hint="eastAsia" w:ascii="宋体" w:cs="宋体"/>
          <w:color w:val="auto"/>
          <w:szCs w:val="21"/>
          <w:highlight w:val="none"/>
          <w:u w:val="single"/>
        </w:rPr>
        <w:t xml:space="preserve">  无   </w:t>
      </w:r>
      <w:r>
        <w:rPr>
          <w:rFonts w:hint="eastAsia" w:ascii="宋体" w:cs="宋体"/>
          <w:color w:val="auto"/>
          <w:szCs w:val="21"/>
          <w:highlight w:val="none"/>
        </w:rPr>
        <w:t>。</w:t>
      </w:r>
    </w:p>
    <w:p w14:paraId="3A893488">
      <w:pPr>
        <w:autoSpaceDE w:val="0"/>
        <w:autoSpaceDN w:val="0"/>
        <w:adjustRightInd w:val="0"/>
        <w:snapToGrid w:val="0"/>
        <w:spacing w:line="420" w:lineRule="exact"/>
        <w:ind w:firstLine="420" w:firstLineChars="200"/>
        <w:jc w:val="left"/>
        <w:rPr>
          <w:rFonts w:hint="eastAsia" w:ascii="宋体" w:cs="宋体"/>
          <w:color w:val="auto"/>
          <w:kern w:val="0"/>
          <w:szCs w:val="21"/>
          <w:highlight w:val="none"/>
        </w:rPr>
      </w:pPr>
      <w:r>
        <w:rPr>
          <w:rFonts w:hint="eastAsia" w:ascii="宋体" w:cs="宋体"/>
          <w:color w:val="auto"/>
          <w:kern w:val="0"/>
          <w:szCs w:val="21"/>
          <w:highlight w:val="none"/>
        </w:rPr>
        <w:t>20.4仲裁或诉讼</w:t>
      </w:r>
    </w:p>
    <w:p w14:paraId="1647000D">
      <w:pPr>
        <w:autoSpaceDE w:val="0"/>
        <w:autoSpaceDN w:val="0"/>
        <w:adjustRightInd w:val="0"/>
        <w:snapToGrid w:val="0"/>
        <w:spacing w:line="420" w:lineRule="exact"/>
        <w:ind w:firstLine="420" w:firstLineChars="200"/>
        <w:jc w:val="left"/>
        <w:rPr>
          <w:rFonts w:hint="eastAsia" w:ascii="宋体" w:cs="宋体"/>
          <w:color w:val="auto"/>
          <w:kern w:val="0"/>
          <w:szCs w:val="21"/>
          <w:highlight w:val="none"/>
        </w:rPr>
      </w:pPr>
      <w:r>
        <w:rPr>
          <w:rFonts w:hint="eastAsia" w:ascii="宋体" w:cs="宋体"/>
          <w:color w:val="auto"/>
          <w:kern w:val="0"/>
          <w:szCs w:val="21"/>
          <w:highlight w:val="none"/>
        </w:rPr>
        <w:t>因合同及合同有关事项发生的争议，按下列第</w:t>
      </w:r>
      <w:r>
        <w:rPr>
          <w:rFonts w:hint="eastAsia" w:ascii="宋体" w:cs="宋体"/>
          <w:color w:val="auto"/>
          <w:kern w:val="0"/>
          <w:szCs w:val="21"/>
          <w:highlight w:val="none"/>
          <w:u w:val="single"/>
        </w:rPr>
        <w:t xml:space="preserve">  （</w:t>
      </w:r>
      <w:r>
        <w:rPr>
          <w:rFonts w:hint="eastAsia" w:ascii="宋体" w:cs="宋体"/>
          <w:color w:val="auto"/>
          <w:kern w:val="0"/>
          <w:szCs w:val="21"/>
          <w:highlight w:val="none"/>
          <w:u w:val="single"/>
          <w:lang w:val="en-US" w:eastAsia="zh-CN"/>
        </w:rPr>
        <w:t>1</w:t>
      </w:r>
      <w:r>
        <w:rPr>
          <w:rFonts w:hint="eastAsia" w:ascii="宋体" w:cs="宋体"/>
          <w:color w:val="auto"/>
          <w:kern w:val="0"/>
          <w:szCs w:val="21"/>
          <w:highlight w:val="none"/>
          <w:u w:val="single"/>
        </w:rPr>
        <w:t xml:space="preserve">）   </w:t>
      </w:r>
      <w:r>
        <w:rPr>
          <w:rFonts w:hint="eastAsia" w:ascii="宋体" w:cs="宋体"/>
          <w:color w:val="auto"/>
          <w:kern w:val="0"/>
          <w:szCs w:val="21"/>
          <w:highlight w:val="none"/>
        </w:rPr>
        <w:t>种方式解决：</w:t>
      </w:r>
    </w:p>
    <w:p w14:paraId="3AE41BB3">
      <w:pPr>
        <w:numPr>
          <w:ilvl w:val="0"/>
          <w:numId w:val="3"/>
        </w:numPr>
        <w:autoSpaceDE w:val="0"/>
        <w:autoSpaceDN w:val="0"/>
        <w:adjustRightInd w:val="0"/>
        <w:snapToGrid w:val="0"/>
        <w:spacing w:line="420" w:lineRule="exact"/>
        <w:ind w:left="315" w:firstLine="420" w:firstLineChars="200"/>
        <w:jc w:val="left"/>
        <w:rPr>
          <w:rFonts w:hint="eastAsia" w:ascii="宋体" w:cs="宋体"/>
          <w:color w:val="auto"/>
          <w:kern w:val="0"/>
          <w:szCs w:val="21"/>
          <w:highlight w:val="none"/>
        </w:rPr>
      </w:pPr>
      <w:r>
        <w:rPr>
          <w:rFonts w:hint="eastAsia" w:ascii="宋体" w:cs="宋体"/>
          <w:color w:val="auto"/>
          <w:kern w:val="0"/>
          <w:szCs w:val="21"/>
          <w:highlight w:val="none"/>
        </w:rPr>
        <w:t>向</w:t>
      </w:r>
      <w:r>
        <w:rPr>
          <w:rFonts w:hint="eastAsia" w:ascii="宋体" w:cs="宋体"/>
          <w:color w:val="auto"/>
          <w:kern w:val="0"/>
          <w:szCs w:val="21"/>
          <w:highlight w:val="none"/>
          <w:u w:val="single"/>
        </w:rPr>
        <w:t xml:space="preserve">        滁州     </w:t>
      </w:r>
      <w:r>
        <w:rPr>
          <w:rFonts w:hint="eastAsia" w:ascii="宋体" w:cs="宋体"/>
          <w:color w:val="auto"/>
          <w:kern w:val="0"/>
          <w:szCs w:val="21"/>
          <w:highlight w:val="none"/>
        </w:rPr>
        <w:t>仲裁委员会申请仲裁；</w:t>
      </w:r>
    </w:p>
    <w:p w14:paraId="12A8A368">
      <w:pPr>
        <w:numPr>
          <w:ilvl w:val="0"/>
          <w:numId w:val="3"/>
        </w:numPr>
        <w:autoSpaceDE w:val="0"/>
        <w:autoSpaceDN w:val="0"/>
        <w:adjustRightInd w:val="0"/>
        <w:snapToGrid w:val="0"/>
        <w:spacing w:line="420" w:lineRule="exact"/>
        <w:ind w:left="315" w:firstLine="420" w:firstLineChars="200"/>
        <w:jc w:val="left"/>
        <w:rPr>
          <w:rFonts w:hint="eastAsia" w:ascii="宋体" w:cs="宋体"/>
          <w:color w:val="auto"/>
          <w:kern w:val="0"/>
          <w:szCs w:val="21"/>
          <w:highlight w:val="none"/>
        </w:rPr>
      </w:pPr>
      <w:r>
        <w:rPr>
          <w:rFonts w:hint="eastAsia" w:ascii="宋体" w:cs="宋体"/>
          <w:color w:val="auto"/>
          <w:kern w:val="0"/>
          <w:szCs w:val="21"/>
          <w:highlight w:val="none"/>
        </w:rPr>
        <w:t>向</w:t>
      </w:r>
      <w:r>
        <w:rPr>
          <w:rFonts w:hint="eastAsia" w:ascii="宋体" w:cs="宋体"/>
          <w:color w:val="auto"/>
          <w:kern w:val="0"/>
          <w:szCs w:val="21"/>
          <w:highlight w:val="none"/>
          <w:u w:val="single"/>
        </w:rPr>
        <w:t xml:space="preserve">     </w:t>
      </w:r>
      <w:r>
        <w:rPr>
          <w:rFonts w:hint="eastAsia" w:ascii="宋体" w:cs="宋体"/>
          <w:color w:val="auto"/>
          <w:szCs w:val="21"/>
          <w:highlight w:val="none"/>
          <w:u w:val="single"/>
          <w:lang w:val="en-US" w:eastAsia="zh-CN"/>
        </w:rPr>
        <w:t>招标人所在地</w:t>
      </w:r>
      <w:r>
        <w:rPr>
          <w:rFonts w:hint="eastAsia" w:ascii="宋体" w:cs="宋体"/>
          <w:color w:val="auto"/>
          <w:kern w:val="0"/>
          <w:szCs w:val="21"/>
          <w:highlight w:val="none"/>
          <w:u w:val="single"/>
        </w:rPr>
        <w:t xml:space="preserve">   </w:t>
      </w:r>
      <w:r>
        <w:rPr>
          <w:rFonts w:hint="eastAsia" w:ascii="宋体" w:cs="宋体"/>
          <w:color w:val="auto"/>
          <w:kern w:val="0"/>
          <w:szCs w:val="21"/>
          <w:highlight w:val="none"/>
        </w:rPr>
        <w:t>人民法院起诉。</w:t>
      </w:r>
    </w:p>
    <w:p w14:paraId="4E542DB0">
      <w:pPr>
        <w:keepNext/>
        <w:keepLines/>
        <w:adjustRightInd w:val="0"/>
        <w:snapToGrid w:val="0"/>
        <w:spacing w:line="384" w:lineRule="auto"/>
        <w:jc w:val="left"/>
        <w:outlineLvl w:val="2"/>
        <w:rPr>
          <w:rFonts w:hint="eastAsia" w:ascii="宋体" w:hAnsi="宋体" w:cs="宋体"/>
          <w:color w:val="auto"/>
          <w:highlight w:val="none"/>
        </w:rPr>
      </w:pPr>
      <w:bookmarkStart w:id="862" w:name="_Toc95223485"/>
      <w:r>
        <w:rPr>
          <w:rFonts w:hint="eastAsia" w:ascii="宋体" w:hAnsi="宋体" w:cs="宋体"/>
          <w:color w:val="auto"/>
          <w:highlight w:val="none"/>
        </w:rPr>
        <w:t>21. 补充条款</w:t>
      </w:r>
      <w:bookmarkEnd w:id="862"/>
      <w:r>
        <w:rPr>
          <w:rFonts w:hint="eastAsia" w:ascii="宋体" w:hAnsi="宋体" w:cs="宋体"/>
          <w:color w:val="auto"/>
          <w:highlight w:val="none"/>
        </w:rPr>
        <w:t xml:space="preserve"> </w:t>
      </w:r>
    </w:p>
    <w:p w14:paraId="5B8AE915">
      <w:pPr>
        <w:adjustRightInd w:val="0"/>
        <w:snapToGrid w:val="0"/>
        <w:spacing w:line="384" w:lineRule="auto"/>
        <w:ind w:firstLine="420" w:firstLineChars="200"/>
        <w:rPr>
          <w:rFonts w:hint="eastAsia" w:ascii="宋体" w:hAnsi="宋体" w:cs="宋体"/>
          <w:color w:val="auto"/>
          <w:highlight w:val="none"/>
        </w:rPr>
      </w:pPr>
      <w:r>
        <w:rPr>
          <w:rFonts w:hint="eastAsia" w:ascii="宋体" w:hAnsi="宋体" w:cs="宋体"/>
          <w:color w:val="auto"/>
          <w:highlight w:val="none"/>
        </w:rPr>
        <w:t>本补充条款是专用条款的一部分，其解释顺序优先于专用条款内的其他条款。</w:t>
      </w:r>
    </w:p>
    <w:p w14:paraId="14AE0E0C">
      <w:pPr>
        <w:keepNext/>
        <w:keepLines/>
        <w:adjustRightInd w:val="0"/>
        <w:snapToGrid w:val="0"/>
        <w:spacing w:line="384" w:lineRule="auto"/>
        <w:ind w:firstLine="420" w:firstLineChars="200"/>
        <w:outlineLvl w:val="3"/>
        <w:rPr>
          <w:rFonts w:hint="eastAsia" w:ascii="宋体" w:hAnsi="宋体" w:cs="宋体"/>
          <w:bCs/>
          <w:color w:val="auto"/>
          <w:szCs w:val="28"/>
          <w:highlight w:val="none"/>
        </w:rPr>
      </w:pPr>
      <w:r>
        <w:rPr>
          <w:rFonts w:hint="eastAsia" w:ascii="宋体" w:hAnsi="宋体" w:cs="宋体"/>
          <w:bCs/>
          <w:color w:val="auto"/>
          <w:szCs w:val="28"/>
          <w:highlight w:val="none"/>
        </w:rPr>
        <w:t>21.1 人员及职责</w:t>
      </w:r>
    </w:p>
    <w:p w14:paraId="2CFABEE9">
      <w:pPr>
        <w:adjustRightInd w:val="0"/>
        <w:snapToGrid w:val="0"/>
        <w:spacing w:line="384" w:lineRule="auto"/>
        <w:ind w:firstLine="420" w:firstLineChars="200"/>
        <w:rPr>
          <w:rFonts w:hint="eastAsia" w:ascii="宋体" w:hAnsi="宋体" w:cs="宋体"/>
          <w:color w:val="auto"/>
          <w:kern w:val="0"/>
          <w:highlight w:val="none"/>
        </w:rPr>
      </w:pPr>
      <w:r>
        <w:rPr>
          <w:rFonts w:hint="eastAsia" w:ascii="宋体" w:hAnsi="宋体" w:cs="宋体"/>
          <w:color w:val="auto"/>
          <w:kern w:val="0"/>
          <w:highlight w:val="none"/>
        </w:rPr>
        <w:t>21.1.1 发包人委派的发包人代表或监理工程师（以下简称“工程师”）无权更改合同，也无权解除发包人和承包人的义务和责任。</w:t>
      </w:r>
    </w:p>
    <w:p w14:paraId="3E44F6EB">
      <w:pPr>
        <w:adjustRightInd w:val="0"/>
        <w:snapToGrid w:val="0"/>
        <w:spacing w:line="384" w:lineRule="auto"/>
        <w:ind w:firstLine="420" w:firstLineChars="200"/>
        <w:rPr>
          <w:rFonts w:hint="eastAsia" w:ascii="宋体" w:hAnsi="宋体" w:cs="宋体"/>
          <w:color w:val="auto"/>
          <w:kern w:val="0"/>
          <w:highlight w:val="none"/>
        </w:rPr>
      </w:pPr>
      <w:r>
        <w:rPr>
          <w:rFonts w:hint="eastAsia" w:ascii="宋体" w:hAnsi="宋体" w:cs="宋体"/>
          <w:color w:val="auto"/>
          <w:kern w:val="0"/>
          <w:highlight w:val="none"/>
        </w:rPr>
        <w:t>21.1.2 发包人代表的任何批准、检查、证书、同意、通知、建议、检验、指令和要求等不解除承包人在合同中的责任。</w:t>
      </w:r>
    </w:p>
    <w:p w14:paraId="0B2D5A24">
      <w:pPr>
        <w:adjustRightInd w:val="0"/>
        <w:snapToGrid w:val="0"/>
        <w:spacing w:line="384" w:lineRule="auto"/>
        <w:ind w:firstLine="420" w:firstLineChars="200"/>
        <w:rPr>
          <w:rFonts w:hint="eastAsia" w:ascii="宋体" w:hAnsi="宋体" w:cs="宋体"/>
          <w:color w:val="auto"/>
          <w:kern w:val="0"/>
          <w:highlight w:val="none"/>
        </w:rPr>
      </w:pPr>
      <w:r>
        <w:rPr>
          <w:rFonts w:hint="eastAsia" w:ascii="宋体" w:hAnsi="宋体" w:cs="宋体"/>
          <w:color w:val="auto"/>
          <w:kern w:val="0"/>
          <w:highlight w:val="none"/>
        </w:rPr>
        <w:t>21.1.3 承包人只能从发包人代表或其授权代表处接受指令。</w:t>
      </w:r>
    </w:p>
    <w:p w14:paraId="4B813459">
      <w:pPr>
        <w:adjustRightInd w:val="0"/>
        <w:snapToGrid w:val="0"/>
        <w:spacing w:line="384" w:lineRule="auto"/>
        <w:ind w:firstLine="420" w:firstLineChars="200"/>
        <w:rPr>
          <w:rFonts w:hint="eastAsia" w:ascii="宋体" w:hAnsi="宋体" w:cs="宋体"/>
          <w:color w:val="auto"/>
          <w:kern w:val="0"/>
          <w:highlight w:val="none"/>
        </w:rPr>
      </w:pPr>
      <w:r>
        <w:rPr>
          <w:rFonts w:hint="eastAsia" w:ascii="宋体" w:hAnsi="宋体" w:cs="宋体"/>
          <w:color w:val="auto"/>
          <w:kern w:val="0"/>
          <w:highlight w:val="none"/>
        </w:rPr>
        <w:t>21.1.4 发包人如需更换发包人代表须提前7天通知承包人。</w:t>
      </w:r>
    </w:p>
    <w:p w14:paraId="1C69E9EA">
      <w:pPr>
        <w:adjustRightInd w:val="0"/>
        <w:snapToGrid w:val="0"/>
        <w:spacing w:line="384" w:lineRule="auto"/>
        <w:ind w:firstLine="420" w:firstLineChars="200"/>
        <w:rPr>
          <w:rFonts w:hint="eastAsia" w:ascii="宋体" w:hAnsi="宋体" w:cs="宋体"/>
          <w:color w:val="auto"/>
          <w:kern w:val="0"/>
          <w:highlight w:val="none"/>
        </w:rPr>
      </w:pPr>
      <w:r>
        <w:rPr>
          <w:rFonts w:hint="eastAsia" w:ascii="宋体" w:hAnsi="宋体" w:cs="宋体"/>
          <w:color w:val="auto"/>
          <w:kern w:val="0"/>
          <w:highlight w:val="none"/>
        </w:rPr>
        <w:t>21.1.5 投标人委任的项目经理、项目技术负责人、各专业负责人（其他主要管理人员和技术人员）及施工机械等在整个项目施工期内必须在位。</w:t>
      </w:r>
    </w:p>
    <w:p w14:paraId="54C76CB8">
      <w:pPr>
        <w:adjustRightInd w:val="0"/>
        <w:snapToGrid w:val="0"/>
        <w:spacing w:line="384" w:lineRule="auto"/>
        <w:ind w:firstLine="420" w:firstLineChars="200"/>
        <w:rPr>
          <w:rFonts w:hint="eastAsia" w:ascii="宋体" w:hAnsi="宋体" w:cs="宋体"/>
          <w:color w:val="auto"/>
          <w:kern w:val="0"/>
          <w:highlight w:val="none"/>
        </w:rPr>
      </w:pPr>
      <w:r>
        <w:rPr>
          <w:rFonts w:hint="eastAsia" w:ascii="宋体" w:hAnsi="宋体" w:cs="宋体"/>
          <w:color w:val="auto"/>
          <w:kern w:val="0"/>
          <w:highlight w:val="none"/>
        </w:rPr>
        <w:t>承包人的项目经理离开现场的，须经发包人代表同意，并书面指定临时代表，代为行使项目经理的权力；该临时代表的一切行为，甲方均认为是项目经理的行为。</w:t>
      </w:r>
    </w:p>
    <w:p w14:paraId="7B2B46C3">
      <w:pPr>
        <w:snapToGrid w:val="0"/>
        <w:spacing w:line="440" w:lineRule="exact"/>
        <w:ind w:firstLine="420" w:firstLineChars="200"/>
        <w:rPr>
          <w:rFonts w:hint="eastAsia" w:ascii="宋体" w:hAnsi="宋体" w:cs="宋体"/>
          <w:color w:val="auto"/>
          <w:highlight w:val="none"/>
        </w:rPr>
      </w:pPr>
      <w:r>
        <w:rPr>
          <w:rFonts w:hint="eastAsia" w:ascii="宋体" w:hAnsi="Times New Roman" w:eastAsia="宋体" w:cs="宋体"/>
          <w:color w:val="auto"/>
          <w:szCs w:val="21"/>
          <w:highlight w:val="none"/>
          <w:lang w:val="en-US" w:eastAsia="zh-CN"/>
        </w:rPr>
        <w:t>由于承包人自身原因造成机械设备未能及时到位而影响工程施工的，在发包人提出确切要求到位日期后，仍未到位的视为违约，承包人向发包人支付</w:t>
      </w:r>
      <w:r>
        <w:rPr>
          <w:rFonts w:hint="eastAsia" w:ascii="宋体" w:cs="宋体"/>
          <w:color w:val="auto"/>
          <w:szCs w:val="21"/>
          <w:highlight w:val="none"/>
          <w:lang w:val="en-US" w:eastAsia="zh-CN"/>
        </w:rPr>
        <w:t>10</w:t>
      </w:r>
      <w:r>
        <w:rPr>
          <w:rFonts w:hint="eastAsia" w:ascii="宋体" w:hAnsi="Times New Roman" w:eastAsia="宋体" w:cs="宋体"/>
          <w:color w:val="auto"/>
          <w:szCs w:val="21"/>
          <w:highlight w:val="none"/>
          <w:lang w:val="en-US" w:eastAsia="zh-CN"/>
        </w:rPr>
        <w:t>万元违约金。</w:t>
      </w:r>
    </w:p>
    <w:p w14:paraId="00BE78F0">
      <w:pPr>
        <w:adjustRightInd w:val="0"/>
        <w:snapToGrid w:val="0"/>
        <w:spacing w:line="384" w:lineRule="auto"/>
        <w:ind w:firstLine="420" w:firstLineChars="200"/>
        <w:rPr>
          <w:rFonts w:hint="eastAsia" w:ascii="宋体" w:hAnsi="宋体" w:cs="宋体"/>
          <w:color w:val="auto"/>
          <w:highlight w:val="none"/>
        </w:rPr>
      </w:pPr>
      <w:r>
        <w:rPr>
          <w:rFonts w:hint="eastAsia" w:ascii="宋体" w:hAnsi="宋体" w:cs="宋体"/>
          <w:color w:val="auto"/>
          <w:highlight w:val="none"/>
        </w:rPr>
        <w:t>21.1.6 承包人提交发包人的任何文件，发包人都认为该文件已经承包人内部程序批准；承包人提交的文件发生修改的，应及时将最新版本提交发包人代表。</w:t>
      </w:r>
    </w:p>
    <w:p w14:paraId="7E4392EE">
      <w:pPr>
        <w:adjustRightInd w:val="0"/>
        <w:snapToGrid w:val="0"/>
        <w:spacing w:line="384" w:lineRule="auto"/>
        <w:ind w:firstLine="420" w:firstLineChars="200"/>
        <w:rPr>
          <w:rFonts w:hint="eastAsia" w:ascii="宋体" w:hAnsi="宋体" w:cs="宋体"/>
          <w:color w:val="auto"/>
          <w:highlight w:val="none"/>
        </w:rPr>
      </w:pPr>
      <w:r>
        <w:rPr>
          <w:rFonts w:hint="eastAsia" w:ascii="宋体" w:hAnsi="宋体" w:cs="宋体"/>
          <w:color w:val="auto"/>
          <w:highlight w:val="none"/>
        </w:rPr>
        <w:t>21.1.7 承包人应始终采取一切合理防范措施来避免在项目人员内部发生违法、动乱或妨碍治安的行为，保持项目的安定；并保护好现场和周围的人员和财产安全。</w:t>
      </w:r>
    </w:p>
    <w:p w14:paraId="4DAC4F44">
      <w:pPr>
        <w:adjustRightInd w:val="0"/>
        <w:snapToGrid w:val="0"/>
        <w:spacing w:line="384" w:lineRule="auto"/>
        <w:ind w:firstLine="420" w:firstLineChars="200"/>
        <w:rPr>
          <w:rFonts w:hint="eastAsia" w:ascii="宋体" w:hAnsi="宋体" w:cs="宋体"/>
          <w:color w:val="auto"/>
          <w:highlight w:val="none"/>
        </w:rPr>
      </w:pPr>
      <w:r>
        <w:rPr>
          <w:rFonts w:hint="eastAsia" w:ascii="宋体" w:hAnsi="宋体" w:cs="宋体"/>
          <w:color w:val="auto"/>
          <w:highlight w:val="none"/>
        </w:rPr>
        <w:t>21.1.8 承包人雇佣职员或工人应遵守相关法律法规的规定。</w:t>
      </w:r>
    </w:p>
    <w:p w14:paraId="7FC64190">
      <w:pPr>
        <w:adjustRightInd w:val="0"/>
        <w:snapToGrid w:val="0"/>
        <w:spacing w:line="384" w:lineRule="auto"/>
        <w:ind w:firstLine="420" w:firstLineChars="200"/>
        <w:rPr>
          <w:rFonts w:hint="eastAsia" w:ascii="宋体" w:hAnsi="宋体" w:cs="宋体"/>
          <w:color w:val="auto"/>
          <w:highlight w:val="none"/>
        </w:rPr>
      </w:pPr>
      <w:r>
        <w:rPr>
          <w:rFonts w:hint="eastAsia" w:ascii="宋体" w:hAnsi="宋体" w:cs="宋体"/>
          <w:color w:val="auto"/>
          <w:highlight w:val="none"/>
        </w:rPr>
        <w:t>21.1.9 参与本项目的承包人代表或其雇员不遵守合同规定或一贯行为不轨或或不能胜任工作或危害安全，发包人代表有权要求更换；原人选未经发包人许可不得再进入本项目（包括项目经理在内）。</w:t>
      </w:r>
    </w:p>
    <w:p w14:paraId="55EA44CF">
      <w:pPr>
        <w:adjustRightInd w:val="0"/>
        <w:snapToGrid w:val="0"/>
        <w:spacing w:line="384" w:lineRule="auto"/>
        <w:ind w:firstLine="420" w:firstLineChars="200"/>
        <w:rPr>
          <w:rFonts w:hint="eastAsia" w:ascii="宋体" w:hAnsi="宋体" w:cs="宋体"/>
          <w:color w:val="auto"/>
          <w:highlight w:val="none"/>
        </w:rPr>
      </w:pPr>
      <w:r>
        <w:rPr>
          <w:rFonts w:hint="eastAsia" w:ascii="宋体" w:hAnsi="宋体" w:cs="宋体"/>
          <w:color w:val="auto"/>
          <w:highlight w:val="none"/>
        </w:rPr>
        <w:t>21.1.10 承包人更换项目经理的，须提前14天通知发包人，并征得发包人同意；该行为视为违约，承包人须支付发包人</w:t>
      </w:r>
      <w:r>
        <w:rPr>
          <w:rFonts w:hint="eastAsia" w:ascii="宋体" w:hAnsi="宋体" w:cs="宋体"/>
          <w:color w:val="auto"/>
          <w:highlight w:val="none"/>
          <w:u w:val="single"/>
        </w:rPr>
        <w:t xml:space="preserve">  </w:t>
      </w:r>
      <w:r>
        <w:rPr>
          <w:rFonts w:hint="eastAsia" w:ascii="宋体" w:hAnsi="宋体" w:cs="宋体"/>
          <w:color w:val="auto"/>
          <w:highlight w:val="none"/>
          <w:u w:val="single"/>
          <w:lang w:val="en-US" w:eastAsia="zh-CN"/>
        </w:rPr>
        <w:t>10</w:t>
      </w:r>
      <w:r>
        <w:rPr>
          <w:rFonts w:hint="eastAsia" w:ascii="宋体" w:hAnsi="宋体" w:cs="宋体"/>
          <w:color w:val="auto"/>
          <w:highlight w:val="none"/>
          <w:u w:val="single"/>
        </w:rPr>
        <w:t xml:space="preserve">  </w:t>
      </w:r>
      <w:r>
        <w:rPr>
          <w:rFonts w:hint="eastAsia" w:ascii="宋体" w:hAnsi="宋体" w:cs="宋体"/>
          <w:color w:val="auto"/>
          <w:highlight w:val="none"/>
        </w:rPr>
        <w:t>万元违约金。更换后的项目经理资历、水平不得降低。</w:t>
      </w:r>
    </w:p>
    <w:p w14:paraId="71241253">
      <w:pPr>
        <w:keepNext/>
        <w:keepLines/>
        <w:adjustRightInd w:val="0"/>
        <w:snapToGrid w:val="0"/>
        <w:spacing w:line="384" w:lineRule="auto"/>
        <w:ind w:firstLine="420" w:firstLineChars="200"/>
        <w:outlineLvl w:val="3"/>
        <w:rPr>
          <w:rFonts w:hint="eastAsia" w:ascii="宋体" w:hAnsi="宋体" w:cs="宋体"/>
          <w:bCs/>
          <w:color w:val="auto"/>
          <w:szCs w:val="28"/>
          <w:highlight w:val="none"/>
        </w:rPr>
      </w:pPr>
      <w:r>
        <w:rPr>
          <w:rFonts w:hint="eastAsia" w:ascii="宋体" w:hAnsi="宋体" w:cs="宋体"/>
          <w:bCs/>
          <w:color w:val="auto"/>
          <w:szCs w:val="28"/>
          <w:highlight w:val="none"/>
        </w:rPr>
        <w:t>21.2 变更与调整</w:t>
      </w:r>
    </w:p>
    <w:p w14:paraId="77CEA2CE">
      <w:pPr>
        <w:adjustRightInd w:val="0"/>
        <w:snapToGrid w:val="0"/>
        <w:spacing w:line="384" w:lineRule="auto"/>
        <w:ind w:firstLine="420" w:firstLineChars="200"/>
        <w:rPr>
          <w:rFonts w:hint="eastAsia" w:ascii="宋体" w:hAnsi="宋体" w:cs="宋体"/>
          <w:color w:val="auto"/>
          <w:kern w:val="0"/>
          <w:highlight w:val="none"/>
        </w:rPr>
      </w:pPr>
      <w:r>
        <w:rPr>
          <w:rFonts w:hint="eastAsia" w:ascii="宋体" w:hAnsi="宋体" w:cs="宋体"/>
          <w:color w:val="auto"/>
          <w:kern w:val="0"/>
          <w:highlight w:val="none"/>
        </w:rPr>
        <w:t>21.2.1 在工程移交前，发包人代表有权签发变更指令，承包人应按照指令来实施变更，并进行工期和费用的估算，提交发包人代表。</w:t>
      </w:r>
    </w:p>
    <w:p w14:paraId="02A9FCB7">
      <w:pPr>
        <w:adjustRightInd w:val="0"/>
        <w:snapToGrid w:val="0"/>
        <w:spacing w:line="384" w:lineRule="auto"/>
        <w:ind w:firstLine="420" w:firstLineChars="200"/>
        <w:rPr>
          <w:rFonts w:hint="eastAsia" w:ascii="宋体" w:hAnsi="宋体" w:cs="宋体"/>
          <w:color w:val="auto"/>
          <w:kern w:val="0"/>
          <w:highlight w:val="none"/>
        </w:rPr>
      </w:pPr>
      <w:r>
        <w:rPr>
          <w:rFonts w:hint="eastAsia" w:ascii="宋体" w:hAnsi="宋体" w:cs="宋体"/>
          <w:color w:val="auto"/>
          <w:kern w:val="0"/>
          <w:highlight w:val="none"/>
        </w:rPr>
        <w:t>21.2.2 发包人代表收到承包人的估算后，可以决定撤销、修改或确认实施该项变更。</w:t>
      </w:r>
    </w:p>
    <w:p w14:paraId="2BBE2093">
      <w:pPr>
        <w:adjustRightInd w:val="0"/>
        <w:snapToGrid w:val="0"/>
        <w:spacing w:line="384" w:lineRule="auto"/>
        <w:ind w:firstLine="420" w:firstLineChars="200"/>
        <w:rPr>
          <w:rFonts w:hint="eastAsia" w:ascii="宋体" w:hAnsi="宋体" w:cs="宋体"/>
          <w:color w:val="auto"/>
          <w:kern w:val="0"/>
          <w:highlight w:val="none"/>
        </w:rPr>
      </w:pPr>
      <w:r>
        <w:rPr>
          <w:rFonts w:hint="eastAsia" w:ascii="宋体" w:hAnsi="宋体" w:cs="宋体"/>
          <w:color w:val="auto"/>
          <w:kern w:val="0"/>
          <w:highlight w:val="none"/>
        </w:rPr>
        <w:t>21.2.3 如果承包人认为自己的建议能缩短工期、降低工程实施或运营成本，或对业主产生其他利益，可以向发包人代表提交建议书；建议书的编制费用自理。</w:t>
      </w:r>
    </w:p>
    <w:p w14:paraId="2A9E72AC">
      <w:pPr>
        <w:adjustRightInd w:val="0"/>
        <w:snapToGrid w:val="0"/>
        <w:spacing w:line="384" w:lineRule="auto"/>
        <w:ind w:firstLine="420" w:firstLineChars="200"/>
        <w:rPr>
          <w:rFonts w:hint="eastAsia" w:ascii="宋体" w:hAnsi="宋体" w:cs="宋体"/>
          <w:color w:val="auto"/>
          <w:kern w:val="0"/>
          <w:highlight w:val="none"/>
        </w:rPr>
      </w:pPr>
      <w:r>
        <w:rPr>
          <w:rFonts w:hint="eastAsia" w:ascii="宋体" w:hAnsi="宋体" w:cs="宋体"/>
          <w:color w:val="auto"/>
          <w:kern w:val="0"/>
          <w:highlight w:val="none"/>
        </w:rPr>
        <w:t>21.2.4 如果发包人采纳承包人的建议节省了工程费用，将给予承包人节约费用适当比例的奖励。</w:t>
      </w:r>
    </w:p>
    <w:p w14:paraId="43776F88">
      <w:pPr>
        <w:adjustRightInd w:val="0"/>
        <w:snapToGrid w:val="0"/>
        <w:spacing w:line="384" w:lineRule="auto"/>
        <w:ind w:firstLine="420" w:firstLineChars="200"/>
        <w:rPr>
          <w:rFonts w:hint="eastAsia" w:ascii="宋体" w:hAnsi="宋体" w:cs="宋体"/>
          <w:color w:val="auto"/>
          <w:kern w:val="0"/>
          <w:highlight w:val="none"/>
        </w:rPr>
      </w:pPr>
      <w:r>
        <w:rPr>
          <w:rFonts w:hint="eastAsia" w:ascii="宋体" w:hAnsi="宋体" w:cs="宋体"/>
          <w:color w:val="auto"/>
          <w:kern w:val="0"/>
          <w:highlight w:val="none"/>
        </w:rPr>
        <w:t>21.2.5 上一款中节省费用的计算方法为：降低的合同额度减去因变更而引起在工程质量、寿命、以及运营效率等方面为发包人带来的潜在损失。</w:t>
      </w:r>
    </w:p>
    <w:p w14:paraId="7D7E7B3C">
      <w:pPr>
        <w:adjustRightInd w:val="0"/>
        <w:snapToGrid w:val="0"/>
        <w:spacing w:line="384" w:lineRule="auto"/>
        <w:ind w:firstLine="420" w:firstLineChars="200"/>
        <w:rPr>
          <w:rFonts w:hint="eastAsia" w:ascii="宋体" w:hAnsi="宋体" w:cs="宋体"/>
          <w:color w:val="auto"/>
          <w:kern w:val="0"/>
          <w:highlight w:val="none"/>
        </w:rPr>
      </w:pPr>
      <w:r>
        <w:rPr>
          <w:rFonts w:hint="eastAsia" w:ascii="宋体" w:hAnsi="宋体" w:cs="宋体"/>
          <w:color w:val="auto"/>
          <w:kern w:val="0"/>
          <w:highlight w:val="none"/>
        </w:rPr>
        <w:t>21.2.6 任何变更指令都应由发包人代表签发给承包人，承包人收到后应回函说明；涉及到费用调整的，按照相关条款执行。</w:t>
      </w:r>
    </w:p>
    <w:p w14:paraId="0439841F">
      <w:pPr>
        <w:adjustRightInd w:val="0"/>
        <w:snapToGrid w:val="0"/>
        <w:spacing w:line="384" w:lineRule="auto"/>
        <w:ind w:firstLine="420" w:firstLineChars="200"/>
        <w:rPr>
          <w:rFonts w:hint="eastAsia" w:ascii="宋体" w:hAnsi="宋体" w:cs="宋体"/>
          <w:color w:val="auto"/>
          <w:kern w:val="0"/>
          <w:highlight w:val="none"/>
        </w:rPr>
      </w:pPr>
      <w:r>
        <w:rPr>
          <w:rFonts w:hint="eastAsia" w:ascii="宋体" w:hAnsi="宋体" w:cs="宋体"/>
          <w:color w:val="auto"/>
          <w:kern w:val="0"/>
          <w:highlight w:val="none"/>
        </w:rPr>
        <w:t>21.2.7 设计文件示意内容的尺寸做法、要求等标注有错误、有遗漏，或理解不一致，发包人或其委托的勘查设计单位根据工程施工需要而对其进行更正和补充的，称为技术核定；技术核定不调整合同价款，也不调整工期。</w:t>
      </w:r>
    </w:p>
    <w:p w14:paraId="26674B62">
      <w:pPr>
        <w:adjustRightInd w:val="0"/>
        <w:snapToGrid w:val="0"/>
        <w:spacing w:line="384" w:lineRule="auto"/>
        <w:ind w:firstLine="420" w:firstLineChars="200"/>
        <w:rPr>
          <w:rFonts w:hint="eastAsia" w:ascii="宋体" w:hAnsi="宋体" w:cs="宋体"/>
          <w:color w:val="auto"/>
          <w:kern w:val="0"/>
          <w:highlight w:val="none"/>
        </w:rPr>
      </w:pPr>
      <w:r>
        <w:rPr>
          <w:rFonts w:hint="eastAsia" w:ascii="宋体" w:hAnsi="宋体" w:cs="宋体"/>
          <w:color w:val="auto"/>
          <w:kern w:val="0"/>
          <w:highlight w:val="none"/>
        </w:rPr>
        <w:t>21.2.8 未经发包人代表批准，承包人不得对工程进行任何变更。</w:t>
      </w:r>
    </w:p>
    <w:p w14:paraId="50CEEF06">
      <w:pPr>
        <w:keepNext/>
        <w:keepLines/>
        <w:adjustRightInd w:val="0"/>
        <w:snapToGrid w:val="0"/>
        <w:spacing w:line="384" w:lineRule="auto"/>
        <w:ind w:firstLine="420" w:firstLineChars="200"/>
        <w:outlineLvl w:val="3"/>
        <w:rPr>
          <w:rFonts w:hint="eastAsia" w:ascii="宋体" w:hAnsi="宋体" w:cs="宋体"/>
          <w:bCs/>
          <w:color w:val="auto"/>
          <w:szCs w:val="28"/>
          <w:highlight w:val="none"/>
        </w:rPr>
      </w:pPr>
      <w:r>
        <w:rPr>
          <w:rFonts w:hint="eastAsia" w:ascii="宋体" w:hAnsi="宋体" w:cs="宋体"/>
          <w:bCs/>
          <w:color w:val="auto"/>
          <w:szCs w:val="28"/>
          <w:highlight w:val="none"/>
        </w:rPr>
        <w:t>21.3 分包与配合</w:t>
      </w:r>
    </w:p>
    <w:p w14:paraId="0F5D53A3">
      <w:pPr>
        <w:adjustRightInd w:val="0"/>
        <w:snapToGrid w:val="0"/>
        <w:spacing w:line="384" w:lineRule="auto"/>
        <w:ind w:firstLine="420" w:firstLineChars="200"/>
        <w:rPr>
          <w:rFonts w:hint="eastAsia" w:ascii="宋体" w:hAnsi="宋体" w:cs="宋体"/>
          <w:color w:val="auto"/>
          <w:kern w:val="0"/>
          <w:highlight w:val="none"/>
        </w:rPr>
      </w:pPr>
      <w:r>
        <w:rPr>
          <w:rFonts w:hint="eastAsia" w:ascii="宋体" w:hAnsi="宋体" w:cs="宋体"/>
          <w:color w:val="auto"/>
          <w:kern w:val="0"/>
          <w:highlight w:val="none"/>
        </w:rPr>
        <w:t>21.3.1 承包人进行工程分包的，应遵守通用条款相关规定，发包人视其为承包人自行施工的工程；发包人代表对分包的同意或批准并不解除承包人的任何责任，也不代表发包人对此承担任何责任。</w:t>
      </w:r>
    </w:p>
    <w:p w14:paraId="77319BAC">
      <w:pPr>
        <w:adjustRightInd w:val="0"/>
        <w:snapToGrid w:val="0"/>
        <w:spacing w:line="384" w:lineRule="auto"/>
        <w:ind w:firstLine="420" w:firstLineChars="200"/>
        <w:rPr>
          <w:rFonts w:hint="eastAsia" w:ascii="宋体" w:hAnsi="宋体" w:cs="宋体"/>
          <w:color w:val="auto"/>
          <w:kern w:val="0"/>
          <w:highlight w:val="none"/>
        </w:rPr>
      </w:pPr>
      <w:r>
        <w:rPr>
          <w:rFonts w:hint="eastAsia" w:ascii="宋体" w:hAnsi="宋体" w:cs="宋体"/>
          <w:color w:val="auto"/>
          <w:kern w:val="0"/>
          <w:highlight w:val="none"/>
        </w:rPr>
        <w:t>21.3.7 凡在与已交工工程有关联的部位施工时，必须提前向甲方提出书面联系单，经甲方同意，并签字后方可施工。</w:t>
      </w:r>
    </w:p>
    <w:p w14:paraId="3A22224C">
      <w:pPr>
        <w:keepNext/>
        <w:keepLines/>
        <w:adjustRightInd w:val="0"/>
        <w:snapToGrid w:val="0"/>
        <w:spacing w:line="384" w:lineRule="auto"/>
        <w:ind w:firstLine="420" w:firstLineChars="200"/>
        <w:outlineLvl w:val="3"/>
        <w:rPr>
          <w:rFonts w:hint="eastAsia" w:ascii="宋体" w:hAnsi="宋体" w:cs="宋体"/>
          <w:bCs/>
          <w:color w:val="auto"/>
          <w:szCs w:val="28"/>
          <w:highlight w:val="none"/>
        </w:rPr>
      </w:pPr>
      <w:r>
        <w:rPr>
          <w:rFonts w:hint="eastAsia" w:ascii="宋体" w:hAnsi="宋体" w:cs="宋体"/>
          <w:bCs/>
          <w:color w:val="auto"/>
          <w:szCs w:val="28"/>
          <w:highlight w:val="none"/>
        </w:rPr>
        <w:t>21.4 结算</w:t>
      </w:r>
    </w:p>
    <w:p w14:paraId="44D9DF34">
      <w:pPr>
        <w:adjustRightInd w:val="0"/>
        <w:snapToGrid w:val="0"/>
        <w:spacing w:line="384" w:lineRule="auto"/>
        <w:ind w:firstLine="420" w:firstLineChars="200"/>
        <w:rPr>
          <w:rFonts w:hint="eastAsia" w:ascii="宋体" w:hAnsi="宋体" w:cs="宋体"/>
          <w:color w:val="auto"/>
          <w:kern w:val="0"/>
          <w:highlight w:val="none"/>
        </w:rPr>
      </w:pPr>
      <w:r>
        <w:rPr>
          <w:rFonts w:hint="eastAsia" w:ascii="宋体" w:hAnsi="宋体" w:cs="宋体"/>
          <w:color w:val="auto"/>
          <w:kern w:val="0"/>
          <w:highlight w:val="none"/>
        </w:rPr>
        <w:t>21.4.1 承包人的投标报价（合同价款）是承包人基于业主提供的资料和现场数据及承包人的解释和现场考察计算出来的，覆盖了完成合同义务所包括的一切工作，不得以漏项或考虑不周提出索赔。</w:t>
      </w:r>
    </w:p>
    <w:p w14:paraId="556EC024">
      <w:pPr>
        <w:adjustRightInd w:val="0"/>
        <w:snapToGrid w:val="0"/>
        <w:spacing w:line="384" w:lineRule="auto"/>
        <w:ind w:firstLine="420" w:firstLineChars="200"/>
        <w:rPr>
          <w:rFonts w:hint="eastAsia" w:ascii="宋体" w:hAnsi="宋体" w:eastAsia="宋体" w:cs="宋体"/>
          <w:color w:val="auto"/>
          <w:kern w:val="0"/>
          <w:highlight w:val="none"/>
        </w:rPr>
      </w:pPr>
      <w:r>
        <w:rPr>
          <w:rFonts w:hint="eastAsia" w:ascii="宋体" w:hAnsi="宋体" w:eastAsia="宋体" w:cs="宋体"/>
          <w:color w:val="auto"/>
          <w:kern w:val="0"/>
          <w:highlight w:val="none"/>
        </w:rPr>
        <w:t>21.4.3 发包人供应材料设备的结算：材料按照总价的</w:t>
      </w:r>
      <w:r>
        <w:rPr>
          <w:rFonts w:hint="eastAsia" w:ascii="宋体" w:hAnsi="宋体" w:eastAsia="宋体" w:cs="宋体"/>
          <w:color w:val="auto"/>
          <w:kern w:val="0"/>
          <w:highlight w:val="none"/>
          <w:u w:val="single"/>
        </w:rPr>
        <w:t xml:space="preserve">     </w:t>
      </w:r>
      <w:r>
        <w:rPr>
          <w:rFonts w:hint="eastAsia" w:ascii="宋体" w:hAnsi="宋体" w:eastAsia="宋体" w:cs="宋体"/>
          <w:color w:val="auto"/>
          <w:kern w:val="0"/>
          <w:highlight w:val="none"/>
        </w:rPr>
        <w:t>%计取保管费（材料数量最多不超过设计文件的用量（可以计算定额损耗））；设备按照总价的</w:t>
      </w:r>
      <w:r>
        <w:rPr>
          <w:rFonts w:hint="eastAsia" w:ascii="宋体" w:hAnsi="宋体" w:eastAsia="宋体" w:cs="宋体"/>
          <w:color w:val="auto"/>
          <w:kern w:val="0"/>
          <w:highlight w:val="none"/>
          <w:u w:val="single"/>
        </w:rPr>
        <w:t xml:space="preserve">     </w:t>
      </w:r>
      <w:r>
        <w:rPr>
          <w:rFonts w:hint="eastAsia" w:ascii="宋体" w:hAnsi="宋体" w:eastAsia="宋体" w:cs="宋体"/>
          <w:color w:val="auto"/>
          <w:kern w:val="0"/>
          <w:highlight w:val="none"/>
        </w:rPr>
        <w:t>%计取保管费；此费用仅计取税金。</w:t>
      </w:r>
    </w:p>
    <w:p w14:paraId="3C72B768">
      <w:pPr>
        <w:adjustRightInd w:val="0"/>
        <w:snapToGrid w:val="0"/>
        <w:spacing w:line="384" w:lineRule="auto"/>
        <w:ind w:firstLine="420" w:firstLineChars="200"/>
        <w:rPr>
          <w:rFonts w:hint="eastAsia" w:ascii="宋体" w:hAnsi="宋体" w:eastAsia="宋体" w:cs="宋体"/>
          <w:color w:val="auto"/>
          <w:kern w:val="0"/>
          <w:highlight w:val="none"/>
        </w:rPr>
      </w:pPr>
      <w:r>
        <w:rPr>
          <w:rFonts w:hint="eastAsia" w:ascii="宋体" w:hAnsi="宋体" w:eastAsia="宋体" w:cs="宋体"/>
          <w:color w:val="auto"/>
          <w:kern w:val="0"/>
          <w:highlight w:val="none"/>
        </w:rPr>
        <w:t>21.4.4 分包工程的总承包配合费和配合工程的配合费：分包工程的总承包配合费按照分包工程价格确定，一次包死，不随分包工程结算价款的调整而调整；配合工程的配合费也一次包死；该两项费用仅计取税金。</w:t>
      </w:r>
    </w:p>
    <w:p w14:paraId="656FD8B1">
      <w:pPr>
        <w:adjustRightInd w:val="0"/>
        <w:snapToGrid w:val="0"/>
        <w:spacing w:line="384" w:lineRule="auto"/>
        <w:ind w:firstLine="420" w:firstLineChars="200"/>
        <w:rPr>
          <w:rFonts w:hint="eastAsia" w:ascii="宋体" w:hAnsi="宋体" w:eastAsia="宋体" w:cs="宋体"/>
          <w:color w:val="auto"/>
          <w:kern w:val="0"/>
          <w:highlight w:val="none"/>
        </w:rPr>
      </w:pPr>
      <w:r>
        <w:rPr>
          <w:rFonts w:hint="eastAsia" w:ascii="宋体" w:hAnsi="宋体" w:eastAsia="宋体" w:cs="宋体"/>
          <w:color w:val="auto"/>
          <w:kern w:val="0"/>
          <w:highlight w:val="none"/>
        </w:rPr>
        <w:t>21.4.5对于发包人提供的工程量清单中的单项子目，承包人没有报价的，发包人认为视同该项价格已经包括在其他项目中。</w:t>
      </w:r>
    </w:p>
    <w:p w14:paraId="20CAA265">
      <w:pPr>
        <w:pStyle w:val="14"/>
        <w:ind w:left="0" w:leftChars="0" w:firstLine="0" w:firstLineChars="0"/>
        <w:rPr>
          <w:rFonts w:hint="eastAsia"/>
          <w:color w:val="auto"/>
          <w:highlight w:val="none"/>
        </w:rPr>
      </w:pPr>
    </w:p>
    <w:p w14:paraId="6DA99E0C">
      <w:pPr>
        <w:rPr>
          <w:color w:val="auto"/>
          <w:highlight w:val="none"/>
        </w:rPr>
      </w:pPr>
    </w:p>
    <w:p w14:paraId="461A6CA7">
      <w:pPr>
        <w:adjustRightInd w:val="0"/>
        <w:snapToGrid w:val="0"/>
        <w:spacing w:line="360" w:lineRule="auto"/>
        <w:rPr>
          <w:rFonts w:hint="eastAsia" w:ascii="宋体" w:hAnsi="宋体" w:cs="宋体"/>
          <w:color w:val="auto"/>
          <w:highlight w:val="none"/>
        </w:rPr>
      </w:pPr>
      <w:r>
        <w:rPr>
          <w:rFonts w:hint="eastAsia" w:ascii="宋体" w:hAnsi="宋体" w:cs="宋体"/>
          <w:color w:val="auto"/>
          <w:highlight w:val="none"/>
        </w:rPr>
        <w:t>发包人：  (公章)                           承包人：  (公章)</w:t>
      </w:r>
    </w:p>
    <w:p w14:paraId="75AFBB71">
      <w:pPr>
        <w:adjustRightInd w:val="0"/>
        <w:snapToGrid w:val="0"/>
        <w:spacing w:line="360" w:lineRule="auto"/>
        <w:rPr>
          <w:rFonts w:hint="eastAsia" w:ascii="宋体" w:hAnsi="宋体" w:cs="宋体"/>
          <w:color w:val="auto"/>
          <w:highlight w:val="none"/>
        </w:rPr>
      </w:pPr>
      <w:r>
        <w:rPr>
          <w:rFonts w:hint="eastAsia" w:ascii="宋体" w:hAnsi="宋体" w:cs="宋体"/>
          <w:color w:val="auto"/>
          <w:highlight w:val="none"/>
        </w:rPr>
        <w:t>法定代表人或其委托代理人：                 法定代表人或其委托代理人：</w:t>
      </w:r>
    </w:p>
    <w:p w14:paraId="2082B6C9">
      <w:pPr>
        <w:adjustRightInd w:val="0"/>
        <w:snapToGrid w:val="0"/>
        <w:spacing w:line="360" w:lineRule="auto"/>
        <w:rPr>
          <w:rFonts w:hint="eastAsia" w:ascii="宋体" w:hAnsi="宋体" w:cs="宋体"/>
          <w:color w:val="auto"/>
          <w:highlight w:val="none"/>
        </w:rPr>
      </w:pPr>
      <w:r>
        <w:rPr>
          <w:rFonts w:hint="eastAsia" w:ascii="宋体" w:hAnsi="宋体" w:cs="宋体"/>
          <w:color w:val="auto"/>
          <w:highlight w:val="none"/>
        </w:rPr>
        <w:t>（签字）                                  （签字）</w:t>
      </w:r>
    </w:p>
    <w:p w14:paraId="4F72921B">
      <w:pPr>
        <w:adjustRightInd w:val="0"/>
        <w:snapToGrid w:val="0"/>
        <w:spacing w:line="360" w:lineRule="auto"/>
        <w:rPr>
          <w:rFonts w:hint="eastAsia" w:ascii="宋体" w:hAnsi="宋体" w:cs="宋体"/>
          <w:color w:val="auto"/>
          <w:highlight w:val="none"/>
          <w:u w:val="single"/>
        </w:rPr>
      </w:pPr>
      <w:r>
        <w:rPr>
          <w:rFonts w:hint="eastAsia" w:ascii="宋体" w:hAnsi="宋体" w:cs="宋体"/>
          <w:color w:val="auto"/>
          <w:highlight w:val="none"/>
        </w:rPr>
        <w:t>组织机构代码：</w:t>
      </w:r>
      <w:r>
        <w:rPr>
          <w:rFonts w:hint="eastAsia" w:ascii="宋体" w:hAnsi="宋体" w:cs="宋体"/>
          <w:color w:val="auto"/>
          <w:highlight w:val="none"/>
          <w:u w:val="single"/>
        </w:rPr>
        <w:t xml:space="preserve">            </w:t>
      </w:r>
      <w:r>
        <w:rPr>
          <w:rFonts w:hint="eastAsia" w:ascii="宋体" w:hAnsi="宋体" w:cs="宋体"/>
          <w:color w:val="auto"/>
          <w:highlight w:val="none"/>
        </w:rPr>
        <w:t xml:space="preserve">                组织机构代码：</w:t>
      </w:r>
      <w:r>
        <w:rPr>
          <w:rFonts w:hint="eastAsia" w:ascii="宋体" w:hAnsi="宋体" w:cs="宋体"/>
          <w:color w:val="auto"/>
          <w:highlight w:val="none"/>
          <w:u w:val="single"/>
        </w:rPr>
        <w:t xml:space="preserve">          </w:t>
      </w:r>
    </w:p>
    <w:p w14:paraId="510A5AAC">
      <w:pPr>
        <w:adjustRightInd w:val="0"/>
        <w:snapToGrid w:val="0"/>
        <w:spacing w:line="360" w:lineRule="auto"/>
        <w:rPr>
          <w:rFonts w:hint="eastAsia" w:ascii="宋体" w:hAnsi="宋体" w:cs="宋体"/>
          <w:color w:val="auto"/>
          <w:highlight w:val="none"/>
        </w:rPr>
      </w:pPr>
      <w:r>
        <w:rPr>
          <w:rFonts w:hint="eastAsia" w:ascii="宋体" w:hAnsi="宋体" w:cs="宋体"/>
          <w:color w:val="auto"/>
          <w:highlight w:val="none"/>
        </w:rPr>
        <w:t>地  址：</w:t>
      </w:r>
      <w:r>
        <w:rPr>
          <w:rFonts w:hint="eastAsia" w:ascii="宋体" w:hAnsi="宋体" w:cs="宋体"/>
          <w:color w:val="auto"/>
          <w:highlight w:val="none"/>
          <w:u w:val="single"/>
        </w:rPr>
        <w:t xml:space="preserve">                    </w:t>
      </w:r>
      <w:r>
        <w:rPr>
          <w:rFonts w:hint="eastAsia" w:ascii="宋体" w:hAnsi="宋体" w:cs="宋体"/>
          <w:color w:val="auto"/>
          <w:highlight w:val="none"/>
        </w:rPr>
        <w:t xml:space="preserve">                地  址：</w:t>
      </w:r>
      <w:r>
        <w:rPr>
          <w:rFonts w:hint="eastAsia" w:ascii="宋体" w:hAnsi="宋体" w:cs="宋体"/>
          <w:color w:val="auto"/>
          <w:highlight w:val="none"/>
          <w:u w:val="single"/>
        </w:rPr>
        <w:t xml:space="preserve">                  </w:t>
      </w:r>
    </w:p>
    <w:p w14:paraId="00262A33">
      <w:pPr>
        <w:adjustRightInd w:val="0"/>
        <w:snapToGrid w:val="0"/>
        <w:spacing w:line="360" w:lineRule="auto"/>
        <w:rPr>
          <w:rFonts w:hint="eastAsia" w:ascii="宋体" w:hAnsi="宋体" w:cs="宋体"/>
          <w:color w:val="auto"/>
          <w:highlight w:val="none"/>
        </w:rPr>
      </w:pPr>
      <w:r>
        <w:rPr>
          <w:rFonts w:hint="eastAsia" w:ascii="宋体" w:hAnsi="宋体" w:cs="宋体"/>
          <w:color w:val="auto"/>
          <w:highlight w:val="none"/>
        </w:rPr>
        <w:t>邮政编码：</w:t>
      </w:r>
      <w:r>
        <w:rPr>
          <w:rFonts w:hint="eastAsia" w:ascii="宋体" w:hAnsi="宋体" w:cs="宋体"/>
          <w:color w:val="auto"/>
          <w:highlight w:val="none"/>
          <w:u w:val="single"/>
        </w:rPr>
        <w:t xml:space="preserve">                </w:t>
      </w:r>
      <w:r>
        <w:rPr>
          <w:rFonts w:hint="eastAsia" w:ascii="宋体" w:hAnsi="宋体" w:cs="宋体"/>
          <w:color w:val="auto"/>
          <w:highlight w:val="none"/>
        </w:rPr>
        <w:t xml:space="preserve">               邮政编码：</w:t>
      </w:r>
      <w:r>
        <w:rPr>
          <w:rFonts w:hint="eastAsia" w:ascii="宋体" w:hAnsi="宋体" w:cs="宋体"/>
          <w:color w:val="auto"/>
          <w:highlight w:val="none"/>
          <w:u w:val="single"/>
        </w:rPr>
        <w:t xml:space="preserve">                   </w:t>
      </w:r>
    </w:p>
    <w:p w14:paraId="636C657E">
      <w:pPr>
        <w:adjustRightInd w:val="0"/>
        <w:snapToGrid w:val="0"/>
        <w:spacing w:line="360" w:lineRule="auto"/>
        <w:rPr>
          <w:rFonts w:hint="eastAsia" w:ascii="宋体" w:hAnsi="宋体" w:cs="宋体"/>
          <w:color w:val="auto"/>
          <w:highlight w:val="none"/>
        </w:rPr>
      </w:pPr>
      <w:r>
        <w:rPr>
          <w:rFonts w:hint="eastAsia" w:ascii="宋体" w:hAnsi="宋体" w:cs="宋体"/>
          <w:color w:val="auto"/>
          <w:highlight w:val="none"/>
        </w:rPr>
        <w:t>法定代表人：</w:t>
      </w:r>
      <w:r>
        <w:rPr>
          <w:rFonts w:hint="eastAsia" w:ascii="宋体" w:hAnsi="宋体" w:cs="宋体"/>
          <w:color w:val="auto"/>
          <w:highlight w:val="none"/>
          <w:u w:val="single"/>
        </w:rPr>
        <w:t xml:space="preserve">            </w:t>
      </w:r>
      <w:r>
        <w:rPr>
          <w:rFonts w:hint="eastAsia" w:ascii="宋体" w:hAnsi="宋体" w:cs="宋体"/>
          <w:color w:val="auto"/>
          <w:highlight w:val="none"/>
        </w:rPr>
        <w:t xml:space="preserve">                法定代表人：</w:t>
      </w:r>
      <w:r>
        <w:rPr>
          <w:rFonts w:hint="eastAsia" w:ascii="宋体" w:hAnsi="宋体" w:cs="宋体"/>
          <w:color w:val="auto"/>
          <w:highlight w:val="none"/>
          <w:u w:val="single"/>
        </w:rPr>
        <w:t xml:space="preserve">            </w:t>
      </w:r>
    </w:p>
    <w:p w14:paraId="0D000CD5">
      <w:pPr>
        <w:adjustRightInd w:val="0"/>
        <w:snapToGrid w:val="0"/>
        <w:spacing w:line="360" w:lineRule="auto"/>
        <w:rPr>
          <w:rFonts w:hint="eastAsia" w:ascii="宋体" w:hAnsi="宋体" w:cs="宋体"/>
          <w:color w:val="auto"/>
          <w:highlight w:val="none"/>
        </w:rPr>
      </w:pPr>
      <w:r>
        <w:rPr>
          <w:rFonts w:hint="eastAsia" w:ascii="宋体" w:hAnsi="宋体" w:cs="宋体"/>
          <w:color w:val="auto"/>
          <w:highlight w:val="none"/>
        </w:rPr>
        <w:t>委托代理人：</w:t>
      </w:r>
      <w:r>
        <w:rPr>
          <w:rFonts w:hint="eastAsia" w:ascii="宋体" w:hAnsi="宋体" w:cs="宋体"/>
          <w:color w:val="auto"/>
          <w:highlight w:val="none"/>
          <w:u w:val="single"/>
        </w:rPr>
        <w:t xml:space="preserve">                </w:t>
      </w:r>
      <w:r>
        <w:rPr>
          <w:rFonts w:hint="eastAsia" w:ascii="宋体" w:hAnsi="宋体" w:cs="宋体"/>
          <w:color w:val="auto"/>
          <w:highlight w:val="none"/>
        </w:rPr>
        <w:t xml:space="preserve">                委托代理人：</w:t>
      </w:r>
      <w:r>
        <w:rPr>
          <w:rFonts w:hint="eastAsia" w:ascii="宋体" w:hAnsi="宋体" w:cs="宋体"/>
          <w:color w:val="auto"/>
          <w:highlight w:val="none"/>
          <w:u w:val="single"/>
        </w:rPr>
        <w:t xml:space="preserve">                </w:t>
      </w:r>
    </w:p>
    <w:p w14:paraId="74C80206">
      <w:pPr>
        <w:adjustRightInd w:val="0"/>
        <w:snapToGrid w:val="0"/>
        <w:spacing w:line="360" w:lineRule="auto"/>
        <w:rPr>
          <w:rFonts w:hint="eastAsia" w:ascii="宋体" w:hAnsi="宋体" w:cs="宋体"/>
          <w:color w:val="auto"/>
          <w:highlight w:val="none"/>
        </w:rPr>
      </w:pPr>
      <w:r>
        <w:rPr>
          <w:rFonts w:hint="eastAsia" w:ascii="宋体" w:hAnsi="宋体" w:cs="宋体"/>
          <w:color w:val="auto"/>
          <w:highlight w:val="none"/>
        </w:rPr>
        <w:t>电  话：</w:t>
      </w:r>
      <w:r>
        <w:rPr>
          <w:rFonts w:hint="eastAsia" w:ascii="宋体" w:hAnsi="宋体" w:cs="宋体"/>
          <w:color w:val="auto"/>
          <w:highlight w:val="none"/>
          <w:u w:val="single"/>
        </w:rPr>
        <w:t xml:space="preserve">                   </w:t>
      </w:r>
      <w:r>
        <w:rPr>
          <w:rFonts w:hint="eastAsia" w:ascii="宋体" w:hAnsi="宋体" w:cs="宋体"/>
          <w:color w:val="auto"/>
          <w:highlight w:val="none"/>
        </w:rPr>
        <w:t xml:space="preserve">                电  话：</w:t>
      </w:r>
      <w:r>
        <w:rPr>
          <w:rFonts w:hint="eastAsia" w:ascii="宋体" w:hAnsi="宋体" w:cs="宋体"/>
          <w:color w:val="auto"/>
          <w:highlight w:val="none"/>
          <w:u w:val="single"/>
        </w:rPr>
        <w:t xml:space="preserve">                     </w:t>
      </w:r>
    </w:p>
    <w:p w14:paraId="6A8BE3C8">
      <w:pPr>
        <w:adjustRightInd w:val="0"/>
        <w:snapToGrid w:val="0"/>
        <w:spacing w:line="360" w:lineRule="auto"/>
        <w:rPr>
          <w:rFonts w:hint="eastAsia" w:ascii="宋体" w:hAnsi="宋体" w:cs="宋体"/>
          <w:color w:val="auto"/>
          <w:highlight w:val="none"/>
        </w:rPr>
      </w:pPr>
      <w:r>
        <w:rPr>
          <w:rFonts w:hint="eastAsia" w:ascii="宋体" w:hAnsi="宋体" w:cs="宋体"/>
          <w:color w:val="auto"/>
          <w:highlight w:val="none"/>
        </w:rPr>
        <w:t>传  真：</w:t>
      </w:r>
      <w:r>
        <w:rPr>
          <w:rFonts w:hint="eastAsia" w:ascii="宋体" w:hAnsi="宋体" w:cs="宋体"/>
          <w:color w:val="auto"/>
          <w:highlight w:val="none"/>
          <w:u w:val="single"/>
        </w:rPr>
        <w:t xml:space="preserve">                   </w:t>
      </w:r>
      <w:r>
        <w:rPr>
          <w:rFonts w:hint="eastAsia" w:ascii="宋体" w:hAnsi="宋体" w:cs="宋体"/>
          <w:color w:val="auto"/>
          <w:highlight w:val="none"/>
        </w:rPr>
        <w:t xml:space="preserve">                传  真：</w:t>
      </w:r>
      <w:r>
        <w:rPr>
          <w:rFonts w:hint="eastAsia" w:ascii="宋体" w:hAnsi="宋体" w:cs="宋体"/>
          <w:color w:val="auto"/>
          <w:highlight w:val="none"/>
          <w:u w:val="single"/>
        </w:rPr>
        <w:t xml:space="preserve">                   </w:t>
      </w:r>
    </w:p>
    <w:p w14:paraId="15720D2F">
      <w:pPr>
        <w:adjustRightInd w:val="0"/>
        <w:snapToGrid w:val="0"/>
        <w:spacing w:line="360" w:lineRule="auto"/>
        <w:rPr>
          <w:rFonts w:hint="eastAsia" w:ascii="宋体" w:hAnsi="宋体" w:cs="宋体"/>
          <w:color w:val="auto"/>
          <w:highlight w:val="none"/>
        </w:rPr>
      </w:pPr>
      <w:r>
        <w:rPr>
          <w:rFonts w:hint="eastAsia" w:ascii="宋体" w:hAnsi="宋体" w:cs="宋体"/>
          <w:color w:val="auto"/>
          <w:highlight w:val="none"/>
        </w:rPr>
        <w:t>电子信箱：</w:t>
      </w:r>
      <w:r>
        <w:rPr>
          <w:rFonts w:hint="eastAsia" w:ascii="宋体" w:hAnsi="宋体" w:cs="宋体"/>
          <w:color w:val="auto"/>
          <w:highlight w:val="none"/>
          <w:u w:val="single"/>
        </w:rPr>
        <w:t xml:space="preserve">                 </w:t>
      </w:r>
      <w:r>
        <w:rPr>
          <w:rFonts w:hint="eastAsia" w:ascii="宋体" w:hAnsi="宋体" w:cs="宋体"/>
          <w:color w:val="auto"/>
          <w:highlight w:val="none"/>
        </w:rPr>
        <w:t xml:space="preserve">                电子信箱：</w:t>
      </w:r>
      <w:r>
        <w:rPr>
          <w:rFonts w:hint="eastAsia" w:ascii="宋体" w:hAnsi="宋体" w:cs="宋体"/>
          <w:color w:val="auto"/>
          <w:highlight w:val="none"/>
          <w:u w:val="single"/>
        </w:rPr>
        <w:t xml:space="preserve">                   </w:t>
      </w:r>
    </w:p>
    <w:p w14:paraId="35DB4CDB">
      <w:pPr>
        <w:adjustRightInd w:val="0"/>
        <w:snapToGrid w:val="0"/>
        <w:spacing w:line="360" w:lineRule="auto"/>
        <w:rPr>
          <w:rFonts w:hint="eastAsia" w:ascii="宋体" w:hAnsi="宋体" w:cs="宋体"/>
          <w:color w:val="auto"/>
          <w:highlight w:val="none"/>
        </w:rPr>
      </w:pPr>
      <w:r>
        <w:rPr>
          <w:rFonts w:hint="eastAsia" w:ascii="宋体" w:hAnsi="宋体" w:cs="宋体"/>
          <w:color w:val="auto"/>
          <w:highlight w:val="none"/>
        </w:rPr>
        <w:t>开户银行：</w:t>
      </w:r>
      <w:r>
        <w:rPr>
          <w:rFonts w:hint="eastAsia" w:ascii="宋体" w:hAnsi="宋体" w:cs="宋体"/>
          <w:color w:val="auto"/>
          <w:highlight w:val="none"/>
          <w:u w:val="single"/>
        </w:rPr>
        <w:t xml:space="preserve">                 </w:t>
      </w:r>
      <w:r>
        <w:rPr>
          <w:rFonts w:hint="eastAsia" w:ascii="宋体" w:hAnsi="宋体" w:cs="宋体"/>
          <w:color w:val="auto"/>
          <w:highlight w:val="none"/>
        </w:rPr>
        <w:t xml:space="preserve">                开户银行：</w:t>
      </w:r>
      <w:r>
        <w:rPr>
          <w:rFonts w:hint="eastAsia" w:ascii="宋体" w:hAnsi="宋体" w:cs="宋体"/>
          <w:color w:val="auto"/>
          <w:highlight w:val="none"/>
          <w:u w:val="single"/>
        </w:rPr>
        <w:t xml:space="preserve">                   </w:t>
      </w:r>
    </w:p>
    <w:p w14:paraId="14E0EC43">
      <w:pPr>
        <w:adjustRightInd w:val="0"/>
        <w:snapToGrid w:val="0"/>
        <w:spacing w:line="360" w:lineRule="auto"/>
        <w:rPr>
          <w:rFonts w:hint="eastAsia" w:ascii="宋体" w:hAnsi="宋体" w:cs="宋体"/>
          <w:color w:val="auto"/>
          <w:highlight w:val="none"/>
        </w:rPr>
      </w:pPr>
      <w:r>
        <w:rPr>
          <w:rFonts w:hint="eastAsia" w:ascii="宋体" w:hAnsi="宋体" w:cs="宋体"/>
          <w:color w:val="auto"/>
          <w:highlight w:val="none"/>
        </w:rPr>
        <w:t>账  号：</w:t>
      </w:r>
      <w:r>
        <w:rPr>
          <w:rFonts w:hint="eastAsia" w:ascii="宋体" w:hAnsi="宋体" w:cs="宋体"/>
          <w:color w:val="auto"/>
          <w:highlight w:val="none"/>
          <w:u w:val="single"/>
        </w:rPr>
        <w:t xml:space="preserve">                 </w:t>
      </w:r>
      <w:r>
        <w:rPr>
          <w:rFonts w:hint="eastAsia" w:ascii="宋体" w:hAnsi="宋体" w:cs="宋体"/>
          <w:color w:val="auto"/>
          <w:highlight w:val="none"/>
        </w:rPr>
        <w:t xml:space="preserve">                账  号：</w:t>
      </w:r>
      <w:r>
        <w:rPr>
          <w:rFonts w:hint="eastAsia" w:ascii="宋体" w:hAnsi="宋体" w:cs="宋体"/>
          <w:color w:val="auto"/>
          <w:highlight w:val="none"/>
          <w:u w:val="single"/>
        </w:rPr>
        <w:t xml:space="preserve">                     </w:t>
      </w:r>
    </w:p>
    <w:p w14:paraId="157F105B">
      <w:pPr>
        <w:pStyle w:val="14"/>
        <w:ind w:left="0" w:leftChars="0" w:firstLine="0" w:firstLineChars="0"/>
        <w:rPr>
          <w:rFonts w:hint="eastAsia" w:ascii="黑体" w:eastAsia="黑体"/>
          <w:b/>
          <w:color w:val="auto"/>
          <w:sz w:val="32"/>
          <w:szCs w:val="32"/>
          <w:highlight w:val="none"/>
          <w:lang w:val="en-US" w:eastAsia="zh-CN"/>
        </w:rPr>
      </w:pPr>
    </w:p>
    <w:p w14:paraId="17B4B52B">
      <w:pPr>
        <w:spacing w:line="360" w:lineRule="auto"/>
        <w:rPr>
          <w:rFonts w:hint="eastAsia" w:ascii="宋体" w:hAnsi="宋体" w:cs="宋体"/>
          <w:color w:val="auto"/>
          <w:highlight w:val="none"/>
        </w:rPr>
      </w:pPr>
      <w:r>
        <w:rPr>
          <w:rFonts w:hint="eastAsia" w:ascii="宋体" w:hAnsi="宋体" w:cs="宋体"/>
          <w:color w:val="auto"/>
          <w:highlight w:val="none"/>
        </w:rPr>
        <w:t>协议书附件：</w:t>
      </w:r>
    </w:p>
    <w:p w14:paraId="4A82D73A">
      <w:pPr>
        <w:spacing w:line="360" w:lineRule="auto"/>
        <w:rPr>
          <w:rFonts w:hint="eastAsia" w:ascii="宋体" w:hAnsi="宋体" w:cs="宋体"/>
          <w:color w:val="auto"/>
          <w:highlight w:val="none"/>
        </w:rPr>
      </w:pPr>
      <w:r>
        <w:rPr>
          <w:rFonts w:hint="eastAsia" w:ascii="宋体" w:hAnsi="宋体" w:cs="宋体"/>
          <w:color w:val="auto"/>
          <w:highlight w:val="none"/>
        </w:rPr>
        <w:t>附件1：承包人承揽工程项目一览表</w:t>
      </w:r>
    </w:p>
    <w:p w14:paraId="1C493AD2">
      <w:pPr>
        <w:spacing w:line="360" w:lineRule="auto"/>
        <w:rPr>
          <w:rFonts w:hint="eastAsia" w:ascii="宋体" w:hAnsi="宋体" w:cs="宋体"/>
          <w:color w:val="auto"/>
          <w:highlight w:val="none"/>
        </w:rPr>
      </w:pPr>
      <w:r>
        <w:rPr>
          <w:rFonts w:hint="eastAsia" w:ascii="宋体" w:hAnsi="宋体" w:cs="宋体"/>
          <w:color w:val="auto"/>
          <w:highlight w:val="none"/>
        </w:rPr>
        <w:t>专用合同条款附件：</w:t>
      </w:r>
    </w:p>
    <w:p w14:paraId="58F6F30A">
      <w:pPr>
        <w:spacing w:line="360" w:lineRule="auto"/>
        <w:rPr>
          <w:rFonts w:hint="eastAsia" w:ascii="宋体" w:hAnsi="宋体" w:cs="宋体"/>
          <w:color w:val="auto"/>
          <w:highlight w:val="none"/>
        </w:rPr>
      </w:pPr>
      <w:r>
        <w:rPr>
          <w:rFonts w:hint="eastAsia" w:ascii="宋体" w:hAnsi="宋体" w:cs="宋体"/>
          <w:color w:val="auto"/>
          <w:highlight w:val="none"/>
        </w:rPr>
        <w:t>附件2：发包人供应材料设备一览表</w:t>
      </w:r>
    </w:p>
    <w:p w14:paraId="50B75960">
      <w:pPr>
        <w:spacing w:line="360" w:lineRule="auto"/>
        <w:rPr>
          <w:rFonts w:hint="eastAsia" w:ascii="宋体" w:hAnsi="宋体" w:cs="宋体"/>
          <w:color w:val="auto"/>
          <w:highlight w:val="none"/>
        </w:rPr>
      </w:pPr>
      <w:r>
        <w:rPr>
          <w:rFonts w:hint="eastAsia" w:ascii="宋体" w:hAnsi="宋体" w:cs="宋体"/>
          <w:color w:val="auto"/>
          <w:highlight w:val="none"/>
        </w:rPr>
        <w:t>附件3：工程质量保修书</w:t>
      </w:r>
    </w:p>
    <w:p w14:paraId="5B4ECA48">
      <w:pPr>
        <w:spacing w:line="360" w:lineRule="auto"/>
        <w:rPr>
          <w:rFonts w:hint="eastAsia" w:ascii="宋体" w:hAnsi="宋体" w:cs="宋体"/>
          <w:color w:val="auto"/>
          <w:highlight w:val="none"/>
        </w:rPr>
      </w:pPr>
      <w:r>
        <w:rPr>
          <w:rFonts w:hint="eastAsia" w:ascii="宋体" w:hAnsi="宋体" w:cs="宋体"/>
          <w:color w:val="auto"/>
          <w:highlight w:val="none"/>
        </w:rPr>
        <w:t>附件4：主要建设工程文件目录</w:t>
      </w:r>
    </w:p>
    <w:p w14:paraId="31BC4752">
      <w:pPr>
        <w:spacing w:line="360" w:lineRule="auto"/>
        <w:rPr>
          <w:rFonts w:hint="eastAsia" w:ascii="宋体" w:hAnsi="宋体" w:cs="宋体"/>
          <w:color w:val="auto"/>
          <w:highlight w:val="none"/>
        </w:rPr>
      </w:pPr>
      <w:r>
        <w:rPr>
          <w:rFonts w:hint="eastAsia" w:ascii="宋体" w:hAnsi="宋体" w:cs="宋体"/>
          <w:color w:val="auto"/>
          <w:highlight w:val="none"/>
        </w:rPr>
        <w:t>附件5：承包人用于本工程施工的机械设备表</w:t>
      </w:r>
    </w:p>
    <w:p w14:paraId="59D4DC4D">
      <w:pPr>
        <w:spacing w:line="360" w:lineRule="auto"/>
        <w:rPr>
          <w:rFonts w:hint="eastAsia" w:ascii="宋体" w:hAnsi="宋体" w:cs="宋体"/>
          <w:color w:val="auto"/>
          <w:highlight w:val="none"/>
        </w:rPr>
      </w:pPr>
      <w:r>
        <w:rPr>
          <w:rFonts w:hint="eastAsia" w:ascii="宋体" w:hAnsi="宋体" w:cs="宋体"/>
          <w:color w:val="auto"/>
          <w:highlight w:val="none"/>
        </w:rPr>
        <w:t>附件6：承包人主要施工管理人员表</w:t>
      </w:r>
    </w:p>
    <w:p w14:paraId="6FAFF13F">
      <w:pPr>
        <w:spacing w:line="360" w:lineRule="auto"/>
        <w:rPr>
          <w:rFonts w:hint="eastAsia" w:ascii="宋体" w:hAnsi="宋体" w:cs="宋体"/>
          <w:color w:val="auto"/>
          <w:highlight w:val="none"/>
        </w:rPr>
      </w:pPr>
      <w:r>
        <w:rPr>
          <w:rFonts w:hint="eastAsia" w:ascii="宋体" w:hAnsi="宋体" w:cs="宋体"/>
          <w:color w:val="auto"/>
          <w:highlight w:val="none"/>
        </w:rPr>
        <w:t>附件7：分包人主要施工管理人员表</w:t>
      </w:r>
    </w:p>
    <w:p w14:paraId="6D0B1B97">
      <w:pPr>
        <w:spacing w:line="360" w:lineRule="auto"/>
        <w:rPr>
          <w:rFonts w:hint="eastAsia" w:ascii="宋体" w:hAnsi="宋体" w:cs="宋体"/>
          <w:color w:val="auto"/>
          <w:highlight w:val="none"/>
        </w:rPr>
      </w:pPr>
      <w:r>
        <w:rPr>
          <w:rFonts w:hint="eastAsia" w:ascii="宋体" w:hAnsi="宋体" w:cs="宋体"/>
          <w:color w:val="auto"/>
          <w:highlight w:val="none"/>
        </w:rPr>
        <w:t>附件8：廉政协议</w:t>
      </w:r>
    </w:p>
    <w:p w14:paraId="25918CB0">
      <w:pPr>
        <w:spacing w:line="360" w:lineRule="auto"/>
        <w:rPr>
          <w:rFonts w:hint="eastAsia" w:ascii="宋体" w:hAnsi="宋体" w:cs="宋体"/>
          <w:color w:val="auto"/>
          <w:highlight w:val="none"/>
        </w:rPr>
      </w:pPr>
      <w:r>
        <w:rPr>
          <w:rFonts w:hint="eastAsia" w:ascii="宋体" w:hAnsi="宋体" w:cs="宋体"/>
          <w:color w:val="auto"/>
          <w:highlight w:val="none"/>
        </w:rPr>
        <w:t>附件9：履约保证金格式</w:t>
      </w:r>
    </w:p>
    <w:p w14:paraId="7130D662">
      <w:pPr>
        <w:spacing w:line="360" w:lineRule="auto"/>
        <w:rPr>
          <w:rFonts w:hint="eastAsia" w:ascii="宋体" w:hAnsi="宋体" w:cs="宋体"/>
          <w:color w:val="auto"/>
          <w:highlight w:val="none"/>
        </w:rPr>
      </w:pPr>
      <w:r>
        <w:rPr>
          <w:rFonts w:hint="eastAsia" w:ascii="宋体" w:hAnsi="宋体" w:cs="宋体"/>
          <w:color w:val="auto"/>
          <w:highlight w:val="none"/>
        </w:rPr>
        <w:t>附件10：支付担保格式</w:t>
      </w:r>
    </w:p>
    <w:p w14:paraId="21882BC5">
      <w:pPr>
        <w:spacing w:line="360" w:lineRule="auto"/>
        <w:rPr>
          <w:rFonts w:hint="eastAsia" w:ascii="宋体" w:hAnsi="宋体" w:cs="宋体"/>
          <w:color w:val="auto"/>
          <w:highlight w:val="none"/>
        </w:rPr>
      </w:pPr>
      <w:r>
        <w:rPr>
          <w:rFonts w:hint="eastAsia" w:ascii="宋体" w:hAnsi="宋体" w:cs="宋体"/>
          <w:color w:val="auto"/>
          <w:highlight w:val="none"/>
        </w:rPr>
        <w:t>附件11：暂估价一览表</w:t>
      </w:r>
    </w:p>
    <w:p w14:paraId="4D2D79EF">
      <w:pPr>
        <w:spacing w:line="360" w:lineRule="auto"/>
        <w:rPr>
          <w:rFonts w:hint="eastAsia" w:ascii="宋体" w:hAnsi="宋体" w:cs="宋体"/>
          <w:color w:val="auto"/>
          <w:highlight w:val="none"/>
        </w:rPr>
      </w:pPr>
      <w:r>
        <w:rPr>
          <w:rFonts w:hint="eastAsia" w:ascii="宋体" w:hAnsi="宋体" w:cs="宋体"/>
          <w:color w:val="auto"/>
          <w:highlight w:val="none"/>
        </w:rPr>
        <w:t>附件12：安全生产合同</w:t>
      </w:r>
    </w:p>
    <w:p w14:paraId="7D29C607">
      <w:pPr>
        <w:spacing w:line="360" w:lineRule="auto"/>
        <w:rPr>
          <w:rFonts w:hint="eastAsia" w:ascii="黑体" w:eastAsia="黑体"/>
          <w:b/>
          <w:color w:val="auto"/>
          <w:sz w:val="32"/>
          <w:szCs w:val="32"/>
          <w:highlight w:val="none"/>
          <w:lang w:val="en-US" w:eastAsia="zh-CN"/>
        </w:rPr>
      </w:pPr>
      <w:r>
        <w:rPr>
          <w:rFonts w:hint="eastAsia" w:ascii="宋体" w:hAnsi="宋体" w:cs="宋体"/>
          <w:color w:val="auto"/>
          <w:highlight w:val="none"/>
        </w:rPr>
        <w:t>附件13：项目经理质量终身责任制承诺</w:t>
      </w:r>
      <w:r>
        <w:rPr>
          <w:rFonts w:hint="eastAsia" w:ascii="黑体" w:eastAsia="黑体"/>
          <w:b/>
          <w:color w:val="auto"/>
          <w:sz w:val="32"/>
          <w:szCs w:val="32"/>
          <w:highlight w:val="none"/>
          <w:lang w:val="en-US" w:eastAsia="zh-CN"/>
        </w:rPr>
        <w:br w:type="page"/>
      </w:r>
    </w:p>
    <w:p w14:paraId="384D16BF">
      <w:pPr>
        <w:keepNext/>
        <w:keepLines/>
        <w:spacing w:before="120" w:after="120" w:line="360" w:lineRule="auto"/>
        <w:jc w:val="left"/>
        <w:outlineLvl w:val="2"/>
        <w:rPr>
          <w:rFonts w:hint="eastAsia" w:ascii="宋体" w:hAnsi="宋体" w:cs="宋体"/>
          <w:bCs/>
          <w:color w:val="auto"/>
          <w:sz w:val="24"/>
          <w:highlight w:val="none"/>
        </w:rPr>
      </w:pPr>
      <w:r>
        <w:rPr>
          <w:rFonts w:hint="eastAsia" w:ascii="宋体" w:hAnsi="宋体" w:cs="宋体"/>
          <w:bCs/>
          <w:color w:val="auto"/>
          <w:sz w:val="24"/>
          <w:highlight w:val="none"/>
        </w:rPr>
        <w:t>附件1：承包人承揽工程项目一览表</w:t>
      </w:r>
    </w:p>
    <w:p w14:paraId="0B55CCF3">
      <w:pPr>
        <w:spacing w:line="360" w:lineRule="auto"/>
        <w:jc w:val="center"/>
        <w:rPr>
          <w:rFonts w:hint="eastAsia" w:ascii="宋体" w:hAnsi="宋体" w:cs="宋体"/>
          <w:color w:val="auto"/>
          <w:sz w:val="22"/>
          <w:szCs w:val="21"/>
          <w:highlight w:val="none"/>
        </w:rPr>
      </w:pPr>
      <w:r>
        <w:rPr>
          <w:rFonts w:hint="eastAsia" w:ascii="宋体" w:hAnsi="宋体" w:cs="宋体"/>
          <w:color w:val="auto"/>
          <w:sz w:val="22"/>
          <w:szCs w:val="21"/>
          <w:highlight w:val="none"/>
        </w:rPr>
        <w:t>承包人承揽工程项目一览表</w:t>
      </w:r>
    </w:p>
    <w:tbl>
      <w:tblPr>
        <w:tblStyle w:val="47"/>
        <w:tblW w:w="9498"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993"/>
        <w:gridCol w:w="1134"/>
        <w:gridCol w:w="1134"/>
        <w:gridCol w:w="993"/>
        <w:gridCol w:w="708"/>
        <w:gridCol w:w="1134"/>
        <w:gridCol w:w="1134"/>
        <w:gridCol w:w="993"/>
        <w:gridCol w:w="708"/>
        <w:gridCol w:w="567"/>
      </w:tblGrid>
      <w:tr w14:paraId="6A83F7E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Borders>
              <w:top w:val="single" w:color="auto" w:sz="12" w:space="0"/>
              <w:bottom w:val="double" w:color="auto" w:sz="6" w:space="0"/>
            </w:tcBorders>
            <w:noWrap w:val="0"/>
            <w:vAlign w:val="center"/>
          </w:tcPr>
          <w:p w14:paraId="7A180800">
            <w:pPr>
              <w:keepNext/>
              <w:snapToGrid w:val="0"/>
              <w:spacing w:line="360" w:lineRule="auto"/>
              <w:rPr>
                <w:rFonts w:hint="eastAsia" w:ascii="宋体" w:hAnsi="宋体" w:cs="宋体"/>
                <w:color w:val="auto"/>
                <w:sz w:val="22"/>
                <w:szCs w:val="21"/>
                <w:highlight w:val="none"/>
              </w:rPr>
            </w:pPr>
            <w:r>
              <w:rPr>
                <w:rFonts w:hint="eastAsia" w:ascii="宋体" w:hAnsi="宋体" w:cs="宋体"/>
                <w:color w:val="auto"/>
                <w:sz w:val="22"/>
                <w:szCs w:val="21"/>
                <w:highlight w:val="none"/>
              </w:rPr>
              <w:t>单位工程名称</w:t>
            </w:r>
          </w:p>
        </w:tc>
        <w:tc>
          <w:tcPr>
            <w:tcW w:w="1134" w:type="dxa"/>
            <w:tcBorders>
              <w:top w:val="single" w:color="auto" w:sz="12" w:space="0"/>
              <w:bottom w:val="double" w:color="auto" w:sz="6" w:space="0"/>
            </w:tcBorders>
            <w:noWrap w:val="0"/>
            <w:vAlign w:val="center"/>
          </w:tcPr>
          <w:p w14:paraId="036A8A3D">
            <w:pPr>
              <w:keepNext/>
              <w:snapToGrid w:val="0"/>
              <w:spacing w:line="360" w:lineRule="auto"/>
              <w:rPr>
                <w:rFonts w:hint="eastAsia" w:ascii="宋体" w:hAnsi="宋体" w:cs="宋体"/>
                <w:color w:val="auto"/>
                <w:sz w:val="22"/>
                <w:szCs w:val="21"/>
                <w:highlight w:val="none"/>
              </w:rPr>
            </w:pPr>
            <w:r>
              <w:rPr>
                <w:rFonts w:hint="eastAsia" w:ascii="宋体" w:hAnsi="宋体" w:cs="宋体"/>
                <w:color w:val="auto"/>
                <w:sz w:val="22"/>
                <w:szCs w:val="21"/>
                <w:highlight w:val="none"/>
              </w:rPr>
              <w:t>建设规模</w:t>
            </w:r>
          </w:p>
        </w:tc>
        <w:tc>
          <w:tcPr>
            <w:tcW w:w="1134" w:type="dxa"/>
            <w:tcBorders>
              <w:top w:val="single" w:color="auto" w:sz="12" w:space="0"/>
              <w:bottom w:val="double" w:color="auto" w:sz="6" w:space="0"/>
            </w:tcBorders>
            <w:noWrap w:val="0"/>
            <w:vAlign w:val="center"/>
          </w:tcPr>
          <w:p w14:paraId="28E2807D">
            <w:pPr>
              <w:keepNext/>
              <w:snapToGrid w:val="0"/>
              <w:spacing w:line="360" w:lineRule="auto"/>
              <w:rPr>
                <w:rFonts w:hint="eastAsia" w:ascii="宋体" w:hAnsi="宋体" w:cs="宋体"/>
                <w:color w:val="auto"/>
                <w:sz w:val="22"/>
                <w:szCs w:val="21"/>
                <w:highlight w:val="none"/>
              </w:rPr>
            </w:pPr>
            <w:r>
              <w:rPr>
                <w:rFonts w:hint="eastAsia" w:ascii="宋体" w:hAnsi="宋体" w:cs="宋体"/>
                <w:color w:val="auto"/>
                <w:sz w:val="22"/>
                <w:szCs w:val="21"/>
                <w:highlight w:val="none"/>
              </w:rPr>
              <w:t>建筑面积(平方米)</w:t>
            </w:r>
          </w:p>
        </w:tc>
        <w:tc>
          <w:tcPr>
            <w:tcW w:w="993" w:type="dxa"/>
            <w:tcBorders>
              <w:top w:val="single" w:color="auto" w:sz="12" w:space="0"/>
              <w:bottom w:val="double" w:color="auto" w:sz="6" w:space="0"/>
            </w:tcBorders>
            <w:noWrap w:val="0"/>
            <w:vAlign w:val="center"/>
          </w:tcPr>
          <w:p w14:paraId="23FA705F">
            <w:pPr>
              <w:keepNext/>
              <w:snapToGrid w:val="0"/>
              <w:spacing w:line="360" w:lineRule="auto"/>
              <w:rPr>
                <w:rFonts w:hint="eastAsia" w:ascii="宋体" w:hAnsi="宋体" w:cs="宋体"/>
                <w:color w:val="auto"/>
                <w:sz w:val="22"/>
                <w:szCs w:val="21"/>
                <w:highlight w:val="none"/>
              </w:rPr>
            </w:pPr>
            <w:r>
              <w:rPr>
                <w:rFonts w:hint="eastAsia" w:ascii="宋体" w:hAnsi="宋体" w:cs="宋体"/>
                <w:color w:val="auto"/>
                <w:sz w:val="22"/>
                <w:szCs w:val="21"/>
                <w:highlight w:val="none"/>
              </w:rPr>
              <w:t>结构形式</w:t>
            </w:r>
          </w:p>
        </w:tc>
        <w:tc>
          <w:tcPr>
            <w:tcW w:w="708" w:type="dxa"/>
            <w:tcBorders>
              <w:top w:val="single" w:color="auto" w:sz="12" w:space="0"/>
              <w:bottom w:val="double" w:color="auto" w:sz="6" w:space="0"/>
            </w:tcBorders>
            <w:noWrap w:val="0"/>
            <w:vAlign w:val="center"/>
          </w:tcPr>
          <w:p w14:paraId="630CB634">
            <w:pPr>
              <w:keepNext/>
              <w:snapToGrid w:val="0"/>
              <w:spacing w:line="360" w:lineRule="auto"/>
              <w:rPr>
                <w:rFonts w:hint="eastAsia" w:ascii="宋体" w:hAnsi="宋体" w:cs="宋体"/>
                <w:color w:val="auto"/>
                <w:sz w:val="22"/>
                <w:szCs w:val="21"/>
                <w:highlight w:val="none"/>
              </w:rPr>
            </w:pPr>
            <w:r>
              <w:rPr>
                <w:rFonts w:hint="eastAsia" w:ascii="宋体" w:hAnsi="宋体" w:cs="宋体"/>
                <w:color w:val="auto"/>
                <w:sz w:val="22"/>
                <w:szCs w:val="21"/>
                <w:highlight w:val="none"/>
              </w:rPr>
              <w:t>层数</w:t>
            </w:r>
          </w:p>
        </w:tc>
        <w:tc>
          <w:tcPr>
            <w:tcW w:w="1134" w:type="dxa"/>
            <w:tcBorders>
              <w:top w:val="single" w:color="auto" w:sz="12" w:space="0"/>
              <w:bottom w:val="double" w:color="auto" w:sz="6" w:space="0"/>
            </w:tcBorders>
            <w:noWrap w:val="0"/>
            <w:vAlign w:val="center"/>
          </w:tcPr>
          <w:p w14:paraId="76E46412">
            <w:pPr>
              <w:keepNext/>
              <w:snapToGrid w:val="0"/>
              <w:spacing w:line="360" w:lineRule="auto"/>
              <w:rPr>
                <w:rFonts w:hint="eastAsia" w:ascii="宋体" w:hAnsi="宋体" w:cs="宋体"/>
                <w:color w:val="auto"/>
                <w:sz w:val="22"/>
                <w:szCs w:val="21"/>
                <w:highlight w:val="none"/>
              </w:rPr>
            </w:pPr>
            <w:r>
              <w:rPr>
                <w:rFonts w:hint="eastAsia" w:ascii="宋体" w:hAnsi="宋体" w:cs="宋体"/>
                <w:color w:val="auto"/>
                <w:sz w:val="22"/>
                <w:szCs w:val="21"/>
                <w:highlight w:val="none"/>
              </w:rPr>
              <w:t>生产能力</w:t>
            </w:r>
          </w:p>
        </w:tc>
        <w:tc>
          <w:tcPr>
            <w:tcW w:w="1134" w:type="dxa"/>
            <w:tcBorders>
              <w:top w:val="single" w:color="auto" w:sz="12" w:space="0"/>
              <w:bottom w:val="double" w:color="auto" w:sz="6" w:space="0"/>
            </w:tcBorders>
            <w:noWrap w:val="0"/>
            <w:vAlign w:val="center"/>
          </w:tcPr>
          <w:p w14:paraId="4EC2FF87">
            <w:pPr>
              <w:keepNext/>
              <w:snapToGrid w:val="0"/>
              <w:spacing w:line="360" w:lineRule="auto"/>
              <w:rPr>
                <w:rFonts w:hint="eastAsia" w:ascii="宋体" w:hAnsi="宋体" w:cs="宋体"/>
                <w:color w:val="auto"/>
                <w:sz w:val="22"/>
                <w:szCs w:val="21"/>
                <w:highlight w:val="none"/>
              </w:rPr>
            </w:pPr>
            <w:r>
              <w:rPr>
                <w:rFonts w:hint="eastAsia" w:ascii="宋体" w:hAnsi="宋体" w:cs="宋体"/>
                <w:color w:val="auto"/>
                <w:sz w:val="22"/>
                <w:szCs w:val="21"/>
                <w:highlight w:val="none"/>
              </w:rPr>
              <w:t>设备安装内容</w:t>
            </w:r>
          </w:p>
        </w:tc>
        <w:tc>
          <w:tcPr>
            <w:tcW w:w="993" w:type="dxa"/>
            <w:tcBorders>
              <w:top w:val="single" w:color="auto" w:sz="12" w:space="0"/>
              <w:bottom w:val="double" w:color="auto" w:sz="6" w:space="0"/>
            </w:tcBorders>
            <w:noWrap w:val="0"/>
            <w:vAlign w:val="center"/>
          </w:tcPr>
          <w:p w14:paraId="305E8844">
            <w:pPr>
              <w:keepNext/>
              <w:snapToGrid w:val="0"/>
              <w:spacing w:line="360" w:lineRule="auto"/>
              <w:rPr>
                <w:rFonts w:hint="eastAsia" w:ascii="宋体" w:hAnsi="宋体" w:cs="宋体"/>
                <w:color w:val="auto"/>
                <w:sz w:val="22"/>
                <w:szCs w:val="21"/>
                <w:highlight w:val="none"/>
              </w:rPr>
            </w:pPr>
            <w:r>
              <w:rPr>
                <w:rFonts w:hint="eastAsia" w:ascii="宋体" w:hAnsi="宋体" w:cs="宋体"/>
                <w:color w:val="auto"/>
                <w:sz w:val="22"/>
                <w:szCs w:val="21"/>
                <w:highlight w:val="none"/>
              </w:rPr>
              <w:t>合同价格（元）</w:t>
            </w:r>
          </w:p>
        </w:tc>
        <w:tc>
          <w:tcPr>
            <w:tcW w:w="708" w:type="dxa"/>
            <w:tcBorders>
              <w:top w:val="single" w:color="auto" w:sz="12" w:space="0"/>
              <w:bottom w:val="double" w:color="auto" w:sz="6" w:space="0"/>
            </w:tcBorders>
            <w:noWrap w:val="0"/>
            <w:vAlign w:val="center"/>
          </w:tcPr>
          <w:p w14:paraId="4EA7F4B8">
            <w:pPr>
              <w:keepNext/>
              <w:snapToGrid w:val="0"/>
              <w:spacing w:line="360" w:lineRule="auto"/>
              <w:rPr>
                <w:rFonts w:hint="eastAsia" w:ascii="宋体" w:hAnsi="宋体" w:cs="宋体"/>
                <w:color w:val="auto"/>
                <w:sz w:val="22"/>
                <w:szCs w:val="21"/>
                <w:highlight w:val="none"/>
              </w:rPr>
            </w:pPr>
            <w:r>
              <w:rPr>
                <w:rFonts w:hint="eastAsia" w:ascii="宋体" w:hAnsi="宋体" w:cs="宋体"/>
                <w:color w:val="auto"/>
                <w:sz w:val="22"/>
                <w:szCs w:val="21"/>
                <w:highlight w:val="none"/>
              </w:rPr>
              <w:t>开工日期</w:t>
            </w:r>
          </w:p>
        </w:tc>
        <w:tc>
          <w:tcPr>
            <w:tcW w:w="567" w:type="dxa"/>
            <w:tcBorders>
              <w:top w:val="single" w:color="auto" w:sz="12" w:space="0"/>
              <w:bottom w:val="double" w:color="auto" w:sz="6" w:space="0"/>
            </w:tcBorders>
            <w:noWrap w:val="0"/>
            <w:vAlign w:val="center"/>
          </w:tcPr>
          <w:p w14:paraId="7E743786">
            <w:pPr>
              <w:keepNext/>
              <w:snapToGrid w:val="0"/>
              <w:spacing w:line="360" w:lineRule="auto"/>
              <w:rPr>
                <w:rFonts w:hint="eastAsia" w:ascii="宋体" w:hAnsi="宋体" w:cs="宋体"/>
                <w:color w:val="auto"/>
                <w:sz w:val="22"/>
                <w:szCs w:val="21"/>
                <w:highlight w:val="none"/>
              </w:rPr>
            </w:pPr>
            <w:r>
              <w:rPr>
                <w:rFonts w:hint="eastAsia" w:ascii="宋体" w:hAnsi="宋体" w:cs="宋体"/>
                <w:color w:val="auto"/>
                <w:sz w:val="22"/>
                <w:szCs w:val="21"/>
                <w:highlight w:val="none"/>
              </w:rPr>
              <w:t>竣工日期</w:t>
            </w:r>
          </w:p>
        </w:tc>
      </w:tr>
      <w:tr w14:paraId="49D02ED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993" w:type="dxa"/>
            <w:tcBorders>
              <w:top w:val="double" w:color="auto" w:sz="6" w:space="0"/>
            </w:tcBorders>
            <w:noWrap w:val="0"/>
            <w:vAlign w:val="center"/>
          </w:tcPr>
          <w:p w14:paraId="7C2721AD">
            <w:pPr>
              <w:keepNext/>
              <w:snapToGrid w:val="0"/>
              <w:spacing w:line="360" w:lineRule="auto"/>
              <w:rPr>
                <w:rFonts w:hint="eastAsia" w:ascii="宋体" w:hAnsi="宋体" w:cs="宋体"/>
                <w:color w:val="auto"/>
                <w:sz w:val="22"/>
                <w:szCs w:val="21"/>
                <w:highlight w:val="none"/>
              </w:rPr>
            </w:pPr>
          </w:p>
        </w:tc>
        <w:tc>
          <w:tcPr>
            <w:tcW w:w="1134" w:type="dxa"/>
            <w:tcBorders>
              <w:top w:val="double" w:color="auto" w:sz="6" w:space="0"/>
            </w:tcBorders>
            <w:noWrap w:val="0"/>
            <w:vAlign w:val="center"/>
          </w:tcPr>
          <w:p w14:paraId="490ACD9F">
            <w:pPr>
              <w:keepNext/>
              <w:snapToGrid w:val="0"/>
              <w:spacing w:line="360" w:lineRule="auto"/>
              <w:rPr>
                <w:rFonts w:hint="eastAsia" w:ascii="宋体" w:hAnsi="宋体" w:cs="宋体"/>
                <w:color w:val="auto"/>
                <w:sz w:val="22"/>
                <w:szCs w:val="21"/>
                <w:highlight w:val="none"/>
              </w:rPr>
            </w:pPr>
          </w:p>
        </w:tc>
        <w:tc>
          <w:tcPr>
            <w:tcW w:w="1134" w:type="dxa"/>
            <w:tcBorders>
              <w:top w:val="double" w:color="auto" w:sz="6" w:space="0"/>
            </w:tcBorders>
            <w:noWrap w:val="0"/>
            <w:vAlign w:val="center"/>
          </w:tcPr>
          <w:p w14:paraId="27C28324">
            <w:pPr>
              <w:keepNext/>
              <w:snapToGrid w:val="0"/>
              <w:spacing w:line="360" w:lineRule="auto"/>
              <w:rPr>
                <w:rFonts w:hint="eastAsia" w:ascii="宋体" w:hAnsi="宋体" w:cs="宋体"/>
                <w:color w:val="auto"/>
                <w:sz w:val="22"/>
                <w:szCs w:val="21"/>
                <w:highlight w:val="none"/>
              </w:rPr>
            </w:pPr>
          </w:p>
        </w:tc>
        <w:tc>
          <w:tcPr>
            <w:tcW w:w="993" w:type="dxa"/>
            <w:tcBorders>
              <w:top w:val="double" w:color="auto" w:sz="6" w:space="0"/>
            </w:tcBorders>
            <w:noWrap w:val="0"/>
            <w:vAlign w:val="center"/>
          </w:tcPr>
          <w:p w14:paraId="3A4879A2">
            <w:pPr>
              <w:keepNext/>
              <w:snapToGrid w:val="0"/>
              <w:spacing w:line="360" w:lineRule="auto"/>
              <w:rPr>
                <w:rFonts w:hint="eastAsia" w:ascii="宋体" w:hAnsi="宋体" w:cs="宋体"/>
                <w:color w:val="auto"/>
                <w:sz w:val="22"/>
                <w:szCs w:val="21"/>
                <w:highlight w:val="none"/>
              </w:rPr>
            </w:pPr>
          </w:p>
        </w:tc>
        <w:tc>
          <w:tcPr>
            <w:tcW w:w="708" w:type="dxa"/>
            <w:tcBorders>
              <w:top w:val="double" w:color="auto" w:sz="6" w:space="0"/>
            </w:tcBorders>
            <w:noWrap w:val="0"/>
            <w:vAlign w:val="center"/>
          </w:tcPr>
          <w:p w14:paraId="78991021">
            <w:pPr>
              <w:keepNext/>
              <w:snapToGrid w:val="0"/>
              <w:spacing w:line="360" w:lineRule="auto"/>
              <w:rPr>
                <w:rFonts w:hint="eastAsia" w:ascii="宋体" w:hAnsi="宋体" w:cs="宋体"/>
                <w:color w:val="auto"/>
                <w:sz w:val="22"/>
                <w:szCs w:val="21"/>
                <w:highlight w:val="none"/>
              </w:rPr>
            </w:pPr>
          </w:p>
        </w:tc>
        <w:tc>
          <w:tcPr>
            <w:tcW w:w="1134" w:type="dxa"/>
            <w:tcBorders>
              <w:top w:val="double" w:color="auto" w:sz="6" w:space="0"/>
            </w:tcBorders>
            <w:noWrap w:val="0"/>
            <w:vAlign w:val="center"/>
          </w:tcPr>
          <w:p w14:paraId="0F05EC7C">
            <w:pPr>
              <w:keepNext/>
              <w:snapToGrid w:val="0"/>
              <w:spacing w:line="360" w:lineRule="auto"/>
              <w:rPr>
                <w:rFonts w:hint="eastAsia" w:ascii="宋体" w:hAnsi="宋体" w:cs="宋体"/>
                <w:color w:val="auto"/>
                <w:sz w:val="22"/>
                <w:szCs w:val="21"/>
                <w:highlight w:val="none"/>
              </w:rPr>
            </w:pPr>
          </w:p>
        </w:tc>
        <w:tc>
          <w:tcPr>
            <w:tcW w:w="1134" w:type="dxa"/>
            <w:tcBorders>
              <w:top w:val="double" w:color="auto" w:sz="6" w:space="0"/>
            </w:tcBorders>
            <w:noWrap w:val="0"/>
            <w:vAlign w:val="center"/>
          </w:tcPr>
          <w:p w14:paraId="660E981C">
            <w:pPr>
              <w:keepNext/>
              <w:snapToGrid w:val="0"/>
              <w:spacing w:line="360" w:lineRule="auto"/>
              <w:rPr>
                <w:rFonts w:hint="eastAsia" w:ascii="宋体" w:hAnsi="宋体" w:cs="宋体"/>
                <w:color w:val="auto"/>
                <w:sz w:val="22"/>
                <w:szCs w:val="21"/>
                <w:highlight w:val="none"/>
              </w:rPr>
            </w:pPr>
          </w:p>
        </w:tc>
        <w:tc>
          <w:tcPr>
            <w:tcW w:w="993" w:type="dxa"/>
            <w:tcBorders>
              <w:top w:val="double" w:color="auto" w:sz="6" w:space="0"/>
            </w:tcBorders>
            <w:noWrap w:val="0"/>
            <w:vAlign w:val="center"/>
          </w:tcPr>
          <w:p w14:paraId="632EC417">
            <w:pPr>
              <w:keepNext/>
              <w:snapToGrid w:val="0"/>
              <w:spacing w:line="360" w:lineRule="auto"/>
              <w:rPr>
                <w:rFonts w:hint="eastAsia" w:ascii="宋体" w:hAnsi="宋体" w:cs="宋体"/>
                <w:color w:val="auto"/>
                <w:sz w:val="22"/>
                <w:szCs w:val="21"/>
                <w:highlight w:val="none"/>
              </w:rPr>
            </w:pPr>
          </w:p>
        </w:tc>
        <w:tc>
          <w:tcPr>
            <w:tcW w:w="708" w:type="dxa"/>
            <w:tcBorders>
              <w:top w:val="double" w:color="auto" w:sz="6" w:space="0"/>
            </w:tcBorders>
            <w:noWrap w:val="0"/>
            <w:vAlign w:val="center"/>
          </w:tcPr>
          <w:p w14:paraId="30740003">
            <w:pPr>
              <w:keepNext/>
              <w:snapToGrid w:val="0"/>
              <w:spacing w:line="360" w:lineRule="auto"/>
              <w:rPr>
                <w:rFonts w:hint="eastAsia" w:ascii="宋体" w:hAnsi="宋体" w:cs="宋体"/>
                <w:color w:val="auto"/>
                <w:sz w:val="22"/>
                <w:szCs w:val="21"/>
                <w:highlight w:val="none"/>
              </w:rPr>
            </w:pPr>
          </w:p>
        </w:tc>
        <w:tc>
          <w:tcPr>
            <w:tcW w:w="567" w:type="dxa"/>
            <w:tcBorders>
              <w:top w:val="double" w:color="auto" w:sz="6" w:space="0"/>
            </w:tcBorders>
            <w:noWrap w:val="0"/>
            <w:vAlign w:val="center"/>
          </w:tcPr>
          <w:p w14:paraId="148E251C">
            <w:pPr>
              <w:keepNext/>
              <w:snapToGrid w:val="0"/>
              <w:spacing w:line="360" w:lineRule="auto"/>
              <w:rPr>
                <w:rFonts w:hint="eastAsia" w:ascii="宋体" w:hAnsi="宋体" w:cs="宋体"/>
                <w:color w:val="auto"/>
                <w:sz w:val="22"/>
                <w:szCs w:val="21"/>
                <w:highlight w:val="none"/>
              </w:rPr>
            </w:pPr>
          </w:p>
        </w:tc>
      </w:tr>
      <w:tr w14:paraId="130DE7C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993" w:type="dxa"/>
            <w:tcBorders>
              <w:top w:val="nil"/>
            </w:tcBorders>
            <w:noWrap w:val="0"/>
            <w:vAlign w:val="center"/>
          </w:tcPr>
          <w:p w14:paraId="3CC2C386">
            <w:pPr>
              <w:keepNext/>
              <w:snapToGrid w:val="0"/>
              <w:spacing w:line="360" w:lineRule="auto"/>
              <w:rPr>
                <w:rFonts w:hint="eastAsia" w:ascii="宋体" w:hAnsi="宋体" w:cs="宋体"/>
                <w:color w:val="auto"/>
                <w:sz w:val="22"/>
                <w:szCs w:val="21"/>
                <w:highlight w:val="none"/>
              </w:rPr>
            </w:pPr>
          </w:p>
        </w:tc>
        <w:tc>
          <w:tcPr>
            <w:tcW w:w="1134" w:type="dxa"/>
            <w:tcBorders>
              <w:top w:val="nil"/>
            </w:tcBorders>
            <w:noWrap w:val="0"/>
            <w:vAlign w:val="center"/>
          </w:tcPr>
          <w:p w14:paraId="3F2EA127">
            <w:pPr>
              <w:keepNext/>
              <w:snapToGrid w:val="0"/>
              <w:spacing w:line="360" w:lineRule="auto"/>
              <w:rPr>
                <w:rFonts w:hint="eastAsia" w:ascii="宋体" w:hAnsi="宋体" w:cs="宋体"/>
                <w:color w:val="auto"/>
                <w:sz w:val="22"/>
                <w:szCs w:val="21"/>
                <w:highlight w:val="none"/>
              </w:rPr>
            </w:pPr>
          </w:p>
        </w:tc>
        <w:tc>
          <w:tcPr>
            <w:tcW w:w="1134" w:type="dxa"/>
            <w:tcBorders>
              <w:top w:val="nil"/>
            </w:tcBorders>
            <w:noWrap w:val="0"/>
            <w:vAlign w:val="center"/>
          </w:tcPr>
          <w:p w14:paraId="4137B7B1">
            <w:pPr>
              <w:keepNext/>
              <w:snapToGrid w:val="0"/>
              <w:spacing w:line="360" w:lineRule="auto"/>
              <w:rPr>
                <w:rFonts w:hint="eastAsia" w:ascii="宋体" w:hAnsi="宋体" w:cs="宋体"/>
                <w:color w:val="auto"/>
                <w:sz w:val="22"/>
                <w:szCs w:val="21"/>
                <w:highlight w:val="none"/>
              </w:rPr>
            </w:pPr>
          </w:p>
        </w:tc>
        <w:tc>
          <w:tcPr>
            <w:tcW w:w="993" w:type="dxa"/>
            <w:tcBorders>
              <w:top w:val="nil"/>
            </w:tcBorders>
            <w:noWrap w:val="0"/>
            <w:vAlign w:val="center"/>
          </w:tcPr>
          <w:p w14:paraId="01042740">
            <w:pPr>
              <w:keepNext/>
              <w:snapToGrid w:val="0"/>
              <w:spacing w:line="360" w:lineRule="auto"/>
              <w:rPr>
                <w:rFonts w:hint="eastAsia" w:ascii="宋体" w:hAnsi="宋体" w:cs="宋体"/>
                <w:color w:val="auto"/>
                <w:sz w:val="22"/>
                <w:szCs w:val="21"/>
                <w:highlight w:val="none"/>
              </w:rPr>
            </w:pPr>
          </w:p>
        </w:tc>
        <w:tc>
          <w:tcPr>
            <w:tcW w:w="708" w:type="dxa"/>
            <w:tcBorders>
              <w:top w:val="nil"/>
            </w:tcBorders>
            <w:noWrap w:val="0"/>
            <w:vAlign w:val="center"/>
          </w:tcPr>
          <w:p w14:paraId="72E5304F">
            <w:pPr>
              <w:keepNext/>
              <w:snapToGrid w:val="0"/>
              <w:spacing w:line="360" w:lineRule="auto"/>
              <w:rPr>
                <w:rFonts w:hint="eastAsia" w:ascii="宋体" w:hAnsi="宋体" w:cs="宋体"/>
                <w:color w:val="auto"/>
                <w:sz w:val="22"/>
                <w:szCs w:val="21"/>
                <w:highlight w:val="none"/>
              </w:rPr>
            </w:pPr>
          </w:p>
        </w:tc>
        <w:tc>
          <w:tcPr>
            <w:tcW w:w="1134" w:type="dxa"/>
            <w:tcBorders>
              <w:top w:val="nil"/>
            </w:tcBorders>
            <w:noWrap w:val="0"/>
            <w:vAlign w:val="center"/>
          </w:tcPr>
          <w:p w14:paraId="5651AAC9">
            <w:pPr>
              <w:keepNext/>
              <w:snapToGrid w:val="0"/>
              <w:spacing w:line="360" w:lineRule="auto"/>
              <w:rPr>
                <w:rFonts w:hint="eastAsia" w:ascii="宋体" w:hAnsi="宋体" w:cs="宋体"/>
                <w:color w:val="auto"/>
                <w:sz w:val="22"/>
                <w:szCs w:val="21"/>
                <w:highlight w:val="none"/>
              </w:rPr>
            </w:pPr>
          </w:p>
        </w:tc>
        <w:tc>
          <w:tcPr>
            <w:tcW w:w="1134" w:type="dxa"/>
            <w:tcBorders>
              <w:top w:val="nil"/>
            </w:tcBorders>
            <w:noWrap w:val="0"/>
            <w:vAlign w:val="center"/>
          </w:tcPr>
          <w:p w14:paraId="52D619E8">
            <w:pPr>
              <w:keepNext/>
              <w:snapToGrid w:val="0"/>
              <w:spacing w:line="360" w:lineRule="auto"/>
              <w:rPr>
                <w:rFonts w:hint="eastAsia" w:ascii="宋体" w:hAnsi="宋体" w:cs="宋体"/>
                <w:color w:val="auto"/>
                <w:sz w:val="22"/>
                <w:szCs w:val="21"/>
                <w:highlight w:val="none"/>
              </w:rPr>
            </w:pPr>
          </w:p>
        </w:tc>
        <w:tc>
          <w:tcPr>
            <w:tcW w:w="993" w:type="dxa"/>
            <w:tcBorders>
              <w:top w:val="nil"/>
            </w:tcBorders>
            <w:noWrap w:val="0"/>
            <w:vAlign w:val="center"/>
          </w:tcPr>
          <w:p w14:paraId="59F3BE50">
            <w:pPr>
              <w:keepNext/>
              <w:snapToGrid w:val="0"/>
              <w:spacing w:line="360" w:lineRule="auto"/>
              <w:rPr>
                <w:rFonts w:hint="eastAsia" w:ascii="宋体" w:hAnsi="宋体" w:cs="宋体"/>
                <w:color w:val="auto"/>
                <w:sz w:val="22"/>
                <w:szCs w:val="21"/>
                <w:highlight w:val="none"/>
              </w:rPr>
            </w:pPr>
          </w:p>
        </w:tc>
        <w:tc>
          <w:tcPr>
            <w:tcW w:w="708" w:type="dxa"/>
            <w:tcBorders>
              <w:top w:val="nil"/>
            </w:tcBorders>
            <w:noWrap w:val="0"/>
            <w:vAlign w:val="center"/>
          </w:tcPr>
          <w:p w14:paraId="07743E6A">
            <w:pPr>
              <w:keepNext/>
              <w:snapToGrid w:val="0"/>
              <w:spacing w:line="360" w:lineRule="auto"/>
              <w:rPr>
                <w:rFonts w:hint="eastAsia" w:ascii="宋体" w:hAnsi="宋体" w:cs="宋体"/>
                <w:color w:val="auto"/>
                <w:sz w:val="22"/>
                <w:szCs w:val="21"/>
                <w:highlight w:val="none"/>
              </w:rPr>
            </w:pPr>
          </w:p>
        </w:tc>
        <w:tc>
          <w:tcPr>
            <w:tcW w:w="567" w:type="dxa"/>
            <w:tcBorders>
              <w:top w:val="nil"/>
            </w:tcBorders>
            <w:noWrap w:val="0"/>
            <w:vAlign w:val="center"/>
          </w:tcPr>
          <w:p w14:paraId="09F0BC46">
            <w:pPr>
              <w:keepNext/>
              <w:snapToGrid w:val="0"/>
              <w:spacing w:line="360" w:lineRule="auto"/>
              <w:rPr>
                <w:rFonts w:hint="eastAsia" w:ascii="宋体" w:hAnsi="宋体" w:cs="宋体"/>
                <w:color w:val="auto"/>
                <w:sz w:val="22"/>
                <w:szCs w:val="21"/>
                <w:highlight w:val="none"/>
              </w:rPr>
            </w:pPr>
          </w:p>
        </w:tc>
      </w:tr>
      <w:tr w14:paraId="6F5FC4F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993" w:type="dxa"/>
            <w:tcBorders>
              <w:top w:val="nil"/>
            </w:tcBorders>
            <w:noWrap w:val="0"/>
            <w:vAlign w:val="center"/>
          </w:tcPr>
          <w:p w14:paraId="25AA2921">
            <w:pPr>
              <w:keepNext/>
              <w:snapToGrid w:val="0"/>
              <w:spacing w:line="360" w:lineRule="auto"/>
              <w:rPr>
                <w:rFonts w:hint="eastAsia" w:ascii="宋体" w:hAnsi="宋体" w:cs="宋体"/>
                <w:color w:val="auto"/>
                <w:sz w:val="22"/>
                <w:szCs w:val="21"/>
                <w:highlight w:val="none"/>
              </w:rPr>
            </w:pPr>
          </w:p>
        </w:tc>
        <w:tc>
          <w:tcPr>
            <w:tcW w:w="1134" w:type="dxa"/>
            <w:tcBorders>
              <w:top w:val="nil"/>
            </w:tcBorders>
            <w:noWrap w:val="0"/>
            <w:vAlign w:val="center"/>
          </w:tcPr>
          <w:p w14:paraId="24D3F54C">
            <w:pPr>
              <w:keepNext/>
              <w:snapToGrid w:val="0"/>
              <w:spacing w:line="360" w:lineRule="auto"/>
              <w:rPr>
                <w:rFonts w:hint="eastAsia" w:ascii="宋体" w:hAnsi="宋体" w:cs="宋体"/>
                <w:color w:val="auto"/>
                <w:sz w:val="22"/>
                <w:szCs w:val="21"/>
                <w:highlight w:val="none"/>
              </w:rPr>
            </w:pPr>
          </w:p>
        </w:tc>
        <w:tc>
          <w:tcPr>
            <w:tcW w:w="1134" w:type="dxa"/>
            <w:tcBorders>
              <w:top w:val="nil"/>
            </w:tcBorders>
            <w:noWrap w:val="0"/>
            <w:vAlign w:val="center"/>
          </w:tcPr>
          <w:p w14:paraId="3C519385">
            <w:pPr>
              <w:keepNext/>
              <w:snapToGrid w:val="0"/>
              <w:spacing w:line="360" w:lineRule="auto"/>
              <w:rPr>
                <w:rFonts w:hint="eastAsia" w:ascii="宋体" w:hAnsi="宋体" w:cs="宋体"/>
                <w:color w:val="auto"/>
                <w:sz w:val="22"/>
                <w:szCs w:val="21"/>
                <w:highlight w:val="none"/>
              </w:rPr>
            </w:pPr>
          </w:p>
        </w:tc>
        <w:tc>
          <w:tcPr>
            <w:tcW w:w="993" w:type="dxa"/>
            <w:tcBorders>
              <w:top w:val="nil"/>
            </w:tcBorders>
            <w:noWrap w:val="0"/>
            <w:vAlign w:val="center"/>
          </w:tcPr>
          <w:p w14:paraId="16A058EE">
            <w:pPr>
              <w:keepNext/>
              <w:snapToGrid w:val="0"/>
              <w:spacing w:line="360" w:lineRule="auto"/>
              <w:rPr>
                <w:rFonts w:hint="eastAsia" w:ascii="宋体" w:hAnsi="宋体" w:cs="宋体"/>
                <w:color w:val="auto"/>
                <w:sz w:val="22"/>
                <w:szCs w:val="21"/>
                <w:highlight w:val="none"/>
              </w:rPr>
            </w:pPr>
          </w:p>
        </w:tc>
        <w:tc>
          <w:tcPr>
            <w:tcW w:w="708" w:type="dxa"/>
            <w:tcBorders>
              <w:top w:val="nil"/>
            </w:tcBorders>
            <w:noWrap w:val="0"/>
            <w:vAlign w:val="center"/>
          </w:tcPr>
          <w:p w14:paraId="64010B71">
            <w:pPr>
              <w:keepNext/>
              <w:snapToGrid w:val="0"/>
              <w:spacing w:line="360" w:lineRule="auto"/>
              <w:rPr>
                <w:rFonts w:hint="eastAsia" w:ascii="宋体" w:hAnsi="宋体" w:cs="宋体"/>
                <w:color w:val="auto"/>
                <w:sz w:val="22"/>
                <w:szCs w:val="21"/>
                <w:highlight w:val="none"/>
              </w:rPr>
            </w:pPr>
          </w:p>
        </w:tc>
        <w:tc>
          <w:tcPr>
            <w:tcW w:w="1134" w:type="dxa"/>
            <w:tcBorders>
              <w:top w:val="nil"/>
            </w:tcBorders>
            <w:noWrap w:val="0"/>
            <w:vAlign w:val="center"/>
          </w:tcPr>
          <w:p w14:paraId="40F02281">
            <w:pPr>
              <w:keepNext/>
              <w:snapToGrid w:val="0"/>
              <w:spacing w:line="360" w:lineRule="auto"/>
              <w:rPr>
                <w:rFonts w:hint="eastAsia" w:ascii="宋体" w:hAnsi="宋体" w:cs="宋体"/>
                <w:color w:val="auto"/>
                <w:sz w:val="22"/>
                <w:szCs w:val="21"/>
                <w:highlight w:val="none"/>
              </w:rPr>
            </w:pPr>
          </w:p>
        </w:tc>
        <w:tc>
          <w:tcPr>
            <w:tcW w:w="1134" w:type="dxa"/>
            <w:tcBorders>
              <w:top w:val="nil"/>
            </w:tcBorders>
            <w:noWrap w:val="0"/>
            <w:vAlign w:val="center"/>
          </w:tcPr>
          <w:p w14:paraId="68CFEA69">
            <w:pPr>
              <w:keepNext/>
              <w:snapToGrid w:val="0"/>
              <w:spacing w:line="360" w:lineRule="auto"/>
              <w:rPr>
                <w:rFonts w:hint="eastAsia" w:ascii="宋体" w:hAnsi="宋体" w:cs="宋体"/>
                <w:color w:val="auto"/>
                <w:sz w:val="22"/>
                <w:szCs w:val="21"/>
                <w:highlight w:val="none"/>
              </w:rPr>
            </w:pPr>
          </w:p>
        </w:tc>
        <w:tc>
          <w:tcPr>
            <w:tcW w:w="993" w:type="dxa"/>
            <w:tcBorders>
              <w:top w:val="nil"/>
            </w:tcBorders>
            <w:noWrap w:val="0"/>
            <w:vAlign w:val="center"/>
          </w:tcPr>
          <w:p w14:paraId="37031238">
            <w:pPr>
              <w:keepNext/>
              <w:snapToGrid w:val="0"/>
              <w:spacing w:line="360" w:lineRule="auto"/>
              <w:rPr>
                <w:rFonts w:hint="eastAsia" w:ascii="宋体" w:hAnsi="宋体" w:cs="宋体"/>
                <w:color w:val="auto"/>
                <w:sz w:val="22"/>
                <w:szCs w:val="21"/>
                <w:highlight w:val="none"/>
              </w:rPr>
            </w:pPr>
          </w:p>
        </w:tc>
        <w:tc>
          <w:tcPr>
            <w:tcW w:w="708" w:type="dxa"/>
            <w:tcBorders>
              <w:top w:val="nil"/>
            </w:tcBorders>
            <w:noWrap w:val="0"/>
            <w:vAlign w:val="center"/>
          </w:tcPr>
          <w:p w14:paraId="24F93E9C">
            <w:pPr>
              <w:keepNext/>
              <w:snapToGrid w:val="0"/>
              <w:spacing w:line="360" w:lineRule="auto"/>
              <w:rPr>
                <w:rFonts w:hint="eastAsia" w:ascii="宋体" w:hAnsi="宋体" w:cs="宋体"/>
                <w:color w:val="auto"/>
                <w:sz w:val="22"/>
                <w:szCs w:val="21"/>
                <w:highlight w:val="none"/>
              </w:rPr>
            </w:pPr>
          </w:p>
        </w:tc>
        <w:tc>
          <w:tcPr>
            <w:tcW w:w="567" w:type="dxa"/>
            <w:tcBorders>
              <w:top w:val="nil"/>
            </w:tcBorders>
            <w:noWrap w:val="0"/>
            <w:vAlign w:val="center"/>
          </w:tcPr>
          <w:p w14:paraId="33FC869F">
            <w:pPr>
              <w:keepNext/>
              <w:snapToGrid w:val="0"/>
              <w:spacing w:line="360" w:lineRule="auto"/>
              <w:rPr>
                <w:rFonts w:hint="eastAsia" w:ascii="宋体" w:hAnsi="宋体" w:cs="宋体"/>
                <w:color w:val="auto"/>
                <w:sz w:val="22"/>
                <w:szCs w:val="21"/>
                <w:highlight w:val="none"/>
              </w:rPr>
            </w:pPr>
          </w:p>
        </w:tc>
      </w:tr>
      <w:tr w14:paraId="38FB19E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993" w:type="dxa"/>
            <w:tcBorders>
              <w:bottom w:val="single" w:color="auto" w:sz="12" w:space="0"/>
            </w:tcBorders>
            <w:noWrap w:val="0"/>
            <w:vAlign w:val="center"/>
          </w:tcPr>
          <w:p w14:paraId="5E2931FC">
            <w:pPr>
              <w:keepNext/>
              <w:snapToGrid w:val="0"/>
              <w:spacing w:line="360" w:lineRule="auto"/>
              <w:rPr>
                <w:rFonts w:hint="eastAsia" w:ascii="宋体" w:hAnsi="宋体" w:cs="宋体"/>
                <w:color w:val="auto"/>
                <w:sz w:val="22"/>
                <w:szCs w:val="21"/>
                <w:highlight w:val="none"/>
              </w:rPr>
            </w:pPr>
          </w:p>
        </w:tc>
        <w:tc>
          <w:tcPr>
            <w:tcW w:w="1134" w:type="dxa"/>
            <w:tcBorders>
              <w:bottom w:val="single" w:color="auto" w:sz="12" w:space="0"/>
            </w:tcBorders>
            <w:noWrap w:val="0"/>
            <w:vAlign w:val="center"/>
          </w:tcPr>
          <w:p w14:paraId="58A5B20C">
            <w:pPr>
              <w:keepNext/>
              <w:snapToGrid w:val="0"/>
              <w:spacing w:line="360" w:lineRule="auto"/>
              <w:rPr>
                <w:rFonts w:hint="eastAsia" w:ascii="宋体" w:hAnsi="宋体" w:cs="宋体"/>
                <w:color w:val="auto"/>
                <w:sz w:val="22"/>
                <w:szCs w:val="21"/>
                <w:highlight w:val="none"/>
              </w:rPr>
            </w:pPr>
          </w:p>
        </w:tc>
        <w:tc>
          <w:tcPr>
            <w:tcW w:w="1134" w:type="dxa"/>
            <w:tcBorders>
              <w:bottom w:val="single" w:color="auto" w:sz="12" w:space="0"/>
            </w:tcBorders>
            <w:noWrap w:val="0"/>
            <w:vAlign w:val="center"/>
          </w:tcPr>
          <w:p w14:paraId="47736501">
            <w:pPr>
              <w:keepNext/>
              <w:snapToGrid w:val="0"/>
              <w:spacing w:line="360" w:lineRule="auto"/>
              <w:rPr>
                <w:rFonts w:hint="eastAsia" w:ascii="宋体" w:hAnsi="宋体" w:cs="宋体"/>
                <w:color w:val="auto"/>
                <w:sz w:val="22"/>
                <w:szCs w:val="21"/>
                <w:highlight w:val="none"/>
              </w:rPr>
            </w:pPr>
          </w:p>
        </w:tc>
        <w:tc>
          <w:tcPr>
            <w:tcW w:w="993" w:type="dxa"/>
            <w:tcBorders>
              <w:bottom w:val="single" w:color="auto" w:sz="12" w:space="0"/>
            </w:tcBorders>
            <w:noWrap w:val="0"/>
            <w:vAlign w:val="center"/>
          </w:tcPr>
          <w:p w14:paraId="0EEB01B0">
            <w:pPr>
              <w:keepNext/>
              <w:snapToGrid w:val="0"/>
              <w:spacing w:line="360" w:lineRule="auto"/>
              <w:rPr>
                <w:rFonts w:hint="eastAsia" w:ascii="宋体" w:hAnsi="宋体" w:cs="宋体"/>
                <w:color w:val="auto"/>
                <w:sz w:val="22"/>
                <w:szCs w:val="21"/>
                <w:highlight w:val="none"/>
              </w:rPr>
            </w:pPr>
          </w:p>
        </w:tc>
        <w:tc>
          <w:tcPr>
            <w:tcW w:w="708" w:type="dxa"/>
            <w:tcBorders>
              <w:bottom w:val="single" w:color="auto" w:sz="12" w:space="0"/>
            </w:tcBorders>
            <w:noWrap w:val="0"/>
            <w:vAlign w:val="center"/>
          </w:tcPr>
          <w:p w14:paraId="06A2D9B6">
            <w:pPr>
              <w:keepNext/>
              <w:snapToGrid w:val="0"/>
              <w:spacing w:line="360" w:lineRule="auto"/>
              <w:rPr>
                <w:rFonts w:hint="eastAsia" w:ascii="宋体" w:hAnsi="宋体" w:cs="宋体"/>
                <w:color w:val="auto"/>
                <w:sz w:val="22"/>
                <w:szCs w:val="21"/>
                <w:highlight w:val="none"/>
              </w:rPr>
            </w:pPr>
          </w:p>
        </w:tc>
        <w:tc>
          <w:tcPr>
            <w:tcW w:w="1134" w:type="dxa"/>
            <w:tcBorders>
              <w:bottom w:val="single" w:color="auto" w:sz="12" w:space="0"/>
            </w:tcBorders>
            <w:noWrap w:val="0"/>
            <w:vAlign w:val="center"/>
          </w:tcPr>
          <w:p w14:paraId="48DA79E9">
            <w:pPr>
              <w:keepNext/>
              <w:snapToGrid w:val="0"/>
              <w:spacing w:line="360" w:lineRule="auto"/>
              <w:rPr>
                <w:rFonts w:hint="eastAsia" w:ascii="宋体" w:hAnsi="宋体" w:cs="宋体"/>
                <w:color w:val="auto"/>
                <w:sz w:val="22"/>
                <w:szCs w:val="21"/>
                <w:highlight w:val="none"/>
              </w:rPr>
            </w:pPr>
          </w:p>
        </w:tc>
        <w:tc>
          <w:tcPr>
            <w:tcW w:w="1134" w:type="dxa"/>
            <w:tcBorders>
              <w:bottom w:val="single" w:color="auto" w:sz="12" w:space="0"/>
            </w:tcBorders>
            <w:noWrap w:val="0"/>
            <w:vAlign w:val="center"/>
          </w:tcPr>
          <w:p w14:paraId="663D0AEB">
            <w:pPr>
              <w:keepNext/>
              <w:snapToGrid w:val="0"/>
              <w:spacing w:line="360" w:lineRule="auto"/>
              <w:rPr>
                <w:rFonts w:hint="eastAsia" w:ascii="宋体" w:hAnsi="宋体" w:cs="宋体"/>
                <w:color w:val="auto"/>
                <w:sz w:val="22"/>
                <w:szCs w:val="21"/>
                <w:highlight w:val="none"/>
              </w:rPr>
            </w:pPr>
          </w:p>
        </w:tc>
        <w:tc>
          <w:tcPr>
            <w:tcW w:w="993" w:type="dxa"/>
            <w:tcBorders>
              <w:bottom w:val="single" w:color="auto" w:sz="12" w:space="0"/>
            </w:tcBorders>
            <w:noWrap w:val="0"/>
            <w:vAlign w:val="center"/>
          </w:tcPr>
          <w:p w14:paraId="3B5FC363">
            <w:pPr>
              <w:keepNext/>
              <w:snapToGrid w:val="0"/>
              <w:spacing w:line="360" w:lineRule="auto"/>
              <w:rPr>
                <w:rFonts w:hint="eastAsia" w:ascii="宋体" w:hAnsi="宋体" w:cs="宋体"/>
                <w:color w:val="auto"/>
                <w:sz w:val="22"/>
                <w:szCs w:val="21"/>
                <w:highlight w:val="none"/>
              </w:rPr>
            </w:pPr>
          </w:p>
        </w:tc>
        <w:tc>
          <w:tcPr>
            <w:tcW w:w="708" w:type="dxa"/>
            <w:tcBorders>
              <w:bottom w:val="single" w:color="auto" w:sz="12" w:space="0"/>
            </w:tcBorders>
            <w:noWrap w:val="0"/>
            <w:vAlign w:val="center"/>
          </w:tcPr>
          <w:p w14:paraId="165A6F2F">
            <w:pPr>
              <w:keepNext/>
              <w:snapToGrid w:val="0"/>
              <w:spacing w:line="360" w:lineRule="auto"/>
              <w:rPr>
                <w:rFonts w:hint="eastAsia" w:ascii="宋体" w:hAnsi="宋体" w:cs="宋体"/>
                <w:color w:val="auto"/>
                <w:sz w:val="22"/>
                <w:szCs w:val="21"/>
                <w:highlight w:val="none"/>
              </w:rPr>
            </w:pPr>
          </w:p>
        </w:tc>
        <w:tc>
          <w:tcPr>
            <w:tcW w:w="567" w:type="dxa"/>
            <w:tcBorders>
              <w:bottom w:val="single" w:color="auto" w:sz="12" w:space="0"/>
            </w:tcBorders>
            <w:noWrap w:val="0"/>
            <w:vAlign w:val="center"/>
          </w:tcPr>
          <w:p w14:paraId="4878C4D3">
            <w:pPr>
              <w:keepNext/>
              <w:snapToGrid w:val="0"/>
              <w:spacing w:line="360" w:lineRule="auto"/>
              <w:rPr>
                <w:rFonts w:hint="eastAsia" w:ascii="宋体" w:hAnsi="宋体" w:cs="宋体"/>
                <w:color w:val="auto"/>
                <w:sz w:val="22"/>
                <w:szCs w:val="21"/>
                <w:highlight w:val="none"/>
              </w:rPr>
            </w:pPr>
          </w:p>
        </w:tc>
      </w:tr>
    </w:tbl>
    <w:p w14:paraId="10B14F0C">
      <w:pPr>
        <w:spacing w:line="360" w:lineRule="auto"/>
        <w:rPr>
          <w:rFonts w:hint="eastAsia" w:ascii="宋体" w:hAnsi="宋体" w:cs="宋体"/>
          <w:color w:val="auto"/>
          <w:sz w:val="22"/>
          <w:szCs w:val="21"/>
          <w:highlight w:val="none"/>
        </w:rPr>
      </w:pPr>
    </w:p>
    <w:p w14:paraId="56D834BA">
      <w:pPr>
        <w:spacing w:line="360" w:lineRule="auto"/>
        <w:rPr>
          <w:rFonts w:hint="eastAsia" w:ascii="宋体" w:hAnsi="宋体" w:cs="宋体"/>
          <w:color w:val="auto"/>
          <w:sz w:val="22"/>
          <w:szCs w:val="21"/>
          <w:highlight w:val="none"/>
        </w:rPr>
      </w:pPr>
    </w:p>
    <w:p w14:paraId="5736A80F">
      <w:pPr>
        <w:keepNext/>
        <w:keepLines/>
        <w:spacing w:before="120" w:after="120" w:line="360" w:lineRule="auto"/>
        <w:jc w:val="left"/>
        <w:outlineLvl w:val="2"/>
        <w:rPr>
          <w:rFonts w:hint="eastAsia" w:ascii="宋体" w:hAnsi="宋体" w:cs="宋体"/>
          <w:bCs/>
          <w:color w:val="auto"/>
          <w:sz w:val="24"/>
          <w:highlight w:val="none"/>
        </w:rPr>
      </w:pPr>
      <w:bookmarkStart w:id="863" w:name="_Toc95223487"/>
      <w:r>
        <w:rPr>
          <w:rFonts w:hint="eastAsia" w:ascii="宋体" w:hAnsi="宋体" w:cs="宋体"/>
          <w:bCs/>
          <w:color w:val="auto"/>
          <w:sz w:val="24"/>
          <w:highlight w:val="none"/>
        </w:rPr>
        <w:t>附</w:t>
      </w:r>
      <w:bookmarkStart w:id="864" w:name="_Toc296503225"/>
      <w:bookmarkStart w:id="865" w:name="_Toc296347224"/>
      <w:bookmarkStart w:id="866" w:name="_Toc296944564"/>
      <w:bookmarkStart w:id="867" w:name="_Toc296346726"/>
      <w:bookmarkStart w:id="868" w:name="_Toc296891265"/>
      <w:bookmarkStart w:id="869" w:name="_Toc296891053"/>
      <w:bookmarkStart w:id="870" w:name="_Toc267261692"/>
      <w:r>
        <w:rPr>
          <w:rFonts w:hint="eastAsia" w:ascii="宋体" w:hAnsi="宋体" w:cs="宋体"/>
          <w:bCs/>
          <w:color w:val="auto"/>
          <w:sz w:val="24"/>
          <w:highlight w:val="none"/>
        </w:rPr>
        <w:t>件2：发包人供应材料设备一览表</w:t>
      </w:r>
      <w:bookmarkEnd w:id="863"/>
    </w:p>
    <w:bookmarkEnd w:id="864"/>
    <w:bookmarkEnd w:id="865"/>
    <w:bookmarkEnd w:id="866"/>
    <w:bookmarkEnd w:id="867"/>
    <w:bookmarkEnd w:id="868"/>
    <w:bookmarkEnd w:id="869"/>
    <w:bookmarkEnd w:id="870"/>
    <w:p w14:paraId="65C3F7DA">
      <w:pPr>
        <w:spacing w:line="360" w:lineRule="auto"/>
        <w:jc w:val="center"/>
        <w:rPr>
          <w:rFonts w:hint="eastAsia" w:ascii="宋体" w:hAnsi="宋体" w:cs="宋体"/>
          <w:color w:val="auto"/>
          <w:sz w:val="22"/>
          <w:szCs w:val="21"/>
          <w:highlight w:val="none"/>
        </w:rPr>
      </w:pPr>
      <w:r>
        <w:rPr>
          <w:rFonts w:hint="eastAsia" w:ascii="宋体" w:hAnsi="宋体" w:cs="宋体"/>
          <w:color w:val="auto"/>
          <w:sz w:val="22"/>
          <w:szCs w:val="21"/>
          <w:highlight w:val="none"/>
        </w:rPr>
        <w:t>发包人供应材料设备一览表</w:t>
      </w:r>
    </w:p>
    <w:tbl>
      <w:tblPr>
        <w:tblStyle w:val="47"/>
        <w:tblW w:w="9656"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851"/>
        <w:gridCol w:w="1276"/>
        <w:gridCol w:w="1082"/>
        <w:gridCol w:w="940"/>
        <w:gridCol w:w="851"/>
        <w:gridCol w:w="1044"/>
        <w:gridCol w:w="992"/>
        <w:gridCol w:w="851"/>
        <w:gridCol w:w="966"/>
        <w:gridCol w:w="803"/>
      </w:tblGrid>
      <w:tr w14:paraId="72B7936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851" w:type="dxa"/>
            <w:tcBorders>
              <w:top w:val="single" w:color="auto" w:sz="12" w:space="0"/>
              <w:bottom w:val="double" w:color="auto" w:sz="6" w:space="0"/>
            </w:tcBorders>
            <w:noWrap w:val="0"/>
            <w:vAlign w:val="center"/>
          </w:tcPr>
          <w:p w14:paraId="30E7BFBB">
            <w:pPr>
              <w:keepNext/>
              <w:snapToGrid w:val="0"/>
              <w:spacing w:line="360" w:lineRule="auto"/>
              <w:rPr>
                <w:rFonts w:hint="eastAsia" w:ascii="宋体" w:hAnsi="宋体" w:cs="宋体"/>
                <w:color w:val="auto"/>
                <w:sz w:val="22"/>
                <w:szCs w:val="21"/>
                <w:highlight w:val="none"/>
              </w:rPr>
            </w:pPr>
            <w:r>
              <w:rPr>
                <w:rFonts w:hint="eastAsia" w:ascii="宋体" w:hAnsi="宋体" w:cs="宋体"/>
                <w:color w:val="auto"/>
                <w:sz w:val="22"/>
                <w:szCs w:val="21"/>
                <w:highlight w:val="none"/>
              </w:rPr>
              <w:t>序号</w:t>
            </w:r>
          </w:p>
        </w:tc>
        <w:tc>
          <w:tcPr>
            <w:tcW w:w="1276" w:type="dxa"/>
            <w:tcBorders>
              <w:top w:val="single" w:color="auto" w:sz="12" w:space="0"/>
              <w:bottom w:val="double" w:color="auto" w:sz="6" w:space="0"/>
            </w:tcBorders>
            <w:noWrap w:val="0"/>
            <w:vAlign w:val="center"/>
          </w:tcPr>
          <w:p w14:paraId="1DCD8925">
            <w:pPr>
              <w:keepNext/>
              <w:snapToGrid w:val="0"/>
              <w:spacing w:line="360" w:lineRule="auto"/>
              <w:rPr>
                <w:rFonts w:hint="eastAsia" w:ascii="宋体" w:hAnsi="宋体" w:cs="宋体"/>
                <w:color w:val="auto"/>
                <w:sz w:val="22"/>
                <w:szCs w:val="21"/>
                <w:highlight w:val="none"/>
              </w:rPr>
            </w:pPr>
            <w:r>
              <w:rPr>
                <w:rFonts w:hint="eastAsia" w:ascii="宋体" w:hAnsi="宋体" w:cs="宋体"/>
                <w:color w:val="auto"/>
                <w:sz w:val="22"/>
                <w:szCs w:val="21"/>
                <w:highlight w:val="none"/>
              </w:rPr>
              <w:t>材料、设备品种</w:t>
            </w:r>
          </w:p>
        </w:tc>
        <w:tc>
          <w:tcPr>
            <w:tcW w:w="1082" w:type="dxa"/>
            <w:tcBorders>
              <w:top w:val="single" w:color="auto" w:sz="12" w:space="0"/>
              <w:bottom w:val="double" w:color="auto" w:sz="6" w:space="0"/>
            </w:tcBorders>
            <w:noWrap w:val="0"/>
            <w:vAlign w:val="center"/>
          </w:tcPr>
          <w:p w14:paraId="7BC70C08">
            <w:pPr>
              <w:keepNext/>
              <w:snapToGrid w:val="0"/>
              <w:spacing w:line="360" w:lineRule="auto"/>
              <w:rPr>
                <w:rFonts w:hint="eastAsia" w:ascii="宋体" w:hAnsi="宋体" w:cs="宋体"/>
                <w:color w:val="auto"/>
                <w:sz w:val="22"/>
                <w:szCs w:val="21"/>
                <w:highlight w:val="none"/>
              </w:rPr>
            </w:pPr>
            <w:r>
              <w:rPr>
                <w:rFonts w:hint="eastAsia" w:ascii="宋体" w:hAnsi="宋体" w:cs="宋体"/>
                <w:color w:val="auto"/>
                <w:sz w:val="22"/>
                <w:szCs w:val="21"/>
                <w:highlight w:val="none"/>
              </w:rPr>
              <w:t>规格型号</w:t>
            </w:r>
          </w:p>
        </w:tc>
        <w:tc>
          <w:tcPr>
            <w:tcW w:w="940" w:type="dxa"/>
            <w:tcBorders>
              <w:top w:val="single" w:color="auto" w:sz="12" w:space="0"/>
              <w:bottom w:val="double" w:color="auto" w:sz="6" w:space="0"/>
            </w:tcBorders>
            <w:noWrap w:val="0"/>
            <w:vAlign w:val="center"/>
          </w:tcPr>
          <w:p w14:paraId="3C844980">
            <w:pPr>
              <w:keepNext/>
              <w:snapToGrid w:val="0"/>
              <w:spacing w:line="360" w:lineRule="auto"/>
              <w:rPr>
                <w:rFonts w:hint="eastAsia" w:ascii="宋体" w:hAnsi="宋体" w:cs="宋体"/>
                <w:color w:val="auto"/>
                <w:sz w:val="22"/>
                <w:szCs w:val="21"/>
                <w:highlight w:val="none"/>
              </w:rPr>
            </w:pPr>
            <w:r>
              <w:rPr>
                <w:rFonts w:hint="eastAsia" w:ascii="宋体" w:hAnsi="宋体" w:cs="宋体"/>
                <w:color w:val="auto"/>
                <w:sz w:val="22"/>
                <w:szCs w:val="21"/>
                <w:highlight w:val="none"/>
              </w:rPr>
              <w:t>单位</w:t>
            </w:r>
          </w:p>
        </w:tc>
        <w:tc>
          <w:tcPr>
            <w:tcW w:w="851" w:type="dxa"/>
            <w:tcBorders>
              <w:top w:val="single" w:color="auto" w:sz="12" w:space="0"/>
              <w:bottom w:val="double" w:color="auto" w:sz="6" w:space="0"/>
            </w:tcBorders>
            <w:noWrap w:val="0"/>
            <w:vAlign w:val="center"/>
          </w:tcPr>
          <w:p w14:paraId="7449010F">
            <w:pPr>
              <w:keepNext/>
              <w:snapToGrid w:val="0"/>
              <w:spacing w:line="360" w:lineRule="auto"/>
              <w:rPr>
                <w:rFonts w:hint="eastAsia" w:ascii="宋体" w:hAnsi="宋体" w:cs="宋体"/>
                <w:color w:val="auto"/>
                <w:sz w:val="22"/>
                <w:szCs w:val="21"/>
                <w:highlight w:val="none"/>
              </w:rPr>
            </w:pPr>
            <w:r>
              <w:rPr>
                <w:rFonts w:hint="eastAsia" w:ascii="宋体" w:hAnsi="宋体" w:cs="宋体"/>
                <w:color w:val="auto"/>
                <w:sz w:val="22"/>
                <w:szCs w:val="21"/>
                <w:highlight w:val="none"/>
              </w:rPr>
              <w:t>数量</w:t>
            </w:r>
          </w:p>
        </w:tc>
        <w:tc>
          <w:tcPr>
            <w:tcW w:w="1044" w:type="dxa"/>
            <w:tcBorders>
              <w:top w:val="single" w:color="auto" w:sz="12" w:space="0"/>
              <w:bottom w:val="double" w:color="auto" w:sz="6" w:space="0"/>
            </w:tcBorders>
            <w:noWrap w:val="0"/>
            <w:vAlign w:val="center"/>
          </w:tcPr>
          <w:p w14:paraId="30E13CC1">
            <w:pPr>
              <w:keepNext/>
              <w:snapToGrid w:val="0"/>
              <w:spacing w:line="360" w:lineRule="auto"/>
              <w:rPr>
                <w:rFonts w:hint="eastAsia" w:ascii="宋体" w:hAnsi="宋体" w:cs="宋体"/>
                <w:color w:val="auto"/>
                <w:sz w:val="22"/>
                <w:szCs w:val="21"/>
                <w:highlight w:val="none"/>
              </w:rPr>
            </w:pPr>
            <w:r>
              <w:rPr>
                <w:rFonts w:hint="eastAsia" w:ascii="宋体" w:hAnsi="宋体" w:cs="宋体"/>
                <w:color w:val="auto"/>
                <w:sz w:val="22"/>
                <w:szCs w:val="21"/>
                <w:highlight w:val="none"/>
              </w:rPr>
              <w:t>单价（元）</w:t>
            </w:r>
          </w:p>
        </w:tc>
        <w:tc>
          <w:tcPr>
            <w:tcW w:w="992" w:type="dxa"/>
            <w:tcBorders>
              <w:top w:val="single" w:color="auto" w:sz="12" w:space="0"/>
              <w:bottom w:val="double" w:color="auto" w:sz="6" w:space="0"/>
            </w:tcBorders>
            <w:noWrap w:val="0"/>
            <w:vAlign w:val="center"/>
          </w:tcPr>
          <w:p w14:paraId="5E686EB2">
            <w:pPr>
              <w:keepNext/>
              <w:snapToGrid w:val="0"/>
              <w:spacing w:line="360" w:lineRule="auto"/>
              <w:rPr>
                <w:rFonts w:hint="eastAsia" w:ascii="宋体" w:hAnsi="宋体" w:cs="宋体"/>
                <w:color w:val="auto"/>
                <w:sz w:val="22"/>
                <w:szCs w:val="21"/>
                <w:highlight w:val="none"/>
              </w:rPr>
            </w:pPr>
            <w:r>
              <w:rPr>
                <w:rFonts w:hint="eastAsia" w:ascii="宋体" w:hAnsi="宋体" w:cs="宋体"/>
                <w:color w:val="auto"/>
                <w:sz w:val="22"/>
                <w:szCs w:val="21"/>
                <w:highlight w:val="none"/>
              </w:rPr>
              <w:t>质量等级</w:t>
            </w:r>
          </w:p>
        </w:tc>
        <w:tc>
          <w:tcPr>
            <w:tcW w:w="851" w:type="dxa"/>
            <w:tcBorders>
              <w:top w:val="single" w:color="auto" w:sz="12" w:space="0"/>
              <w:bottom w:val="double" w:color="auto" w:sz="6" w:space="0"/>
            </w:tcBorders>
            <w:noWrap w:val="0"/>
            <w:vAlign w:val="center"/>
          </w:tcPr>
          <w:p w14:paraId="749633C3">
            <w:pPr>
              <w:keepNext/>
              <w:snapToGrid w:val="0"/>
              <w:spacing w:line="360" w:lineRule="auto"/>
              <w:rPr>
                <w:rFonts w:hint="eastAsia" w:ascii="宋体" w:hAnsi="宋体" w:cs="宋体"/>
                <w:color w:val="auto"/>
                <w:sz w:val="22"/>
                <w:szCs w:val="21"/>
                <w:highlight w:val="none"/>
              </w:rPr>
            </w:pPr>
            <w:r>
              <w:rPr>
                <w:rFonts w:hint="eastAsia" w:ascii="宋体" w:hAnsi="宋体" w:cs="宋体"/>
                <w:color w:val="auto"/>
                <w:sz w:val="22"/>
                <w:szCs w:val="21"/>
                <w:highlight w:val="none"/>
              </w:rPr>
              <w:t>供应时间</w:t>
            </w:r>
          </w:p>
        </w:tc>
        <w:tc>
          <w:tcPr>
            <w:tcW w:w="966" w:type="dxa"/>
            <w:tcBorders>
              <w:top w:val="single" w:color="auto" w:sz="12" w:space="0"/>
              <w:bottom w:val="double" w:color="auto" w:sz="6" w:space="0"/>
            </w:tcBorders>
            <w:noWrap w:val="0"/>
            <w:vAlign w:val="center"/>
          </w:tcPr>
          <w:p w14:paraId="1A9DBB08">
            <w:pPr>
              <w:keepNext/>
              <w:snapToGrid w:val="0"/>
              <w:spacing w:line="360" w:lineRule="auto"/>
              <w:rPr>
                <w:rFonts w:hint="eastAsia" w:ascii="宋体" w:hAnsi="宋体" w:cs="宋体"/>
                <w:color w:val="auto"/>
                <w:sz w:val="22"/>
                <w:szCs w:val="21"/>
                <w:highlight w:val="none"/>
              </w:rPr>
            </w:pPr>
            <w:r>
              <w:rPr>
                <w:rFonts w:hint="eastAsia" w:ascii="宋体" w:hAnsi="宋体" w:cs="宋体"/>
                <w:color w:val="auto"/>
                <w:sz w:val="22"/>
                <w:szCs w:val="21"/>
                <w:highlight w:val="none"/>
              </w:rPr>
              <w:t>送达地点</w:t>
            </w:r>
          </w:p>
        </w:tc>
        <w:tc>
          <w:tcPr>
            <w:tcW w:w="803" w:type="dxa"/>
            <w:tcBorders>
              <w:top w:val="single" w:color="auto" w:sz="12" w:space="0"/>
              <w:bottom w:val="double" w:color="auto" w:sz="6" w:space="0"/>
            </w:tcBorders>
            <w:noWrap w:val="0"/>
            <w:vAlign w:val="center"/>
          </w:tcPr>
          <w:p w14:paraId="1A5B8172">
            <w:pPr>
              <w:keepNext/>
              <w:snapToGrid w:val="0"/>
              <w:spacing w:line="360" w:lineRule="auto"/>
              <w:rPr>
                <w:rFonts w:hint="eastAsia" w:ascii="宋体" w:hAnsi="宋体" w:cs="宋体"/>
                <w:color w:val="auto"/>
                <w:sz w:val="22"/>
                <w:szCs w:val="21"/>
                <w:highlight w:val="none"/>
              </w:rPr>
            </w:pPr>
            <w:r>
              <w:rPr>
                <w:rFonts w:hint="eastAsia" w:ascii="宋体" w:hAnsi="宋体" w:cs="宋体"/>
                <w:color w:val="auto"/>
                <w:sz w:val="22"/>
                <w:szCs w:val="21"/>
                <w:highlight w:val="none"/>
              </w:rPr>
              <w:t>备注</w:t>
            </w:r>
          </w:p>
        </w:tc>
      </w:tr>
      <w:tr w14:paraId="7D415D0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851" w:type="dxa"/>
            <w:tcBorders>
              <w:top w:val="double" w:color="auto" w:sz="6" w:space="0"/>
            </w:tcBorders>
            <w:noWrap w:val="0"/>
            <w:vAlign w:val="center"/>
          </w:tcPr>
          <w:p w14:paraId="16BD464D">
            <w:pPr>
              <w:keepNext/>
              <w:snapToGrid w:val="0"/>
              <w:spacing w:line="360" w:lineRule="auto"/>
              <w:rPr>
                <w:rFonts w:hint="eastAsia" w:ascii="宋体" w:hAnsi="宋体" w:cs="宋体"/>
                <w:color w:val="auto"/>
                <w:sz w:val="22"/>
                <w:szCs w:val="21"/>
                <w:highlight w:val="none"/>
              </w:rPr>
            </w:pPr>
          </w:p>
        </w:tc>
        <w:tc>
          <w:tcPr>
            <w:tcW w:w="1276" w:type="dxa"/>
            <w:tcBorders>
              <w:top w:val="double" w:color="auto" w:sz="6" w:space="0"/>
            </w:tcBorders>
            <w:noWrap w:val="0"/>
            <w:vAlign w:val="center"/>
          </w:tcPr>
          <w:p w14:paraId="3AAD8862">
            <w:pPr>
              <w:keepNext/>
              <w:snapToGrid w:val="0"/>
              <w:spacing w:line="360" w:lineRule="auto"/>
              <w:rPr>
                <w:rFonts w:hint="eastAsia" w:ascii="宋体" w:hAnsi="宋体" w:cs="宋体"/>
                <w:color w:val="auto"/>
                <w:sz w:val="22"/>
                <w:szCs w:val="21"/>
                <w:highlight w:val="none"/>
              </w:rPr>
            </w:pPr>
          </w:p>
        </w:tc>
        <w:tc>
          <w:tcPr>
            <w:tcW w:w="1082" w:type="dxa"/>
            <w:tcBorders>
              <w:top w:val="double" w:color="auto" w:sz="6" w:space="0"/>
            </w:tcBorders>
            <w:noWrap w:val="0"/>
            <w:vAlign w:val="center"/>
          </w:tcPr>
          <w:p w14:paraId="2C0C88F3">
            <w:pPr>
              <w:keepNext/>
              <w:snapToGrid w:val="0"/>
              <w:spacing w:line="360" w:lineRule="auto"/>
              <w:rPr>
                <w:rFonts w:hint="eastAsia" w:ascii="宋体" w:hAnsi="宋体" w:cs="宋体"/>
                <w:color w:val="auto"/>
                <w:sz w:val="22"/>
                <w:szCs w:val="21"/>
                <w:highlight w:val="none"/>
              </w:rPr>
            </w:pPr>
          </w:p>
        </w:tc>
        <w:tc>
          <w:tcPr>
            <w:tcW w:w="940" w:type="dxa"/>
            <w:tcBorders>
              <w:top w:val="double" w:color="auto" w:sz="6" w:space="0"/>
            </w:tcBorders>
            <w:noWrap w:val="0"/>
            <w:vAlign w:val="center"/>
          </w:tcPr>
          <w:p w14:paraId="03450777">
            <w:pPr>
              <w:keepNext/>
              <w:snapToGrid w:val="0"/>
              <w:spacing w:line="360" w:lineRule="auto"/>
              <w:rPr>
                <w:rFonts w:hint="eastAsia" w:ascii="宋体" w:hAnsi="宋体" w:cs="宋体"/>
                <w:color w:val="auto"/>
                <w:sz w:val="22"/>
                <w:szCs w:val="21"/>
                <w:highlight w:val="none"/>
              </w:rPr>
            </w:pPr>
          </w:p>
        </w:tc>
        <w:tc>
          <w:tcPr>
            <w:tcW w:w="851" w:type="dxa"/>
            <w:tcBorders>
              <w:top w:val="double" w:color="auto" w:sz="6" w:space="0"/>
            </w:tcBorders>
            <w:noWrap w:val="0"/>
            <w:vAlign w:val="center"/>
          </w:tcPr>
          <w:p w14:paraId="7BB8DF66">
            <w:pPr>
              <w:keepNext/>
              <w:snapToGrid w:val="0"/>
              <w:spacing w:line="360" w:lineRule="auto"/>
              <w:rPr>
                <w:rFonts w:hint="eastAsia" w:ascii="宋体" w:hAnsi="宋体" w:cs="宋体"/>
                <w:color w:val="auto"/>
                <w:sz w:val="22"/>
                <w:szCs w:val="21"/>
                <w:highlight w:val="none"/>
              </w:rPr>
            </w:pPr>
          </w:p>
        </w:tc>
        <w:tc>
          <w:tcPr>
            <w:tcW w:w="1044" w:type="dxa"/>
            <w:tcBorders>
              <w:top w:val="double" w:color="auto" w:sz="6" w:space="0"/>
            </w:tcBorders>
            <w:noWrap w:val="0"/>
            <w:vAlign w:val="center"/>
          </w:tcPr>
          <w:p w14:paraId="4308D45C">
            <w:pPr>
              <w:keepNext/>
              <w:snapToGrid w:val="0"/>
              <w:spacing w:line="360" w:lineRule="auto"/>
              <w:rPr>
                <w:rFonts w:hint="eastAsia" w:ascii="宋体" w:hAnsi="宋体" w:cs="宋体"/>
                <w:color w:val="auto"/>
                <w:sz w:val="22"/>
                <w:szCs w:val="21"/>
                <w:highlight w:val="none"/>
              </w:rPr>
            </w:pPr>
          </w:p>
        </w:tc>
        <w:tc>
          <w:tcPr>
            <w:tcW w:w="992" w:type="dxa"/>
            <w:tcBorders>
              <w:top w:val="double" w:color="auto" w:sz="6" w:space="0"/>
            </w:tcBorders>
            <w:noWrap w:val="0"/>
            <w:vAlign w:val="center"/>
          </w:tcPr>
          <w:p w14:paraId="001DFEBC">
            <w:pPr>
              <w:keepNext/>
              <w:snapToGrid w:val="0"/>
              <w:spacing w:line="360" w:lineRule="auto"/>
              <w:rPr>
                <w:rFonts w:hint="eastAsia" w:ascii="宋体" w:hAnsi="宋体" w:cs="宋体"/>
                <w:color w:val="auto"/>
                <w:sz w:val="22"/>
                <w:szCs w:val="21"/>
                <w:highlight w:val="none"/>
              </w:rPr>
            </w:pPr>
          </w:p>
        </w:tc>
        <w:tc>
          <w:tcPr>
            <w:tcW w:w="851" w:type="dxa"/>
            <w:tcBorders>
              <w:top w:val="double" w:color="auto" w:sz="6" w:space="0"/>
            </w:tcBorders>
            <w:noWrap w:val="0"/>
            <w:vAlign w:val="center"/>
          </w:tcPr>
          <w:p w14:paraId="5BD99C3F">
            <w:pPr>
              <w:keepNext/>
              <w:snapToGrid w:val="0"/>
              <w:spacing w:line="360" w:lineRule="auto"/>
              <w:rPr>
                <w:rFonts w:hint="eastAsia" w:ascii="宋体" w:hAnsi="宋体" w:cs="宋体"/>
                <w:color w:val="auto"/>
                <w:sz w:val="22"/>
                <w:szCs w:val="21"/>
                <w:highlight w:val="none"/>
              </w:rPr>
            </w:pPr>
          </w:p>
        </w:tc>
        <w:tc>
          <w:tcPr>
            <w:tcW w:w="966" w:type="dxa"/>
            <w:tcBorders>
              <w:top w:val="double" w:color="auto" w:sz="6" w:space="0"/>
            </w:tcBorders>
            <w:noWrap w:val="0"/>
            <w:vAlign w:val="center"/>
          </w:tcPr>
          <w:p w14:paraId="48630F52">
            <w:pPr>
              <w:keepNext/>
              <w:snapToGrid w:val="0"/>
              <w:spacing w:line="360" w:lineRule="auto"/>
              <w:rPr>
                <w:rFonts w:hint="eastAsia" w:ascii="宋体" w:hAnsi="宋体" w:cs="宋体"/>
                <w:color w:val="auto"/>
                <w:sz w:val="22"/>
                <w:szCs w:val="21"/>
                <w:highlight w:val="none"/>
              </w:rPr>
            </w:pPr>
          </w:p>
        </w:tc>
        <w:tc>
          <w:tcPr>
            <w:tcW w:w="803" w:type="dxa"/>
            <w:tcBorders>
              <w:top w:val="double" w:color="auto" w:sz="6" w:space="0"/>
            </w:tcBorders>
            <w:noWrap w:val="0"/>
            <w:vAlign w:val="center"/>
          </w:tcPr>
          <w:p w14:paraId="0963CF67">
            <w:pPr>
              <w:keepNext/>
              <w:snapToGrid w:val="0"/>
              <w:spacing w:line="360" w:lineRule="auto"/>
              <w:rPr>
                <w:rFonts w:hint="eastAsia" w:ascii="宋体" w:hAnsi="宋体" w:cs="宋体"/>
                <w:color w:val="auto"/>
                <w:sz w:val="22"/>
                <w:szCs w:val="21"/>
                <w:highlight w:val="none"/>
              </w:rPr>
            </w:pPr>
          </w:p>
        </w:tc>
      </w:tr>
      <w:tr w14:paraId="2B6D063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851" w:type="dxa"/>
            <w:noWrap w:val="0"/>
            <w:vAlign w:val="center"/>
          </w:tcPr>
          <w:p w14:paraId="48C09BA2">
            <w:pPr>
              <w:snapToGrid w:val="0"/>
              <w:spacing w:line="360" w:lineRule="auto"/>
              <w:rPr>
                <w:rFonts w:hint="eastAsia" w:ascii="宋体" w:hAnsi="宋体" w:cs="宋体"/>
                <w:color w:val="auto"/>
                <w:sz w:val="22"/>
                <w:szCs w:val="21"/>
                <w:highlight w:val="none"/>
              </w:rPr>
            </w:pPr>
          </w:p>
        </w:tc>
        <w:tc>
          <w:tcPr>
            <w:tcW w:w="1276" w:type="dxa"/>
            <w:noWrap w:val="0"/>
            <w:vAlign w:val="center"/>
          </w:tcPr>
          <w:p w14:paraId="5742AE75">
            <w:pPr>
              <w:snapToGrid w:val="0"/>
              <w:spacing w:line="360" w:lineRule="auto"/>
              <w:rPr>
                <w:rFonts w:hint="eastAsia" w:ascii="宋体" w:hAnsi="宋体" w:cs="宋体"/>
                <w:color w:val="auto"/>
                <w:sz w:val="22"/>
                <w:szCs w:val="21"/>
                <w:highlight w:val="none"/>
              </w:rPr>
            </w:pPr>
          </w:p>
        </w:tc>
        <w:tc>
          <w:tcPr>
            <w:tcW w:w="1082" w:type="dxa"/>
            <w:noWrap w:val="0"/>
            <w:vAlign w:val="center"/>
          </w:tcPr>
          <w:p w14:paraId="518E0633">
            <w:pPr>
              <w:snapToGrid w:val="0"/>
              <w:spacing w:line="360" w:lineRule="auto"/>
              <w:rPr>
                <w:rFonts w:hint="eastAsia" w:ascii="宋体" w:hAnsi="宋体" w:cs="宋体"/>
                <w:color w:val="auto"/>
                <w:sz w:val="22"/>
                <w:szCs w:val="21"/>
                <w:highlight w:val="none"/>
              </w:rPr>
            </w:pPr>
          </w:p>
        </w:tc>
        <w:tc>
          <w:tcPr>
            <w:tcW w:w="940" w:type="dxa"/>
            <w:noWrap w:val="0"/>
            <w:vAlign w:val="center"/>
          </w:tcPr>
          <w:p w14:paraId="4E56161B">
            <w:pPr>
              <w:snapToGrid w:val="0"/>
              <w:spacing w:line="360" w:lineRule="auto"/>
              <w:rPr>
                <w:rFonts w:hint="eastAsia" w:ascii="宋体" w:hAnsi="宋体" w:cs="宋体"/>
                <w:color w:val="auto"/>
                <w:sz w:val="22"/>
                <w:szCs w:val="21"/>
                <w:highlight w:val="none"/>
              </w:rPr>
            </w:pPr>
          </w:p>
        </w:tc>
        <w:tc>
          <w:tcPr>
            <w:tcW w:w="851" w:type="dxa"/>
            <w:noWrap w:val="0"/>
            <w:vAlign w:val="center"/>
          </w:tcPr>
          <w:p w14:paraId="48A48E38">
            <w:pPr>
              <w:snapToGrid w:val="0"/>
              <w:spacing w:line="360" w:lineRule="auto"/>
              <w:rPr>
                <w:rFonts w:hint="eastAsia" w:ascii="宋体" w:hAnsi="宋体" w:cs="宋体"/>
                <w:color w:val="auto"/>
                <w:sz w:val="22"/>
                <w:szCs w:val="21"/>
                <w:highlight w:val="none"/>
              </w:rPr>
            </w:pPr>
          </w:p>
        </w:tc>
        <w:tc>
          <w:tcPr>
            <w:tcW w:w="1044" w:type="dxa"/>
            <w:noWrap w:val="0"/>
            <w:vAlign w:val="center"/>
          </w:tcPr>
          <w:p w14:paraId="0709195A">
            <w:pPr>
              <w:snapToGrid w:val="0"/>
              <w:spacing w:line="360" w:lineRule="auto"/>
              <w:rPr>
                <w:rFonts w:hint="eastAsia" w:ascii="宋体" w:hAnsi="宋体" w:cs="宋体"/>
                <w:color w:val="auto"/>
                <w:sz w:val="22"/>
                <w:szCs w:val="21"/>
                <w:highlight w:val="none"/>
              </w:rPr>
            </w:pPr>
          </w:p>
        </w:tc>
        <w:tc>
          <w:tcPr>
            <w:tcW w:w="992" w:type="dxa"/>
            <w:noWrap w:val="0"/>
            <w:vAlign w:val="center"/>
          </w:tcPr>
          <w:p w14:paraId="63DC6AC9">
            <w:pPr>
              <w:snapToGrid w:val="0"/>
              <w:spacing w:line="360" w:lineRule="auto"/>
              <w:rPr>
                <w:rFonts w:hint="eastAsia" w:ascii="宋体" w:hAnsi="宋体" w:cs="宋体"/>
                <w:color w:val="auto"/>
                <w:sz w:val="22"/>
                <w:szCs w:val="21"/>
                <w:highlight w:val="none"/>
              </w:rPr>
            </w:pPr>
          </w:p>
        </w:tc>
        <w:tc>
          <w:tcPr>
            <w:tcW w:w="851" w:type="dxa"/>
            <w:noWrap w:val="0"/>
            <w:vAlign w:val="center"/>
          </w:tcPr>
          <w:p w14:paraId="05767BED">
            <w:pPr>
              <w:snapToGrid w:val="0"/>
              <w:spacing w:line="360" w:lineRule="auto"/>
              <w:rPr>
                <w:rFonts w:hint="eastAsia" w:ascii="宋体" w:hAnsi="宋体" w:cs="宋体"/>
                <w:color w:val="auto"/>
                <w:sz w:val="22"/>
                <w:szCs w:val="21"/>
                <w:highlight w:val="none"/>
              </w:rPr>
            </w:pPr>
          </w:p>
        </w:tc>
        <w:tc>
          <w:tcPr>
            <w:tcW w:w="966" w:type="dxa"/>
            <w:noWrap w:val="0"/>
            <w:vAlign w:val="center"/>
          </w:tcPr>
          <w:p w14:paraId="521D2477">
            <w:pPr>
              <w:snapToGrid w:val="0"/>
              <w:spacing w:line="360" w:lineRule="auto"/>
              <w:rPr>
                <w:rFonts w:hint="eastAsia" w:ascii="宋体" w:hAnsi="宋体" w:cs="宋体"/>
                <w:color w:val="auto"/>
                <w:sz w:val="22"/>
                <w:szCs w:val="21"/>
                <w:highlight w:val="none"/>
              </w:rPr>
            </w:pPr>
          </w:p>
        </w:tc>
        <w:tc>
          <w:tcPr>
            <w:tcW w:w="803" w:type="dxa"/>
            <w:noWrap w:val="0"/>
            <w:vAlign w:val="center"/>
          </w:tcPr>
          <w:p w14:paraId="65BE286F">
            <w:pPr>
              <w:snapToGrid w:val="0"/>
              <w:spacing w:line="360" w:lineRule="auto"/>
              <w:rPr>
                <w:rFonts w:hint="eastAsia" w:ascii="宋体" w:hAnsi="宋体" w:cs="宋体"/>
                <w:color w:val="auto"/>
                <w:sz w:val="22"/>
                <w:szCs w:val="21"/>
                <w:highlight w:val="none"/>
              </w:rPr>
            </w:pPr>
          </w:p>
        </w:tc>
      </w:tr>
      <w:tr w14:paraId="1B5CBA3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851" w:type="dxa"/>
            <w:tcBorders>
              <w:bottom w:val="single" w:color="auto" w:sz="12" w:space="0"/>
            </w:tcBorders>
            <w:noWrap w:val="0"/>
            <w:vAlign w:val="center"/>
          </w:tcPr>
          <w:p w14:paraId="60501A89">
            <w:pPr>
              <w:snapToGrid w:val="0"/>
              <w:spacing w:line="360" w:lineRule="auto"/>
              <w:rPr>
                <w:rFonts w:hint="eastAsia" w:ascii="宋体" w:hAnsi="宋体" w:cs="宋体"/>
                <w:color w:val="auto"/>
                <w:sz w:val="22"/>
                <w:szCs w:val="21"/>
                <w:highlight w:val="none"/>
              </w:rPr>
            </w:pPr>
          </w:p>
        </w:tc>
        <w:tc>
          <w:tcPr>
            <w:tcW w:w="1276" w:type="dxa"/>
            <w:tcBorders>
              <w:bottom w:val="single" w:color="auto" w:sz="12" w:space="0"/>
            </w:tcBorders>
            <w:noWrap w:val="0"/>
            <w:vAlign w:val="center"/>
          </w:tcPr>
          <w:p w14:paraId="58834832">
            <w:pPr>
              <w:snapToGrid w:val="0"/>
              <w:spacing w:line="360" w:lineRule="auto"/>
              <w:rPr>
                <w:rFonts w:hint="eastAsia" w:ascii="宋体" w:hAnsi="宋体" w:cs="宋体"/>
                <w:color w:val="auto"/>
                <w:sz w:val="22"/>
                <w:szCs w:val="21"/>
                <w:highlight w:val="none"/>
              </w:rPr>
            </w:pPr>
          </w:p>
        </w:tc>
        <w:tc>
          <w:tcPr>
            <w:tcW w:w="1082" w:type="dxa"/>
            <w:tcBorders>
              <w:bottom w:val="single" w:color="auto" w:sz="12" w:space="0"/>
            </w:tcBorders>
            <w:noWrap w:val="0"/>
            <w:vAlign w:val="center"/>
          </w:tcPr>
          <w:p w14:paraId="3A718BB3">
            <w:pPr>
              <w:snapToGrid w:val="0"/>
              <w:spacing w:line="360" w:lineRule="auto"/>
              <w:rPr>
                <w:rFonts w:hint="eastAsia" w:ascii="宋体" w:hAnsi="宋体" w:cs="宋体"/>
                <w:color w:val="auto"/>
                <w:sz w:val="22"/>
                <w:szCs w:val="21"/>
                <w:highlight w:val="none"/>
              </w:rPr>
            </w:pPr>
          </w:p>
        </w:tc>
        <w:tc>
          <w:tcPr>
            <w:tcW w:w="940" w:type="dxa"/>
            <w:tcBorders>
              <w:bottom w:val="single" w:color="auto" w:sz="12" w:space="0"/>
            </w:tcBorders>
            <w:noWrap w:val="0"/>
            <w:vAlign w:val="center"/>
          </w:tcPr>
          <w:p w14:paraId="299319D6">
            <w:pPr>
              <w:snapToGrid w:val="0"/>
              <w:spacing w:line="360" w:lineRule="auto"/>
              <w:rPr>
                <w:rFonts w:hint="eastAsia" w:ascii="宋体" w:hAnsi="宋体" w:cs="宋体"/>
                <w:color w:val="auto"/>
                <w:sz w:val="22"/>
                <w:szCs w:val="21"/>
                <w:highlight w:val="none"/>
              </w:rPr>
            </w:pPr>
          </w:p>
        </w:tc>
        <w:tc>
          <w:tcPr>
            <w:tcW w:w="851" w:type="dxa"/>
            <w:tcBorders>
              <w:bottom w:val="single" w:color="auto" w:sz="12" w:space="0"/>
            </w:tcBorders>
            <w:noWrap w:val="0"/>
            <w:vAlign w:val="center"/>
          </w:tcPr>
          <w:p w14:paraId="3F8C004B">
            <w:pPr>
              <w:snapToGrid w:val="0"/>
              <w:spacing w:line="360" w:lineRule="auto"/>
              <w:rPr>
                <w:rFonts w:hint="eastAsia" w:ascii="宋体" w:hAnsi="宋体" w:cs="宋体"/>
                <w:color w:val="auto"/>
                <w:sz w:val="22"/>
                <w:szCs w:val="21"/>
                <w:highlight w:val="none"/>
              </w:rPr>
            </w:pPr>
          </w:p>
        </w:tc>
        <w:tc>
          <w:tcPr>
            <w:tcW w:w="1044" w:type="dxa"/>
            <w:tcBorders>
              <w:bottom w:val="single" w:color="auto" w:sz="12" w:space="0"/>
            </w:tcBorders>
            <w:noWrap w:val="0"/>
            <w:vAlign w:val="center"/>
          </w:tcPr>
          <w:p w14:paraId="01DF7C00">
            <w:pPr>
              <w:snapToGrid w:val="0"/>
              <w:spacing w:line="360" w:lineRule="auto"/>
              <w:rPr>
                <w:rFonts w:hint="eastAsia" w:ascii="宋体" w:hAnsi="宋体" w:cs="宋体"/>
                <w:color w:val="auto"/>
                <w:sz w:val="22"/>
                <w:szCs w:val="21"/>
                <w:highlight w:val="none"/>
              </w:rPr>
            </w:pPr>
          </w:p>
        </w:tc>
        <w:tc>
          <w:tcPr>
            <w:tcW w:w="992" w:type="dxa"/>
            <w:tcBorders>
              <w:bottom w:val="single" w:color="auto" w:sz="12" w:space="0"/>
            </w:tcBorders>
            <w:noWrap w:val="0"/>
            <w:vAlign w:val="center"/>
          </w:tcPr>
          <w:p w14:paraId="62070F81">
            <w:pPr>
              <w:snapToGrid w:val="0"/>
              <w:spacing w:line="360" w:lineRule="auto"/>
              <w:rPr>
                <w:rFonts w:hint="eastAsia" w:ascii="宋体" w:hAnsi="宋体" w:cs="宋体"/>
                <w:color w:val="auto"/>
                <w:sz w:val="22"/>
                <w:szCs w:val="21"/>
                <w:highlight w:val="none"/>
              </w:rPr>
            </w:pPr>
          </w:p>
        </w:tc>
        <w:tc>
          <w:tcPr>
            <w:tcW w:w="851" w:type="dxa"/>
            <w:tcBorders>
              <w:bottom w:val="single" w:color="auto" w:sz="12" w:space="0"/>
            </w:tcBorders>
            <w:noWrap w:val="0"/>
            <w:vAlign w:val="center"/>
          </w:tcPr>
          <w:p w14:paraId="180776BF">
            <w:pPr>
              <w:snapToGrid w:val="0"/>
              <w:spacing w:line="360" w:lineRule="auto"/>
              <w:rPr>
                <w:rFonts w:hint="eastAsia" w:ascii="宋体" w:hAnsi="宋体" w:cs="宋体"/>
                <w:color w:val="auto"/>
                <w:sz w:val="22"/>
                <w:szCs w:val="21"/>
                <w:highlight w:val="none"/>
              </w:rPr>
            </w:pPr>
          </w:p>
        </w:tc>
        <w:tc>
          <w:tcPr>
            <w:tcW w:w="966" w:type="dxa"/>
            <w:tcBorders>
              <w:bottom w:val="single" w:color="auto" w:sz="12" w:space="0"/>
            </w:tcBorders>
            <w:noWrap w:val="0"/>
            <w:vAlign w:val="center"/>
          </w:tcPr>
          <w:p w14:paraId="14D0E4B8">
            <w:pPr>
              <w:snapToGrid w:val="0"/>
              <w:spacing w:line="360" w:lineRule="auto"/>
              <w:rPr>
                <w:rFonts w:hint="eastAsia" w:ascii="宋体" w:hAnsi="宋体" w:cs="宋体"/>
                <w:color w:val="auto"/>
                <w:sz w:val="22"/>
                <w:szCs w:val="21"/>
                <w:highlight w:val="none"/>
              </w:rPr>
            </w:pPr>
          </w:p>
        </w:tc>
        <w:tc>
          <w:tcPr>
            <w:tcW w:w="803" w:type="dxa"/>
            <w:tcBorders>
              <w:bottom w:val="single" w:color="auto" w:sz="12" w:space="0"/>
            </w:tcBorders>
            <w:noWrap w:val="0"/>
            <w:vAlign w:val="center"/>
          </w:tcPr>
          <w:p w14:paraId="15870F20">
            <w:pPr>
              <w:snapToGrid w:val="0"/>
              <w:spacing w:line="360" w:lineRule="auto"/>
              <w:rPr>
                <w:rFonts w:hint="eastAsia" w:ascii="宋体" w:hAnsi="宋体" w:cs="宋体"/>
                <w:color w:val="auto"/>
                <w:sz w:val="22"/>
                <w:szCs w:val="21"/>
                <w:highlight w:val="none"/>
              </w:rPr>
            </w:pPr>
          </w:p>
        </w:tc>
      </w:tr>
    </w:tbl>
    <w:p w14:paraId="41156AFE">
      <w:pPr>
        <w:pStyle w:val="14"/>
        <w:rPr>
          <w:rFonts w:hint="eastAsia"/>
          <w:color w:val="auto"/>
          <w:highlight w:val="none"/>
        </w:rPr>
      </w:pPr>
    </w:p>
    <w:p w14:paraId="63658383">
      <w:pPr>
        <w:rPr>
          <w:rFonts w:hint="eastAsia"/>
          <w:color w:val="auto"/>
          <w:highlight w:val="none"/>
        </w:rPr>
      </w:pPr>
    </w:p>
    <w:p w14:paraId="668911F2">
      <w:pPr>
        <w:pStyle w:val="14"/>
        <w:rPr>
          <w:rFonts w:hint="eastAsia"/>
          <w:color w:val="auto"/>
          <w:highlight w:val="none"/>
        </w:rPr>
      </w:pPr>
    </w:p>
    <w:p w14:paraId="346A727E">
      <w:pPr>
        <w:rPr>
          <w:rFonts w:hint="eastAsia"/>
          <w:color w:val="auto"/>
          <w:highlight w:val="none"/>
        </w:rPr>
      </w:pPr>
    </w:p>
    <w:p w14:paraId="1C5B9316">
      <w:pPr>
        <w:pStyle w:val="14"/>
        <w:rPr>
          <w:rFonts w:hint="eastAsia"/>
          <w:color w:val="auto"/>
          <w:highlight w:val="none"/>
        </w:rPr>
      </w:pPr>
    </w:p>
    <w:p w14:paraId="6CEDC117">
      <w:pPr>
        <w:rPr>
          <w:rFonts w:hint="eastAsia"/>
          <w:color w:val="auto"/>
          <w:highlight w:val="none"/>
        </w:rPr>
      </w:pPr>
    </w:p>
    <w:p w14:paraId="60FA8106">
      <w:pPr>
        <w:pStyle w:val="14"/>
        <w:rPr>
          <w:rFonts w:hint="eastAsia"/>
          <w:color w:val="auto"/>
          <w:highlight w:val="none"/>
        </w:rPr>
      </w:pPr>
    </w:p>
    <w:p w14:paraId="750E2ED4">
      <w:pPr>
        <w:rPr>
          <w:rFonts w:hint="eastAsia"/>
          <w:color w:val="auto"/>
          <w:highlight w:val="none"/>
        </w:rPr>
      </w:pPr>
    </w:p>
    <w:p w14:paraId="7B7E6C0E">
      <w:pPr>
        <w:pStyle w:val="14"/>
        <w:rPr>
          <w:rFonts w:hint="eastAsia"/>
          <w:color w:val="auto"/>
          <w:highlight w:val="none"/>
        </w:rPr>
      </w:pPr>
    </w:p>
    <w:p w14:paraId="5690D59A">
      <w:pPr>
        <w:rPr>
          <w:rFonts w:hint="eastAsia"/>
          <w:color w:val="auto"/>
          <w:highlight w:val="none"/>
        </w:rPr>
      </w:pPr>
    </w:p>
    <w:p w14:paraId="609DECB3">
      <w:pPr>
        <w:pStyle w:val="14"/>
        <w:rPr>
          <w:rFonts w:hint="eastAsia"/>
          <w:color w:val="auto"/>
          <w:highlight w:val="none"/>
        </w:rPr>
      </w:pPr>
    </w:p>
    <w:p w14:paraId="6D713AB3">
      <w:pPr>
        <w:pStyle w:val="14"/>
        <w:rPr>
          <w:rFonts w:hint="eastAsia"/>
          <w:color w:val="auto"/>
          <w:highlight w:val="none"/>
        </w:rPr>
      </w:pPr>
    </w:p>
    <w:p w14:paraId="2BFFADDB">
      <w:pPr>
        <w:rPr>
          <w:rFonts w:hint="eastAsia"/>
          <w:color w:val="auto"/>
          <w:highlight w:val="none"/>
        </w:rPr>
      </w:pPr>
    </w:p>
    <w:p w14:paraId="5A3C4779">
      <w:pPr>
        <w:pStyle w:val="14"/>
        <w:rPr>
          <w:rFonts w:hint="eastAsia"/>
          <w:color w:val="auto"/>
          <w:highlight w:val="none"/>
        </w:rPr>
      </w:pPr>
    </w:p>
    <w:p w14:paraId="352A613F">
      <w:pPr>
        <w:keepNext/>
        <w:keepLines/>
        <w:spacing w:before="120" w:after="120" w:line="360" w:lineRule="auto"/>
        <w:jc w:val="left"/>
        <w:outlineLvl w:val="2"/>
        <w:rPr>
          <w:rFonts w:ascii="宋体" w:hAnsi="宋体" w:cs="宋体"/>
          <w:bCs/>
          <w:color w:val="auto"/>
          <w:sz w:val="24"/>
          <w:highlight w:val="none"/>
        </w:rPr>
        <w:sectPr>
          <w:footnotePr>
            <w:numFmt w:val="decimalEnclosedCircleChinese"/>
            <w:numRestart w:val="eachPage"/>
          </w:footnotePr>
          <w:pgSz w:w="11907" w:h="16840"/>
          <w:pgMar w:top="1474" w:right="1474" w:bottom="1474" w:left="1474" w:header="799" w:footer="907" w:gutter="0"/>
          <w:pgNumType w:fmt="decimal"/>
          <w:cols w:space="720" w:num="1"/>
          <w:docGrid w:linePitch="271" w:charSpace="0"/>
        </w:sectPr>
      </w:pPr>
      <w:bookmarkStart w:id="871" w:name="_Toc95223488"/>
    </w:p>
    <w:p w14:paraId="419682F1">
      <w:pPr>
        <w:keepNext/>
        <w:keepLines/>
        <w:spacing w:before="120" w:after="120" w:line="360" w:lineRule="auto"/>
        <w:jc w:val="left"/>
        <w:outlineLvl w:val="2"/>
        <w:rPr>
          <w:rFonts w:hint="eastAsia" w:ascii="宋体" w:hAnsi="宋体" w:cs="宋体"/>
          <w:bCs/>
          <w:color w:val="auto"/>
          <w:sz w:val="24"/>
          <w:highlight w:val="none"/>
        </w:rPr>
      </w:pPr>
      <w:r>
        <w:rPr>
          <w:rFonts w:hint="eastAsia" w:ascii="宋体" w:hAnsi="宋体" w:cs="宋体"/>
          <w:bCs/>
          <w:color w:val="auto"/>
          <w:sz w:val="24"/>
          <w:highlight w:val="none"/>
        </w:rPr>
        <w:t>附件3：工程质量保修书</w:t>
      </w:r>
      <w:bookmarkEnd w:id="871"/>
    </w:p>
    <w:p w14:paraId="0127F340">
      <w:pPr>
        <w:adjustRightInd w:val="0"/>
        <w:snapToGrid w:val="0"/>
        <w:spacing w:before="120" w:beforeLines="50" w:after="120" w:afterLines="50" w:line="360" w:lineRule="auto"/>
        <w:jc w:val="center"/>
        <w:rPr>
          <w:rFonts w:hint="eastAsia" w:ascii="宋体" w:hAnsi="宋体" w:cs="宋体"/>
          <w:b/>
          <w:color w:val="auto"/>
          <w:sz w:val="24"/>
          <w:highlight w:val="none"/>
        </w:rPr>
      </w:pPr>
      <w:r>
        <w:rPr>
          <w:rFonts w:hint="eastAsia" w:ascii="宋体" w:hAnsi="宋体" w:cs="宋体"/>
          <w:b/>
          <w:color w:val="auto"/>
          <w:sz w:val="24"/>
          <w:highlight w:val="none"/>
        </w:rPr>
        <w:t>工程质量保修书</w:t>
      </w:r>
    </w:p>
    <w:p w14:paraId="7B8E252D">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发包人（全称）：</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w:t>
      </w:r>
    </w:p>
    <w:p w14:paraId="05267EBF">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承包人（全称）：</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w:t>
      </w:r>
    </w:p>
    <w:p w14:paraId="33972459">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发包人和承包人</w:t>
      </w:r>
      <w:r>
        <w:rPr>
          <w:rFonts w:hint="eastAsia" w:ascii="宋体" w:hAnsi="宋体" w:cs="宋体"/>
          <w:color w:val="auto"/>
          <w:sz w:val="21"/>
          <w:szCs w:val="21"/>
          <w:highlight w:val="none"/>
        </w:rPr>
        <w:t>根据《中华人民共和国建筑法》和《建设工程质量管理条例》，经协</w:t>
      </w:r>
      <w:r>
        <w:rPr>
          <w:rFonts w:hint="eastAsia" w:ascii="宋体" w:hAnsi="宋体" w:cs="宋体"/>
          <w:color w:val="auto"/>
          <w:szCs w:val="21"/>
          <w:highlight w:val="none"/>
        </w:rPr>
        <w:t>商一致就_______________（工程全称）签订工程质量保修书。</w:t>
      </w:r>
    </w:p>
    <w:p w14:paraId="448EE0A1">
      <w:pPr>
        <w:adjustRightInd w:val="0"/>
        <w:snapToGrid w:val="0"/>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一、工程质量保修范围和内容</w:t>
      </w:r>
    </w:p>
    <w:p w14:paraId="320ED7F3">
      <w:pPr>
        <w:adjustRightInd w:val="0"/>
        <w:snapToGrid w:val="0"/>
        <w:spacing w:line="360" w:lineRule="auto"/>
        <w:ind w:firstLine="420" w:firstLineChars="200"/>
        <w:jc w:val="left"/>
        <w:rPr>
          <w:rFonts w:hint="eastAsia" w:ascii="宋体" w:hAnsi="宋体" w:cs="宋体"/>
          <w:color w:val="auto"/>
          <w:position w:val="6"/>
          <w:szCs w:val="21"/>
          <w:highlight w:val="none"/>
        </w:rPr>
      </w:pPr>
      <w:r>
        <w:rPr>
          <w:rFonts w:hint="eastAsia" w:ascii="宋体" w:hAnsi="宋体" w:cs="宋体"/>
          <w:color w:val="auto"/>
          <w:position w:val="6"/>
          <w:szCs w:val="21"/>
          <w:highlight w:val="none"/>
        </w:rPr>
        <w:t>按照《建设工程质量管理条例》及有关法律、法规、规章的管理规定，双方约定由施工单位在质量保修期内，承担本工程的质量保修责任。</w:t>
      </w:r>
    </w:p>
    <w:p w14:paraId="0E937D3C">
      <w:pPr>
        <w:adjustRightInd w:val="0"/>
        <w:snapToGrid w:val="0"/>
        <w:spacing w:line="360" w:lineRule="auto"/>
        <w:ind w:firstLine="420" w:firstLineChars="200"/>
        <w:jc w:val="left"/>
        <w:rPr>
          <w:rFonts w:hint="eastAsia" w:ascii="宋体" w:hAnsi="宋体" w:cs="宋体"/>
          <w:color w:val="auto"/>
          <w:position w:val="6"/>
          <w:szCs w:val="21"/>
          <w:highlight w:val="none"/>
        </w:rPr>
      </w:pPr>
      <w:r>
        <w:rPr>
          <w:rFonts w:hint="eastAsia" w:ascii="宋体" w:hAnsi="宋体" w:cs="宋体"/>
          <w:color w:val="auto"/>
          <w:position w:val="6"/>
          <w:szCs w:val="21"/>
          <w:highlight w:val="none"/>
        </w:rPr>
        <w:t>质量保修范围和内容：______________________。</w:t>
      </w:r>
      <w:r>
        <w:rPr>
          <w:rFonts w:hint="eastAsia" w:ascii="宋体" w:hAnsi="宋体" w:cs="宋体"/>
          <w:bCs/>
          <w:color w:val="auto"/>
          <w:kern w:val="0"/>
          <w:position w:val="6"/>
          <w:szCs w:val="21"/>
          <w:highlight w:val="none"/>
        </w:rPr>
        <w:t>因不可抗力或使用不当造成的质量缺陷，不属保修范围。</w:t>
      </w:r>
    </w:p>
    <w:p w14:paraId="43C4015C">
      <w:pPr>
        <w:adjustRightInd w:val="0"/>
        <w:snapToGrid w:val="0"/>
        <w:spacing w:line="360" w:lineRule="auto"/>
        <w:ind w:firstLine="413" w:firstLineChars="196"/>
        <w:rPr>
          <w:rFonts w:hint="eastAsia" w:ascii="宋体" w:hAnsi="宋体" w:cs="宋体"/>
          <w:b/>
          <w:color w:val="auto"/>
          <w:szCs w:val="21"/>
          <w:highlight w:val="none"/>
        </w:rPr>
      </w:pPr>
      <w:r>
        <w:rPr>
          <w:rFonts w:hint="eastAsia" w:ascii="宋体" w:hAnsi="宋体" w:cs="宋体"/>
          <w:b/>
          <w:color w:val="auto"/>
          <w:szCs w:val="21"/>
          <w:highlight w:val="none"/>
        </w:rPr>
        <w:t>二、质量保修期</w:t>
      </w:r>
    </w:p>
    <w:p w14:paraId="7609B69B">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根据《建设工程质量管理条例》及有关规定，工程的质量保修期如下：</w:t>
      </w:r>
    </w:p>
    <w:p w14:paraId="7D9830D1">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 地基基础工程和主体结构工程为设计文件规定的工程合理使用年限；</w:t>
      </w:r>
    </w:p>
    <w:p w14:paraId="7DFA8CF3">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 屋面防水工程、有防水要求的卫生间、房间和外墙面的防渗为</w:t>
      </w:r>
      <w:r>
        <w:rPr>
          <w:rFonts w:hint="eastAsia" w:ascii="宋体" w:hAnsi="宋体" w:cs="宋体"/>
          <w:color w:val="auto"/>
          <w:szCs w:val="21"/>
          <w:highlight w:val="none"/>
          <w:u w:val="single"/>
        </w:rPr>
        <w:t>5</w:t>
      </w:r>
      <w:r>
        <w:rPr>
          <w:rFonts w:hint="eastAsia" w:ascii="宋体" w:hAnsi="宋体" w:cs="宋体"/>
          <w:color w:val="auto"/>
          <w:szCs w:val="21"/>
          <w:highlight w:val="none"/>
        </w:rPr>
        <w:t>年；</w:t>
      </w:r>
    </w:p>
    <w:p w14:paraId="30637002">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 装修工程为</w:t>
      </w:r>
      <w:r>
        <w:rPr>
          <w:rFonts w:hint="eastAsia" w:ascii="宋体" w:hAnsi="宋体" w:cs="宋体"/>
          <w:color w:val="auto"/>
          <w:szCs w:val="21"/>
          <w:highlight w:val="none"/>
          <w:u w:val="single"/>
        </w:rPr>
        <w:t>2</w:t>
      </w:r>
      <w:r>
        <w:rPr>
          <w:rFonts w:hint="eastAsia" w:ascii="宋体" w:hAnsi="宋体" w:cs="宋体"/>
          <w:color w:val="auto"/>
          <w:szCs w:val="21"/>
          <w:highlight w:val="none"/>
        </w:rPr>
        <w:t>年；</w:t>
      </w:r>
    </w:p>
    <w:p w14:paraId="4B971FBB">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 电气管线、给排水管道、设备安装工程为</w:t>
      </w:r>
      <w:r>
        <w:rPr>
          <w:rFonts w:hint="eastAsia" w:ascii="宋体" w:hAnsi="宋体" w:cs="宋体"/>
          <w:color w:val="auto"/>
          <w:szCs w:val="21"/>
          <w:highlight w:val="none"/>
          <w:u w:val="single"/>
        </w:rPr>
        <w:t>2</w:t>
      </w:r>
      <w:r>
        <w:rPr>
          <w:rFonts w:hint="eastAsia" w:ascii="宋体" w:hAnsi="宋体" w:cs="宋体"/>
          <w:color w:val="auto"/>
          <w:szCs w:val="21"/>
          <w:highlight w:val="none"/>
        </w:rPr>
        <w:t>年；</w:t>
      </w:r>
    </w:p>
    <w:p w14:paraId="34704899">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 供热与供冷系统为</w:t>
      </w:r>
      <w:r>
        <w:rPr>
          <w:rFonts w:hint="eastAsia" w:ascii="宋体" w:hAnsi="宋体" w:cs="宋体"/>
          <w:color w:val="auto"/>
          <w:szCs w:val="21"/>
          <w:highlight w:val="none"/>
          <w:u w:val="single"/>
        </w:rPr>
        <w:t>2</w:t>
      </w:r>
      <w:r>
        <w:rPr>
          <w:rFonts w:hint="eastAsia" w:ascii="宋体" w:hAnsi="宋体" w:cs="宋体"/>
          <w:color w:val="auto"/>
          <w:szCs w:val="21"/>
          <w:highlight w:val="none"/>
        </w:rPr>
        <w:t>个采暖期、供冷期；</w:t>
      </w:r>
    </w:p>
    <w:p w14:paraId="5B0EB713">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6. 住宅小区内的给排水设施、道路等配套工程为</w:t>
      </w:r>
      <w:r>
        <w:rPr>
          <w:rFonts w:hint="eastAsia" w:ascii="宋体" w:hAnsi="宋体" w:cs="宋体"/>
          <w:color w:val="auto"/>
          <w:szCs w:val="21"/>
          <w:highlight w:val="none"/>
          <w:u w:val="single"/>
        </w:rPr>
        <w:t>2</w:t>
      </w:r>
      <w:r>
        <w:rPr>
          <w:rFonts w:hint="eastAsia" w:ascii="宋体" w:hAnsi="宋体" w:cs="宋体"/>
          <w:color w:val="auto"/>
          <w:szCs w:val="21"/>
          <w:highlight w:val="none"/>
        </w:rPr>
        <w:t>年；</w:t>
      </w:r>
    </w:p>
    <w:p w14:paraId="420966F0">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7. 其他项目保修期限约定如下：</w:t>
      </w:r>
      <w:r>
        <w:rPr>
          <w:rFonts w:hint="eastAsia" w:ascii="宋体" w:hAnsi="宋体" w:cs="宋体"/>
          <w:color w:val="auto"/>
          <w:szCs w:val="21"/>
          <w:highlight w:val="none"/>
          <w:u w:val="single"/>
        </w:rPr>
        <w:t>保温工程5年</w:t>
      </w:r>
      <w:r>
        <w:rPr>
          <w:rFonts w:hint="eastAsia" w:ascii="宋体" w:hAnsi="宋体" w:cs="宋体"/>
          <w:color w:val="auto"/>
          <w:szCs w:val="21"/>
          <w:highlight w:val="none"/>
        </w:rPr>
        <w:t>。</w:t>
      </w:r>
    </w:p>
    <w:p w14:paraId="77FA1684">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质量保修期自工程竣工验收合格之日起计算。</w:t>
      </w:r>
    </w:p>
    <w:p w14:paraId="01B011B4">
      <w:pPr>
        <w:adjustRightInd w:val="0"/>
        <w:snapToGrid w:val="0"/>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三、缺陷责任期</w:t>
      </w:r>
    </w:p>
    <w:p w14:paraId="15844076">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工程缺陷责任期为</w:t>
      </w:r>
      <w:r>
        <w:rPr>
          <w:rFonts w:hint="eastAsia" w:ascii="宋体" w:hAnsi="宋体" w:cs="宋体"/>
          <w:color w:val="auto"/>
          <w:szCs w:val="21"/>
          <w:highlight w:val="none"/>
          <w:u w:val="single"/>
          <w:lang w:val="en-US" w:eastAsia="zh-CN"/>
        </w:rPr>
        <w:t>2年</w:t>
      </w:r>
      <w:r>
        <w:rPr>
          <w:rFonts w:hint="eastAsia" w:ascii="宋体" w:hAnsi="宋体" w:cs="宋体"/>
          <w:color w:val="auto"/>
          <w:szCs w:val="21"/>
          <w:highlight w:val="none"/>
        </w:rPr>
        <w:t>，缺陷责任期自工程竣工验收合格之日起计算。单位工程先于全部工程进行验收，单位工程缺陷责任期自单位工程验收合格之日起算。</w:t>
      </w:r>
    </w:p>
    <w:p w14:paraId="5A7CA20B">
      <w:pPr>
        <w:adjustRightInd w:val="0"/>
        <w:snapToGrid w:val="0"/>
        <w:spacing w:line="360" w:lineRule="auto"/>
        <w:ind w:firstLine="420" w:firstLineChars="200"/>
        <w:rPr>
          <w:rFonts w:hint="eastAsia" w:ascii="宋体" w:hAnsi="宋体" w:cs="宋体"/>
          <w:b/>
          <w:color w:val="auto"/>
          <w:szCs w:val="21"/>
          <w:highlight w:val="none"/>
        </w:rPr>
      </w:pPr>
      <w:r>
        <w:rPr>
          <w:rFonts w:hint="eastAsia" w:ascii="宋体" w:hAnsi="宋体" w:cs="宋体"/>
          <w:color w:val="auto"/>
          <w:szCs w:val="21"/>
          <w:highlight w:val="none"/>
        </w:rPr>
        <w:t>缺陷责任期终止后，发包人应退还剩余的质量保证金。</w:t>
      </w:r>
    </w:p>
    <w:p w14:paraId="1347A9FD">
      <w:pPr>
        <w:adjustRightInd w:val="0"/>
        <w:snapToGrid w:val="0"/>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四、质量保修责任</w:t>
      </w:r>
    </w:p>
    <w:p w14:paraId="292EC824">
      <w:pPr>
        <w:adjustRightInd w:val="0"/>
        <w:snapToGrid w:val="0"/>
        <w:spacing w:line="360" w:lineRule="auto"/>
        <w:ind w:firstLine="430" w:firstLineChars="205"/>
        <w:rPr>
          <w:rFonts w:hint="eastAsia" w:ascii="宋体" w:hAnsi="宋体" w:cs="宋体"/>
          <w:color w:val="auto"/>
          <w:szCs w:val="21"/>
          <w:highlight w:val="none"/>
        </w:rPr>
      </w:pPr>
      <w:r>
        <w:rPr>
          <w:rFonts w:hint="eastAsia" w:ascii="宋体" w:hAnsi="宋体" w:cs="宋体"/>
          <w:color w:val="auto"/>
          <w:szCs w:val="21"/>
          <w:highlight w:val="none"/>
        </w:rPr>
        <w:t>1. 属于保修范围、内容的项目，承包人应当在接到保修通知之日起7天内派人保修。承包人不在约定期限内派人保修的，发包人可以委托他人修理。</w:t>
      </w:r>
    </w:p>
    <w:p w14:paraId="6F2D721B">
      <w:pPr>
        <w:adjustRightInd w:val="0"/>
        <w:snapToGrid w:val="0"/>
        <w:spacing w:line="360" w:lineRule="auto"/>
        <w:ind w:firstLine="430" w:firstLineChars="205"/>
        <w:rPr>
          <w:rFonts w:hint="eastAsia" w:ascii="宋体" w:hAnsi="宋体" w:cs="宋体"/>
          <w:color w:val="auto"/>
          <w:szCs w:val="21"/>
          <w:highlight w:val="none"/>
        </w:rPr>
      </w:pPr>
      <w:r>
        <w:rPr>
          <w:rFonts w:hint="eastAsia" w:ascii="宋体" w:hAnsi="宋体" w:cs="宋体"/>
          <w:color w:val="auto"/>
          <w:szCs w:val="21"/>
          <w:highlight w:val="none"/>
        </w:rPr>
        <w:t>2. 发生紧急事故需抢修的，承包人在接到事故通知后，应当立即到达事故现场抢修。</w:t>
      </w:r>
    </w:p>
    <w:p w14:paraId="7242503E">
      <w:pPr>
        <w:adjustRightInd w:val="0"/>
        <w:snapToGrid w:val="0"/>
        <w:spacing w:line="360" w:lineRule="auto"/>
        <w:ind w:firstLine="430" w:firstLineChars="205"/>
        <w:rPr>
          <w:rFonts w:hint="eastAsia" w:ascii="宋体" w:hAnsi="宋体" w:cs="宋体"/>
          <w:color w:val="auto"/>
          <w:szCs w:val="21"/>
          <w:highlight w:val="none"/>
        </w:rPr>
      </w:pPr>
      <w:r>
        <w:rPr>
          <w:rFonts w:hint="eastAsia" w:ascii="宋体" w:hAnsi="宋体" w:cs="宋体"/>
          <w:color w:val="auto"/>
          <w:szCs w:val="21"/>
          <w:highlight w:val="none"/>
        </w:rPr>
        <w:t>3. 对于涉及结构安全的质量问题，应当按照《建设工程质量管理条例》的规定，立即向当地建设行政主管部门和有关部门报告，采取安全防范措施，并由原设计人或者具有相应资质等级的设计人提出保修方案，承包人实施保修。</w:t>
      </w:r>
    </w:p>
    <w:p w14:paraId="2BB4FBC8">
      <w:pPr>
        <w:adjustRightInd w:val="0"/>
        <w:snapToGrid w:val="0"/>
        <w:spacing w:line="360" w:lineRule="auto"/>
        <w:ind w:firstLine="430" w:firstLineChars="205"/>
        <w:rPr>
          <w:rFonts w:hint="eastAsia" w:ascii="宋体" w:hAnsi="宋体" w:cs="宋体"/>
          <w:color w:val="auto"/>
          <w:szCs w:val="21"/>
          <w:highlight w:val="none"/>
        </w:rPr>
      </w:pPr>
      <w:r>
        <w:rPr>
          <w:rFonts w:hint="eastAsia" w:ascii="宋体" w:hAnsi="宋体" w:cs="宋体"/>
          <w:color w:val="auto"/>
          <w:szCs w:val="21"/>
          <w:highlight w:val="none"/>
        </w:rPr>
        <w:t>4. 质量保修完成后，由发包人组织验收。</w:t>
      </w:r>
    </w:p>
    <w:p w14:paraId="19643CE4">
      <w:pPr>
        <w:adjustRightInd w:val="0"/>
        <w:snapToGrid w:val="0"/>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五、保修费用</w:t>
      </w:r>
    </w:p>
    <w:p w14:paraId="3485A8F3">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保修费用由造成质量缺陷的责任方承担。</w:t>
      </w:r>
    </w:p>
    <w:p w14:paraId="688608C1">
      <w:pPr>
        <w:adjustRightInd w:val="0"/>
        <w:snapToGrid w:val="0"/>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六、双方约定的其他工程质量保修事项：</w:t>
      </w:r>
      <w:r>
        <w:rPr>
          <w:rFonts w:hint="eastAsia" w:ascii="宋体" w:hAnsi="宋体" w:cs="宋体"/>
          <w:b/>
          <w:color w:val="auto"/>
          <w:szCs w:val="21"/>
          <w:highlight w:val="none"/>
          <w:u w:val="single"/>
        </w:rPr>
        <w:t xml:space="preserve">             </w:t>
      </w:r>
      <w:r>
        <w:rPr>
          <w:rFonts w:hint="eastAsia" w:ascii="宋体" w:hAnsi="宋体" w:cs="宋体"/>
          <w:b/>
          <w:color w:val="auto"/>
          <w:szCs w:val="21"/>
          <w:highlight w:val="none"/>
        </w:rPr>
        <w:t>。</w:t>
      </w:r>
    </w:p>
    <w:p w14:paraId="7587D0B7">
      <w:pPr>
        <w:adjustRightInd w:val="0"/>
        <w:snapToGrid w:val="0"/>
        <w:spacing w:line="360" w:lineRule="auto"/>
        <w:ind w:firstLine="399" w:firstLineChars="190"/>
        <w:rPr>
          <w:rFonts w:hint="eastAsia" w:ascii="宋体" w:hAnsi="宋体" w:cs="宋体"/>
          <w:color w:val="auto"/>
          <w:szCs w:val="21"/>
          <w:highlight w:val="none"/>
        </w:rPr>
      </w:pPr>
      <w:r>
        <w:rPr>
          <w:rFonts w:hint="eastAsia" w:ascii="宋体" w:hAnsi="宋体" w:cs="宋体"/>
          <w:color w:val="auto"/>
          <w:szCs w:val="21"/>
          <w:highlight w:val="none"/>
        </w:rPr>
        <w:t>工程质量保修书由发包人、承包人在工程竣工验收前共同签署，作为施工合同附件，其有效期限至保修期满。</w:t>
      </w:r>
    </w:p>
    <w:p w14:paraId="358A67C8">
      <w:pPr>
        <w:adjustRightInd w:val="0"/>
        <w:snapToGrid w:val="0"/>
        <w:spacing w:line="360" w:lineRule="auto"/>
        <w:ind w:firstLine="420"/>
        <w:rPr>
          <w:rFonts w:hint="eastAsia" w:ascii="宋体" w:hAnsi="宋体" w:cs="宋体"/>
          <w:color w:val="auto"/>
          <w:szCs w:val="21"/>
          <w:highlight w:val="none"/>
        </w:rPr>
      </w:pPr>
    </w:p>
    <w:p w14:paraId="36076C49">
      <w:pPr>
        <w:adjustRightInd w:val="0"/>
        <w:snapToGrid w:val="0"/>
        <w:spacing w:line="360" w:lineRule="auto"/>
        <w:ind w:firstLine="420"/>
        <w:rPr>
          <w:rFonts w:hint="eastAsia" w:ascii="宋体" w:hAnsi="宋体" w:cs="宋体"/>
          <w:color w:val="auto"/>
          <w:szCs w:val="21"/>
          <w:highlight w:val="none"/>
        </w:rPr>
      </w:pPr>
    </w:p>
    <w:p w14:paraId="3696E431">
      <w:pPr>
        <w:adjustRightInd w:val="0"/>
        <w:snapToGrid w:val="0"/>
        <w:spacing w:line="360" w:lineRule="auto"/>
        <w:rPr>
          <w:rFonts w:hint="eastAsia" w:ascii="宋体" w:hAnsi="宋体" w:cs="宋体"/>
          <w:color w:val="auto"/>
          <w:szCs w:val="21"/>
          <w:highlight w:val="none"/>
          <w:u w:val="single"/>
        </w:rPr>
      </w:pPr>
      <w:r>
        <w:rPr>
          <w:rFonts w:hint="eastAsia" w:ascii="宋体" w:hAnsi="宋体" w:cs="宋体"/>
          <w:color w:val="auto"/>
          <w:szCs w:val="21"/>
          <w:highlight w:val="none"/>
        </w:rPr>
        <w:t>发包人(公章)：</w:t>
      </w:r>
      <w:r>
        <w:rPr>
          <w:rFonts w:hint="eastAsia" w:ascii="宋体" w:hAnsi="宋体" w:cs="宋体"/>
          <w:color w:val="auto"/>
          <w:szCs w:val="21"/>
          <w:highlight w:val="none"/>
          <w:u w:val="single"/>
        </w:rPr>
        <w:t xml:space="preserve">            </w:t>
      </w:r>
      <w:r>
        <w:rPr>
          <w:rFonts w:hint="eastAsia" w:ascii="宋体" w:hAnsi="宋体" w:cs="宋体"/>
          <w:color w:val="auto"/>
          <w:szCs w:val="21"/>
          <w:highlight w:val="none"/>
        </w:rPr>
        <w:t xml:space="preserve">                     承包人(公章)：</w:t>
      </w:r>
      <w:r>
        <w:rPr>
          <w:rFonts w:hint="eastAsia" w:ascii="宋体" w:hAnsi="宋体" w:cs="宋体"/>
          <w:color w:val="auto"/>
          <w:szCs w:val="21"/>
          <w:highlight w:val="none"/>
          <w:u w:val="single"/>
        </w:rPr>
        <w:t xml:space="preserve">           </w:t>
      </w:r>
    </w:p>
    <w:p w14:paraId="7B28FFC8">
      <w:pPr>
        <w:adjustRightInd w:val="0"/>
        <w:snapToGrid w:val="0"/>
        <w:spacing w:line="360" w:lineRule="auto"/>
        <w:rPr>
          <w:rFonts w:hint="eastAsia" w:ascii="宋体" w:hAnsi="宋体" w:cs="宋体"/>
          <w:color w:val="auto"/>
          <w:szCs w:val="21"/>
          <w:highlight w:val="none"/>
          <w:u w:val="single"/>
        </w:rPr>
      </w:pPr>
      <w:r>
        <w:rPr>
          <w:rFonts w:hint="eastAsia" w:ascii="宋体" w:hAnsi="宋体" w:cs="宋体"/>
          <w:color w:val="auto"/>
          <w:szCs w:val="21"/>
          <w:highlight w:val="none"/>
        </w:rPr>
        <w:t>地  址：</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地  址：</w:t>
      </w:r>
      <w:r>
        <w:rPr>
          <w:rFonts w:hint="eastAsia" w:ascii="宋体" w:hAnsi="宋体" w:cs="宋体"/>
          <w:color w:val="auto"/>
          <w:szCs w:val="21"/>
          <w:highlight w:val="none"/>
          <w:u w:val="single"/>
        </w:rPr>
        <w:t xml:space="preserve">                    </w:t>
      </w:r>
    </w:p>
    <w:p w14:paraId="4CA84289">
      <w:pPr>
        <w:adjustRightInd w:val="0"/>
        <w:snapToGrid w:val="0"/>
        <w:spacing w:line="360" w:lineRule="auto"/>
        <w:rPr>
          <w:rFonts w:hint="eastAsia" w:ascii="宋体" w:hAnsi="宋体" w:cs="宋体"/>
          <w:color w:val="auto"/>
          <w:szCs w:val="21"/>
          <w:highlight w:val="none"/>
          <w:u w:val="single"/>
        </w:rPr>
      </w:pPr>
      <w:r>
        <w:rPr>
          <w:rFonts w:hint="eastAsia" w:ascii="宋体" w:hAnsi="宋体" w:cs="宋体"/>
          <w:color w:val="auto"/>
          <w:szCs w:val="21"/>
          <w:highlight w:val="none"/>
        </w:rPr>
        <w:t>法定代表人(签字)：</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法定代表人(签字)：</w:t>
      </w:r>
      <w:r>
        <w:rPr>
          <w:rFonts w:hint="eastAsia" w:ascii="宋体" w:hAnsi="宋体" w:cs="宋体"/>
          <w:color w:val="auto"/>
          <w:szCs w:val="21"/>
          <w:highlight w:val="none"/>
          <w:u w:val="single"/>
        </w:rPr>
        <w:t xml:space="preserve">           </w:t>
      </w:r>
    </w:p>
    <w:p w14:paraId="0ABD84DA">
      <w:pPr>
        <w:adjustRightInd w:val="0"/>
        <w:snapToGrid w:val="0"/>
        <w:spacing w:line="360" w:lineRule="auto"/>
        <w:rPr>
          <w:rFonts w:hint="eastAsia" w:ascii="宋体" w:hAnsi="宋体" w:cs="宋体"/>
          <w:color w:val="auto"/>
          <w:szCs w:val="21"/>
          <w:highlight w:val="none"/>
          <w:u w:val="single"/>
        </w:rPr>
      </w:pPr>
      <w:r>
        <w:rPr>
          <w:rFonts w:hint="eastAsia" w:ascii="宋体" w:hAnsi="宋体" w:cs="宋体"/>
          <w:color w:val="auto"/>
          <w:szCs w:val="21"/>
          <w:highlight w:val="none"/>
        </w:rPr>
        <w:t>委托代理人(签字)：</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委托代理人(签字)：</w:t>
      </w:r>
      <w:r>
        <w:rPr>
          <w:rFonts w:hint="eastAsia" w:ascii="宋体" w:hAnsi="宋体" w:cs="宋体"/>
          <w:color w:val="auto"/>
          <w:szCs w:val="21"/>
          <w:highlight w:val="none"/>
          <w:u w:val="single"/>
        </w:rPr>
        <w:t xml:space="preserve">            </w:t>
      </w:r>
    </w:p>
    <w:p w14:paraId="0B4950E9">
      <w:pPr>
        <w:adjustRightInd w:val="0"/>
        <w:snapToGrid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电  话：</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电  话：</w:t>
      </w:r>
      <w:r>
        <w:rPr>
          <w:rFonts w:hint="eastAsia" w:ascii="宋体" w:hAnsi="宋体" w:cs="宋体"/>
          <w:color w:val="auto"/>
          <w:szCs w:val="21"/>
          <w:highlight w:val="none"/>
          <w:u w:val="single"/>
        </w:rPr>
        <w:t xml:space="preserve">                     </w:t>
      </w:r>
    </w:p>
    <w:p w14:paraId="48DAA545">
      <w:pPr>
        <w:adjustRightInd w:val="0"/>
        <w:snapToGrid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传  真：</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传  真：</w:t>
      </w:r>
      <w:r>
        <w:rPr>
          <w:rFonts w:hint="eastAsia" w:ascii="宋体" w:hAnsi="宋体" w:cs="宋体"/>
          <w:color w:val="auto"/>
          <w:szCs w:val="21"/>
          <w:highlight w:val="none"/>
          <w:u w:val="single"/>
        </w:rPr>
        <w:t xml:space="preserve">                   </w:t>
      </w:r>
    </w:p>
    <w:p w14:paraId="6C3B7129">
      <w:pPr>
        <w:adjustRightInd w:val="0"/>
        <w:snapToGrid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开户银行：</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开户银行：</w:t>
      </w:r>
      <w:r>
        <w:rPr>
          <w:rFonts w:hint="eastAsia" w:ascii="宋体" w:hAnsi="宋体" w:cs="宋体"/>
          <w:color w:val="auto"/>
          <w:szCs w:val="21"/>
          <w:highlight w:val="none"/>
          <w:u w:val="single"/>
        </w:rPr>
        <w:t xml:space="preserve">                   </w:t>
      </w:r>
    </w:p>
    <w:p w14:paraId="35F49A6E">
      <w:pPr>
        <w:adjustRightInd w:val="0"/>
        <w:snapToGrid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账  号：</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账  号：</w:t>
      </w:r>
      <w:r>
        <w:rPr>
          <w:rFonts w:hint="eastAsia" w:ascii="宋体" w:hAnsi="宋体" w:cs="宋体"/>
          <w:color w:val="auto"/>
          <w:szCs w:val="21"/>
          <w:highlight w:val="none"/>
          <w:u w:val="single"/>
        </w:rPr>
        <w:t xml:space="preserve">                     </w:t>
      </w:r>
    </w:p>
    <w:p w14:paraId="58984311">
      <w:pPr>
        <w:adjustRightInd w:val="0"/>
        <w:snapToGrid w:val="0"/>
        <w:spacing w:line="360" w:lineRule="auto"/>
        <w:rPr>
          <w:rFonts w:hint="eastAsia" w:ascii="宋体" w:hAnsi="宋体" w:cs="宋体"/>
          <w:color w:val="auto"/>
          <w:sz w:val="24"/>
          <w:highlight w:val="none"/>
        </w:rPr>
      </w:pPr>
      <w:r>
        <w:rPr>
          <w:rFonts w:hint="eastAsia" w:ascii="宋体" w:hAnsi="宋体" w:cs="宋体"/>
          <w:color w:val="auto"/>
          <w:szCs w:val="21"/>
          <w:highlight w:val="none"/>
        </w:rPr>
        <w:t>邮政编码：</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邮政编码：</w:t>
      </w:r>
      <w:r>
        <w:rPr>
          <w:rFonts w:hint="eastAsia" w:ascii="宋体" w:hAnsi="宋体" w:cs="宋体"/>
          <w:color w:val="auto"/>
          <w:szCs w:val="21"/>
          <w:highlight w:val="none"/>
          <w:u w:val="single"/>
        </w:rPr>
        <w:t xml:space="preserve">                   </w:t>
      </w:r>
    </w:p>
    <w:p w14:paraId="22078124">
      <w:pPr>
        <w:rPr>
          <w:rFonts w:hint="eastAsia" w:ascii="宋体" w:hAnsi="宋体" w:eastAsia="宋体" w:cs="宋体"/>
          <w:bCs/>
          <w:color w:val="auto"/>
          <w:sz w:val="24"/>
          <w:highlight w:val="none"/>
          <w:lang w:val="en-US" w:eastAsia="zh-CN"/>
        </w:rPr>
      </w:pPr>
      <w:r>
        <w:rPr>
          <w:rFonts w:hint="eastAsia" w:ascii="宋体" w:hAnsi="宋体" w:eastAsia="宋体" w:cs="宋体"/>
          <w:bCs/>
          <w:color w:val="auto"/>
          <w:sz w:val="24"/>
          <w:highlight w:val="none"/>
          <w:lang w:val="en-US" w:eastAsia="zh-CN"/>
        </w:rPr>
        <w:br w:type="page"/>
      </w:r>
    </w:p>
    <w:p w14:paraId="1F047A36">
      <w:pPr>
        <w:keepNext/>
        <w:keepLines/>
        <w:spacing w:before="120" w:after="120" w:line="360" w:lineRule="auto"/>
        <w:jc w:val="left"/>
        <w:outlineLvl w:val="2"/>
        <w:rPr>
          <w:rFonts w:hint="eastAsia" w:ascii="宋体" w:hAnsi="宋体" w:cs="宋体"/>
          <w:bCs/>
          <w:color w:val="auto"/>
          <w:sz w:val="24"/>
          <w:highlight w:val="none"/>
        </w:rPr>
      </w:pPr>
      <w:bookmarkStart w:id="872" w:name="_Toc95223490"/>
      <w:r>
        <w:rPr>
          <w:rFonts w:hint="eastAsia" w:ascii="宋体" w:hAnsi="宋体" w:cs="宋体"/>
          <w:bCs/>
          <w:color w:val="auto"/>
          <w:sz w:val="24"/>
          <w:highlight w:val="none"/>
        </w:rPr>
        <w:t>附件4：主要建设工程文件目录</w:t>
      </w:r>
      <w:bookmarkEnd w:id="872"/>
    </w:p>
    <w:p w14:paraId="204F7D30">
      <w:pPr>
        <w:spacing w:before="120" w:beforeLines="50" w:after="120" w:afterLines="50"/>
        <w:jc w:val="center"/>
        <w:rPr>
          <w:rFonts w:hint="eastAsia" w:ascii="宋体" w:hAnsi="宋体" w:cs="宋体"/>
          <w:color w:val="auto"/>
          <w:szCs w:val="21"/>
          <w:highlight w:val="none"/>
        </w:rPr>
      </w:pPr>
      <w:r>
        <w:rPr>
          <w:rFonts w:hint="eastAsia" w:ascii="宋体" w:hAnsi="宋体" w:cs="宋体"/>
          <w:color w:val="auto"/>
          <w:szCs w:val="21"/>
          <w:highlight w:val="none"/>
        </w:rPr>
        <w:t>主要建设工程文件目录</w:t>
      </w:r>
    </w:p>
    <w:tbl>
      <w:tblPr>
        <w:tblStyle w:val="47"/>
        <w:tblW w:w="0" w:type="auto"/>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953"/>
        <w:gridCol w:w="1276"/>
        <w:gridCol w:w="1450"/>
        <w:gridCol w:w="1243"/>
        <w:gridCol w:w="1450"/>
        <w:gridCol w:w="1667"/>
      </w:tblGrid>
      <w:tr w14:paraId="6B02D47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1953" w:type="dxa"/>
            <w:tcBorders>
              <w:top w:val="single" w:color="auto" w:sz="12" w:space="0"/>
              <w:bottom w:val="double" w:color="auto" w:sz="6" w:space="0"/>
            </w:tcBorders>
            <w:noWrap w:val="0"/>
            <w:vAlign w:val="center"/>
          </w:tcPr>
          <w:p w14:paraId="4F13F1F0">
            <w:pPr>
              <w:keepNext/>
              <w:rPr>
                <w:rFonts w:hint="eastAsia" w:ascii="宋体" w:hAnsi="宋体" w:cs="宋体"/>
                <w:color w:val="auto"/>
                <w:szCs w:val="21"/>
                <w:highlight w:val="none"/>
              </w:rPr>
            </w:pPr>
            <w:r>
              <w:rPr>
                <w:rFonts w:hint="eastAsia" w:ascii="宋体" w:hAnsi="宋体" w:cs="宋体"/>
                <w:color w:val="auto"/>
                <w:szCs w:val="21"/>
                <w:highlight w:val="none"/>
              </w:rPr>
              <w:t>文件名称</w:t>
            </w:r>
          </w:p>
        </w:tc>
        <w:tc>
          <w:tcPr>
            <w:tcW w:w="1276" w:type="dxa"/>
            <w:tcBorders>
              <w:top w:val="single" w:color="auto" w:sz="12" w:space="0"/>
              <w:bottom w:val="double" w:color="auto" w:sz="6" w:space="0"/>
            </w:tcBorders>
            <w:noWrap w:val="0"/>
            <w:vAlign w:val="center"/>
          </w:tcPr>
          <w:p w14:paraId="5E50F9E3">
            <w:pPr>
              <w:keepNext/>
              <w:rPr>
                <w:rFonts w:hint="eastAsia" w:ascii="宋体" w:hAnsi="宋体" w:cs="宋体"/>
                <w:color w:val="auto"/>
                <w:szCs w:val="21"/>
                <w:highlight w:val="none"/>
              </w:rPr>
            </w:pPr>
            <w:r>
              <w:rPr>
                <w:rFonts w:hint="eastAsia" w:ascii="宋体" w:hAnsi="宋体" w:cs="宋体"/>
                <w:color w:val="auto"/>
                <w:szCs w:val="21"/>
                <w:highlight w:val="none"/>
              </w:rPr>
              <w:t>套数</w:t>
            </w:r>
          </w:p>
        </w:tc>
        <w:tc>
          <w:tcPr>
            <w:tcW w:w="1450" w:type="dxa"/>
            <w:tcBorders>
              <w:top w:val="single" w:color="auto" w:sz="12" w:space="0"/>
              <w:bottom w:val="double" w:color="auto" w:sz="6" w:space="0"/>
            </w:tcBorders>
            <w:noWrap w:val="0"/>
            <w:vAlign w:val="center"/>
          </w:tcPr>
          <w:p w14:paraId="552F9EEB">
            <w:pPr>
              <w:keepNext/>
              <w:rPr>
                <w:rFonts w:hint="eastAsia" w:ascii="宋体" w:hAnsi="宋体" w:cs="宋体"/>
                <w:color w:val="auto"/>
                <w:szCs w:val="21"/>
                <w:highlight w:val="none"/>
              </w:rPr>
            </w:pPr>
            <w:r>
              <w:rPr>
                <w:rFonts w:hint="eastAsia" w:ascii="宋体" w:hAnsi="宋体" w:cs="宋体"/>
                <w:color w:val="auto"/>
                <w:szCs w:val="21"/>
                <w:highlight w:val="none"/>
              </w:rPr>
              <w:t>费用（元）</w:t>
            </w:r>
          </w:p>
        </w:tc>
        <w:tc>
          <w:tcPr>
            <w:tcW w:w="1243" w:type="dxa"/>
            <w:tcBorders>
              <w:top w:val="single" w:color="auto" w:sz="12" w:space="0"/>
              <w:bottom w:val="double" w:color="auto" w:sz="6" w:space="0"/>
            </w:tcBorders>
            <w:noWrap w:val="0"/>
            <w:vAlign w:val="center"/>
          </w:tcPr>
          <w:p w14:paraId="70A6AC27">
            <w:pPr>
              <w:keepNext/>
              <w:rPr>
                <w:rFonts w:hint="eastAsia" w:ascii="宋体" w:hAnsi="宋体" w:cs="宋体"/>
                <w:color w:val="auto"/>
                <w:szCs w:val="21"/>
                <w:highlight w:val="none"/>
              </w:rPr>
            </w:pPr>
            <w:r>
              <w:rPr>
                <w:rFonts w:hint="eastAsia" w:ascii="宋体" w:hAnsi="宋体" w:cs="宋体"/>
                <w:color w:val="auto"/>
                <w:szCs w:val="21"/>
                <w:highlight w:val="none"/>
              </w:rPr>
              <w:t>质量</w:t>
            </w:r>
          </w:p>
        </w:tc>
        <w:tc>
          <w:tcPr>
            <w:tcW w:w="1450" w:type="dxa"/>
            <w:tcBorders>
              <w:top w:val="single" w:color="auto" w:sz="12" w:space="0"/>
              <w:bottom w:val="double" w:color="auto" w:sz="6" w:space="0"/>
            </w:tcBorders>
            <w:noWrap w:val="0"/>
            <w:vAlign w:val="top"/>
          </w:tcPr>
          <w:p w14:paraId="0C1B2003">
            <w:pPr>
              <w:rPr>
                <w:rFonts w:hint="eastAsia" w:ascii="宋体" w:hAnsi="宋体" w:cs="宋体"/>
                <w:color w:val="auto"/>
                <w:szCs w:val="21"/>
                <w:highlight w:val="none"/>
              </w:rPr>
            </w:pPr>
            <w:r>
              <w:rPr>
                <w:rFonts w:hint="eastAsia" w:ascii="宋体" w:hAnsi="宋体" w:cs="宋体"/>
                <w:color w:val="auto"/>
                <w:szCs w:val="21"/>
                <w:highlight w:val="none"/>
              </w:rPr>
              <w:t>移交时间</w:t>
            </w:r>
          </w:p>
        </w:tc>
        <w:tc>
          <w:tcPr>
            <w:tcW w:w="1667" w:type="dxa"/>
            <w:tcBorders>
              <w:top w:val="single" w:color="auto" w:sz="12" w:space="0"/>
              <w:bottom w:val="double" w:color="auto" w:sz="6" w:space="0"/>
            </w:tcBorders>
            <w:noWrap w:val="0"/>
            <w:vAlign w:val="top"/>
          </w:tcPr>
          <w:p w14:paraId="6E237B00">
            <w:pPr>
              <w:rPr>
                <w:rFonts w:hint="eastAsia" w:ascii="宋体" w:hAnsi="宋体" w:cs="宋体"/>
                <w:color w:val="auto"/>
                <w:szCs w:val="21"/>
                <w:highlight w:val="none"/>
              </w:rPr>
            </w:pPr>
            <w:r>
              <w:rPr>
                <w:rFonts w:hint="eastAsia" w:ascii="宋体" w:hAnsi="宋体" w:cs="宋体"/>
                <w:color w:val="auto"/>
                <w:szCs w:val="21"/>
                <w:highlight w:val="none"/>
              </w:rPr>
              <w:t>责任人</w:t>
            </w:r>
          </w:p>
        </w:tc>
      </w:tr>
      <w:tr w14:paraId="698257B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953" w:type="dxa"/>
            <w:tcBorders>
              <w:top w:val="double" w:color="auto" w:sz="6" w:space="0"/>
            </w:tcBorders>
            <w:noWrap w:val="0"/>
            <w:vAlign w:val="center"/>
          </w:tcPr>
          <w:p w14:paraId="5A212D43">
            <w:pPr>
              <w:keepNext/>
              <w:rPr>
                <w:rFonts w:hint="eastAsia" w:ascii="宋体" w:hAnsi="宋体" w:cs="宋体"/>
                <w:color w:val="auto"/>
                <w:szCs w:val="21"/>
                <w:highlight w:val="none"/>
              </w:rPr>
            </w:pPr>
          </w:p>
        </w:tc>
        <w:tc>
          <w:tcPr>
            <w:tcW w:w="1276" w:type="dxa"/>
            <w:tcBorders>
              <w:top w:val="double" w:color="auto" w:sz="6" w:space="0"/>
            </w:tcBorders>
            <w:noWrap w:val="0"/>
            <w:vAlign w:val="center"/>
          </w:tcPr>
          <w:p w14:paraId="3C6D7D2A">
            <w:pPr>
              <w:keepNext/>
              <w:rPr>
                <w:rFonts w:hint="eastAsia" w:ascii="宋体" w:hAnsi="宋体" w:cs="宋体"/>
                <w:color w:val="auto"/>
                <w:szCs w:val="21"/>
                <w:highlight w:val="none"/>
              </w:rPr>
            </w:pPr>
          </w:p>
        </w:tc>
        <w:tc>
          <w:tcPr>
            <w:tcW w:w="1450" w:type="dxa"/>
            <w:tcBorders>
              <w:top w:val="double" w:color="auto" w:sz="6" w:space="0"/>
            </w:tcBorders>
            <w:noWrap w:val="0"/>
            <w:vAlign w:val="center"/>
          </w:tcPr>
          <w:p w14:paraId="550CEFC2">
            <w:pPr>
              <w:keepNext/>
              <w:rPr>
                <w:rFonts w:hint="eastAsia" w:ascii="宋体" w:hAnsi="宋体" w:cs="宋体"/>
                <w:color w:val="auto"/>
                <w:szCs w:val="21"/>
                <w:highlight w:val="none"/>
              </w:rPr>
            </w:pPr>
          </w:p>
        </w:tc>
        <w:tc>
          <w:tcPr>
            <w:tcW w:w="1243" w:type="dxa"/>
            <w:tcBorders>
              <w:top w:val="double" w:color="auto" w:sz="6" w:space="0"/>
            </w:tcBorders>
            <w:noWrap w:val="0"/>
            <w:vAlign w:val="center"/>
          </w:tcPr>
          <w:p w14:paraId="4375FC6E">
            <w:pPr>
              <w:keepNext/>
              <w:rPr>
                <w:rFonts w:hint="eastAsia" w:ascii="宋体" w:hAnsi="宋体" w:cs="宋体"/>
                <w:color w:val="auto"/>
                <w:szCs w:val="21"/>
                <w:highlight w:val="none"/>
              </w:rPr>
            </w:pPr>
          </w:p>
        </w:tc>
        <w:tc>
          <w:tcPr>
            <w:tcW w:w="1450" w:type="dxa"/>
            <w:tcBorders>
              <w:top w:val="double" w:color="auto" w:sz="6" w:space="0"/>
            </w:tcBorders>
            <w:noWrap w:val="0"/>
            <w:vAlign w:val="center"/>
          </w:tcPr>
          <w:p w14:paraId="3E76D2FE">
            <w:pPr>
              <w:keepNext/>
              <w:rPr>
                <w:rFonts w:hint="eastAsia" w:ascii="宋体" w:hAnsi="宋体" w:cs="宋体"/>
                <w:color w:val="auto"/>
                <w:szCs w:val="21"/>
                <w:highlight w:val="none"/>
              </w:rPr>
            </w:pPr>
          </w:p>
        </w:tc>
        <w:tc>
          <w:tcPr>
            <w:tcW w:w="1667" w:type="dxa"/>
            <w:tcBorders>
              <w:top w:val="double" w:color="auto" w:sz="6" w:space="0"/>
            </w:tcBorders>
            <w:noWrap w:val="0"/>
            <w:vAlign w:val="center"/>
          </w:tcPr>
          <w:p w14:paraId="533C31AA">
            <w:pPr>
              <w:keepNext/>
              <w:rPr>
                <w:rFonts w:hint="eastAsia" w:ascii="宋体" w:hAnsi="宋体" w:cs="宋体"/>
                <w:color w:val="auto"/>
                <w:szCs w:val="21"/>
                <w:highlight w:val="none"/>
              </w:rPr>
            </w:pPr>
          </w:p>
        </w:tc>
      </w:tr>
      <w:tr w14:paraId="3928F01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953" w:type="dxa"/>
            <w:tcBorders>
              <w:top w:val="nil"/>
            </w:tcBorders>
            <w:noWrap w:val="0"/>
            <w:vAlign w:val="center"/>
          </w:tcPr>
          <w:p w14:paraId="72B1E850">
            <w:pPr>
              <w:keepNext/>
              <w:rPr>
                <w:rFonts w:hint="eastAsia" w:ascii="宋体" w:hAnsi="宋体" w:cs="宋体"/>
                <w:color w:val="auto"/>
                <w:szCs w:val="21"/>
                <w:highlight w:val="none"/>
              </w:rPr>
            </w:pPr>
          </w:p>
        </w:tc>
        <w:tc>
          <w:tcPr>
            <w:tcW w:w="1276" w:type="dxa"/>
            <w:tcBorders>
              <w:top w:val="nil"/>
            </w:tcBorders>
            <w:noWrap w:val="0"/>
            <w:vAlign w:val="center"/>
          </w:tcPr>
          <w:p w14:paraId="731F9C29">
            <w:pPr>
              <w:keepNext/>
              <w:rPr>
                <w:rFonts w:hint="eastAsia" w:ascii="宋体" w:hAnsi="宋体" w:cs="宋体"/>
                <w:color w:val="auto"/>
                <w:szCs w:val="21"/>
                <w:highlight w:val="none"/>
              </w:rPr>
            </w:pPr>
          </w:p>
        </w:tc>
        <w:tc>
          <w:tcPr>
            <w:tcW w:w="1450" w:type="dxa"/>
            <w:tcBorders>
              <w:top w:val="nil"/>
            </w:tcBorders>
            <w:noWrap w:val="0"/>
            <w:vAlign w:val="center"/>
          </w:tcPr>
          <w:p w14:paraId="0B3D3F66">
            <w:pPr>
              <w:keepNext/>
              <w:rPr>
                <w:rFonts w:hint="eastAsia" w:ascii="宋体" w:hAnsi="宋体" w:cs="宋体"/>
                <w:color w:val="auto"/>
                <w:szCs w:val="21"/>
                <w:highlight w:val="none"/>
              </w:rPr>
            </w:pPr>
          </w:p>
        </w:tc>
        <w:tc>
          <w:tcPr>
            <w:tcW w:w="1243" w:type="dxa"/>
            <w:tcBorders>
              <w:top w:val="nil"/>
            </w:tcBorders>
            <w:noWrap w:val="0"/>
            <w:vAlign w:val="center"/>
          </w:tcPr>
          <w:p w14:paraId="2B8C277B">
            <w:pPr>
              <w:keepNext/>
              <w:rPr>
                <w:rFonts w:hint="eastAsia" w:ascii="宋体" w:hAnsi="宋体" w:cs="宋体"/>
                <w:color w:val="auto"/>
                <w:szCs w:val="21"/>
                <w:highlight w:val="none"/>
              </w:rPr>
            </w:pPr>
          </w:p>
        </w:tc>
        <w:tc>
          <w:tcPr>
            <w:tcW w:w="1450" w:type="dxa"/>
            <w:tcBorders>
              <w:top w:val="nil"/>
            </w:tcBorders>
            <w:noWrap w:val="0"/>
            <w:vAlign w:val="center"/>
          </w:tcPr>
          <w:p w14:paraId="49051088">
            <w:pPr>
              <w:keepNext/>
              <w:rPr>
                <w:rFonts w:hint="eastAsia" w:ascii="宋体" w:hAnsi="宋体" w:cs="宋体"/>
                <w:color w:val="auto"/>
                <w:szCs w:val="21"/>
                <w:highlight w:val="none"/>
              </w:rPr>
            </w:pPr>
          </w:p>
        </w:tc>
        <w:tc>
          <w:tcPr>
            <w:tcW w:w="1667" w:type="dxa"/>
            <w:tcBorders>
              <w:top w:val="nil"/>
            </w:tcBorders>
            <w:noWrap w:val="0"/>
            <w:vAlign w:val="center"/>
          </w:tcPr>
          <w:p w14:paraId="102B6286">
            <w:pPr>
              <w:keepNext/>
              <w:rPr>
                <w:rFonts w:hint="eastAsia" w:ascii="宋体" w:hAnsi="宋体" w:cs="宋体"/>
                <w:color w:val="auto"/>
                <w:szCs w:val="21"/>
                <w:highlight w:val="none"/>
              </w:rPr>
            </w:pPr>
          </w:p>
        </w:tc>
      </w:tr>
      <w:tr w14:paraId="4E8C9D0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953" w:type="dxa"/>
            <w:noWrap w:val="0"/>
            <w:vAlign w:val="top"/>
          </w:tcPr>
          <w:p w14:paraId="4B456179">
            <w:pPr>
              <w:rPr>
                <w:rFonts w:hint="eastAsia" w:ascii="宋体" w:hAnsi="宋体" w:cs="宋体"/>
                <w:color w:val="auto"/>
                <w:szCs w:val="21"/>
                <w:highlight w:val="none"/>
              </w:rPr>
            </w:pPr>
          </w:p>
        </w:tc>
        <w:tc>
          <w:tcPr>
            <w:tcW w:w="1276" w:type="dxa"/>
            <w:noWrap w:val="0"/>
            <w:vAlign w:val="top"/>
          </w:tcPr>
          <w:p w14:paraId="23631F2C">
            <w:pPr>
              <w:rPr>
                <w:rFonts w:hint="eastAsia" w:ascii="宋体" w:hAnsi="宋体" w:cs="宋体"/>
                <w:color w:val="auto"/>
                <w:szCs w:val="21"/>
                <w:highlight w:val="none"/>
              </w:rPr>
            </w:pPr>
          </w:p>
        </w:tc>
        <w:tc>
          <w:tcPr>
            <w:tcW w:w="1450" w:type="dxa"/>
            <w:noWrap w:val="0"/>
            <w:vAlign w:val="top"/>
          </w:tcPr>
          <w:p w14:paraId="7930B18C">
            <w:pPr>
              <w:rPr>
                <w:rFonts w:hint="eastAsia" w:ascii="宋体" w:hAnsi="宋体" w:cs="宋体"/>
                <w:color w:val="auto"/>
                <w:szCs w:val="21"/>
                <w:highlight w:val="none"/>
              </w:rPr>
            </w:pPr>
          </w:p>
        </w:tc>
        <w:tc>
          <w:tcPr>
            <w:tcW w:w="1243" w:type="dxa"/>
            <w:noWrap w:val="0"/>
            <w:vAlign w:val="top"/>
          </w:tcPr>
          <w:p w14:paraId="54E0D7A1">
            <w:pPr>
              <w:rPr>
                <w:rFonts w:hint="eastAsia" w:ascii="宋体" w:hAnsi="宋体" w:cs="宋体"/>
                <w:color w:val="auto"/>
                <w:szCs w:val="21"/>
                <w:highlight w:val="none"/>
              </w:rPr>
            </w:pPr>
          </w:p>
        </w:tc>
        <w:tc>
          <w:tcPr>
            <w:tcW w:w="1450" w:type="dxa"/>
            <w:noWrap w:val="0"/>
            <w:vAlign w:val="top"/>
          </w:tcPr>
          <w:p w14:paraId="7ACEF08D">
            <w:pPr>
              <w:rPr>
                <w:rFonts w:hint="eastAsia" w:ascii="宋体" w:hAnsi="宋体" w:cs="宋体"/>
                <w:color w:val="auto"/>
                <w:szCs w:val="21"/>
                <w:highlight w:val="none"/>
              </w:rPr>
            </w:pPr>
          </w:p>
        </w:tc>
        <w:tc>
          <w:tcPr>
            <w:tcW w:w="1667" w:type="dxa"/>
            <w:noWrap w:val="0"/>
            <w:vAlign w:val="top"/>
          </w:tcPr>
          <w:p w14:paraId="099ACF0B">
            <w:pPr>
              <w:rPr>
                <w:rFonts w:hint="eastAsia" w:ascii="宋体" w:hAnsi="宋体" w:cs="宋体"/>
                <w:color w:val="auto"/>
                <w:szCs w:val="21"/>
                <w:highlight w:val="none"/>
              </w:rPr>
            </w:pPr>
          </w:p>
        </w:tc>
      </w:tr>
      <w:tr w14:paraId="4FE12D0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953" w:type="dxa"/>
            <w:noWrap w:val="0"/>
            <w:vAlign w:val="top"/>
          </w:tcPr>
          <w:p w14:paraId="5884A1D2">
            <w:pPr>
              <w:rPr>
                <w:rFonts w:hint="eastAsia" w:ascii="宋体" w:hAnsi="宋体" w:cs="宋体"/>
                <w:color w:val="auto"/>
                <w:szCs w:val="21"/>
                <w:highlight w:val="none"/>
              </w:rPr>
            </w:pPr>
          </w:p>
        </w:tc>
        <w:tc>
          <w:tcPr>
            <w:tcW w:w="1276" w:type="dxa"/>
            <w:noWrap w:val="0"/>
            <w:vAlign w:val="top"/>
          </w:tcPr>
          <w:p w14:paraId="0F5358A1">
            <w:pPr>
              <w:rPr>
                <w:rFonts w:hint="eastAsia" w:ascii="宋体" w:hAnsi="宋体" w:cs="宋体"/>
                <w:color w:val="auto"/>
                <w:szCs w:val="21"/>
                <w:highlight w:val="none"/>
              </w:rPr>
            </w:pPr>
          </w:p>
        </w:tc>
        <w:tc>
          <w:tcPr>
            <w:tcW w:w="1450" w:type="dxa"/>
            <w:noWrap w:val="0"/>
            <w:vAlign w:val="top"/>
          </w:tcPr>
          <w:p w14:paraId="3C5E5F41">
            <w:pPr>
              <w:rPr>
                <w:rFonts w:hint="eastAsia" w:ascii="宋体" w:hAnsi="宋体" w:cs="宋体"/>
                <w:color w:val="auto"/>
                <w:szCs w:val="21"/>
                <w:highlight w:val="none"/>
              </w:rPr>
            </w:pPr>
          </w:p>
        </w:tc>
        <w:tc>
          <w:tcPr>
            <w:tcW w:w="1243" w:type="dxa"/>
            <w:noWrap w:val="0"/>
            <w:vAlign w:val="top"/>
          </w:tcPr>
          <w:p w14:paraId="79621580">
            <w:pPr>
              <w:rPr>
                <w:rFonts w:hint="eastAsia" w:ascii="宋体" w:hAnsi="宋体" w:cs="宋体"/>
                <w:color w:val="auto"/>
                <w:szCs w:val="21"/>
                <w:highlight w:val="none"/>
              </w:rPr>
            </w:pPr>
          </w:p>
        </w:tc>
        <w:tc>
          <w:tcPr>
            <w:tcW w:w="1450" w:type="dxa"/>
            <w:noWrap w:val="0"/>
            <w:vAlign w:val="top"/>
          </w:tcPr>
          <w:p w14:paraId="48A64FF9">
            <w:pPr>
              <w:rPr>
                <w:rFonts w:hint="eastAsia" w:ascii="宋体" w:hAnsi="宋体" w:cs="宋体"/>
                <w:color w:val="auto"/>
                <w:szCs w:val="21"/>
                <w:highlight w:val="none"/>
              </w:rPr>
            </w:pPr>
          </w:p>
        </w:tc>
        <w:tc>
          <w:tcPr>
            <w:tcW w:w="1667" w:type="dxa"/>
            <w:noWrap w:val="0"/>
            <w:vAlign w:val="top"/>
          </w:tcPr>
          <w:p w14:paraId="354990D4">
            <w:pPr>
              <w:rPr>
                <w:rFonts w:hint="eastAsia" w:ascii="宋体" w:hAnsi="宋体" w:cs="宋体"/>
                <w:color w:val="auto"/>
                <w:szCs w:val="21"/>
                <w:highlight w:val="none"/>
              </w:rPr>
            </w:pPr>
          </w:p>
        </w:tc>
      </w:tr>
      <w:tr w14:paraId="55324E6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953" w:type="dxa"/>
            <w:tcBorders>
              <w:bottom w:val="single" w:color="auto" w:sz="12" w:space="0"/>
            </w:tcBorders>
            <w:noWrap w:val="0"/>
            <w:vAlign w:val="top"/>
          </w:tcPr>
          <w:p w14:paraId="729AC42E">
            <w:pPr>
              <w:rPr>
                <w:rFonts w:hint="eastAsia" w:ascii="宋体" w:hAnsi="宋体" w:cs="宋体"/>
                <w:color w:val="auto"/>
                <w:szCs w:val="21"/>
                <w:highlight w:val="none"/>
              </w:rPr>
            </w:pPr>
          </w:p>
        </w:tc>
        <w:tc>
          <w:tcPr>
            <w:tcW w:w="1276" w:type="dxa"/>
            <w:tcBorders>
              <w:bottom w:val="single" w:color="auto" w:sz="12" w:space="0"/>
            </w:tcBorders>
            <w:noWrap w:val="0"/>
            <w:vAlign w:val="top"/>
          </w:tcPr>
          <w:p w14:paraId="06DC1260">
            <w:pPr>
              <w:rPr>
                <w:rFonts w:hint="eastAsia" w:ascii="宋体" w:hAnsi="宋体" w:cs="宋体"/>
                <w:color w:val="auto"/>
                <w:szCs w:val="21"/>
                <w:highlight w:val="none"/>
              </w:rPr>
            </w:pPr>
          </w:p>
        </w:tc>
        <w:tc>
          <w:tcPr>
            <w:tcW w:w="1450" w:type="dxa"/>
            <w:tcBorders>
              <w:bottom w:val="single" w:color="auto" w:sz="12" w:space="0"/>
            </w:tcBorders>
            <w:noWrap w:val="0"/>
            <w:vAlign w:val="top"/>
          </w:tcPr>
          <w:p w14:paraId="3ABC2D5F">
            <w:pPr>
              <w:rPr>
                <w:rFonts w:hint="eastAsia" w:ascii="宋体" w:hAnsi="宋体" w:cs="宋体"/>
                <w:color w:val="auto"/>
                <w:szCs w:val="21"/>
                <w:highlight w:val="none"/>
              </w:rPr>
            </w:pPr>
          </w:p>
        </w:tc>
        <w:tc>
          <w:tcPr>
            <w:tcW w:w="1243" w:type="dxa"/>
            <w:tcBorders>
              <w:bottom w:val="single" w:color="auto" w:sz="12" w:space="0"/>
            </w:tcBorders>
            <w:noWrap w:val="0"/>
            <w:vAlign w:val="top"/>
          </w:tcPr>
          <w:p w14:paraId="4F0A1FFB">
            <w:pPr>
              <w:rPr>
                <w:rFonts w:hint="eastAsia" w:ascii="宋体" w:hAnsi="宋体" w:cs="宋体"/>
                <w:color w:val="auto"/>
                <w:szCs w:val="21"/>
                <w:highlight w:val="none"/>
              </w:rPr>
            </w:pPr>
          </w:p>
        </w:tc>
        <w:tc>
          <w:tcPr>
            <w:tcW w:w="1450" w:type="dxa"/>
            <w:tcBorders>
              <w:bottom w:val="single" w:color="auto" w:sz="12" w:space="0"/>
            </w:tcBorders>
            <w:noWrap w:val="0"/>
            <w:vAlign w:val="top"/>
          </w:tcPr>
          <w:p w14:paraId="3D680CEB">
            <w:pPr>
              <w:rPr>
                <w:rFonts w:hint="eastAsia" w:ascii="宋体" w:hAnsi="宋体" w:cs="宋体"/>
                <w:color w:val="auto"/>
                <w:szCs w:val="21"/>
                <w:highlight w:val="none"/>
              </w:rPr>
            </w:pPr>
          </w:p>
        </w:tc>
        <w:tc>
          <w:tcPr>
            <w:tcW w:w="1667" w:type="dxa"/>
            <w:tcBorders>
              <w:bottom w:val="single" w:color="auto" w:sz="12" w:space="0"/>
            </w:tcBorders>
            <w:noWrap w:val="0"/>
            <w:vAlign w:val="top"/>
          </w:tcPr>
          <w:p w14:paraId="2BD6CC2D">
            <w:pPr>
              <w:rPr>
                <w:rFonts w:hint="eastAsia" w:ascii="宋体" w:hAnsi="宋体" w:cs="宋体"/>
                <w:color w:val="auto"/>
                <w:szCs w:val="21"/>
                <w:highlight w:val="none"/>
              </w:rPr>
            </w:pPr>
          </w:p>
        </w:tc>
      </w:tr>
    </w:tbl>
    <w:p w14:paraId="6F102B0C">
      <w:pPr>
        <w:rPr>
          <w:rFonts w:hint="eastAsia" w:ascii="宋体" w:hAnsi="宋体" w:cs="宋体"/>
          <w:color w:val="auto"/>
          <w:szCs w:val="21"/>
          <w:highlight w:val="none"/>
        </w:rPr>
      </w:pPr>
    </w:p>
    <w:p w14:paraId="2098DAB8">
      <w:pPr>
        <w:keepNext/>
        <w:keepLines/>
        <w:spacing w:before="120" w:after="120" w:line="360" w:lineRule="auto"/>
        <w:jc w:val="left"/>
        <w:outlineLvl w:val="2"/>
        <w:rPr>
          <w:rFonts w:hint="eastAsia" w:ascii="宋体" w:hAnsi="宋体" w:cs="宋体"/>
          <w:bCs/>
          <w:color w:val="auto"/>
          <w:sz w:val="24"/>
          <w:highlight w:val="none"/>
        </w:rPr>
      </w:pPr>
      <w:bookmarkStart w:id="873" w:name="_Toc95223491"/>
      <w:r>
        <w:rPr>
          <w:rFonts w:hint="eastAsia" w:ascii="宋体" w:hAnsi="宋体" w:cs="宋体"/>
          <w:bCs/>
          <w:color w:val="auto"/>
          <w:sz w:val="24"/>
          <w:highlight w:val="none"/>
        </w:rPr>
        <w:t>附</w:t>
      </w:r>
      <w:bookmarkStart w:id="874" w:name="_Toc296891055"/>
      <w:bookmarkStart w:id="875" w:name="_Toc267261698"/>
      <w:bookmarkStart w:id="876" w:name="_Toc296346728"/>
      <w:bookmarkStart w:id="877" w:name="_Toc296944566"/>
      <w:bookmarkStart w:id="878" w:name="_Toc296347226"/>
      <w:bookmarkStart w:id="879" w:name="_Toc296891267"/>
      <w:bookmarkStart w:id="880" w:name="_Toc296503227"/>
      <w:r>
        <w:rPr>
          <w:rFonts w:hint="eastAsia" w:ascii="宋体" w:hAnsi="宋体" w:cs="宋体"/>
          <w:bCs/>
          <w:color w:val="auto"/>
          <w:sz w:val="24"/>
          <w:highlight w:val="none"/>
        </w:rPr>
        <w:t>件5：承包人用于本工程施工的机械设备表</w:t>
      </w:r>
      <w:bookmarkEnd w:id="873"/>
    </w:p>
    <w:bookmarkEnd w:id="874"/>
    <w:bookmarkEnd w:id="875"/>
    <w:bookmarkEnd w:id="876"/>
    <w:bookmarkEnd w:id="877"/>
    <w:bookmarkEnd w:id="878"/>
    <w:bookmarkEnd w:id="879"/>
    <w:bookmarkEnd w:id="880"/>
    <w:p w14:paraId="14404A2D">
      <w:pPr>
        <w:spacing w:before="120" w:beforeLines="50" w:after="120" w:afterLines="50"/>
        <w:jc w:val="center"/>
        <w:rPr>
          <w:rFonts w:hint="eastAsia" w:ascii="宋体" w:hAnsi="宋体" w:cs="宋体"/>
          <w:color w:val="auto"/>
          <w:szCs w:val="21"/>
          <w:highlight w:val="none"/>
        </w:rPr>
      </w:pPr>
      <w:r>
        <w:rPr>
          <w:rFonts w:hint="eastAsia" w:ascii="宋体" w:hAnsi="宋体" w:cs="宋体"/>
          <w:color w:val="auto"/>
          <w:szCs w:val="21"/>
          <w:highlight w:val="none"/>
        </w:rPr>
        <w:t>承包人用于本工程施工的机械设备表</w:t>
      </w:r>
    </w:p>
    <w:tbl>
      <w:tblPr>
        <w:tblStyle w:val="47"/>
        <w:tblW w:w="8959"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737"/>
        <w:gridCol w:w="1418"/>
        <w:gridCol w:w="850"/>
        <w:gridCol w:w="709"/>
        <w:gridCol w:w="850"/>
        <w:gridCol w:w="963"/>
        <w:gridCol w:w="1480"/>
        <w:gridCol w:w="1020"/>
        <w:gridCol w:w="932"/>
      </w:tblGrid>
      <w:tr w14:paraId="7A25D8C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737" w:type="dxa"/>
            <w:tcBorders>
              <w:top w:val="single" w:color="auto" w:sz="12" w:space="0"/>
              <w:bottom w:val="double" w:color="auto" w:sz="6" w:space="0"/>
            </w:tcBorders>
            <w:noWrap w:val="0"/>
            <w:vAlign w:val="center"/>
          </w:tcPr>
          <w:p w14:paraId="60E13898">
            <w:pPr>
              <w:keepNext/>
              <w:rPr>
                <w:rFonts w:hint="eastAsia" w:ascii="宋体" w:hAnsi="宋体" w:cs="宋体"/>
                <w:color w:val="auto"/>
                <w:szCs w:val="21"/>
                <w:highlight w:val="none"/>
              </w:rPr>
            </w:pPr>
            <w:r>
              <w:rPr>
                <w:rFonts w:hint="eastAsia" w:ascii="宋体" w:hAnsi="宋体" w:cs="宋体"/>
                <w:color w:val="auto"/>
                <w:szCs w:val="21"/>
                <w:highlight w:val="none"/>
              </w:rPr>
              <w:t>序号</w:t>
            </w:r>
          </w:p>
        </w:tc>
        <w:tc>
          <w:tcPr>
            <w:tcW w:w="1418" w:type="dxa"/>
            <w:tcBorders>
              <w:top w:val="single" w:color="auto" w:sz="12" w:space="0"/>
              <w:bottom w:val="double" w:color="auto" w:sz="6" w:space="0"/>
            </w:tcBorders>
            <w:noWrap w:val="0"/>
            <w:vAlign w:val="center"/>
          </w:tcPr>
          <w:p w14:paraId="1324526D">
            <w:pPr>
              <w:keepNext/>
              <w:rPr>
                <w:rFonts w:hint="eastAsia" w:ascii="宋体" w:hAnsi="宋体" w:cs="宋体"/>
                <w:color w:val="auto"/>
                <w:szCs w:val="21"/>
                <w:highlight w:val="none"/>
              </w:rPr>
            </w:pPr>
            <w:r>
              <w:rPr>
                <w:rFonts w:hint="eastAsia" w:ascii="宋体" w:hAnsi="宋体" w:cs="宋体"/>
                <w:color w:val="auto"/>
                <w:szCs w:val="21"/>
                <w:highlight w:val="none"/>
              </w:rPr>
              <w:t>机械或设备名称</w:t>
            </w:r>
          </w:p>
        </w:tc>
        <w:tc>
          <w:tcPr>
            <w:tcW w:w="850" w:type="dxa"/>
            <w:tcBorders>
              <w:top w:val="single" w:color="auto" w:sz="12" w:space="0"/>
              <w:bottom w:val="double" w:color="auto" w:sz="6" w:space="0"/>
            </w:tcBorders>
            <w:noWrap w:val="0"/>
            <w:vAlign w:val="center"/>
          </w:tcPr>
          <w:p w14:paraId="00DED29D">
            <w:pPr>
              <w:keepNext/>
              <w:rPr>
                <w:rFonts w:hint="eastAsia" w:ascii="宋体" w:hAnsi="宋体" w:cs="宋体"/>
                <w:color w:val="auto"/>
                <w:szCs w:val="21"/>
                <w:highlight w:val="none"/>
              </w:rPr>
            </w:pPr>
            <w:r>
              <w:rPr>
                <w:rFonts w:hint="eastAsia" w:ascii="宋体" w:hAnsi="宋体" w:cs="宋体"/>
                <w:color w:val="auto"/>
                <w:szCs w:val="21"/>
                <w:highlight w:val="none"/>
              </w:rPr>
              <w:t>规格型号</w:t>
            </w:r>
          </w:p>
        </w:tc>
        <w:tc>
          <w:tcPr>
            <w:tcW w:w="709" w:type="dxa"/>
            <w:tcBorders>
              <w:top w:val="single" w:color="auto" w:sz="12" w:space="0"/>
              <w:bottom w:val="double" w:color="auto" w:sz="6" w:space="0"/>
            </w:tcBorders>
            <w:noWrap w:val="0"/>
            <w:vAlign w:val="center"/>
          </w:tcPr>
          <w:p w14:paraId="082F1394">
            <w:pPr>
              <w:keepNext/>
              <w:rPr>
                <w:rFonts w:hint="eastAsia" w:ascii="宋体" w:hAnsi="宋体" w:cs="宋体"/>
                <w:color w:val="auto"/>
                <w:szCs w:val="21"/>
                <w:highlight w:val="none"/>
              </w:rPr>
            </w:pPr>
            <w:r>
              <w:rPr>
                <w:rFonts w:hint="eastAsia" w:ascii="宋体" w:hAnsi="宋体" w:cs="宋体"/>
                <w:color w:val="auto"/>
                <w:szCs w:val="21"/>
                <w:highlight w:val="none"/>
              </w:rPr>
              <w:t>数量</w:t>
            </w:r>
          </w:p>
        </w:tc>
        <w:tc>
          <w:tcPr>
            <w:tcW w:w="850" w:type="dxa"/>
            <w:tcBorders>
              <w:top w:val="single" w:color="auto" w:sz="12" w:space="0"/>
              <w:bottom w:val="double" w:color="auto" w:sz="6" w:space="0"/>
            </w:tcBorders>
            <w:noWrap w:val="0"/>
            <w:vAlign w:val="center"/>
          </w:tcPr>
          <w:p w14:paraId="1C472879">
            <w:pPr>
              <w:keepNext/>
              <w:rPr>
                <w:rFonts w:hint="eastAsia" w:ascii="宋体" w:hAnsi="宋体" w:cs="宋体"/>
                <w:color w:val="auto"/>
                <w:szCs w:val="21"/>
                <w:highlight w:val="none"/>
              </w:rPr>
            </w:pPr>
            <w:r>
              <w:rPr>
                <w:rFonts w:hint="eastAsia" w:ascii="宋体" w:hAnsi="宋体" w:cs="宋体"/>
                <w:color w:val="auto"/>
                <w:szCs w:val="21"/>
                <w:highlight w:val="none"/>
              </w:rPr>
              <w:t>产地</w:t>
            </w:r>
          </w:p>
        </w:tc>
        <w:tc>
          <w:tcPr>
            <w:tcW w:w="963" w:type="dxa"/>
            <w:tcBorders>
              <w:top w:val="single" w:color="auto" w:sz="12" w:space="0"/>
              <w:bottom w:val="double" w:color="auto" w:sz="6" w:space="0"/>
            </w:tcBorders>
            <w:noWrap w:val="0"/>
            <w:vAlign w:val="center"/>
          </w:tcPr>
          <w:p w14:paraId="01E23222">
            <w:pPr>
              <w:keepNext/>
              <w:rPr>
                <w:rFonts w:hint="eastAsia" w:ascii="宋体" w:hAnsi="宋体" w:cs="宋体"/>
                <w:color w:val="auto"/>
                <w:szCs w:val="21"/>
                <w:highlight w:val="none"/>
              </w:rPr>
            </w:pPr>
            <w:r>
              <w:rPr>
                <w:rFonts w:hint="eastAsia" w:ascii="宋体" w:hAnsi="宋体" w:cs="宋体"/>
                <w:color w:val="auto"/>
                <w:szCs w:val="21"/>
                <w:highlight w:val="none"/>
              </w:rPr>
              <w:t>制造年份</w:t>
            </w:r>
          </w:p>
        </w:tc>
        <w:tc>
          <w:tcPr>
            <w:tcW w:w="1480" w:type="dxa"/>
            <w:tcBorders>
              <w:top w:val="single" w:color="auto" w:sz="12" w:space="0"/>
              <w:bottom w:val="double" w:color="auto" w:sz="6" w:space="0"/>
            </w:tcBorders>
            <w:noWrap w:val="0"/>
            <w:vAlign w:val="center"/>
          </w:tcPr>
          <w:p w14:paraId="4D6538D3">
            <w:pPr>
              <w:keepNext/>
              <w:rPr>
                <w:rFonts w:hint="eastAsia" w:ascii="宋体" w:hAnsi="宋体" w:cs="宋体"/>
                <w:color w:val="auto"/>
                <w:szCs w:val="21"/>
                <w:highlight w:val="none"/>
              </w:rPr>
            </w:pPr>
            <w:r>
              <w:rPr>
                <w:rFonts w:hint="eastAsia" w:ascii="宋体" w:hAnsi="宋体" w:cs="宋体"/>
                <w:color w:val="auto"/>
                <w:szCs w:val="21"/>
                <w:highlight w:val="none"/>
              </w:rPr>
              <w:t>额定功率(kW)</w:t>
            </w:r>
          </w:p>
        </w:tc>
        <w:tc>
          <w:tcPr>
            <w:tcW w:w="1020" w:type="dxa"/>
            <w:tcBorders>
              <w:top w:val="single" w:color="auto" w:sz="12" w:space="0"/>
              <w:bottom w:val="double" w:color="auto" w:sz="6" w:space="0"/>
            </w:tcBorders>
            <w:noWrap w:val="0"/>
            <w:vAlign w:val="center"/>
          </w:tcPr>
          <w:p w14:paraId="4A63501F">
            <w:pPr>
              <w:keepNext/>
              <w:rPr>
                <w:rFonts w:hint="eastAsia" w:ascii="宋体" w:hAnsi="宋体" w:cs="宋体"/>
                <w:color w:val="auto"/>
                <w:szCs w:val="21"/>
                <w:highlight w:val="none"/>
              </w:rPr>
            </w:pPr>
            <w:r>
              <w:rPr>
                <w:rFonts w:hint="eastAsia" w:ascii="宋体" w:hAnsi="宋体" w:cs="宋体"/>
                <w:color w:val="auto"/>
                <w:szCs w:val="21"/>
                <w:highlight w:val="none"/>
              </w:rPr>
              <w:t>生产能力</w:t>
            </w:r>
          </w:p>
        </w:tc>
        <w:tc>
          <w:tcPr>
            <w:tcW w:w="932" w:type="dxa"/>
            <w:tcBorders>
              <w:top w:val="single" w:color="auto" w:sz="12" w:space="0"/>
              <w:bottom w:val="double" w:color="auto" w:sz="6" w:space="0"/>
            </w:tcBorders>
            <w:noWrap w:val="0"/>
            <w:vAlign w:val="center"/>
          </w:tcPr>
          <w:p w14:paraId="44036839">
            <w:pPr>
              <w:keepNext/>
              <w:rPr>
                <w:rFonts w:hint="eastAsia" w:ascii="宋体" w:hAnsi="宋体" w:cs="宋体"/>
                <w:color w:val="auto"/>
                <w:szCs w:val="21"/>
                <w:highlight w:val="none"/>
              </w:rPr>
            </w:pPr>
            <w:r>
              <w:rPr>
                <w:rFonts w:hint="eastAsia" w:ascii="宋体" w:hAnsi="宋体" w:cs="宋体"/>
                <w:color w:val="auto"/>
                <w:szCs w:val="21"/>
                <w:highlight w:val="none"/>
              </w:rPr>
              <w:t>备注</w:t>
            </w:r>
          </w:p>
        </w:tc>
      </w:tr>
      <w:tr w14:paraId="012D92C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737" w:type="dxa"/>
            <w:tcBorders>
              <w:top w:val="double" w:color="auto" w:sz="6" w:space="0"/>
            </w:tcBorders>
            <w:noWrap w:val="0"/>
            <w:vAlign w:val="center"/>
          </w:tcPr>
          <w:p w14:paraId="04FC182C">
            <w:pPr>
              <w:keepNext/>
              <w:rPr>
                <w:rFonts w:hint="eastAsia" w:ascii="宋体" w:hAnsi="宋体" w:cs="宋体"/>
                <w:color w:val="auto"/>
                <w:szCs w:val="21"/>
                <w:highlight w:val="none"/>
              </w:rPr>
            </w:pPr>
          </w:p>
        </w:tc>
        <w:tc>
          <w:tcPr>
            <w:tcW w:w="1418" w:type="dxa"/>
            <w:tcBorders>
              <w:top w:val="double" w:color="auto" w:sz="6" w:space="0"/>
            </w:tcBorders>
            <w:noWrap w:val="0"/>
            <w:vAlign w:val="center"/>
          </w:tcPr>
          <w:p w14:paraId="041CC651">
            <w:pPr>
              <w:keepNext/>
              <w:rPr>
                <w:rFonts w:hint="eastAsia" w:ascii="宋体" w:hAnsi="宋体" w:cs="宋体"/>
                <w:color w:val="auto"/>
                <w:szCs w:val="21"/>
                <w:highlight w:val="none"/>
              </w:rPr>
            </w:pPr>
          </w:p>
        </w:tc>
        <w:tc>
          <w:tcPr>
            <w:tcW w:w="850" w:type="dxa"/>
            <w:tcBorders>
              <w:top w:val="double" w:color="auto" w:sz="6" w:space="0"/>
            </w:tcBorders>
            <w:noWrap w:val="0"/>
            <w:vAlign w:val="center"/>
          </w:tcPr>
          <w:p w14:paraId="3ADEF52E">
            <w:pPr>
              <w:keepNext/>
              <w:rPr>
                <w:rFonts w:hint="eastAsia" w:ascii="宋体" w:hAnsi="宋体" w:cs="宋体"/>
                <w:color w:val="auto"/>
                <w:szCs w:val="21"/>
                <w:highlight w:val="none"/>
              </w:rPr>
            </w:pPr>
          </w:p>
        </w:tc>
        <w:tc>
          <w:tcPr>
            <w:tcW w:w="709" w:type="dxa"/>
            <w:tcBorders>
              <w:top w:val="double" w:color="auto" w:sz="6" w:space="0"/>
            </w:tcBorders>
            <w:noWrap w:val="0"/>
            <w:vAlign w:val="center"/>
          </w:tcPr>
          <w:p w14:paraId="12A56C58">
            <w:pPr>
              <w:keepNext/>
              <w:rPr>
                <w:rFonts w:hint="eastAsia" w:ascii="宋体" w:hAnsi="宋体" w:cs="宋体"/>
                <w:color w:val="auto"/>
                <w:szCs w:val="21"/>
                <w:highlight w:val="none"/>
              </w:rPr>
            </w:pPr>
          </w:p>
        </w:tc>
        <w:tc>
          <w:tcPr>
            <w:tcW w:w="850" w:type="dxa"/>
            <w:tcBorders>
              <w:top w:val="double" w:color="auto" w:sz="6" w:space="0"/>
            </w:tcBorders>
            <w:noWrap w:val="0"/>
            <w:vAlign w:val="center"/>
          </w:tcPr>
          <w:p w14:paraId="533DA03E">
            <w:pPr>
              <w:keepNext/>
              <w:rPr>
                <w:rFonts w:hint="eastAsia" w:ascii="宋体" w:hAnsi="宋体" w:cs="宋体"/>
                <w:color w:val="auto"/>
                <w:szCs w:val="21"/>
                <w:highlight w:val="none"/>
              </w:rPr>
            </w:pPr>
          </w:p>
        </w:tc>
        <w:tc>
          <w:tcPr>
            <w:tcW w:w="963" w:type="dxa"/>
            <w:tcBorders>
              <w:top w:val="double" w:color="auto" w:sz="6" w:space="0"/>
            </w:tcBorders>
            <w:noWrap w:val="0"/>
            <w:vAlign w:val="center"/>
          </w:tcPr>
          <w:p w14:paraId="086FBB15">
            <w:pPr>
              <w:keepNext/>
              <w:rPr>
                <w:rFonts w:hint="eastAsia" w:ascii="宋体" w:hAnsi="宋体" w:cs="宋体"/>
                <w:color w:val="auto"/>
                <w:szCs w:val="21"/>
                <w:highlight w:val="none"/>
              </w:rPr>
            </w:pPr>
          </w:p>
        </w:tc>
        <w:tc>
          <w:tcPr>
            <w:tcW w:w="1480" w:type="dxa"/>
            <w:tcBorders>
              <w:top w:val="double" w:color="auto" w:sz="6" w:space="0"/>
            </w:tcBorders>
            <w:noWrap w:val="0"/>
            <w:vAlign w:val="center"/>
          </w:tcPr>
          <w:p w14:paraId="13D56EB5">
            <w:pPr>
              <w:keepNext/>
              <w:rPr>
                <w:rFonts w:hint="eastAsia" w:ascii="宋体" w:hAnsi="宋体" w:cs="宋体"/>
                <w:color w:val="auto"/>
                <w:szCs w:val="21"/>
                <w:highlight w:val="none"/>
              </w:rPr>
            </w:pPr>
          </w:p>
        </w:tc>
        <w:tc>
          <w:tcPr>
            <w:tcW w:w="1020" w:type="dxa"/>
            <w:tcBorders>
              <w:top w:val="double" w:color="auto" w:sz="6" w:space="0"/>
            </w:tcBorders>
            <w:noWrap w:val="0"/>
            <w:vAlign w:val="center"/>
          </w:tcPr>
          <w:p w14:paraId="49A04A8A">
            <w:pPr>
              <w:keepNext/>
              <w:rPr>
                <w:rFonts w:hint="eastAsia" w:ascii="宋体" w:hAnsi="宋体" w:cs="宋体"/>
                <w:color w:val="auto"/>
                <w:szCs w:val="21"/>
                <w:highlight w:val="none"/>
              </w:rPr>
            </w:pPr>
          </w:p>
        </w:tc>
        <w:tc>
          <w:tcPr>
            <w:tcW w:w="932" w:type="dxa"/>
            <w:tcBorders>
              <w:top w:val="double" w:color="auto" w:sz="6" w:space="0"/>
            </w:tcBorders>
            <w:noWrap w:val="0"/>
            <w:vAlign w:val="center"/>
          </w:tcPr>
          <w:p w14:paraId="38AF3FF8">
            <w:pPr>
              <w:keepNext/>
              <w:rPr>
                <w:rFonts w:hint="eastAsia" w:ascii="宋体" w:hAnsi="宋体" w:cs="宋体"/>
                <w:color w:val="auto"/>
                <w:szCs w:val="21"/>
                <w:highlight w:val="none"/>
              </w:rPr>
            </w:pPr>
          </w:p>
        </w:tc>
      </w:tr>
      <w:tr w14:paraId="4B4FBBD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737" w:type="dxa"/>
            <w:tcBorders>
              <w:top w:val="nil"/>
            </w:tcBorders>
            <w:noWrap w:val="0"/>
            <w:vAlign w:val="center"/>
          </w:tcPr>
          <w:p w14:paraId="7D2AFA17">
            <w:pPr>
              <w:keepNext/>
              <w:rPr>
                <w:rFonts w:hint="eastAsia" w:ascii="宋体" w:hAnsi="宋体" w:cs="宋体"/>
                <w:color w:val="auto"/>
                <w:szCs w:val="21"/>
                <w:highlight w:val="none"/>
              </w:rPr>
            </w:pPr>
          </w:p>
        </w:tc>
        <w:tc>
          <w:tcPr>
            <w:tcW w:w="1418" w:type="dxa"/>
            <w:tcBorders>
              <w:top w:val="nil"/>
            </w:tcBorders>
            <w:noWrap w:val="0"/>
            <w:vAlign w:val="center"/>
          </w:tcPr>
          <w:p w14:paraId="3683E9D4">
            <w:pPr>
              <w:keepNext/>
              <w:rPr>
                <w:rFonts w:hint="eastAsia" w:ascii="宋体" w:hAnsi="宋体" w:cs="宋体"/>
                <w:color w:val="auto"/>
                <w:szCs w:val="21"/>
                <w:highlight w:val="none"/>
              </w:rPr>
            </w:pPr>
          </w:p>
        </w:tc>
        <w:tc>
          <w:tcPr>
            <w:tcW w:w="850" w:type="dxa"/>
            <w:tcBorders>
              <w:top w:val="nil"/>
            </w:tcBorders>
            <w:noWrap w:val="0"/>
            <w:vAlign w:val="center"/>
          </w:tcPr>
          <w:p w14:paraId="532D561E">
            <w:pPr>
              <w:keepNext/>
              <w:rPr>
                <w:rFonts w:hint="eastAsia" w:ascii="宋体" w:hAnsi="宋体" w:cs="宋体"/>
                <w:color w:val="auto"/>
                <w:szCs w:val="21"/>
                <w:highlight w:val="none"/>
              </w:rPr>
            </w:pPr>
          </w:p>
        </w:tc>
        <w:tc>
          <w:tcPr>
            <w:tcW w:w="709" w:type="dxa"/>
            <w:tcBorders>
              <w:top w:val="nil"/>
            </w:tcBorders>
            <w:noWrap w:val="0"/>
            <w:vAlign w:val="center"/>
          </w:tcPr>
          <w:p w14:paraId="215F0570">
            <w:pPr>
              <w:keepNext/>
              <w:rPr>
                <w:rFonts w:hint="eastAsia" w:ascii="宋体" w:hAnsi="宋体" w:cs="宋体"/>
                <w:color w:val="auto"/>
                <w:szCs w:val="21"/>
                <w:highlight w:val="none"/>
              </w:rPr>
            </w:pPr>
          </w:p>
        </w:tc>
        <w:tc>
          <w:tcPr>
            <w:tcW w:w="850" w:type="dxa"/>
            <w:tcBorders>
              <w:top w:val="nil"/>
            </w:tcBorders>
            <w:noWrap w:val="0"/>
            <w:vAlign w:val="center"/>
          </w:tcPr>
          <w:p w14:paraId="52938B7D">
            <w:pPr>
              <w:keepNext/>
              <w:rPr>
                <w:rFonts w:hint="eastAsia" w:ascii="宋体" w:hAnsi="宋体" w:cs="宋体"/>
                <w:color w:val="auto"/>
                <w:szCs w:val="21"/>
                <w:highlight w:val="none"/>
              </w:rPr>
            </w:pPr>
          </w:p>
        </w:tc>
        <w:tc>
          <w:tcPr>
            <w:tcW w:w="963" w:type="dxa"/>
            <w:tcBorders>
              <w:top w:val="nil"/>
            </w:tcBorders>
            <w:noWrap w:val="0"/>
            <w:vAlign w:val="center"/>
          </w:tcPr>
          <w:p w14:paraId="58F037D6">
            <w:pPr>
              <w:keepNext/>
              <w:rPr>
                <w:rFonts w:hint="eastAsia" w:ascii="宋体" w:hAnsi="宋体" w:cs="宋体"/>
                <w:color w:val="auto"/>
                <w:szCs w:val="21"/>
                <w:highlight w:val="none"/>
              </w:rPr>
            </w:pPr>
          </w:p>
        </w:tc>
        <w:tc>
          <w:tcPr>
            <w:tcW w:w="1480" w:type="dxa"/>
            <w:tcBorders>
              <w:top w:val="nil"/>
            </w:tcBorders>
            <w:noWrap w:val="0"/>
            <w:vAlign w:val="center"/>
          </w:tcPr>
          <w:p w14:paraId="42E6EB49">
            <w:pPr>
              <w:keepNext/>
              <w:rPr>
                <w:rFonts w:hint="eastAsia" w:ascii="宋体" w:hAnsi="宋体" w:cs="宋体"/>
                <w:color w:val="auto"/>
                <w:szCs w:val="21"/>
                <w:highlight w:val="none"/>
              </w:rPr>
            </w:pPr>
          </w:p>
        </w:tc>
        <w:tc>
          <w:tcPr>
            <w:tcW w:w="1020" w:type="dxa"/>
            <w:tcBorders>
              <w:top w:val="nil"/>
            </w:tcBorders>
            <w:noWrap w:val="0"/>
            <w:vAlign w:val="center"/>
          </w:tcPr>
          <w:p w14:paraId="6C6651D5">
            <w:pPr>
              <w:keepNext/>
              <w:rPr>
                <w:rFonts w:hint="eastAsia" w:ascii="宋体" w:hAnsi="宋体" w:cs="宋体"/>
                <w:color w:val="auto"/>
                <w:szCs w:val="21"/>
                <w:highlight w:val="none"/>
              </w:rPr>
            </w:pPr>
          </w:p>
        </w:tc>
        <w:tc>
          <w:tcPr>
            <w:tcW w:w="932" w:type="dxa"/>
            <w:tcBorders>
              <w:top w:val="nil"/>
            </w:tcBorders>
            <w:noWrap w:val="0"/>
            <w:vAlign w:val="center"/>
          </w:tcPr>
          <w:p w14:paraId="5A794D50">
            <w:pPr>
              <w:keepNext/>
              <w:rPr>
                <w:rFonts w:hint="eastAsia" w:ascii="宋体" w:hAnsi="宋体" w:cs="宋体"/>
                <w:color w:val="auto"/>
                <w:szCs w:val="21"/>
                <w:highlight w:val="none"/>
              </w:rPr>
            </w:pPr>
          </w:p>
        </w:tc>
      </w:tr>
      <w:tr w14:paraId="2478B52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737" w:type="dxa"/>
            <w:noWrap w:val="0"/>
            <w:vAlign w:val="top"/>
          </w:tcPr>
          <w:p w14:paraId="6AB1E43A">
            <w:pPr>
              <w:rPr>
                <w:rFonts w:hint="eastAsia" w:ascii="宋体" w:hAnsi="宋体" w:cs="宋体"/>
                <w:color w:val="auto"/>
                <w:szCs w:val="21"/>
                <w:highlight w:val="none"/>
              </w:rPr>
            </w:pPr>
          </w:p>
        </w:tc>
        <w:tc>
          <w:tcPr>
            <w:tcW w:w="1418" w:type="dxa"/>
            <w:noWrap w:val="0"/>
            <w:vAlign w:val="top"/>
          </w:tcPr>
          <w:p w14:paraId="1F4976AF">
            <w:pPr>
              <w:rPr>
                <w:rFonts w:hint="eastAsia" w:ascii="宋体" w:hAnsi="宋体" w:cs="宋体"/>
                <w:color w:val="auto"/>
                <w:szCs w:val="21"/>
                <w:highlight w:val="none"/>
              </w:rPr>
            </w:pPr>
          </w:p>
        </w:tc>
        <w:tc>
          <w:tcPr>
            <w:tcW w:w="850" w:type="dxa"/>
            <w:noWrap w:val="0"/>
            <w:vAlign w:val="top"/>
          </w:tcPr>
          <w:p w14:paraId="020F37EB">
            <w:pPr>
              <w:rPr>
                <w:rFonts w:hint="eastAsia" w:ascii="宋体" w:hAnsi="宋体" w:cs="宋体"/>
                <w:color w:val="auto"/>
                <w:szCs w:val="21"/>
                <w:highlight w:val="none"/>
              </w:rPr>
            </w:pPr>
          </w:p>
        </w:tc>
        <w:tc>
          <w:tcPr>
            <w:tcW w:w="709" w:type="dxa"/>
            <w:noWrap w:val="0"/>
            <w:vAlign w:val="top"/>
          </w:tcPr>
          <w:p w14:paraId="46C39710">
            <w:pPr>
              <w:rPr>
                <w:rFonts w:hint="eastAsia" w:ascii="宋体" w:hAnsi="宋体" w:cs="宋体"/>
                <w:color w:val="auto"/>
                <w:szCs w:val="21"/>
                <w:highlight w:val="none"/>
              </w:rPr>
            </w:pPr>
          </w:p>
        </w:tc>
        <w:tc>
          <w:tcPr>
            <w:tcW w:w="850" w:type="dxa"/>
            <w:noWrap w:val="0"/>
            <w:vAlign w:val="top"/>
          </w:tcPr>
          <w:p w14:paraId="105FB488">
            <w:pPr>
              <w:rPr>
                <w:rFonts w:hint="eastAsia" w:ascii="宋体" w:hAnsi="宋体" w:cs="宋体"/>
                <w:color w:val="auto"/>
                <w:szCs w:val="21"/>
                <w:highlight w:val="none"/>
              </w:rPr>
            </w:pPr>
          </w:p>
        </w:tc>
        <w:tc>
          <w:tcPr>
            <w:tcW w:w="963" w:type="dxa"/>
            <w:noWrap w:val="0"/>
            <w:vAlign w:val="top"/>
          </w:tcPr>
          <w:p w14:paraId="7903563D">
            <w:pPr>
              <w:rPr>
                <w:rFonts w:hint="eastAsia" w:ascii="宋体" w:hAnsi="宋体" w:cs="宋体"/>
                <w:color w:val="auto"/>
                <w:szCs w:val="21"/>
                <w:highlight w:val="none"/>
              </w:rPr>
            </w:pPr>
          </w:p>
        </w:tc>
        <w:tc>
          <w:tcPr>
            <w:tcW w:w="1480" w:type="dxa"/>
            <w:noWrap w:val="0"/>
            <w:vAlign w:val="top"/>
          </w:tcPr>
          <w:p w14:paraId="299643F0">
            <w:pPr>
              <w:rPr>
                <w:rFonts w:hint="eastAsia" w:ascii="宋体" w:hAnsi="宋体" w:cs="宋体"/>
                <w:color w:val="auto"/>
                <w:szCs w:val="21"/>
                <w:highlight w:val="none"/>
              </w:rPr>
            </w:pPr>
          </w:p>
        </w:tc>
        <w:tc>
          <w:tcPr>
            <w:tcW w:w="1020" w:type="dxa"/>
            <w:noWrap w:val="0"/>
            <w:vAlign w:val="top"/>
          </w:tcPr>
          <w:p w14:paraId="4653D33E">
            <w:pPr>
              <w:rPr>
                <w:rFonts w:hint="eastAsia" w:ascii="宋体" w:hAnsi="宋体" w:cs="宋体"/>
                <w:color w:val="auto"/>
                <w:szCs w:val="21"/>
                <w:highlight w:val="none"/>
              </w:rPr>
            </w:pPr>
          </w:p>
        </w:tc>
        <w:tc>
          <w:tcPr>
            <w:tcW w:w="932" w:type="dxa"/>
            <w:noWrap w:val="0"/>
            <w:vAlign w:val="top"/>
          </w:tcPr>
          <w:p w14:paraId="61810C24">
            <w:pPr>
              <w:rPr>
                <w:rFonts w:hint="eastAsia" w:ascii="宋体" w:hAnsi="宋体" w:cs="宋体"/>
                <w:color w:val="auto"/>
                <w:szCs w:val="21"/>
                <w:highlight w:val="none"/>
              </w:rPr>
            </w:pPr>
          </w:p>
        </w:tc>
      </w:tr>
      <w:tr w14:paraId="73D355A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737" w:type="dxa"/>
            <w:noWrap w:val="0"/>
            <w:vAlign w:val="top"/>
          </w:tcPr>
          <w:p w14:paraId="3D9EEBD8">
            <w:pPr>
              <w:rPr>
                <w:rFonts w:hint="eastAsia" w:ascii="宋体" w:hAnsi="宋体" w:cs="宋体"/>
                <w:color w:val="auto"/>
                <w:szCs w:val="21"/>
                <w:highlight w:val="none"/>
              </w:rPr>
            </w:pPr>
          </w:p>
        </w:tc>
        <w:tc>
          <w:tcPr>
            <w:tcW w:w="1418" w:type="dxa"/>
            <w:noWrap w:val="0"/>
            <w:vAlign w:val="top"/>
          </w:tcPr>
          <w:p w14:paraId="05471ACD">
            <w:pPr>
              <w:rPr>
                <w:rFonts w:hint="eastAsia" w:ascii="宋体" w:hAnsi="宋体" w:cs="宋体"/>
                <w:color w:val="auto"/>
                <w:szCs w:val="21"/>
                <w:highlight w:val="none"/>
              </w:rPr>
            </w:pPr>
          </w:p>
        </w:tc>
        <w:tc>
          <w:tcPr>
            <w:tcW w:w="850" w:type="dxa"/>
            <w:noWrap w:val="0"/>
            <w:vAlign w:val="top"/>
          </w:tcPr>
          <w:p w14:paraId="12FD512E">
            <w:pPr>
              <w:rPr>
                <w:rFonts w:hint="eastAsia" w:ascii="宋体" w:hAnsi="宋体" w:cs="宋体"/>
                <w:color w:val="auto"/>
                <w:szCs w:val="21"/>
                <w:highlight w:val="none"/>
              </w:rPr>
            </w:pPr>
          </w:p>
        </w:tc>
        <w:tc>
          <w:tcPr>
            <w:tcW w:w="709" w:type="dxa"/>
            <w:noWrap w:val="0"/>
            <w:vAlign w:val="top"/>
          </w:tcPr>
          <w:p w14:paraId="55BF8D81">
            <w:pPr>
              <w:rPr>
                <w:rFonts w:hint="eastAsia" w:ascii="宋体" w:hAnsi="宋体" w:cs="宋体"/>
                <w:color w:val="auto"/>
                <w:szCs w:val="21"/>
                <w:highlight w:val="none"/>
              </w:rPr>
            </w:pPr>
          </w:p>
        </w:tc>
        <w:tc>
          <w:tcPr>
            <w:tcW w:w="850" w:type="dxa"/>
            <w:noWrap w:val="0"/>
            <w:vAlign w:val="top"/>
          </w:tcPr>
          <w:p w14:paraId="274ADA9F">
            <w:pPr>
              <w:rPr>
                <w:rFonts w:hint="eastAsia" w:ascii="宋体" w:hAnsi="宋体" w:cs="宋体"/>
                <w:color w:val="auto"/>
                <w:szCs w:val="21"/>
                <w:highlight w:val="none"/>
              </w:rPr>
            </w:pPr>
          </w:p>
        </w:tc>
        <w:tc>
          <w:tcPr>
            <w:tcW w:w="963" w:type="dxa"/>
            <w:noWrap w:val="0"/>
            <w:vAlign w:val="top"/>
          </w:tcPr>
          <w:p w14:paraId="5A18C35D">
            <w:pPr>
              <w:rPr>
                <w:rFonts w:hint="eastAsia" w:ascii="宋体" w:hAnsi="宋体" w:cs="宋体"/>
                <w:color w:val="auto"/>
                <w:szCs w:val="21"/>
                <w:highlight w:val="none"/>
              </w:rPr>
            </w:pPr>
          </w:p>
        </w:tc>
        <w:tc>
          <w:tcPr>
            <w:tcW w:w="1480" w:type="dxa"/>
            <w:noWrap w:val="0"/>
            <w:vAlign w:val="top"/>
          </w:tcPr>
          <w:p w14:paraId="286A1876">
            <w:pPr>
              <w:rPr>
                <w:rFonts w:hint="eastAsia" w:ascii="宋体" w:hAnsi="宋体" w:cs="宋体"/>
                <w:color w:val="auto"/>
                <w:szCs w:val="21"/>
                <w:highlight w:val="none"/>
              </w:rPr>
            </w:pPr>
          </w:p>
        </w:tc>
        <w:tc>
          <w:tcPr>
            <w:tcW w:w="1020" w:type="dxa"/>
            <w:noWrap w:val="0"/>
            <w:vAlign w:val="top"/>
          </w:tcPr>
          <w:p w14:paraId="0418BC3A">
            <w:pPr>
              <w:rPr>
                <w:rFonts w:hint="eastAsia" w:ascii="宋体" w:hAnsi="宋体" w:cs="宋体"/>
                <w:color w:val="auto"/>
                <w:szCs w:val="21"/>
                <w:highlight w:val="none"/>
              </w:rPr>
            </w:pPr>
          </w:p>
        </w:tc>
        <w:tc>
          <w:tcPr>
            <w:tcW w:w="932" w:type="dxa"/>
            <w:noWrap w:val="0"/>
            <w:vAlign w:val="top"/>
          </w:tcPr>
          <w:p w14:paraId="35A2CA3D">
            <w:pPr>
              <w:rPr>
                <w:rFonts w:hint="eastAsia" w:ascii="宋体" w:hAnsi="宋体" w:cs="宋体"/>
                <w:color w:val="auto"/>
                <w:szCs w:val="21"/>
                <w:highlight w:val="none"/>
              </w:rPr>
            </w:pPr>
          </w:p>
        </w:tc>
      </w:tr>
      <w:tr w14:paraId="072BED1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737" w:type="dxa"/>
            <w:tcBorders>
              <w:bottom w:val="single" w:color="auto" w:sz="12" w:space="0"/>
            </w:tcBorders>
            <w:noWrap w:val="0"/>
            <w:vAlign w:val="top"/>
          </w:tcPr>
          <w:p w14:paraId="55BD2607">
            <w:pPr>
              <w:rPr>
                <w:rFonts w:hint="eastAsia" w:ascii="宋体" w:hAnsi="宋体" w:cs="宋体"/>
                <w:color w:val="auto"/>
                <w:szCs w:val="21"/>
                <w:highlight w:val="none"/>
              </w:rPr>
            </w:pPr>
          </w:p>
        </w:tc>
        <w:tc>
          <w:tcPr>
            <w:tcW w:w="1418" w:type="dxa"/>
            <w:tcBorders>
              <w:bottom w:val="single" w:color="auto" w:sz="12" w:space="0"/>
            </w:tcBorders>
            <w:noWrap w:val="0"/>
            <w:vAlign w:val="top"/>
          </w:tcPr>
          <w:p w14:paraId="0ECB6BF8">
            <w:pPr>
              <w:rPr>
                <w:rFonts w:hint="eastAsia" w:ascii="宋体" w:hAnsi="宋体" w:cs="宋体"/>
                <w:color w:val="auto"/>
                <w:szCs w:val="21"/>
                <w:highlight w:val="none"/>
              </w:rPr>
            </w:pPr>
          </w:p>
        </w:tc>
        <w:tc>
          <w:tcPr>
            <w:tcW w:w="850" w:type="dxa"/>
            <w:tcBorders>
              <w:bottom w:val="single" w:color="auto" w:sz="12" w:space="0"/>
            </w:tcBorders>
            <w:noWrap w:val="0"/>
            <w:vAlign w:val="top"/>
          </w:tcPr>
          <w:p w14:paraId="16CC2A50">
            <w:pPr>
              <w:rPr>
                <w:rFonts w:hint="eastAsia" w:ascii="宋体" w:hAnsi="宋体" w:cs="宋体"/>
                <w:color w:val="auto"/>
                <w:szCs w:val="21"/>
                <w:highlight w:val="none"/>
              </w:rPr>
            </w:pPr>
          </w:p>
        </w:tc>
        <w:tc>
          <w:tcPr>
            <w:tcW w:w="709" w:type="dxa"/>
            <w:tcBorders>
              <w:bottom w:val="single" w:color="auto" w:sz="12" w:space="0"/>
            </w:tcBorders>
            <w:noWrap w:val="0"/>
            <w:vAlign w:val="top"/>
          </w:tcPr>
          <w:p w14:paraId="320B6761">
            <w:pPr>
              <w:rPr>
                <w:rFonts w:hint="eastAsia" w:ascii="宋体" w:hAnsi="宋体" w:cs="宋体"/>
                <w:color w:val="auto"/>
                <w:szCs w:val="21"/>
                <w:highlight w:val="none"/>
              </w:rPr>
            </w:pPr>
          </w:p>
        </w:tc>
        <w:tc>
          <w:tcPr>
            <w:tcW w:w="850" w:type="dxa"/>
            <w:tcBorders>
              <w:bottom w:val="single" w:color="auto" w:sz="12" w:space="0"/>
            </w:tcBorders>
            <w:noWrap w:val="0"/>
            <w:vAlign w:val="top"/>
          </w:tcPr>
          <w:p w14:paraId="0B6DD956">
            <w:pPr>
              <w:rPr>
                <w:rFonts w:hint="eastAsia" w:ascii="宋体" w:hAnsi="宋体" w:cs="宋体"/>
                <w:color w:val="auto"/>
                <w:szCs w:val="21"/>
                <w:highlight w:val="none"/>
              </w:rPr>
            </w:pPr>
          </w:p>
        </w:tc>
        <w:tc>
          <w:tcPr>
            <w:tcW w:w="963" w:type="dxa"/>
            <w:tcBorders>
              <w:bottom w:val="single" w:color="auto" w:sz="12" w:space="0"/>
            </w:tcBorders>
            <w:noWrap w:val="0"/>
            <w:vAlign w:val="top"/>
          </w:tcPr>
          <w:p w14:paraId="619BCC8D">
            <w:pPr>
              <w:rPr>
                <w:rFonts w:hint="eastAsia" w:ascii="宋体" w:hAnsi="宋体" w:cs="宋体"/>
                <w:color w:val="auto"/>
                <w:szCs w:val="21"/>
                <w:highlight w:val="none"/>
              </w:rPr>
            </w:pPr>
          </w:p>
        </w:tc>
        <w:tc>
          <w:tcPr>
            <w:tcW w:w="1480" w:type="dxa"/>
            <w:tcBorders>
              <w:bottom w:val="single" w:color="auto" w:sz="12" w:space="0"/>
            </w:tcBorders>
            <w:noWrap w:val="0"/>
            <w:vAlign w:val="top"/>
          </w:tcPr>
          <w:p w14:paraId="3C426AE1">
            <w:pPr>
              <w:rPr>
                <w:rFonts w:hint="eastAsia" w:ascii="宋体" w:hAnsi="宋体" w:cs="宋体"/>
                <w:color w:val="auto"/>
                <w:szCs w:val="21"/>
                <w:highlight w:val="none"/>
              </w:rPr>
            </w:pPr>
          </w:p>
        </w:tc>
        <w:tc>
          <w:tcPr>
            <w:tcW w:w="1020" w:type="dxa"/>
            <w:tcBorders>
              <w:bottom w:val="single" w:color="auto" w:sz="12" w:space="0"/>
            </w:tcBorders>
            <w:noWrap w:val="0"/>
            <w:vAlign w:val="top"/>
          </w:tcPr>
          <w:p w14:paraId="04CCEB65">
            <w:pPr>
              <w:rPr>
                <w:rFonts w:hint="eastAsia" w:ascii="宋体" w:hAnsi="宋体" w:cs="宋体"/>
                <w:color w:val="auto"/>
                <w:szCs w:val="21"/>
                <w:highlight w:val="none"/>
              </w:rPr>
            </w:pPr>
          </w:p>
        </w:tc>
        <w:tc>
          <w:tcPr>
            <w:tcW w:w="932" w:type="dxa"/>
            <w:tcBorders>
              <w:bottom w:val="single" w:color="auto" w:sz="12" w:space="0"/>
            </w:tcBorders>
            <w:noWrap w:val="0"/>
            <w:vAlign w:val="top"/>
          </w:tcPr>
          <w:p w14:paraId="59719D41">
            <w:pPr>
              <w:rPr>
                <w:rFonts w:hint="eastAsia" w:ascii="宋体" w:hAnsi="宋体" w:cs="宋体"/>
                <w:color w:val="auto"/>
                <w:szCs w:val="21"/>
                <w:highlight w:val="none"/>
              </w:rPr>
            </w:pPr>
          </w:p>
        </w:tc>
      </w:tr>
    </w:tbl>
    <w:p w14:paraId="01BAC0B4">
      <w:pPr>
        <w:rPr>
          <w:rFonts w:hint="eastAsia" w:ascii="宋体" w:hAnsi="宋体" w:cs="宋体"/>
          <w:color w:val="auto"/>
          <w:szCs w:val="21"/>
          <w:highlight w:val="none"/>
        </w:rPr>
      </w:pPr>
    </w:p>
    <w:p w14:paraId="5585C2BC">
      <w:pPr>
        <w:widowControl/>
        <w:spacing w:line="360" w:lineRule="auto"/>
        <w:rPr>
          <w:rFonts w:hint="eastAsia" w:ascii="宋体" w:hAnsi="宋体" w:cs="宋体"/>
          <w:color w:val="auto"/>
          <w:szCs w:val="21"/>
          <w:highlight w:val="none"/>
        </w:rPr>
      </w:pPr>
    </w:p>
    <w:p w14:paraId="05718EB9">
      <w:pPr>
        <w:widowControl/>
        <w:spacing w:line="360" w:lineRule="auto"/>
        <w:rPr>
          <w:rFonts w:hint="eastAsia" w:ascii="宋体" w:hAnsi="宋体" w:cs="宋体"/>
          <w:color w:val="auto"/>
          <w:szCs w:val="21"/>
          <w:highlight w:val="none"/>
        </w:rPr>
      </w:pPr>
    </w:p>
    <w:p w14:paraId="712F931F">
      <w:pPr>
        <w:widowControl/>
        <w:spacing w:line="360" w:lineRule="auto"/>
        <w:rPr>
          <w:rFonts w:hint="eastAsia" w:ascii="宋体" w:hAnsi="宋体" w:cs="宋体"/>
          <w:color w:val="auto"/>
          <w:szCs w:val="21"/>
          <w:highlight w:val="none"/>
        </w:rPr>
      </w:pPr>
    </w:p>
    <w:p w14:paraId="6247D2D4">
      <w:pPr>
        <w:widowControl/>
        <w:spacing w:line="360" w:lineRule="auto"/>
        <w:rPr>
          <w:rFonts w:hint="eastAsia" w:ascii="宋体" w:hAnsi="宋体" w:cs="宋体"/>
          <w:color w:val="auto"/>
          <w:szCs w:val="21"/>
          <w:highlight w:val="none"/>
        </w:rPr>
      </w:pPr>
    </w:p>
    <w:p w14:paraId="63571358">
      <w:pPr>
        <w:widowControl/>
        <w:spacing w:line="360" w:lineRule="auto"/>
        <w:rPr>
          <w:rFonts w:hint="eastAsia" w:ascii="宋体" w:hAnsi="宋体" w:cs="宋体"/>
          <w:color w:val="auto"/>
          <w:szCs w:val="21"/>
          <w:highlight w:val="none"/>
        </w:rPr>
      </w:pPr>
    </w:p>
    <w:p w14:paraId="2C5F191B">
      <w:pPr>
        <w:widowControl/>
        <w:spacing w:line="360" w:lineRule="auto"/>
        <w:rPr>
          <w:rFonts w:hint="eastAsia" w:ascii="宋体" w:hAnsi="宋体" w:cs="宋体"/>
          <w:color w:val="auto"/>
          <w:szCs w:val="21"/>
          <w:highlight w:val="none"/>
        </w:rPr>
      </w:pPr>
    </w:p>
    <w:p w14:paraId="5250B392">
      <w:pPr>
        <w:widowControl/>
        <w:spacing w:line="360" w:lineRule="auto"/>
        <w:rPr>
          <w:rFonts w:hint="eastAsia" w:ascii="宋体" w:hAnsi="宋体" w:cs="宋体"/>
          <w:color w:val="auto"/>
          <w:szCs w:val="21"/>
          <w:highlight w:val="none"/>
        </w:rPr>
      </w:pPr>
    </w:p>
    <w:p w14:paraId="065C3A8E">
      <w:pPr>
        <w:widowControl/>
        <w:spacing w:line="360" w:lineRule="auto"/>
        <w:rPr>
          <w:rFonts w:hint="eastAsia" w:ascii="宋体" w:hAnsi="宋体" w:cs="宋体"/>
          <w:color w:val="auto"/>
          <w:sz w:val="24"/>
          <w:highlight w:val="none"/>
        </w:rPr>
      </w:pPr>
    </w:p>
    <w:p w14:paraId="53FBDD36">
      <w:pPr>
        <w:rPr>
          <w:rFonts w:hint="eastAsia" w:ascii="宋体" w:hAnsi="宋体" w:cs="宋体"/>
          <w:bCs/>
          <w:color w:val="auto"/>
          <w:sz w:val="24"/>
          <w:highlight w:val="none"/>
        </w:rPr>
      </w:pPr>
      <w:bookmarkStart w:id="881" w:name="_Toc95223492"/>
      <w:r>
        <w:rPr>
          <w:rFonts w:hint="eastAsia" w:ascii="宋体" w:hAnsi="宋体" w:cs="宋体"/>
          <w:bCs/>
          <w:color w:val="auto"/>
          <w:sz w:val="24"/>
          <w:highlight w:val="none"/>
        </w:rPr>
        <w:br w:type="page"/>
      </w:r>
    </w:p>
    <w:p w14:paraId="0B2B87D6">
      <w:pPr>
        <w:keepNext/>
        <w:keepLines/>
        <w:spacing w:before="120" w:after="120" w:line="360" w:lineRule="auto"/>
        <w:jc w:val="left"/>
        <w:outlineLvl w:val="2"/>
        <w:rPr>
          <w:rFonts w:hint="eastAsia" w:ascii="宋体" w:hAnsi="宋体" w:cs="宋体"/>
          <w:bCs/>
          <w:color w:val="auto"/>
          <w:sz w:val="24"/>
          <w:highlight w:val="none"/>
        </w:rPr>
      </w:pPr>
      <w:r>
        <w:rPr>
          <w:rFonts w:hint="eastAsia" w:ascii="宋体" w:hAnsi="宋体" w:cs="宋体"/>
          <w:bCs/>
          <w:color w:val="auto"/>
          <w:sz w:val="24"/>
          <w:highlight w:val="none"/>
        </w:rPr>
        <w:t>附</w:t>
      </w:r>
      <w:bookmarkStart w:id="882" w:name="_Toc296891056"/>
      <w:bookmarkStart w:id="883" w:name="_Toc296346729"/>
      <w:bookmarkStart w:id="884" w:name="_Toc296891268"/>
      <w:bookmarkStart w:id="885" w:name="_Toc267261699"/>
      <w:bookmarkStart w:id="886" w:name="_Toc296347227"/>
      <w:bookmarkStart w:id="887" w:name="_Toc296944567"/>
      <w:bookmarkStart w:id="888" w:name="_Toc296503228"/>
      <w:r>
        <w:rPr>
          <w:rFonts w:hint="eastAsia" w:ascii="宋体" w:hAnsi="宋体" w:cs="宋体"/>
          <w:bCs/>
          <w:color w:val="auto"/>
          <w:sz w:val="24"/>
          <w:highlight w:val="none"/>
        </w:rPr>
        <w:t>件</w:t>
      </w:r>
      <w:bookmarkEnd w:id="882"/>
      <w:bookmarkEnd w:id="883"/>
      <w:bookmarkEnd w:id="884"/>
      <w:bookmarkEnd w:id="885"/>
      <w:bookmarkEnd w:id="886"/>
      <w:bookmarkEnd w:id="887"/>
      <w:bookmarkEnd w:id="888"/>
      <w:r>
        <w:rPr>
          <w:rFonts w:hint="eastAsia" w:ascii="宋体" w:hAnsi="宋体" w:cs="宋体"/>
          <w:bCs/>
          <w:color w:val="auto"/>
          <w:sz w:val="24"/>
          <w:highlight w:val="none"/>
        </w:rPr>
        <w:t>6：承包人主要施工管理人员表</w:t>
      </w:r>
      <w:bookmarkEnd w:id="881"/>
    </w:p>
    <w:p w14:paraId="12EA1DA6">
      <w:pPr>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承包人主要施工管理人员表</w:t>
      </w:r>
    </w:p>
    <w:tbl>
      <w:tblPr>
        <w:tblStyle w:val="47"/>
        <w:tblW w:w="5113"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28" w:type="dxa"/>
          <w:bottom w:w="0" w:type="dxa"/>
          <w:right w:w="28" w:type="dxa"/>
        </w:tblCellMar>
      </w:tblPr>
      <w:tblGrid>
        <w:gridCol w:w="1729"/>
        <w:gridCol w:w="1156"/>
        <w:gridCol w:w="926"/>
        <w:gridCol w:w="926"/>
        <w:gridCol w:w="2358"/>
        <w:gridCol w:w="2124"/>
      </w:tblGrid>
      <w:tr w14:paraId="33A43F0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8" w:type="pct"/>
            <w:tcBorders>
              <w:top w:val="single" w:color="auto" w:sz="12" w:space="0"/>
              <w:bottom w:val="double" w:color="auto" w:sz="6" w:space="0"/>
            </w:tcBorders>
            <w:noWrap w:val="0"/>
            <w:vAlign w:val="center"/>
          </w:tcPr>
          <w:p w14:paraId="5A15560C">
            <w:pPr>
              <w:keepNext/>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名    称</w:t>
            </w:r>
          </w:p>
        </w:tc>
        <w:tc>
          <w:tcPr>
            <w:tcW w:w="627" w:type="pct"/>
            <w:tcBorders>
              <w:top w:val="single" w:color="auto" w:sz="12" w:space="0"/>
              <w:bottom w:val="double" w:color="auto" w:sz="6" w:space="0"/>
            </w:tcBorders>
            <w:noWrap w:val="0"/>
            <w:vAlign w:val="center"/>
          </w:tcPr>
          <w:p w14:paraId="6D666670">
            <w:pPr>
              <w:keepNext/>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姓名</w:t>
            </w:r>
          </w:p>
        </w:tc>
        <w:tc>
          <w:tcPr>
            <w:tcW w:w="502" w:type="pct"/>
            <w:tcBorders>
              <w:top w:val="single" w:color="auto" w:sz="12" w:space="0"/>
              <w:bottom w:val="double" w:color="auto" w:sz="6" w:space="0"/>
            </w:tcBorders>
            <w:noWrap w:val="0"/>
            <w:vAlign w:val="center"/>
          </w:tcPr>
          <w:p w14:paraId="12DEEE6E">
            <w:pPr>
              <w:keepNext/>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职务</w:t>
            </w:r>
          </w:p>
        </w:tc>
        <w:tc>
          <w:tcPr>
            <w:tcW w:w="502" w:type="pct"/>
            <w:tcBorders>
              <w:top w:val="single" w:color="auto" w:sz="12" w:space="0"/>
              <w:bottom w:val="double" w:color="auto" w:sz="6" w:space="0"/>
            </w:tcBorders>
            <w:noWrap w:val="0"/>
            <w:vAlign w:val="center"/>
          </w:tcPr>
          <w:p w14:paraId="181E7294">
            <w:pPr>
              <w:keepNext/>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职称</w:t>
            </w:r>
          </w:p>
        </w:tc>
        <w:tc>
          <w:tcPr>
            <w:tcW w:w="1279" w:type="pct"/>
            <w:tcBorders>
              <w:top w:val="single" w:color="auto" w:sz="12" w:space="0"/>
              <w:bottom w:val="double" w:color="auto" w:sz="6" w:space="0"/>
            </w:tcBorders>
            <w:noWrap w:val="0"/>
            <w:vAlign w:val="center"/>
          </w:tcPr>
          <w:p w14:paraId="1C9579C9">
            <w:pPr>
              <w:keepNext/>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主要资历、经验及承担过的项目</w:t>
            </w:r>
          </w:p>
        </w:tc>
        <w:tc>
          <w:tcPr>
            <w:tcW w:w="1153" w:type="pct"/>
            <w:tcBorders>
              <w:top w:val="single" w:color="auto" w:sz="12" w:space="0"/>
              <w:bottom w:val="double" w:color="auto" w:sz="6" w:space="0"/>
            </w:tcBorders>
            <w:noWrap w:val="0"/>
            <w:vAlign w:val="top"/>
          </w:tcPr>
          <w:p w14:paraId="436CD293">
            <w:pPr>
              <w:keepNext/>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身份证号码</w:t>
            </w:r>
          </w:p>
        </w:tc>
      </w:tr>
      <w:tr w14:paraId="066977F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3847" w:type="pct"/>
            <w:gridSpan w:val="5"/>
            <w:tcBorders>
              <w:top w:val="double" w:color="auto" w:sz="6" w:space="0"/>
            </w:tcBorders>
            <w:noWrap w:val="0"/>
            <w:vAlign w:val="center"/>
          </w:tcPr>
          <w:p w14:paraId="61642AA1">
            <w:pPr>
              <w:keepNext/>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一、总部人员</w:t>
            </w:r>
          </w:p>
        </w:tc>
        <w:tc>
          <w:tcPr>
            <w:tcW w:w="1153" w:type="pct"/>
            <w:tcBorders>
              <w:top w:val="double" w:color="auto" w:sz="6" w:space="0"/>
            </w:tcBorders>
            <w:noWrap w:val="0"/>
            <w:vAlign w:val="top"/>
          </w:tcPr>
          <w:p w14:paraId="0274D57E">
            <w:pPr>
              <w:keepNext/>
              <w:spacing w:line="360" w:lineRule="auto"/>
              <w:jc w:val="center"/>
              <w:rPr>
                <w:rFonts w:hint="eastAsia" w:ascii="宋体" w:hAnsi="宋体" w:cs="宋体"/>
                <w:color w:val="auto"/>
                <w:szCs w:val="21"/>
                <w:highlight w:val="none"/>
              </w:rPr>
            </w:pPr>
          </w:p>
        </w:tc>
      </w:tr>
      <w:tr w14:paraId="50D5D0D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8" w:type="pct"/>
            <w:tcBorders>
              <w:top w:val="nil"/>
              <w:bottom w:val="nil"/>
            </w:tcBorders>
            <w:noWrap w:val="0"/>
            <w:vAlign w:val="center"/>
          </w:tcPr>
          <w:p w14:paraId="27C3E879">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项目主管</w:t>
            </w:r>
          </w:p>
        </w:tc>
        <w:tc>
          <w:tcPr>
            <w:tcW w:w="627" w:type="pct"/>
            <w:tcBorders>
              <w:top w:val="nil"/>
            </w:tcBorders>
            <w:noWrap w:val="0"/>
            <w:vAlign w:val="center"/>
          </w:tcPr>
          <w:p w14:paraId="552B2FB8">
            <w:pPr>
              <w:keepNext/>
              <w:spacing w:line="360" w:lineRule="auto"/>
              <w:jc w:val="center"/>
              <w:rPr>
                <w:rFonts w:hint="eastAsia" w:ascii="宋体" w:hAnsi="宋体" w:cs="宋体"/>
                <w:color w:val="auto"/>
                <w:szCs w:val="21"/>
                <w:highlight w:val="none"/>
              </w:rPr>
            </w:pPr>
          </w:p>
        </w:tc>
        <w:tc>
          <w:tcPr>
            <w:tcW w:w="502" w:type="pct"/>
            <w:tcBorders>
              <w:top w:val="nil"/>
            </w:tcBorders>
            <w:noWrap w:val="0"/>
            <w:vAlign w:val="center"/>
          </w:tcPr>
          <w:p w14:paraId="7D64F8AC">
            <w:pPr>
              <w:keepNext/>
              <w:spacing w:line="360" w:lineRule="auto"/>
              <w:jc w:val="center"/>
              <w:rPr>
                <w:rFonts w:hint="eastAsia" w:ascii="宋体" w:hAnsi="宋体" w:cs="宋体"/>
                <w:color w:val="auto"/>
                <w:szCs w:val="21"/>
                <w:highlight w:val="none"/>
              </w:rPr>
            </w:pPr>
          </w:p>
        </w:tc>
        <w:tc>
          <w:tcPr>
            <w:tcW w:w="502" w:type="pct"/>
            <w:tcBorders>
              <w:top w:val="nil"/>
            </w:tcBorders>
            <w:noWrap w:val="0"/>
            <w:vAlign w:val="center"/>
          </w:tcPr>
          <w:p w14:paraId="58A53FFA">
            <w:pPr>
              <w:keepNext/>
              <w:spacing w:line="360" w:lineRule="auto"/>
              <w:jc w:val="center"/>
              <w:rPr>
                <w:rFonts w:hint="eastAsia" w:ascii="宋体" w:hAnsi="宋体" w:cs="宋体"/>
                <w:color w:val="auto"/>
                <w:szCs w:val="21"/>
                <w:highlight w:val="none"/>
              </w:rPr>
            </w:pPr>
          </w:p>
        </w:tc>
        <w:tc>
          <w:tcPr>
            <w:tcW w:w="1279" w:type="pct"/>
            <w:tcBorders>
              <w:top w:val="nil"/>
            </w:tcBorders>
            <w:noWrap w:val="0"/>
            <w:vAlign w:val="center"/>
          </w:tcPr>
          <w:p w14:paraId="3A087D67">
            <w:pPr>
              <w:keepNext/>
              <w:spacing w:line="360" w:lineRule="auto"/>
              <w:jc w:val="center"/>
              <w:rPr>
                <w:rFonts w:hint="eastAsia" w:ascii="宋体" w:hAnsi="宋体" w:cs="宋体"/>
                <w:color w:val="auto"/>
                <w:szCs w:val="21"/>
                <w:highlight w:val="none"/>
              </w:rPr>
            </w:pPr>
          </w:p>
        </w:tc>
        <w:tc>
          <w:tcPr>
            <w:tcW w:w="1153" w:type="pct"/>
            <w:tcBorders>
              <w:top w:val="nil"/>
            </w:tcBorders>
            <w:noWrap w:val="0"/>
            <w:vAlign w:val="top"/>
          </w:tcPr>
          <w:p w14:paraId="4D28BA54">
            <w:pPr>
              <w:keepNext/>
              <w:spacing w:line="360" w:lineRule="auto"/>
              <w:jc w:val="center"/>
              <w:rPr>
                <w:rFonts w:hint="eastAsia" w:ascii="宋体" w:hAnsi="宋体" w:cs="宋体"/>
                <w:color w:val="auto"/>
                <w:szCs w:val="21"/>
                <w:highlight w:val="none"/>
              </w:rPr>
            </w:pPr>
          </w:p>
        </w:tc>
      </w:tr>
      <w:tr w14:paraId="4540285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8" w:type="pct"/>
            <w:tcBorders>
              <w:bottom w:val="nil"/>
            </w:tcBorders>
            <w:noWrap w:val="0"/>
            <w:vAlign w:val="center"/>
          </w:tcPr>
          <w:p w14:paraId="2A885CDB">
            <w:pPr>
              <w:spacing w:line="360" w:lineRule="auto"/>
              <w:jc w:val="center"/>
              <w:rPr>
                <w:rFonts w:hint="eastAsia" w:ascii="宋体" w:hAnsi="宋体" w:cs="宋体"/>
                <w:color w:val="auto"/>
                <w:szCs w:val="21"/>
                <w:highlight w:val="none"/>
              </w:rPr>
            </w:pPr>
          </w:p>
        </w:tc>
        <w:tc>
          <w:tcPr>
            <w:tcW w:w="627" w:type="pct"/>
            <w:noWrap w:val="0"/>
            <w:vAlign w:val="center"/>
          </w:tcPr>
          <w:p w14:paraId="59B1BDA6">
            <w:pPr>
              <w:keepNext/>
              <w:spacing w:line="360" w:lineRule="auto"/>
              <w:jc w:val="center"/>
              <w:rPr>
                <w:rFonts w:hint="eastAsia" w:ascii="宋体" w:hAnsi="宋体" w:cs="宋体"/>
                <w:color w:val="auto"/>
                <w:szCs w:val="21"/>
                <w:highlight w:val="none"/>
              </w:rPr>
            </w:pPr>
          </w:p>
        </w:tc>
        <w:tc>
          <w:tcPr>
            <w:tcW w:w="502" w:type="pct"/>
            <w:noWrap w:val="0"/>
            <w:vAlign w:val="center"/>
          </w:tcPr>
          <w:p w14:paraId="501443D8">
            <w:pPr>
              <w:keepNext/>
              <w:spacing w:line="360" w:lineRule="auto"/>
              <w:jc w:val="center"/>
              <w:rPr>
                <w:rFonts w:hint="eastAsia" w:ascii="宋体" w:hAnsi="宋体" w:cs="宋体"/>
                <w:color w:val="auto"/>
                <w:szCs w:val="21"/>
                <w:highlight w:val="none"/>
              </w:rPr>
            </w:pPr>
          </w:p>
        </w:tc>
        <w:tc>
          <w:tcPr>
            <w:tcW w:w="502" w:type="pct"/>
            <w:noWrap w:val="0"/>
            <w:vAlign w:val="center"/>
          </w:tcPr>
          <w:p w14:paraId="2B6464F2">
            <w:pPr>
              <w:keepNext/>
              <w:spacing w:line="360" w:lineRule="auto"/>
              <w:jc w:val="center"/>
              <w:rPr>
                <w:rFonts w:hint="eastAsia" w:ascii="宋体" w:hAnsi="宋体" w:cs="宋体"/>
                <w:color w:val="auto"/>
                <w:szCs w:val="21"/>
                <w:highlight w:val="none"/>
              </w:rPr>
            </w:pPr>
          </w:p>
        </w:tc>
        <w:tc>
          <w:tcPr>
            <w:tcW w:w="1279" w:type="pct"/>
            <w:noWrap w:val="0"/>
            <w:vAlign w:val="center"/>
          </w:tcPr>
          <w:p w14:paraId="19A1C2B4">
            <w:pPr>
              <w:keepNext/>
              <w:spacing w:line="360" w:lineRule="auto"/>
              <w:jc w:val="center"/>
              <w:rPr>
                <w:rFonts w:hint="eastAsia" w:ascii="宋体" w:hAnsi="宋体" w:cs="宋体"/>
                <w:color w:val="auto"/>
                <w:szCs w:val="21"/>
                <w:highlight w:val="none"/>
              </w:rPr>
            </w:pPr>
          </w:p>
        </w:tc>
        <w:tc>
          <w:tcPr>
            <w:tcW w:w="1153" w:type="pct"/>
            <w:noWrap w:val="0"/>
            <w:vAlign w:val="top"/>
          </w:tcPr>
          <w:p w14:paraId="0D6D1354">
            <w:pPr>
              <w:keepNext/>
              <w:spacing w:line="360" w:lineRule="auto"/>
              <w:jc w:val="center"/>
              <w:rPr>
                <w:rFonts w:hint="eastAsia" w:ascii="宋体" w:hAnsi="宋体" w:cs="宋体"/>
                <w:color w:val="auto"/>
                <w:szCs w:val="21"/>
                <w:highlight w:val="none"/>
              </w:rPr>
            </w:pPr>
          </w:p>
        </w:tc>
      </w:tr>
      <w:tr w14:paraId="17256AA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8" w:type="pct"/>
            <w:tcBorders>
              <w:top w:val="nil"/>
              <w:bottom w:val="nil"/>
            </w:tcBorders>
            <w:noWrap w:val="0"/>
            <w:vAlign w:val="center"/>
          </w:tcPr>
          <w:p w14:paraId="3FD62EF1">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其他人员</w:t>
            </w:r>
          </w:p>
        </w:tc>
        <w:tc>
          <w:tcPr>
            <w:tcW w:w="627" w:type="pct"/>
            <w:noWrap w:val="0"/>
            <w:vAlign w:val="center"/>
          </w:tcPr>
          <w:p w14:paraId="4B09C892">
            <w:pPr>
              <w:keepNext/>
              <w:spacing w:line="360" w:lineRule="auto"/>
              <w:jc w:val="center"/>
              <w:rPr>
                <w:rFonts w:hint="eastAsia" w:ascii="宋体" w:hAnsi="宋体" w:cs="宋体"/>
                <w:color w:val="auto"/>
                <w:szCs w:val="21"/>
                <w:highlight w:val="none"/>
              </w:rPr>
            </w:pPr>
          </w:p>
        </w:tc>
        <w:tc>
          <w:tcPr>
            <w:tcW w:w="502" w:type="pct"/>
            <w:noWrap w:val="0"/>
            <w:vAlign w:val="center"/>
          </w:tcPr>
          <w:p w14:paraId="082418EC">
            <w:pPr>
              <w:keepNext/>
              <w:spacing w:line="360" w:lineRule="auto"/>
              <w:jc w:val="center"/>
              <w:rPr>
                <w:rFonts w:hint="eastAsia" w:ascii="宋体" w:hAnsi="宋体" w:cs="宋体"/>
                <w:color w:val="auto"/>
                <w:szCs w:val="21"/>
                <w:highlight w:val="none"/>
              </w:rPr>
            </w:pPr>
          </w:p>
        </w:tc>
        <w:tc>
          <w:tcPr>
            <w:tcW w:w="502" w:type="pct"/>
            <w:noWrap w:val="0"/>
            <w:vAlign w:val="center"/>
          </w:tcPr>
          <w:p w14:paraId="3024BA26">
            <w:pPr>
              <w:keepNext/>
              <w:spacing w:line="360" w:lineRule="auto"/>
              <w:jc w:val="center"/>
              <w:rPr>
                <w:rFonts w:hint="eastAsia" w:ascii="宋体" w:hAnsi="宋体" w:cs="宋体"/>
                <w:color w:val="auto"/>
                <w:szCs w:val="21"/>
                <w:highlight w:val="none"/>
              </w:rPr>
            </w:pPr>
          </w:p>
        </w:tc>
        <w:tc>
          <w:tcPr>
            <w:tcW w:w="1279" w:type="pct"/>
            <w:noWrap w:val="0"/>
            <w:vAlign w:val="center"/>
          </w:tcPr>
          <w:p w14:paraId="7A4E40E8">
            <w:pPr>
              <w:keepNext/>
              <w:spacing w:line="360" w:lineRule="auto"/>
              <w:jc w:val="center"/>
              <w:rPr>
                <w:rFonts w:hint="eastAsia" w:ascii="宋体" w:hAnsi="宋体" w:cs="宋体"/>
                <w:color w:val="auto"/>
                <w:szCs w:val="21"/>
                <w:highlight w:val="none"/>
              </w:rPr>
            </w:pPr>
          </w:p>
        </w:tc>
        <w:tc>
          <w:tcPr>
            <w:tcW w:w="1153" w:type="pct"/>
            <w:noWrap w:val="0"/>
            <w:vAlign w:val="top"/>
          </w:tcPr>
          <w:p w14:paraId="12F646D4">
            <w:pPr>
              <w:keepNext/>
              <w:spacing w:line="360" w:lineRule="auto"/>
              <w:jc w:val="center"/>
              <w:rPr>
                <w:rFonts w:hint="eastAsia" w:ascii="宋体" w:hAnsi="宋体" w:cs="宋体"/>
                <w:color w:val="auto"/>
                <w:szCs w:val="21"/>
                <w:highlight w:val="none"/>
              </w:rPr>
            </w:pPr>
          </w:p>
        </w:tc>
      </w:tr>
      <w:tr w14:paraId="2327C34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8" w:type="pct"/>
            <w:tcBorders>
              <w:top w:val="nil"/>
              <w:bottom w:val="nil"/>
            </w:tcBorders>
            <w:noWrap w:val="0"/>
            <w:vAlign w:val="center"/>
          </w:tcPr>
          <w:p w14:paraId="41597E10">
            <w:pPr>
              <w:spacing w:line="360" w:lineRule="auto"/>
              <w:jc w:val="center"/>
              <w:rPr>
                <w:rFonts w:hint="eastAsia" w:ascii="宋体" w:hAnsi="宋体" w:cs="宋体"/>
                <w:color w:val="auto"/>
                <w:szCs w:val="21"/>
                <w:highlight w:val="none"/>
              </w:rPr>
            </w:pPr>
          </w:p>
        </w:tc>
        <w:tc>
          <w:tcPr>
            <w:tcW w:w="627" w:type="pct"/>
            <w:noWrap w:val="0"/>
            <w:vAlign w:val="center"/>
          </w:tcPr>
          <w:p w14:paraId="5F932537">
            <w:pPr>
              <w:keepNext/>
              <w:spacing w:line="360" w:lineRule="auto"/>
              <w:jc w:val="center"/>
              <w:rPr>
                <w:rFonts w:hint="eastAsia" w:ascii="宋体" w:hAnsi="宋体" w:cs="宋体"/>
                <w:color w:val="auto"/>
                <w:szCs w:val="21"/>
                <w:highlight w:val="none"/>
              </w:rPr>
            </w:pPr>
          </w:p>
        </w:tc>
        <w:tc>
          <w:tcPr>
            <w:tcW w:w="502" w:type="pct"/>
            <w:noWrap w:val="0"/>
            <w:vAlign w:val="center"/>
          </w:tcPr>
          <w:p w14:paraId="1B567134">
            <w:pPr>
              <w:keepNext/>
              <w:spacing w:line="360" w:lineRule="auto"/>
              <w:jc w:val="center"/>
              <w:rPr>
                <w:rFonts w:hint="eastAsia" w:ascii="宋体" w:hAnsi="宋体" w:cs="宋体"/>
                <w:color w:val="auto"/>
                <w:szCs w:val="21"/>
                <w:highlight w:val="none"/>
              </w:rPr>
            </w:pPr>
          </w:p>
        </w:tc>
        <w:tc>
          <w:tcPr>
            <w:tcW w:w="502" w:type="pct"/>
            <w:noWrap w:val="0"/>
            <w:vAlign w:val="center"/>
          </w:tcPr>
          <w:p w14:paraId="2AB060D9">
            <w:pPr>
              <w:keepNext/>
              <w:spacing w:line="360" w:lineRule="auto"/>
              <w:jc w:val="center"/>
              <w:rPr>
                <w:rFonts w:hint="eastAsia" w:ascii="宋体" w:hAnsi="宋体" w:cs="宋体"/>
                <w:color w:val="auto"/>
                <w:szCs w:val="21"/>
                <w:highlight w:val="none"/>
              </w:rPr>
            </w:pPr>
          </w:p>
        </w:tc>
        <w:tc>
          <w:tcPr>
            <w:tcW w:w="1279" w:type="pct"/>
            <w:noWrap w:val="0"/>
            <w:vAlign w:val="center"/>
          </w:tcPr>
          <w:p w14:paraId="0B68D713">
            <w:pPr>
              <w:keepNext/>
              <w:spacing w:line="360" w:lineRule="auto"/>
              <w:jc w:val="center"/>
              <w:rPr>
                <w:rFonts w:hint="eastAsia" w:ascii="宋体" w:hAnsi="宋体" w:cs="宋体"/>
                <w:color w:val="auto"/>
                <w:szCs w:val="21"/>
                <w:highlight w:val="none"/>
              </w:rPr>
            </w:pPr>
          </w:p>
        </w:tc>
        <w:tc>
          <w:tcPr>
            <w:tcW w:w="1153" w:type="pct"/>
            <w:noWrap w:val="0"/>
            <w:vAlign w:val="top"/>
          </w:tcPr>
          <w:p w14:paraId="38AE0480">
            <w:pPr>
              <w:keepNext/>
              <w:spacing w:line="360" w:lineRule="auto"/>
              <w:jc w:val="center"/>
              <w:rPr>
                <w:rFonts w:hint="eastAsia" w:ascii="宋体" w:hAnsi="宋体" w:cs="宋体"/>
                <w:color w:val="auto"/>
                <w:szCs w:val="21"/>
                <w:highlight w:val="none"/>
              </w:rPr>
            </w:pPr>
          </w:p>
        </w:tc>
      </w:tr>
      <w:tr w14:paraId="4BE5CEA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3847" w:type="pct"/>
            <w:gridSpan w:val="5"/>
            <w:noWrap w:val="0"/>
            <w:vAlign w:val="center"/>
          </w:tcPr>
          <w:p w14:paraId="4E55DC9A">
            <w:pPr>
              <w:keepNext/>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二、现场人员</w:t>
            </w:r>
          </w:p>
        </w:tc>
        <w:tc>
          <w:tcPr>
            <w:tcW w:w="1153" w:type="pct"/>
            <w:noWrap w:val="0"/>
            <w:vAlign w:val="top"/>
          </w:tcPr>
          <w:p w14:paraId="7A33A489">
            <w:pPr>
              <w:keepNext/>
              <w:spacing w:line="360" w:lineRule="auto"/>
              <w:jc w:val="center"/>
              <w:rPr>
                <w:rFonts w:hint="eastAsia" w:ascii="宋体" w:hAnsi="宋体" w:cs="宋体"/>
                <w:color w:val="auto"/>
                <w:szCs w:val="21"/>
                <w:highlight w:val="none"/>
              </w:rPr>
            </w:pPr>
          </w:p>
        </w:tc>
      </w:tr>
      <w:tr w14:paraId="04D86E7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8" w:type="pct"/>
            <w:noWrap w:val="0"/>
            <w:vAlign w:val="center"/>
          </w:tcPr>
          <w:p w14:paraId="154D267D">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项目经理</w:t>
            </w:r>
          </w:p>
        </w:tc>
        <w:tc>
          <w:tcPr>
            <w:tcW w:w="627" w:type="pct"/>
            <w:noWrap w:val="0"/>
            <w:vAlign w:val="center"/>
          </w:tcPr>
          <w:p w14:paraId="219C31EE">
            <w:pPr>
              <w:keepNext/>
              <w:spacing w:line="360" w:lineRule="auto"/>
              <w:jc w:val="center"/>
              <w:rPr>
                <w:rFonts w:hint="eastAsia" w:ascii="宋体" w:hAnsi="宋体" w:cs="宋体"/>
                <w:color w:val="auto"/>
                <w:szCs w:val="21"/>
                <w:highlight w:val="none"/>
              </w:rPr>
            </w:pPr>
          </w:p>
        </w:tc>
        <w:tc>
          <w:tcPr>
            <w:tcW w:w="502" w:type="pct"/>
            <w:noWrap w:val="0"/>
            <w:vAlign w:val="center"/>
          </w:tcPr>
          <w:p w14:paraId="5CF212E6">
            <w:pPr>
              <w:keepNext/>
              <w:spacing w:line="360" w:lineRule="auto"/>
              <w:jc w:val="center"/>
              <w:rPr>
                <w:rFonts w:hint="eastAsia" w:ascii="宋体" w:hAnsi="宋体" w:cs="宋体"/>
                <w:color w:val="auto"/>
                <w:szCs w:val="21"/>
                <w:highlight w:val="none"/>
              </w:rPr>
            </w:pPr>
          </w:p>
        </w:tc>
        <w:tc>
          <w:tcPr>
            <w:tcW w:w="502" w:type="pct"/>
            <w:noWrap w:val="0"/>
            <w:vAlign w:val="center"/>
          </w:tcPr>
          <w:p w14:paraId="62E2D749">
            <w:pPr>
              <w:keepNext/>
              <w:spacing w:line="360" w:lineRule="auto"/>
              <w:jc w:val="center"/>
              <w:rPr>
                <w:rFonts w:hint="eastAsia" w:ascii="宋体" w:hAnsi="宋体" w:cs="宋体"/>
                <w:color w:val="auto"/>
                <w:szCs w:val="21"/>
                <w:highlight w:val="none"/>
              </w:rPr>
            </w:pPr>
          </w:p>
        </w:tc>
        <w:tc>
          <w:tcPr>
            <w:tcW w:w="1279" w:type="pct"/>
            <w:noWrap w:val="0"/>
            <w:vAlign w:val="center"/>
          </w:tcPr>
          <w:p w14:paraId="76B4CDBB">
            <w:pPr>
              <w:keepNext/>
              <w:spacing w:line="360" w:lineRule="auto"/>
              <w:jc w:val="center"/>
              <w:rPr>
                <w:rFonts w:hint="eastAsia" w:ascii="宋体" w:hAnsi="宋体" w:cs="宋体"/>
                <w:color w:val="auto"/>
                <w:szCs w:val="21"/>
                <w:highlight w:val="none"/>
              </w:rPr>
            </w:pPr>
          </w:p>
        </w:tc>
        <w:tc>
          <w:tcPr>
            <w:tcW w:w="1153" w:type="pct"/>
            <w:noWrap w:val="0"/>
            <w:vAlign w:val="top"/>
          </w:tcPr>
          <w:p w14:paraId="5B99ED2C">
            <w:pPr>
              <w:keepNext/>
              <w:spacing w:line="360" w:lineRule="auto"/>
              <w:jc w:val="center"/>
              <w:rPr>
                <w:rFonts w:hint="eastAsia" w:ascii="宋体" w:hAnsi="宋体" w:cs="宋体"/>
                <w:color w:val="auto"/>
                <w:szCs w:val="21"/>
                <w:highlight w:val="none"/>
              </w:rPr>
            </w:pPr>
          </w:p>
        </w:tc>
      </w:tr>
      <w:tr w14:paraId="4700F1B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8" w:type="pct"/>
            <w:noWrap w:val="0"/>
            <w:vAlign w:val="center"/>
          </w:tcPr>
          <w:p w14:paraId="08FAE9BA">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项目副经理</w:t>
            </w:r>
          </w:p>
        </w:tc>
        <w:tc>
          <w:tcPr>
            <w:tcW w:w="627" w:type="pct"/>
            <w:noWrap w:val="0"/>
            <w:vAlign w:val="center"/>
          </w:tcPr>
          <w:p w14:paraId="4714ADE7">
            <w:pPr>
              <w:keepNext/>
              <w:spacing w:line="360" w:lineRule="auto"/>
              <w:jc w:val="center"/>
              <w:rPr>
                <w:rFonts w:hint="eastAsia" w:ascii="宋体" w:hAnsi="宋体" w:cs="宋体"/>
                <w:color w:val="auto"/>
                <w:szCs w:val="21"/>
                <w:highlight w:val="none"/>
              </w:rPr>
            </w:pPr>
          </w:p>
        </w:tc>
        <w:tc>
          <w:tcPr>
            <w:tcW w:w="502" w:type="pct"/>
            <w:noWrap w:val="0"/>
            <w:vAlign w:val="center"/>
          </w:tcPr>
          <w:p w14:paraId="0D5976B9">
            <w:pPr>
              <w:keepNext/>
              <w:spacing w:line="360" w:lineRule="auto"/>
              <w:jc w:val="center"/>
              <w:rPr>
                <w:rFonts w:hint="eastAsia" w:ascii="宋体" w:hAnsi="宋体" w:cs="宋体"/>
                <w:color w:val="auto"/>
                <w:szCs w:val="21"/>
                <w:highlight w:val="none"/>
              </w:rPr>
            </w:pPr>
          </w:p>
        </w:tc>
        <w:tc>
          <w:tcPr>
            <w:tcW w:w="502" w:type="pct"/>
            <w:noWrap w:val="0"/>
            <w:vAlign w:val="center"/>
          </w:tcPr>
          <w:p w14:paraId="0D93F653">
            <w:pPr>
              <w:keepNext/>
              <w:spacing w:line="360" w:lineRule="auto"/>
              <w:jc w:val="center"/>
              <w:rPr>
                <w:rFonts w:hint="eastAsia" w:ascii="宋体" w:hAnsi="宋体" w:cs="宋体"/>
                <w:color w:val="auto"/>
                <w:szCs w:val="21"/>
                <w:highlight w:val="none"/>
              </w:rPr>
            </w:pPr>
          </w:p>
        </w:tc>
        <w:tc>
          <w:tcPr>
            <w:tcW w:w="1279" w:type="pct"/>
            <w:noWrap w:val="0"/>
            <w:vAlign w:val="center"/>
          </w:tcPr>
          <w:p w14:paraId="340FD879">
            <w:pPr>
              <w:keepNext/>
              <w:spacing w:line="360" w:lineRule="auto"/>
              <w:jc w:val="center"/>
              <w:rPr>
                <w:rFonts w:hint="eastAsia" w:ascii="宋体" w:hAnsi="宋体" w:cs="宋体"/>
                <w:color w:val="auto"/>
                <w:szCs w:val="21"/>
                <w:highlight w:val="none"/>
              </w:rPr>
            </w:pPr>
          </w:p>
        </w:tc>
        <w:tc>
          <w:tcPr>
            <w:tcW w:w="1153" w:type="pct"/>
            <w:noWrap w:val="0"/>
            <w:vAlign w:val="top"/>
          </w:tcPr>
          <w:p w14:paraId="72DB3008">
            <w:pPr>
              <w:keepNext/>
              <w:spacing w:line="360" w:lineRule="auto"/>
              <w:jc w:val="center"/>
              <w:rPr>
                <w:rFonts w:hint="eastAsia" w:ascii="宋体" w:hAnsi="宋体" w:cs="宋体"/>
                <w:color w:val="auto"/>
                <w:szCs w:val="21"/>
                <w:highlight w:val="none"/>
              </w:rPr>
            </w:pPr>
          </w:p>
        </w:tc>
      </w:tr>
      <w:tr w14:paraId="7DAEB37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8" w:type="pct"/>
            <w:noWrap w:val="0"/>
            <w:vAlign w:val="center"/>
          </w:tcPr>
          <w:p w14:paraId="674860D8">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项目技术负责人</w:t>
            </w:r>
          </w:p>
        </w:tc>
        <w:tc>
          <w:tcPr>
            <w:tcW w:w="627" w:type="pct"/>
            <w:noWrap w:val="0"/>
            <w:vAlign w:val="center"/>
          </w:tcPr>
          <w:p w14:paraId="28328C4C">
            <w:pPr>
              <w:keepNext/>
              <w:spacing w:line="360" w:lineRule="auto"/>
              <w:jc w:val="center"/>
              <w:rPr>
                <w:rFonts w:hint="eastAsia" w:ascii="宋体" w:hAnsi="宋体" w:cs="宋体"/>
                <w:color w:val="auto"/>
                <w:szCs w:val="21"/>
                <w:highlight w:val="none"/>
              </w:rPr>
            </w:pPr>
          </w:p>
        </w:tc>
        <w:tc>
          <w:tcPr>
            <w:tcW w:w="502" w:type="pct"/>
            <w:noWrap w:val="0"/>
            <w:vAlign w:val="center"/>
          </w:tcPr>
          <w:p w14:paraId="65B3CF88">
            <w:pPr>
              <w:keepNext/>
              <w:spacing w:line="360" w:lineRule="auto"/>
              <w:jc w:val="center"/>
              <w:rPr>
                <w:rFonts w:hint="eastAsia" w:ascii="宋体" w:hAnsi="宋体" w:cs="宋体"/>
                <w:color w:val="auto"/>
                <w:szCs w:val="21"/>
                <w:highlight w:val="none"/>
              </w:rPr>
            </w:pPr>
          </w:p>
        </w:tc>
        <w:tc>
          <w:tcPr>
            <w:tcW w:w="502" w:type="pct"/>
            <w:noWrap w:val="0"/>
            <w:vAlign w:val="center"/>
          </w:tcPr>
          <w:p w14:paraId="6E7CF116">
            <w:pPr>
              <w:keepNext/>
              <w:spacing w:line="360" w:lineRule="auto"/>
              <w:jc w:val="center"/>
              <w:rPr>
                <w:rFonts w:hint="eastAsia" w:ascii="宋体" w:hAnsi="宋体" w:cs="宋体"/>
                <w:color w:val="auto"/>
                <w:szCs w:val="21"/>
                <w:highlight w:val="none"/>
              </w:rPr>
            </w:pPr>
          </w:p>
        </w:tc>
        <w:tc>
          <w:tcPr>
            <w:tcW w:w="1279" w:type="pct"/>
            <w:noWrap w:val="0"/>
            <w:vAlign w:val="center"/>
          </w:tcPr>
          <w:p w14:paraId="42C208A9">
            <w:pPr>
              <w:keepNext/>
              <w:spacing w:line="360" w:lineRule="auto"/>
              <w:jc w:val="center"/>
              <w:rPr>
                <w:rFonts w:hint="eastAsia" w:ascii="宋体" w:hAnsi="宋体" w:cs="宋体"/>
                <w:color w:val="auto"/>
                <w:szCs w:val="21"/>
                <w:highlight w:val="none"/>
              </w:rPr>
            </w:pPr>
          </w:p>
        </w:tc>
        <w:tc>
          <w:tcPr>
            <w:tcW w:w="1153" w:type="pct"/>
            <w:noWrap w:val="0"/>
            <w:vAlign w:val="top"/>
          </w:tcPr>
          <w:p w14:paraId="05E647ED">
            <w:pPr>
              <w:keepNext/>
              <w:spacing w:line="360" w:lineRule="auto"/>
              <w:jc w:val="center"/>
              <w:rPr>
                <w:rFonts w:hint="eastAsia" w:ascii="宋体" w:hAnsi="宋体" w:cs="宋体"/>
                <w:color w:val="auto"/>
                <w:szCs w:val="21"/>
                <w:highlight w:val="none"/>
              </w:rPr>
            </w:pPr>
          </w:p>
        </w:tc>
      </w:tr>
      <w:tr w14:paraId="2CCD571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8" w:type="pct"/>
            <w:noWrap w:val="0"/>
            <w:vAlign w:val="center"/>
          </w:tcPr>
          <w:p w14:paraId="0A9F6F5B">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施工员</w:t>
            </w:r>
          </w:p>
        </w:tc>
        <w:tc>
          <w:tcPr>
            <w:tcW w:w="627" w:type="pct"/>
            <w:noWrap w:val="0"/>
            <w:vAlign w:val="center"/>
          </w:tcPr>
          <w:p w14:paraId="1300ADCA">
            <w:pPr>
              <w:keepNext/>
              <w:spacing w:line="360" w:lineRule="auto"/>
              <w:jc w:val="center"/>
              <w:rPr>
                <w:rFonts w:hint="eastAsia" w:ascii="宋体" w:hAnsi="宋体" w:cs="宋体"/>
                <w:color w:val="auto"/>
                <w:szCs w:val="21"/>
                <w:highlight w:val="none"/>
              </w:rPr>
            </w:pPr>
          </w:p>
        </w:tc>
        <w:tc>
          <w:tcPr>
            <w:tcW w:w="502" w:type="pct"/>
            <w:noWrap w:val="0"/>
            <w:vAlign w:val="center"/>
          </w:tcPr>
          <w:p w14:paraId="6A76131E">
            <w:pPr>
              <w:keepNext/>
              <w:spacing w:line="360" w:lineRule="auto"/>
              <w:jc w:val="center"/>
              <w:rPr>
                <w:rFonts w:hint="eastAsia" w:ascii="宋体" w:hAnsi="宋体" w:cs="宋体"/>
                <w:color w:val="auto"/>
                <w:szCs w:val="21"/>
                <w:highlight w:val="none"/>
              </w:rPr>
            </w:pPr>
          </w:p>
        </w:tc>
        <w:tc>
          <w:tcPr>
            <w:tcW w:w="502" w:type="pct"/>
            <w:noWrap w:val="0"/>
            <w:vAlign w:val="center"/>
          </w:tcPr>
          <w:p w14:paraId="4CB6D67F">
            <w:pPr>
              <w:keepNext/>
              <w:spacing w:line="360" w:lineRule="auto"/>
              <w:jc w:val="center"/>
              <w:rPr>
                <w:rFonts w:hint="eastAsia" w:ascii="宋体" w:hAnsi="宋体" w:cs="宋体"/>
                <w:color w:val="auto"/>
                <w:szCs w:val="21"/>
                <w:highlight w:val="none"/>
              </w:rPr>
            </w:pPr>
          </w:p>
        </w:tc>
        <w:tc>
          <w:tcPr>
            <w:tcW w:w="1279" w:type="pct"/>
            <w:noWrap w:val="0"/>
            <w:vAlign w:val="center"/>
          </w:tcPr>
          <w:p w14:paraId="4CEE8692">
            <w:pPr>
              <w:keepNext/>
              <w:spacing w:line="360" w:lineRule="auto"/>
              <w:jc w:val="center"/>
              <w:rPr>
                <w:rFonts w:hint="eastAsia" w:ascii="宋体" w:hAnsi="宋体" w:cs="宋体"/>
                <w:color w:val="auto"/>
                <w:szCs w:val="21"/>
                <w:highlight w:val="none"/>
              </w:rPr>
            </w:pPr>
          </w:p>
        </w:tc>
        <w:tc>
          <w:tcPr>
            <w:tcW w:w="1153" w:type="pct"/>
            <w:noWrap w:val="0"/>
            <w:vAlign w:val="top"/>
          </w:tcPr>
          <w:p w14:paraId="22BB565C">
            <w:pPr>
              <w:keepNext/>
              <w:spacing w:line="360" w:lineRule="auto"/>
              <w:jc w:val="center"/>
              <w:rPr>
                <w:rFonts w:hint="eastAsia" w:ascii="宋体" w:hAnsi="宋体" w:cs="宋体"/>
                <w:color w:val="auto"/>
                <w:szCs w:val="21"/>
                <w:highlight w:val="none"/>
              </w:rPr>
            </w:pPr>
          </w:p>
        </w:tc>
      </w:tr>
      <w:tr w14:paraId="3DCE8CA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8" w:type="pct"/>
            <w:noWrap w:val="0"/>
            <w:vAlign w:val="center"/>
          </w:tcPr>
          <w:p w14:paraId="021D531B">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质检员（质量员）</w:t>
            </w:r>
          </w:p>
        </w:tc>
        <w:tc>
          <w:tcPr>
            <w:tcW w:w="627" w:type="pct"/>
            <w:noWrap w:val="0"/>
            <w:vAlign w:val="center"/>
          </w:tcPr>
          <w:p w14:paraId="7D5DA808">
            <w:pPr>
              <w:keepNext/>
              <w:spacing w:line="360" w:lineRule="auto"/>
              <w:jc w:val="center"/>
              <w:rPr>
                <w:rFonts w:hint="eastAsia" w:ascii="宋体" w:hAnsi="宋体" w:cs="宋体"/>
                <w:color w:val="auto"/>
                <w:szCs w:val="21"/>
                <w:highlight w:val="none"/>
              </w:rPr>
            </w:pPr>
          </w:p>
        </w:tc>
        <w:tc>
          <w:tcPr>
            <w:tcW w:w="502" w:type="pct"/>
            <w:noWrap w:val="0"/>
            <w:vAlign w:val="center"/>
          </w:tcPr>
          <w:p w14:paraId="75A21267">
            <w:pPr>
              <w:keepNext/>
              <w:spacing w:line="360" w:lineRule="auto"/>
              <w:jc w:val="center"/>
              <w:rPr>
                <w:rFonts w:hint="eastAsia" w:ascii="宋体" w:hAnsi="宋体" w:cs="宋体"/>
                <w:color w:val="auto"/>
                <w:szCs w:val="21"/>
                <w:highlight w:val="none"/>
              </w:rPr>
            </w:pPr>
          </w:p>
        </w:tc>
        <w:tc>
          <w:tcPr>
            <w:tcW w:w="502" w:type="pct"/>
            <w:noWrap w:val="0"/>
            <w:vAlign w:val="center"/>
          </w:tcPr>
          <w:p w14:paraId="797DDE39">
            <w:pPr>
              <w:keepNext/>
              <w:spacing w:line="360" w:lineRule="auto"/>
              <w:jc w:val="center"/>
              <w:rPr>
                <w:rFonts w:hint="eastAsia" w:ascii="宋体" w:hAnsi="宋体" w:cs="宋体"/>
                <w:color w:val="auto"/>
                <w:szCs w:val="21"/>
                <w:highlight w:val="none"/>
              </w:rPr>
            </w:pPr>
          </w:p>
        </w:tc>
        <w:tc>
          <w:tcPr>
            <w:tcW w:w="1279" w:type="pct"/>
            <w:noWrap w:val="0"/>
            <w:vAlign w:val="center"/>
          </w:tcPr>
          <w:p w14:paraId="76B09736">
            <w:pPr>
              <w:keepNext/>
              <w:spacing w:line="360" w:lineRule="auto"/>
              <w:jc w:val="center"/>
              <w:rPr>
                <w:rFonts w:hint="eastAsia" w:ascii="宋体" w:hAnsi="宋体" w:cs="宋体"/>
                <w:color w:val="auto"/>
                <w:szCs w:val="21"/>
                <w:highlight w:val="none"/>
              </w:rPr>
            </w:pPr>
          </w:p>
        </w:tc>
        <w:tc>
          <w:tcPr>
            <w:tcW w:w="1153" w:type="pct"/>
            <w:noWrap w:val="0"/>
            <w:vAlign w:val="top"/>
          </w:tcPr>
          <w:p w14:paraId="267E2735">
            <w:pPr>
              <w:keepNext/>
              <w:spacing w:line="360" w:lineRule="auto"/>
              <w:jc w:val="center"/>
              <w:rPr>
                <w:rFonts w:hint="eastAsia" w:ascii="宋体" w:hAnsi="宋体" w:cs="宋体"/>
                <w:color w:val="auto"/>
                <w:szCs w:val="21"/>
                <w:highlight w:val="none"/>
              </w:rPr>
            </w:pPr>
          </w:p>
        </w:tc>
      </w:tr>
      <w:tr w14:paraId="39E3A3F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8" w:type="pct"/>
            <w:noWrap w:val="0"/>
            <w:vAlign w:val="center"/>
          </w:tcPr>
          <w:p w14:paraId="780611D5">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安全员</w:t>
            </w:r>
          </w:p>
        </w:tc>
        <w:tc>
          <w:tcPr>
            <w:tcW w:w="627" w:type="pct"/>
            <w:noWrap w:val="0"/>
            <w:vAlign w:val="center"/>
          </w:tcPr>
          <w:p w14:paraId="18B1CF3B">
            <w:pPr>
              <w:keepNext/>
              <w:spacing w:line="360" w:lineRule="auto"/>
              <w:jc w:val="center"/>
              <w:rPr>
                <w:rFonts w:hint="eastAsia" w:ascii="宋体" w:hAnsi="宋体" w:cs="宋体"/>
                <w:color w:val="auto"/>
                <w:szCs w:val="21"/>
                <w:highlight w:val="none"/>
              </w:rPr>
            </w:pPr>
          </w:p>
        </w:tc>
        <w:tc>
          <w:tcPr>
            <w:tcW w:w="502" w:type="pct"/>
            <w:noWrap w:val="0"/>
            <w:vAlign w:val="center"/>
          </w:tcPr>
          <w:p w14:paraId="7B858D43">
            <w:pPr>
              <w:keepNext/>
              <w:spacing w:line="360" w:lineRule="auto"/>
              <w:jc w:val="center"/>
              <w:rPr>
                <w:rFonts w:hint="eastAsia" w:ascii="宋体" w:hAnsi="宋体" w:cs="宋体"/>
                <w:color w:val="auto"/>
                <w:szCs w:val="21"/>
                <w:highlight w:val="none"/>
              </w:rPr>
            </w:pPr>
          </w:p>
        </w:tc>
        <w:tc>
          <w:tcPr>
            <w:tcW w:w="502" w:type="pct"/>
            <w:noWrap w:val="0"/>
            <w:vAlign w:val="center"/>
          </w:tcPr>
          <w:p w14:paraId="0FA098B1">
            <w:pPr>
              <w:keepNext/>
              <w:spacing w:line="360" w:lineRule="auto"/>
              <w:jc w:val="center"/>
              <w:rPr>
                <w:rFonts w:hint="eastAsia" w:ascii="宋体" w:hAnsi="宋体" w:cs="宋体"/>
                <w:color w:val="auto"/>
                <w:szCs w:val="21"/>
                <w:highlight w:val="none"/>
              </w:rPr>
            </w:pPr>
          </w:p>
        </w:tc>
        <w:tc>
          <w:tcPr>
            <w:tcW w:w="1279" w:type="pct"/>
            <w:noWrap w:val="0"/>
            <w:vAlign w:val="center"/>
          </w:tcPr>
          <w:p w14:paraId="2B971FE1">
            <w:pPr>
              <w:keepNext/>
              <w:spacing w:line="360" w:lineRule="auto"/>
              <w:jc w:val="center"/>
              <w:rPr>
                <w:rFonts w:hint="eastAsia" w:ascii="宋体" w:hAnsi="宋体" w:cs="宋体"/>
                <w:color w:val="auto"/>
                <w:szCs w:val="21"/>
                <w:highlight w:val="none"/>
              </w:rPr>
            </w:pPr>
          </w:p>
        </w:tc>
        <w:tc>
          <w:tcPr>
            <w:tcW w:w="1153" w:type="pct"/>
            <w:noWrap w:val="0"/>
            <w:vAlign w:val="top"/>
          </w:tcPr>
          <w:p w14:paraId="0109F7C0">
            <w:pPr>
              <w:keepNext/>
              <w:spacing w:line="360" w:lineRule="auto"/>
              <w:jc w:val="center"/>
              <w:rPr>
                <w:rFonts w:hint="eastAsia" w:ascii="宋体" w:hAnsi="宋体" w:cs="宋体"/>
                <w:color w:val="auto"/>
                <w:szCs w:val="21"/>
                <w:highlight w:val="none"/>
              </w:rPr>
            </w:pPr>
          </w:p>
        </w:tc>
      </w:tr>
      <w:tr w14:paraId="46EC2FB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8" w:type="pct"/>
            <w:noWrap w:val="0"/>
            <w:vAlign w:val="center"/>
          </w:tcPr>
          <w:p w14:paraId="73D69653">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资料员</w:t>
            </w:r>
          </w:p>
        </w:tc>
        <w:tc>
          <w:tcPr>
            <w:tcW w:w="627" w:type="pct"/>
            <w:noWrap w:val="0"/>
            <w:vAlign w:val="center"/>
          </w:tcPr>
          <w:p w14:paraId="3E2A4A5F">
            <w:pPr>
              <w:keepNext/>
              <w:spacing w:line="360" w:lineRule="auto"/>
              <w:jc w:val="center"/>
              <w:rPr>
                <w:rFonts w:hint="eastAsia" w:ascii="宋体" w:hAnsi="宋体" w:cs="宋体"/>
                <w:color w:val="auto"/>
                <w:szCs w:val="21"/>
                <w:highlight w:val="none"/>
              </w:rPr>
            </w:pPr>
          </w:p>
        </w:tc>
        <w:tc>
          <w:tcPr>
            <w:tcW w:w="502" w:type="pct"/>
            <w:noWrap w:val="0"/>
            <w:vAlign w:val="center"/>
          </w:tcPr>
          <w:p w14:paraId="768EB56E">
            <w:pPr>
              <w:keepNext/>
              <w:spacing w:line="360" w:lineRule="auto"/>
              <w:jc w:val="center"/>
              <w:rPr>
                <w:rFonts w:hint="eastAsia" w:ascii="宋体" w:hAnsi="宋体" w:cs="宋体"/>
                <w:color w:val="auto"/>
                <w:szCs w:val="21"/>
                <w:highlight w:val="none"/>
              </w:rPr>
            </w:pPr>
          </w:p>
        </w:tc>
        <w:tc>
          <w:tcPr>
            <w:tcW w:w="502" w:type="pct"/>
            <w:noWrap w:val="0"/>
            <w:vAlign w:val="center"/>
          </w:tcPr>
          <w:p w14:paraId="1FDE5267">
            <w:pPr>
              <w:keepNext/>
              <w:spacing w:line="360" w:lineRule="auto"/>
              <w:jc w:val="center"/>
              <w:rPr>
                <w:rFonts w:hint="eastAsia" w:ascii="宋体" w:hAnsi="宋体" w:cs="宋体"/>
                <w:color w:val="auto"/>
                <w:szCs w:val="21"/>
                <w:highlight w:val="none"/>
              </w:rPr>
            </w:pPr>
          </w:p>
        </w:tc>
        <w:tc>
          <w:tcPr>
            <w:tcW w:w="1279" w:type="pct"/>
            <w:noWrap w:val="0"/>
            <w:vAlign w:val="center"/>
          </w:tcPr>
          <w:p w14:paraId="363546EF">
            <w:pPr>
              <w:keepNext/>
              <w:spacing w:line="360" w:lineRule="auto"/>
              <w:jc w:val="center"/>
              <w:rPr>
                <w:rFonts w:hint="eastAsia" w:ascii="宋体" w:hAnsi="宋体" w:cs="宋体"/>
                <w:color w:val="auto"/>
                <w:szCs w:val="21"/>
                <w:highlight w:val="none"/>
              </w:rPr>
            </w:pPr>
          </w:p>
        </w:tc>
        <w:tc>
          <w:tcPr>
            <w:tcW w:w="1153" w:type="pct"/>
            <w:noWrap w:val="0"/>
            <w:vAlign w:val="top"/>
          </w:tcPr>
          <w:p w14:paraId="3BDAD3A1">
            <w:pPr>
              <w:keepNext/>
              <w:spacing w:line="360" w:lineRule="auto"/>
              <w:jc w:val="center"/>
              <w:rPr>
                <w:rFonts w:hint="eastAsia" w:ascii="宋体" w:hAnsi="宋体" w:cs="宋体"/>
                <w:color w:val="auto"/>
                <w:szCs w:val="21"/>
                <w:highlight w:val="none"/>
              </w:rPr>
            </w:pPr>
          </w:p>
        </w:tc>
      </w:tr>
      <w:tr w14:paraId="0B1A8AF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8" w:type="pct"/>
            <w:vMerge w:val="restart"/>
            <w:noWrap w:val="0"/>
            <w:vAlign w:val="center"/>
          </w:tcPr>
          <w:p w14:paraId="467E9D31">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其他人员</w:t>
            </w:r>
          </w:p>
        </w:tc>
        <w:tc>
          <w:tcPr>
            <w:tcW w:w="627" w:type="pct"/>
            <w:noWrap w:val="0"/>
            <w:vAlign w:val="center"/>
          </w:tcPr>
          <w:p w14:paraId="78F38699">
            <w:pPr>
              <w:keepNext/>
              <w:spacing w:line="360" w:lineRule="auto"/>
              <w:jc w:val="center"/>
              <w:rPr>
                <w:rFonts w:hint="eastAsia" w:ascii="宋体" w:hAnsi="宋体" w:cs="宋体"/>
                <w:color w:val="auto"/>
                <w:szCs w:val="21"/>
                <w:highlight w:val="none"/>
              </w:rPr>
            </w:pPr>
          </w:p>
        </w:tc>
        <w:tc>
          <w:tcPr>
            <w:tcW w:w="502" w:type="pct"/>
            <w:noWrap w:val="0"/>
            <w:vAlign w:val="center"/>
          </w:tcPr>
          <w:p w14:paraId="28A343D2">
            <w:pPr>
              <w:keepNext/>
              <w:spacing w:line="360" w:lineRule="auto"/>
              <w:jc w:val="center"/>
              <w:rPr>
                <w:rFonts w:hint="eastAsia" w:ascii="宋体" w:hAnsi="宋体" w:cs="宋体"/>
                <w:color w:val="auto"/>
                <w:szCs w:val="21"/>
                <w:highlight w:val="none"/>
              </w:rPr>
            </w:pPr>
          </w:p>
        </w:tc>
        <w:tc>
          <w:tcPr>
            <w:tcW w:w="502" w:type="pct"/>
            <w:noWrap w:val="0"/>
            <w:vAlign w:val="center"/>
          </w:tcPr>
          <w:p w14:paraId="6B66FC4E">
            <w:pPr>
              <w:keepNext/>
              <w:spacing w:line="360" w:lineRule="auto"/>
              <w:jc w:val="center"/>
              <w:rPr>
                <w:rFonts w:hint="eastAsia" w:ascii="宋体" w:hAnsi="宋体" w:cs="宋体"/>
                <w:color w:val="auto"/>
                <w:szCs w:val="21"/>
                <w:highlight w:val="none"/>
              </w:rPr>
            </w:pPr>
          </w:p>
        </w:tc>
        <w:tc>
          <w:tcPr>
            <w:tcW w:w="1279" w:type="pct"/>
            <w:noWrap w:val="0"/>
            <w:vAlign w:val="center"/>
          </w:tcPr>
          <w:p w14:paraId="528C6441">
            <w:pPr>
              <w:keepNext/>
              <w:spacing w:line="360" w:lineRule="auto"/>
              <w:jc w:val="center"/>
              <w:rPr>
                <w:rFonts w:hint="eastAsia" w:ascii="宋体" w:hAnsi="宋体" w:cs="宋体"/>
                <w:color w:val="auto"/>
                <w:szCs w:val="21"/>
                <w:highlight w:val="none"/>
              </w:rPr>
            </w:pPr>
          </w:p>
        </w:tc>
        <w:tc>
          <w:tcPr>
            <w:tcW w:w="1153" w:type="pct"/>
            <w:noWrap w:val="0"/>
            <w:vAlign w:val="top"/>
          </w:tcPr>
          <w:p w14:paraId="320AAD68">
            <w:pPr>
              <w:keepNext/>
              <w:spacing w:line="360" w:lineRule="auto"/>
              <w:jc w:val="center"/>
              <w:rPr>
                <w:rFonts w:hint="eastAsia" w:ascii="宋体" w:hAnsi="宋体" w:cs="宋体"/>
                <w:color w:val="auto"/>
                <w:szCs w:val="21"/>
                <w:highlight w:val="none"/>
              </w:rPr>
            </w:pPr>
          </w:p>
        </w:tc>
      </w:tr>
      <w:tr w14:paraId="3D7B933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8" w:type="pct"/>
            <w:vMerge w:val="continue"/>
            <w:noWrap w:val="0"/>
            <w:vAlign w:val="center"/>
          </w:tcPr>
          <w:p w14:paraId="23B9A92B">
            <w:pPr>
              <w:keepNext/>
              <w:spacing w:line="360" w:lineRule="auto"/>
              <w:jc w:val="center"/>
              <w:rPr>
                <w:rFonts w:hint="eastAsia" w:ascii="宋体" w:hAnsi="宋体" w:cs="宋体"/>
                <w:color w:val="auto"/>
                <w:szCs w:val="21"/>
                <w:highlight w:val="none"/>
              </w:rPr>
            </w:pPr>
          </w:p>
        </w:tc>
        <w:tc>
          <w:tcPr>
            <w:tcW w:w="627" w:type="pct"/>
            <w:tcBorders>
              <w:bottom w:val="nil"/>
            </w:tcBorders>
            <w:noWrap w:val="0"/>
            <w:vAlign w:val="center"/>
          </w:tcPr>
          <w:p w14:paraId="7C57A15A">
            <w:pPr>
              <w:keepNext/>
              <w:spacing w:line="360" w:lineRule="auto"/>
              <w:jc w:val="center"/>
              <w:rPr>
                <w:rFonts w:hint="eastAsia" w:ascii="宋体" w:hAnsi="宋体" w:cs="宋体"/>
                <w:color w:val="auto"/>
                <w:szCs w:val="21"/>
                <w:highlight w:val="none"/>
              </w:rPr>
            </w:pPr>
          </w:p>
        </w:tc>
        <w:tc>
          <w:tcPr>
            <w:tcW w:w="502" w:type="pct"/>
            <w:tcBorders>
              <w:bottom w:val="nil"/>
            </w:tcBorders>
            <w:noWrap w:val="0"/>
            <w:vAlign w:val="center"/>
          </w:tcPr>
          <w:p w14:paraId="04D2BBF8">
            <w:pPr>
              <w:keepNext/>
              <w:spacing w:line="360" w:lineRule="auto"/>
              <w:jc w:val="center"/>
              <w:rPr>
                <w:rFonts w:hint="eastAsia" w:ascii="宋体" w:hAnsi="宋体" w:cs="宋体"/>
                <w:color w:val="auto"/>
                <w:szCs w:val="21"/>
                <w:highlight w:val="none"/>
              </w:rPr>
            </w:pPr>
          </w:p>
        </w:tc>
        <w:tc>
          <w:tcPr>
            <w:tcW w:w="502" w:type="pct"/>
            <w:tcBorders>
              <w:bottom w:val="nil"/>
            </w:tcBorders>
            <w:noWrap w:val="0"/>
            <w:vAlign w:val="center"/>
          </w:tcPr>
          <w:p w14:paraId="6C80CAE0">
            <w:pPr>
              <w:keepNext/>
              <w:spacing w:line="360" w:lineRule="auto"/>
              <w:jc w:val="center"/>
              <w:rPr>
                <w:rFonts w:hint="eastAsia" w:ascii="宋体" w:hAnsi="宋体" w:cs="宋体"/>
                <w:color w:val="auto"/>
                <w:szCs w:val="21"/>
                <w:highlight w:val="none"/>
              </w:rPr>
            </w:pPr>
          </w:p>
        </w:tc>
        <w:tc>
          <w:tcPr>
            <w:tcW w:w="1279" w:type="pct"/>
            <w:tcBorders>
              <w:bottom w:val="nil"/>
            </w:tcBorders>
            <w:noWrap w:val="0"/>
            <w:vAlign w:val="center"/>
          </w:tcPr>
          <w:p w14:paraId="218A2665">
            <w:pPr>
              <w:keepNext/>
              <w:spacing w:line="360" w:lineRule="auto"/>
              <w:jc w:val="center"/>
              <w:rPr>
                <w:rFonts w:hint="eastAsia" w:ascii="宋体" w:hAnsi="宋体" w:cs="宋体"/>
                <w:color w:val="auto"/>
                <w:szCs w:val="21"/>
                <w:highlight w:val="none"/>
              </w:rPr>
            </w:pPr>
          </w:p>
        </w:tc>
        <w:tc>
          <w:tcPr>
            <w:tcW w:w="1153" w:type="pct"/>
            <w:tcBorders>
              <w:bottom w:val="nil"/>
            </w:tcBorders>
            <w:noWrap w:val="0"/>
            <w:vAlign w:val="top"/>
          </w:tcPr>
          <w:p w14:paraId="6FFE7FAE">
            <w:pPr>
              <w:keepNext/>
              <w:spacing w:line="360" w:lineRule="auto"/>
              <w:jc w:val="center"/>
              <w:rPr>
                <w:rFonts w:hint="eastAsia" w:ascii="宋体" w:hAnsi="宋体" w:cs="宋体"/>
                <w:color w:val="auto"/>
                <w:szCs w:val="21"/>
                <w:highlight w:val="none"/>
              </w:rPr>
            </w:pPr>
          </w:p>
        </w:tc>
      </w:tr>
      <w:tr w14:paraId="250BA10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8" w:type="pct"/>
            <w:vMerge w:val="continue"/>
            <w:noWrap w:val="0"/>
            <w:vAlign w:val="center"/>
          </w:tcPr>
          <w:p w14:paraId="3A1B82DF">
            <w:pPr>
              <w:keepNext/>
              <w:spacing w:line="360" w:lineRule="auto"/>
              <w:jc w:val="center"/>
              <w:rPr>
                <w:rFonts w:hint="eastAsia" w:ascii="宋体" w:hAnsi="宋体" w:cs="宋体"/>
                <w:color w:val="auto"/>
                <w:szCs w:val="21"/>
                <w:highlight w:val="none"/>
              </w:rPr>
            </w:pPr>
          </w:p>
        </w:tc>
        <w:tc>
          <w:tcPr>
            <w:tcW w:w="627" w:type="pct"/>
            <w:noWrap w:val="0"/>
            <w:vAlign w:val="center"/>
          </w:tcPr>
          <w:p w14:paraId="3AC8BC2F">
            <w:pPr>
              <w:keepNext/>
              <w:spacing w:line="360" w:lineRule="auto"/>
              <w:jc w:val="center"/>
              <w:rPr>
                <w:rFonts w:hint="eastAsia" w:ascii="宋体" w:hAnsi="宋体" w:cs="宋体"/>
                <w:color w:val="auto"/>
                <w:szCs w:val="21"/>
                <w:highlight w:val="none"/>
              </w:rPr>
            </w:pPr>
          </w:p>
        </w:tc>
        <w:tc>
          <w:tcPr>
            <w:tcW w:w="502" w:type="pct"/>
            <w:noWrap w:val="0"/>
            <w:vAlign w:val="center"/>
          </w:tcPr>
          <w:p w14:paraId="02796CF8">
            <w:pPr>
              <w:keepNext/>
              <w:spacing w:line="360" w:lineRule="auto"/>
              <w:jc w:val="center"/>
              <w:rPr>
                <w:rFonts w:hint="eastAsia" w:ascii="宋体" w:hAnsi="宋体" w:cs="宋体"/>
                <w:color w:val="auto"/>
                <w:szCs w:val="21"/>
                <w:highlight w:val="none"/>
              </w:rPr>
            </w:pPr>
          </w:p>
        </w:tc>
        <w:tc>
          <w:tcPr>
            <w:tcW w:w="502" w:type="pct"/>
            <w:noWrap w:val="0"/>
            <w:vAlign w:val="center"/>
          </w:tcPr>
          <w:p w14:paraId="1A1CF63C">
            <w:pPr>
              <w:keepNext/>
              <w:spacing w:line="360" w:lineRule="auto"/>
              <w:jc w:val="center"/>
              <w:rPr>
                <w:rFonts w:hint="eastAsia" w:ascii="宋体" w:hAnsi="宋体" w:cs="宋体"/>
                <w:color w:val="auto"/>
                <w:szCs w:val="21"/>
                <w:highlight w:val="none"/>
              </w:rPr>
            </w:pPr>
          </w:p>
        </w:tc>
        <w:tc>
          <w:tcPr>
            <w:tcW w:w="1279" w:type="pct"/>
            <w:noWrap w:val="0"/>
            <w:vAlign w:val="center"/>
          </w:tcPr>
          <w:p w14:paraId="3EE936B3">
            <w:pPr>
              <w:keepNext/>
              <w:spacing w:line="360" w:lineRule="auto"/>
              <w:jc w:val="center"/>
              <w:rPr>
                <w:rFonts w:hint="eastAsia" w:ascii="宋体" w:hAnsi="宋体" w:cs="宋体"/>
                <w:color w:val="auto"/>
                <w:szCs w:val="21"/>
                <w:highlight w:val="none"/>
              </w:rPr>
            </w:pPr>
          </w:p>
        </w:tc>
        <w:tc>
          <w:tcPr>
            <w:tcW w:w="1153" w:type="pct"/>
            <w:noWrap w:val="0"/>
            <w:vAlign w:val="top"/>
          </w:tcPr>
          <w:p w14:paraId="6C7A8114">
            <w:pPr>
              <w:keepNext/>
              <w:spacing w:line="360" w:lineRule="auto"/>
              <w:jc w:val="center"/>
              <w:rPr>
                <w:rFonts w:hint="eastAsia" w:ascii="宋体" w:hAnsi="宋体" w:cs="宋体"/>
                <w:color w:val="auto"/>
                <w:szCs w:val="21"/>
                <w:highlight w:val="none"/>
              </w:rPr>
            </w:pPr>
          </w:p>
        </w:tc>
      </w:tr>
      <w:tr w14:paraId="3AF6269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8" w:type="pct"/>
            <w:vMerge w:val="continue"/>
            <w:noWrap w:val="0"/>
            <w:vAlign w:val="center"/>
          </w:tcPr>
          <w:p w14:paraId="42FEF589">
            <w:pPr>
              <w:keepNext/>
              <w:spacing w:line="360" w:lineRule="auto"/>
              <w:jc w:val="center"/>
              <w:rPr>
                <w:rFonts w:hint="eastAsia" w:ascii="宋体" w:hAnsi="宋体" w:cs="宋体"/>
                <w:color w:val="auto"/>
                <w:szCs w:val="21"/>
                <w:highlight w:val="none"/>
              </w:rPr>
            </w:pPr>
          </w:p>
        </w:tc>
        <w:tc>
          <w:tcPr>
            <w:tcW w:w="627" w:type="pct"/>
            <w:noWrap w:val="0"/>
            <w:vAlign w:val="center"/>
          </w:tcPr>
          <w:p w14:paraId="2563C757">
            <w:pPr>
              <w:keepNext/>
              <w:spacing w:line="360" w:lineRule="auto"/>
              <w:jc w:val="center"/>
              <w:rPr>
                <w:rFonts w:hint="eastAsia" w:ascii="宋体" w:hAnsi="宋体" w:cs="宋体"/>
                <w:color w:val="auto"/>
                <w:szCs w:val="21"/>
                <w:highlight w:val="none"/>
              </w:rPr>
            </w:pPr>
          </w:p>
        </w:tc>
        <w:tc>
          <w:tcPr>
            <w:tcW w:w="502" w:type="pct"/>
            <w:noWrap w:val="0"/>
            <w:vAlign w:val="center"/>
          </w:tcPr>
          <w:p w14:paraId="5E0EFFB0">
            <w:pPr>
              <w:keepNext/>
              <w:spacing w:line="360" w:lineRule="auto"/>
              <w:jc w:val="center"/>
              <w:rPr>
                <w:rFonts w:hint="eastAsia" w:ascii="宋体" w:hAnsi="宋体" w:cs="宋体"/>
                <w:color w:val="auto"/>
                <w:szCs w:val="21"/>
                <w:highlight w:val="none"/>
              </w:rPr>
            </w:pPr>
          </w:p>
        </w:tc>
        <w:tc>
          <w:tcPr>
            <w:tcW w:w="502" w:type="pct"/>
            <w:noWrap w:val="0"/>
            <w:vAlign w:val="center"/>
          </w:tcPr>
          <w:p w14:paraId="590DA1A1">
            <w:pPr>
              <w:keepNext/>
              <w:spacing w:line="360" w:lineRule="auto"/>
              <w:jc w:val="center"/>
              <w:rPr>
                <w:rFonts w:hint="eastAsia" w:ascii="宋体" w:hAnsi="宋体" w:cs="宋体"/>
                <w:color w:val="auto"/>
                <w:szCs w:val="21"/>
                <w:highlight w:val="none"/>
              </w:rPr>
            </w:pPr>
          </w:p>
        </w:tc>
        <w:tc>
          <w:tcPr>
            <w:tcW w:w="1279" w:type="pct"/>
            <w:noWrap w:val="0"/>
            <w:vAlign w:val="center"/>
          </w:tcPr>
          <w:p w14:paraId="084253EC">
            <w:pPr>
              <w:keepNext/>
              <w:spacing w:line="360" w:lineRule="auto"/>
              <w:jc w:val="center"/>
              <w:rPr>
                <w:rFonts w:hint="eastAsia" w:ascii="宋体" w:hAnsi="宋体" w:cs="宋体"/>
                <w:color w:val="auto"/>
                <w:szCs w:val="21"/>
                <w:highlight w:val="none"/>
              </w:rPr>
            </w:pPr>
          </w:p>
        </w:tc>
        <w:tc>
          <w:tcPr>
            <w:tcW w:w="1153" w:type="pct"/>
            <w:noWrap w:val="0"/>
            <w:vAlign w:val="top"/>
          </w:tcPr>
          <w:p w14:paraId="0A5B7642">
            <w:pPr>
              <w:keepNext/>
              <w:spacing w:line="360" w:lineRule="auto"/>
              <w:jc w:val="center"/>
              <w:rPr>
                <w:rFonts w:hint="eastAsia" w:ascii="宋体" w:hAnsi="宋体" w:cs="宋体"/>
                <w:color w:val="auto"/>
                <w:szCs w:val="21"/>
                <w:highlight w:val="none"/>
              </w:rPr>
            </w:pPr>
          </w:p>
        </w:tc>
      </w:tr>
      <w:tr w14:paraId="61002E1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8" w:type="pct"/>
            <w:vMerge w:val="continue"/>
            <w:noWrap w:val="0"/>
            <w:vAlign w:val="center"/>
          </w:tcPr>
          <w:p w14:paraId="71D9F812">
            <w:pPr>
              <w:keepNext/>
              <w:spacing w:line="360" w:lineRule="auto"/>
              <w:jc w:val="center"/>
              <w:rPr>
                <w:rFonts w:hint="eastAsia" w:ascii="宋体" w:hAnsi="宋体" w:cs="宋体"/>
                <w:color w:val="auto"/>
                <w:szCs w:val="21"/>
                <w:highlight w:val="none"/>
              </w:rPr>
            </w:pPr>
          </w:p>
        </w:tc>
        <w:tc>
          <w:tcPr>
            <w:tcW w:w="627" w:type="pct"/>
            <w:noWrap w:val="0"/>
            <w:vAlign w:val="center"/>
          </w:tcPr>
          <w:p w14:paraId="5AF8903D">
            <w:pPr>
              <w:keepNext/>
              <w:spacing w:line="360" w:lineRule="auto"/>
              <w:jc w:val="center"/>
              <w:rPr>
                <w:rFonts w:hint="eastAsia" w:ascii="宋体" w:hAnsi="宋体" w:cs="宋体"/>
                <w:color w:val="auto"/>
                <w:szCs w:val="21"/>
                <w:highlight w:val="none"/>
              </w:rPr>
            </w:pPr>
          </w:p>
        </w:tc>
        <w:tc>
          <w:tcPr>
            <w:tcW w:w="502" w:type="pct"/>
            <w:noWrap w:val="0"/>
            <w:vAlign w:val="center"/>
          </w:tcPr>
          <w:p w14:paraId="2381383C">
            <w:pPr>
              <w:keepNext/>
              <w:spacing w:line="360" w:lineRule="auto"/>
              <w:jc w:val="center"/>
              <w:rPr>
                <w:rFonts w:hint="eastAsia" w:ascii="宋体" w:hAnsi="宋体" w:cs="宋体"/>
                <w:color w:val="auto"/>
                <w:szCs w:val="21"/>
                <w:highlight w:val="none"/>
              </w:rPr>
            </w:pPr>
          </w:p>
        </w:tc>
        <w:tc>
          <w:tcPr>
            <w:tcW w:w="502" w:type="pct"/>
            <w:noWrap w:val="0"/>
            <w:vAlign w:val="center"/>
          </w:tcPr>
          <w:p w14:paraId="334262CB">
            <w:pPr>
              <w:keepNext/>
              <w:spacing w:line="360" w:lineRule="auto"/>
              <w:jc w:val="center"/>
              <w:rPr>
                <w:rFonts w:hint="eastAsia" w:ascii="宋体" w:hAnsi="宋体" w:cs="宋体"/>
                <w:color w:val="auto"/>
                <w:szCs w:val="21"/>
                <w:highlight w:val="none"/>
              </w:rPr>
            </w:pPr>
          </w:p>
        </w:tc>
        <w:tc>
          <w:tcPr>
            <w:tcW w:w="1279" w:type="pct"/>
            <w:noWrap w:val="0"/>
            <w:vAlign w:val="center"/>
          </w:tcPr>
          <w:p w14:paraId="64D1BC0E">
            <w:pPr>
              <w:keepNext/>
              <w:spacing w:line="360" w:lineRule="auto"/>
              <w:jc w:val="center"/>
              <w:rPr>
                <w:rFonts w:hint="eastAsia" w:ascii="宋体" w:hAnsi="宋体" w:cs="宋体"/>
                <w:color w:val="auto"/>
                <w:szCs w:val="21"/>
                <w:highlight w:val="none"/>
              </w:rPr>
            </w:pPr>
          </w:p>
        </w:tc>
        <w:tc>
          <w:tcPr>
            <w:tcW w:w="1153" w:type="pct"/>
            <w:noWrap w:val="0"/>
            <w:vAlign w:val="top"/>
          </w:tcPr>
          <w:p w14:paraId="66513B11">
            <w:pPr>
              <w:keepNext/>
              <w:spacing w:line="360" w:lineRule="auto"/>
              <w:jc w:val="center"/>
              <w:rPr>
                <w:rFonts w:hint="eastAsia" w:ascii="宋体" w:hAnsi="宋体" w:cs="宋体"/>
                <w:color w:val="auto"/>
                <w:szCs w:val="21"/>
                <w:highlight w:val="none"/>
              </w:rPr>
            </w:pPr>
          </w:p>
        </w:tc>
      </w:tr>
      <w:tr w14:paraId="23898B7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8" w:type="pct"/>
            <w:vMerge w:val="continue"/>
            <w:tcBorders>
              <w:bottom w:val="single" w:color="auto" w:sz="12" w:space="0"/>
            </w:tcBorders>
            <w:noWrap w:val="0"/>
            <w:vAlign w:val="center"/>
          </w:tcPr>
          <w:p w14:paraId="6247C18C">
            <w:pPr>
              <w:keepNext/>
              <w:spacing w:line="360" w:lineRule="auto"/>
              <w:jc w:val="center"/>
              <w:rPr>
                <w:rFonts w:hint="eastAsia" w:ascii="宋体" w:hAnsi="宋体" w:cs="宋体"/>
                <w:color w:val="auto"/>
                <w:szCs w:val="21"/>
                <w:highlight w:val="none"/>
              </w:rPr>
            </w:pPr>
          </w:p>
        </w:tc>
        <w:tc>
          <w:tcPr>
            <w:tcW w:w="627" w:type="pct"/>
            <w:tcBorders>
              <w:bottom w:val="single" w:color="auto" w:sz="12" w:space="0"/>
            </w:tcBorders>
            <w:noWrap w:val="0"/>
            <w:vAlign w:val="center"/>
          </w:tcPr>
          <w:p w14:paraId="57E46C66">
            <w:pPr>
              <w:keepNext/>
              <w:spacing w:line="360" w:lineRule="auto"/>
              <w:jc w:val="center"/>
              <w:rPr>
                <w:rFonts w:hint="eastAsia" w:ascii="宋体" w:hAnsi="宋体" w:cs="宋体"/>
                <w:color w:val="auto"/>
                <w:szCs w:val="21"/>
                <w:highlight w:val="none"/>
              </w:rPr>
            </w:pPr>
          </w:p>
        </w:tc>
        <w:tc>
          <w:tcPr>
            <w:tcW w:w="502" w:type="pct"/>
            <w:tcBorders>
              <w:bottom w:val="single" w:color="auto" w:sz="12" w:space="0"/>
            </w:tcBorders>
            <w:noWrap w:val="0"/>
            <w:vAlign w:val="center"/>
          </w:tcPr>
          <w:p w14:paraId="2BA70D54">
            <w:pPr>
              <w:keepNext/>
              <w:spacing w:line="360" w:lineRule="auto"/>
              <w:jc w:val="center"/>
              <w:rPr>
                <w:rFonts w:hint="eastAsia" w:ascii="宋体" w:hAnsi="宋体" w:cs="宋体"/>
                <w:color w:val="auto"/>
                <w:szCs w:val="21"/>
                <w:highlight w:val="none"/>
              </w:rPr>
            </w:pPr>
          </w:p>
        </w:tc>
        <w:tc>
          <w:tcPr>
            <w:tcW w:w="502" w:type="pct"/>
            <w:tcBorders>
              <w:bottom w:val="single" w:color="auto" w:sz="12" w:space="0"/>
            </w:tcBorders>
            <w:noWrap w:val="0"/>
            <w:vAlign w:val="center"/>
          </w:tcPr>
          <w:p w14:paraId="469E5BAF">
            <w:pPr>
              <w:keepNext/>
              <w:spacing w:line="360" w:lineRule="auto"/>
              <w:jc w:val="center"/>
              <w:rPr>
                <w:rFonts w:hint="eastAsia" w:ascii="宋体" w:hAnsi="宋体" w:cs="宋体"/>
                <w:color w:val="auto"/>
                <w:szCs w:val="21"/>
                <w:highlight w:val="none"/>
              </w:rPr>
            </w:pPr>
          </w:p>
        </w:tc>
        <w:tc>
          <w:tcPr>
            <w:tcW w:w="1279" w:type="pct"/>
            <w:tcBorders>
              <w:bottom w:val="single" w:color="auto" w:sz="12" w:space="0"/>
            </w:tcBorders>
            <w:noWrap w:val="0"/>
            <w:vAlign w:val="center"/>
          </w:tcPr>
          <w:p w14:paraId="76D6B892">
            <w:pPr>
              <w:keepNext/>
              <w:spacing w:line="360" w:lineRule="auto"/>
              <w:jc w:val="center"/>
              <w:rPr>
                <w:rFonts w:hint="eastAsia" w:ascii="宋体" w:hAnsi="宋体" w:cs="宋体"/>
                <w:color w:val="auto"/>
                <w:szCs w:val="21"/>
                <w:highlight w:val="none"/>
              </w:rPr>
            </w:pPr>
          </w:p>
        </w:tc>
        <w:tc>
          <w:tcPr>
            <w:tcW w:w="1153" w:type="pct"/>
            <w:tcBorders>
              <w:bottom w:val="single" w:color="auto" w:sz="12" w:space="0"/>
            </w:tcBorders>
            <w:noWrap w:val="0"/>
            <w:vAlign w:val="top"/>
          </w:tcPr>
          <w:p w14:paraId="5CBA14AA">
            <w:pPr>
              <w:keepNext/>
              <w:spacing w:line="360" w:lineRule="auto"/>
              <w:jc w:val="center"/>
              <w:rPr>
                <w:rFonts w:hint="eastAsia" w:ascii="宋体" w:hAnsi="宋体" w:cs="宋体"/>
                <w:color w:val="auto"/>
                <w:szCs w:val="21"/>
                <w:highlight w:val="none"/>
              </w:rPr>
            </w:pPr>
          </w:p>
        </w:tc>
      </w:tr>
    </w:tbl>
    <w:p w14:paraId="57AEE2E7">
      <w:pPr>
        <w:keepNext/>
        <w:keepLines/>
        <w:spacing w:before="120" w:after="120" w:line="360" w:lineRule="auto"/>
        <w:jc w:val="left"/>
        <w:outlineLvl w:val="2"/>
        <w:rPr>
          <w:rFonts w:hint="eastAsia" w:ascii="宋体" w:hAnsi="宋体" w:cs="宋体"/>
          <w:bCs/>
          <w:color w:val="auto"/>
          <w:sz w:val="24"/>
          <w:highlight w:val="none"/>
        </w:rPr>
      </w:pPr>
      <w:r>
        <w:rPr>
          <w:rFonts w:hint="eastAsia" w:ascii="宋体" w:hAnsi="宋体" w:cs="宋体"/>
          <w:bCs/>
          <w:color w:val="auto"/>
          <w:sz w:val="24"/>
          <w:highlight w:val="none"/>
        </w:rPr>
        <w:br w:type="page"/>
      </w:r>
      <w:bookmarkStart w:id="889" w:name="_Toc95223493"/>
      <w:r>
        <w:rPr>
          <w:rFonts w:hint="eastAsia" w:ascii="宋体" w:hAnsi="宋体" w:cs="宋体"/>
          <w:bCs/>
          <w:color w:val="auto"/>
          <w:sz w:val="24"/>
          <w:highlight w:val="none"/>
        </w:rPr>
        <w:t>附</w:t>
      </w:r>
      <w:bookmarkStart w:id="890" w:name="_Toc296891057"/>
      <w:bookmarkStart w:id="891" w:name="_Toc296347228"/>
      <w:bookmarkStart w:id="892" w:name="_Toc296346730"/>
      <w:bookmarkStart w:id="893" w:name="_Toc296891269"/>
      <w:bookmarkStart w:id="894" w:name="_Toc296944568"/>
      <w:bookmarkStart w:id="895" w:name="_Toc296503229"/>
      <w:r>
        <w:rPr>
          <w:rFonts w:hint="eastAsia" w:ascii="宋体" w:hAnsi="宋体" w:cs="宋体"/>
          <w:bCs/>
          <w:color w:val="auto"/>
          <w:sz w:val="24"/>
          <w:highlight w:val="none"/>
        </w:rPr>
        <w:t>件7：分包人主要施工管理人员表</w:t>
      </w:r>
      <w:bookmarkEnd w:id="889"/>
    </w:p>
    <w:bookmarkEnd w:id="890"/>
    <w:bookmarkEnd w:id="891"/>
    <w:bookmarkEnd w:id="892"/>
    <w:bookmarkEnd w:id="893"/>
    <w:bookmarkEnd w:id="894"/>
    <w:bookmarkEnd w:id="895"/>
    <w:p w14:paraId="18407CBC">
      <w:pPr>
        <w:spacing w:before="120" w:beforeLines="50" w:after="120" w:afterLines="50" w:line="360" w:lineRule="auto"/>
        <w:jc w:val="center"/>
        <w:rPr>
          <w:rFonts w:hint="eastAsia" w:ascii="宋体" w:hAnsi="宋体" w:cs="宋体"/>
          <w:b/>
          <w:color w:val="auto"/>
          <w:szCs w:val="21"/>
          <w:highlight w:val="none"/>
        </w:rPr>
      </w:pPr>
      <w:bookmarkStart w:id="896" w:name="_Toc95223494"/>
      <w:bookmarkStart w:id="897" w:name="_Toc22101"/>
      <w:bookmarkStart w:id="898" w:name="_Toc179"/>
      <w:r>
        <w:rPr>
          <w:rFonts w:hint="eastAsia" w:ascii="宋体" w:hAnsi="宋体" w:cs="宋体"/>
          <w:b/>
          <w:color w:val="auto"/>
          <w:szCs w:val="21"/>
          <w:highlight w:val="none"/>
        </w:rPr>
        <w:t>分包人主要施工管理人员表</w:t>
      </w:r>
      <w:bookmarkEnd w:id="896"/>
      <w:bookmarkEnd w:id="897"/>
      <w:bookmarkEnd w:id="898"/>
    </w:p>
    <w:tbl>
      <w:tblPr>
        <w:tblStyle w:val="47"/>
        <w:tblW w:w="5000"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28" w:type="dxa"/>
          <w:bottom w:w="0" w:type="dxa"/>
          <w:right w:w="28" w:type="dxa"/>
        </w:tblCellMar>
      </w:tblPr>
      <w:tblGrid>
        <w:gridCol w:w="1525"/>
        <w:gridCol w:w="1156"/>
        <w:gridCol w:w="925"/>
        <w:gridCol w:w="674"/>
        <w:gridCol w:w="3119"/>
        <w:gridCol w:w="1616"/>
      </w:tblGrid>
      <w:tr w14:paraId="6C4D1BA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46" w:type="pct"/>
            <w:tcBorders>
              <w:top w:val="single" w:color="auto" w:sz="12" w:space="0"/>
              <w:bottom w:val="double" w:color="auto" w:sz="6" w:space="0"/>
            </w:tcBorders>
            <w:noWrap w:val="0"/>
            <w:vAlign w:val="center"/>
          </w:tcPr>
          <w:p w14:paraId="26146530">
            <w:pPr>
              <w:keepNext/>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名    称</w:t>
            </w:r>
          </w:p>
        </w:tc>
        <w:tc>
          <w:tcPr>
            <w:tcW w:w="641" w:type="pct"/>
            <w:tcBorders>
              <w:top w:val="single" w:color="auto" w:sz="12" w:space="0"/>
              <w:bottom w:val="double" w:color="auto" w:sz="6" w:space="0"/>
            </w:tcBorders>
            <w:noWrap w:val="0"/>
            <w:vAlign w:val="center"/>
          </w:tcPr>
          <w:p w14:paraId="32B89496">
            <w:pPr>
              <w:keepNext/>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姓名</w:t>
            </w:r>
          </w:p>
        </w:tc>
        <w:tc>
          <w:tcPr>
            <w:tcW w:w="513" w:type="pct"/>
            <w:tcBorders>
              <w:top w:val="single" w:color="auto" w:sz="12" w:space="0"/>
              <w:bottom w:val="double" w:color="auto" w:sz="6" w:space="0"/>
            </w:tcBorders>
            <w:noWrap w:val="0"/>
            <w:vAlign w:val="center"/>
          </w:tcPr>
          <w:p w14:paraId="4433EF6B">
            <w:pPr>
              <w:keepNext/>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职务</w:t>
            </w:r>
          </w:p>
        </w:tc>
        <w:tc>
          <w:tcPr>
            <w:tcW w:w="374" w:type="pct"/>
            <w:tcBorders>
              <w:top w:val="single" w:color="auto" w:sz="12" w:space="0"/>
              <w:bottom w:val="double" w:color="auto" w:sz="6" w:space="0"/>
            </w:tcBorders>
            <w:noWrap w:val="0"/>
            <w:vAlign w:val="center"/>
          </w:tcPr>
          <w:p w14:paraId="6E5E4C77">
            <w:pPr>
              <w:keepNext/>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职称</w:t>
            </w:r>
          </w:p>
        </w:tc>
        <w:tc>
          <w:tcPr>
            <w:tcW w:w="1730" w:type="pct"/>
            <w:tcBorders>
              <w:top w:val="single" w:color="auto" w:sz="12" w:space="0"/>
              <w:bottom w:val="double" w:color="auto" w:sz="6" w:space="0"/>
            </w:tcBorders>
            <w:noWrap w:val="0"/>
            <w:vAlign w:val="center"/>
          </w:tcPr>
          <w:p w14:paraId="3E545CD0">
            <w:pPr>
              <w:keepNext/>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主要资历、经验及承担过的项目</w:t>
            </w:r>
          </w:p>
        </w:tc>
        <w:tc>
          <w:tcPr>
            <w:tcW w:w="896" w:type="pct"/>
            <w:tcBorders>
              <w:top w:val="single" w:color="auto" w:sz="12" w:space="0"/>
              <w:bottom w:val="double" w:color="auto" w:sz="6" w:space="0"/>
            </w:tcBorders>
            <w:noWrap w:val="0"/>
            <w:vAlign w:val="center"/>
          </w:tcPr>
          <w:p w14:paraId="1DD3F435">
            <w:pPr>
              <w:keepNext/>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身份证号码</w:t>
            </w:r>
          </w:p>
        </w:tc>
      </w:tr>
      <w:tr w14:paraId="2302229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4104" w:type="pct"/>
            <w:gridSpan w:val="5"/>
            <w:tcBorders>
              <w:top w:val="double" w:color="auto" w:sz="6" w:space="0"/>
            </w:tcBorders>
            <w:noWrap w:val="0"/>
            <w:vAlign w:val="center"/>
          </w:tcPr>
          <w:p w14:paraId="1A3FAA52">
            <w:pPr>
              <w:keepNext/>
              <w:spacing w:line="360" w:lineRule="auto"/>
              <w:rPr>
                <w:rFonts w:hint="eastAsia" w:ascii="宋体" w:hAnsi="宋体" w:cs="宋体"/>
                <w:color w:val="auto"/>
                <w:szCs w:val="21"/>
                <w:highlight w:val="none"/>
              </w:rPr>
            </w:pPr>
            <w:r>
              <w:rPr>
                <w:rFonts w:hint="eastAsia" w:ascii="宋体" w:hAnsi="宋体" w:cs="宋体"/>
                <w:color w:val="auto"/>
                <w:szCs w:val="21"/>
                <w:highlight w:val="none"/>
              </w:rPr>
              <w:t>一、总部人员</w:t>
            </w:r>
          </w:p>
        </w:tc>
        <w:tc>
          <w:tcPr>
            <w:tcW w:w="896" w:type="pct"/>
            <w:tcBorders>
              <w:top w:val="double" w:color="auto" w:sz="6" w:space="0"/>
            </w:tcBorders>
            <w:noWrap w:val="0"/>
            <w:vAlign w:val="top"/>
          </w:tcPr>
          <w:p w14:paraId="75739233">
            <w:pPr>
              <w:keepNext/>
              <w:spacing w:line="360" w:lineRule="auto"/>
              <w:rPr>
                <w:rFonts w:hint="eastAsia" w:ascii="宋体" w:hAnsi="宋体" w:cs="宋体"/>
                <w:color w:val="auto"/>
                <w:szCs w:val="21"/>
                <w:highlight w:val="none"/>
              </w:rPr>
            </w:pPr>
          </w:p>
        </w:tc>
      </w:tr>
      <w:tr w14:paraId="75DEDDE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46" w:type="pct"/>
            <w:tcBorders>
              <w:top w:val="nil"/>
              <w:bottom w:val="nil"/>
            </w:tcBorders>
            <w:noWrap w:val="0"/>
            <w:vAlign w:val="center"/>
          </w:tcPr>
          <w:p w14:paraId="3D94AE54">
            <w:pPr>
              <w:keepNext/>
              <w:spacing w:line="360" w:lineRule="auto"/>
              <w:rPr>
                <w:rFonts w:hint="eastAsia" w:ascii="宋体" w:hAnsi="宋体" w:cs="宋体"/>
                <w:color w:val="auto"/>
                <w:szCs w:val="21"/>
                <w:highlight w:val="none"/>
              </w:rPr>
            </w:pPr>
            <w:r>
              <w:rPr>
                <w:rFonts w:hint="eastAsia" w:ascii="宋体" w:hAnsi="宋体" w:cs="宋体"/>
                <w:color w:val="auto"/>
                <w:szCs w:val="21"/>
                <w:highlight w:val="none"/>
              </w:rPr>
              <w:t>项目主管</w:t>
            </w:r>
          </w:p>
        </w:tc>
        <w:tc>
          <w:tcPr>
            <w:tcW w:w="641" w:type="pct"/>
            <w:tcBorders>
              <w:top w:val="nil"/>
            </w:tcBorders>
            <w:noWrap w:val="0"/>
            <w:vAlign w:val="center"/>
          </w:tcPr>
          <w:p w14:paraId="54095929">
            <w:pPr>
              <w:keepNext/>
              <w:spacing w:line="360" w:lineRule="auto"/>
              <w:rPr>
                <w:rFonts w:hint="eastAsia" w:ascii="宋体" w:hAnsi="宋体" w:cs="宋体"/>
                <w:color w:val="auto"/>
                <w:szCs w:val="21"/>
                <w:highlight w:val="none"/>
              </w:rPr>
            </w:pPr>
          </w:p>
        </w:tc>
        <w:tc>
          <w:tcPr>
            <w:tcW w:w="513" w:type="pct"/>
            <w:tcBorders>
              <w:top w:val="nil"/>
            </w:tcBorders>
            <w:noWrap w:val="0"/>
            <w:vAlign w:val="center"/>
          </w:tcPr>
          <w:p w14:paraId="36C3E486">
            <w:pPr>
              <w:keepNext/>
              <w:spacing w:line="360" w:lineRule="auto"/>
              <w:rPr>
                <w:rFonts w:hint="eastAsia" w:ascii="宋体" w:hAnsi="宋体" w:cs="宋体"/>
                <w:color w:val="auto"/>
                <w:szCs w:val="21"/>
                <w:highlight w:val="none"/>
              </w:rPr>
            </w:pPr>
          </w:p>
        </w:tc>
        <w:tc>
          <w:tcPr>
            <w:tcW w:w="374" w:type="pct"/>
            <w:tcBorders>
              <w:top w:val="nil"/>
            </w:tcBorders>
            <w:noWrap w:val="0"/>
            <w:vAlign w:val="center"/>
          </w:tcPr>
          <w:p w14:paraId="1FF383DD">
            <w:pPr>
              <w:keepNext/>
              <w:spacing w:line="360" w:lineRule="auto"/>
              <w:rPr>
                <w:rFonts w:hint="eastAsia" w:ascii="宋体" w:hAnsi="宋体" w:cs="宋体"/>
                <w:color w:val="auto"/>
                <w:szCs w:val="21"/>
                <w:highlight w:val="none"/>
              </w:rPr>
            </w:pPr>
          </w:p>
        </w:tc>
        <w:tc>
          <w:tcPr>
            <w:tcW w:w="1730" w:type="pct"/>
            <w:tcBorders>
              <w:top w:val="nil"/>
            </w:tcBorders>
            <w:noWrap w:val="0"/>
            <w:vAlign w:val="center"/>
          </w:tcPr>
          <w:p w14:paraId="4E1A9B7B">
            <w:pPr>
              <w:keepNext/>
              <w:spacing w:line="360" w:lineRule="auto"/>
              <w:rPr>
                <w:rFonts w:hint="eastAsia" w:ascii="宋体" w:hAnsi="宋体" w:cs="宋体"/>
                <w:color w:val="auto"/>
                <w:szCs w:val="21"/>
                <w:highlight w:val="none"/>
              </w:rPr>
            </w:pPr>
          </w:p>
        </w:tc>
        <w:tc>
          <w:tcPr>
            <w:tcW w:w="896" w:type="pct"/>
            <w:tcBorders>
              <w:top w:val="nil"/>
            </w:tcBorders>
            <w:noWrap w:val="0"/>
            <w:vAlign w:val="top"/>
          </w:tcPr>
          <w:p w14:paraId="6C13F00B">
            <w:pPr>
              <w:keepNext/>
              <w:spacing w:line="360" w:lineRule="auto"/>
              <w:rPr>
                <w:rFonts w:hint="eastAsia" w:ascii="宋体" w:hAnsi="宋体" w:cs="宋体"/>
                <w:color w:val="auto"/>
                <w:szCs w:val="21"/>
                <w:highlight w:val="none"/>
              </w:rPr>
            </w:pPr>
          </w:p>
        </w:tc>
      </w:tr>
      <w:tr w14:paraId="6EA6ED5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46" w:type="pct"/>
            <w:tcBorders>
              <w:bottom w:val="nil"/>
            </w:tcBorders>
            <w:noWrap w:val="0"/>
            <w:vAlign w:val="center"/>
          </w:tcPr>
          <w:p w14:paraId="4CCC8DFC">
            <w:pPr>
              <w:keepNext/>
              <w:spacing w:line="360" w:lineRule="auto"/>
              <w:rPr>
                <w:rFonts w:hint="eastAsia" w:ascii="宋体" w:hAnsi="宋体" w:cs="宋体"/>
                <w:color w:val="auto"/>
                <w:szCs w:val="21"/>
                <w:highlight w:val="none"/>
              </w:rPr>
            </w:pPr>
          </w:p>
        </w:tc>
        <w:tc>
          <w:tcPr>
            <w:tcW w:w="641" w:type="pct"/>
            <w:noWrap w:val="0"/>
            <w:vAlign w:val="center"/>
          </w:tcPr>
          <w:p w14:paraId="53F18643">
            <w:pPr>
              <w:keepNext/>
              <w:spacing w:line="360" w:lineRule="auto"/>
              <w:rPr>
                <w:rFonts w:hint="eastAsia" w:ascii="宋体" w:hAnsi="宋体" w:cs="宋体"/>
                <w:color w:val="auto"/>
                <w:szCs w:val="21"/>
                <w:highlight w:val="none"/>
              </w:rPr>
            </w:pPr>
          </w:p>
        </w:tc>
        <w:tc>
          <w:tcPr>
            <w:tcW w:w="513" w:type="pct"/>
            <w:noWrap w:val="0"/>
            <w:vAlign w:val="center"/>
          </w:tcPr>
          <w:p w14:paraId="117B61F3">
            <w:pPr>
              <w:keepNext/>
              <w:spacing w:line="360" w:lineRule="auto"/>
              <w:rPr>
                <w:rFonts w:hint="eastAsia" w:ascii="宋体" w:hAnsi="宋体" w:cs="宋体"/>
                <w:color w:val="auto"/>
                <w:szCs w:val="21"/>
                <w:highlight w:val="none"/>
              </w:rPr>
            </w:pPr>
          </w:p>
        </w:tc>
        <w:tc>
          <w:tcPr>
            <w:tcW w:w="374" w:type="pct"/>
            <w:noWrap w:val="0"/>
            <w:vAlign w:val="center"/>
          </w:tcPr>
          <w:p w14:paraId="51694BBE">
            <w:pPr>
              <w:keepNext/>
              <w:spacing w:line="360" w:lineRule="auto"/>
              <w:rPr>
                <w:rFonts w:hint="eastAsia" w:ascii="宋体" w:hAnsi="宋体" w:cs="宋体"/>
                <w:color w:val="auto"/>
                <w:szCs w:val="21"/>
                <w:highlight w:val="none"/>
              </w:rPr>
            </w:pPr>
          </w:p>
        </w:tc>
        <w:tc>
          <w:tcPr>
            <w:tcW w:w="1730" w:type="pct"/>
            <w:noWrap w:val="0"/>
            <w:vAlign w:val="center"/>
          </w:tcPr>
          <w:p w14:paraId="187F19DB">
            <w:pPr>
              <w:keepNext/>
              <w:spacing w:line="360" w:lineRule="auto"/>
              <w:rPr>
                <w:rFonts w:hint="eastAsia" w:ascii="宋体" w:hAnsi="宋体" w:cs="宋体"/>
                <w:color w:val="auto"/>
                <w:szCs w:val="21"/>
                <w:highlight w:val="none"/>
              </w:rPr>
            </w:pPr>
          </w:p>
        </w:tc>
        <w:tc>
          <w:tcPr>
            <w:tcW w:w="896" w:type="pct"/>
            <w:noWrap w:val="0"/>
            <w:vAlign w:val="top"/>
          </w:tcPr>
          <w:p w14:paraId="2250A50C">
            <w:pPr>
              <w:keepNext/>
              <w:spacing w:line="360" w:lineRule="auto"/>
              <w:rPr>
                <w:rFonts w:hint="eastAsia" w:ascii="宋体" w:hAnsi="宋体" w:cs="宋体"/>
                <w:color w:val="auto"/>
                <w:szCs w:val="21"/>
                <w:highlight w:val="none"/>
              </w:rPr>
            </w:pPr>
          </w:p>
        </w:tc>
      </w:tr>
      <w:tr w14:paraId="7583E2E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46" w:type="pct"/>
            <w:tcBorders>
              <w:top w:val="nil"/>
              <w:bottom w:val="nil"/>
            </w:tcBorders>
            <w:noWrap w:val="0"/>
            <w:vAlign w:val="center"/>
          </w:tcPr>
          <w:p w14:paraId="0692C0CB">
            <w:pPr>
              <w:keepNext/>
              <w:spacing w:line="360" w:lineRule="auto"/>
              <w:rPr>
                <w:rFonts w:hint="eastAsia" w:ascii="宋体" w:hAnsi="宋体" w:cs="宋体"/>
                <w:color w:val="auto"/>
                <w:szCs w:val="21"/>
                <w:highlight w:val="none"/>
              </w:rPr>
            </w:pPr>
            <w:r>
              <w:rPr>
                <w:rFonts w:hint="eastAsia" w:ascii="宋体" w:hAnsi="宋体" w:cs="宋体"/>
                <w:color w:val="auto"/>
                <w:szCs w:val="21"/>
                <w:highlight w:val="none"/>
              </w:rPr>
              <w:t>其他人员</w:t>
            </w:r>
          </w:p>
        </w:tc>
        <w:tc>
          <w:tcPr>
            <w:tcW w:w="641" w:type="pct"/>
            <w:noWrap w:val="0"/>
            <w:vAlign w:val="center"/>
          </w:tcPr>
          <w:p w14:paraId="30DD3A9B">
            <w:pPr>
              <w:keepNext/>
              <w:spacing w:line="360" w:lineRule="auto"/>
              <w:rPr>
                <w:rFonts w:hint="eastAsia" w:ascii="宋体" w:hAnsi="宋体" w:cs="宋体"/>
                <w:color w:val="auto"/>
                <w:szCs w:val="21"/>
                <w:highlight w:val="none"/>
              </w:rPr>
            </w:pPr>
          </w:p>
        </w:tc>
        <w:tc>
          <w:tcPr>
            <w:tcW w:w="513" w:type="pct"/>
            <w:noWrap w:val="0"/>
            <w:vAlign w:val="center"/>
          </w:tcPr>
          <w:p w14:paraId="5E0F0DF6">
            <w:pPr>
              <w:keepNext/>
              <w:spacing w:line="360" w:lineRule="auto"/>
              <w:rPr>
                <w:rFonts w:hint="eastAsia" w:ascii="宋体" w:hAnsi="宋体" w:cs="宋体"/>
                <w:color w:val="auto"/>
                <w:szCs w:val="21"/>
                <w:highlight w:val="none"/>
              </w:rPr>
            </w:pPr>
          </w:p>
        </w:tc>
        <w:tc>
          <w:tcPr>
            <w:tcW w:w="374" w:type="pct"/>
            <w:noWrap w:val="0"/>
            <w:vAlign w:val="center"/>
          </w:tcPr>
          <w:p w14:paraId="73E2BD67">
            <w:pPr>
              <w:keepNext/>
              <w:spacing w:line="360" w:lineRule="auto"/>
              <w:rPr>
                <w:rFonts w:hint="eastAsia" w:ascii="宋体" w:hAnsi="宋体" w:cs="宋体"/>
                <w:color w:val="auto"/>
                <w:szCs w:val="21"/>
                <w:highlight w:val="none"/>
              </w:rPr>
            </w:pPr>
          </w:p>
        </w:tc>
        <w:tc>
          <w:tcPr>
            <w:tcW w:w="1730" w:type="pct"/>
            <w:noWrap w:val="0"/>
            <w:vAlign w:val="center"/>
          </w:tcPr>
          <w:p w14:paraId="4A390DCF">
            <w:pPr>
              <w:keepNext/>
              <w:spacing w:line="360" w:lineRule="auto"/>
              <w:rPr>
                <w:rFonts w:hint="eastAsia" w:ascii="宋体" w:hAnsi="宋体" w:cs="宋体"/>
                <w:color w:val="auto"/>
                <w:szCs w:val="21"/>
                <w:highlight w:val="none"/>
              </w:rPr>
            </w:pPr>
          </w:p>
        </w:tc>
        <w:tc>
          <w:tcPr>
            <w:tcW w:w="896" w:type="pct"/>
            <w:noWrap w:val="0"/>
            <w:vAlign w:val="top"/>
          </w:tcPr>
          <w:p w14:paraId="0F479ED4">
            <w:pPr>
              <w:keepNext/>
              <w:spacing w:line="360" w:lineRule="auto"/>
              <w:rPr>
                <w:rFonts w:hint="eastAsia" w:ascii="宋体" w:hAnsi="宋体" w:cs="宋体"/>
                <w:color w:val="auto"/>
                <w:szCs w:val="21"/>
                <w:highlight w:val="none"/>
              </w:rPr>
            </w:pPr>
          </w:p>
        </w:tc>
      </w:tr>
      <w:tr w14:paraId="0470070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46" w:type="pct"/>
            <w:tcBorders>
              <w:top w:val="nil"/>
              <w:bottom w:val="nil"/>
            </w:tcBorders>
            <w:noWrap w:val="0"/>
            <w:vAlign w:val="center"/>
          </w:tcPr>
          <w:p w14:paraId="25E5A08A">
            <w:pPr>
              <w:keepNext/>
              <w:spacing w:line="360" w:lineRule="auto"/>
              <w:rPr>
                <w:rFonts w:hint="eastAsia" w:ascii="宋体" w:hAnsi="宋体" w:cs="宋体"/>
                <w:color w:val="auto"/>
                <w:szCs w:val="21"/>
                <w:highlight w:val="none"/>
              </w:rPr>
            </w:pPr>
          </w:p>
        </w:tc>
        <w:tc>
          <w:tcPr>
            <w:tcW w:w="641" w:type="pct"/>
            <w:noWrap w:val="0"/>
            <w:vAlign w:val="center"/>
          </w:tcPr>
          <w:p w14:paraId="18558432">
            <w:pPr>
              <w:keepNext/>
              <w:spacing w:line="360" w:lineRule="auto"/>
              <w:rPr>
                <w:rFonts w:hint="eastAsia" w:ascii="宋体" w:hAnsi="宋体" w:cs="宋体"/>
                <w:color w:val="auto"/>
                <w:szCs w:val="21"/>
                <w:highlight w:val="none"/>
              </w:rPr>
            </w:pPr>
          </w:p>
        </w:tc>
        <w:tc>
          <w:tcPr>
            <w:tcW w:w="513" w:type="pct"/>
            <w:noWrap w:val="0"/>
            <w:vAlign w:val="center"/>
          </w:tcPr>
          <w:p w14:paraId="528EB0A3">
            <w:pPr>
              <w:keepNext/>
              <w:spacing w:line="360" w:lineRule="auto"/>
              <w:rPr>
                <w:rFonts w:hint="eastAsia" w:ascii="宋体" w:hAnsi="宋体" w:cs="宋体"/>
                <w:color w:val="auto"/>
                <w:szCs w:val="21"/>
                <w:highlight w:val="none"/>
              </w:rPr>
            </w:pPr>
          </w:p>
        </w:tc>
        <w:tc>
          <w:tcPr>
            <w:tcW w:w="374" w:type="pct"/>
            <w:noWrap w:val="0"/>
            <w:vAlign w:val="center"/>
          </w:tcPr>
          <w:p w14:paraId="1837A690">
            <w:pPr>
              <w:keepNext/>
              <w:spacing w:line="360" w:lineRule="auto"/>
              <w:rPr>
                <w:rFonts w:hint="eastAsia" w:ascii="宋体" w:hAnsi="宋体" w:cs="宋体"/>
                <w:color w:val="auto"/>
                <w:szCs w:val="21"/>
                <w:highlight w:val="none"/>
              </w:rPr>
            </w:pPr>
          </w:p>
        </w:tc>
        <w:tc>
          <w:tcPr>
            <w:tcW w:w="1730" w:type="pct"/>
            <w:noWrap w:val="0"/>
            <w:vAlign w:val="center"/>
          </w:tcPr>
          <w:p w14:paraId="6B995B68">
            <w:pPr>
              <w:keepNext/>
              <w:spacing w:line="360" w:lineRule="auto"/>
              <w:rPr>
                <w:rFonts w:hint="eastAsia" w:ascii="宋体" w:hAnsi="宋体" w:cs="宋体"/>
                <w:color w:val="auto"/>
                <w:szCs w:val="21"/>
                <w:highlight w:val="none"/>
              </w:rPr>
            </w:pPr>
          </w:p>
        </w:tc>
        <w:tc>
          <w:tcPr>
            <w:tcW w:w="896" w:type="pct"/>
            <w:noWrap w:val="0"/>
            <w:vAlign w:val="top"/>
          </w:tcPr>
          <w:p w14:paraId="418895D3">
            <w:pPr>
              <w:keepNext/>
              <w:spacing w:line="360" w:lineRule="auto"/>
              <w:rPr>
                <w:rFonts w:hint="eastAsia" w:ascii="宋体" w:hAnsi="宋体" w:cs="宋体"/>
                <w:color w:val="auto"/>
                <w:szCs w:val="21"/>
                <w:highlight w:val="none"/>
              </w:rPr>
            </w:pPr>
          </w:p>
        </w:tc>
      </w:tr>
      <w:tr w14:paraId="0F8CFC4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4104" w:type="pct"/>
            <w:gridSpan w:val="5"/>
            <w:noWrap w:val="0"/>
            <w:vAlign w:val="center"/>
          </w:tcPr>
          <w:p w14:paraId="1B97093F">
            <w:pPr>
              <w:keepNext/>
              <w:spacing w:line="360" w:lineRule="auto"/>
              <w:rPr>
                <w:rFonts w:hint="eastAsia" w:ascii="宋体" w:hAnsi="宋体" w:cs="宋体"/>
                <w:color w:val="auto"/>
                <w:szCs w:val="21"/>
                <w:highlight w:val="none"/>
              </w:rPr>
            </w:pPr>
            <w:r>
              <w:rPr>
                <w:rFonts w:hint="eastAsia" w:ascii="宋体" w:hAnsi="宋体" w:cs="宋体"/>
                <w:color w:val="auto"/>
                <w:szCs w:val="21"/>
                <w:highlight w:val="none"/>
              </w:rPr>
              <w:t>二、现场人员</w:t>
            </w:r>
          </w:p>
        </w:tc>
        <w:tc>
          <w:tcPr>
            <w:tcW w:w="896" w:type="pct"/>
            <w:noWrap w:val="0"/>
            <w:vAlign w:val="top"/>
          </w:tcPr>
          <w:p w14:paraId="3D776CB1">
            <w:pPr>
              <w:keepNext/>
              <w:spacing w:line="360" w:lineRule="auto"/>
              <w:rPr>
                <w:rFonts w:hint="eastAsia" w:ascii="宋体" w:hAnsi="宋体" w:cs="宋体"/>
                <w:color w:val="auto"/>
                <w:szCs w:val="21"/>
                <w:highlight w:val="none"/>
              </w:rPr>
            </w:pPr>
          </w:p>
        </w:tc>
      </w:tr>
      <w:tr w14:paraId="370679B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46" w:type="pct"/>
            <w:noWrap w:val="0"/>
            <w:vAlign w:val="top"/>
          </w:tcPr>
          <w:p w14:paraId="0D1C2BAD">
            <w:pPr>
              <w:spacing w:line="360" w:lineRule="auto"/>
              <w:rPr>
                <w:rFonts w:hint="eastAsia" w:ascii="宋体" w:hAnsi="宋体" w:cs="宋体"/>
                <w:color w:val="auto"/>
                <w:szCs w:val="22"/>
                <w:highlight w:val="none"/>
              </w:rPr>
            </w:pPr>
            <w:r>
              <w:rPr>
                <w:rFonts w:hint="eastAsia" w:ascii="宋体" w:hAnsi="宋体" w:cs="宋体"/>
                <w:color w:val="auto"/>
                <w:szCs w:val="22"/>
                <w:highlight w:val="none"/>
              </w:rPr>
              <w:t>项目经理</w:t>
            </w:r>
          </w:p>
        </w:tc>
        <w:tc>
          <w:tcPr>
            <w:tcW w:w="641" w:type="pct"/>
            <w:noWrap w:val="0"/>
            <w:vAlign w:val="center"/>
          </w:tcPr>
          <w:p w14:paraId="469EB2A7">
            <w:pPr>
              <w:keepNext/>
              <w:spacing w:line="360" w:lineRule="auto"/>
              <w:rPr>
                <w:rFonts w:hint="eastAsia" w:ascii="宋体" w:hAnsi="宋体" w:cs="宋体"/>
                <w:color w:val="auto"/>
                <w:szCs w:val="21"/>
                <w:highlight w:val="none"/>
              </w:rPr>
            </w:pPr>
          </w:p>
        </w:tc>
        <w:tc>
          <w:tcPr>
            <w:tcW w:w="513" w:type="pct"/>
            <w:noWrap w:val="0"/>
            <w:vAlign w:val="center"/>
          </w:tcPr>
          <w:p w14:paraId="0F5D62BD">
            <w:pPr>
              <w:keepNext/>
              <w:spacing w:line="360" w:lineRule="auto"/>
              <w:rPr>
                <w:rFonts w:hint="eastAsia" w:ascii="宋体" w:hAnsi="宋体" w:cs="宋体"/>
                <w:color w:val="auto"/>
                <w:szCs w:val="21"/>
                <w:highlight w:val="none"/>
              </w:rPr>
            </w:pPr>
          </w:p>
        </w:tc>
        <w:tc>
          <w:tcPr>
            <w:tcW w:w="374" w:type="pct"/>
            <w:noWrap w:val="0"/>
            <w:vAlign w:val="center"/>
          </w:tcPr>
          <w:p w14:paraId="5F8163C3">
            <w:pPr>
              <w:keepNext/>
              <w:spacing w:line="360" w:lineRule="auto"/>
              <w:rPr>
                <w:rFonts w:hint="eastAsia" w:ascii="宋体" w:hAnsi="宋体" w:cs="宋体"/>
                <w:color w:val="auto"/>
                <w:szCs w:val="21"/>
                <w:highlight w:val="none"/>
              </w:rPr>
            </w:pPr>
          </w:p>
        </w:tc>
        <w:tc>
          <w:tcPr>
            <w:tcW w:w="1730" w:type="pct"/>
            <w:noWrap w:val="0"/>
            <w:vAlign w:val="center"/>
          </w:tcPr>
          <w:p w14:paraId="3DE3B9C3">
            <w:pPr>
              <w:keepNext/>
              <w:spacing w:line="360" w:lineRule="auto"/>
              <w:rPr>
                <w:rFonts w:hint="eastAsia" w:ascii="宋体" w:hAnsi="宋体" w:cs="宋体"/>
                <w:color w:val="auto"/>
                <w:szCs w:val="21"/>
                <w:highlight w:val="none"/>
              </w:rPr>
            </w:pPr>
          </w:p>
        </w:tc>
        <w:tc>
          <w:tcPr>
            <w:tcW w:w="896" w:type="pct"/>
            <w:noWrap w:val="0"/>
            <w:vAlign w:val="top"/>
          </w:tcPr>
          <w:p w14:paraId="4ADFB88B">
            <w:pPr>
              <w:keepNext/>
              <w:spacing w:line="360" w:lineRule="auto"/>
              <w:rPr>
                <w:rFonts w:hint="eastAsia" w:ascii="宋体" w:hAnsi="宋体" w:cs="宋体"/>
                <w:color w:val="auto"/>
                <w:szCs w:val="21"/>
                <w:highlight w:val="none"/>
              </w:rPr>
            </w:pPr>
          </w:p>
        </w:tc>
      </w:tr>
      <w:tr w14:paraId="12BB57D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46" w:type="pct"/>
            <w:noWrap w:val="0"/>
            <w:vAlign w:val="top"/>
          </w:tcPr>
          <w:p w14:paraId="43B398A3">
            <w:pPr>
              <w:spacing w:line="360" w:lineRule="auto"/>
              <w:rPr>
                <w:rFonts w:hint="eastAsia" w:ascii="宋体" w:hAnsi="宋体" w:cs="宋体"/>
                <w:color w:val="auto"/>
                <w:szCs w:val="22"/>
                <w:highlight w:val="none"/>
              </w:rPr>
            </w:pPr>
            <w:r>
              <w:rPr>
                <w:rFonts w:hint="eastAsia" w:ascii="宋体" w:hAnsi="宋体" w:cs="宋体"/>
                <w:color w:val="auto"/>
                <w:szCs w:val="22"/>
                <w:highlight w:val="none"/>
              </w:rPr>
              <w:t>项目副经理</w:t>
            </w:r>
          </w:p>
        </w:tc>
        <w:tc>
          <w:tcPr>
            <w:tcW w:w="641" w:type="pct"/>
            <w:noWrap w:val="0"/>
            <w:vAlign w:val="center"/>
          </w:tcPr>
          <w:p w14:paraId="5E255BDD">
            <w:pPr>
              <w:keepNext/>
              <w:spacing w:line="360" w:lineRule="auto"/>
              <w:rPr>
                <w:rFonts w:hint="eastAsia" w:ascii="宋体" w:hAnsi="宋体" w:cs="宋体"/>
                <w:color w:val="auto"/>
                <w:szCs w:val="21"/>
                <w:highlight w:val="none"/>
              </w:rPr>
            </w:pPr>
          </w:p>
        </w:tc>
        <w:tc>
          <w:tcPr>
            <w:tcW w:w="513" w:type="pct"/>
            <w:noWrap w:val="0"/>
            <w:vAlign w:val="center"/>
          </w:tcPr>
          <w:p w14:paraId="112E296F">
            <w:pPr>
              <w:keepNext/>
              <w:spacing w:line="360" w:lineRule="auto"/>
              <w:rPr>
                <w:rFonts w:hint="eastAsia" w:ascii="宋体" w:hAnsi="宋体" w:cs="宋体"/>
                <w:color w:val="auto"/>
                <w:szCs w:val="21"/>
                <w:highlight w:val="none"/>
              </w:rPr>
            </w:pPr>
          </w:p>
        </w:tc>
        <w:tc>
          <w:tcPr>
            <w:tcW w:w="374" w:type="pct"/>
            <w:noWrap w:val="0"/>
            <w:vAlign w:val="center"/>
          </w:tcPr>
          <w:p w14:paraId="1104B48F">
            <w:pPr>
              <w:keepNext/>
              <w:spacing w:line="360" w:lineRule="auto"/>
              <w:rPr>
                <w:rFonts w:hint="eastAsia" w:ascii="宋体" w:hAnsi="宋体" w:cs="宋体"/>
                <w:color w:val="auto"/>
                <w:szCs w:val="21"/>
                <w:highlight w:val="none"/>
              </w:rPr>
            </w:pPr>
          </w:p>
        </w:tc>
        <w:tc>
          <w:tcPr>
            <w:tcW w:w="1730" w:type="pct"/>
            <w:noWrap w:val="0"/>
            <w:vAlign w:val="center"/>
          </w:tcPr>
          <w:p w14:paraId="1E63D4AA">
            <w:pPr>
              <w:keepNext/>
              <w:spacing w:line="360" w:lineRule="auto"/>
              <w:rPr>
                <w:rFonts w:hint="eastAsia" w:ascii="宋体" w:hAnsi="宋体" w:cs="宋体"/>
                <w:color w:val="auto"/>
                <w:szCs w:val="21"/>
                <w:highlight w:val="none"/>
              </w:rPr>
            </w:pPr>
          </w:p>
        </w:tc>
        <w:tc>
          <w:tcPr>
            <w:tcW w:w="896" w:type="pct"/>
            <w:noWrap w:val="0"/>
            <w:vAlign w:val="top"/>
          </w:tcPr>
          <w:p w14:paraId="0E80CA76">
            <w:pPr>
              <w:keepNext/>
              <w:spacing w:line="360" w:lineRule="auto"/>
              <w:rPr>
                <w:rFonts w:hint="eastAsia" w:ascii="宋体" w:hAnsi="宋体" w:cs="宋体"/>
                <w:color w:val="auto"/>
                <w:szCs w:val="21"/>
                <w:highlight w:val="none"/>
              </w:rPr>
            </w:pPr>
          </w:p>
        </w:tc>
      </w:tr>
      <w:tr w14:paraId="22F0023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46" w:type="pct"/>
            <w:noWrap w:val="0"/>
            <w:vAlign w:val="top"/>
          </w:tcPr>
          <w:p w14:paraId="078EEF05">
            <w:pPr>
              <w:spacing w:line="360" w:lineRule="auto"/>
              <w:rPr>
                <w:rFonts w:hint="eastAsia" w:ascii="宋体" w:hAnsi="宋体" w:cs="宋体"/>
                <w:color w:val="auto"/>
                <w:szCs w:val="22"/>
                <w:highlight w:val="none"/>
              </w:rPr>
            </w:pPr>
            <w:r>
              <w:rPr>
                <w:rFonts w:hint="eastAsia" w:ascii="宋体" w:hAnsi="宋体" w:cs="宋体"/>
                <w:color w:val="auto"/>
                <w:szCs w:val="22"/>
                <w:highlight w:val="none"/>
              </w:rPr>
              <w:t>项目技术负责人</w:t>
            </w:r>
          </w:p>
        </w:tc>
        <w:tc>
          <w:tcPr>
            <w:tcW w:w="641" w:type="pct"/>
            <w:noWrap w:val="0"/>
            <w:vAlign w:val="center"/>
          </w:tcPr>
          <w:p w14:paraId="3F6EF9F2">
            <w:pPr>
              <w:keepNext/>
              <w:spacing w:line="360" w:lineRule="auto"/>
              <w:rPr>
                <w:rFonts w:hint="eastAsia" w:ascii="宋体" w:hAnsi="宋体" w:cs="宋体"/>
                <w:color w:val="auto"/>
                <w:szCs w:val="21"/>
                <w:highlight w:val="none"/>
              </w:rPr>
            </w:pPr>
          </w:p>
        </w:tc>
        <w:tc>
          <w:tcPr>
            <w:tcW w:w="513" w:type="pct"/>
            <w:noWrap w:val="0"/>
            <w:vAlign w:val="center"/>
          </w:tcPr>
          <w:p w14:paraId="0530AA1F">
            <w:pPr>
              <w:keepNext/>
              <w:spacing w:line="360" w:lineRule="auto"/>
              <w:rPr>
                <w:rFonts w:hint="eastAsia" w:ascii="宋体" w:hAnsi="宋体" w:cs="宋体"/>
                <w:color w:val="auto"/>
                <w:szCs w:val="21"/>
                <w:highlight w:val="none"/>
              </w:rPr>
            </w:pPr>
          </w:p>
        </w:tc>
        <w:tc>
          <w:tcPr>
            <w:tcW w:w="374" w:type="pct"/>
            <w:noWrap w:val="0"/>
            <w:vAlign w:val="center"/>
          </w:tcPr>
          <w:p w14:paraId="1F5F45D2">
            <w:pPr>
              <w:keepNext/>
              <w:spacing w:line="360" w:lineRule="auto"/>
              <w:rPr>
                <w:rFonts w:hint="eastAsia" w:ascii="宋体" w:hAnsi="宋体" w:cs="宋体"/>
                <w:color w:val="auto"/>
                <w:szCs w:val="21"/>
                <w:highlight w:val="none"/>
              </w:rPr>
            </w:pPr>
          </w:p>
        </w:tc>
        <w:tc>
          <w:tcPr>
            <w:tcW w:w="1730" w:type="pct"/>
            <w:noWrap w:val="0"/>
            <w:vAlign w:val="center"/>
          </w:tcPr>
          <w:p w14:paraId="1E2B9750">
            <w:pPr>
              <w:keepNext/>
              <w:spacing w:line="360" w:lineRule="auto"/>
              <w:rPr>
                <w:rFonts w:hint="eastAsia" w:ascii="宋体" w:hAnsi="宋体" w:cs="宋体"/>
                <w:color w:val="auto"/>
                <w:szCs w:val="21"/>
                <w:highlight w:val="none"/>
              </w:rPr>
            </w:pPr>
          </w:p>
        </w:tc>
        <w:tc>
          <w:tcPr>
            <w:tcW w:w="896" w:type="pct"/>
            <w:noWrap w:val="0"/>
            <w:vAlign w:val="top"/>
          </w:tcPr>
          <w:p w14:paraId="4D7D1170">
            <w:pPr>
              <w:keepNext/>
              <w:spacing w:line="360" w:lineRule="auto"/>
              <w:rPr>
                <w:rFonts w:hint="eastAsia" w:ascii="宋体" w:hAnsi="宋体" w:cs="宋体"/>
                <w:color w:val="auto"/>
                <w:szCs w:val="21"/>
                <w:highlight w:val="none"/>
              </w:rPr>
            </w:pPr>
          </w:p>
        </w:tc>
      </w:tr>
      <w:tr w14:paraId="389EECB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46" w:type="pct"/>
            <w:noWrap w:val="0"/>
            <w:vAlign w:val="top"/>
          </w:tcPr>
          <w:p w14:paraId="3262C41E">
            <w:pPr>
              <w:spacing w:line="360" w:lineRule="auto"/>
              <w:rPr>
                <w:rFonts w:hint="eastAsia" w:ascii="宋体" w:hAnsi="宋体" w:cs="宋体"/>
                <w:color w:val="auto"/>
                <w:szCs w:val="22"/>
                <w:highlight w:val="none"/>
              </w:rPr>
            </w:pPr>
            <w:r>
              <w:rPr>
                <w:rFonts w:hint="eastAsia" w:ascii="宋体" w:hAnsi="宋体" w:cs="宋体"/>
                <w:color w:val="auto"/>
                <w:szCs w:val="22"/>
                <w:highlight w:val="none"/>
              </w:rPr>
              <w:t>施工员</w:t>
            </w:r>
          </w:p>
        </w:tc>
        <w:tc>
          <w:tcPr>
            <w:tcW w:w="641" w:type="pct"/>
            <w:noWrap w:val="0"/>
            <w:vAlign w:val="center"/>
          </w:tcPr>
          <w:p w14:paraId="573C31B0">
            <w:pPr>
              <w:keepNext/>
              <w:spacing w:line="360" w:lineRule="auto"/>
              <w:rPr>
                <w:rFonts w:hint="eastAsia" w:ascii="宋体" w:hAnsi="宋体" w:cs="宋体"/>
                <w:color w:val="auto"/>
                <w:szCs w:val="21"/>
                <w:highlight w:val="none"/>
              </w:rPr>
            </w:pPr>
          </w:p>
        </w:tc>
        <w:tc>
          <w:tcPr>
            <w:tcW w:w="513" w:type="pct"/>
            <w:noWrap w:val="0"/>
            <w:vAlign w:val="center"/>
          </w:tcPr>
          <w:p w14:paraId="4C76416D">
            <w:pPr>
              <w:keepNext/>
              <w:spacing w:line="360" w:lineRule="auto"/>
              <w:rPr>
                <w:rFonts w:hint="eastAsia" w:ascii="宋体" w:hAnsi="宋体" w:cs="宋体"/>
                <w:color w:val="auto"/>
                <w:szCs w:val="21"/>
                <w:highlight w:val="none"/>
              </w:rPr>
            </w:pPr>
          </w:p>
        </w:tc>
        <w:tc>
          <w:tcPr>
            <w:tcW w:w="374" w:type="pct"/>
            <w:noWrap w:val="0"/>
            <w:vAlign w:val="center"/>
          </w:tcPr>
          <w:p w14:paraId="1905AE81">
            <w:pPr>
              <w:keepNext/>
              <w:spacing w:line="360" w:lineRule="auto"/>
              <w:rPr>
                <w:rFonts w:hint="eastAsia" w:ascii="宋体" w:hAnsi="宋体" w:cs="宋体"/>
                <w:color w:val="auto"/>
                <w:szCs w:val="21"/>
                <w:highlight w:val="none"/>
              </w:rPr>
            </w:pPr>
          </w:p>
        </w:tc>
        <w:tc>
          <w:tcPr>
            <w:tcW w:w="1730" w:type="pct"/>
            <w:noWrap w:val="0"/>
            <w:vAlign w:val="center"/>
          </w:tcPr>
          <w:p w14:paraId="3C03A9F5">
            <w:pPr>
              <w:keepNext/>
              <w:spacing w:line="360" w:lineRule="auto"/>
              <w:rPr>
                <w:rFonts w:hint="eastAsia" w:ascii="宋体" w:hAnsi="宋体" w:cs="宋体"/>
                <w:color w:val="auto"/>
                <w:szCs w:val="21"/>
                <w:highlight w:val="none"/>
              </w:rPr>
            </w:pPr>
          </w:p>
        </w:tc>
        <w:tc>
          <w:tcPr>
            <w:tcW w:w="896" w:type="pct"/>
            <w:noWrap w:val="0"/>
            <w:vAlign w:val="top"/>
          </w:tcPr>
          <w:p w14:paraId="0558B03E">
            <w:pPr>
              <w:keepNext/>
              <w:spacing w:line="360" w:lineRule="auto"/>
              <w:rPr>
                <w:rFonts w:hint="eastAsia" w:ascii="宋体" w:hAnsi="宋体" w:cs="宋体"/>
                <w:color w:val="auto"/>
                <w:szCs w:val="21"/>
                <w:highlight w:val="none"/>
              </w:rPr>
            </w:pPr>
          </w:p>
        </w:tc>
      </w:tr>
      <w:tr w14:paraId="0EDE209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46" w:type="pct"/>
            <w:noWrap w:val="0"/>
            <w:vAlign w:val="top"/>
          </w:tcPr>
          <w:p w14:paraId="13C9AABF">
            <w:pPr>
              <w:spacing w:line="360" w:lineRule="auto"/>
              <w:rPr>
                <w:rFonts w:hint="eastAsia" w:ascii="宋体" w:hAnsi="宋体" w:cs="宋体"/>
                <w:color w:val="auto"/>
                <w:szCs w:val="22"/>
                <w:highlight w:val="none"/>
              </w:rPr>
            </w:pPr>
            <w:r>
              <w:rPr>
                <w:rFonts w:hint="eastAsia" w:ascii="宋体" w:hAnsi="宋体" w:cs="宋体"/>
                <w:color w:val="auto"/>
                <w:szCs w:val="22"/>
                <w:highlight w:val="none"/>
              </w:rPr>
              <w:t>质检员（质量员）</w:t>
            </w:r>
          </w:p>
        </w:tc>
        <w:tc>
          <w:tcPr>
            <w:tcW w:w="641" w:type="pct"/>
            <w:noWrap w:val="0"/>
            <w:vAlign w:val="center"/>
          </w:tcPr>
          <w:p w14:paraId="62B9C44D">
            <w:pPr>
              <w:keepNext/>
              <w:spacing w:line="360" w:lineRule="auto"/>
              <w:rPr>
                <w:rFonts w:hint="eastAsia" w:ascii="宋体" w:hAnsi="宋体" w:cs="宋体"/>
                <w:color w:val="auto"/>
                <w:szCs w:val="21"/>
                <w:highlight w:val="none"/>
              </w:rPr>
            </w:pPr>
          </w:p>
        </w:tc>
        <w:tc>
          <w:tcPr>
            <w:tcW w:w="513" w:type="pct"/>
            <w:noWrap w:val="0"/>
            <w:vAlign w:val="center"/>
          </w:tcPr>
          <w:p w14:paraId="5BD80349">
            <w:pPr>
              <w:keepNext/>
              <w:spacing w:line="360" w:lineRule="auto"/>
              <w:rPr>
                <w:rFonts w:hint="eastAsia" w:ascii="宋体" w:hAnsi="宋体" w:cs="宋体"/>
                <w:color w:val="auto"/>
                <w:szCs w:val="21"/>
                <w:highlight w:val="none"/>
              </w:rPr>
            </w:pPr>
          </w:p>
        </w:tc>
        <w:tc>
          <w:tcPr>
            <w:tcW w:w="374" w:type="pct"/>
            <w:noWrap w:val="0"/>
            <w:vAlign w:val="center"/>
          </w:tcPr>
          <w:p w14:paraId="1BE4708D">
            <w:pPr>
              <w:keepNext/>
              <w:spacing w:line="360" w:lineRule="auto"/>
              <w:rPr>
                <w:rFonts w:hint="eastAsia" w:ascii="宋体" w:hAnsi="宋体" w:cs="宋体"/>
                <w:color w:val="auto"/>
                <w:szCs w:val="21"/>
                <w:highlight w:val="none"/>
              </w:rPr>
            </w:pPr>
          </w:p>
        </w:tc>
        <w:tc>
          <w:tcPr>
            <w:tcW w:w="1730" w:type="pct"/>
            <w:noWrap w:val="0"/>
            <w:vAlign w:val="center"/>
          </w:tcPr>
          <w:p w14:paraId="6DADFEE6">
            <w:pPr>
              <w:keepNext/>
              <w:spacing w:line="360" w:lineRule="auto"/>
              <w:rPr>
                <w:rFonts w:hint="eastAsia" w:ascii="宋体" w:hAnsi="宋体" w:cs="宋体"/>
                <w:color w:val="auto"/>
                <w:szCs w:val="21"/>
                <w:highlight w:val="none"/>
              </w:rPr>
            </w:pPr>
          </w:p>
        </w:tc>
        <w:tc>
          <w:tcPr>
            <w:tcW w:w="896" w:type="pct"/>
            <w:noWrap w:val="0"/>
            <w:vAlign w:val="top"/>
          </w:tcPr>
          <w:p w14:paraId="05A8DB12">
            <w:pPr>
              <w:keepNext/>
              <w:spacing w:line="360" w:lineRule="auto"/>
              <w:rPr>
                <w:rFonts w:hint="eastAsia" w:ascii="宋体" w:hAnsi="宋体" w:cs="宋体"/>
                <w:color w:val="auto"/>
                <w:szCs w:val="21"/>
                <w:highlight w:val="none"/>
              </w:rPr>
            </w:pPr>
          </w:p>
        </w:tc>
      </w:tr>
      <w:tr w14:paraId="44D073F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46" w:type="pct"/>
            <w:noWrap w:val="0"/>
            <w:vAlign w:val="top"/>
          </w:tcPr>
          <w:p w14:paraId="22201716">
            <w:pPr>
              <w:spacing w:line="360" w:lineRule="auto"/>
              <w:rPr>
                <w:rFonts w:hint="eastAsia" w:ascii="宋体" w:hAnsi="宋体" w:cs="宋体"/>
                <w:color w:val="auto"/>
                <w:szCs w:val="22"/>
                <w:highlight w:val="none"/>
              </w:rPr>
            </w:pPr>
            <w:r>
              <w:rPr>
                <w:rFonts w:hint="eastAsia" w:ascii="宋体" w:hAnsi="宋体" w:cs="宋体"/>
                <w:color w:val="auto"/>
                <w:szCs w:val="22"/>
                <w:highlight w:val="none"/>
              </w:rPr>
              <w:t>安全员</w:t>
            </w:r>
          </w:p>
        </w:tc>
        <w:tc>
          <w:tcPr>
            <w:tcW w:w="641" w:type="pct"/>
            <w:noWrap w:val="0"/>
            <w:vAlign w:val="center"/>
          </w:tcPr>
          <w:p w14:paraId="146338BC">
            <w:pPr>
              <w:keepNext/>
              <w:spacing w:line="360" w:lineRule="auto"/>
              <w:rPr>
                <w:rFonts w:hint="eastAsia" w:ascii="宋体" w:hAnsi="宋体" w:cs="宋体"/>
                <w:color w:val="auto"/>
                <w:szCs w:val="21"/>
                <w:highlight w:val="none"/>
              </w:rPr>
            </w:pPr>
          </w:p>
        </w:tc>
        <w:tc>
          <w:tcPr>
            <w:tcW w:w="513" w:type="pct"/>
            <w:noWrap w:val="0"/>
            <w:vAlign w:val="center"/>
          </w:tcPr>
          <w:p w14:paraId="06652E14">
            <w:pPr>
              <w:keepNext/>
              <w:spacing w:line="360" w:lineRule="auto"/>
              <w:rPr>
                <w:rFonts w:hint="eastAsia" w:ascii="宋体" w:hAnsi="宋体" w:cs="宋体"/>
                <w:color w:val="auto"/>
                <w:szCs w:val="21"/>
                <w:highlight w:val="none"/>
              </w:rPr>
            </w:pPr>
          </w:p>
        </w:tc>
        <w:tc>
          <w:tcPr>
            <w:tcW w:w="374" w:type="pct"/>
            <w:noWrap w:val="0"/>
            <w:vAlign w:val="center"/>
          </w:tcPr>
          <w:p w14:paraId="21E7F6BB">
            <w:pPr>
              <w:keepNext/>
              <w:spacing w:line="360" w:lineRule="auto"/>
              <w:rPr>
                <w:rFonts w:hint="eastAsia" w:ascii="宋体" w:hAnsi="宋体" w:cs="宋体"/>
                <w:color w:val="auto"/>
                <w:szCs w:val="21"/>
                <w:highlight w:val="none"/>
              </w:rPr>
            </w:pPr>
          </w:p>
        </w:tc>
        <w:tc>
          <w:tcPr>
            <w:tcW w:w="1730" w:type="pct"/>
            <w:noWrap w:val="0"/>
            <w:vAlign w:val="center"/>
          </w:tcPr>
          <w:p w14:paraId="2C766C89">
            <w:pPr>
              <w:keepNext/>
              <w:spacing w:line="360" w:lineRule="auto"/>
              <w:rPr>
                <w:rFonts w:hint="eastAsia" w:ascii="宋体" w:hAnsi="宋体" w:cs="宋体"/>
                <w:color w:val="auto"/>
                <w:szCs w:val="21"/>
                <w:highlight w:val="none"/>
              </w:rPr>
            </w:pPr>
          </w:p>
        </w:tc>
        <w:tc>
          <w:tcPr>
            <w:tcW w:w="896" w:type="pct"/>
            <w:noWrap w:val="0"/>
            <w:vAlign w:val="top"/>
          </w:tcPr>
          <w:p w14:paraId="20F75106">
            <w:pPr>
              <w:keepNext/>
              <w:spacing w:line="360" w:lineRule="auto"/>
              <w:rPr>
                <w:rFonts w:hint="eastAsia" w:ascii="宋体" w:hAnsi="宋体" w:cs="宋体"/>
                <w:color w:val="auto"/>
                <w:szCs w:val="21"/>
                <w:highlight w:val="none"/>
              </w:rPr>
            </w:pPr>
          </w:p>
        </w:tc>
      </w:tr>
      <w:tr w14:paraId="76F22F8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46" w:type="pct"/>
            <w:noWrap w:val="0"/>
            <w:vAlign w:val="top"/>
          </w:tcPr>
          <w:p w14:paraId="2003D53E">
            <w:pPr>
              <w:spacing w:line="360" w:lineRule="auto"/>
              <w:rPr>
                <w:rFonts w:hint="eastAsia" w:ascii="宋体" w:hAnsi="宋体" w:cs="宋体"/>
                <w:color w:val="auto"/>
                <w:szCs w:val="22"/>
                <w:highlight w:val="none"/>
              </w:rPr>
            </w:pPr>
            <w:r>
              <w:rPr>
                <w:rFonts w:hint="eastAsia" w:ascii="宋体" w:hAnsi="宋体" w:cs="宋体"/>
                <w:color w:val="auto"/>
                <w:szCs w:val="22"/>
                <w:highlight w:val="none"/>
              </w:rPr>
              <w:t>资料员</w:t>
            </w:r>
          </w:p>
        </w:tc>
        <w:tc>
          <w:tcPr>
            <w:tcW w:w="641" w:type="pct"/>
            <w:noWrap w:val="0"/>
            <w:vAlign w:val="center"/>
          </w:tcPr>
          <w:p w14:paraId="43A30368">
            <w:pPr>
              <w:keepNext/>
              <w:spacing w:line="360" w:lineRule="auto"/>
              <w:rPr>
                <w:rFonts w:hint="eastAsia" w:ascii="宋体" w:hAnsi="宋体" w:cs="宋体"/>
                <w:color w:val="auto"/>
                <w:szCs w:val="21"/>
                <w:highlight w:val="none"/>
              </w:rPr>
            </w:pPr>
          </w:p>
        </w:tc>
        <w:tc>
          <w:tcPr>
            <w:tcW w:w="513" w:type="pct"/>
            <w:noWrap w:val="0"/>
            <w:vAlign w:val="center"/>
          </w:tcPr>
          <w:p w14:paraId="28CA5A65">
            <w:pPr>
              <w:keepNext/>
              <w:spacing w:line="360" w:lineRule="auto"/>
              <w:rPr>
                <w:rFonts w:hint="eastAsia" w:ascii="宋体" w:hAnsi="宋体" w:cs="宋体"/>
                <w:color w:val="auto"/>
                <w:szCs w:val="21"/>
                <w:highlight w:val="none"/>
              </w:rPr>
            </w:pPr>
          </w:p>
        </w:tc>
        <w:tc>
          <w:tcPr>
            <w:tcW w:w="374" w:type="pct"/>
            <w:noWrap w:val="0"/>
            <w:vAlign w:val="center"/>
          </w:tcPr>
          <w:p w14:paraId="3C7439E5">
            <w:pPr>
              <w:keepNext/>
              <w:spacing w:line="360" w:lineRule="auto"/>
              <w:rPr>
                <w:rFonts w:hint="eastAsia" w:ascii="宋体" w:hAnsi="宋体" w:cs="宋体"/>
                <w:color w:val="auto"/>
                <w:szCs w:val="21"/>
                <w:highlight w:val="none"/>
              </w:rPr>
            </w:pPr>
          </w:p>
        </w:tc>
        <w:tc>
          <w:tcPr>
            <w:tcW w:w="1730" w:type="pct"/>
            <w:noWrap w:val="0"/>
            <w:vAlign w:val="center"/>
          </w:tcPr>
          <w:p w14:paraId="4CDDA5BB">
            <w:pPr>
              <w:keepNext/>
              <w:spacing w:line="360" w:lineRule="auto"/>
              <w:rPr>
                <w:rFonts w:hint="eastAsia" w:ascii="宋体" w:hAnsi="宋体" w:cs="宋体"/>
                <w:color w:val="auto"/>
                <w:szCs w:val="21"/>
                <w:highlight w:val="none"/>
              </w:rPr>
            </w:pPr>
          </w:p>
        </w:tc>
        <w:tc>
          <w:tcPr>
            <w:tcW w:w="896" w:type="pct"/>
            <w:noWrap w:val="0"/>
            <w:vAlign w:val="top"/>
          </w:tcPr>
          <w:p w14:paraId="4E631971">
            <w:pPr>
              <w:keepNext/>
              <w:spacing w:line="360" w:lineRule="auto"/>
              <w:rPr>
                <w:rFonts w:hint="eastAsia" w:ascii="宋体" w:hAnsi="宋体" w:cs="宋体"/>
                <w:color w:val="auto"/>
                <w:szCs w:val="21"/>
                <w:highlight w:val="none"/>
              </w:rPr>
            </w:pPr>
          </w:p>
        </w:tc>
      </w:tr>
      <w:tr w14:paraId="0C8BC99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46" w:type="pct"/>
            <w:vMerge w:val="restart"/>
            <w:noWrap w:val="0"/>
            <w:vAlign w:val="center"/>
          </w:tcPr>
          <w:p w14:paraId="795B3C7D">
            <w:pPr>
              <w:keepNext/>
              <w:spacing w:line="360" w:lineRule="auto"/>
              <w:rPr>
                <w:rFonts w:hint="eastAsia" w:ascii="宋体" w:hAnsi="宋体" w:cs="宋体"/>
                <w:color w:val="auto"/>
                <w:szCs w:val="21"/>
                <w:highlight w:val="none"/>
              </w:rPr>
            </w:pPr>
            <w:r>
              <w:rPr>
                <w:rFonts w:hint="eastAsia" w:ascii="宋体" w:hAnsi="宋体" w:cs="宋体"/>
                <w:color w:val="auto"/>
                <w:szCs w:val="21"/>
                <w:highlight w:val="none"/>
              </w:rPr>
              <w:t>其他人员</w:t>
            </w:r>
          </w:p>
        </w:tc>
        <w:tc>
          <w:tcPr>
            <w:tcW w:w="641" w:type="pct"/>
            <w:noWrap w:val="0"/>
            <w:vAlign w:val="center"/>
          </w:tcPr>
          <w:p w14:paraId="78FC5437">
            <w:pPr>
              <w:keepNext/>
              <w:spacing w:line="360" w:lineRule="auto"/>
              <w:rPr>
                <w:rFonts w:hint="eastAsia" w:ascii="宋体" w:hAnsi="宋体" w:cs="宋体"/>
                <w:color w:val="auto"/>
                <w:szCs w:val="21"/>
                <w:highlight w:val="none"/>
              </w:rPr>
            </w:pPr>
          </w:p>
        </w:tc>
        <w:tc>
          <w:tcPr>
            <w:tcW w:w="513" w:type="pct"/>
            <w:noWrap w:val="0"/>
            <w:vAlign w:val="center"/>
          </w:tcPr>
          <w:p w14:paraId="107C6AF8">
            <w:pPr>
              <w:keepNext/>
              <w:spacing w:line="360" w:lineRule="auto"/>
              <w:rPr>
                <w:rFonts w:hint="eastAsia" w:ascii="宋体" w:hAnsi="宋体" w:cs="宋体"/>
                <w:color w:val="auto"/>
                <w:szCs w:val="21"/>
                <w:highlight w:val="none"/>
              </w:rPr>
            </w:pPr>
          </w:p>
        </w:tc>
        <w:tc>
          <w:tcPr>
            <w:tcW w:w="374" w:type="pct"/>
            <w:noWrap w:val="0"/>
            <w:vAlign w:val="center"/>
          </w:tcPr>
          <w:p w14:paraId="5982D898">
            <w:pPr>
              <w:keepNext/>
              <w:spacing w:line="360" w:lineRule="auto"/>
              <w:rPr>
                <w:rFonts w:hint="eastAsia" w:ascii="宋体" w:hAnsi="宋体" w:cs="宋体"/>
                <w:color w:val="auto"/>
                <w:szCs w:val="21"/>
                <w:highlight w:val="none"/>
              </w:rPr>
            </w:pPr>
          </w:p>
        </w:tc>
        <w:tc>
          <w:tcPr>
            <w:tcW w:w="1730" w:type="pct"/>
            <w:noWrap w:val="0"/>
            <w:vAlign w:val="center"/>
          </w:tcPr>
          <w:p w14:paraId="26AAB8F0">
            <w:pPr>
              <w:keepNext/>
              <w:spacing w:line="360" w:lineRule="auto"/>
              <w:rPr>
                <w:rFonts w:hint="eastAsia" w:ascii="宋体" w:hAnsi="宋体" w:cs="宋体"/>
                <w:color w:val="auto"/>
                <w:szCs w:val="21"/>
                <w:highlight w:val="none"/>
              </w:rPr>
            </w:pPr>
          </w:p>
        </w:tc>
        <w:tc>
          <w:tcPr>
            <w:tcW w:w="896" w:type="pct"/>
            <w:noWrap w:val="0"/>
            <w:vAlign w:val="top"/>
          </w:tcPr>
          <w:p w14:paraId="38622765">
            <w:pPr>
              <w:keepNext/>
              <w:spacing w:line="360" w:lineRule="auto"/>
              <w:rPr>
                <w:rFonts w:hint="eastAsia" w:ascii="宋体" w:hAnsi="宋体" w:cs="宋体"/>
                <w:color w:val="auto"/>
                <w:szCs w:val="21"/>
                <w:highlight w:val="none"/>
              </w:rPr>
            </w:pPr>
          </w:p>
        </w:tc>
      </w:tr>
      <w:tr w14:paraId="1242C47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46" w:type="pct"/>
            <w:vMerge w:val="continue"/>
            <w:noWrap w:val="0"/>
            <w:vAlign w:val="center"/>
          </w:tcPr>
          <w:p w14:paraId="1AE625F2">
            <w:pPr>
              <w:keepNext/>
              <w:spacing w:line="360" w:lineRule="auto"/>
              <w:rPr>
                <w:rFonts w:hint="eastAsia" w:ascii="宋体" w:hAnsi="宋体" w:cs="宋体"/>
                <w:color w:val="auto"/>
                <w:szCs w:val="21"/>
                <w:highlight w:val="none"/>
              </w:rPr>
            </w:pPr>
          </w:p>
        </w:tc>
        <w:tc>
          <w:tcPr>
            <w:tcW w:w="641" w:type="pct"/>
            <w:tcBorders>
              <w:bottom w:val="nil"/>
            </w:tcBorders>
            <w:noWrap w:val="0"/>
            <w:vAlign w:val="center"/>
          </w:tcPr>
          <w:p w14:paraId="18EFA55A">
            <w:pPr>
              <w:keepNext/>
              <w:spacing w:line="360" w:lineRule="auto"/>
              <w:rPr>
                <w:rFonts w:hint="eastAsia" w:ascii="宋体" w:hAnsi="宋体" w:cs="宋体"/>
                <w:color w:val="auto"/>
                <w:szCs w:val="21"/>
                <w:highlight w:val="none"/>
              </w:rPr>
            </w:pPr>
          </w:p>
        </w:tc>
        <w:tc>
          <w:tcPr>
            <w:tcW w:w="513" w:type="pct"/>
            <w:tcBorders>
              <w:bottom w:val="nil"/>
            </w:tcBorders>
            <w:noWrap w:val="0"/>
            <w:vAlign w:val="center"/>
          </w:tcPr>
          <w:p w14:paraId="75DEF166">
            <w:pPr>
              <w:keepNext/>
              <w:spacing w:line="360" w:lineRule="auto"/>
              <w:rPr>
                <w:rFonts w:hint="eastAsia" w:ascii="宋体" w:hAnsi="宋体" w:cs="宋体"/>
                <w:color w:val="auto"/>
                <w:szCs w:val="21"/>
                <w:highlight w:val="none"/>
              </w:rPr>
            </w:pPr>
          </w:p>
        </w:tc>
        <w:tc>
          <w:tcPr>
            <w:tcW w:w="374" w:type="pct"/>
            <w:tcBorders>
              <w:bottom w:val="nil"/>
            </w:tcBorders>
            <w:noWrap w:val="0"/>
            <w:vAlign w:val="center"/>
          </w:tcPr>
          <w:p w14:paraId="17EDA1AF">
            <w:pPr>
              <w:keepNext/>
              <w:spacing w:line="360" w:lineRule="auto"/>
              <w:rPr>
                <w:rFonts w:hint="eastAsia" w:ascii="宋体" w:hAnsi="宋体" w:cs="宋体"/>
                <w:color w:val="auto"/>
                <w:szCs w:val="21"/>
                <w:highlight w:val="none"/>
              </w:rPr>
            </w:pPr>
          </w:p>
        </w:tc>
        <w:tc>
          <w:tcPr>
            <w:tcW w:w="1730" w:type="pct"/>
            <w:tcBorders>
              <w:bottom w:val="nil"/>
            </w:tcBorders>
            <w:noWrap w:val="0"/>
            <w:vAlign w:val="center"/>
          </w:tcPr>
          <w:p w14:paraId="3D072168">
            <w:pPr>
              <w:keepNext/>
              <w:spacing w:line="360" w:lineRule="auto"/>
              <w:rPr>
                <w:rFonts w:hint="eastAsia" w:ascii="宋体" w:hAnsi="宋体" w:cs="宋体"/>
                <w:color w:val="auto"/>
                <w:szCs w:val="21"/>
                <w:highlight w:val="none"/>
              </w:rPr>
            </w:pPr>
          </w:p>
        </w:tc>
        <w:tc>
          <w:tcPr>
            <w:tcW w:w="896" w:type="pct"/>
            <w:tcBorders>
              <w:bottom w:val="nil"/>
            </w:tcBorders>
            <w:noWrap w:val="0"/>
            <w:vAlign w:val="top"/>
          </w:tcPr>
          <w:p w14:paraId="5C36A08F">
            <w:pPr>
              <w:keepNext/>
              <w:spacing w:line="360" w:lineRule="auto"/>
              <w:rPr>
                <w:rFonts w:hint="eastAsia" w:ascii="宋体" w:hAnsi="宋体" w:cs="宋体"/>
                <w:color w:val="auto"/>
                <w:szCs w:val="21"/>
                <w:highlight w:val="none"/>
              </w:rPr>
            </w:pPr>
          </w:p>
        </w:tc>
      </w:tr>
      <w:tr w14:paraId="6DBAFD4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46" w:type="pct"/>
            <w:vMerge w:val="continue"/>
            <w:noWrap w:val="0"/>
            <w:vAlign w:val="center"/>
          </w:tcPr>
          <w:p w14:paraId="1A718956">
            <w:pPr>
              <w:keepNext/>
              <w:spacing w:line="360" w:lineRule="auto"/>
              <w:rPr>
                <w:rFonts w:hint="eastAsia" w:ascii="宋体" w:hAnsi="宋体" w:cs="宋体"/>
                <w:color w:val="auto"/>
                <w:szCs w:val="21"/>
                <w:highlight w:val="none"/>
              </w:rPr>
            </w:pPr>
          </w:p>
        </w:tc>
        <w:tc>
          <w:tcPr>
            <w:tcW w:w="641" w:type="pct"/>
            <w:noWrap w:val="0"/>
            <w:vAlign w:val="center"/>
          </w:tcPr>
          <w:p w14:paraId="6774367C">
            <w:pPr>
              <w:keepNext/>
              <w:spacing w:line="360" w:lineRule="auto"/>
              <w:rPr>
                <w:rFonts w:hint="eastAsia" w:ascii="宋体" w:hAnsi="宋体" w:cs="宋体"/>
                <w:color w:val="auto"/>
                <w:szCs w:val="21"/>
                <w:highlight w:val="none"/>
              </w:rPr>
            </w:pPr>
          </w:p>
        </w:tc>
        <w:tc>
          <w:tcPr>
            <w:tcW w:w="513" w:type="pct"/>
            <w:noWrap w:val="0"/>
            <w:vAlign w:val="center"/>
          </w:tcPr>
          <w:p w14:paraId="79AD48F6">
            <w:pPr>
              <w:keepNext/>
              <w:spacing w:line="360" w:lineRule="auto"/>
              <w:rPr>
                <w:rFonts w:hint="eastAsia" w:ascii="宋体" w:hAnsi="宋体" w:cs="宋体"/>
                <w:color w:val="auto"/>
                <w:szCs w:val="21"/>
                <w:highlight w:val="none"/>
              </w:rPr>
            </w:pPr>
          </w:p>
        </w:tc>
        <w:tc>
          <w:tcPr>
            <w:tcW w:w="374" w:type="pct"/>
            <w:noWrap w:val="0"/>
            <w:vAlign w:val="center"/>
          </w:tcPr>
          <w:p w14:paraId="3435CFE4">
            <w:pPr>
              <w:keepNext/>
              <w:spacing w:line="360" w:lineRule="auto"/>
              <w:rPr>
                <w:rFonts w:hint="eastAsia" w:ascii="宋体" w:hAnsi="宋体" w:cs="宋体"/>
                <w:color w:val="auto"/>
                <w:szCs w:val="21"/>
                <w:highlight w:val="none"/>
              </w:rPr>
            </w:pPr>
          </w:p>
        </w:tc>
        <w:tc>
          <w:tcPr>
            <w:tcW w:w="1730" w:type="pct"/>
            <w:noWrap w:val="0"/>
            <w:vAlign w:val="center"/>
          </w:tcPr>
          <w:p w14:paraId="111740E0">
            <w:pPr>
              <w:keepNext/>
              <w:spacing w:line="360" w:lineRule="auto"/>
              <w:rPr>
                <w:rFonts w:hint="eastAsia" w:ascii="宋体" w:hAnsi="宋体" w:cs="宋体"/>
                <w:color w:val="auto"/>
                <w:szCs w:val="21"/>
                <w:highlight w:val="none"/>
              </w:rPr>
            </w:pPr>
          </w:p>
        </w:tc>
        <w:tc>
          <w:tcPr>
            <w:tcW w:w="896" w:type="pct"/>
            <w:noWrap w:val="0"/>
            <w:vAlign w:val="top"/>
          </w:tcPr>
          <w:p w14:paraId="5F1E93D9">
            <w:pPr>
              <w:keepNext/>
              <w:spacing w:line="360" w:lineRule="auto"/>
              <w:rPr>
                <w:rFonts w:hint="eastAsia" w:ascii="宋体" w:hAnsi="宋体" w:cs="宋体"/>
                <w:color w:val="auto"/>
                <w:szCs w:val="21"/>
                <w:highlight w:val="none"/>
              </w:rPr>
            </w:pPr>
          </w:p>
        </w:tc>
      </w:tr>
      <w:tr w14:paraId="2036551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46" w:type="pct"/>
            <w:vMerge w:val="continue"/>
            <w:noWrap w:val="0"/>
            <w:vAlign w:val="center"/>
          </w:tcPr>
          <w:p w14:paraId="3CC0408F">
            <w:pPr>
              <w:keepNext/>
              <w:spacing w:line="360" w:lineRule="auto"/>
              <w:rPr>
                <w:rFonts w:hint="eastAsia" w:ascii="宋体" w:hAnsi="宋体" w:cs="宋体"/>
                <w:color w:val="auto"/>
                <w:szCs w:val="21"/>
                <w:highlight w:val="none"/>
              </w:rPr>
            </w:pPr>
          </w:p>
        </w:tc>
        <w:tc>
          <w:tcPr>
            <w:tcW w:w="641" w:type="pct"/>
            <w:noWrap w:val="0"/>
            <w:vAlign w:val="center"/>
          </w:tcPr>
          <w:p w14:paraId="1A23BCF7">
            <w:pPr>
              <w:keepNext/>
              <w:spacing w:line="360" w:lineRule="auto"/>
              <w:rPr>
                <w:rFonts w:hint="eastAsia" w:ascii="宋体" w:hAnsi="宋体" w:cs="宋体"/>
                <w:color w:val="auto"/>
                <w:szCs w:val="21"/>
                <w:highlight w:val="none"/>
              </w:rPr>
            </w:pPr>
          </w:p>
        </w:tc>
        <w:tc>
          <w:tcPr>
            <w:tcW w:w="513" w:type="pct"/>
            <w:noWrap w:val="0"/>
            <w:vAlign w:val="center"/>
          </w:tcPr>
          <w:p w14:paraId="5190AFB6">
            <w:pPr>
              <w:keepNext/>
              <w:spacing w:line="360" w:lineRule="auto"/>
              <w:rPr>
                <w:rFonts w:hint="eastAsia" w:ascii="宋体" w:hAnsi="宋体" w:cs="宋体"/>
                <w:color w:val="auto"/>
                <w:szCs w:val="21"/>
                <w:highlight w:val="none"/>
              </w:rPr>
            </w:pPr>
          </w:p>
        </w:tc>
        <w:tc>
          <w:tcPr>
            <w:tcW w:w="374" w:type="pct"/>
            <w:noWrap w:val="0"/>
            <w:vAlign w:val="center"/>
          </w:tcPr>
          <w:p w14:paraId="0A697DF7">
            <w:pPr>
              <w:keepNext/>
              <w:spacing w:line="360" w:lineRule="auto"/>
              <w:rPr>
                <w:rFonts w:hint="eastAsia" w:ascii="宋体" w:hAnsi="宋体" w:cs="宋体"/>
                <w:color w:val="auto"/>
                <w:szCs w:val="21"/>
                <w:highlight w:val="none"/>
              </w:rPr>
            </w:pPr>
          </w:p>
        </w:tc>
        <w:tc>
          <w:tcPr>
            <w:tcW w:w="1730" w:type="pct"/>
            <w:noWrap w:val="0"/>
            <w:vAlign w:val="center"/>
          </w:tcPr>
          <w:p w14:paraId="4710C6AD">
            <w:pPr>
              <w:keepNext/>
              <w:spacing w:line="360" w:lineRule="auto"/>
              <w:rPr>
                <w:rFonts w:hint="eastAsia" w:ascii="宋体" w:hAnsi="宋体" w:cs="宋体"/>
                <w:color w:val="auto"/>
                <w:szCs w:val="21"/>
                <w:highlight w:val="none"/>
              </w:rPr>
            </w:pPr>
          </w:p>
        </w:tc>
        <w:tc>
          <w:tcPr>
            <w:tcW w:w="896" w:type="pct"/>
            <w:noWrap w:val="0"/>
            <w:vAlign w:val="top"/>
          </w:tcPr>
          <w:p w14:paraId="44C42A9C">
            <w:pPr>
              <w:keepNext/>
              <w:spacing w:line="360" w:lineRule="auto"/>
              <w:rPr>
                <w:rFonts w:hint="eastAsia" w:ascii="宋体" w:hAnsi="宋体" w:cs="宋体"/>
                <w:color w:val="auto"/>
                <w:szCs w:val="21"/>
                <w:highlight w:val="none"/>
              </w:rPr>
            </w:pPr>
          </w:p>
        </w:tc>
      </w:tr>
      <w:tr w14:paraId="1F3BC89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46" w:type="pct"/>
            <w:vMerge w:val="continue"/>
            <w:noWrap w:val="0"/>
            <w:vAlign w:val="center"/>
          </w:tcPr>
          <w:p w14:paraId="68A70479">
            <w:pPr>
              <w:keepNext/>
              <w:spacing w:line="360" w:lineRule="auto"/>
              <w:rPr>
                <w:rFonts w:hint="eastAsia" w:ascii="宋体" w:hAnsi="宋体" w:cs="宋体"/>
                <w:color w:val="auto"/>
                <w:szCs w:val="21"/>
                <w:highlight w:val="none"/>
              </w:rPr>
            </w:pPr>
          </w:p>
        </w:tc>
        <w:tc>
          <w:tcPr>
            <w:tcW w:w="641" w:type="pct"/>
            <w:noWrap w:val="0"/>
            <w:vAlign w:val="center"/>
          </w:tcPr>
          <w:p w14:paraId="1E59129D">
            <w:pPr>
              <w:keepNext/>
              <w:spacing w:line="360" w:lineRule="auto"/>
              <w:rPr>
                <w:rFonts w:hint="eastAsia" w:ascii="宋体" w:hAnsi="宋体" w:cs="宋体"/>
                <w:color w:val="auto"/>
                <w:szCs w:val="21"/>
                <w:highlight w:val="none"/>
              </w:rPr>
            </w:pPr>
          </w:p>
        </w:tc>
        <w:tc>
          <w:tcPr>
            <w:tcW w:w="513" w:type="pct"/>
            <w:noWrap w:val="0"/>
            <w:vAlign w:val="center"/>
          </w:tcPr>
          <w:p w14:paraId="1C3ADE05">
            <w:pPr>
              <w:keepNext/>
              <w:spacing w:line="360" w:lineRule="auto"/>
              <w:rPr>
                <w:rFonts w:hint="eastAsia" w:ascii="宋体" w:hAnsi="宋体" w:cs="宋体"/>
                <w:color w:val="auto"/>
                <w:szCs w:val="21"/>
                <w:highlight w:val="none"/>
              </w:rPr>
            </w:pPr>
          </w:p>
        </w:tc>
        <w:tc>
          <w:tcPr>
            <w:tcW w:w="374" w:type="pct"/>
            <w:noWrap w:val="0"/>
            <w:vAlign w:val="center"/>
          </w:tcPr>
          <w:p w14:paraId="7B662B55">
            <w:pPr>
              <w:keepNext/>
              <w:spacing w:line="360" w:lineRule="auto"/>
              <w:rPr>
                <w:rFonts w:hint="eastAsia" w:ascii="宋体" w:hAnsi="宋体" w:cs="宋体"/>
                <w:color w:val="auto"/>
                <w:szCs w:val="21"/>
                <w:highlight w:val="none"/>
              </w:rPr>
            </w:pPr>
          </w:p>
        </w:tc>
        <w:tc>
          <w:tcPr>
            <w:tcW w:w="1730" w:type="pct"/>
            <w:noWrap w:val="0"/>
            <w:vAlign w:val="center"/>
          </w:tcPr>
          <w:p w14:paraId="5532B4E8">
            <w:pPr>
              <w:keepNext/>
              <w:spacing w:line="360" w:lineRule="auto"/>
              <w:rPr>
                <w:rFonts w:hint="eastAsia" w:ascii="宋体" w:hAnsi="宋体" w:cs="宋体"/>
                <w:color w:val="auto"/>
                <w:szCs w:val="21"/>
                <w:highlight w:val="none"/>
              </w:rPr>
            </w:pPr>
          </w:p>
        </w:tc>
        <w:tc>
          <w:tcPr>
            <w:tcW w:w="896" w:type="pct"/>
            <w:noWrap w:val="0"/>
            <w:vAlign w:val="top"/>
          </w:tcPr>
          <w:p w14:paraId="4F12449A">
            <w:pPr>
              <w:keepNext/>
              <w:spacing w:line="360" w:lineRule="auto"/>
              <w:rPr>
                <w:rFonts w:hint="eastAsia" w:ascii="宋体" w:hAnsi="宋体" w:cs="宋体"/>
                <w:color w:val="auto"/>
                <w:szCs w:val="21"/>
                <w:highlight w:val="none"/>
              </w:rPr>
            </w:pPr>
          </w:p>
        </w:tc>
      </w:tr>
      <w:tr w14:paraId="67B22B2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46" w:type="pct"/>
            <w:vMerge w:val="continue"/>
            <w:tcBorders>
              <w:bottom w:val="single" w:color="auto" w:sz="12" w:space="0"/>
            </w:tcBorders>
            <w:noWrap w:val="0"/>
            <w:vAlign w:val="center"/>
          </w:tcPr>
          <w:p w14:paraId="488B55DA">
            <w:pPr>
              <w:keepNext/>
              <w:spacing w:line="360" w:lineRule="auto"/>
              <w:rPr>
                <w:rFonts w:hint="eastAsia" w:ascii="宋体" w:hAnsi="宋体" w:cs="宋体"/>
                <w:color w:val="auto"/>
                <w:szCs w:val="21"/>
                <w:highlight w:val="none"/>
              </w:rPr>
            </w:pPr>
          </w:p>
        </w:tc>
        <w:tc>
          <w:tcPr>
            <w:tcW w:w="641" w:type="pct"/>
            <w:tcBorders>
              <w:bottom w:val="single" w:color="auto" w:sz="12" w:space="0"/>
            </w:tcBorders>
            <w:noWrap w:val="0"/>
            <w:vAlign w:val="center"/>
          </w:tcPr>
          <w:p w14:paraId="66F0D4B0">
            <w:pPr>
              <w:keepNext/>
              <w:spacing w:line="360" w:lineRule="auto"/>
              <w:rPr>
                <w:rFonts w:hint="eastAsia" w:ascii="宋体" w:hAnsi="宋体" w:cs="宋体"/>
                <w:color w:val="auto"/>
                <w:szCs w:val="21"/>
                <w:highlight w:val="none"/>
              </w:rPr>
            </w:pPr>
          </w:p>
        </w:tc>
        <w:tc>
          <w:tcPr>
            <w:tcW w:w="513" w:type="pct"/>
            <w:tcBorders>
              <w:bottom w:val="single" w:color="auto" w:sz="12" w:space="0"/>
            </w:tcBorders>
            <w:noWrap w:val="0"/>
            <w:vAlign w:val="center"/>
          </w:tcPr>
          <w:p w14:paraId="300E5678">
            <w:pPr>
              <w:keepNext/>
              <w:spacing w:line="360" w:lineRule="auto"/>
              <w:rPr>
                <w:rFonts w:hint="eastAsia" w:ascii="宋体" w:hAnsi="宋体" w:cs="宋体"/>
                <w:color w:val="auto"/>
                <w:szCs w:val="21"/>
                <w:highlight w:val="none"/>
              </w:rPr>
            </w:pPr>
          </w:p>
        </w:tc>
        <w:tc>
          <w:tcPr>
            <w:tcW w:w="374" w:type="pct"/>
            <w:tcBorders>
              <w:bottom w:val="single" w:color="auto" w:sz="12" w:space="0"/>
            </w:tcBorders>
            <w:noWrap w:val="0"/>
            <w:vAlign w:val="center"/>
          </w:tcPr>
          <w:p w14:paraId="5024FEBA">
            <w:pPr>
              <w:keepNext/>
              <w:spacing w:line="360" w:lineRule="auto"/>
              <w:rPr>
                <w:rFonts w:hint="eastAsia" w:ascii="宋体" w:hAnsi="宋体" w:cs="宋体"/>
                <w:color w:val="auto"/>
                <w:szCs w:val="21"/>
                <w:highlight w:val="none"/>
              </w:rPr>
            </w:pPr>
          </w:p>
        </w:tc>
        <w:tc>
          <w:tcPr>
            <w:tcW w:w="1730" w:type="pct"/>
            <w:tcBorders>
              <w:bottom w:val="single" w:color="auto" w:sz="12" w:space="0"/>
            </w:tcBorders>
            <w:noWrap w:val="0"/>
            <w:vAlign w:val="center"/>
          </w:tcPr>
          <w:p w14:paraId="6F125130">
            <w:pPr>
              <w:keepNext/>
              <w:spacing w:line="360" w:lineRule="auto"/>
              <w:rPr>
                <w:rFonts w:hint="eastAsia" w:ascii="宋体" w:hAnsi="宋体" w:cs="宋体"/>
                <w:color w:val="auto"/>
                <w:szCs w:val="21"/>
                <w:highlight w:val="none"/>
              </w:rPr>
            </w:pPr>
          </w:p>
        </w:tc>
        <w:tc>
          <w:tcPr>
            <w:tcW w:w="896" w:type="pct"/>
            <w:tcBorders>
              <w:bottom w:val="single" w:color="auto" w:sz="12" w:space="0"/>
            </w:tcBorders>
            <w:noWrap w:val="0"/>
            <w:vAlign w:val="top"/>
          </w:tcPr>
          <w:p w14:paraId="145C487F">
            <w:pPr>
              <w:keepNext/>
              <w:spacing w:line="360" w:lineRule="auto"/>
              <w:rPr>
                <w:rFonts w:hint="eastAsia" w:ascii="宋体" w:hAnsi="宋体" w:cs="宋体"/>
                <w:color w:val="auto"/>
                <w:szCs w:val="21"/>
                <w:highlight w:val="none"/>
              </w:rPr>
            </w:pPr>
          </w:p>
        </w:tc>
      </w:tr>
    </w:tbl>
    <w:p w14:paraId="6DE6886F">
      <w:pPr>
        <w:keepNext/>
        <w:keepLines/>
        <w:spacing w:before="120" w:after="120" w:line="360" w:lineRule="auto"/>
        <w:jc w:val="left"/>
        <w:outlineLvl w:val="2"/>
        <w:rPr>
          <w:rFonts w:hint="eastAsia" w:ascii="宋体" w:hAnsi="宋体" w:cs="宋体"/>
          <w:bCs/>
          <w:color w:val="auto"/>
          <w:sz w:val="24"/>
          <w:highlight w:val="none"/>
        </w:rPr>
      </w:pPr>
      <w:r>
        <w:rPr>
          <w:rFonts w:hint="eastAsia" w:ascii="宋体" w:hAnsi="宋体" w:cs="宋体"/>
          <w:bCs/>
          <w:color w:val="auto"/>
          <w:sz w:val="24"/>
          <w:highlight w:val="none"/>
        </w:rPr>
        <w:br w:type="page"/>
      </w:r>
      <w:bookmarkStart w:id="899" w:name="_Toc95223495"/>
      <w:bookmarkStart w:id="900" w:name="_Toc7655"/>
      <w:bookmarkStart w:id="901" w:name="_Toc25726"/>
      <w:r>
        <w:rPr>
          <w:rFonts w:hint="eastAsia" w:ascii="宋体" w:hAnsi="宋体" w:cs="宋体"/>
          <w:bCs/>
          <w:color w:val="auto"/>
          <w:sz w:val="24"/>
          <w:highlight w:val="none"/>
        </w:rPr>
        <w:t>附</w:t>
      </w:r>
      <w:bookmarkStart w:id="902" w:name="_Toc296944570"/>
      <w:bookmarkStart w:id="903" w:name="_Toc296891271"/>
      <w:bookmarkStart w:id="904" w:name="_Toc296346732"/>
      <w:bookmarkStart w:id="905" w:name="_Toc296891059"/>
      <w:bookmarkStart w:id="906" w:name="_Toc296503231"/>
      <w:bookmarkStart w:id="907" w:name="_Toc296347230"/>
      <w:r>
        <w:rPr>
          <w:rFonts w:hint="eastAsia" w:ascii="宋体" w:hAnsi="宋体" w:cs="宋体"/>
          <w:bCs/>
          <w:color w:val="auto"/>
          <w:sz w:val="24"/>
          <w:highlight w:val="none"/>
        </w:rPr>
        <w:t>件8：廉政协议</w:t>
      </w:r>
      <w:bookmarkEnd w:id="899"/>
      <w:bookmarkEnd w:id="900"/>
      <w:bookmarkEnd w:id="901"/>
    </w:p>
    <w:bookmarkEnd w:id="902"/>
    <w:bookmarkEnd w:id="903"/>
    <w:bookmarkEnd w:id="904"/>
    <w:bookmarkEnd w:id="905"/>
    <w:bookmarkEnd w:id="906"/>
    <w:bookmarkEnd w:id="907"/>
    <w:p w14:paraId="3F405457">
      <w:pPr>
        <w:widowControl/>
        <w:spacing w:line="360" w:lineRule="auto"/>
        <w:ind w:firstLine="641"/>
        <w:jc w:val="center"/>
        <w:rPr>
          <w:rFonts w:hint="eastAsia" w:ascii="宋体" w:hAnsi="宋体" w:cs="宋体"/>
          <w:b/>
          <w:bCs/>
          <w:color w:val="auto"/>
          <w:kern w:val="0"/>
          <w:sz w:val="32"/>
          <w:szCs w:val="32"/>
          <w:highlight w:val="none"/>
        </w:rPr>
      </w:pPr>
      <w:bookmarkStart w:id="908" w:name="_Toc9808"/>
      <w:bookmarkStart w:id="909" w:name="_Toc7607"/>
      <w:bookmarkStart w:id="910" w:name="_Toc95223496"/>
      <w:r>
        <w:rPr>
          <w:rFonts w:hint="eastAsia" w:ascii="宋体" w:hAnsi="宋体" w:cs="宋体"/>
          <w:b/>
          <w:bCs/>
          <w:color w:val="auto"/>
          <w:kern w:val="0"/>
          <w:sz w:val="32"/>
          <w:szCs w:val="32"/>
          <w:highlight w:val="none"/>
        </w:rPr>
        <w:t>廉 政 协 议</w:t>
      </w:r>
      <w:bookmarkEnd w:id="908"/>
      <w:bookmarkEnd w:id="909"/>
      <w:bookmarkEnd w:id="910"/>
    </w:p>
    <w:p w14:paraId="7E5DF8F2">
      <w:pPr>
        <w:widowControl/>
        <w:spacing w:line="360"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为促进双方诚信经营、廉洁从业，防范商业贿赂，保护国家、集体和当事人的合法权益，根据国家有关法律法规和安徽省、项目所在地廉政建设的规定，</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(以下称甲方)与</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(以下称乙方)，特此订立本协议共同遵照执行。</w:t>
      </w:r>
    </w:p>
    <w:p w14:paraId="61EDAF90">
      <w:pPr>
        <w:widowControl/>
        <w:spacing w:line="360" w:lineRule="auto"/>
        <w:ind w:firstLine="420" w:firstLineChars="200"/>
        <w:jc w:val="left"/>
        <w:rPr>
          <w:rFonts w:hint="eastAsia" w:ascii="宋体" w:hAnsi="宋体" w:cs="宋体"/>
          <w:color w:val="auto"/>
          <w:kern w:val="0"/>
          <w:szCs w:val="21"/>
          <w:highlight w:val="none"/>
        </w:rPr>
      </w:pPr>
      <w:bookmarkStart w:id="911" w:name="_Toc95223497"/>
      <w:bookmarkStart w:id="912" w:name="_Toc9888"/>
      <w:bookmarkStart w:id="913" w:name="_Toc21306"/>
      <w:r>
        <w:rPr>
          <w:rFonts w:hint="eastAsia" w:ascii="宋体" w:hAnsi="宋体" w:cs="宋体"/>
          <w:color w:val="auto"/>
          <w:kern w:val="0"/>
          <w:szCs w:val="21"/>
          <w:highlight w:val="none"/>
        </w:rPr>
        <w:t>第一条 甲乙双方的权利和义务</w:t>
      </w:r>
      <w:bookmarkEnd w:id="911"/>
      <w:bookmarkEnd w:id="912"/>
      <w:bookmarkEnd w:id="913"/>
    </w:p>
    <w:p w14:paraId="0C3A26A4">
      <w:pPr>
        <w:widowControl/>
        <w:spacing w:line="360"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一）甲乙双方自觉遵守《中华人民共和国反不正当竞争法》、国家工商行政管理局《关于禁止商业贿赂行为的暂行规定》、国家最高人民检察院、最高人民法院《关于办理受贿刑事案件适用法律若干问题的意见》及相关法律法规和廉政建设的规定。</w:t>
      </w:r>
    </w:p>
    <w:p w14:paraId="1CE2AE5F">
      <w:pPr>
        <w:widowControl/>
        <w:spacing w:line="360"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（二）严格执行</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的合同要求，自觉履行合同约定的相关义务。</w:t>
      </w:r>
    </w:p>
    <w:p w14:paraId="477C61C0">
      <w:pPr>
        <w:widowControl/>
        <w:spacing w:line="360"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（三）在业务活动中坚持公开、公正、诚信、透明的原则，不得损害国家、集体利益。</w:t>
      </w:r>
    </w:p>
    <w:p w14:paraId="4BAAC7D4">
      <w:pPr>
        <w:widowControl/>
        <w:spacing w:line="360"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（四）建立健全廉政制度，开展廉政教育，公布举报电话，监督并认真查处违法违纪行为。</w:t>
      </w:r>
    </w:p>
    <w:p w14:paraId="554A90D5">
      <w:pPr>
        <w:widowControl/>
        <w:spacing w:line="360"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（五）发现对方在业务活动中有违反廉政规定的行为，应及时提醒对方纠正。情节严重的，应向其上级有关部门举报、建议给予处理，并有权要求告知处理结果。</w:t>
      </w:r>
    </w:p>
    <w:p w14:paraId="2F378BA1">
      <w:pPr>
        <w:widowControl/>
        <w:spacing w:line="360" w:lineRule="auto"/>
        <w:ind w:firstLine="420" w:firstLineChars="200"/>
        <w:jc w:val="left"/>
        <w:rPr>
          <w:rFonts w:hint="eastAsia" w:ascii="宋体" w:hAnsi="宋体" w:cs="宋体"/>
          <w:color w:val="auto"/>
          <w:kern w:val="0"/>
          <w:szCs w:val="21"/>
          <w:highlight w:val="none"/>
        </w:rPr>
      </w:pPr>
      <w:bookmarkStart w:id="914" w:name="_Toc95223498"/>
      <w:bookmarkStart w:id="915" w:name="_Toc1917"/>
      <w:bookmarkStart w:id="916" w:name="_Toc3866"/>
      <w:r>
        <w:rPr>
          <w:rFonts w:hint="eastAsia" w:ascii="宋体" w:hAnsi="宋体" w:cs="宋体"/>
          <w:color w:val="auto"/>
          <w:kern w:val="0"/>
          <w:szCs w:val="21"/>
          <w:highlight w:val="none"/>
        </w:rPr>
        <w:t>第二条 甲方的义务</w:t>
      </w:r>
      <w:bookmarkEnd w:id="914"/>
      <w:bookmarkEnd w:id="915"/>
      <w:bookmarkEnd w:id="916"/>
    </w:p>
    <w:p w14:paraId="7661A700">
      <w:pPr>
        <w:widowControl/>
        <w:spacing w:line="360" w:lineRule="auto"/>
        <w:ind w:firstLine="525" w:firstLineChars="25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(一)甲方及其工作人员不得索要或接受乙方的礼金、有价证券和贵重物品，不得在乙方报销任何应由甲方单位或个人支付的费用等。</w:t>
      </w:r>
    </w:p>
    <w:p w14:paraId="1F06C4FF">
      <w:pPr>
        <w:widowControl/>
        <w:spacing w:line="360"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二）甲方工作人员不得参加乙方安排的可能影响相关业务公开、公正、公平性的宴请和娱乐活动；不得参与任何形式的赌博，严禁通过赌博方式取得乙方及其工作人员的财物；不得接受乙方提供的通讯工具和高档办公用品等。</w:t>
      </w:r>
    </w:p>
    <w:p w14:paraId="5F59BBD1">
      <w:pPr>
        <w:widowControl/>
        <w:spacing w:line="360"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（三） 甲方及其工作人员不得要求或者接受乙方为其住房装修、婚丧嫁娶活动、配偶子女工作安排以及出国出境、旅游等提供方便等。</w:t>
      </w:r>
    </w:p>
    <w:p w14:paraId="2A1E9BDE">
      <w:pPr>
        <w:widowControl/>
        <w:spacing w:line="360"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（四） 甲方工作人员不得在乙方有股权关联的企业兼职，不得向乙方介绍家属或者亲友从事与甲方业务有关的经济活动。</w:t>
      </w:r>
    </w:p>
    <w:p w14:paraId="3BA0AB57">
      <w:pPr>
        <w:widowControl/>
        <w:spacing w:line="360"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（五）甲方工作人员不得以明显低于市场的价格向乙方购买房屋、汽车等物品；不得以明显高于市场的价格向乙方出售房屋、汽车等物品；不得以其他交易形式非法收受请托人财物。</w:t>
      </w:r>
    </w:p>
    <w:p w14:paraId="76F182AB">
      <w:pPr>
        <w:widowControl/>
        <w:spacing w:line="360"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（六）甲方工作人员不得利用职务之便收受乙方以回扣、手续费、加班费、咨询费、劳务费、协调费、辛苦费等各种名义给予或赠送的钱物。</w:t>
      </w:r>
    </w:p>
    <w:p w14:paraId="0CB56910">
      <w:pPr>
        <w:widowControl/>
        <w:spacing w:line="360"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（七）甲方工作人员不得接受乙方给予或赠送的干股或红利。</w:t>
      </w:r>
    </w:p>
    <w:p w14:paraId="40486B9D">
      <w:pPr>
        <w:widowControl/>
        <w:spacing w:line="360"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（八）甲方任何人不得以个人的名义向乙方推荐设备、部件等供货商以及其他合作单位。</w:t>
      </w:r>
    </w:p>
    <w:p w14:paraId="2BA96BA5">
      <w:pPr>
        <w:widowControl/>
        <w:spacing w:line="360" w:lineRule="auto"/>
        <w:ind w:firstLine="420" w:firstLineChars="200"/>
        <w:jc w:val="left"/>
        <w:rPr>
          <w:rFonts w:hint="eastAsia" w:ascii="宋体" w:hAnsi="宋体" w:cs="宋体"/>
          <w:color w:val="auto"/>
          <w:kern w:val="0"/>
          <w:szCs w:val="21"/>
          <w:highlight w:val="none"/>
        </w:rPr>
      </w:pPr>
      <w:bookmarkStart w:id="917" w:name="_Toc20831"/>
      <w:bookmarkStart w:id="918" w:name="_Toc10556"/>
      <w:bookmarkStart w:id="919" w:name="_Toc95223499"/>
      <w:r>
        <w:rPr>
          <w:rFonts w:hint="eastAsia" w:ascii="宋体" w:hAnsi="宋体" w:cs="宋体"/>
          <w:color w:val="auto"/>
          <w:kern w:val="0"/>
          <w:szCs w:val="21"/>
          <w:highlight w:val="none"/>
        </w:rPr>
        <w:t>第三条 乙方的义务</w:t>
      </w:r>
      <w:bookmarkEnd w:id="917"/>
      <w:bookmarkEnd w:id="918"/>
      <w:bookmarkEnd w:id="919"/>
    </w:p>
    <w:p w14:paraId="0D5C5A9A">
      <w:pPr>
        <w:widowControl/>
        <w:spacing w:line="360" w:lineRule="auto"/>
        <w:ind w:firstLine="525" w:firstLineChars="25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(一)乙方不得以任何理由向甲方及其工作人员行贿或馈赠礼金、有价证券、贵重礼品。</w:t>
      </w:r>
    </w:p>
    <w:p w14:paraId="43C73AB3">
      <w:pPr>
        <w:widowControl/>
        <w:spacing w:line="360"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（二)乙方不得以任何名义为甲方及其工作人员报销应由甲方单位或个人支付的任何费用。</w:t>
      </w:r>
    </w:p>
    <w:p w14:paraId="6A046270">
      <w:pPr>
        <w:widowControl/>
        <w:spacing w:line="360"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(三)乙方不得以任何理由安排甲方工作人员参加可能影响相关业务公开、公正、公平性的宴请及娱乐活动。</w:t>
      </w:r>
    </w:p>
    <w:p w14:paraId="65084392">
      <w:pPr>
        <w:widowControl/>
        <w:spacing w:line="360"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（四）乙方不得为甲方单位和个人购置或提供通讯工具和高档办公用品等物品，也不得为甲方提供与工作无关的房屋、汽车等。</w:t>
      </w:r>
    </w:p>
    <w:p w14:paraId="7D494AED">
      <w:pPr>
        <w:widowControl/>
        <w:spacing w:line="360"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（五）乙方不得与甲方工作人员就合同中的质量、数量、价格、工程量、验收等条款进行私下商谈或者达成默契。</w:t>
      </w:r>
    </w:p>
    <w:p w14:paraId="2DDD0495">
      <w:pPr>
        <w:widowControl/>
        <w:spacing w:line="360"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（六）乙方不得以回扣、手续费、加班费、咨询费、劳务费、协调费、辛苦费等各种名义向甲方工作人员给予或赠送钱物。</w:t>
      </w:r>
    </w:p>
    <w:p w14:paraId="7BEB8604">
      <w:pPr>
        <w:widowControl/>
        <w:spacing w:line="360"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（七）乙方不得向甲方工作人员提供干股或红利。</w:t>
      </w:r>
    </w:p>
    <w:p w14:paraId="3767CB1C">
      <w:pPr>
        <w:widowControl/>
        <w:spacing w:line="360"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（八）乙方须按</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专项纪检监察工作组(如有)要求开展相关工作。</w:t>
      </w:r>
    </w:p>
    <w:p w14:paraId="7A4FA4F2">
      <w:pPr>
        <w:widowControl/>
        <w:spacing w:line="360" w:lineRule="auto"/>
        <w:ind w:firstLine="420" w:firstLineChars="200"/>
        <w:jc w:val="left"/>
        <w:rPr>
          <w:rFonts w:hint="eastAsia" w:ascii="宋体" w:hAnsi="宋体" w:cs="宋体"/>
          <w:color w:val="auto"/>
          <w:kern w:val="0"/>
          <w:szCs w:val="21"/>
          <w:highlight w:val="none"/>
        </w:rPr>
      </w:pPr>
      <w:bookmarkStart w:id="920" w:name="_Toc95223500"/>
      <w:bookmarkStart w:id="921" w:name="_Toc14507"/>
      <w:bookmarkStart w:id="922" w:name="_Toc2198"/>
      <w:r>
        <w:rPr>
          <w:rFonts w:hint="eastAsia" w:ascii="宋体" w:hAnsi="宋体" w:cs="宋体"/>
          <w:color w:val="auto"/>
          <w:kern w:val="0"/>
          <w:szCs w:val="21"/>
          <w:highlight w:val="none"/>
        </w:rPr>
        <w:t>第四条 违约责任</w:t>
      </w:r>
      <w:bookmarkEnd w:id="920"/>
      <w:bookmarkEnd w:id="921"/>
      <w:bookmarkEnd w:id="922"/>
    </w:p>
    <w:p w14:paraId="57B00438">
      <w:pPr>
        <w:widowControl/>
        <w:spacing w:line="360"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一）甲方及其工作人员违反本协议第一、二条规定。甲方按管理权限，对相关责任人依据有关规定给予党纪、政纪处分或组织处理；涉嫌犯罪的，移交司法机关追究刑事责任；给乙方单位造成经济损失的，应予以赔偿。</w:t>
      </w:r>
    </w:p>
    <w:p w14:paraId="0124D820">
      <w:pPr>
        <w:widowControl/>
        <w:spacing w:line="360"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甲方投诉联系部门：</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，联系电话：</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w:t>
      </w:r>
    </w:p>
    <w:p w14:paraId="4A447090">
      <w:pPr>
        <w:widowControl/>
        <w:spacing w:line="360"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（二）乙方及其工作人员违反本协议第一、三条规定。根据具体情节和造成的后果，甲方有权对乙方采取以下一种或多种处理办法：</w:t>
      </w:r>
    </w:p>
    <w:p w14:paraId="240655D3">
      <w:pPr>
        <w:widowControl/>
        <w:spacing w:line="360"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 xml:space="preserve">1. 全额收取乙方合同履约保证金不予退还； </w:t>
      </w:r>
    </w:p>
    <w:p w14:paraId="0B9DE33F">
      <w:pPr>
        <w:widowControl/>
        <w:spacing w:line="360"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2. 追究乙方其他违约责任；</w:t>
      </w:r>
    </w:p>
    <w:p w14:paraId="1BCCD4B9">
      <w:pPr>
        <w:widowControl/>
        <w:spacing w:line="360"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3. 终止或解除双方已签订的包括本合同在内的所有合同；</w:t>
      </w:r>
    </w:p>
    <w:p w14:paraId="20DCF346">
      <w:pPr>
        <w:widowControl/>
        <w:spacing w:line="360"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4. 乙方一定期限内（6个月至3年，具体由甲方根据情况而定）不得参与甲方作为发包人（业主）的工程项目投标。</w:t>
      </w:r>
    </w:p>
    <w:p w14:paraId="07FB2132">
      <w:pPr>
        <w:widowControl/>
        <w:spacing w:line="360"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甲方作出的处理意见，乙方应无条件接受并承担给甲方造成的损失，全额返还通过不正当手段从甲方获取的非法所得，并承担相应的法律责任。</w:t>
      </w:r>
    </w:p>
    <w:p w14:paraId="09BAA8D2">
      <w:pPr>
        <w:widowControl/>
        <w:spacing w:line="360" w:lineRule="auto"/>
        <w:ind w:firstLine="420" w:firstLineChars="200"/>
        <w:jc w:val="left"/>
        <w:rPr>
          <w:rFonts w:hint="eastAsia" w:ascii="宋体" w:hAnsi="宋体" w:cs="宋体"/>
          <w:color w:val="auto"/>
          <w:kern w:val="0"/>
          <w:szCs w:val="21"/>
          <w:highlight w:val="none"/>
        </w:rPr>
      </w:pPr>
      <w:bookmarkStart w:id="923" w:name="_Toc95223501"/>
      <w:bookmarkStart w:id="924" w:name="_Toc10228"/>
      <w:bookmarkStart w:id="925" w:name="_Toc2334"/>
      <w:r>
        <w:rPr>
          <w:rFonts w:hint="eastAsia" w:ascii="宋体" w:hAnsi="宋体" w:cs="宋体"/>
          <w:color w:val="auto"/>
          <w:kern w:val="0"/>
          <w:szCs w:val="21"/>
          <w:highlight w:val="none"/>
        </w:rPr>
        <w:t>第五条 双方约定</w:t>
      </w:r>
      <w:bookmarkEnd w:id="923"/>
      <w:bookmarkEnd w:id="924"/>
      <w:bookmarkEnd w:id="925"/>
    </w:p>
    <w:p w14:paraId="045B4244">
      <w:pPr>
        <w:widowControl/>
        <w:spacing w:line="360"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本协议由双方或双方上级单位负责监督。可由甲方或甲方上级单位的纪检监察部门约请乙方或乙方上级单位的纪检监察部门对本协议履行情况进行检查，提出在本协议规定范围内的裁定意见。</w:t>
      </w:r>
    </w:p>
    <w:p w14:paraId="0AA7BB2F">
      <w:pPr>
        <w:widowControl/>
        <w:spacing w:line="360" w:lineRule="auto"/>
        <w:ind w:firstLine="420" w:firstLineChars="200"/>
        <w:jc w:val="left"/>
        <w:rPr>
          <w:rFonts w:hint="eastAsia" w:ascii="宋体" w:hAnsi="宋体" w:cs="宋体"/>
          <w:color w:val="auto"/>
          <w:kern w:val="0"/>
          <w:szCs w:val="21"/>
          <w:highlight w:val="none"/>
        </w:rPr>
      </w:pPr>
      <w:bookmarkStart w:id="926" w:name="_Toc32140"/>
      <w:bookmarkStart w:id="927" w:name="_Toc95223502"/>
      <w:bookmarkStart w:id="928" w:name="_Toc17717"/>
      <w:r>
        <w:rPr>
          <w:rFonts w:hint="eastAsia" w:ascii="宋体" w:hAnsi="宋体" w:cs="宋体"/>
          <w:color w:val="auto"/>
          <w:kern w:val="0"/>
          <w:szCs w:val="21"/>
          <w:highlight w:val="none"/>
        </w:rPr>
        <w:t>第六条  本协议有效期为甲乙双方签署之日起至合同终止。</w:t>
      </w:r>
      <w:bookmarkEnd w:id="926"/>
      <w:bookmarkEnd w:id="927"/>
      <w:bookmarkEnd w:id="928"/>
      <w:r>
        <w:rPr>
          <w:rFonts w:hint="eastAsia" w:ascii="宋体" w:hAnsi="宋体" w:cs="宋体"/>
          <w:color w:val="auto"/>
          <w:kern w:val="0"/>
          <w:szCs w:val="21"/>
          <w:highlight w:val="none"/>
        </w:rPr>
        <w:t xml:space="preserve">  </w:t>
      </w:r>
    </w:p>
    <w:p w14:paraId="64D3B180">
      <w:pPr>
        <w:widowControl/>
        <w:spacing w:line="360" w:lineRule="auto"/>
        <w:ind w:firstLine="420" w:firstLineChars="200"/>
        <w:jc w:val="left"/>
        <w:rPr>
          <w:rFonts w:hint="eastAsia" w:ascii="宋体" w:hAnsi="宋体" w:cs="宋体"/>
          <w:color w:val="auto"/>
          <w:kern w:val="0"/>
          <w:szCs w:val="21"/>
          <w:highlight w:val="none"/>
        </w:rPr>
      </w:pPr>
      <w:bookmarkStart w:id="929" w:name="_Toc24032"/>
      <w:bookmarkStart w:id="930" w:name="_Toc95223503"/>
      <w:bookmarkStart w:id="931" w:name="_Toc1871"/>
      <w:r>
        <w:rPr>
          <w:rFonts w:hint="eastAsia" w:ascii="宋体" w:hAnsi="宋体" w:cs="宋体"/>
          <w:color w:val="auto"/>
          <w:kern w:val="0"/>
          <w:szCs w:val="21"/>
          <w:highlight w:val="none"/>
        </w:rPr>
        <w:t>第七条  本协议作为合同的附件，与本合同具有同等法律效力。</w:t>
      </w:r>
      <w:bookmarkEnd w:id="929"/>
      <w:bookmarkEnd w:id="930"/>
      <w:bookmarkEnd w:id="931"/>
    </w:p>
    <w:p w14:paraId="48CACDC6">
      <w:pPr>
        <w:widowControl/>
        <w:spacing w:line="360"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 xml:space="preserve"> </w:t>
      </w:r>
    </w:p>
    <w:p w14:paraId="477026E5">
      <w:pPr>
        <w:widowControl/>
        <w:spacing w:line="360"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 xml:space="preserve">甲方（盖章）： </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 xml:space="preserve">       乙方（盖章）：</w:t>
      </w:r>
      <w:r>
        <w:rPr>
          <w:rFonts w:hint="eastAsia" w:ascii="宋体" w:hAnsi="宋体" w:cs="宋体"/>
          <w:color w:val="auto"/>
          <w:kern w:val="0"/>
          <w:szCs w:val="21"/>
          <w:highlight w:val="none"/>
          <w:u w:val="single"/>
        </w:rPr>
        <w:t xml:space="preserve">                      </w:t>
      </w:r>
    </w:p>
    <w:p w14:paraId="0D1FC570">
      <w:pPr>
        <w:widowControl/>
        <w:spacing w:line="360" w:lineRule="auto"/>
        <w:ind w:firstLine="420" w:firstLineChars="200"/>
        <w:jc w:val="left"/>
        <w:rPr>
          <w:rFonts w:hint="eastAsia" w:ascii="宋体" w:hAnsi="宋体" w:cs="宋体"/>
          <w:color w:val="auto"/>
          <w:kern w:val="0"/>
          <w:szCs w:val="21"/>
          <w:highlight w:val="none"/>
        </w:rPr>
      </w:pPr>
    </w:p>
    <w:p w14:paraId="602B8195">
      <w:pPr>
        <w:widowControl/>
        <w:spacing w:line="360"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法定代表人或                                法定代表人或</w:t>
      </w:r>
    </w:p>
    <w:p w14:paraId="21AD5850">
      <w:pPr>
        <w:widowControl/>
        <w:spacing w:line="360"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授权代表：</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(职务)              授权代表：</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(职务)</w:t>
      </w:r>
    </w:p>
    <w:p w14:paraId="207C0100">
      <w:pPr>
        <w:widowControl/>
        <w:spacing w:line="360"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姓名：</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 xml:space="preserve">                         姓名：</w:t>
      </w:r>
      <w:r>
        <w:rPr>
          <w:rFonts w:hint="eastAsia" w:ascii="宋体" w:hAnsi="宋体" w:cs="宋体"/>
          <w:color w:val="auto"/>
          <w:kern w:val="0"/>
          <w:szCs w:val="21"/>
          <w:highlight w:val="none"/>
          <w:u w:val="single"/>
        </w:rPr>
        <w:t xml:space="preserve">             </w:t>
      </w:r>
    </w:p>
    <w:p w14:paraId="3ADE98FC">
      <w:pPr>
        <w:widowControl/>
        <w:spacing w:line="360"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签字：</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 xml:space="preserve">                         签字：</w:t>
      </w:r>
      <w:r>
        <w:rPr>
          <w:rFonts w:hint="eastAsia" w:ascii="宋体" w:hAnsi="宋体" w:cs="宋体"/>
          <w:color w:val="auto"/>
          <w:kern w:val="0"/>
          <w:szCs w:val="21"/>
          <w:highlight w:val="none"/>
          <w:u w:val="single"/>
        </w:rPr>
        <w:t xml:space="preserve">             </w:t>
      </w:r>
    </w:p>
    <w:p w14:paraId="5F795282">
      <w:pPr>
        <w:widowControl/>
        <w:spacing w:line="360" w:lineRule="auto"/>
        <w:ind w:firstLine="420" w:firstLineChars="200"/>
        <w:jc w:val="left"/>
        <w:rPr>
          <w:rFonts w:hint="eastAsia" w:ascii="宋体" w:hAnsi="宋体" w:cs="宋体"/>
          <w:color w:val="auto"/>
          <w:kern w:val="0"/>
          <w:szCs w:val="21"/>
          <w:highlight w:val="none"/>
        </w:rPr>
      </w:pPr>
    </w:p>
    <w:p w14:paraId="4BE5BDF0">
      <w:pPr>
        <w:widowControl/>
        <w:spacing w:line="360"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廉政监督联系人                              廉政监督联系人</w:t>
      </w:r>
    </w:p>
    <w:p w14:paraId="41473A64">
      <w:pPr>
        <w:widowControl/>
        <w:spacing w:line="360"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姓名：</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 xml:space="preserve">               姓名：</w:t>
      </w:r>
      <w:r>
        <w:rPr>
          <w:rFonts w:hint="eastAsia" w:ascii="宋体" w:hAnsi="宋体" w:cs="宋体"/>
          <w:color w:val="auto"/>
          <w:kern w:val="0"/>
          <w:szCs w:val="21"/>
          <w:highlight w:val="none"/>
          <w:u w:val="single"/>
        </w:rPr>
        <w:t xml:space="preserve">                       </w:t>
      </w:r>
    </w:p>
    <w:p w14:paraId="4CC497F7">
      <w:pPr>
        <w:widowControl/>
        <w:spacing w:line="360"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签字：</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 xml:space="preserve">               签字：</w:t>
      </w:r>
      <w:r>
        <w:rPr>
          <w:rFonts w:hint="eastAsia" w:ascii="宋体" w:hAnsi="宋体" w:cs="宋体"/>
          <w:color w:val="auto"/>
          <w:kern w:val="0"/>
          <w:szCs w:val="21"/>
          <w:highlight w:val="none"/>
          <w:u w:val="single"/>
        </w:rPr>
        <w:t xml:space="preserve">                       </w:t>
      </w:r>
    </w:p>
    <w:p w14:paraId="65B3392A">
      <w:pPr>
        <w:widowControl/>
        <w:spacing w:line="360"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电话：</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 xml:space="preserve">               电话：</w:t>
      </w:r>
      <w:r>
        <w:rPr>
          <w:rFonts w:hint="eastAsia" w:ascii="宋体" w:hAnsi="宋体" w:cs="宋体"/>
          <w:color w:val="auto"/>
          <w:kern w:val="0"/>
          <w:szCs w:val="21"/>
          <w:highlight w:val="none"/>
          <w:u w:val="single"/>
        </w:rPr>
        <w:t xml:space="preserve">                       </w:t>
      </w:r>
    </w:p>
    <w:p w14:paraId="017F93D1">
      <w:pPr>
        <w:widowControl/>
        <w:spacing w:line="360"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地址：</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 xml:space="preserve">               地址：</w:t>
      </w:r>
      <w:r>
        <w:rPr>
          <w:rFonts w:hint="eastAsia" w:ascii="宋体" w:hAnsi="宋体" w:cs="宋体"/>
          <w:color w:val="auto"/>
          <w:kern w:val="0"/>
          <w:szCs w:val="21"/>
          <w:highlight w:val="none"/>
          <w:u w:val="single"/>
        </w:rPr>
        <w:t xml:space="preserve">                       </w:t>
      </w:r>
    </w:p>
    <w:p w14:paraId="66B4E8F5">
      <w:pPr>
        <w:widowControl/>
        <w:spacing w:line="360"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日期：</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 xml:space="preserve">               日期：</w:t>
      </w:r>
      <w:r>
        <w:rPr>
          <w:rFonts w:hint="eastAsia" w:ascii="宋体" w:hAnsi="宋体" w:cs="宋体"/>
          <w:color w:val="auto"/>
          <w:kern w:val="0"/>
          <w:szCs w:val="21"/>
          <w:highlight w:val="none"/>
          <w:u w:val="single"/>
        </w:rPr>
        <w:t xml:space="preserve">                       </w:t>
      </w:r>
    </w:p>
    <w:p w14:paraId="6775D691">
      <w:pPr>
        <w:keepNext/>
        <w:keepLines/>
        <w:spacing w:before="120" w:after="120" w:line="360" w:lineRule="auto"/>
        <w:jc w:val="left"/>
        <w:outlineLvl w:val="2"/>
        <w:rPr>
          <w:rFonts w:hint="eastAsia" w:ascii="宋体" w:hAnsi="宋体" w:cs="宋体"/>
          <w:color w:val="auto"/>
          <w:szCs w:val="21"/>
          <w:highlight w:val="none"/>
        </w:rPr>
      </w:pPr>
      <w:r>
        <w:rPr>
          <w:rFonts w:hint="eastAsia" w:ascii="宋体" w:hAnsi="宋体" w:cs="宋体"/>
          <w:bCs/>
          <w:color w:val="auto"/>
          <w:kern w:val="0"/>
          <w:sz w:val="24"/>
          <w:szCs w:val="21"/>
          <w:highlight w:val="none"/>
        </w:rPr>
        <w:br w:type="page"/>
      </w:r>
      <w:bookmarkStart w:id="932" w:name="_Toc95223504"/>
      <w:r>
        <w:rPr>
          <w:rFonts w:hint="eastAsia" w:ascii="宋体" w:hAnsi="宋体" w:cs="宋体"/>
          <w:bCs/>
          <w:color w:val="auto"/>
          <w:sz w:val="24"/>
          <w:highlight w:val="none"/>
        </w:rPr>
        <w:t>附件9：履约保证金</w:t>
      </w:r>
      <w:bookmarkEnd w:id="932"/>
    </w:p>
    <w:p w14:paraId="200A71B3">
      <w:pPr>
        <w:adjustRightInd w:val="0"/>
        <w:snapToGrid w:val="0"/>
        <w:spacing w:line="360" w:lineRule="auto"/>
        <w:jc w:val="center"/>
        <w:rPr>
          <w:rFonts w:hint="eastAsia" w:ascii="宋体" w:hAnsi="宋体" w:cs="宋体"/>
          <w:b/>
          <w:bCs/>
          <w:color w:val="auto"/>
          <w:sz w:val="32"/>
          <w:szCs w:val="32"/>
          <w:highlight w:val="none"/>
        </w:rPr>
      </w:pPr>
      <w:bookmarkStart w:id="933" w:name="_Toc8655"/>
      <w:bookmarkStart w:id="934" w:name="_Toc25855"/>
      <w:bookmarkStart w:id="935" w:name="_Toc95223505"/>
      <w:r>
        <w:rPr>
          <w:rFonts w:hint="eastAsia" w:ascii="宋体" w:hAnsi="宋体" w:cs="宋体"/>
          <w:b/>
          <w:bCs/>
          <w:color w:val="auto"/>
          <w:sz w:val="32"/>
          <w:szCs w:val="32"/>
          <w:highlight w:val="none"/>
        </w:rPr>
        <w:t>履约保函示范文本</w:t>
      </w:r>
      <w:bookmarkEnd w:id="933"/>
      <w:bookmarkEnd w:id="934"/>
      <w:bookmarkEnd w:id="935"/>
    </w:p>
    <w:p w14:paraId="17DE69EE">
      <w:pPr>
        <w:wordWrap w:val="0"/>
        <w:adjustRightInd w:val="0"/>
        <w:snapToGrid w:val="0"/>
        <w:spacing w:line="360" w:lineRule="auto"/>
        <w:jc w:val="right"/>
        <w:rPr>
          <w:rFonts w:hint="eastAsia" w:ascii="宋体" w:hAnsi="宋体" w:cs="宋体"/>
          <w:color w:val="auto"/>
          <w:szCs w:val="21"/>
          <w:highlight w:val="none"/>
        </w:rPr>
      </w:pPr>
      <w:r>
        <w:rPr>
          <w:rFonts w:hint="eastAsia" w:ascii="宋体" w:hAnsi="宋体" w:cs="宋体"/>
          <w:color w:val="auto"/>
          <w:szCs w:val="21"/>
          <w:highlight w:val="none"/>
        </w:rPr>
        <w:t xml:space="preserve">编号：           </w:t>
      </w:r>
    </w:p>
    <w:p w14:paraId="66CDFEC9">
      <w:pPr>
        <w:adjustRightInd w:val="0"/>
        <w:snapToGrid w:val="0"/>
        <w:spacing w:line="360" w:lineRule="auto"/>
        <w:rPr>
          <w:rFonts w:hint="eastAsia" w:ascii="宋体" w:hAnsi="宋体" w:cs="宋体"/>
          <w:color w:val="auto"/>
          <w:szCs w:val="21"/>
          <w:highlight w:val="none"/>
        </w:rPr>
      </w:pPr>
    </w:p>
    <w:p w14:paraId="791C3E11">
      <w:pPr>
        <w:adjustRightInd w:val="0"/>
        <w:snapToGrid w:val="0"/>
        <w:spacing w:line="360" w:lineRule="auto"/>
        <w:rPr>
          <w:rFonts w:hint="eastAsia" w:ascii="宋体" w:hAnsi="宋体" w:cs="宋体"/>
          <w:color w:val="auto"/>
          <w:szCs w:val="21"/>
          <w:highlight w:val="none"/>
        </w:rPr>
      </w:pP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（受益人名称）： </w:t>
      </w:r>
    </w:p>
    <w:p w14:paraId="1E0481F9">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鉴于</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（以下简称“受益人”）与</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（以下简称“申请人”）于</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月</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日就</w:t>
      </w:r>
      <w:r>
        <w:rPr>
          <w:rFonts w:hint="eastAsia" w:ascii="宋体" w:hAnsi="宋体" w:cs="宋体"/>
          <w:snapToGrid w:val="0"/>
          <w:color w:val="auto"/>
          <w:kern w:val="0"/>
          <w:szCs w:val="21"/>
          <w:highlight w:val="none"/>
          <w:u w:val="single"/>
        </w:rPr>
        <w:t xml:space="preserve">        </w:t>
      </w:r>
      <w:r>
        <w:rPr>
          <w:rFonts w:hint="eastAsia" w:ascii="宋体" w:hAnsi="宋体" w:cs="宋体"/>
          <w:snapToGrid w:val="0"/>
          <w:color w:val="auto"/>
          <w:kern w:val="0"/>
          <w:szCs w:val="21"/>
          <w:highlight w:val="none"/>
        </w:rPr>
        <w:t>（标段编号）的</w:t>
      </w:r>
      <w:r>
        <w:rPr>
          <w:rFonts w:hint="eastAsia" w:ascii="宋体" w:hAnsi="宋体" w:cs="宋体"/>
          <w:snapToGrid w:val="0"/>
          <w:color w:val="auto"/>
          <w:kern w:val="0"/>
          <w:szCs w:val="21"/>
          <w:highlight w:val="none"/>
          <w:u w:val="single"/>
        </w:rPr>
        <w:t xml:space="preserve">         </w:t>
      </w:r>
      <w:r>
        <w:rPr>
          <w:rFonts w:hint="eastAsia" w:ascii="宋体" w:hAnsi="宋体" w:cs="宋体"/>
          <w:snapToGrid w:val="0"/>
          <w:color w:val="auto"/>
          <w:kern w:val="0"/>
          <w:szCs w:val="21"/>
          <w:highlight w:val="none"/>
        </w:rPr>
        <w:t>（标段名称）</w:t>
      </w:r>
      <w:r>
        <w:rPr>
          <w:rFonts w:hint="eastAsia" w:ascii="宋体" w:hAnsi="宋体" w:cs="宋体"/>
          <w:color w:val="auto"/>
          <w:szCs w:val="21"/>
          <w:highlight w:val="none"/>
        </w:rPr>
        <w:t>有关事项协商一致共同签订</w:t>
      </w:r>
      <w:r>
        <w:rPr>
          <w:rFonts w:hint="eastAsia" w:ascii="宋体" w:hAnsi="宋体" w:cs="宋体"/>
          <w:color w:val="auto"/>
          <w:szCs w:val="21"/>
          <w:highlight w:val="none"/>
          <w:u w:val="single"/>
        </w:rPr>
        <w:t>《        》</w:t>
      </w:r>
      <w:r>
        <w:rPr>
          <w:rFonts w:hint="eastAsia" w:ascii="宋体" w:hAnsi="宋体" w:cs="宋体"/>
          <w:color w:val="auto"/>
          <w:szCs w:val="21"/>
          <w:highlight w:val="none"/>
        </w:rPr>
        <w:t xml:space="preserve">（以下简称“基础合同”），开立人根据基础合同了解到申请人为基础合同项下之承包人，受益人为基础合同项下之发包人，基于申请人的请求，开立人同意就申请人履行与受益人签订的基础合同项下的义务，向受益人提供不可撤销、不可转让的见索即付独立保函（以下简称“本保函”）。 </w:t>
      </w:r>
    </w:p>
    <w:p w14:paraId="63F2D6C1">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一、本保函担保范围：承包人未按照基础合同的约定履行义务，应当向受益人承担的违约责任和赔偿因此造成的损失、利息、律师费、诉讼费用等实现债权的费用。</w:t>
      </w:r>
    </w:p>
    <w:p w14:paraId="3483343C">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二、本保函担保金额最高不超过人民币（大写）</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元（¥</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w:t>
      </w:r>
    </w:p>
    <w:p w14:paraId="475A0BCE">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 xml:space="preserve">三、本保函有效期自开立之日起至基础合同约定的缺陷责任期满之日止。 </w:t>
      </w:r>
    </w:p>
    <w:p w14:paraId="379869AB">
      <w:pPr>
        <w:adjustRightInd w:val="0"/>
        <w:snapToGrid w:val="0"/>
        <w:spacing w:line="360" w:lineRule="auto"/>
        <w:ind w:firstLine="480"/>
        <w:rPr>
          <w:rFonts w:hint="eastAsia" w:ascii="宋体" w:hAnsi="宋体" w:cs="宋体"/>
          <w:color w:val="auto"/>
          <w:szCs w:val="21"/>
          <w:highlight w:val="none"/>
        </w:rPr>
      </w:pPr>
      <w:bookmarkStart w:id="936" w:name="_Hlk40302764"/>
      <w:r>
        <w:rPr>
          <w:rFonts w:hint="eastAsia" w:ascii="宋体" w:hAnsi="宋体" w:cs="宋体"/>
          <w:color w:val="auto"/>
          <w:szCs w:val="21"/>
          <w:highlight w:val="none"/>
        </w:rPr>
        <w:t>四、开立人承诺，在收到受益人发来的书面付款通知后的七日内无条件支付，前述书面付款通知即为付款要求之单据，且应满足以下要求：</w:t>
      </w:r>
    </w:p>
    <w:bookmarkEnd w:id="936"/>
    <w:p w14:paraId="046B5C79">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（1）付款通知到达的日期在本保函的有效期内；</w:t>
      </w:r>
    </w:p>
    <w:p w14:paraId="2EBDF048">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（2）载明要求支付的金额；</w:t>
      </w:r>
    </w:p>
    <w:p w14:paraId="3C51C0E8">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（3）载明申请人违反合同义务的条款和内容；</w:t>
      </w:r>
    </w:p>
    <w:p w14:paraId="6D656C40">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（4）声明不存在合同文件约定或我国法律规定免除申请人或开立人支付责任的情形；</w:t>
      </w:r>
    </w:p>
    <w:p w14:paraId="39D683CE">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（5）付款通知应在本保函有效期内到达的地址是：</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6BD6955B">
      <w:pPr>
        <w:adjustRightInd w:val="0"/>
        <w:snapToGrid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 xml:space="preserve">    </w:t>
      </w:r>
      <w:bookmarkStart w:id="937" w:name="_Hlk40303486"/>
      <w:r>
        <w:rPr>
          <w:rFonts w:hint="eastAsia" w:ascii="宋体" w:hAnsi="宋体" w:cs="宋体"/>
          <w:color w:val="auto"/>
          <w:szCs w:val="21"/>
          <w:highlight w:val="none"/>
        </w:rPr>
        <w:t>受益人发出的书面付款通知应由其法定代表人（负责人）或授权代理人签字并加盖公章。</w:t>
      </w:r>
      <w:bookmarkEnd w:id="937"/>
    </w:p>
    <w:p w14:paraId="6388B95A">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 xml:space="preserve">五、本保函项下的权利不得转让，不得设定担保。受益人未经我方书面同意转 让本保函或其项下任何权利，对我方不发生法律效力。 </w:t>
      </w:r>
    </w:p>
    <w:p w14:paraId="76CD3120">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 xml:space="preserve">六、与本保函有关的基础合同不成立、不生效、无效、被撤销、被解除，不影响本保函的独立有效。 </w:t>
      </w:r>
    </w:p>
    <w:p w14:paraId="0053D08E">
      <w:pPr>
        <w:adjustRightInd w:val="0"/>
        <w:snapToGrid w:val="0"/>
        <w:spacing w:line="360" w:lineRule="auto"/>
        <w:ind w:firstLine="420" w:firstLineChars="200"/>
        <w:rPr>
          <w:rFonts w:hint="eastAsia" w:ascii="宋体" w:hAnsi="宋体" w:cs="宋体"/>
          <w:color w:val="auto"/>
          <w:szCs w:val="21"/>
          <w:highlight w:val="none"/>
        </w:rPr>
      </w:pPr>
      <w:bookmarkStart w:id="938" w:name="_Hlk40303383"/>
      <w:bookmarkStart w:id="939" w:name="_Hlk40354981"/>
      <w:r>
        <w:rPr>
          <w:rFonts w:hint="eastAsia" w:ascii="宋体" w:hAnsi="宋体" w:cs="宋体"/>
          <w:color w:val="auto"/>
          <w:szCs w:val="21"/>
          <w:highlight w:val="none"/>
        </w:rPr>
        <w:t xml:space="preserve">七、本保函项下的义务和责任均在保函有效期到期后自动消灭。 </w:t>
      </w:r>
    </w:p>
    <w:p w14:paraId="3F029539">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八、本保函适用的法律为中华人民共和国法律，因本保函产生的纠纷案件，</w:t>
      </w:r>
      <w:bookmarkEnd w:id="938"/>
      <w:r>
        <w:rPr>
          <w:rFonts w:hint="eastAsia" w:ascii="宋体" w:hAnsi="宋体" w:cs="宋体"/>
          <w:color w:val="auto"/>
          <w:szCs w:val="21"/>
          <w:highlight w:val="none"/>
        </w:rPr>
        <w:t xml:space="preserve">由受益人所在地人民法院管辖。 </w:t>
      </w:r>
    </w:p>
    <w:bookmarkEnd w:id="939"/>
    <w:p w14:paraId="7A7DEB52">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 xml:space="preserve">九、本保函自我方法定代表人或授权代表签字并加盖公章之日起生效。 </w:t>
      </w:r>
    </w:p>
    <w:p w14:paraId="2B7A0F5D">
      <w:pPr>
        <w:adjustRightInd w:val="0"/>
        <w:snapToGrid w:val="0"/>
        <w:spacing w:line="360" w:lineRule="auto"/>
        <w:ind w:firstLine="420" w:firstLineChars="200"/>
        <w:rPr>
          <w:rFonts w:hint="eastAsia" w:ascii="宋体" w:hAnsi="宋体" w:cs="宋体"/>
          <w:color w:val="auto"/>
          <w:szCs w:val="21"/>
          <w:highlight w:val="none"/>
        </w:rPr>
      </w:pPr>
    </w:p>
    <w:p w14:paraId="58FB3C66">
      <w:pPr>
        <w:adjustRightInd w:val="0"/>
        <w:snapToGrid w:val="0"/>
        <w:spacing w:line="360" w:lineRule="auto"/>
        <w:ind w:firstLine="420" w:firstLineChars="200"/>
        <w:rPr>
          <w:rFonts w:hint="eastAsia" w:ascii="宋体" w:hAnsi="宋体" w:cs="宋体"/>
          <w:color w:val="auto"/>
          <w:szCs w:val="21"/>
          <w:highlight w:val="none"/>
        </w:rPr>
      </w:pPr>
    </w:p>
    <w:p w14:paraId="4FA1832F">
      <w:pPr>
        <w:adjustRightInd w:val="0"/>
        <w:snapToGrid w:val="0"/>
        <w:spacing w:line="360" w:lineRule="auto"/>
        <w:ind w:firstLine="420" w:firstLineChars="200"/>
        <w:rPr>
          <w:rFonts w:hint="eastAsia" w:ascii="宋体" w:hAnsi="宋体" w:cs="宋体"/>
          <w:color w:val="auto"/>
          <w:szCs w:val="21"/>
          <w:highlight w:val="none"/>
        </w:rPr>
      </w:pPr>
    </w:p>
    <w:p w14:paraId="6B6D5681">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开 立 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（公章） </w:t>
      </w:r>
    </w:p>
    <w:p w14:paraId="17B941D8">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法定代表人（或授权代表）：</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（签字） </w:t>
      </w:r>
    </w:p>
    <w:p w14:paraId="2A6FA8F1">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地    址：</w:t>
      </w:r>
      <w:r>
        <w:rPr>
          <w:rFonts w:hint="eastAsia" w:ascii="宋体" w:hAnsi="宋体" w:cs="宋体"/>
          <w:color w:val="auto"/>
          <w:szCs w:val="21"/>
          <w:highlight w:val="none"/>
          <w:u w:val="single"/>
        </w:rPr>
        <w:t xml:space="preserve">                                       </w:t>
      </w:r>
    </w:p>
    <w:p w14:paraId="0AEF4E59">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邮政编码：</w:t>
      </w:r>
      <w:r>
        <w:rPr>
          <w:rFonts w:hint="eastAsia" w:ascii="宋体" w:hAnsi="宋体" w:cs="宋体"/>
          <w:color w:val="auto"/>
          <w:szCs w:val="21"/>
          <w:highlight w:val="none"/>
          <w:u w:val="single"/>
        </w:rPr>
        <w:t xml:space="preserve">                 </w:t>
      </w:r>
    </w:p>
    <w:p w14:paraId="1BD6E24D">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电    话：</w:t>
      </w:r>
      <w:r>
        <w:rPr>
          <w:rFonts w:hint="eastAsia" w:ascii="宋体" w:hAnsi="宋体" w:cs="宋体"/>
          <w:color w:val="auto"/>
          <w:szCs w:val="21"/>
          <w:highlight w:val="none"/>
          <w:u w:val="single"/>
        </w:rPr>
        <w:t xml:space="preserve">                 </w:t>
      </w:r>
    </w:p>
    <w:p w14:paraId="425CF389">
      <w:pPr>
        <w:adjustRightInd w:val="0"/>
        <w:snapToGrid w:val="0"/>
        <w:spacing w:line="360" w:lineRule="auto"/>
        <w:ind w:firstLine="420" w:firstLineChars="200"/>
        <w:rPr>
          <w:rFonts w:hint="eastAsia" w:ascii="宋体" w:hAnsi="宋体" w:cs="宋体"/>
          <w:color w:val="auto"/>
          <w:szCs w:val="21"/>
          <w:highlight w:val="none"/>
          <w:u w:val="single"/>
        </w:rPr>
      </w:pPr>
      <w:r>
        <w:rPr>
          <w:rFonts w:hint="eastAsia" w:ascii="宋体" w:hAnsi="宋体" w:cs="宋体"/>
          <w:color w:val="auto"/>
          <w:szCs w:val="21"/>
          <w:highlight w:val="none"/>
        </w:rPr>
        <w:t>传    真：</w:t>
      </w:r>
      <w:r>
        <w:rPr>
          <w:rFonts w:hint="eastAsia" w:ascii="宋体" w:hAnsi="宋体" w:cs="宋体"/>
          <w:color w:val="auto"/>
          <w:szCs w:val="21"/>
          <w:highlight w:val="none"/>
          <w:u w:val="single"/>
        </w:rPr>
        <w:t xml:space="preserve">                 </w:t>
      </w:r>
    </w:p>
    <w:p w14:paraId="2DCC2162">
      <w:pPr>
        <w:adjustRightInd w:val="0"/>
        <w:snapToGrid w:val="0"/>
        <w:spacing w:line="360" w:lineRule="auto"/>
        <w:ind w:left="1323" w:leftChars="200" w:hanging="903" w:hangingChars="430"/>
        <w:rPr>
          <w:rFonts w:hint="eastAsia" w:ascii="宋体" w:hAnsi="宋体" w:cs="宋体"/>
          <w:color w:val="auto"/>
          <w:szCs w:val="21"/>
          <w:highlight w:val="none"/>
        </w:rPr>
      </w:pPr>
      <w:r>
        <w:rPr>
          <w:rFonts w:hint="eastAsia" w:ascii="宋体" w:hAnsi="宋体" w:cs="宋体"/>
          <w:color w:val="auto"/>
          <w:szCs w:val="21"/>
          <w:highlight w:val="none"/>
        </w:rPr>
        <w:t>开立时间：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月</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日</w:t>
      </w:r>
    </w:p>
    <w:p w14:paraId="44EF6527">
      <w:pPr>
        <w:spacing w:line="360" w:lineRule="auto"/>
        <w:ind w:left="1329" w:hanging="1329" w:hangingChars="633"/>
        <w:rPr>
          <w:rFonts w:hint="eastAsia" w:ascii="宋体" w:hAnsi="宋体" w:cs="宋体"/>
          <w:color w:val="auto"/>
          <w:szCs w:val="21"/>
          <w:highlight w:val="none"/>
        </w:rPr>
      </w:pPr>
    </w:p>
    <w:p w14:paraId="1C833B37">
      <w:pPr>
        <w:pStyle w:val="14"/>
        <w:rPr>
          <w:rFonts w:hint="eastAsia"/>
          <w:color w:val="auto"/>
          <w:highlight w:val="none"/>
        </w:rPr>
      </w:pPr>
    </w:p>
    <w:p w14:paraId="69C8F633">
      <w:pPr>
        <w:rPr>
          <w:rFonts w:hint="eastAsia"/>
          <w:color w:val="auto"/>
          <w:highlight w:val="none"/>
        </w:rPr>
      </w:pPr>
    </w:p>
    <w:p w14:paraId="76400CEE">
      <w:pPr>
        <w:pStyle w:val="14"/>
        <w:rPr>
          <w:rFonts w:hint="eastAsia"/>
          <w:color w:val="auto"/>
          <w:highlight w:val="none"/>
        </w:rPr>
      </w:pPr>
    </w:p>
    <w:p w14:paraId="76457BD2">
      <w:pPr>
        <w:rPr>
          <w:rFonts w:hint="eastAsia"/>
          <w:color w:val="auto"/>
          <w:highlight w:val="none"/>
        </w:rPr>
      </w:pPr>
    </w:p>
    <w:p w14:paraId="2C88A51B">
      <w:pPr>
        <w:pStyle w:val="14"/>
        <w:rPr>
          <w:rFonts w:hint="eastAsia"/>
          <w:color w:val="auto"/>
          <w:highlight w:val="none"/>
        </w:rPr>
      </w:pPr>
    </w:p>
    <w:p w14:paraId="3BCEEA04">
      <w:pPr>
        <w:rPr>
          <w:rFonts w:hint="eastAsia"/>
          <w:color w:val="auto"/>
          <w:highlight w:val="none"/>
        </w:rPr>
      </w:pPr>
    </w:p>
    <w:p w14:paraId="4C77474F">
      <w:pPr>
        <w:pStyle w:val="14"/>
        <w:rPr>
          <w:rFonts w:hint="eastAsia"/>
          <w:color w:val="auto"/>
          <w:highlight w:val="none"/>
        </w:rPr>
      </w:pPr>
    </w:p>
    <w:p w14:paraId="141AAD89">
      <w:pPr>
        <w:rPr>
          <w:rFonts w:hint="eastAsia"/>
          <w:color w:val="auto"/>
          <w:highlight w:val="none"/>
        </w:rPr>
      </w:pPr>
    </w:p>
    <w:p w14:paraId="27F03065">
      <w:pPr>
        <w:pStyle w:val="14"/>
        <w:rPr>
          <w:rFonts w:hint="eastAsia"/>
          <w:color w:val="auto"/>
          <w:highlight w:val="none"/>
        </w:rPr>
      </w:pPr>
    </w:p>
    <w:p w14:paraId="69D396E4">
      <w:pPr>
        <w:rPr>
          <w:rFonts w:hint="eastAsia"/>
          <w:color w:val="auto"/>
          <w:highlight w:val="none"/>
        </w:rPr>
      </w:pPr>
    </w:p>
    <w:p w14:paraId="39270C67">
      <w:pPr>
        <w:pStyle w:val="14"/>
        <w:rPr>
          <w:rFonts w:hint="eastAsia"/>
          <w:color w:val="auto"/>
          <w:highlight w:val="none"/>
        </w:rPr>
      </w:pPr>
    </w:p>
    <w:p w14:paraId="4EF26578">
      <w:pPr>
        <w:rPr>
          <w:rFonts w:hint="eastAsia"/>
          <w:color w:val="auto"/>
          <w:highlight w:val="none"/>
        </w:rPr>
      </w:pPr>
    </w:p>
    <w:p w14:paraId="34AF1D57">
      <w:pPr>
        <w:pStyle w:val="14"/>
        <w:rPr>
          <w:rFonts w:hint="eastAsia"/>
          <w:color w:val="auto"/>
          <w:highlight w:val="none"/>
        </w:rPr>
      </w:pPr>
    </w:p>
    <w:p w14:paraId="4E2EF806">
      <w:pPr>
        <w:rPr>
          <w:rFonts w:hint="eastAsia"/>
          <w:color w:val="auto"/>
          <w:highlight w:val="none"/>
        </w:rPr>
      </w:pPr>
    </w:p>
    <w:p w14:paraId="2795EB99">
      <w:pPr>
        <w:pStyle w:val="14"/>
        <w:rPr>
          <w:rFonts w:hint="eastAsia"/>
          <w:color w:val="auto"/>
          <w:highlight w:val="none"/>
        </w:rPr>
      </w:pPr>
    </w:p>
    <w:p w14:paraId="3AD96EBF">
      <w:pPr>
        <w:rPr>
          <w:rFonts w:hint="eastAsia"/>
          <w:color w:val="auto"/>
          <w:highlight w:val="none"/>
        </w:rPr>
      </w:pPr>
    </w:p>
    <w:p w14:paraId="306DB33B">
      <w:pPr>
        <w:pStyle w:val="14"/>
        <w:rPr>
          <w:rFonts w:hint="eastAsia"/>
          <w:color w:val="auto"/>
          <w:highlight w:val="none"/>
        </w:rPr>
      </w:pPr>
    </w:p>
    <w:p w14:paraId="7CA85646">
      <w:pPr>
        <w:rPr>
          <w:rFonts w:hint="eastAsia"/>
          <w:color w:val="auto"/>
          <w:highlight w:val="none"/>
        </w:rPr>
      </w:pPr>
    </w:p>
    <w:p w14:paraId="7761C5F1">
      <w:pPr>
        <w:pStyle w:val="14"/>
        <w:rPr>
          <w:rFonts w:hint="eastAsia"/>
          <w:color w:val="auto"/>
          <w:highlight w:val="none"/>
        </w:rPr>
      </w:pPr>
    </w:p>
    <w:p w14:paraId="3789AFD7">
      <w:pPr>
        <w:rPr>
          <w:rFonts w:hint="eastAsia"/>
          <w:color w:val="auto"/>
          <w:highlight w:val="none"/>
        </w:rPr>
      </w:pPr>
    </w:p>
    <w:p w14:paraId="7E98CAE6">
      <w:pPr>
        <w:pStyle w:val="14"/>
        <w:rPr>
          <w:rFonts w:hint="eastAsia"/>
          <w:color w:val="auto"/>
          <w:highlight w:val="none"/>
        </w:rPr>
      </w:pPr>
    </w:p>
    <w:p w14:paraId="493D1F8E">
      <w:pPr>
        <w:rPr>
          <w:rFonts w:hint="eastAsia"/>
          <w:color w:val="auto"/>
          <w:highlight w:val="none"/>
        </w:rPr>
      </w:pPr>
    </w:p>
    <w:p w14:paraId="74A9875F">
      <w:pPr>
        <w:pStyle w:val="14"/>
        <w:rPr>
          <w:rFonts w:hint="eastAsia"/>
          <w:color w:val="auto"/>
          <w:highlight w:val="none"/>
        </w:rPr>
      </w:pPr>
    </w:p>
    <w:p w14:paraId="729BAD1F">
      <w:pPr>
        <w:pStyle w:val="14"/>
        <w:ind w:left="0" w:leftChars="0" w:firstLine="0" w:firstLineChars="0"/>
        <w:rPr>
          <w:rFonts w:hint="eastAsia"/>
          <w:color w:val="auto"/>
          <w:highlight w:val="none"/>
        </w:rPr>
      </w:pPr>
    </w:p>
    <w:p w14:paraId="7DFF9969">
      <w:pPr>
        <w:pStyle w:val="14"/>
        <w:rPr>
          <w:rFonts w:hint="eastAsia"/>
          <w:color w:val="auto"/>
          <w:highlight w:val="none"/>
        </w:rPr>
      </w:pPr>
    </w:p>
    <w:p w14:paraId="010E5067">
      <w:pPr>
        <w:rPr>
          <w:rFonts w:hint="eastAsia"/>
          <w:color w:val="auto"/>
          <w:highlight w:val="none"/>
        </w:rPr>
      </w:pPr>
    </w:p>
    <w:p w14:paraId="1FB8C0CE">
      <w:pPr>
        <w:pStyle w:val="14"/>
        <w:rPr>
          <w:rFonts w:hint="eastAsia"/>
          <w:color w:val="auto"/>
          <w:highlight w:val="none"/>
        </w:rPr>
      </w:pPr>
    </w:p>
    <w:p w14:paraId="68ACD3C1">
      <w:pPr>
        <w:rPr>
          <w:rFonts w:hint="eastAsia"/>
          <w:color w:val="auto"/>
          <w:highlight w:val="none"/>
        </w:rPr>
      </w:pPr>
    </w:p>
    <w:p w14:paraId="67A75671">
      <w:pPr>
        <w:pStyle w:val="14"/>
        <w:rPr>
          <w:rFonts w:hint="eastAsia"/>
          <w:color w:val="auto"/>
          <w:highlight w:val="none"/>
        </w:rPr>
      </w:pPr>
    </w:p>
    <w:p w14:paraId="74BCE3F1">
      <w:pPr>
        <w:rPr>
          <w:rFonts w:hint="eastAsia"/>
          <w:color w:val="auto"/>
          <w:highlight w:val="none"/>
        </w:rPr>
      </w:pPr>
    </w:p>
    <w:p w14:paraId="4745516D">
      <w:pPr>
        <w:pStyle w:val="14"/>
        <w:rPr>
          <w:rFonts w:hint="eastAsia"/>
          <w:color w:val="auto"/>
          <w:highlight w:val="none"/>
        </w:rPr>
      </w:pPr>
    </w:p>
    <w:p w14:paraId="068DC3D3">
      <w:pPr>
        <w:rPr>
          <w:rFonts w:hint="eastAsia"/>
          <w:color w:val="auto"/>
          <w:highlight w:val="none"/>
        </w:rPr>
      </w:pPr>
    </w:p>
    <w:p w14:paraId="2F73473A">
      <w:pPr>
        <w:keepNext/>
        <w:keepLines/>
        <w:spacing w:before="120" w:after="120" w:line="360" w:lineRule="auto"/>
        <w:jc w:val="left"/>
        <w:outlineLvl w:val="2"/>
        <w:rPr>
          <w:rFonts w:ascii="宋体" w:hAnsi="宋体" w:cs="宋体"/>
          <w:bCs/>
          <w:color w:val="auto"/>
          <w:sz w:val="24"/>
          <w:highlight w:val="none"/>
        </w:rPr>
        <w:sectPr>
          <w:footnotePr>
            <w:numFmt w:val="decimalEnclosedCircleChinese"/>
            <w:numRestart w:val="eachPage"/>
          </w:footnotePr>
          <w:pgSz w:w="11907" w:h="16840"/>
          <w:pgMar w:top="1474" w:right="1474" w:bottom="1474" w:left="1474" w:header="799" w:footer="907" w:gutter="0"/>
          <w:pgNumType w:fmt="decimal"/>
          <w:cols w:space="720" w:num="1"/>
          <w:docGrid w:linePitch="271" w:charSpace="0"/>
        </w:sectPr>
      </w:pPr>
      <w:bookmarkStart w:id="940" w:name="_Toc95223508"/>
    </w:p>
    <w:p w14:paraId="0A61C7CA">
      <w:pPr>
        <w:keepNext/>
        <w:keepLines/>
        <w:spacing w:before="120" w:after="120" w:line="360" w:lineRule="auto"/>
        <w:jc w:val="left"/>
        <w:outlineLvl w:val="2"/>
        <w:rPr>
          <w:rFonts w:hint="eastAsia" w:ascii="宋体" w:hAnsi="宋体" w:cs="宋体"/>
          <w:bCs/>
          <w:color w:val="auto"/>
          <w:sz w:val="24"/>
          <w:highlight w:val="none"/>
        </w:rPr>
      </w:pPr>
      <w:r>
        <w:rPr>
          <w:rFonts w:hint="eastAsia" w:ascii="宋体" w:hAnsi="宋体" w:cs="宋体"/>
          <w:bCs/>
          <w:color w:val="auto"/>
          <w:sz w:val="24"/>
          <w:highlight w:val="none"/>
        </w:rPr>
        <w:t>附</w:t>
      </w:r>
      <w:bookmarkStart w:id="941" w:name="_Toc296503233"/>
      <w:bookmarkStart w:id="942" w:name="_Toc296347232"/>
      <w:bookmarkStart w:id="943" w:name="_Toc296346734"/>
      <w:bookmarkStart w:id="944" w:name="_Toc296944572"/>
      <w:bookmarkStart w:id="945" w:name="_Toc296891061"/>
      <w:bookmarkStart w:id="946" w:name="_Toc296891273"/>
      <w:r>
        <w:rPr>
          <w:rFonts w:hint="eastAsia" w:ascii="宋体" w:hAnsi="宋体" w:cs="宋体"/>
          <w:bCs/>
          <w:color w:val="auto"/>
          <w:sz w:val="24"/>
          <w:highlight w:val="none"/>
        </w:rPr>
        <w:t>件10：支付担保</w:t>
      </w:r>
      <w:bookmarkEnd w:id="940"/>
      <w:bookmarkEnd w:id="941"/>
      <w:bookmarkEnd w:id="942"/>
      <w:bookmarkEnd w:id="943"/>
      <w:bookmarkEnd w:id="944"/>
      <w:bookmarkEnd w:id="945"/>
      <w:bookmarkEnd w:id="946"/>
    </w:p>
    <w:p w14:paraId="0656DB22">
      <w:pPr>
        <w:adjustRightInd w:val="0"/>
        <w:snapToGrid w:val="0"/>
        <w:spacing w:line="360" w:lineRule="auto"/>
        <w:jc w:val="center"/>
        <w:rPr>
          <w:rFonts w:hint="eastAsia" w:ascii="宋体" w:hAnsi="宋体" w:cs="宋体"/>
          <w:b/>
          <w:bCs/>
          <w:color w:val="auto"/>
          <w:sz w:val="32"/>
          <w:szCs w:val="32"/>
          <w:highlight w:val="none"/>
        </w:rPr>
      </w:pPr>
      <w:bookmarkStart w:id="947" w:name="_Toc95223509"/>
      <w:bookmarkStart w:id="948" w:name="_Toc3562"/>
      <w:bookmarkStart w:id="949" w:name="_Toc8319"/>
      <w:r>
        <w:rPr>
          <w:rFonts w:hint="eastAsia" w:ascii="宋体" w:hAnsi="宋体" w:cs="宋体"/>
          <w:b/>
          <w:bCs/>
          <w:color w:val="auto"/>
          <w:sz w:val="32"/>
          <w:szCs w:val="32"/>
          <w:highlight w:val="none"/>
        </w:rPr>
        <w:t>支付保函示范文本</w:t>
      </w:r>
      <w:bookmarkEnd w:id="947"/>
      <w:bookmarkEnd w:id="948"/>
      <w:bookmarkEnd w:id="949"/>
    </w:p>
    <w:p w14:paraId="5329F7DC">
      <w:pPr>
        <w:wordWrap w:val="0"/>
        <w:adjustRightInd w:val="0"/>
        <w:snapToGrid w:val="0"/>
        <w:spacing w:line="360" w:lineRule="auto"/>
        <w:jc w:val="right"/>
        <w:rPr>
          <w:rFonts w:hint="eastAsia" w:ascii="宋体" w:hAnsi="宋体" w:cs="宋体"/>
          <w:color w:val="auto"/>
          <w:szCs w:val="21"/>
          <w:highlight w:val="none"/>
        </w:rPr>
      </w:pPr>
      <w:r>
        <w:rPr>
          <w:rFonts w:hint="eastAsia" w:ascii="宋体" w:hAnsi="宋体" w:cs="宋体"/>
          <w:color w:val="auto"/>
          <w:szCs w:val="21"/>
          <w:highlight w:val="none"/>
        </w:rPr>
        <w:t xml:space="preserve">编号：           </w:t>
      </w:r>
    </w:p>
    <w:p w14:paraId="35123FB3">
      <w:pPr>
        <w:adjustRightInd w:val="0"/>
        <w:snapToGrid w:val="0"/>
        <w:spacing w:line="360" w:lineRule="auto"/>
        <w:rPr>
          <w:rFonts w:hint="eastAsia" w:ascii="宋体" w:hAnsi="宋体" w:cs="宋体"/>
          <w:color w:val="auto"/>
          <w:szCs w:val="21"/>
          <w:highlight w:val="none"/>
        </w:rPr>
      </w:pPr>
    </w:p>
    <w:p w14:paraId="53161247">
      <w:pPr>
        <w:adjustRightInd w:val="0"/>
        <w:snapToGrid w:val="0"/>
        <w:spacing w:line="360" w:lineRule="auto"/>
        <w:rPr>
          <w:rFonts w:hint="eastAsia" w:ascii="宋体" w:hAnsi="宋体" w:cs="宋体"/>
          <w:color w:val="auto"/>
          <w:szCs w:val="21"/>
          <w:highlight w:val="none"/>
        </w:rPr>
      </w:pPr>
      <w:bookmarkStart w:id="950" w:name="_Hlk40355074"/>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（受益人名称）： </w:t>
      </w:r>
    </w:p>
    <w:bookmarkEnd w:id="950"/>
    <w:p w14:paraId="6B7CC4B8">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鉴于</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（以下简称“受益人”）与</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（以下简称“申请人”）于</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月</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日就</w:t>
      </w:r>
      <w:r>
        <w:rPr>
          <w:rFonts w:hint="eastAsia" w:ascii="宋体" w:hAnsi="宋体" w:cs="宋体"/>
          <w:snapToGrid w:val="0"/>
          <w:color w:val="auto"/>
          <w:kern w:val="0"/>
          <w:szCs w:val="21"/>
          <w:highlight w:val="none"/>
          <w:u w:val="single"/>
        </w:rPr>
        <w:t xml:space="preserve">        </w:t>
      </w:r>
      <w:r>
        <w:rPr>
          <w:rFonts w:hint="eastAsia" w:ascii="宋体" w:hAnsi="宋体" w:cs="宋体"/>
          <w:snapToGrid w:val="0"/>
          <w:color w:val="auto"/>
          <w:kern w:val="0"/>
          <w:szCs w:val="21"/>
          <w:highlight w:val="none"/>
        </w:rPr>
        <w:t>（标段编号）的</w:t>
      </w:r>
      <w:r>
        <w:rPr>
          <w:rFonts w:hint="eastAsia" w:ascii="宋体" w:hAnsi="宋体" w:cs="宋体"/>
          <w:snapToGrid w:val="0"/>
          <w:color w:val="auto"/>
          <w:kern w:val="0"/>
          <w:szCs w:val="21"/>
          <w:highlight w:val="none"/>
          <w:u w:val="single"/>
        </w:rPr>
        <w:t xml:space="preserve">         </w:t>
      </w:r>
      <w:r>
        <w:rPr>
          <w:rFonts w:hint="eastAsia" w:ascii="宋体" w:hAnsi="宋体" w:cs="宋体"/>
          <w:snapToGrid w:val="0"/>
          <w:color w:val="auto"/>
          <w:kern w:val="0"/>
          <w:szCs w:val="21"/>
          <w:highlight w:val="none"/>
        </w:rPr>
        <w:t>（标段名称）</w:t>
      </w:r>
      <w:r>
        <w:rPr>
          <w:rFonts w:hint="eastAsia" w:ascii="宋体" w:hAnsi="宋体" w:cs="宋体"/>
          <w:color w:val="auto"/>
          <w:szCs w:val="21"/>
          <w:highlight w:val="none"/>
        </w:rPr>
        <w:t>有关事项协商一致共同签订</w:t>
      </w:r>
      <w:r>
        <w:rPr>
          <w:rFonts w:hint="eastAsia" w:ascii="宋体" w:hAnsi="宋体" w:cs="宋体"/>
          <w:color w:val="auto"/>
          <w:szCs w:val="21"/>
          <w:highlight w:val="none"/>
          <w:u w:val="single"/>
        </w:rPr>
        <w:t>《        》</w:t>
      </w:r>
      <w:r>
        <w:rPr>
          <w:rFonts w:hint="eastAsia" w:ascii="宋体" w:hAnsi="宋体" w:cs="宋体"/>
          <w:color w:val="auto"/>
          <w:szCs w:val="21"/>
          <w:highlight w:val="none"/>
        </w:rPr>
        <w:t xml:space="preserve">（以下简称基础合同”），开立人根据基础合同了解到申请人为基础合同项下之发包人，受益人为基础合同项下之承包人，基于申请人的请求，开立人同意就申请人履行与受益人签订的基础合同项下的工程款（指基础合同约定的除工程质量保修金以外的工程款）付款义务，向受益人提供不可撤销、不可转让的见索即付独立保函（以下简称“本保函”）。 </w:t>
      </w:r>
    </w:p>
    <w:p w14:paraId="2F49B9DF">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一、本保函担保范围：申请人未履行基础合同约定的工程款支付义务，应当向受益人承担的违约责任和赔偿因此造成的损失、利息、律师费、诉讼费用等实现债权的费用。</w:t>
      </w:r>
    </w:p>
    <w:p w14:paraId="2CB89979">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二、本保函担保金额最高不超过人民币（大写）</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元（¥</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w:t>
      </w:r>
    </w:p>
    <w:p w14:paraId="04EA7776">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三、本保函有效期自开立之日起至基础合同约定的除工程质量保修金以外的全部工程结算款项支付之日后</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日止。 </w:t>
      </w:r>
    </w:p>
    <w:p w14:paraId="135F9CCA">
      <w:pPr>
        <w:adjustRightInd w:val="0"/>
        <w:snapToGrid w:val="0"/>
        <w:spacing w:line="360" w:lineRule="auto"/>
        <w:ind w:firstLine="480"/>
        <w:rPr>
          <w:rFonts w:hint="eastAsia" w:ascii="宋体" w:hAnsi="宋体" w:cs="宋体"/>
          <w:color w:val="auto"/>
          <w:szCs w:val="21"/>
          <w:highlight w:val="none"/>
        </w:rPr>
      </w:pPr>
      <w:r>
        <w:rPr>
          <w:rFonts w:hint="eastAsia" w:ascii="宋体" w:hAnsi="宋体" w:cs="宋体"/>
          <w:color w:val="auto"/>
          <w:szCs w:val="21"/>
          <w:highlight w:val="none"/>
        </w:rPr>
        <w:t>四、开立人承诺，在收到受益人发来的书面付款通知后的七日内无条件支付，前述书面付款通知即为付款要求之单据，且应满足以下要求：</w:t>
      </w:r>
    </w:p>
    <w:p w14:paraId="7DC97487">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（1）付款通知到达的日期在本保函的有效期内；</w:t>
      </w:r>
    </w:p>
    <w:p w14:paraId="53B4D5CC">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（2）载明要求支付的金额；</w:t>
      </w:r>
    </w:p>
    <w:p w14:paraId="17041966">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（3）载明申请人违反合同义务的条款和内容；</w:t>
      </w:r>
    </w:p>
    <w:p w14:paraId="0B399D41">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（4）声明不存在合同文件约定或我国法律规定免除申请人或开立人支付责任的情形；</w:t>
      </w:r>
    </w:p>
    <w:p w14:paraId="6B1D5494">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（5）付款通知应在本保函有效期内到达的地址是：</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53877287">
      <w:pPr>
        <w:adjustRightInd w:val="0"/>
        <w:snapToGrid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 xml:space="preserve">    受益人发出的书面付款通知应由其法定代表人（负责人）或授权代理人签字并加盖公章。</w:t>
      </w:r>
    </w:p>
    <w:p w14:paraId="6DFC0EC5">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 xml:space="preserve">五、本保函项下的权利不得转让，不得设定担保。受益人未经开立人书面同意转让本保函或其项下任何权利，对开立人不发生法律效力。 </w:t>
      </w:r>
    </w:p>
    <w:p w14:paraId="07452721">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六、本保函项下的基础交易不成立、不生效、无效、被撤销、被解除，不影响本保函的独立有效。</w:t>
      </w:r>
    </w:p>
    <w:p w14:paraId="547C452D">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 xml:space="preserve">七、本保函项下的义务和责任均在保函有效期到期后自动消灭。 </w:t>
      </w:r>
    </w:p>
    <w:p w14:paraId="1192801C">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 xml:space="preserve">八、本保函适用的法律为中华人民共和国法律，因本保函产生的纠纷案件，由申请人所在地人民法院管辖。 </w:t>
      </w:r>
    </w:p>
    <w:p w14:paraId="7F137F51">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 xml:space="preserve">九、本保函自我方法定代表人或授权代表签字并加盖公章之日起生效。 </w:t>
      </w:r>
    </w:p>
    <w:p w14:paraId="65AFC0C0">
      <w:pPr>
        <w:adjustRightInd w:val="0"/>
        <w:snapToGrid w:val="0"/>
        <w:spacing w:line="360" w:lineRule="auto"/>
        <w:ind w:firstLine="420" w:firstLineChars="200"/>
        <w:rPr>
          <w:rFonts w:hint="eastAsia" w:ascii="宋体" w:hAnsi="宋体" w:cs="宋体"/>
          <w:color w:val="auto"/>
          <w:szCs w:val="21"/>
          <w:highlight w:val="none"/>
        </w:rPr>
      </w:pPr>
    </w:p>
    <w:p w14:paraId="0B766D9B">
      <w:pPr>
        <w:adjustRightInd w:val="0"/>
        <w:snapToGrid w:val="0"/>
        <w:spacing w:line="360" w:lineRule="auto"/>
        <w:ind w:firstLine="420" w:firstLineChars="200"/>
        <w:rPr>
          <w:rFonts w:hint="eastAsia" w:ascii="宋体" w:hAnsi="宋体" w:cs="宋体"/>
          <w:color w:val="auto"/>
          <w:szCs w:val="21"/>
          <w:highlight w:val="none"/>
        </w:rPr>
      </w:pPr>
    </w:p>
    <w:p w14:paraId="3CB074E3">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开 立 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（公章） </w:t>
      </w:r>
    </w:p>
    <w:p w14:paraId="0280D01C">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法定代表人（或授权代表）：</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（签字） </w:t>
      </w:r>
    </w:p>
    <w:p w14:paraId="51E175D4">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地    址：</w:t>
      </w:r>
      <w:r>
        <w:rPr>
          <w:rFonts w:hint="eastAsia" w:ascii="宋体" w:hAnsi="宋体" w:cs="宋体"/>
          <w:color w:val="auto"/>
          <w:szCs w:val="21"/>
          <w:highlight w:val="none"/>
          <w:u w:val="single"/>
        </w:rPr>
        <w:t xml:space="preserve">                                       </w:t>
      </w:r>
    </w:p>
    <w:p w14:paraId="3E98A475">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邮政编码：</w:t>
      </w:r>
      <w:r>
        <w:rPr>
          <w:rFonts w:hint="eastAsia" w:ascii="宋体" w:hAnsi="宋体" w:cs="宋体"/>
          <w:color w:val="auto"/>
          <w:szCs w:val="21"/>
          <w:highlight w:val="none"/>
          <w:u w:val="single"/>
        </w:rPr>
        <w:t xml:space="preserve">                 </w:t>
      </w:r>
    </w:p>
    <w:p w14:paraId="5C0C9E62">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电    话：</w:t>
      </w:r>
      <w:r>
        <w:rPr>
          <w:rFonts w:hint="eastAsia" w:ascii="宋体" w:hAnsi="宋体" w:cs="宋体"/>
          <w:color w:val="auto"/>
          <w:szCs w:val="21"/>
          <w:highlight w:val="none"/>
          <w:u w:val="single"/>
        </w:rPr>
        <w:t xml:space="preserve">                 </w:t>
      </w:r>
    </w:p>
    <w:p w14:paraId="2B58F205">
      <w:pPr>
        <w:adjustRightInd w:val="0"/>
        <w:snapToGrid w:val="0"/>
        <w:spacing w:line="360" w:lineRule="auto"/>
        <w:ind w:firstLine="420" w:firstLineChars="200"/>
        <w:rPr>
          <w:rFonts w:hint="eastAsia" w:ascii="宋体" w:hAnsi="宋体" w:cs="宋体"/>
          <w:color w:val="auto"/>
          <w:szCs w:val="21"/>
          <w:highlight w:val="none"/>
          <w:u w:val="single"/>
        </w:rPr>
      </w:pPr>
      <w:r>
        <w:rPr>
          <w:rFonts w:hint="eastAsia" w:ascii="宋体" w:hAnsi="宋体" w:cs="宋体"/>
          <w:color w:val="auto"/>
          <w:szCs w:val="21"/>
          <w:highlight w:val="none"/>
        </w:rPr>
        <w:t>传    真：</w:t>
      </w:r>
      <w:r>
        <w:rPr>
          <w:rFonts w:hint="eastAsia" w:ascii="宋体" w:hAnsi="宋体" w:cs="宋体"/>
          <w:color w:val="auto"/>
          <w:szCs w:val="21"/>
          <w:highlight w:val="none"/>
          <w:u w:val="single"/>
        </w:rPr>
        <w:t xml:space="preserve">                 </w:t>
      </w:r>
    </w:p>
    <w:p w14:paraId="28F623DE">
      <w:pPr>
        <w:adjustRightInd w:val="0"/>
        <w:snapToGrid w:val="0"/>
        <w:spacing w:line="360" w:lineRule="auto"/>
        <w:ind w:left="1323" w:leftChars="200" w:hanging="903" w:hangingChars="430"/>
        <w:rPr>
          <w:rFonts w:hint="eastAsia" w:ascii="宋体" w:hAnsi="宋体" w:cs="宋体"/>
          <w:color w:val="auto"/>
          <w:szCs w:val="21"/>
          <w:highlight w:val="none"/>
        </w:rPr>
      </w:pPr>
      <w:r>
        <w:rPr>
          <w:rFonts w:hint="eastAsia" w:ascii="宋体" w:hAnsi="宋体" w:cs="宋体"/>
          <w:color w:val="auto"/>
          <w:szCs w:val="21"/>
          <w:highlight w:val="none"/>
        </w:rPr>
        <w:t>开立时间：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月</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日</w:t>
      </w:r>
    </w:p>
    <w:p w14:paraId="0D107849">
      <w:pPr>
        <w:adjustRightInd w:val="0"/>
        <w:snapToGrid w:val="0"/>
        <w:spacing w:line="360" w:lineRule="auto"/>
        <w:rPr>
          <w:rFonts w:hint="eastAsia" w:ascii="宋体" w:hAnsi="宋体" w:cs="宋体"/>
          <w:color w:val="auto"/>
          <w:szCs w:val="21"/>
          <w:highlight w:val="none"/>
        </w:rPr>
      </w:pPr>
    </w:p>
    <w:p w14:paraId="61F38DE4">
      <w:pPr>
        <w:adjustRightInd w:val="0"/>
        <w:snapToGrid w:val="0"/>
        <w:spacing w:line="360" w:lineRule="auto"/>
        <w:rPr>
          <w:rFonts w:hint="eastAsia" w:ascii="宋体" w:hAnsi="宋体" w:cs="宋体"/>
          <w:color w:val="auto"/>
          <w:szCs w:val="21"/>
          <w:highlight w:val="none"/>
        </w:rPr>
      </w:pPr>
    </w:p>
    <w:p w14:paraId="02F1FD1A">
      <w:pPr>
        <w:adjustRightInd w:val="0"/>
        <w:snapToGrid w:val="0"/>
        <w:spacing w:line="360" w:lineRule="auto"/>
        <w:rPr>
          <w:rFonts w:hint="eastAsia" w:ascii="宋体" w:hAnsi="宋体" w:cs="宋体"/>
          <w:color w:val="auto"/>
          <w:szCs w:val="21"/>
          <w:highlight w:val="none"/>
        </w:rPr>
      </w:pPr>
    </w:p>
    <w:p w14:paraId="75BE426D">
      <w:pPr>
        <w:keepNext/>
        <w:keepLines/>
        <w:adjustRightInd w:val="0"/>
        <w:snapToGrid w:val="0"/>
        <w:spacing w:line="360" w:lineRule="auto"/>
        <w:jc w:val="left"/>
        <w:outlineLvl w:val="2"/>
        <w:rPr>
          <w:rFonts w:hint="eastAsia" w:ascii="宋体" w:hAnsi="宋体" w:cs="宋体"/>
          <w:bCs/>
          <w:color w:val="auto"/>
          <w:sz w:val="24"/>
          <w:highlight w:val="none"/>
        </w:rPr>
      </w:pPr>
      <w:r>
        <w:rPr>
          <w:rFonts w:hint="eastAsia" w:ascii="宋体" w:hAnsi="宋体" w:cs="宋体"/>
          <w:bCs/>
          <w:color w:val="auto"/>
          <w:sz w:val="24"/>
          <w:highlight w:val="none"/>
        </w:rPr>
        <w:br w:type="page"/>
      </w:r>
      <w:bookmarkStart w:id="951" w:name="_Toc95223510"/>
      <w:r>
        <w:rPr>
          <w:rFonts w:hint="eastAsia" w:ascii="宋体" w:hAnsi="宋体" w:cs="宋体"/>
          <w:bCs/>
          <w:color w:val="auto"/>
          <w:sz w:val="24"/>
          <w:highlight w:val="none"/>
        </w:rPr>
        <w:t>附件11：暂估价一览表</w:t>
      </w:r>
      <w:bookmarkEnd w:id="951"/>
    </w:p>
    <w:p w14:paraId="49EE82A1">
      <w:pPr>
        <w:spacing w:before="120" w:beforeLines="50" w:after="120" w:afterLines="50" w:line="440" w:lineRule="exact"/>
        <w:jc w:val="center"/>
        <w:rPr>
          <w:rFonts w:hint="eastAsia" w:ascii="宋体" w:hAnsi="宋体" w:cs="宋体"/>
          <w:color w:val="auto"/>
          <w:szCs w:val="21"/>
          <w:highlight w:val="none"/>
        </w:rPr>
      </w:pPr>
      <w:r>
        <w:rPr>
          <w:rFonts w:hint="eastAsia" w:ascii="宋体" w:hAnsi="宋体" w:cs="宋体"/>
          <w:color w:val="auto"/>
          <w:szCs w:val="21"/>
          <w:highlight w:val="none"/>
        </w:rPr>
        <w:t>12-1：材料暂估价表</w:t>
      </w:r>
    </w:p>
    <w:tbl>
      <w:tblPr>
        <w:tblStyle w:val="47"/>
        <w:tblW w:w="0" w:type="auto"/>
        <w:tblInd w:w="-114"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993"/>
        <w:gridCol w:w="1984"/>
        <w:gridCol w:w="851"/>
        <w:gridCol w:w="774"/>
        <w:gridCol w:w="1352"/>
        <w:gridCol w:w="1418"/>
        <w:gridCol w:w="1701"/>
      </w:tblGrid>
      <w:tr w14:paraId="6E02653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Borders>
              <w:top w:val="single" w:color="auto" w:sz="12" w:space="0"/>
              <w:bottom w:val="double" w:color="auto" w:sz="6" w:space="0"/>
            </w:tcBorders>
            <w:noWrap w:val="0"/>
            <w:vAlign w:val="top"/>
          </w:tcPr>
          <w:p w14:paraId="4D6AF0EF">
            <w:pPr>
              <w:keepNext/>
              <w:spacing w:line="440" w:lineRule="exact"/>
              <w:rPr>
                <w:rFonts w:hint="eastAsia" w:ascii="宋体" w:hAnsi="宋体" w:cs="宋体"/>
                <w:color w:val="auto"/>
                <w:szCs w:val="21"/>
                <w:highlight w:val="none"/>
              </w:rPr>
            </w:pPr>
            <w:r>
              <w:rPr>
                <w:rFonts w:hint="eastAsia" w:ascii="宋体" w:hAnsi="宋体" w:cs="宋体"/>
                <w:color w:val="auto"/>
                <w:szCs w:val="21"/>
                <w:highlight w:val="none"/>
              </w:rPr>
              <w:t>序号</w:t>
            </w:r>
          </w:p>
        </w:tc>
        <w:tc>
          <w:tcPr>
            <w:tcW w:w="1984" w:type="dxa"/>
            <w:tcBorders>
              <w:top w:val="single" w:color="auto" w:sz="12" w:space="0"/>
              <w:bottom w:val="double" w:color="auto" w:sz="6" w:space="0"/>
            </w:tcBorders>
            <w:noWrap w:val="0"/>
            <w:vAlign w:val="top"/>
          </w:tcPr>
          <w:p w14:paraId="09299411">
            <w:pPr>
              <w:keepNext/>
              <w:spacing w:line="440" w:lineRule="exact"/>
              <w:rPr>
                <w:rFonts w:hint="eastAsia" w:ascii="宋体" w:hAnsi="宋体" w:cs="宋体"/>
                <w:color w:val="auto"/>
                <w:szCs w:val="21"/>
                <w:highlight w:val="none"/>
              </w:rPr>
            </w:pPr>
            <w:r>
              <w:rPr>
                <w:rFonts w:hint="eastAsia" w:ascii="宋体" w:hAnsi="宋体" w:cs="宋体"/>
                <w:color w:val="auto"/>
                <w:szCs w:val="21"/>
                <w:highlight w:val="none"/>
              </w:rPr>
              <w:t>名称</w:t>
            </w:r>
          </w:p>
        </w:tc>
        <w:tc>
          <w:tcPr>
            <w:tcW w:w="851" w:type="dxa"/>
            <w:tcBorders>
              <w:top w:val="single" w:color="auto" w:sz="12" w:space="0"/>
              <w:bottom w:val="double" w:color="auto" w:sz="6" w:space="0"/>
            </w:tcBorders>
            <w:noWrap w:val="0"/>
            <w:vAlign w:val="top"/>
          </w:tcPr>
          <w:p w14:paraId="3D720567">
            <w:pPr>
              <w:keepNext/>
              <w:spacing w:line="440" w:lineRule="exact"/>
              <w:rPr>
                <w:rFonts w:hint="eastAsia" w:ascii="宋体" w:hAnsi="宋体" w:cs="宋体"/>
                <w:color w:val="auto"/>
                <w:szCs w:val="21"/>
                <w:highlight w:val="none"/>
              </w:rPr>
            </w:pPr>
            <w:r>
              <w:rPr>
                <w:rFonts w:hint="eastAsia" w:ascii="宋体" w:hAnsi="宋体" w:cs="宋体"/>
                <w:color w:val="auto"/>
                <w:szCs w:val="21"/>
                <w:highlight w:val="none"/>
              </w:rPr>
              <w:t>单位</w:t>
            </w:r>
          </w:p>
        </w:tc>
        <w:tc>
          <w:tcPr>
            <w:tcW w:w="774" w:type="dxa"/>
            <w:tcBorders>
              <w:top w:val="single" w:color="auto" w:sz="12" w:space="0"/>
              <w:bottom w:val="double" w:color="auto" w:sz="6" w:space="0"/>
            </w:tcBorders>
            <w:noWrap w:val="0"/>
            <w:vAlign w:val="top"/>
          </w:tcPr>
          <w:p w14:paraId="16BB018D">
            <w:pPr>
              <w:keepNext/>
              <w:spacing w:line="440" w:lineRule="exact"/>
              <w:rPr>
                <w:rFonts w:hint="eastAsia" w:ascii="宋体" w:hAnsi="宋体" w:cs="宋体"/>
                <w:color w:val="auto"/>
                <w:szCs w:val="21"/>
                <w:highlight w:val="none"/>
              </w:rPr>
            </w:pPr>
            <w:r>
              <w:rPr>
                <w:rFonts w:hint="eastAsia" w:ascii="宋体" w:hAnsi="宋体" w:cs="宋体"/>
                <w:color w:val="auto"/>
                <w:szCs w:val="21"/>
                <w:highlight w:val="none"/>
              </w:rPr>
              <w:t>数量</w:t>
            </w:r>
          </w:p>
        </w:tc>
        <w:tc>
          <w:tcPr>
            <w:tcW w:w="1352" w:type="dxa"/>
            <w:tcBorders>
              <w:top w:val="single" w:color="auto" w:sz="12" w:space="0"/>
              <w:bottom w:val="double" w:color="auto" w:sz="6" w:space="0"/>
            </w:tcBorders>
            <w:noWrap w:val="0"/>
            <w:vAlign w:val="top"/>
          </w:tcPr>
          <w:p w14:paraId="1D9834B5">
            <w:pPr>
              <w:keepNext/>
              <w:spacing w:line="440" w:lineRule="exact"/>
              <w:rPr>
                <w:rFonts w:hint="eastAsia" w:ascii="宋体" w:hAnsi="宋体" w:cs="宋体"/>
                <w:color w:val="auto"/>
                <w:szCs w:val="21"/>
                <w:highlight w:val="none"/>
              </w:rPr>
            </w:pPr>
            <w:r>
              <w:rPr>
                <w:rFonts w:hint="eastAsia" w:ascii="宋体" w:hAnsi="宋体" w:cs="宋体"/>
                <w:color w:val="auto"/>
                <w:szCs w:val="21"/>
                <w:highlight w:val="none"/>
              </w:rPr>
              <w:t>单价（元）</w:t>
            </w:r>
          </w:p>
        </w:tc>
        <w:tc>
          <w:tcPr>
            <w:tcW w:w="1418" w:type="dxa"/>
            <w:tcBorders>
              <w:top w:val="single" w:color="auto" w:sz="12" w:space="0"/>
              <w:bottom w:val="double" w:color="auto" w:sz="6" w:space="0"/>
            </w:tcBorders>
            <w:noWrap w:val="0"/>
            <w:vAlign w:val="top"/>
          </w:tcPr>
          <w:p w14:paraId="04DA02AB">
            <w:pPr>
              <w:keepNext/>
              <w:spacing w:line="440" w:lineRule="exact"/>
              <w:rPr>
                <w:rFonts w:hint="eastAsia" w:ascii="宋体" w:hAnsi="宋体" w:cs="宋体"/>
                <w:color w:val="auto"/>
                <w:szCs w:val="21"/>
                <w:highlight w:val="none"/>
              </w:rPr>
            </w:pPr>
            <w:r>
              <w:rPr>
                <w:rFonts w:hint="eastAsia" w:ascii="宋体" w:hAnsi="宋体" w:cs="宋体"/>
                <w:color w:val="auto"/>
                <w:szCs w:val="21"/>
                <w:highlight w:val="none"/>
              </w:rPr>
              <w:t>合价（元）</w:t>
            </w:r>
          </w:p>
        </w:tc>
        <w:tc>
          <w:tcPr>
            <w:tcW w:w="1701" w:type="dxa"/>
            <w:tcBorders>
              <w:top w:val="single" w:color="auto" w:sz="12" w:space="0"/>
              <w:bottom w:val="double" w:color="auto" w:sz="6" w:space="0"/>
            </w:tcBorders>
            <w:noWrap w:val="0"/>
            <w:vAlign w:val="top"/>
          </w:tcPr>
          <w:p w14:paraId="554A6ADF">
            <w:pPr>
              <w:keepNext/>
              <w:spacing w:line="440" w:lineRule="exact"/>
              <w:rPr>
                <w:rFonts w:hint="eastAsia" w:ascii="宋体" w:hAnsi="宋体" w:cs="宋体"/>
                <w:color w:val="auto"/>
                <w:szCs w:val="21"/>
                <w:highlight w:val="none"/>
              </w:rPr>
            </w:pPr>
            <w:r>
              <w:rPr>
                <w:rFonts w:hint="eastAsia" w:ascii="宋体" w:hAnsi="宋体" w:cs="宋体"/>
                <w:color w:val="auto"/>
                <w:szCs w:val="21"/>
                <w:highlight w:val="none"/>
              </w:rPr>
              <w:t>备注</w:t>
            </w:r>
          </w:p>
        </w:tc>
      </w:tr>
      <w:tr w14:paraId="5E15402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Borders>
              <w:top w:val="double" w:color="auto" w:sz="6" w:space="0"/>
            </w:tcBorders>
            <w:noWrap w:val="0"/>
            <w:vAlign w:val="top"/>
          </w:tcPr>
          <w:p w14:paraId="6474CEAA">
            <w:pPr>
              <w:keepNext/>
              <w:spacing w:line="440" w:lineRule="exact"/>
              <w:rPr>
                <w:rFonts w:hint="eastAsia" w:ascii="宋体" w:hAnsi="宋体" w:cs="宋体"/>
                <w:color w:val="auto"/>
                <w:szCs w:val="21"/>
                <w:highlight w:val="none"/>
              </w:rPr>
            </w:pPr>
          </w:p>
        </w:tc>
        <w:tc>
          <w:tcPr>
            <w:tcW w:w="1984" w:type="dxa"/>
            <w:tcBorders>
              <w:top w:val="double" w:color="auto" w:sz="6" w:space="0"/>
            </w:tcBorders>
            <w:noWrap w:val="0"/>
            <w:vAlign w:val="top"/>
          </w:tcPr>
          <w:p w14:paraId="264AD185">
            <w:pPr>
              <w:keepNext/>
              <w:spacing w:line="440" w:lineRule="exact"/>
              <w:rPr>
                <w:rFonts w:hint="eastAsia" w:ascii="宋体" w:hAnsi="宋体" w:cs="宋体"/>
                <w:color w:val="auto"/>
                <w:szCs w:val="21"/>
                <w:highlight w:val="none"/>
              </w:rPr>
            </w:pPr>
          </w:p>
        </w:tc>
        <w:tc>
          <w:tcPr>
            <w:tcW w:w="851" w:type="dxa"/>
            <w:tcBorders>
              <w:top w:val="double" w:color="auto" w:sz="6" w:space="0"/>
            </w:tcBorders>
            <w:noWrap w:val="0"/>
            <w:vAlign w:val="top"/>
          </w:tcPr>
          <w:p w14:paraId="544669AE">
            <w:pPr>
              <w:keepNext/>
              <w:spacing w:line="440" w:lineRule="exact"/>
              <w:rPr>
                <w:rFonts w:hint="eastAsia" w:ascii="宋体" w:hAnsi="宋体" w:cs="宋体"/>
                <w:color w:val="auto"/>
                <w:szCs w:val="21"/>
                <w:highlight w:val="none"/>
              </w:rPr>
            </w:pPr>
          </w:p>
        </w:tc>
        <w:tc>
          <w:tcPr>
            <w:tcW w:w="774" w:type="dxa"/>
            <w:tcBorders>
              <w:top w:val="double" w:color="auto" w:sz="6" w:space="0"/>
            </w:tcBorders>
            <w:noWrap w:val="0"/>
            <w:vAlign w:val="top"/>
          </w:tcPr>
          <w:p w14:paraId="19E9DE36">
            <w:pPr>
              <w:keepNext/>
              <w:spacing w:line="440" w:lineRule="exact"/>
              <w:rPr>
                <w:rFonts w:hint="eastAsia" w:ascii="宋体" w:hAnsi="宋体" w:cs="宋体"/>
                <w:color w:val="auto"/>
                <w:szCs w:val="21"/>
                <w:highlight w:val="none"/>
              </w:rPr>
            </w:pPr>
          </w:p>
        </w:tc>
        <w:tc>
          <w:tcPr>
            <w:tcW w:w="1352" w:type="dxa"/>
            <w:tcBorders>
              <w:top w:val="double" w:color="auto" w:sz="6" w:space="0"/>
            </w:tcBorders>
            <w:noWrap w:val="0"/>
            <w:vAlign w:val="top"/>
          </w:tcPr>
          <w:p w14:paraId="3D3C18DF">
            <w:pPr>
              <w:keepNext/>
              <w:spacing w:line="440" w:lineRule="exact"/>
              <w:rPr>
                <w:rFonts w:hint="eastAsia" w:ascii="宋体" w:hAnsi="宋体" w:cs="宋体"/>
                <w:color w:val="auto"/>
                <w:szCs w:val="21"/>
                <w:highlight w:val="none"/>
              </w:rPr>
            </w:pPr>
          </w:p>
        </w:tc>
        <w:tc>
          <w:tcPr>
            <w:tcW w:w="1418" w:type="dxa"/>
            <w:tcBorders>
              <w:top w:val="double" w:color="auto" w:sz="6" w:space="0"/>
            </w:tcBorders>
            <w:noWrap w:val="0"/>
            <w:vAlign w:val="top"/>
          </w:tcPr>
          <w:p w14:paraId="7BF16C5C">
            <w:pPr>
              <w:keepNext/>
              <w:spacing w:line="440" w:lineRule="exact"/>
              <w:rPr>
                <w:rFonts w:hint="eastAsia" w:ascii="宋体" w:hAnsi="宋体" w:cs="宋体"/>
                <w:color w:val="auto"/>
                <w:szCs w:val="21"/>
                <w:highlight w:val="none"/>
              </w:rPr>
            </w:pPr>
          </w:p>
        </w:tc>
        <w:tc>
          <w:tcPr>
            <w:tcW w:w="1701" w:type="dxa"/>
            <w:tcBorders>
              <w:top w:val="double" w:color="auto" w:sz="6" w:space="0"/>
            </w:tcBorders>
            <w:noWrap w:val="0"/>
            <w:vAlign w:val="top"/>
          </w:tcPr>
          <w:p w14:paraId="2529EC6D">
            <w:pPr>
              <w:keepNext/>
              <w:spacing w:line="440" w:lineRule="exact"/>
              <w:rPr>
                <w:rFonts w:hint="eastAsia" w:ascii="宋体" w:hAnsi="宋体" w:cs="宋体"/>
                <w:color w:val="auto"/>
                <w:szCs w:val="21"/>
                <w:highlight w:val="none"/>
              </w:rPr>
            </w:pPr>
          </w:p>
        </w:tc>
      </w:tr>
      <w:tr w14:paraId="4989DFC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Borders>
              <w:top w:val="nil"/>
            </w:tcBorders>
            <w:noWrap w:val="0"/>
            <w:vAlign w:val="top"/>
          </w:tcPr>
          <w:p w14:paraId="247A9BCB">
            <w:pPr>
              <w:keepNext/>
              <w:spacing w:line="440" w:lineRule="exact"/>
              <w:rPr>
                <w:rFonts w:hint="eastAsia" w:ascii="宋体" w:hAnsi="宋体" w:cs="宋体"/>
                <w:color w:val="auto"/>
                <w:szCs w:val="21"/>
                <w:highlight w:val="none"/>
              </w:rPr>
            </w:pPr>
          </w:p>
        </w:tc>
        <w:tc>
          <w:tcPr>
            <w:tcW w:w="1984" w:type="dxa"/>
            <w:tcBorders>
              <w:top w:val="nil"/>
            </w:tcBorders>
            <w:noWrap w:val="0"/>
            <w:vAlign w:val="top"/>
          </w:tcPr>
          <w:p w14:paraId="19624C60">
            <w:pPr>
              <w:keepNext/>
              <w:spacing w:line="440" w:lineRule="exact"/>
              <w:rPr>
                <w:rFonts w:hint="eastAsia" w:ascii="宋体" w:hAnsi="宋体" w:cs="宋体"/>
                <w:color w:val="auto"/>
                <w:szCs w:val="21"/>
                <w:highlight w:val="none"/>
              </w:rPr>
            </w:pPr>
          </w:p>
        </w:tc>
        <w:tc>
          <w:tcPr>
            <w:tcW w:w="851" w:type="dxa"/>
            <w:tcBorders>
              <w:top w:val="nil"/>
            </w:tcBorders>
            <w:noWrap w:val="0"/>
            <w:vAlign w:val="top"/>
          </w:tcPr>
          <w:p w14:paraId="2B40EDF4">
            <w:pPr>
              <w:keepNext/>
              <w:spacing w:line="440" w:lineRule="exact"/>
              <w:rPr>
                <w:rFonts w:hint="eastAsia" w:ascii="宋体" w:hAnsi="宋体" w:cs="宋体"/>
                <w:color w:val="auto"/>
                <w:szCs w:val="21"/>
                <w:highlight w:val="none"/>
              </w:rPr>
            </w:pPr>
          </w:p>
        </w:tc>
        <w:tc>
          <w:tcPr>
            <w:tcW w:w="774" w:type="dxa"/>
            <w:tcBorders>
              <w:top w:val="nil"/>
            </w:tcBorders>
            <w:noWrap w:val="0"/>
            <w:vAlign w:val="top"/>
          </w:tcPr>
          <w:p w14:paraId="54542D99">
            <w:pPr>
              <w:keepNext/>
              <w:spacing w:line="440" w:lineRule="exact"/>
              <w:rPr>
                <w:rFonts w:hint="eastAsia" w:ascii="宋体" w:hAnsi="宋体" w:cs="宋体"/>
                <w:color w:val="auto"/>
                <w:szCs w:val="21"/>
                <w:highlight w:val="none"/>
              </w:rPr>
            </w:pPr>
          </w:p>
        </w:tc>
        <w:tc>
          <w:tcPr>
            <w:tcW w:w="1352" w:type="dxa"/>
            <w:tcBorders>
              <w:top w:val="nil"/>
            </w:tcBorders>
            <w:noWrap w:val="0"/>
            <w:vAlign w:val="top"/>
          </w:tcPr>
          <w:p w14:paraId="540F960C">
            <w:pPr>
              <w:keepNext/>
              <w:spacing w:line="440" w:lineRule="exact"/>
              <w:rPr>
                <w:rFonts w:hint="eastAsia" w:ascii="宋体" w:hAnsi="宋体" w:cs="宋体"/>
                <w:color w:val="auto"/>
                <w:szCs w:val="21"/>
                <w:highlight w:val="none"/>
              </w:rPr>
            </w:pPr>
          </w:p>
        </w:tc>
        <w:tc>
          <w:tcPr>
            <w:tcW w:w="1418" w:type="dxa"/>
            <w:tcBorders>
              <w:top w:val="nil"/>
            </w:tcBorders>
            <w:noWrap w:val="0"/>
            <w:vAlign w:val="top"/>
          </w:tcPr>
          <w:p w14:paraId="671AF98E">
            <w:pPr>
              <w:keepNext/>
              <w:spacing w:line="440" w:lineRule="exact"/>
              <w:rPr>
                <w:rFonts w:hint="eastAsia" w:ascii="宋体" w:hAnsi="宋体" w:cs="宋体"/>
                <w:color w:val="auto"/>
                <w:szCs w:val="21"/>
                <w:highlight w:val="none"/>
              </w:rPr>
            </w:pPr>
          </w:p>
        </w:tc>
        <w:tc>
          <w:tcPr>
            <w:tcW w:w="1701" w:type="dxa"/>
            <w:tcBorders>
              <w:top w:val="nil"/>
            </w:tcBorders>
            <w:noWrap w:val="0"/>
            <w:vAlign w:val="top"/>
          </w:tcPr>
          <w:p w14:paraId="3F9F5CBE">
            <w:pPr>
              <w:keepNext/>
              <w:spacing w:line="440" w:lineRule="exact"/>
              <w:rPr>
                <w:rFonts w:hint="eastAsia" w:ascii="宋体" w:hAnsi="宋体" w:cs="宋体"/>
                <w:color w:val="auto"/>
                <w:szCs w:val="21"/>
                <w:highlight w:val="none"/>
              </w:rPr>
            </w:pPr>
          </w:p>
        </w:tc>
      </w:tr>
      <w:tr w14:paraId="11E5E61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529B8922">
            <w:pPr>
              <w:keepNext/>
              <w:spacing w:line="440" w:lineRule="exact"/>
              <w:rPr>
                <w:rFonts w:hint="eastAsia" w:ascii="宋体" w:hAnsi="宋体" w:cs="宋体"/>
                <w:color w:val="auto"/>
                <w:szCs w:val="21"/>
                <w:highlight w:val="none"/>
              </w:rPr>
            </w:pPr>
          </w:p>
        </w:tc>
        <w:tc>
          <w:tcPr>
            <w:tcW w:w="1984" w:type="dxa"/>
            <w:noWrap w:val="0"/>
            <w:vAlign w:val="top"/>
          </w:tcPr>
          <w:p w14:paraId="730C9EF9">
            <w:pPr>
              <w:keepNext/>
              <w:spacing w:line="440" w:lineRule="exact"/>
              <w:rPr>
                <w:rFonts w:hint="eastAsia" w:ascii="宋体" w:hAnsi="宋体" w:cs="宋体"/>
                <w:color w:val="auto"/>
                <w:szCs w:val="21"/>
                <w:highlight w:val="none"/>
              </w:rPr>
            </w:pPr>
          </w:p>
        </w:tc>
        <w:tc>
          <w:tcPr>
            <w:tcW w:w="851" w:type="dxa"/>
            <w:noWrap w:val="0"/>
            <w:vAlign w:val="top"/>
          </w:tcPr>
          <w:p w14:paraId="76F9A0C3">
            <w:pPr>
              <w:keepNext/>
              <w:spacing w:line="440" w:lineRule="exact"/>
              <w:rPr>
                <w:rFonts w:hint="eastAsia" w:ascii="宋体" w:hAnsi="宋体" w:cs="宋体"/>
                <w:color w:val="auto"/>
                <w:szCs w:val="21"/>
                <w:highlight w:val="none"/>
              </w:rPr>
            </w:pPr>
          </w:p>
        </w:tc>
        <w:tc>
          <w:tcPr>
            <w:tcW w:w="774" w:type="dxa"/>
            <w:noWrap w:val="0"/>
            <w:vAlign w:val="top"/>
          </w:tcPr>
          <w:p w14:paraId="136C6564">
            <w:pPr>
              <w:keepNext/>
              <w:spacing w:line="440" w:lineRule="exact"/>
              <w:rPr>
                <w:rFonts w:hint="eastAsia" w:ascii="宋体" w:hAnsi="宋体" w:cs="宋体"/>
                <w:color w:val="auto"/>
                <w:szCs w:val="21"/>
                <w:highlight w:val="none"/>
              </w:rPr>
            </w:pPr>
          </w:p>
        </w:tc>
        <w:tc>
          <w:tcPr>
            <w:tcW w:w="1352" w:type="dxa"/>
            <w:noWrap w:val="0"/>
            <w:vAlign w:val="top"/>
          </w:tcPr>
          <w:p w14:paraId="6F672136">
            <w:pPr>
              <w:keepNext/>
              <w:spacing w:line="440" w:lineRule="exact"/>
              <w:rPr>
                <w:rFonts w:hint="eastAsia" w:ascii="宋体" w:hAnsi="宋体" w:cs="宋体"/>
                <w:color w:val="auto"/>
                <w:szCs w:val="21"/>
                <w:highlight w:val="none"/>
              </w:rPr>
            </w:pPr>
          </w:p>
        </w:tc>
        <w:tc>
          <w:tcPr>
            <w:tcW w:w="1418" w:type="dxa"/>
            <w:noWrap w:val="0"/>
            <w:vAlign w:val="top"/>
          </w:tcPr>
          <w:p w14:paraId="5A0F0A06">
            <w:pPr>
              <w:keepNext/>
              <w:spacing w:line="440" w:lineRule="exact"/>
              <w:rPr>
                <w:rFonts w:hint="eastAsia" w:ascii="宋体" w:hAnsi="宋体" w:cs="宋体"/>
                <w:color w:val="auto"/>
                <w:szCs w:val="21"/>
                <w:highlight w:val="none"/>
              </w:rPr>
            </w:pPr>
          </w:p>
        </w:tc>
        <w:tc>
          <w:tcPr>
            <w:tcW w:w="1701" w:type="dxa"/>
            <w:noWrap w:val="0"/>
            <w:vAlign w:val="top"/>
          </w:tcPr>
          <w:p w14:paraId="0C7584DF">
            <w:pPr>
              <w:keepNext/>
              <w:spacing w:line="440" w:lineRule="exact"/>
              <w:rPr>
                <w:rFonts w:hint="eastAsia" w:ascii="宋体" w:hAnsi="宋体" w:cs="宋体"/>
                <w:color w:val="auto"/>
                <w:szCs w:val="21"/>
                <w:highlight w:val="none"/>
              </w:rPr>
            </w:pPr>
          </w:p>
        </w:tc>
      </w:tr>
      <w:tr w14:paraId="4D64CE6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68642EAE">
            <w:pPr>
              <w:keepNext/>
              <w:spacing w:line="440" w:lineRule="exact"/>
              <w:rPr>
                <w:rFonts w:hint="eastAsia" w:ascii="宋体" w:hAnsi="宋体" w:cs="宋体"/>
                <w:color w:val="auto"/>
                <w:szCs w:val="21"/>
                <w:highlight w:val="none"/>
              </w:rPr>
            </w:pPr>
          </w:p>
        </w:tc>
        <w:tc>
          <w:tcPr>
            <w:tcW w:w="1984" w:type="dxa"/>
            <w:noWrap w:val="0"/>
            <w:vAlign w:val="top"/>
          </w:tcPr>
          <w:p w14:paraId="5A615F81">
            <w:pPr>
              <w:keepNext/>
              <w:spacing w:line="440" w:lineRule="exact"/>
              <w:rPr>
                <w:rFonts w:hint="eastAsia" w:ascii="宋体" w:hAnsi="宋体" w:cs="宋体"/>
                <w:color w:val="auto"/>
                <w:szCs w:val="21"/>
                <w:highlight w:val="none"/>
              </w:rPr>
            </w:pPr>
          </w:p>
        </w:tc>
        <w:tc>
          <w:tcPr>
            <w:tcW w:w="851" w:type="dxa"/>
            <w:noWrap w:val="0"/>
            <w:vAlign w:val="top"/>
          </w:tcPr>
          <w:p w14:paraId="2D1DD7BB">
            <w:pPr>
              <w:keepNext/>
              <w:spacing w:line="440" w:lineRule="exact"/>
              <w:rPr>
                <w:rFonts w:hint="eastAsia" w:ascii="宋体" w:hAnsi="宋体" w:cs="宋体"/>
                <w:color w:val="auto"/>
                <w:szCs w:val="21"/>
                <w:highlight w:val="none"/>
              </w:rPr>
            </w:pPr>
          </w:p>
        </w:tc>
        <w:tc>
          <w:tcPr>
            <w:tcW w:w="774" w:type="dxa"/>
            <w:noWrap w:val="0"/>
            <w:vAlign w:val="top"/>
          </w:tcPr>
          <w:p w14:paraId="65AD4ED6">
            <w:pPr>
              <w:keepNext/>
              <w:spacing w:line="440" w:lineRule="exact"/>
              <w:rPr>
                <w:rFonts w:hint="eastAsia" w:ascii="宋体" w:hAnsi="宋体" w:cs="宋体"/>
                <w:color w:val="auto"/>
                <w:szCs w:val="21"/>
                <w:highlight w:val="none"/>
              </w:rPr>
            </w:pPr>
          </w:p>
        </w:tc>
        <w:tc>
          <w:tcPr>
            <w:tcW w:w="1352" w:type="dxa"/>
            <w:noWrap w:val="0"/>
            <w:vAlign w:val="top"/>
          </w:tcPr>
          <w:p w14:paraId="259DF23F">
            <w:pPr>
              <w:keepNext/>
              <w:spacing w:line="440" w:lineRule="exact"/>
              <w:rPr>
                <w:rFonts w:hint="eastAsia" w:ascii="宋体" w:hAnsi="宋体" w:cs="宋体"/>
                <w:color w:val="auto"/>
                <w:szCs w:val="21"/>
                <w:highlight w:val="none"/>
              </w:rPr>
            </w:pPr>
          </w:p>
        </w:tc>
        <w:tc>
          <w:tcPr>
            <w:tcW w:w="1418" w:type="dxa"/>
            <w:noWrap w:val="0"/>
            <w:vAlign w:val="top"/>
          </w:tcPr>
          <w:p w14:paraId="68F09C74">
            <w:pPr>
              <w:keepNext/>
              <w:spacing w:line="440" w:lineRule="exact"/>
              <w:rPr>
                <w:rFonts w:hint="eastAsia" w:ascii="宋体" w:hAnsi="宋体" w:cs="宋体"/>
                <w:color w:val="auto"/>
                <w:szCs w:val="21"/>
                <w:highlight w:val="none"/>
              </w:rPr>
            </w:pPr>
          </w:p>
        </w:tc>
        <w:tc>
          <w:tcPr>
            <w:tcW w:w="1701" w:type="dxa"/>
            <w:noWrap w:val="0"/>
            <w:vAlign w:val="top"/>
          </w:tcPr>
          <w:p w14:paraId="07DD68B6">
            <w:pPr>
              <w:keepNext/>
              <w:spacing w:line="440" w:lineRule="exact"/>
              <w:rPr>
                <w:rFonts w:hint="eastAsia" w:ascii="宋体" w:hAnsi="宋体" w:cs="宋体"/>
                <w:color w:val="auto"/>
                <w:szCs w:val="21"/>
                <w:highlight w:val="none"/>
              </w:rPr>
            </w:pPr>
          </w:p>
        </w:tc>
      </w:tr>
      <w:tr w14:paraId="1DB39E9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Borders>
              <w:bottom w:val="single" w:color="auto" w:sz="12" w:space="0"/>
            </w:tcBorders>
            <w:noWrap w:val="0"/>
            <w:vAlign w:val="top"/>
          </w:tcPr>
          <w:p w14:paraId="36E60D99">
            <w:pPr>
              <w:keepNext/>
              <w:spacing w:line="440" w:lineRule="exact"/>
              <w:rPr>
                <w:rFonts w:hint="eastAsia" w:ascii="宋体" w:hAnsi="宋体" w:cs="宋体"/>
                <w:color w:val="auto"/>
                <w:szCs w:val="21"/>
                <w:highlight w:val="none"/>
              </w:rPr>
            </w:pPr>
          </w:p>
        </w:tc>
        <w:tc>
          <w:tcPr>
            <w:tcW w:w="1984" w:type="dxa"/>
            <w:tcBorders>
              <w:bottom w:val="single" w:color="auto" w:sz="12" w:space="0"/>
            </w:tcBorders>
            <w:noWrap w:val="0"/>
            <w:vAlign w:val="top"/>
          </w:tcPr>
          <w:p w14:paraId="41455CC6">
            <w:pPr>
              <w:keepNext/>
              <w:spacing w:line="440" w:lineRule="exact"/>
              <w:rPr>
                <w:rFonts w:hint="eastAsia" w:ascii="宋体" w:hAnsi="宋体" w:cs="宋体"/>
                <w:color w:val="auto"/>
                <w:szCs w:val="21"/>
                <w:highlight w:val="none"/>
              </w:rPr>
            </w:pPr>
          </w:p>
        </w:tc>
        <w:tc>
          <w:tcPr>
            <w:tcW w:w="851" w:type="dxa"/>
            <w:tcBorders>
              <w:bottom w:val="single" w:color="auto" w:sz="12" w:space="0"/>
            </w:tcBorders>
            <w:noWrap w:val="0"/>
            <w:vAlign w:val="top"/>
          </w:tcPr>
          <w:p w14:paraId="3602F048">
            <w:pPr>
              <w:keepNext/>
              <w:spacing w:line="440" w:lineRule="exact"/>
              <w:rPr>
                <w:rFonts w:hint="eastAsia" w:ascii="宋体" w:hAnsi="宋体" w:cs="宋体"/>
                <w:color w:val="auto"/>
                <w:szCs w:val="21"/>
                <w:highlight w:val="none"/>
              </w:rPr>
            </w:pPr>
          </w:p>
        </w:tc>
        <w:tc>
          <w:tcPr>
            <w:tcW w:w="774" w:type="dxa"/>
            <w:tcBorders>
              <w:bottom w:val="single" w:color="auto" w:sz="12" w:space="0"/>
            </w:tcBorders>
            <w:noWrap w:val="0"/>
            <w:vAlign w:val="top"/>
          </w:tcPr>
          <w:p w14:paraId="7F22E0CA">
            <w:pPr>
              <w:keepNext/>
              <w:spacing w:line="440" w:lineRule="exact"/>
              <w:rPr>
                <w:rFonts w:hint="eastAsia" w:ascii="宋体" w:hAnsi="宋体" w:cs="宋体"/>
                <w:color w:val="auto"/>
                <w:szCs w:val="21"/>
                <w:highlight w:val="none"/>
              </w:rPr>
            </w:pPr>
          </w:p>
        </w:tc>
        <w:tc>
          <w:tcPr>
            <w:tcW w:w="1352" w:type="dxa"/>
            <w:tcBorders>
              <w:bottom w:val="single" w:color="auto" w:sz="12" w:space="0"/>
            </w:tcBorders>
            <w:noWrap w:val="0"/>
            <w:vAlign w:val="top"/>
          </w:tcPr>
          <w:p w14:paraId="348361BA">
            <w:pPr>
              <w:keepNext/>
              <w:spacing w:line="440" w:lineRule="exact"/>
              <w:rPr>
                <w:rFonts w:hint="eastAsia" w:ascii="宋体" w:hAnsi="宋体" w:cs="宋体"/>
                <w:color w:val="auto"/>
                <w:szCs w:val="21"/>
                <w:highlight w:val="none"/>
              </w:rPr>
            </w:pPr>
          </w:p>
        </w:tc>
        <w:tc>
          <w:tcPr>
            <w:tcW w:w="1418" w:type="dxa"/>
            <w:tcBorders>
              <w:bottom w:val="single" w:color="auto" w:sz="12" w:space="0"/>
            </w:tcBorders>
            <w:noWrap w:val="0"/>
            <w:vAlign w:val="top"/>
          </w:tcPr>
          <w:p w14:paraId="3BA21419">
            <w:pPr>
              <w:keepNext/>
              <w:spacing w:line="440" w:lineRule="exact"/>
              <w:rPr>
                <w:rFonts w:hint="eastAsia" w:ascii="宋体" w:hAnsi="宋体" w:cs="宋体"/>
                <w:color w:val="auto"/>
                <w:szCs w:val="21"/>
                <w:highlight w:val="none"/>
              </w:rPr>
            </w:pPr>
          </w:p>
        </w:tc>
        <w:tc>
          <w:tcPr>
            <w:tcW w:w="1701" w:type="dxa"/>
            <w:tcBorders>
              <w:bottom w:val="single" w:color="auto" w:sz="12" w:space="0"/>
            </w:tcBorders>
            <w:noWrap w:val="0"/>
            <w:vAlign w:val="top"/>
          </w:tcPr>
          <w:p w14:paraId="4543D763">
            <w:pPr>
              <w:keepNext/>
              <w:spacing w:line="440" w:lineRule="exact"/>
              <w:rPr>
                <w:rFonts w:hint="eastAsia" w:ascii="宋体" w:hAnsi="宋体" w:cs="宋体"/>
                <w:color w:val="auto"/>
                <w:szCs w:val="21"/>
                <w:highlight w:val="none"/>
              </w:rPr>
            </w:pPr>
          </w:p>
        </w:tc>
      </w:tr>
    </w:tbl>
    <w:p w14:paraId="0B3765DC">
      <w:pPr>
        <w:spacing w:before="120" w:beforeLines="50" w:after="120" w:afterLines="50" w:line="440" w:lineRule="exact"/>
        <w:rPr>
          <w:rFonts w:hint="eastAsia" w:ascii="宋体" w:hAnsi="宋体" w:cs="宋体"/>
          <w:color w:val="auto"/>
          <w:szCs w:val="21"/>
          <w:highlight w:val="none"/>
        </w:rPr>
      </w:pPr>
    </w:p>
    <w:p w14:paraId="077D0B9E">
      <w:pPr>
        <w:spacing w:before="120" w:beforeLines="50" w:after="120" w:afterLines="50" w:line="440" w:lineRule="exact"/>
        <w:jc w:val="center"/>
        <w:rPr>
          <w:rFonts w:hint="eastAsia" w:ascii="宋体" w:hAnsi="宋体" w:cs="宋体"/>
          <w:color w:val="auto"/>
          <w:szCs w:val="21"/>
          <w:highlight w:val="none"/>
        </w:rPr>
      </w:pPr>
      <w:r>
        <w:rPr>
          <w:rFonts w:hint="eastAsia" w:ascii="宋体" w:hAnsi="宋体" w:cs="宋体"/>
          <w:color w:val="auto"/>
          <w:szCs w:val="21"/>
          <w:highlight w:val="none"/>
        </w:rPr>
        <w:t>12-2：工程设备暂估价表</w:t>
      </w:r>
    </w:p>
    <w:tbl>
      <w:tblPr>
        <w:tblStyle w:val="47"/>
        <w:tblW w:w="0" w:type="auto"/>
        <w:tblInd w:w="-114"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993"/>
        <w:gridCol w:w="1984"/>
        <w:gridCol w:w="851"/>
        <w:gridCol w:w="774"/>
        <w:gridCol w:w="1352"/>
        <w:gridCol w:w="1418"/>
        <w:gridCol w:w="1701"/>
      </w:tblGrid>
      <w:tr w14:paraId="0DA0CC8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Borders>
              <w:top w:val="single" w:color="auto" w:sz="12" w:space="0"/>
              <w:bottom w:val="double" w:color="auto" w:sz="6" w:space="0"/>
            </w:tcBorders>
            <w:noWrap w:val="0"/>
            <w:vAlign w:val="top"/>
          </w:tcPr>
          <w:p w14:paraId="458E9D2F">
            <w:pPr>
              <w:keepNext/>
              <w:spacing w:line="440" w:lineRule="exact"/>
              <w:rPr>
                <w:rFonts w:hint="eastAsia" w:ascii="宋体" w:hAnsi="宋体" w:cs="宋体"/>
                <w:color w:val="auto"/>
                <w:szCs w:val="21"/>
                <w:highlight w:val="none"/>
              </w:rPr>
            </w:pPr>
            <w:r>
              <w:rPr>
                <w:rFonts w:hint="eastAsia" w:ascii="宋体" w:hAnsi="宋体" w:cs="宋体"/>
                <w:color w:val="auto"/>
                <w:szCs w:val="21"/>
                <w:highlight w:val="none"/>
              </w:rPr>
              <w:t>序号</w:t>
            </w:r>
          </w:p>
        </w:tc>
        <w:tc>
          <w:tcPr>
            <w:tcW w:w="1984" w:type="dxa"/>
            <w:tcBorders>
              <w:top w:val="single" w:color="auto" w:sz="12" w:space="0"/>
              <w:bottom w:val="double" w:color="auto" w:sz="6" w:space="0"/>
            </w:tcBorders>
            <w:noWrap w:val="0"/>
            <w:vAlign w:val="top"/>
          </w:tcPr>
          <w:p w14:paraId="60F004C1">
            <w:pPr>
              <w:keepNext/>
              <w:spacing w:line="440" w:lineRule="exact"/>
              <w:rPr>
                <w:rFonts w:hint="eastAsia" w:ascii="宋体" w:hAnsi="宋体" w:cs="宋体"/>
                <w:color w:val="auto"/>
                <w:szCs w:val="21"/>
                <w:highlight w:val="none"/>
              </w:rPr>
            </w:pPr>
            <w:r>
              <w:rPr>
                <w:rFonts w:hint="eastAsia" w:ascii="宋体" w:hAnsi="宋体" w:cs="宋体"/>
                <w:color w:val="auto"/>
                <w:szCs w:val="21"/>
                <w:highlight w:val="none"/>
              </w:rPr>
              <w:t>名称</w:t>
            </w:r>
          </w:p>
        </w:tc>
        <w:tc>
          <w:tcPr>
            <w:tcW w:w="851" w:type="dxa"/>
            <w:tcBorders>
              <w:top w:val="single" w:color="auto" w:sz="12" w:space="0"/>
              <w:bottom w:val="double" w:color="auto" w:sz="6" w:space="0"/>
            </w:tcBorders>
            <w:noWrap w:val="0"/>
            <w:vAlign w:val="top"/>
          </w:tcPr>
          <w:p w14:paraId="621643BA">
            <w:pPr>
              <w:keepNext/>
              <w:spacing w:line="440" w:lineRule="exact"/>
              <w:rPr>
                <w:rFonts w:hint="eastAsia" w:ascii="宋体" w:hAnsi="宋体" w:cs="宋体"/>
                <w:color w:val="auto"/>
                <w:szCs w:val="21"/>
                <w:highlight w:val="none"/>
              </w:rPr>
            </w:pPr>
            <w:r>
              <w:rPr>
                <w:rFonts w:hint="eastAsia" w:ascii="宋体" w:hAnsi="宋体" w:cs="宋体"/>
                <w:color w:val="auto"/>
                <w:szCs w:val="21"/>
                <w:highlight w:val="none"/>
              </w:rPr>
              <w:t>单位</w:t>
            </w:r>
          </w:p>
        </w:tc>
        <w:tc>
          <w:tcPr>
            <w:tcW w:w="774" w:type="dxa"/>
            <w:tcBorders>
              <w:top w:val="single" w:color="auto" w:sz="12" w:space="0"/>
              <w:bottom w:val="double" w:color="auto" w:sz="6" w:space="0"/>
            </w:tcBorders>
            <w:noWrap w:val="0"/>
            <w:vAlign w:val="top"/>
          </w:tcPr>
          <w:p w14:paraId="7CF29550">
            <w:pPr>
              <w:keepNext/>
              <w:spacing w:line="440" w:lineRule="exact"/>
              <w:rPr>
                <w:rFonts w:hint="eastAsia" w:ascii="宋体" w:hAnsi="宋体" w:cs="宋体"/>
                <w:color w:val="auto"/>
                <w:szCs w:val="21"/>
                <w:highlight w:val="none"/>
              </w:rPr>
            </w:pPr>
            <w:r>
              <w:rPr>
                <w:rFonts w:hint="eastAsia" w:ascii="宋体" w:hAnsi="宋体" w:cs="宋体"/>
                <w:color w:val="auto"/>
                <w:szCs w:val="21"/>
                <w:highlight w:val="none"/>
              </w:rPr>
              <w:t>数量</w:t>
            </w:r>
          </w:p>
        </w:tc>
        <w:tc>
          <w:tcPr>
            <w:tcW w:w="1352" w:type="dxa"/>
            <w:tcBorders>
              <w:top w:val="single" w:color="auto" w:sz="12" w:space="0"/>
              <w:bottom w:val="double" w:color="auto" w:sz="6" w:space="0"/>
            </w:tcBorders>
            <w:noWrap w:val="0"/>
            <w:vAlign w:val="top"/>
          </w:tcPr>
          <w:p w14:paraId="60ACB362">
            <w:pPr>
              <w:keepNext/>
              <w:spacing w:line="440" w:lineRule="exact"/>
              <w:rPr>
                <w:rFonts w:hint="eastAsia" w:ascii="宋体" w:hAnsi="宋体" w:cs="宋体"/>
                <w:color w:val="auto"/>
                <w:szCs w:val="21"/>
                <w:highlight w:val="none"/>
              </w:rPr>
            </w:pPr>
            <w:r>
              <w:rPr>
                <w:rFonts w:hint="eastAsia" w:ascii="宋体" w:hAnsi="宋体" w:cs="宋体"/>
                <w:color w:val="auto"/>
                <w:szCs w:val="21"/>
                <w:highlight w:val="none"/>
              </w:rPr>
              <w:t>单价（元）</w:t>
            </w:r>
          </w:p>
        </w:tc>
        <w:tc>
          <w:tcPr>
            <w:tcW w:w="1418" w:type="dxa"/>
            <w:tcBorders>
              <w:top w:val="single" w:color="auto" w:sz="12" w:space="0"/>
              <w:bottom w:val="double" w:color="auto" w:sz="6" w:space="0"/>
            </w:tcBorders>
            <w:noWrap w:val="0"/>
            <w:vAlign w:val="top"/>
          </w:tcPr>
          <w:p w14:paraId="48F259FF">
            <w:pPr>
              <w:keepNext/>
              <w:spacing w:line="440" w:lineRule="exact"/>
              <w:rPr>
                <w:rFonts w:hint="eastAsia" w:ascii="宋体" w:hAnsi="宋体" w:cs="宋体"/>
                <w:color w:val="auto"/>
                <w:szCs w:val="21"/>
                <w:highlight w:val="none"/>
              </w:rPr>
            </w:pPr>
            <w:r>
              <w:rPr>
                <w:rFonts w:hint="eastAsia" w:ascii="宋体" w:hAnsi="宋体" w:cs="宋体"/>
                <w:color w:val="auto"/>
                <w:szCs w:val="21"/>
                <w:highlight w:val="none"/>
              </w:rPr>
              <w:t>合价（元）</w:t>
            </w:r>
          </w:p>
        </w:tc>
        <w:tc>
          <w:tcPr>
            <w:tcW w:w="1701" w:type="dxa"/>
            <w:tcBorders>
              <w:top w:val="single" w:color="auto" w:sz="12" w:space="0"/>
              <w:bottom w:val="double" w:color="auto" w:sz="6" w:space="0"/>
            </w:tcBorders>
            <w:noWrap w:val="0"/>
            <w:vAlign w:val="top"/>
          </w:tcPr>
          <w:p w14:paraId="284CFD90">
            <w:pPr>
              <w:keepNext/>
              <w:spacing w:line="440" w:lineRule="exact"/>
              <w:rPr>
                <w:rFonts w:hint="eastAsia" w:ascii="宋体" w:hAnsi="宋体" w:cs="宋体"/>
                <w:color w:val="auto"/>
                <w:szCs w:val="21"/>
                <w:highlight w:val="none"/>
              </w:rPr>
            </w:pPr>
            <w:r>
              <w:rPr>
                <w:rFonts w:hint="eastAsia" w:ascii="宋体" w:hAnsi="宋体" w:cs="宋体"/>
                <w:color w:val="auto"/>
                <w:szCs w:val="21"/>
                <w:highlight w:val="none"/>
              </w:rPr>
              <w:t>备注</w:t>
            </w:r>
          </w:p>
        </w:tc>
      </w:tr>
      <w:tr w14:paraId="43BCBF0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Borders>
              <w:top w:val="double" w:color="auto" w:sz="6" w:space="0"/>
            </w:tcBorders>
            <w:noWrap w:val="0"/>
            <w:vAlign w:val="top"/>
          </w:tcPr>
          <w:p w14:paraId="5085BA38">
            <w:pPr>
              <w:keepNext/>
              <w:spacing w:line="440" w:lineRule="exact"/>
              <w:rPr>
                <w:rFonts w:hint="eastAsia" w:ascii="宋体" w:hAnsi="宋体" w:cs="宋体"/>
                <w:color w:val="auto"/>
                <w:szCs w:val="21"/>
                <w:highlight w:val="none"/>
              </w:rPr>
            </w:pPr>
          </w:p>
        </w:tc>
        <w:tc>
          <w:tcPr>
            <w:tcW w:w="1984" w:type="dxa"/>
            <w:tcBorders>
              <w:top w:val="double" w:color="auto" w:sz="6" w:space="0"/>
            </w:tcBorders>
            <w:noWrap w:val="0"/>
            <w:vAlign w:val="top"/>
          </w:tcPr>
          <w:p w14:paraId="2660BF0B">
            <w:pPr>
              <w:keepNext/>
              <w:spacing w:line="440" w:lineRule="exact"/>
              <w:rPr>
                <w:rFonts w:hint="eastAsia" w:ascii="宋体" w:hAnsi="宋体" w:cs="宋体"/>
                <w:color w:val="auto"/>
                <w:szCs w:val="21"/>
                <w:highlight w:val="none"/>
              </w:rPr>
            </w:pPr>
          </w:p>
        </w:tc>
        <w:tc>
          <w:tcPr>
            <w:tcW w:w="851" w:type="dxa"/>
            <w:tcBorders>
              <w:top w:val="double" w:color="auto" w:sz="6" w:space="0"/>
            </w:tcBorders>
            <w:noWrap w:val="0"/>
            <w:vAlign w:val="top"/>
          </w:tcPr>
          <w:p w14:paraId="3F0C79E4">
            <w:pPr>
              <w:keepNext/>
              <w:spacing w:line="440" w:lineRule="exact"/>
              <w:rPr>
                <w:rFonts w:hint="eastAsia" w:ascii="宋体" w:hAnsi="宋体" w:cs="宋体"/>
                <w:color w:val="auto"/>
                <w:szCs w:val="21"/>
                <w:highlight w:val="none"/>
              </w:rPr>
            </w:pPr>
          </w:p>
        </w:tc>
        <w:tc>
          <w:tcPr>
            <w:tcW w:w="774" w:type="dxa"/>
            <w:tcBorders>
              <w:top w:val="double" w:color="auto" w:sz="6" w:space="0"/>
            </w:tcBorders>
            <w:noWrap w:val="0"/>
            <w:vAlign w:val="top"/>
          </w:tcPr>
          <w:p w14:paraId="69F10040">
            <w:pPr>
              <w:keepNext/>
              <w:spacing w:line="440" w:lineRule="exact"/>
              <w:rPr>
                <w:rFonts w:hint="eastAsia" w:ascii="宋体" w:hAnsi="宋体" w:cs="宋体"/>
                <w:color w:val="auto"/>
                <w:szCs w:val="21"/>
                <w:highlight w:val="none"/>
              </w:rPr>
            </w:pPr>
          </w:p>
        </w:tc>
        <w:tc>
          <w:tcPr>
            <w:tcW w:w="1352" w:type="dxa"/>
            <w:tcBorders>
              <w:top w:val="double" w:color="auto" w:sz="6" w:space="0"/>
            </w:tcBorders>
            <w:noWrap w:val="0"/>
            <w:vAlign w:val="top"/>
          </w:tcPr>
          <w:p w14:paraId="0298B7CC">
            <w:pPr>
              <w:keepNext/>
              <w:spacing w:line="440" w:lineRule="exact"/>
              <w:rPr>
                <w:rFonts w:hint="eastAsia" w:ascii="宋体" w:hAnsi="宋体" w:cs="宋体"/>
                <w:color w:val="auto"/>
                <w:szCs w:val="21"/>
                <w:highlight w:val="none"/>
              </w:rPr>
            </w:pPr>
          </w:p>
        </w:tc>
        <w:tc>
          <w:tcPr>
            <w:tcW w:w="1418" w:type="dxa"/>
            <w:tcBorders>
              <w:top w:val="double" w:color="auto" w:sz="6" w:space="0"/>
            </w:tcBorders>
            <w:noWrap w:val="0"/>
            <w:vAlign w:val="top"/>
          </w:tcPr>
          <w:p w14:paraId="7BE47594">
            <w:pPr>
              <w:keepNext/>
              <w:spacing w:line="440" w:lineRule="exact"/>
              <w:rPr>
                <w:rFonts w:hint="eastAsia" w:ascii="宋体" w:hAnsi="宋体" w:cs="宋体"/>
                <w:color w:val="auto"/>
                <w:szCs w:val="21"/>
                <w:highlight w:val="none"/>
              </w:rPr>
            </w:pPr>
          </w:p>
        </w:tc>
        <w:tc>
          <w:tcPr>
            <w:tcW w:w="1701" w:type="dxa"/>
            <w:tcBorders>
              <w:top w:val="double" w:color="auto" w:sz="6" w:space="0"/>
            </w:tcBorders>
            <w:noWrap w:val="0"/>
            <w:vAlign w:val="top"/>
          </w:tcPr>
          <w:p w14:paraId="5CD6945E">
            <w:pPr>
              <w:keepNext/>
              <w:spacing w:line="440" w:lineRule="exact"/>
              <w:rPr>
                <w:rFonts w:hint="eastAsia" w:ascii="宋体" w:hAnsi="宋体" w:cs="宋体"/>
                <w:color w:val="auto"/>
                <w:szCs w:val="21"/>
                <w:highlight w:val="none"/>
              </w:rPr>
            </w:pPr>
          </w:p>
        </w:tc>
      </w:tr>
      <w:tr w14:paraId="1D47FF7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Borders>
              <w:top w:val="nil"/>
            </w:tcBorders>
            <w:noWrap w:val="0"/>
            <w:vAlign w:val="top"/>
          </w:tcPr>
          <w:p w14:paraId="406BDE4F">
            <w:pPr>
              <w:keepNext/>
              <w:spacing w:line="440" w:lineRule="exact"/>
              <w:rPr>
                <w:rFonts w:hint="eastAsia" w:ascii="宋体" w:hAnsi="宋体" w:cs="宋体"/>
                <w:color w:val="auto"/>
                <w:szCs w:val="21"/>
                <w:highlight w:val="none"/>
              </w:rPr>
            </w:pPr>
          </w:p>
        </w:tc>
        <w:tc>
          <w:tcPr>
            <w:tcW w:w="1984" w:type="dxa"/>
            <w:tcBorders>
              <w:top w:val="nil"/>
            </w:tcBorders>
            <w:noWrap w:val="0"/>
            <w:vAlign w:val="top"/>
          </w:tcPr>
          <w:p w14:paraId="28F9C846">
            <w:pPr>
              <w:keepNext/>
              <w:spacing w:line="440" w:lineRule="exact"/>
              <w:rPr>
                <w:rFonts w:hint="eastAsia" w:ascii="宋体" w:hAnsi="宋体" w:cs="宋体"/>
                <w:color w:val="auto"/>
                <w:szCs w:val="21"/>
                <w:highlight w:val="none"/>
              </w:rPr>
            </w:pPr>
          </w:p>
        </w:tc>
        <w:tc>
          <w:tcPr>
            <w:tcW w:w="851" w:type="dxa"/>
            <w:tcBorders>
              <w:top w:val="nil"/>
            </w:tcBorders>
            <w:noWrap w:val="0"/>
            <w:vAlign w:val="top"/>
          </w:tcPr>
          <w:p w14:paraId="70CD45CE">
            <w:pPr>
              <w:keepNext/>
              <w:spacing w:line="440" w:lineRule="exact"/>
              <w:rPr>
                <w:rFonts w:hint="eastAsia" w:ascii="宋体" w:hAnsi="宋体" w:cs="宋体"/>
                <w:color w:val="auto"/>
                <w:szCs w:val="21"/>
                <w:highlight w:val="none"/>
              </w:rPr>
            </w:pPr>
          </w:p>
        </w:tc>
        <w:tc>
          <w:tcPr>
            <w:tcW w:w="774" w:type="dxa"/>
            <w:tcBorders>
              <w:top w:val="nil"/>
            </w:tcBorders>
            <w:noWrap w:val="0"/>
            <w:vAlign w:val="top"/>
          </w:tcPr>
          <w:p w14:paraId="092DC39C">
            <w:pPr>
              <w:keepNext/>
              <w:spacing w:line="440" w:lineRule="exact"/>
              <w:rPr>
                <w:rFonts w:hint="eastAsia" w:ascii="宋体" w:hAnsi="宋体" w:cs="宋体"/>
                <w:color w:val="auto"/>
                <w:szCs w:val="21"/>
                <w:highlight w:val="none"/>
              </w:rPr>
            </w:pPr>
          </w:p>
        </w:tc>
        <w:tc>
          <w:tcPr>
            <w:tcW w:w="1352" w:type="dxa"/>
            <w:tcBorders>
              <w:top w:val="nil"/>
            </w:tcBorders>
            <w:noWrap w:val="0"/>
            <w:vAlign w:val="top"/>
          </w:tcPr>
          <w:p w14:paraId="14EC4EB7">
            <w:pPr>
              <w:keepNext/>
              <w:spacing w:line="440" w:lineRule="exact"/>
              <w:rPr>
                <w:rFonts w:hint="eastAsia" w:ascii="宋体" w:hAnsi="宋体" w:cs="宋体"/>
                <w:color w:val="auto"/>
                <w:szCs w:val="21"/>
                <w:highlight w:val="none"/>
              </w:rPr>
            </w:pPr>
          </w:p>
        </w:tc>
        <w:tc>
          <w:tcPr>
            <w:tcW w:w="1418" w:type="dxa"/>
            <w:tcBorders>
              <w:top w:val="nil"/>
            </w:tcBorders>
            <w:noWrap w:val="0"/>
            <w:vAlign w:val="top"/>
          </w:tcPr>
          <w:p w14:paraId="308DC894">
            <w:pPr>
              <w:keepNext/>
              <w:spacing w:line="440" w:lineRule="exact"/>
              <w:rPr>
                <w:rFonts w:hint="eastAsia" w:ascii="宋体" w:hAnsi="宋体" w:cs="宋体"/>
                <w:color w:val="auto"/>
                <w:szCs w:val="21"/>
                <w:highlight w:val="none"/>
              </w:rPr>
            </w:pPr>
          </w:p>
        </w:tc>
        <w:tc>
          <w:tcPr>
            <w:tcW w:w="1701" w:type="dxa"/>
            <w:tcBorders>
              <w:top w:val="nil"/>
            </w:tcBorders>
            <w:noWrap w:val="0"/>
            <w:vAlign w:val="top"/>
          </w:tcPr>
          <w:p w14:paraId="11DBCDC1">
            <w:pPr>
              <w:keepNext/>
              <w:spacing w:line="440" w:lineRule="exact"/>
              <w:rPr>
                <w:rFonts w:hint="eastAsia" w:ascii="宋体" w:hAnsi="宋体" w:cs="宋体"/>
                <w:color w:val="auto"/>
                <w:szCs w:val="21"/>
                <w:highlight w:val="none"/>
              </w:rPr>
            </w:pPr>
          </w:p>
        </w:tc>
      </w:tr>
      <w:tr w14:paraId="410144E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26094654">
            <w:pPr>
              <w:keepNext/>
              <w:spacing w:line="440" w:lineRule="exact"/>
              <w:rPr>
                <w:rFonts w:hint="eastAsia" w:ascii="宋体" w:hAnsi="宋体" w:cs="宋体"/>
                <w:color w:val="auto"/>
                <w:szCs w:val="21"/>
                <w:highlight w:val="none"/>
              </w:rPr>
            </w:pPr>
          </w:p>
        </w:tc>
        <w:tc>
          <w:tcPr>
            <w:tcW w:w="1984" w:type="dxa"/>
            <w:noWrap w:val="0"/>
            <w:vAlign w:val="top"/>
          </w:tcPr>
          <w:p w14:paraId="38EBDC48">
            <w:pPr>
              <w:keepNext/>
              <w:spacing w:line="440" w:lineRule="exact"/>
              <w:rPr>
                <w:rFonts w:hint="eastAsia" w:ascii="宋体" w:hAnsi="宋体" w:cs="宋体"/>
                <w:color w:val="auto"/>
                <w:szCs w:val="21"/>
                <w:highlight w:val="none"/>
              </w:rPr>
            </w:pPr>
          </w:p>
        </w:tc>
        <w:tc>
          <w:tcPr>
            <w:tcW w:w="851" w:type="dxa"/>
            <w:noWrap w:val="0"/>
            <w:vAlign w:val="top"/>
          </w:tcPr>
          <w:p w14:paraId="5FCD2AAF">
            <w:pPr>
              <w:keepNext/>
              <w:spacing w:line="440" w:lineRule="exact"/>
              <w:rPr>
                <w:rFonts w:hint="eastAsia" w:ascii="宋体" w:hAnsi="宋体" w:cs="宋体"/>
                <w:color w:val="auto"/>
                <w:szCs w:val="21"/>
                <w:highlight w:val="none"/>
              </w:rPr>
            </w:pPr>
          </w:p>
        </w:tc>
        <w:tc>
          <w:tcPr>
            <w:tcW w:w="774" w:type="dxa"/>
            <w:noWrap w:val="0"/>
            <w:vAlign w:val="top"/>
          </w:tcPr>
          <w:p w14:paraId="0F534762">
            <w:pPr>
              <w:keepNext/>
              <w:spacing w:line="440" w:lineRule="exact"/>
              <w:rPr>
                <w:rFonts w:hint="eastAsia" w:ascii="宋体" w:hAnsi="宋体" w:cs="宋体"/>
                <w:color w:val="auto"/>
                <w:szCs w:val="21"/>
                <w:highlight w:val="none"/>
              </w:rPr>
            </w:pPr>
          </w:p>
        </w:tc>
        <w:tc>
          <w:tcPr>
            <w:tcW w:w="1352" w:type="dxa"/>
            <w:noWrap w:val="0"/>
            <w:vAlign w:val="top"/>
          </w:tcPr>
          <w:p w14:paraId="01099584">
            <w:pPr>
              <w:keepNext/>
              <w:spacing w:line="440" w:lineRule="exact"/>
              <w:rPr>
                <w:rFonts w:hint="eastAsia" w:ascii="宋体" w:hAnsi="宋体" w:cs="宋体"/>
                <w:color w:val="auto"/>
                <w:szCs w:val="21"/>
                <w:highlight w:val="none"/>
              </w:rPr>
            </w:pPr>
          </w:p>
        </w:tc>
        <w:tc>
          <w:tcPr>
            <w:tcW w:w="1418" w:type="dxa"/>
            <w:noWrap w:val="0"/>
            <w:vAlign w:val="top"/>
          </w:tcPr>
          <w:p w14:paraId="37F04168">
            <w:pPr>
              <w:keepNext/>
              <w:spacing w:line="440" w:lineRule="exact"/>
              <w:rPr>
                <w:rFonts w:hint="eastAsia" w:ascii="宋体" w:hAnsi="宋体" w:cs="宋体"/>
                <w:color w:val="auto"/>
                <w:szCs w:val="21"/>
                <w:highlight w:val="none"/>
              </w:rPr>
            </w:pPr>
          </w:p>
        </w:tc>
        <w:tc>
          <w:tcPr>
            <w:tcW w:w="1701" w:type="dxa"/>
            <w:noWrap w:val="0"/>
            <w:vAlign w:val="top"/>
          </w:tcPr>
          <w:p w14:paraId="5CD1B971">
            <w:pPr>
              <w:keepNext/>
              <w:spacing w:line="440" w:lineRule="exact"/>
              <w:rPr>
                <w:rFonts w:hint="eastAsia" w:ascii="宋体" w:hAnsi="宋体" w:cs="宋体"/>
                <w:color w:val="auto"/>
                <w:szCs w:val="21"/>
                <w:highlight w:val="none"/>
              </w:rPr>
            </w:pPr>
          </w:p>
        </w:tc>
      </w:tr>
      <w:tr w14:paraId="0D120F4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Borders>
              <w:bottom w:val="single" w:color="auto" w:sz="12" w:space="0"/>
            </w:tcBorders>
            <w:noWrap w:val="0"/>
            <w:vAlign w:val="top"/>
          </w:tcPr>
          <w:p w14:paraId="3DCF8E6F">
            <w:pPr>
              <w:keepNext/>
              <w:spacing w:line="440" w:lineRule="exact"/>
              <w:rPr>
                <w:rFonts w:hint="eastAsia" w:ascii="宋体" w:hAnsi="宋体" w:cs="宋体"/>
                <w:color w:val="auto"/>
                <w:szCs w:val="21"/>
                <w:highlight w:val="none"/>
              </w:rPr>
            </w:pPr>
          </w:p>
        </w:tc>
        <w:tc>
          <w:tcPr>
            <w:tcW w:w="1984" w:type="dxa"/>
            <w:tcBorders>
              <w:bottom w:val="single" w:color="auto" w:sz="12" w:space="0"/>
            </w:tcBorders>
            <w:noWrap w:val="0"/>
            <w:vAlign w:val="top"/>
          </w:tcPr>
          <w:p w14:paraId="07603770">
            <w:pPr>
              <w:keepNext/>
              <w:spacing w:line="440" w:lineRule="exact"/>
              <w:rPr>
                <w:rFonts w:hint="eastAsia" w:ascii="宋体" w:hAnsi="宋体" w:cs="宋体"/>
                <w:color w:val="auto"/>
                <w:szCs w:val="21"/>
                <w:highlight w:val="none"/>
              </w:rPr>
            </w:pPr>
          </w:p>
        </w:tc>
        <w:tc>
          <w:tcPr>
            <w:tcW w:w="851" w:type="dxa"/>
            <w:tcBorders>
              <w:bottom w:val="single" w:color="auto" w:sz="12" w:space="0"/>
            </w:tcBorders>
            <w:noWrap w:val="0"/>
            <w:vAlign w:val="top"/>
          </w:tcPr>
          <w:p w14:paraId="24D9DC41">
            <w:pPr>
              <w:keepNext/>
              <w:spacing w:line="440" w:lineRule="exact"/>
              <w:rPr>
                <w:rFonts w:hint="eastAsia" w:ascii="宋体" w:hAnsi="宋体" w:cs="宋体"/>
                <w:color w:val="auto"/>
                <w:szCs w:val="21"/>
                <w:highlight w:val="none"/>
              </w:rPr>
            </w:pPr>
          </w:p>
        </w:tc>
        <w:tc>
          <w:tcPr>
            <w:tcW w:w="774" w:type="dxa"/>
            <w:tcBorders>
              <w:bottom w:val="single" w:color="auto" w:sz="12" w:space="0"/>
            </w:tcBorders>
            <w:noWrap w:val="0"/>
            <w:vAlign w:val="top"/>
          </w:tcPr>
          <w:p w14:paraId="6761E755">
            <w:pPr>
              <w:keepNext/>
              <w:spacing w:line="440" w:lineRule="exact"/>
              <w:rPr>
                <w:rFonts w:hint="eastAsia" w:ascii="宋体" w:hAnsi="宋体" w:cs="宋体"/>
                <w:color w:val="auto"/>
                <w:szCs w:val="21"/>
                <w:highlight w:val="none"/>
              </w:rPr>
            </w:pPr>
          </w:p>
        </w:tc>
        <w:tc>
          <w:tcPr>
            <w:tcW w:w="1352" w:type="dxa"/>
            <w:tcBorders>
              <w:bottom w:val="single" w:color="auto" w:sz="12" w:space="0"/>
            </w:tcBorders>
            <w:noWrap w:val="0"/>
            <w:vAlign w:val="top"/>
          </w:tcPr>
          <w:p w14:paraId="79B0D5F9">
            <w:pPr>
              <w:keepNext/>
              <w:spacing w:line="440" w:lineRule="exact"/>
              <w:rPr>
                <w:rFonts w:hint="eastAsia" w:ascii="宋体" w:hAnsi="宋体" w:cs="宋体"/>
                <w:color w:val="auto"/>
                <w:szCs w:val="21"/>
                <w:highlight w:val="none"/>
              </w:rPr>
            </w:pPr>
          </w:p>
        </w:tc>
        <w:tc>
          <w:tcPr>
            <w:tcW w:w="1418" w:type="dxa"/>
            <w:tcBorders>
              <w:bottom w:val="single" w:color="auto" w:sz="12" w:space="0"/>
            </w:tcBorders>
            <w:noWrap w:val="0"/>
            <w:vAlign w:val="top"/>
          </w:tcPr>
          <w:p w14:paraId="417C019A">
            <w:pPr>
              <w:keepNext/>
              <w:spacing w:line="440" w:lineRule="exact"/>
              <w:rPr>
                <w:rFonts w:hint="eastAsia" w:ascii="宋体" w:hAnsi="宋体" w:cs="宋体"/>
                <w:color w:val="auto"/>
                <w:szCs w:val="21"/>
                <w:highlight w:val="none"/>
              </w:rPr>
            </w:pPr>
          </w:p>
        </w:tc>
        <w:tc>
          <w:tcPr>
            <w:tcW w:w="1701" w:type="dxa"/>
            <w:tcBorders>
              <w:bottom w:val="single" w:color="auto" w:sz="12" w:space="0"/>
            </w:tcBorders>
            <w:noWrap w:val="0"/>
            <w:vAlign w:val="top"/>
          </w:tcPr>
          <w:p w14:paraId="0FDECAD0">
            <w:pPr>
              <w:keepNext/>
              <w:spacing w:line="440" w:lineRule="exact"/>
              <w:rPr>
                <w:rFonts w:hint="eastAsia" w:ascii="宋体" w:hAnsi="宋体" w:cs="宋体"/>
                <w:color w:val="auto"/>
                <w:szCs w:val="21"/>
                <w:highlight w:val="none"/>
              </w:rPr>
            </w:pPr>
          </w:p>
        </w:tc>
      </w:tr>
    </w:tbl>
    <w:p w14:paraId="7EC6A5FE">
      <w:pPr>
        <w:spacing w:line="440" w:lineRule="exact"/>
        <w:rPr>
          <w:rFonts w:hint="eastAsia" w:ascii="宋体" w:hAnsi="宋体" w:cs="宋体"/>
          <w:color w:val="auto"/>
          <w:szCs w:val="21"/>
          <w:highlight w:val="none"/>
        </w:rPr>
      </w:pPr>
    </w:p>
    <w:p w14:paraId="3C52E1D0">
      <w:pPr>
        <w:spacing w:before="120" w:beforeLines="50" w:after="120" w:afterLines="50" w:line="440" w:lineRule="exact"/>
        <w:jc w:val="center"/>
        <w:rPr>
          <w:rFonts w:hint="eastAsia" w:ascii="宋体" w:hAnsi="宋体" w:cs="宋体"/>
          <w:color w:val="auto"/>
          <w:szCs w:val="21"/>
          <w:highlight w:val="none"/>
        </w:rPr>
      </w:pPr>
      <w:r>
        <w:rPr>
          <w:rFonts w:hint="eastAsia" w:ascii="宋体" w:hAnsi="宋体" w:cs="宋体"/>
          <w:color w:val="auto"/>
          <w:szCs w:val="21"/>
          <w:highlight w:val="none"/>
        </w:rPr>
        <w:t>12-3：专业工程暂估价表</w:t>
      </w:r>
    </w:p>
    <w:tbl>
      <w:tblPr>
        <w:tblStyle w:val="47"/>
        <w:tblW w:w="0" w:type="auto"/>
        <w:tblInd w:w="-114"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993"/>
        <w:gridCol w:w="1984"/>
        <w:gridCol w:w="851"/>
        <w:gridCol w:w="774"/>
        <w:gridCol w:w="1352"/>
        <w:gridCol w:w="1418"/>
        <w:gridCol w:w="1701"/>
      </w:tblGrid>
      <w:tr w14:paraId="6767729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Borders>
              <w:top w:val="single" w:color="auto" w:sz="12" w:space="0"/>
              <w:bottom w:val="double" w:color="auto" w:sz="6" w:space="0"/>
            </w:tcBorders>
            <w:noWrap w:val="0"/>
            <w:vAlign w:val="top"/>
          </w:tcPr>
          <w:p w14:paraId="3E3C1B68">
            <w:pPr>
              <w:keepNext/>
              <w:spacing w:line="440" w:lineRule="exact"/>
              <w:rPr>
                <w:rFonts w:hint="eastAsia" w:ascii="宋体" w:hAnsi="宋体" w:cs="宋体"/>
                <w:color w:val="auto"/>
                <w:szCs w:val="21"/>
                <w:highlight w:val="none"/>
              </w:rPr>
            </w:pPr>
            <w:r>
              <w:rPr>
                <w:rFonts w:hint="eastAsia" w:ascii="宋体" w:hAnsi="宋体" w:cs="宋体"/>
                <w:color w:val="auto"/>
                <w:szCs w:val="21"/>
                <w:highlight w:val="none"/>
              </w:rPr>
              <w:t>序号</w:t>
            </w:r>
          </w:p>
        </w:tc>
        <w:tc>
          <w:tcPr>
            <w:tcW w:w="1984" w:type="dxa"/>
            <w:tcBorders>
              <w:top w:val="single" w:color="auto" w:sz="12" w:space="0"/>
              <w:bottom w:val="double" w:color="auto" w:sz="6" w:space="0"/>
            </w:tcBorders>
            <w:noWrap w:val="0"/>
            <w:vAlign w:val="top"/>
          </w:tcPr>
          <w:p w14:paraId="724423E4">
            <w:pPr>
              <w:keepNext/>
              <w:spacing w:line="440" w:lineRule="exact"/>
              <w:rPr>
                <w:rFonts w:hint="eastAsia" w:ascii="宋体" w:hAnsi="宋体" w:cs="宋体"/>
                <w:color w:val="auto"/>
                <w:szCs w:val="21"/>
                <w:highlight w:val="none"/>
              </w:rPr>
            </w:pPr>
            <w:r>
              <w:rPr>
                <w:rFonts w:hint="eastAsia" w:ascii="宋体" w:hAnsi="宋体" w:cs="宋体"/>
                <w:color w:val="auto"/>
                <w:szCs w:val="21"/>
                <w:highlight w:val="none"/>
              </w:rPr>
              <w:t>名称</w:t>
            </w:r>
          </w:p>
        </w:tc>
        <w:tc>
          <w:tcPr>
            <w:tcW w:w="851" w:type="dxa"/>
            <w:tcBorders>
              <w:top w:val="single" w:color="auto" w:sz="12" w:space="0"/>
              <w:bottom w:val="double" w:color="auto" w:sz="6" w:space="0"/>
            </w:tcBorders>
            <w:noWrap w:val="0"/>
            <w:vAlign w:val="top"/>
          </w:tcPr>
          <w:p w14:paraId="2C8673CC">
            <w:pPr>
              <w:keepNext/>
              <w:spacing w:line="440" w:lineRule="exact"/>
              <w:rPr>
                <w:rFonts w:hint="eastAsia" w:ascii="宋体" w:hAnsi="宋体" w:cs="宋体"/>
                <w:color w:val="auto"/>
                <w:szCs w:val="21"/>
                <w:highlight w:val="none"/>
              </w:rPr>
            </w:pPr>
            <w:r>
              <w:rPr>
                <w:rFonts w:hint="eastAsia" w:ascii="宋体" w:hAnsi="宋体" w:cs="宋体"/>
                <w:color w:val="auto"/>
                <w:szCs w:val="21"/>
                <w:highlight w:val="none"/>
              </w:rPr>
              <w:t>单位</w:t>
            </w:r>
          </w:p>
        </w:tc>
        <w:tc>
          <w:tcPr>
            <w:tcW w:w="774" w:type="dxa"/>
            <w:tcBorders>
              <w:top w:val="single" w:color="auto" w:sz="12" w:space="0"/>
              <w:bottom w:val="double" w:color="auto" w:sz="6" w:space="0"/>
            </w:tcBorders>
            <w:noWrap w:val="0"/>
            <w:vAlign w:val="top"/>
          </w:tcPr>
          <w:p w14:paraId="0212C8F5">
            <w:pPr>
              <w:keepNext/>
              <w:spacing w:line="440" w:lineRule="exact"/>
              <w:rPr>
                <w:rFonts w:hint="eastAsia" w:ascii="宋体" w:hAnsi="宋体" w:cs="宋体"/>
                <w:color w:val="auto"/>
                <w:szCs w:val="21"/>
                <w:highlight w:val="none"/>
              </w:rPr>
            </w:pPr>
            <w:r>
              <w:rPr>
                <w:rFonts w:hint="eastAsia" w:ascii="宋体" w:hAnsi="宋体" w:cs="宋体"/>
                <w:color w:val="auto"/>
                <w:szCs w:val="21"/>
                <w:highlight w:val="none"/>
              </w:rPr>
              <w:t>数量</w:t>
            </w:r>
          </w:p>
        </w:tc>
        <w:tc>
          <w:tcPr>
            <w:tcW w:w="1352" w:type="dxa"/>
            <w:tcBorders>
              <w:top w:val="single" w:color="auto" w:sz="12" w:space="0"/>
              <w:bottom w:val="double" w:color="auto" w:sz="6" w:space="0"/>
            </w:tcBorders>
            <w:noWrap w:val="0"/>
            <w:vAlign w:val="top"/>
          </w:tcPr>
          <w:p w14:paraId="22874D65">
            <w:pPr>
              <w:keepNext/>
              <w:spacing w:line="440" w:lineRule="exact"/>
              <w:rPr>
                <w:rFonts w:hint="eastAsia" w:ascii="宋体" w:hAnsi="宋体" w:cs="宋体"/>
                <w:color w:val="auto"/>
                <w:szCs w:val="21"/>
                <w:highlight w:val="none"/>
              </w:rPr>
            </w:pPr>
            <w:r>
              <w:rPr>
                <w:rFonts w:hint="eastAsia" w:ascii="宋体" w:hAnsi="宋体" w:cs="宋体"/>
                <w:color w:val="auto"/>
                <w:szCs w:val="21"/>
                <w:highlight w:val="none"/>
              </w:rPr>
              <w:t>单价（元）</w:t>
            </w:r>
          </w:p>
        </w:tc>
        <w:tc>
          <w:tcPr>
            <w:tcW w:w="1418" w:type="dxa"/>
            <w:tcBorders>
              <w:top w:val="single" w:color="auto" w:sz="12" w:space="0"/>
              <w:bottom w:val="double" w:color="auto" w:sz="6" w:space="0"/>
            </w:tcBorders>
            <w:noWrap w:val="0"/>
            <w:vAlign w:val="top"/>
          </w:tcPr>
          <w:p w14:paraId="071E7B62">
            <w:pPr>
              <w:keepNext/>
              <w:spacing w:line="440" w:lineRule="exact"/>
              <w:rPr>
                <w:rFonts w:hint="eastAsia" w:ascii="宋体" w:hAnsi="宋体" w:cs="宋体"/>
                <w:color w:val="auto"/>
                <w:szCs w:val="21"/>
                <w:highlight w:val="none"/>
              </w:rPr>
            </w:pPr>
            <w:r>
              <w:rPr>
                <w:rFonts w:hint="eastAsia" w:ascii="宋体" w:hAnsi="宋体" w:cs="宋体"/>
                <w:color w:val="auto"/>
                <w:szCs w:val="21"/>
                <w:highlight w:val="none"/>
              </w:rPr>
              <w:t>合价（元）</w:t>
            </w:r>
          </w:p>
        </w:tc>
        <w:tc>
          <w:tcPr>
            <w:tcW w:w="1701" w:type="dxa"/>
            <w:tcBorders>
              <w:top w:val="single" w:color="auto" w:sz="12" w:space="0"/>
              <w:bottom w:val="double" w:color="auto" w:sz="6" w:space="0"/>
            </w:tcBorders>
            <w:noWrap w:val="0"/>
            <w:vAlign w:val="top"/>
          </w:tcPr>
          <w:p w14:paraId="7173EFF0">
            <w:pPr>
              <w:keepNext/>
              <w:spacing w:line="440" w:lineRule="exact"/>
              <w:rPr>
                <w:rFonts w:hint="eastAsia" w:ascii="宋体" w:hAnsi="宋体" w:cs="宋体"/>
                <w:color w:val="auto"/>
                <w:szCs w:val="21"/>
                <w:highlight w:val="none"/>
              </w:rPr>
            </w:pPr>
            <w:r>
              <w:rPr>
                <w:rFonts w:hint="eastAsia" w:ascii="宋体" w:hAnsi="宋体" w:cs="宋体"/>
                <w:color w:val="auto"/>
                <w:szCs w:val="21"/>
                <w:highlight w:val="none"/>
              </w:rPr>
              <w:t>备注</w:t>
            </w:r>
          </w:p>
        </w:tc>
      </w:tr>
      <w:tr w14:paraId="3530031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Borders>
              <w:top w:val="double" w:color="auto" w:sz="6" w:space="0"/>
            </w:tcBorders>
            <w:noWrap w:val="0"/>
            <w:vAlign w:val="top"/>
          </w:tcPr>
          <w:p w14:paraId="439C5BFB">
            <w:pPr>
              <w:keepNext/>
              <w:spacing w:line="440" w:lineRule="exact"/>
              <w:rPr>
                <w:rFonts w:hint="eastAsia" w:ascii="宋体" w:hAnsi="宋体" w:cs="宋体"/>
                <w:color w:val="auto"/>
                <w:szCs w:val="21"/>
                <w:highlight w:val="none"/>
              </w:rPr>
            </w:pPr>
          </w:p>
        </w:tc>
        <w:tc>
          <w:tcPr>
            <w:tcW w:w="1984" w:type="dxa"/>
            <w:tcBorders>
              <w:top w:val="double" w:color="auto" w:sz="6" w:space="0"/>
            </w:tcBorders>
            <w:noWrap w:val="0"/>
            <w:vAlign w:val="top"/>
          </w:tcPr>
          <w:p w14:paraId="0264A07D">
            <w:pPr>
              <w:keepNext/>
              <w:spacing w:line="440" w:lineRule="exact"/>
              <w:rPr>
                <w:rFonts w:hint="eastAsia" w:ascii="宋体" w:hAnsi="宋体" w:cs="宋体"/>
                <w:color w:val="auto"/>
                <w:szCs w:val="21"/>
                <w:highlight w:val="none"/>
              </w:rPr>
            </w:pPr>
          </w:p>
        </w:tc>
        <w:tc>
          <w:tcPr>
            <w:tcW w:w="851" w:type="dxa"/>
            <w:tcBorders>
              <w:top w:val="double" w:color="auto" w:sz="6" w:space="0"/>
            </w:tcBorders>
            <w:noWrap w:val="0"/>
            <w:vAlign w:val="top"/>
          </w:tcPr>
          <w:p w14:paraId="5E5AF91C">
            <w:pPr>
              <w:keepNext/>
              <w:spacing w:line="440" w:lineRule="exact"/>
              <w:rPr>
                <w:rFonts w:hint="eastAsia" w:ascii="宋体" w:hAnsi="宋体" w:cs="宋体"/>
                <w:color w:val="auto"/>
                <w:szCs w:val="21"/>
                <w:highlight w:val="none"/>
              </w:rPr>
            </w:pPr>
          </w:p>
        </w:tc>
        <w:tc>
          <w:tcPr>
            <w:tcW w:w="774" w:type="dxa"/>
            <w:tcBorders>
              <w:top w:val="double" w:color="auto" w:sz="6" w:space="0"/>
            </w:tcBorders>
            <w:noWrap w:val="0"/>
            <w:vAlign w:val="top"/>
          </w:tcPr>
          <w:p w14:paraId="3D3029BC">
            <w:pPr>
              <w:keepNext/>
              <w:spacing w:line="440" w:lineRule="exact"/>
              <w:rPr>
                <w:rFonts w:hint="eastAsia" w:ascii="宋体" w:hAnsi="宋体" w:cs="宋体"/>
                <w:color w:val="auto"/>
                <w:szCs w:val="21"/>
                <w:highlight w:val="none"/>
              </w:rPr>
            </w:pPr>
          </w:p>
        </w:tc>
        <w:tc>
          <w:tcPr>
            <w:tcW w:w="1352" w:type="dxa"/>
            <w:tcBorders>
              <w:top w:val="double" w:color="auto" w:sz="6" w:space="0"/>
            </w:tcBorders>
            <w:noWrap w:val="0"/>
            <w:vAlign w:val="top"/>
          </w:tcPr>
          <w:p w14:paraId="59FFBC7A">
            <w:pPr>
              <w:keepNext/>
              <w:spacing w:line="440" w:lineRule="exact"/>
              <w:rPr>
                <w:rFonts w:hint="eastAsia" w:ascii="宋体" w:hAnsi="宋体" w:cs="宋体"/>
                <w:color w:val="auto"/>
                <w:szCs w:val="21"/>
                <w:highlight w:val="none"/>
              </w:rPr>
            </w:pPr>
          </w:p>
        </w:tc>
        <w:tc>
          <w:tcPr>
            <w:tcW w:w="1418" w:type="dxa"/>
            <w:tcBorders>
              <w:top w:val="double" w:color="auto" w:sz="6" w:space="0"/>
            </w:tcBorders>
            <w:noWrap w:val="0"/>
            <w:vAlign w:val="top"/>
          </w:tcPr>
          <w:p w14:paraId="0EC12B2B">
            <w:pPr>
              <w:keepNext/>
              <w:spacing w:line="440" w:lineRule="exact"/>
              <w:rPr>
                <w:rFonts w:hint="eastAsia" w:ascii="宋体" w:hAnsi="宋体" w:cs="宋体"/>
                <w:color w:val="auto"/>
                <w:szCs w:val="21"/>
                <w:highlight w:val="none"/>
              </w:rPr>
            </w:pPr>
          </w:p>
        </w:tc>
        <w:tc>
          <w:tcPr>
            <w:tcW w:w="1701" w:type="dxa"/>
            <w:tcBorders>
              <w:top w:val="double" w:color="auto" w:sz="6" w:space="0"/>
            </w:tcBorders>
            <w:noWrap w:val="0"/>
            <w:vAlign w:val="top"/>
          </w:tcPr>
          <w:p w14:paraId="5608B9DE">
            <w:pPr>
              <w:keepNext/>
              <w:spacing w:line="440" w:lineRule="exact"/>
              <w:rPr>
                <w:rFonts w:hint="eastAsia" w:ascii="宋体" w:hAnsi="宋体" w:cs="宋体"/>
                <w:color w:val="auto"/>
                <w:szCs w:val="21"/>
                <w:highlight w:val="none"/>
              </w:rPr>
            </w:pPr>
          </w:p>
        </w:tc>
      </w:tr>
      <w:tr w14:paraId="6D743D0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Borders>
              <w:top w:val="nil"/>
            </w:tcBorders>
            <w:noWrap w:val="0"/>
            <w:vAlign w:val="top"/>
          </w:tcPr>
          <w:p w14:paraId="6E6E82D0">
            <w:pPr>
              <w:keepNext/>
              <w:spacing w:line="440" w:lineRule="exact"/>
              <w:rPr>
                <w:rFonts w:hint="eastAsia" w:ascii="宋体" w:hAnsi="宋体" w:cs="宋体"/>
                <w:color w:val="auto"/>
                <w:szCs w:val="21"/>
                <w:highlight w:val="none"/>
              </w:rPr>
            </w:pPr>
          </w:p>
        </w:tc>
        <w:tc>
          <w:tcPr>
            <w:tcW w:w="1984" w:type="dxa"/>
            <w:tcBorders>
              <w:top w:val="nil"/>
            </w:tcBorders>
            <w:noWrap w:val="0"/>
            <w:vAlign w:val="top"/>
          </w:tcPr>
          <w:p w14:paraId="12284527">
            <w:pPr>
              <w:keepNext/>
              <w:spacing w:line="440" w:lineRule="exact"/>
              <w:rPr>
                <w:rFonts w:hint="eastAsia" w:ascii="宋体" w:hAnsi="宋体" w:cs="宋体"/>
                <w:color w:val="auto"/>
                <w:szCs w:val="21"/>
                <w:highlight w:val="none"/>
              </w:rPr>
            </w:pPr>
          </w:p>
        </w:tc>
        <w:tc>
          <w:tcPr>
            <w:tcW w:w="851" w:type="dxa"/>
            <w:tcBorders>
              <w:top w:val="nil"/>
            </w:tcBorders>
            <w:noWrap w:val="0"/>
            <w:vAlign w:val="top"/>
          </w:tcPr>
          <w:p w14:paraId="70E69608">
            <w:pPr>
              <w:keepNext/>
              <w:spacing w:line="440" w:lineRule="exact"/>
              <w:rPr>
                <w:rFonts w:hint="eastAsia" w:ascii="宋体" w:hAnsi="宋体" w:cs="宋体"/>
                <w:color w:val="auto"/>
                <w:szCs w:val="21"/>
                <w:highlight w:val="none"/>
              </w:rPr>
            </w:pPr>
          </w:p>
        </w:tc>
        <w:tc>
          <w:tcPr>
            <w:tcW w:w="774" w:type="dxa"/>
            <w:tcBorders>
              <w:top w:val="nil"/>
            </w:tcBorders>
            <w:noWrap w:val="0"/>
            <w:vAlign w:val="top"/>
          </w:tcPr>
          <w:p w14:paraId="0DD0295D">
            <w:pPr>
              <w:keepNext/>
              <w:spacing w:line="440" w:lineRule="exact"/>
              <w:rPr>
                <w:rFonts w:hint="eastAsia" w:ascii="宋体" w:hAnsi="宋体" w:cs="宋体"/>
                <w:color w:val="auto"/>
                <w:szCs w:val="21"/>
                <w:highlight w:val="none"/>
              </w:rPr>
            </w:pPr>
          </w:p>
        </w:tc>
        <w:tc>
          <w:tcPr>
            <w:tcW w:w="1352" w:type="dxa"/>
            <w:tcBorders>
              <w:top w:val="nil"/>
            </w:tcBorders>
            <w:noWrap w:val="0"/>
            <w:vAlign w:val="top"/>
          </w:tcPr>
          <w:p w14:paraId="2C1DCAC3">
            <w:pPr>
              <w:keepNext/>
              <w:spacing w:line="440" w:lineRule="exact"/>
              <w:rPr>
                <w:rFonts w:hint="eastAsia" w:ascii="宋体" w:hAnsi="宋体" w:cs="宋体"/>
                <w:color w:val="auto"/>
                <w:szCs w:val="21"/>
                <w:highlight w:val="none"/>
              </w:rPr>
            </w:pPr>
          </w:p>
        </w:tc>
        <w:tc>
          <w:tcPr>
            <w:tcW w:w="1418" w:type="dxa"/>
            <w:tcBorders>
              <w:top w:val="nil"/>
            </w:tcBorders>
            <w:noWrap w:val="0"/>
            <w:vAlign w:val="top"/>
          </w:tcPr>
          <w:p w14:paraId="24B5B493">
            <w:pPr>
              <w:keepNext/>
              <w:spacing w:line="440" w:lineRule="exact"/>
              <w:rPr>
                <w:rFonts w:hint="eastAsia" w:ascii="宋体" w:hAnsi="宋体" w:cs="宋体"/>
                <w:color w:val="auto"/>
                <w:szCs w:val="21"/>
                <w:highlight w:val="none"/>
              </w:rPr>
            </w:pPr>
          </w:p>
        </w:tc>
        <w:tc>
          <w:tcPr>
            <w:tcW w:w="1701" w:type="dxa"/>
            <w:tcBorders>
              <w:top w:val="nil"/>
            </w:tcBorders>
            <w:noWrap w:val="0"/>
            <w:vAlign w:val="top"/>
          </w:tcPr>
          <w:p w14:paraId="145F922C">
            <w:pPr>
              <w:keepNext/>
              <w:spacing w:line="440" w:lineRule="exact"/>
              <w:rPr>
                <w:rFonts w:hint="eastAsia" w:ascii="宋体" w:hAnsi="宋体" w:cs="宋体"/>
                <w:color w:val="auto"/>
                <w:szCs w:val="21"/>
                <w:highlight w:val="none"/>
              </w:rPr>
            </w:pPr>
          </w:p>
        </w:tc>
      </w:tr>
      <w:tr w14:paraId="7C17F46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5B6FE335">
            <w:pPr>
              <w:keepNext/>
              <w:spacing w:line="440" w:lineRule="exact"/>
              <w:rPr>
                <w:rFonts w:hint="eastAsia" w:ascii="宋体" w:hAnsi="宋体" w:cs="宋体"/>
                <w:color w:val="auto"/>
                <w:szCs w:val="21"/>
                <w:highlight w:val="none"/>
              </w:rPr>
            </w:pPr>
          </w:p>
        </w:tc>
        <w:tc>
          <w:tcPr>
            <w:tcW w:w="1984" w:type="dxa"/>
            <w:noWrap w:val="0"/>
            <w:vAlign w:val="top"/>
          </w:tcPr>
          <w:p w14:paraId="45C64E04">
            <w:pPr>
              <w:keepNext/>
              <w:spacing w:line="440" w:lineRule="exact"/>
              <w:rPr>
                <w:rFonts w:hint="eastAsia" w:ascii="宋体" w:hAnsi="宋体" w:cs="宋体"/>
                <w:color w:val="auto"/>
                <w:szCs w:val="21"/>
                <w:highlight w:val="none"/>
              </w:rPr>
            </w:pPr>
          </w:p>
        </w:tc>
        <w:tc>
          <w:tcPr>
            <w:tcW w:w="851" w:type="dxa"/>
            <w:noWrap w:val="0"/>
            <w:vAlign w:val="top"/>
          </w:tcPr>
          <w:p w14:paraId="357A14D0">
            <w:pPr>
              <w:keepNext/>
              <w:spacing w:line="440" w:lineRule="exact"/>
              <w:rPr>
                <w:rFonts w:hint="eastAsia" w:ascii="宋体" w:hAnsi="宋体" w:cs="宋体"/>
                <w:color w:val="auto"/>
                <w:szCs w:val="21"/>
                <w:highlight w:val="none"/>
              </w:rPr>
            </w:pPr>
          </w:p>
        </w:tc>
        <w:tc>
          <w:tcPr>
            <w:tcW w:w="774" w:type="dxa"/>
            <w:noWrap w:val="0"/>
            <w:vAlign w:val="top"/>
          </w:tcPr>
          <w:p w14:paraId="74BFE32C">
            <w:pPr>
              <w:keepNext/>
              <w:spacing w:line="440" w:lineRule="exact"/>
              <w:rPr>
                <w:rFonts w:hint="eastAsia" w:ascii="宋体" w:hAnsi="宋体" w:cs="宋体"/>
                <w:color w:val="auto"/>
                <w:szCs w:val="21"/>
                <w:highlight w:val="none"/>
              </w:rPr>
            </w:pPr>
          </w:p>
        </w:tc>
        <w:tc>
          <w:tcPr>
            <w:tcW w:w="1352" w:type="dxa"/>
            <w:noWrap w:val="0"/>
            <w:vAlign w:val="top"/>
          </w:tcPr>
          <w:p w14:paraId="4BB5C7A5">
            <w:pPr>
              <w:keepNext/>
              <w:spacing w:line="440" w:lineRule="exact"/>
              <w:rPr>
                <w:rFonts w:hint="eastAsia" w:ascii="宋体" w:hAnsi="宋体" w:cs="宋体"/>
                <w:color w:val="auto"/>
                <w:szCs w:val="21"/>
                <w:highlight w:val="none"/>
              </w:rPr>
            </w:pPr>
          </w:p>
        </w:tc>
        <w:tc>
          <w:tcPr>
            <w:tcW w:w="1418" w:type="dxa"/>
            <w:noWrap w:val="0"/>
            <w:vAlign w:val="top"/>
          </w:tcPr>
          <w:p w14:paraId="0118D557">
            <w:pPr>
              <w:keepNext/>
              <w:spacing w:line="440" w:lineRule="exact"/>
              <w:rPr>
                <w:rFonts w:hint="eastAsia" w:ascii="宋体" w:hAnsi="宋体" w:cs="宋体"/>
                <w:color w:val="auto"/>
                <w:szCs w:val="21"/>
                <w:highlight w:val="none"/>
              </w:rPr>
            </w:pPr>
          </w:p>
        </w:tc>
        <w:tc>
          <w:tcPr>
            <w:tcW w:w="1701" w:type="dxa"/>
            <w:noWrap w:val="0"/>
            <w:vAlign w:val="top"/>
          </w:tcPr>
          <w:p w14:paraId="72920754">
            <w:pPr>
              <w:keepNext/>
              <w:spacing w:line="440" w:lineRule="exact"/>
              <w:rPr>
                <w:rFonts w:hint="eastAsia" w:ascii="宋体" w:hAnsi="宋体" w:cs="宋体"/>
                <w:color w:val="auto"/>
                <w:szCs w:val="21"/>
                <w:highlight w:val="none"/>
              </w:rPr>
            </w:pPr>
          </w:p>
        </w:tc>
      </w:tr>
      <w:tr w14:paraId="4E179C9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Borders>
              <w:bottom w:val="single" w:color="auto" w:sz="12" w:space="0"/>
            </w:tcBorders>
            <w:noWrap w:val="0"/>
            <w:vAlign w:val="top"/>
          </w:tcPr>
          <w:p w14:paraId="25107FFF">
            <w:pPr>
              <w:keepNext/>
              <w:spacing w:line="440" w:lineRule="exact"/>
              <w:rPr>
                <w:rFonts w:hint="eastAsia" w:ascii="宋体" w:hAnsi="宋体" w:cs="宋体"/>
                <w:color w:val="auto"/>
                <w:szCs w:val="21"/>
                <w:highlight w:val="none"/>
              </w:rPr>
            </w:pPr>
          </w:p>
        </w:tc>
        <w:tc>
          <w:tcPr>
            <w:tcW w:w="1984" w:type="dxa"/>
            <w:tcBorders>
              <w:bottom w:val="single" w:color="auto" w:sz="12" w:space="0"/>
            </w:tcBorders>
            <w:noWrap w:val="0"/>
            <w:vAlign w:val="top"/>
          </w:tcPr>
          <w:p w14:paraId="768B1051">
            <w:pPr>
              <w:keepNext/>
              <w:spacing w:line="440" w:lineRule="exact"/>
              <w:rPr>
                <w:rFonts w:hint="eastAsia" w:ascii="宋体" w:hAnsi="宋体" w:cs="宋体"/>
                <w:color w:val="auto"/>
                <w:szCs w:val="21"/>
                <w:highlight w:val="none"/>
              </w:rPr>
            </w:pPr>
          </w:p>
        </w:tc>
        <w:tc>
          <w:tcPr>
            <w:tcW w:w="851" w:type="dxa"/>
            <w:tcBorders>
              <w:bottom w:val="single" w:color="auto" w:sz="12" w:space="0"/>
            </w:tcBorders>
            <w:noWrap w:val="0"/>
            <w:vAlign w:val="top"/>
          </w:tcPr>
          <w:p w14:paraId="39BBEDE4">
            <w:pPr>
              <w:keepNext/>
              <w:spacing w:line="440" w:lineRule="exact"/>
              <w:rPr>
                <w:rFonts w:hint="eastAsia" w:ascii="宋体" w:hAnsi="宋体" w:cs="宋体"/>
                <w:color w:val="auto"/>
                <w:szCs w:val="21"/>
                <w:highlight w:val="none"/>
              </w:rPr>
            </w:pPr>
          </w:p>
        </w:tc>
        <w:tc>
          <w:tcPr>
            <w:tcW w:w="774" w:type="dxa"/>
            <w:tcBorders>
              <w:bottom w:val="single" w:color="auto" w:sz="12" w:space="0"/>
            </w:tcBorders>
            <w:noWrap w:val="0"/>
            <w:vAlign w:val="top"/>
          </w:tcPr>
          <w:p w14:paraId="566F379B">
            <w:pPr>
              <w:keepNext/>
              <w:spacing w:line="440" w:lineRule="exact"/>
              <w:rPr>
                <w:rFonts w:hint="eastAsia" w:ascii="宋体" w:hAnsi="宋体" w:cs="宋体"/>
                <w:color w:val="auto"/>
                <w:szCs w:val="21"/>
                <w:highlight w:val="none"/>
              </w:rPr>
            </w:pPr>
          </w:p>
        </w:tc>
        <w:tc>
          <w:tcPr>
            <w:tcW w:w="1352" w:type="dxa"/>
            <w:tcBorders>
              <w:bottom w:val="single" w:color="auto" w:sz="12" w:space="0"/>
            </w:tcBorders>
            <w:noWrap w:val="0"/>
            <w:vAlign w:val="top"/>
          </w:tcPr>
          <w:p w14:paraId="05B28DCA">
            <w:pPr>
              <w:keepNext/>
              <w:spacing w:line="440" w:lineRule="exact"/>
              <w:rPr>
                <w:rFonts w:hint="eastAsia" w:ascii="宋体" w:hAnsi="宋体" w:cs="宋体"/>
                <w:color w:val="auto"/>
                <w:szCs w:val="21"/>
                <w:highlight w:val="none"/>
              </w:rPr>
            </w:pPr>
          </w:p>
        </w:tc>
        <w:tc>
          <w:tcPr>
            <w:tcW w:w="1418" w:type="dxa"/>
            <w:tcBorders>
              <w:bottom w:val="single" w:color="auto" w:sz="12" w:space="0"/>
            </w:tcBorders>
            <w:noWrap w:val="0"/>
            <w:vAlign w:val="top"/>
          </w:tcPr>
          <w:p w14:paraId="6E2C0550">
            <w:pPr>
              <w:keepNext/>
              <w:spacing w:line="440" w:lineRule="exact"/>
              <w:rPr>
                <w:rFonts w:hint="eastAsia" w:ascii="宋体" w:hAnsi="宋体" w:cs="宋体"/>
                <w:color w:val="auto"/>
                <w:szCs w:val="21"/>
                <w:highlight w:val="none"/>
              </w:rPr>
            </w:pPr>
          </w:p>
        </w:tc>
        <w:tc>
          <w:tcPr>
            <w:tcW w:w="1701" w:type="dxa"/>
            <w:tcBorders>
              <w:bottom w:val="single" w:color="auto" w:sz="12" w:space="0"/>
            </w:tcBorders>
            <w:noWrap w:val="0"/>
            <w:vAlign w:val="top"/>
          </w:tcPr>
          <w:p w14:paraId="18C61A61">
            <w:pPr>
              <w:keepNext/>
              <w:spacing w:line="440" w:lineRule="exact"/>
              <w:rPr>
                <w:rFonts w:hint="eastAsia" w:ascii="宋体" w:hAnsi="宋体" w:cs="宋体"/>
                <w:color w:val="auto"/>
                <w:szCs w:val="21"/>
                <w:highlight w:val="none"/>
              </w:rPr>
            </w:pPr>
          </w:p>
        </w:tc>
      </w:tr>
    </w:tbl>
    <w:p w14:paraId="69A4248F">
      <w:pPr>
        <w:rPr>
          <w:rFonts w:hint="eastAsia" w:ascii="宋体" w:hAnsi="宋体" w:cs="宋体"/>
          <w:color w:val="auto"/>
          <w:szCs w:val="21"/>
          <w:highlight w:val="none"/>
        </w:rPr>
      </w:pPr>
    </w:p>
    <w:p w14:paraId="27D60EF3">
      <w:pPr>
        <w:rPr>
          <w:rFonts w:hint="eastAsia" w:ascii="宋体" w:hAnsi="宋体" w:cs="宋体"/>
          <w:color w:val="auto"/>
          <w:szCs w:val="22"/>
          <w:highlight w:val="none"/>
        </w:rPr>
      </w:pPr>
    </w:p>
    <w:p w14:paraId="21E00BB7">
      <w:pPr>
        <w:rPr>
          <w:rFonts w:hint="eastAsia" w:ascii="宋体" w:hAnsi="宋体" w:cs="宋体"/>
          <w:color w:val="auto"/>
          <w:szCs w:val="22"/>
          <w:highlight w:val="none"/>
        </w:rPr>
      </w:pPr>
    </w:p>
    <w:p w14:paraId="76251519">
      <w:pPr>
        <w:keepNext/>
        <w:keepLines/>
        <w:spacing w:before="120" w:after="120" w:line="360" w:lineRule="auto"/>
        <w:jc w:val="left"/>
        <w:outlineLvl w:val="2"/>
        <w:rPr>
          <w:rFonts w:hint="eastAsia" w:ascii="宋体" w:hAnsi="宋体" w:cs="宋体"/>
          <w:color w:val="auto"/>
          <w:highlight w:val="none"/>
        </w:rPr>
        <w:sectPr>
          <w:footnotePr>
            <w:numFmt w:val="decimalEnclosedCircleChinese"/>
            <w:numRestart w:val="eachPage"/>
          </w:footnotePr>
          <w:pgSz w:w="11907" w:h="16840"/>
          <w:pgMar w:top="1474" w:right="1474" w:bottom="1474" w:left="1474" w:header="799" w:footer="907" w:gutter="0"/>
          <w:pgNumType w:fmt="decimal"/>
          <w:cols w:space="720" w:num="1"/>
          <w:docGrid w:linePitch="271" w:charSpace="0"/>
        </w:sectPr>
      </w:pPr>
    </w:p>
    <w:p w14:paraId="0E815E15">
      <w:pPr>
        <w:keepNext/>
        <w:keepLines/>
        <w:spacing w:before="120" w:after="120" w:line="360" w:lineRule="auto"/>
        <w:jc w:val="left"/>
        <w:outlineLvl w:val="2"/>
        <w:rPr>
          <w:rFonts w:hint="eastAsia" w:ascii="宋体" w:hAnsi="宋体" w:cs="宋体"/>
          <w:bCs/>
          <w:color w:val="auto"/>
          <w:sz w:val="24"/>
          <w:highlight w:val="none"/>
        </w:rPr>
      </w:pPr>
      <w:bookmarkStart w:id="952" w:name="_Toc95223511"/>
      <w:r>
        <w:rPr>
          <w:rFonts w:hint="eastAsia" w:ascii="宋体" w:hAnsi="宋体" w:cs="宋体"/>
          <w:bCs/>
          <w:color w:val="auto"/>
          <w:sz w:val="24"/>
          <w:highlight w:val="none"/>
        </w:rPr>
        <w:t>附件12：安全生产合同</w:t>
      </w:r>
      <w:bookmarkEnd w:id="952"/>
    </w:p>
    <w:p w14:paraId="16311529">
      <w:pPr>
        <w:adjustRightInd w:val="0"/>
        <w:snapToGrid w:val="0"/>
        <w:spacing w:line="360" w:lineRule="auto"/>
        <w:jc w:val="center"/>
        <w:rPr>
          <w:rFonts w:hint="eastAsia" w:ascii="宋体" w:hAnsi="宋体" w:cs="宋体"/>
          <w:b/>
          <w:color w:val="auto"/>
          <w:sz w:val="32"/>
          <w:szCs w:val="32"/>
          <w:highlight w:val="none"/>
        </w:rPr>
      </w:pPr>
      <w:bookmarkStart w:id="953" w:name="_Toc32439"/>
      <w:bookmarkStart w:id="954" w:name="_Toc95223512"/>
      <w:bookmarkStart w:id="955" w:name="_Toc16956"/>
      <w:r>
        <w:rPr>
          <w:rFonts w:hint="eastAsia" w:ascii="宋体" w:hAnsi="宋体" w:cs="宋体"/>
          <w:b/>
          <w:color w:val="auto"/>
          <w:sz w:val="32"/>
          <w:szCs w:val="32"/>
          <w:highlight w:val="none"/>
        </w:rPr>
        <w:t>安全生产合同</w:t>
      </w:r>
      <w:bookmarkEnd w:id="953"/>
      <w:bookmarkEnd w:id="954"/>
      <w:bookmarkEnd w:id="955"/>
    </w:p>
    <w:p w14:paraId="2BF6B125">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为在</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（项目名称）</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（标段）施工合同的实施过程中创造安全、高效的施工环境，切实搞好本项目的安全管理工作，本项目发包人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（发包人名称，以下简称“发包人”）与承包人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（承包人名称，以下简称“承包人”）特此签订安全生产合同：</w:t>
      </w:r>
    </w:p>
    <w:p w14:paraId="5E2ABC17">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1.发包人职责</w:t>
      </w:r>
    </w:p>
    <w:p w14:paraId="3B51A493">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（1）严格遵守国家有关安全生产的法律法规，认真执行工程承包合同中的有关安全要求。</w:t>
      </w:r>
    </w:p>
    <w:p w14:paraId="01345DF8">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（2）按照“安全第一、预防为主”和坚持“管生产必须管安全”的原则进行安全生产管理，做到生产与安全工作同时计划、布置、检查、总结和评比。</w:t>
      </w:r>
    </w:p>
    <w:p w14:paraId="374DF670">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（3）重要的安全设施必须坚持与主体工程“三同时”的原则，即：同时设计、审批，同时施工，同时验收，投入使用。</w:t>
      </w:r>
    </w:p>
    <w:p w14:paraId="12F3CE58">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（4）定期召开安全生产调度会，及时传达中央及地方有关安全生产的精神。</w:t>
      </w:r>
    </w:p>
    <w:p w14:paraId="2142C9EC">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（5）组织对承包人施工现场安全生产检查，监督承包人及时处理发现的各种安全隐患。</w:t>
      </w:r>
    </w:p>
    <w:p w14:paraId="27CAA762">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2.承包人职责</w:t>
      </w:r>
    </w:p>
    <w:p w14:paraId="197870BB">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严格遵守《中华人民共和国安全生产法》、《建设工程安全生产管理条例》等国家有关安全生产的法律法规、《建设项目安全设施“三同时”监督管理办法》等有关安全生产的规定。认真执行工程承包合同中的有关安全要求。</w:t>
      </w:r>
    </w:p>
    <w:p w14:paraId="240F67AB">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坚持“安全第一、预防为主”和“管生产必须管安全”的原则，加强安全生产宣传教育，增强全员安全生产意识，建立健全各项安全生产的管理机构和安全生产管理制度，配备专职及兼职安全检查人员，有组织有领导地开展安全生产活动。各级领导、工程技术人员、生产管理人员和具体操作人员，必须熟悉和遵守本合同的各项规定，做到生产与安全工作同时计划、布置、检查、总结和评比。</w:t>
      </w:r>
    </w:p>
    <w:p w14:paraId="7E19E5F4">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建立健全安全生产责任制。从派往项目实施的项目经理到生产工人（包括临时雇请的民工）的安全生产管理系统必须做到纵向到底，—环不漏；各职能部门、人员的安全生产责任制做到横向到边，人人有责。项目经理是安全生产的第一责任人。现场设置的安全机构，应按《建设工程安全生产管理条例》及有关规定的配备专职安全生产管理人员，专职负责所有员工的安全和治安保卫工作及预防事故的发生。安全机构人员有权按有关规定发布指令，并采取保护性措施防止事故发生。</w:t>
      </w:r>
    </w:p>
    <w:p w14:paraId="7025E977">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（4）承包人在任何时候都应采取各种合理的预防措施，防止其员工发生任何违法、违禁、暴力或妨碍治安的行为。</w:t>
      </w:r>
    </w:p>
    <w:p w14:paraId="7C462648">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承包人必须具有劳动安全管理部门颁发的安全生产考核合格证书，参加施工的人员，必须接受安全技术教育，熟知和遵守本工种的各项安全技术操作规程，定期进行安全技术考核，合格者方准上岗操作。对于从事电气、起重、建筑登高架设作业、锅炉、压力容器、焊接、机动车船艇驾驶、爆破、潜水、瓦斯检验等特殊工种的人员，经过专业培训，获得《安全操作合格证》后，方准持证上岗。施工现场如出现特种作业无证操作现象时，项目经理必须承担管理责任。</w:t>
      </w:r>
    </w:p>
    <w:p w14:paraId="2F1B2B2A">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6）对于易燃易爆的材料除应专门妥善保管之外，还应配备有足够的消防设施，所有施工人员都应熟悉消防设备的性能和使用方法；承包人不得将任何种类的爆炸物给予、易货或以其他方式转让给任何其他人，或允许、容忍上述同样行为。</w:t>
      </w:r>
    </w:p>
    <w:p w14:paraId="4F4117B9">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（7）操作人员上岗，必须按规定穿戴防护用品。施工负责人和安全检查员应随时检查劳动防护用品的穿戴情况，不按规定穿戴防护用品的人员不得上岗。</w:t>
      </w:r>
    </w:p>
    <w:p w14:paraId="1E280170">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（8）所有施工机具设备和高空作业的设备均应定期检查，并有安全员的签字记录，保证其经常处于完好状态；不合格的机具、设备和劳动保护用品严禁使用：</w:t>
      </w:r>
    </w:p>
    <w:p w14:paraId="1C0E4923">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（9）施工中采用新技术、新工艺、新设备、新材料时，必须制定相应的安全技术措施，施工现场必须具有相关的安全标志牌。</w:t>
      </w:r>
    </w:p>
    <w:p w14:paraId="18C3E45A">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10）承包人必须按照本工程项目特点，组织制定本工程实施中的生产安全事故应急救援预案；如果发生安全事故，应按照《国务院关于特大安全事故行政责任追究的规定》以及其他有关规定，及时上报有关部门，并坚持“四不放过”的原则．严肃处理相关责任人。</w:t>
      </w:r>
    </w:p>
    <w:p w14:paraId="17074C82">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（11）安全生产费用按照《建设工程安全生产管理条例》的相关规定使用和管理。</w:t>
      </w:r>
    </w:p>
    <w:p w14:paraId="7C9159BF">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3.违约责任</w:t>
      </w:r>
    </w:p>
    <w:p w14:paraId="1B4202E4">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如因发包人或承包人违约造成安全事故，将依法追究责任。</w:t>
      </w:r>
    </w:p>
    <w:p w14:paraId="58543053">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4.本合同由双方法定代表人或其授权的代理人签署并加盖单位章后生效，全部工程竣工验收后失效。</w:t>
      </w:r>
    </w:p>
    <w:p w14:paraId="4BA2A912">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5.本合同正本—式</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份，副本</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份，合同双方各执正本—份，副本</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份，当正本与副本的内容不一致时，以正本为准。</w:t>
      </w:r>
    </w:p>
    <w:p w14:paraId="1B334BA6">
      <w:pPr>
        <w:spacing w:line="360" w:lineRule="auto"/>
        <w:rPr>
          <w:rFonts w:hint="eastAsia" w:ascii="宋体" w:hAnsi="宋体" w:cs="宋体"/>
          <w:color w:val="auto"/>
          <w:szCs w:val="21"/>
          <w:highlight w:val="none"/>
        </w:rPr>
      </w:pPr>
    </w:p>
    <w:p w14:paraId="0DC4D82C">
      <w:pPr>
        <w:spacing w:line="360" w:lineRule="auto"/>
        <w:rPr>
          <w:rFonts w:hint="eastAsia" w:ascii="宋体" w:hAnsi="宋体" w:cs="宋体"/>
          <w:color w:val="auto"/>
          <w:szCs w:val="21"/>
          <w:highlight w:val="none"/>
        </w:rPr>
      </w:pPr>
    </w:p>
    <w:p w14:paraId="386A0618">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发包人：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（盖单位章）           承包人：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（盖单位章）</w:t>
      </w:r>
    </w:p>
    <w:p w14:paraId="60726E5B">
      <w:pPr>
        <w:spacing w:line="360" w:lineRule="auto"/>
        <w:rPr>
          <w:rFonts w:hint="eastAsia" w:ascii="宋体" w:hAnsi="宋体" w:cs="宋体"/>
          <w:color w:val="auto"/>
          <w:szCs w:val="21"/>
          <w:highlight w:val="none"/>
        </w:rPr>
      </w:pPr>
    </w:p>
    <w:p w14:paraId="7DB6572D">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法定代表人或其委托代理人：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（签字）           法定代表人或其委托代理人：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（签字）</w:t>
      </w:r>
    </w:p>
    <w:p w14:paraId="67196D8A">
      <w:pPr>
        <w:spacing w:line="360" w:lineRule="auto"/>
        <w:rPr>
          <w:rFonts w:hint="eastAsia" w:ascii="宋体" w:hAnsi="宋体" w:cs="宋体"/>
          <w:color w:val="auto"/>
          <w:szCs w:val="21"/>
          <w:highlight w:val="none"/>
        </w:rPr>
      </w:pPr>
    </w:p>
    <w:p w14:paraId="2F670A70">
      <w:pPr>
        <w:spacing w:line="360" w:lineRule="auto"/>
        <w:ind w:firstLine="840"/>
        <w:rPr>
          <w:rFonts w:ascii="宋体" w:hAnsi="宋体" w:cs="宋体"/>
          <w:bCs/>
          <w:color w:val="auto"/>
          <w:kern w:val="44"/>
          <w:sz w:val="32"/>
          <w:szCs w:val="44"/>
          <w:highlight w:val="none"/>
        </w:rPr>
      </w:pPr>
      <w:r>
        <w:rPr>
          <w:rFonts w:hint="eastAsia" w:ascii="宋体" w:hAnsi="宋体" w:cs="宋体"/>
          <w:color w:val="auto"/>
          <w:szCs w:val="21"/>
          <w:highlight w:val="none"/>
        </w:rPr>
        <w:t xml:space="preserve">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月</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日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月</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日</w:t>
      </w:r>
    </w:p>
    <w:p w14:paraId="6E0E33CA">
      <w:pPr>
        <w:rPr>
          <w:rFonts w:ascii="宋体" w:hAnsi="宋体" w:cs="宋体"/>
          <w:color w:val="auto"/>
          <w:sz w:val="32"/>
          <w:szCs w:val="44"/>
          <w:highlight w:val="none"/>
        </w:rPr>
      </w:pPr>
    </w:p>
    <w:p w14:paraId="2BD0D5E9">
      <w:pPr>
        <w:rPr>
          <w:rFonts w:ascii="宋体" w:hAnsi="宋体" w:cs="宋体"/>
          <w:color w:val="auto"/>
          <w:sz w:val="32"/>
          <w:szCs w:val="44"/>
          <w:highlight w:val="none"/>
        </w:rPr>
      </w:pPr>
    </w:p>
    <w:p w14:paraId="05A97EBE">
      <w:pPr>
        <w:tabs>
          <w:tab w:val="left" w:pos="2820"/>
        </w:tabs>
        <w:outlineLvl w:val="2"/>
        <w:rPr>
          <w:rFonts w:hint="eastAsia" w:ascii="宋体" w:hAnsi="宋体" w:cs="宋体"/>
          <w:color w:val="auto"/>
          <w:sz w:val="32"/>
          <w:szCs w:val="44"/>
          <w:highlight w:val="none"/>
        </w:rPr>
      </w:pPr>
      <w:r>
        <w:rPr>
          <w:rFonts w:hint="eastAsia" w:ascii="宋体" w:hAnsi="宋体" w:cs="宋体"/>
          <w:color w:val="auto"/>
          <w:sz w:val="32"/>
          <w:szCs w:val="44"/>
          <w:highlight w:val="none"/>
        </w:rPr>
        <w:br w:type="page"/>
      </w:r>
      <w:bookmarkStart w:id="956" w:name="_Toc95223513"/>
      <w:r>
        <w:rPr>
          <w:rFonts w:hint="eastAsia" w:ascii="宋体" w:hAnsi="宋体" w:cs="宋体"/>
          <w:bCs/>
          <w:color w:val="auto"/>
          <w:sz w:val="24"/>
          <w:highlight w:val="none"/>
        </w:rPr>
        <w:t>附件1</w:t>
      </w:r>
      <w:r>
        <w:rPr>
          <w:rFonts w:hint="eastAsia" w:ascii="宋体" w:hAnsi="宋体" w:cs="宋体"/>
          <w:bCs/>
          <w:color w:val="auto"/>
          <w:sz w:val="24"/>
          <w:highlight w:val="none"/>
          <w:lang w:val="en-US" w:eastAsia="zh-CN"/>
        </w:rPr>
        <w:t>3</w:t>
      </w:r>
      <w:r>
        <w:rPr>
          <w:rFonts w:hint="eastAsia" w:ascii="宋体" w:hAnsi="宋体" w:cs="宋体"/>
          <w:bCs/>
          <w:color w:val="auto"/>
          <w:sz w:val="24"/>
          <w:highlight w:val="none"/>
        </w:rPr>
        <w:t>：</w:t>
      </w:r>
      <w:bookmarkEnd w:id="956"/>
    </w:p>
    <w:p w14:paraId="03D018A6">
      <w:pPr>
        <w:adjustRightInd w:val="0"/>
        <w:snapToGrid w:val="0"/>
        <w:spacing w:line="360" w:lineRule="auto"/>
        <w:jc w:val="center"/>
        <w:rPr>
          <w:rFonts w:hint="eastAsia" w:ascii="宋体" w:hAnsi="宋体" w:cs="宋体"/>
          <w:b/>
          <w:color w:val="auto"/>
          <w:sz w:val="32"/>
          <w:szCs w:val="32"/>
          <w:highlight w:val="none"/>
        </w:rPr>
      </w:pPr>
      <w:bookmarkStart w:id="957" w:name="_Toc95223514"/>
      <w:bookmarkStart w:id="958" w:name="_Toc19059"/>
      <w:bookmarkStart w:id="959" w:name="_Toc20282"/>
      <w:r>
        <w:rPr>
          <w:rFonts w:hint="eastAsia" w:ascii="宋体" w:hAnsi="宋体" w:cs="宋体"/>
          <w:b/>
          <w:color w:val="auto"/>
          <w:sz w:val="32"/>
          <w:szCs w:val="32"/>
          <w:highlight w:val="none"/>
        </w:rPr>
        <w:t>项目经理质量终身责任制承诺</w:t>
      </w:r>
      <w:bookmarkEnd w:id="957"/>
      <w:bookmarkEnd w:id="958"/>
      <w:bookmarkEnd w:id="959"/>
    </w:p>
    <w:p w14:paraId="56731305">
      <w:pPr>
        <w:adjustRightInd w:val="0"/>
        <w:snapToGrid w:val="0"/>
        <w:spacing w:line="360" w:lineRule="auto"/>
        <w:rPr>
          <w:rFonts w:hint="eastAsia" w:ascii="宋体" w:hAnsi="宋体" w:cs="宋体"/>
          <w:bCs/>
          <w:color w:val="auto"/>
          <w:sz w:val="24"/>
          <w:szCs w:val="21"/>
          <w:highlight w:val="none"/>
        </w:rPr>
      </w:pPr>
      <w:r>
        <w:rPr>
          <w:rFonts w:hint="eastAsia" w:ascii="宋体" w:hAnsi="宋体" w:cs="宋体"/>
          <w:bCs/>
          <w:color w:val="auto"/>
          <w:sz w:val="24"/>
          <w:szCs w:val="21"/>
          <w:highlight w:val="none"/>
        </w:rPr>
        <w:t>致：______________(招标人名称)</w:t>
      </w:r>
    </w:p>
    <w:p w14:paraId="277186F9">
      <w:pPr>
        <w:adjustRightInd w:val="0"/>
        <w:snapToGrid w:val="0"/>
        <w:spacing w:line="360" w:lineRule="auto"/>
        <w:ind w:firstLine="480" w:firstLineChars="200"/>
        <w:rPr>
          <w:rFonts w:hint="eastAsia" w:ascii="宋体" w:hAnsi="宋体" w:cs="宋体"/>
          <w:bCs/>
          <w:color w:val="auto"/>
          <w:sz w:val="24"/>
          <w:szCs w:val="21"/>
          <w:highlight w:val="none"/>
        </w:rPr>
      </w:pPr>
      <w:r>
        <w:rPr>
          <w:rFonts w:hint="eastAsia" w:ascii="宋体" w:hAnsi="宋体" w:cs="宋体"/>
          <w:bCs/>
          <w:color w:val="auto"/>
          <w:sz w:val="24"/>
          <w:szCs w:val="21"/>
          <w:highlight w:val="none"/>
        </w:rPr>
        <w:t>本人作为拟委任的施工项目经理，承担相关质量终身责任，现郑重承诺如下：</w:t>
      </w:r>
    </w:p>
    <w:p w14:paraId="7189D1B4">
      <w:pPr>
        <w:adjustRightInd w:val="0"/>
        <w:snapToGrid w:val="0"/>
        <w:spacing w:line="360" w:lineRule="auto"/>
        <w:ind w:firstLine="480" w:firstLineChars="200"/>
        <w:rPr>
          <w:rFonts w:hint="eastAsia" w:ascii="宋体" w:hAnsi="宋体" w:cs="宋体"/>
          <w:bCs/>
          <w:color w:val="auto"/>
          <w:sz w:val="24"/>
          <w:szCs w:val="21"/>
          <w:highlight w:val="none"/>
        </w:rPr>
      </w:pPr>
      <w:r>
        <w:rPr>
          <w:rFonts w:hint="eastAsia" w:ascii="宋体" w:hAnsi="宋体" w:cs="宋体"/>
          <w:bCs/>
          <w:color w:val="auto"/>
          <w:sz w:val="24"/>
          <w:szCs w:val="21"/>
          <w:highlight w:val="none"/>
        </w:rPr>
        <w:t>一、在取得施工许可证后进行施工。</w:t>
      </w:r>
    </w:p>
    <w:p w14:paraId="3C1D143B">
      <w:pPr>
        <w:adjustRightInd w:val="0"/>
        <w:snapToGrid w:val="0"/>
        <w:spacing w:line="360" w:lineRule="auto"/>
        <w:ind w:firstLine="480" w:firstLineChars="200"/>
        <w:rPr>
          <w:rFonts w:hint="eastAsia" w:ascii="宋体" w:hAnsi="宋体" w:cs="宋体"/>
          <w:bCs/>
          <w:color w:val="auto"/>
          <w:sz w:val="24"/>
          <w:szCs w:val="21"/>
          <w:highlight w:val="none"/>
        </w:rPr>
      </w:pPr>
      <w:r>
        <w:rPr>
          <w:rFonts w:hint="eastAsia" w:ascii="宋体" w:hAnsi="宋体" w:cs="宋体"/>
          <w:bCs/>
          <w:color w:val="auto"/>
          <w:sz w:val="24"/>
          <w:szCs w:val="21"/>
          <w:highlight w:val="none"/>
        </w:rPr>
        <w:t>二、严格执行施工规范及标准。</w:t>
      </w:r>
    </w:p>
    <w:p w14:paraId="5F9963B1">
      <w:pPr>
        <w:adjustRightInd w:val="0"/>
        <w:snapToGrid w:val="0"/>
        <w:spacing w:line="360" w:lineRule="auto"/>
        <w:ind w:firstLine="480" w:firstLineChars="200"/>
        <w:rPr>
          <w:rFonts w:hint="eastAsia" w:ascii="宋体" w:hAnsi="宋体" w:cs="宋体"/>
          <w:bCs/>
          <w:color w:val="auto"/>
          <w:sz w:val="24"/>
          <w:szCs w:val="21"/>
          <w:highlight w:val="none"/>
        </w:rPr>
      </w:pPr>
      <w:r>
        <w:rPr>
          <w:rFonts w:hint="eastAsia" w:ascii="宋体" w:hAnsi="宋体" w:cs="宋体"/>
          <w:bCs/>
          <w:color w:val="auto"/>
          <w:sz w:val="24"/>
          <w:szCs w:val="21"/>
          <w:highlight w:val="none"/>
        </w:rPr>
        <w:t>三、严格按规定配备施工项目部关键岗位人员，并确保所有人员到岗履职。</w:t>
      </w:r>
    </w:p>
    <w:p w14:paraId="524417EA">
      <w:pPr>
        <w:adjustRightInd w:val="0"/>
        <w:snapToGrid w:val="0"/>
        <w:spacing w:line="360" w:lineRule="auto"/>
        <w:ind w:firstLine="480" w:firstLineChars="200"/>
        <w:rPr>
          <w:rFonts w:hint="eastAsia" w:ascii="宋体" w:hAnsi="宋体" w:cs="宋体"/>
          <w:bCs/>
          <w:color w:val="auto"/>
          <w:sz w:val="24"/>
          <w:szCs w:val="21"/>
          <w:highlight w:val="none"/>
        </w:rPr>
      </w:pPr>
      <w:r>
        <w:rPr>
          <w:rFonts w:hint="eastAsia" w:ascii="宋体" w:hAnsi="宋体" w:cs="宋体"/>
          <w:bCs/>
          <w:color w:val="auto"/>
          <w:sz w:val="24"/>
          <w:szCs w:val="21"/>
          <w:highlight w:val="none"/>
        </w:rPr>
        <w:t>四、严格按照经施工图审查机构审查合格的工程设计文件及合同约定的质量标准精心组织施工。</w:t>
      </w:r>
    </w:p>
    <w:p w14:paraId="7859F936">
      <w:pPr>
        <w:adjustRightInd w:val="0"/>
        <w:snapToGrid w:val="0"/>
        <w:spacing w:line="360" w:lineRule="auto"/>
        <w:ind w:firstLine="480" w:firstLineChars="200"/>
        <w:rPr>
          <w:rFonts w:hint="eastAsia" w:ascii="宋体" w:hAnsi="宋体" w:cs="宋体"/>
          <w:bCs/>
          <w:color w:val="auto"/>
          <w:sz w:val="24"/>
          <w:szCs w:val="21"/>
          <w:highlight w:val="none"/>
        </w:rPr>
      </w:pPr>
      <w:r>
        <w:rPr>
          <w:rFonts w:hint="eastAsia" w:ascii="宋体" w:hAnsi="宋体" w:cs="宋体"/>
          <w:bCs/>
          <w:color w:val="auto"/>
          <w:sz w:val="24"/>
          <w:szCs w:val="21"/>
          <w:highlight w:val="none"/>
        </w:rPr>
        <w:t>五、施工中采用合格的建筑材料、建筑构配件和设备等，并严格按规定执行见证取样制度。</w:t>
      </w:r>
    </w:p>
    <w:p w14:paraId="4FFF62D5">
      <w:pPr>
        <w:adjustRightInd w:val="0"/>
        <w:snapToGrid w:val="0"/>
        <w:spacing w:line="360" w:lineRule="auto"/>
        <w:ind w:firstLine="480" w:firstLineChars="200"/>
        <w:rPr>
          <w:rFonts w:hint="eastAsia" w:ascii="宋体" w:hAnsi="宋体" w:cs="宋体"/>
          <w:bCs/>
          <w:color w:val="auto"/>
          <w:sz w:val="24"/>
          <w:szCs w:val="21"/>
          <w:highlight w:val="none"/>
        </w:rPr>
      </w:pPr>
      <w:r>
        <w:rPr>
          <w:rFonts w:hint="eastAsia" w:ascii="宋体" w:hAnsi="宋体" w:cs="宋体"/>
          <w:bCs/>
          <w:color w:val="auto"/>
          <w:sz w:val="24"/>
          <w:szCs w:val="21"/>
          <w:highlight w:val="none"/>
        </w:rPr>
        <w:t>六、建立、健全质量检查、验收制度，严格工序管理，做好隐蔽工程质量的检查和记录。</w:t>
      </w:r>
    </w:p>
    <w:p w14:paraId="6BCB028E">
      <w:pPr>
        <w:adjustRightInd w:val="0"/>
        <w:snapToGrid w:val="0"/>
        <w:spacing w:line="360" w:lineRule="auto"/>
        <w:ind w:firstLine="480" w:firstLineChars="200"/>
        <w:rPr>
          <w:rFonts w:hint="eastAsia" w:ascii="宋体" w:hAnsi="宋体" w:cs="宋体"/>
          <w:bCs/>
          <w:color w:val="auto"/>
          <w:sz w:val="24"/>
          <w:szCs w:val="21"/>
          <w:highlight w:val="none"/>
        </w:rPr>
      </w:pPr>
      <w:r>
        <w:rPr>
          <w:rFonts w:hint="eastAsia" w:ascii="宋体" w:hAnsi="宋体" w:cs="宋体"/>
          <w:bCs/>
          <w:color w:val="auto"/>
          <w:sz w:val="24"/>
          <w:szCs w:val="21"/>
          <w:highlight w:val="none"/>
        </w:rPr>
        <w:t>七、对施工中出现的质量问题，及时进行整改。严格依法依规履行义务。</w:t>
      </w:r>
    </w:p>
    <w:p w14:paraId="1385A6C9">
      <w:pPr>
        <w:adjustRightInd w:val="0"/>
        <w:snapToGrid w:val="0"/>
        <w:spacing w:line="360" w:lineRule="auto"/>
        <w:ind w:firstLine="480" w:firstLineChars="200"/>
        <w:rPr>
          <w:rFonts w:hint="eastAsia" w:ascii="宋体" w:hAnsi="宋体" w:cs="宋体"/>
          <w:bCs/>
          <w:color w:val="auto"/>
          <w:sz w:val="24"/>
          <w:szCs w:val="21"/>
          <w:highlight w:val="none"/>
        </w:rPr>
      </w:pPr>
      <w:r>
        <w:rPr>
          <w:rFonts w:hint="eastAsia" w:ascii="宋体" w:hAnsi="宋体" w:cs="宋体"/>
          <w:bCs/>
          <w:color w:val="auto"/>
          <w:sz w:val="24"/>
          <w:szCs w:val="21"/>
          <w:highlight w:val="none"/>
        </w:rPr>
        <w:t>八、履行相关工程质量检查、验收及事故处理等职责。</w:t>
      </w:r>
    </w:p>
    <w:p w14:paraId="763143A0">
      <w:pPr>
        <w:adjustRightInd w:val="0"/>
        <w:snapToGrid w:val="0"/>
        <w:spacing w:line="360" w:lineRule="auto"/>
        <w:ind w:firstLine="480" w:firstLineChars="200"/>
        <w:rPr>
          <w:rFonts w:hint="eastAsia" w:ascii="宋体" w:hAnsi="宋体" w:cs="宋体"/>
          <w:bCs/>
          <w:color w:val="auto"/>
          <w:sz w:val="24"/>
          <w:szCs w:val="21"/>
          <w:highlight w:val="none"/>
        </w:rPr>
      </w:pPr>
      <w:r>
        <w:rPr>
          <w:rFonts w:hint="eastAsia" w:ascii="宋体" w:hAnsi="宋体" w:cs="宋体"/>
          <w:bCs/>
          <w:color w:val="auto"/>
          <w:sz w:val="24"/>
          <w:szCs w:val="21"/>
          <w:highlight w:val="none"/>
        </w:rPr>
        <w:t>九、履行其他法律法规规定的职责。</w:t>
      </w:r>
    </w:p>
    <w:p w14:paraId="6C9BBE34">
      <w:pPr>
        <w:spacing w:line="360" w:lineRule="auto"/>
        <w:ind w:left="359" w:leftChars="171" w:firstLine="720" w:firstLineChars="300"/>
        <w:rPr>
          <w:rFonts w:hint="eastAsia" w:ascii="宋体" w:hAnsi="宋体" w:cs="宋体"/>
          <w:bCs/>
          <w:color w:val="auto"/>
          <w:sz w:val="24"/>
          <w:szCs w:val="21"/>
          <w:highlight w:val="none"/>
        </w:rPr>
      </w:pPr>
    </w:p>
    <w:p w14:paraId="6C926A78">
      <w:pPr>
        <w:spacing w:line="360" w:lineRule="auto"/>
        <w:ind w:left="359" w:leftChars="171" w:firstLine="720" w:firstLineChars="300"/>
        <w:rPr>
          <w:rFonts w:hint="eastAsia" w:ascii="宋体" w:hAnsi="宋体" w:cs="宋体"/>
          <w:bCs/>
          <w:color w:val="auto"/>
          <w:sz w:val="24"/>
          <w:szCs w:val="21"/>
          <w:highlight w:val="none"/>
        </w:rPr>
      </w:pPr>
    </w:p>
    <w:p w14:paraId="0E156356">
      <w:pPr>
        <w:spacing w:line="360" w:lineRule="auto"/>
        <w:ind w:left="359" w:leftChars="171" w:firstLine="720" w:firstLineChars="300"/>
        <w:rPr>
          <w:rFonts w:hint="eastAsia" w:ascii="宋体" w:hAnsi="宋体" w:cs="宋体"/>
          <w:bCs/>
          <w:color w:val="auto"/>
          <w:sz w:val="24"/>
          <w:szCs w:val="21"/>
          <w:highlight w:val="none"/>
        </w:rPr>
      </w:pPr>
      <w:r>
        <w:rPr>
          <w:rFonts w:hint="eastAsia" w:ascii="宋体" w:hAnsi="宋体" w:cs="宋体"/>
          <w:bCs/>
          <w:color w:val="auto"/>
          <w:sz w:val="24"/>
          <w:szCs w:val="21"/>
          <w:highlight w:val="none"/>
        </w:rPr>
        <w:t>项目经理：</w:t>
      </w:r>
      <w:r>
        <w:rPr>
          <w:rFonts w:hint="eastAsia" w:ascii="宋体" w:hAnsi="宋体" w:cs="宋体"/>
          <w:bCs/>
          <w:color w:val="auto"/>
          <w:sz w:val="24"/>
          <w:szCs w:val="21"/>
          <w:highlight w:val="none"/>
          <w:u w:val="single"/>
        </w:rPr>
        <w:t xml:space="preserve">                   </w:t>
      </w:r>
      <w:r>
        <w:rPr>
          <w:rFonts w:hint="eastAsia" w:ascii="宋体" w:hAnsi="宋体" w:cs="宋体"/>
          <w:bCs/>
          <w:color w:val="auto"/>
          <w:sz w:val="24"/>
          <w:szCs w:val="21"/>
          <w:highlight w:val="none"/>
        </w:rPr>
        <w:t>（签字）</w:t>
      </w:r>
    </w:p>
    <w:p w14:paraId="6C56527F">
      <w:pPr>
        <w:spacing w:line="360" w:lineRule="auto"/>
        <w:ind w:left="359" w:leftChars="171" w:firstLine="720" w:firstLineChars="300"/>
        <w:rPr>
          <w:rFonts w:hint="eastAsia" w:ascii="宋体" w:hAnsi="宋体" w:cs="宋体"/>
          <w:bCs/>
          <w:color w:val="auto"/>
          <w:sz w:val="24"/>
          <w:szCs w:val="21"/>
          <w:highlight w:val="none"/>
        </w:rPr>
      </w:pPr>
      <w:r>
        <w:rPr>
          <w:rFonts w:hint="eastAsia" w:ascii="宋体" w:hAnsi="宋体" w:cs="宋体"/>
          <w:bCs/>
          <w:color w:val="auto"/>
          <w:sz w:val="24"/>
          <w:szCs w:val="21"/>
          <w:highlight w:val="none"/>
        </w:rPr>
        <w:t>日期：_____年____月____日</w:t>
      </w:r>
    </w:p>
    <w:p w14:paraId="11057693">
      <w:pPr>
        <w:rPr>
          <w:rFonts w:hint="eastAsia"/>
          <w:color w:val="auto"/>
          <w:highlight w:val="none"/>
        </w:rPr>
      </w:pPr>
    </w:p>
    <w:p w14:paraId="4C2A5DB5">
      <w:pPr>
        <w:rPr>
          <w:rFonts w:hint="eastAsia"/>
          <w:color w:val="auto"/>
          <w:highlight w:val="none"/>
        </w:rPr>
      </w:pPr>
      <w:r>
        <w:rPr>
          <w:rFonts w:hint="eastAsia"/>
          <w:color w:val="auto"/>
          <w:highlight w:val="none"/>
        </w:rPr>
        <w:br w:type="page"/>
      </w:r>
    </w:p>
    <w:p w14:paraId="6658E593">
      <w:pPr>
        <w:rPr>
          <w:rFonts w:hint="eastAsia"/>
          <w:color w:val="auto"/>
          <w:highlight w:val="none"/>
        </w:rPr>
      </w:pPr>
    </w:p>
    <w:bookmarkEnd w:id="854"/>
    <w:bookmarkEnd w:id="855"/>
    <w:bookmarkEnd w:id="856"/>
    <w:bookmarkEnd w:id="857"/>
    <w:p w14:paraId="1A8499CE">
      <w:pPr>
        <w:pStyle w:val="14"/>
        <w:ind w:left="0" w:leftChars="0" w:firstLine="0" w:firstLineChars="0"/>
        <w:jc w:val="center"/>
        <w:outlineLvl w:val="0"/>
        <w:rPr>
          <w:rFonts w:hint="eastAsia"/>
          <w:color w:val="auto"/>
          <w:highlight w:val="none"/>
        </w:rPr>
      </w:pPr>
      <w:bookmarkStart w:id="960" w:name="_Toc4767"/>
      <w:bookmarkStart w:id="961" w:name="_Toc95223515"/>
      <w:bookmarkStart w:id="962" w:name="_Toc78803398"/>
      <w:bookmarkStart w:id="963" w:name="_Toc152042575"/>
      <w:bookmarkStart w:id="964" w:name="_Toc35425136"/>
      <w:bookmarkStart w:id="965" w:name="_Toc506107340"/>
      <w:bookmarkStart w:id="966" w:name="_Toc35424970"/>
      <w:bookmarkStart w:id="967" w:name="_Toc247085872"/>
      <w:bookmarkStart w:id="968" w:name="_Toc179632806"/>
      <w:bookmarkStart w:id="969" w:name="_Toc144974855"/>
      <w:bookmarkStart w:id="970" w:name="_Toc15058934"/>
      <w:bookmarkStart w:id="971" w:name="_Toc246997097"/>
      <w:bookmarkStart w:id="972" w:name="_Toc246996354"/>
      <w:bookmarkStart w:id="973" w:name="_Toc324404888"/>
      <w:bookmarkStart w:id="974" w:name="_Toc152045786"/>
      <w:r>
        <w:rPr>
          <w:rFonts w:hint="eastAsia" w:ascii="宋体" w:hAnsi="宋体" w:cs="宋体"/>
          <w:bCs/>
          <w:color w:val="auto"/>
          <w:kern w:val="44"/>
          <w:sz w:val="36"/>
          <w:szCs w:val="36"/>
          <w:highlight w:val="none"/>
        </w:rPr>
        <w:t>第六章  工程量清单</w:t>
      </w:r>
      <w:bookmarkEnd w:id="960"/>
      <w:bookmarkEnd w:id="961"/>
    </w:p>
    <w:p w14:paraId="2A8C1C88">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cs="宋体"/>
          <w:bCs/>
          <w:color w:val="auto"/>
          <w:kern w:val="44"/>
          <w:sz w:val="32"/>
          <w:szCs w:val="44"/>
          <w:highlight w:val="none"/>
        </w:rPr>
      </w:pPr>
      <w:r>
        <w:rPr>
          <w:rFonts w:hint="eastAsia" w:ascii="宋体" w:hAnsi="宋体" w:cs="宋体"/>
          <w:color w:val="auto"/>
          <w:szCs w:val="21"/>
          <w:highlight w:val="none"/>
          <w:lang w:val="en-US" w:eastAsia="zh-CN"/>
        </w:rPr>
        <w:t>本项目无</w:t>
      </w:r>
      <w:r>
        <w:rPr>
          <w:rFonts w:hint="eastAsia" w:ascii="宋体" w:hAnsi="宋体" w:cs="宋体"/>
          <w:color w:val="auto"/>
          <w:szCs w:val="21"/>
          <w:highlight w:val="none"/>
        </w:rPr>
        <w:t>。</w:t>
      </w:r>
    </w:p>
    <w:p w14:paraId="0C2CCCBA">
      <w:pPr>
        <w:rPr>
          <w:rFonts w:hint="eastAsia" w:ascii="宋体" w:hAnsi="宋体" w:cs="宋体"/>
          <w:b/>
          <w:color w:val="auto"/>
          <w:highlight w:val="none"/>
        </w:rPr>
      </w:pPr>
    </w:p>
    <w:p w14:paraId="087D1176">
      <w:pPr>
        <w:pStyle w:val="14"/>
        <w:ind w:left="0" w:leftChars="0" w:firstLine="0" w:firstLineChars="0"/>
        <w:jc w:val="center"/>
        <w:outlineLvl w:val="0"/>
        <w:rPr>
          <w:rFonts w:hint="eastAsia" w:ascii="宋体" w:hAnsi="宋体" w:cs="宋体"/>
          <w:bCs/>
          <w:color w:val="auto"/>
          <w:kern w:val="44"/>
          <w:sz w:val="36"/>
          <w:szCs w:val="36"/>
          <w:highlight w:val="none"/>
        </w:rPr>
      </w:pPr>
      <w:bookmarkStart w:id="975" w:name="_Toc95223522"/>
      <w:r>
        <w:rPr>
          <w:rFonts w:hint="eastAsia" w:ascii="宋体" w:hAnsi="宋体" w:cs="宋体"/>
          <w:bCs/>
          <w:color w:val="auto"/>
          <w:kern w:val="44"/>
          <w:sz w:val="36"/>
          <w:szCs w:val="36"/>
          <w:highlight w:val="none"/>
        </w:rPr>
        <w:t xml:space="preserve">第七章 </w:t>
      </w:r>
      <w:bookmarkStart w:id="976" w:name="_Toc10656"/>
      <w:r>
        <w:rPr>
          <w:rFonts w:hint="eastAsia" w:ascii="宋体" w:hAnsi="宋体" w:cs="宋体"/>
          <w:bCs/>
          <w:color w:val="auto"/>
          <w:kern w:val="44"/>
          <w:sz w:val="36"/>
          <w:szCs w:val="36"/>
          <w:highlight w:val="none"/>
        </w:rPr>
        <w:t>图  纸</w:t>
      </w:r>
      <w:bookmarkEnd w:id="975"/>
      <w:bookmarkEnd w:id="976"/>
    </w:p>
    <w:p w14:paraId="0C219A0D">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cs="宋体"/>
          <w:bCs/>
          <w:color w:val="auto"/>
          <w:kern w:val="44"/>
          <w:sz w:val="32"/>
          <w:szCs w:val="44"/>
          <w:highlight w:val="none"/>
        </w:rPr>
      </w:pPr>
      <w:r>
        <w:rPr>
          <w:rFonts w:hint="eastAsia" w:ascii="宋体" w:hAnsi="宋体" w:cs="宋体"/>
          <w:color w:val="auto"/>
          <w:szCs w:val="21"/>
          <w:highlight w:val="none"/>
        </w:rPr>
        <w:t>另册。</w:t>
      </w:r>
    </w:p>
    <w:p w14:paraId="111AFB31">
      <w:pPr>
        <w:outlineLvl w:val="1"/>
        <w:rPr>
          <w:rFonts w:hint="eastAsia" w:ascii="宋体" w:hAnsi="宋体" w:cs="宋体"/>
          <w:color w:val="auto"/>
          <w:highlight w:val="none"/>
        </w:rPr>
      </w:pPr>
    </w:p>
    <w:p w14:paraId="48B5E51C">
      <w:pPr>
        <w:rPr>
          <w:rFonts w:hint="eastAsia" w:ascii="宋体" w:hAnsi="宋体" w:cs="宋体"/>
          <w:color w:val="auto"/>
          <w:highlight w:val="none"/>
        </w:rPr>
      </w:pPr>
    </w:p>
    <w:p w14:paraId="09483549">
      <w:pPr>
        <w:pStyle w:val="2"/>
        <w:adjustRightInd w:val="0"/>
        <w:snapToGrid w:val="0"/>
        <w:spacing w:before="0" w:after="0" w:line="560" w:lineRule="exact"/>
        <w:jc w:val="center"/>
        <w:rPr>
          <w:rFonts w:hint="eastAsia" w:ascii="宋体" w:hAnsi="宋体" w:cs="宋体"/>
          <w:bCs w:val="0"/>
          <w:color w:val="auto"/>
          <w:sz w:val="32"/>
          <w:highlight w:val="none"/>
        </w:rPr>
      </w:pPr>
      <w:r>
        <w:rPr>
          <w:rFonts w:hint="eastAsia" w:ascii="宋体" w:hAnsi="宋体" w:cs="宋体"/>
          <w:b w:val="0"/>
          <w:bCs w:val="0"/>
          <w:color w:val="auto"/>
          <w:sz w:val="32"/>
          <w:highlight w:val="none"/>
        </w:rPr>
        <w:br w:type="page"/>
      </w:r>
      <w:bookmarkStart w:id="977" w:name="_Toc4608"/>
      <w:bookmarkStart w:id="978" w:name="_Toc95223525"/>
      <w:r>
        <w:rPr>
          <w:rFonts w:hint="eastAsia"/>
          <w:color w:val="auto"/>
          <w:highlight w:val="none"/>
        </w:rPr>
        <w:t>第八章  技术标准和要求</w:t>
      </w:r>
      <w:bookmarkEnd w:id="977"/>
      <w:bookmarkEnd w:id="978"/>
    </w:p>
    <w:p w14:paraId="691196AD">
      <w:pPr>
        <w:keepNext w:val="0"/>
        <w:keepLines w:val="0"/>
        <w:pageBreakBefore w:val="0"/>
        <w:widowControl w:val="0"/>
        <w:kinsoku/>
        <w:wordWrap/>
        <w:overflowPunct/>
        <w:topLinePunct w:val="0"/>
        <w:autoSpaceDE/>
        <w:autoSpaceDN/>
        <w:bidi w:val="0"/>
        <w:adjustRightInd/>
        <w:snapToGrid/>
        <w:spacing w:line="480" w:lineRule="auto"/>
        <w:textAlignment w:val="auto"/>
        <w:outlineLvl w:val="1"/>
        <w:rPr>
          <w:rFonts w:hint="eastAsia" w:ascii="宋体" w:hAnsi="宋体" w:cs="宋体"/>
          <w:color w:val="auto"/>
          <w:highlight w:val="none"/>
        </w:rPr>
      </w:pPr>
      <w:bookmarkStart w:id="979" w:name="_Toc32647"/>
      <w:bookmarkStart w:id="980" w:name="_Toc95223526"/>
      <w:r>
        <w:rPr>
          <w:rFonts w:hint="eastAsia" w:ascii="宋体" w:hAnsi="宋体" w:cs="宋体"/>
          <w:bCs/>
          <w:color w:val="auto"/>
          <w:szCs w:val="21"/>
          <w:highlight w:val="none"/>
        </w:rPr>
        <w:t>1.</w:t>
      </w:r>
      <w:r>
        <w:rPr>
          <w:rFonts w:hint="eastAsia" w:ascii="宋体" w:hAnsi="宋体" w:cs="宋体"/>
          <w:b/>
          <w:color w:val="auto"/>
          <w:highlight w:val="none"/>
        </w:rPr>
        <w:t xml:space="preserve"> </w:t>
      </w:r>
      <w:r>
        <w:rPr>
          <w:rFonts w:hint="eastAsia" w:ascii="宋体" w:hAnsi="宋体" w:cs="宋体"/>
          <w:color w:val="auto"/>
          <w:highlight w:val="none"/>
        </w:rPr>
        <w:t>一般要求</w:t>
      </w:r>
      <w:bookmarkEnd w:id="979"/>
      <w:bookmarkEnd w:id="980"/>
    </w:p>
    <w:p w14:paraId="488746F2">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宋体" w:hAnsi="宋体" w:cs="宋体"/>
          <w:color w:val="auto"/>
          <w:highlight w:val="none"/>
        </w:rPr>
      </w:pPr>
      <w:r>
        <w:rPr>
          <w:rFonts w:hint="eastAsia" w:ascii="宋体" w:hAnsi="宋体" w:cs="宋体"/>
          <w:color w:val="auto"/>
          <w:highlight w:val="none"/>
        </w:rPr>
        <w:t xml:space="preserve">  </w:t>
      </w:r>
      <w:r>
        <w:rPr>
          <w:rFonts w:hint="eastAsia" w:ascii="宋体" w:hAnsi="宋体" w:cs="宋体"/>
          <w:color w:val="auto"/>
          <w:highlight w:val="none"/>
          <w:lang w:val="en-US" w:eastAsia="zh-CN"/>
        </w:rPr>
        <w:t xml:space="preserve"> </w:t>
      </w:r>
      <w:r>
        <w:rPr>
          <w:rFonts w:hint="eastAsia" w:ascii="宋体" w:hAnsi="宋体" w:eastAsia="宋体" w:cs="宋体"/>
          <w:color w:val="auto"/>
          <w:highlight w:val="none"/>
          <w:lang w:val="en-US" w:eastAsia="zh-CN"/>
        </w:rPr>
        <w:t>见招标项目施工图纸</w:t>
      </w:r>
    </w:p>
    <w:p w14:paraId="215AD899">
      <w:pPr>
        <w:keepNext w:val="0"/>
        <w:keepLines w:val="0"/>
        <w:pageBreakBefore w:val="0"/>
        <w:widowControl w:val="0"/>
        <w:kinsoku/>
        <w:wordWrap/>
        <w:overflowPunct/>
        <w:topLinePunct w:val="0"/>
        <w:autoSpaceDE/>
        <w:autoSpaceDN/>
        <w:bidi w:val="0"/>
        <w:adjustRightInd/>
        <w:snapToGrid/>
        <w:spacing w:line="480" w:lineRule="auto"/>
        <w:textAlignment w:val="auto"/>
        <w:outlineLvl w:val="1"/>
        <w:rPr>
          <w:rFonts w:hint="eastAsia" w:ascii="宋体" w:hAnsi="宋体" w:cs="宋体"/>
          <w:bCs/>
          <w:color w:val="auto"/>
          <w:szCs w:val="21"/>
          <w:highlight w:val="none"/>
        </w:rPr>
      </w:pPr>
      <w:bookmarkStart w:id="981" w:name="_Toc26107"/>
      <w:bookmarkStart w:id="982" w:name="_Toc95223527"/>
      <w:r>
        <w:rPr>
          <w:rFonts w:hint="eastAsia" w:ascii="宋体" w:hAnsi="宋体" w:cs="宋体"/>
          <w:bCs/>
          <w:color w:val="auto"/>
          <w:szCs w:val="21"/>
          <w:highlight w:val="none"/>
        </w:rPr>
        <w:t>2. 特殊技术标准和要求</w:t>
      </w:r>
      <w:bookmarkEnd w:id="981"/>
      <w:bookmarkEnd w:id="982"/>
    </w:p>
    <w:p w14:paraId="097B6B93">
      <w:pPr>
        <w:keepNext w:val="0"/>
        <w:keepLines w:val="0"/>
        <w:pageBreakBefore w:val="0"/>
        <w:widowControl w:val="0"/>
        <w:kinsoku/>
        <w:wordWrap/>
        <w:overflowPunct/>
        <w:topLinePunct w:val="0"/>
        <w:autoSpaceDE/>
        <w:autoSpaceDN/>
        <w:bidi w:val="0"/>
        <w:adjustRightInd/>
        <w:snapToGrid/>
        <w:spacing w:line="480" w:lineRule="auto"/>
        <w:textAlignment w:val="auto"/>
        <w:outlineLvl w:val="1"/>
        <w:rPr>
          <w:rFonts w:hint="eastAsia" w:ascii="宋体" w:hAnsi="宋体" w:cs="宋体"/>
          <w:bCs/>
          <w:color w:val="auto"/>
          <w:szCs w:val="21"/>
          <w:highlight w:val="none"/>
        </w:rPr>
      </w:pPr>
      <w:r>
        <w:rPr>
          <w:rFonts w:hint="eastAsia" w:ascii="宋体" w:hAnsi="宋体" w:cs="宋体"/>
          <w:bCs/>
          <w:color w:val="auto"/>
          <w:szCs w:val="21"/>
          <w:highlight w:val="none"/>
        </w:rPr>
        <w:t xml:space="preserve">  </w:t>
      </w:r>
      <w:r>
        <w:rPr>
          <w:rFonts w:hint="eastAsia" w:ascii="宋体" w:hAnsi="宋体" w:cs="宋体"/>
          <w:bCs/>
          <w:color w:val="auto"/>
          <w:szCs w:val="21"/>
          <w:highlight w:val="none"/>
          <w:lang w:val="en-US" w:eastAsia="zh-CN"/>
        </w:rPr>
        <w:t xml:space="preserve"> 见招标项目施工图纸；</w:t>
      </w:r>
    </w:p>
    <w:p w14:paraId="7ECBB3F6">
      <w:pPr>
        <w:keepNext w:val="0"/>
        <w:keepLines w:val="0"/>
        <w:pageBreakBefore w:val="0"/>
        <w:widowControl w:val="0"/>
        <w:kinsoku/>
        <w:wordWrap/>
        <w:overflowPunct/>
        <w:topLinePunct w:val="0"/>
        <w:autoSpaceDE/>
        <w:autoSpaceDN/>
        <w:bidi w:val="0"/>
        <w:adjustRightInd/>
        <w:snapToGrid/>
        <w:spacing w:line="480" w:lineRule="auto"/>
        <w:textAlignment w:val="auto"/>
        <w:outlineLvl w:val="1"/>
        <w:rPr>
          <w:rFonts w:hint="eastAsia" w:ascii="宋体" w:hAnsi="宋体" w:cs="宋体"/>
          <w:bCs/>
          <w:color w:val="auto"/>
          <w:szCs w:val="21"/>
          <w:highlight w:val="none"/>
        </w:rPr>
      </w:pPr>
      <w:bookmarkStart w:id="983" w:name="_Toc30517"/>
      <w:bookmarkStart w:id="984" w:name="_Toc95223528"/>
      <w:r>
        <w:rPr>
          <w:rFonts w:hint="eastAsia" w:ascii="宋体" w:hAnsi="宋体" w:cs="宋体"/>
          <w:bCs/>
          <w:color w:val="auto"/>
          <w:szCs w:val="21"/>
          <w:highlight w:val="none"/>
        </w:rPr>
        <w:t>3. 适用的国家、行业以及地方标准、规范和规程</w:t>
      </w:r>
      <w:bookmarkEnd w:id="983"/>
      <w:bookmarkEnd w:id="984"/>
    </w:p>
    <w:p w14:paraId="6DA9761E">
      <w:pPr>
        <w:keepNext w:val="0"/>
        <w:keepLines w:val="0"/>
        <w:pageBreakBefore w:val="0"/>
        <w:widowControl w:val="0"/>
        <w:kinsoku/>
        <w:wordWrap/>
        <w:overflowPunct/>
        <w:topLinePunct w:val="0"/>
        <w:autoSpaceDE/>
        <w:autoSpaceDN/>
        <w:bidi w:val="0"/>
        <w:adjustRightInd/>
        <w:snapToGrid/>
        <w:spacing w:line="480" w:lineRule="auto"/>
        <w:ind w:firstLine="210" w:firstLineChars="100"/>
        <w:textAlignment w:val="auto"/>
        <w:outlineLvl w:val="1"/>
        <w:rPr>
          <w:rFonts w:hint="eastAsia" w:ascii="宋体" w:hAnsi="宋体" w:cs="宋体"/>
          <w:bCs/>
          <w:color w:val="auto"/>
          <w:szCs w:val="21"/>
          <w:highlight w:val="none"/>
          <w:lang w:val="en-US" w:eastAsia="zh-CN"/>
        </w:rPr>
      </w:pPr>
      <w:r>
        <w:rPr>
          <w:rFonts w:hint="eastAsia" w:ascii="宋体" w:hAnsi="宋体" w:cs="宋体"/>
          <w:bCs/>
          <w:color w:val="auto"/>
          <w:szCs w:val="21"/>
          <w:highlight w:val="none"/>
          <w:lang w:val="en-US" w:eastAsia="zh-CN"/>
        </w:rPr>
        <w:t>本招标项目施工、验收须达到设计文件的要求和国家及有关部委、安徽省、项目所在市现行的工程建设标准、规范、规定的要求（文件标准之间相互冲突的，以标准较高者为准）。</w:t>
      </w:r>
    </w:p>
    <w:p w14:paraId="3A3DFD1F">
      <w:pPr>
        <w:pStyle w:val="2"/>
        <w:adjustRightInd w:val="0"/>
        <w:snapToGrid w:val="0"/>
        <w:spacing w:before="0" w:after="0" w:line="560" w:lineRule="exact"/>
        <w:jc w:val="center"/>
        <w:rPr>
          <w:bCs/>
          <w:color w:val="auto"/>
          <w:szCs w:val="32"/>
          <w:highlight w:val="none"/>
        </w:rPr>
      </w:pPr>
      <w:r>
        <w:rPr>
          <w:rFonts w:hint="eastAsia" w:ascii="宋体" w:hAnsi="宋体" w:cs="宋体"/>
          <w:bCs/>
          <w:color w:val="auto"/>
          <w:szCs w:val="21"/>
          <w:highlight w:val="none"/>
        </w:rPr>
        <w:br w:type="page"/>
      </w:r>
      <w:r>
        <w:rPr>
          <w:rFonts w:hint="eastAsia"/>
          <w:color w:val="auto"/>
          <w:highlight w:val="none"/>
        </w:rPr>
        <w:t>第</w:t>
      </w:r>
      <w:r>
        <w:rPr>
          <w:rFonts w:hint="eastAsia"/>
          <w:color w:val="auto"/>
          <w:highlight w:val="none"/>
          <w:lang w:val="en-US" w:eastAsia="zh-CN"/>
        </w:rPr>
        <w:t>九</w:t>
      </w:r>
      <w:r>
        <w:rPr>
          <w:rFonts w:hint="eastAsia"/>
          <w:color w:val="auto"/>
          <w:highlight w:val="none"/>
        </w:rPr>
        <w:t>章  投标文件格式</w:t>
      </w:r>
      <w:bookmarkEnd w:id="962"/>
      <w:bookmarkEnd w:id="963"/>
      <w:bookmarkEnd w:id="964"/>
      <w:bookmarkEnd w:id="965"/>
      <w:bookmarkEnd w:id="966"/>
      <w:bookmarkEnd w:id="967"/>
      <w:bookmarkEnd w:id="968"/>
      <w:bookmarkEnd w:id="969"/>
      <w:bookmarkEnd w:id="970"/>
      <w:bookmarkEnd w:id="971"/>
      <w:bookmarkEnd w:id="972"/>
      <w:bookmarkEnd w:id="973"/>
      <w:bookmarkEnd w:id="974"/>
    </w:p>
    <w:p w14:paraId="7B05D42C">
      <w:pPr>
        <w:rPr>
          <w:color w:val="auto"/>
          <w:highlight w:val="none"/>
        </w:rPr>
      </w:pPr>
    </w:p>
    <w:p w14:paraId="082E4B32">
      <w:pPr>
        <w:rPr>
          <w:color w:val="auto"/>
          <w:highlight w:val="none"/>
        </w:rPr>
      </w:pPr>
    </w:p>
    <w:p w14:paraId="5069B979">
      <w:pPr>
        <w:rPr>
          <w:color w:val="auto"/>
          <w:highlight w:val="none"/>
        </w:rPr>
      </w:pPr>
    </w:p>
    <w:p w14:paraId="56143D65">
      <w:pPr>
        <w:jc w:val="center"/>
        <w:rPr>
          <w:rFonts w:eastAsia="黑体"/>
          <w:color w:val="auto"/>
          <w:sz w:val="20"/>
          <w:szCs w:val="20"/>
          <w:highlight w:val="none"/>
        </w:rPr>
      </w:pPr>
      <w:r>
        <w:rPr>
          <w:rFonts w:eastAsia="黑体"/>
          <w:color w:val="auto"/>
          <w:sz w:val="28"/>
          <w:szCs w:val="28"/>
          <w:highlight w:val="none"/>
        </w:rPr>
        <w:t>（项目名称）</w:t>
      </w:r>
    </w:p>
    <w:p w14:paraId="7576ABA9">
      <w:pPr>
        <w:jc w:val="center"/>
        <w:rPr>
          <w:rFonts w:eastAsia="黑体"/>
          <w:color w:val="auto"/>
          <w:sz w:val="20"/>
          <w:szCs w:val="20"/>
          <w:highlight w:val="none"/>
        </w:rPr>
      </w:pPr>
    </w:p>
    <w:p w14:paraId="7FF06958">
      <w:pPr>
        <w:jc w:val="center"/>
        <w:rPr>
          <w:rFonts w:eastAsia="黑体"/>
          <w:color w:val="auto"/>
          <w:sz w:val="20"/>
          <w:szCs w:val="20"/>
          <w:highlight w:val="none"/>
        </w:rPr>
      </w:pPr>
    </w:p>
    <w:p w14:paraId="3165CB1E">
      <w:pPr>
        <w:jc w:val="center"/>
        <w:rPr>
          <w:rFonts w:eastAsia="黑体"/>
          <w:color w:val="auto"/>
          <w:sz w:val="20"/>
          <w:szCs w:val="20"/>
          <w:highlight w:val="none"/>
        </w:rPr>
      </w:pPr>
    </w:p>
    <w:p w14:paraId="75BA9D51">
      <w:pPr>
        <w:rPr>
          <w:rFonts w:eastAsia="黑体"/>
          <w:color w:val="auto"/>
          <w:sz w:val="20"/>
          <w:szCs w:val="20"/>
          <w:highlight w:val="none"/>
        </w:rPr>
      </w:pPr>
    </w:p>
    <w:p w14:paraId="347DEE05">
      <w:pPr>
        <w:jc w:val="center"/>
        <w:rPr>
          <w:rFonts w:eastAsia="黑体"/>
          <w:color w:val="auto"/>
          <w:sz w:val="44"/>
          <w:szCs w:val="44"/>
          <w:highlight w:val="none"/>
        </w:rPr>
      </w:pPr>
      <w:r>
        <w:rPr>
          <w:rFonts w:eastAsia="黑体"/>
          <w:color w:val="auto"/>
          <w:sz w:val="44"/>
          <w:szCs w:val="44"/>
          <w:highlight w:val="none"/>
        </w:rPr>
        <w:t>投  标  文  件</w:t>
      </w:r>
      <w:r>
        <w:rPr>
          <w:rFonts w:hint="eastAsia" w:eastAsia="黑体"/>
          <w:color w:val="auto"/>
          <w:sz w:val="44"/>
          <w:szCs w:val="44"/>
          <w:highlight w:val="none"/>
        </w:rPr>
        <w:t xml:space="preserve"> 一</w:t>
      </w:r>
    </w:p>
    <w:p w14:paraId="4404D72F">
      <w:pPr>
        <w:jc w:val="center"/>
        <w:rPr>
          <w:rFonts w:eastAsia="黑体"/>
          <w:color w:val="auto"/>
          <w:sz w:val="44"/>
          <w:szCs w:val="44"/>
          <w:highlight w:val="none"/>
        </w:rPr>
      </w:pPr>
      <w:r>
        <w:rPr>
          <w:rFonts w:hint="eastAsia" w:eastAsia="黑体"/>
          <w:color w:val="auto"/>
          <w:sz w:val="44"/>
          <w:szCs w:val="44"/>
          <w:highlight w:val="none"/>
        </w:rPr>
        <w:t>（资信证明文件）</w:t>
      </w:r>
    </w:p>
    <w:p w14:paraId="69FD5586">
      <w:pPr>
        <w:rPr>
          <w:rFonts w:eastAsia="黑体"/>
          <w:color w:val="auto"/>
          <w:sz w:val="28"/>
          <w:szCs w:val="28"/>
          <w:highlight w:val="none"/>
        </w:rPr>
      </w:pPr>
    </w:p>
    <w:p w14:paraId="61671114">
      <w:pPr>
        <w:rPr>
          <w:rFonts w:eastAsia="黑体"/>
          <w:color w:val="auto"/>
          <w:sz w:val="28"/>
          <w:szCs w:val="28"/>
          <w:highlight w:val="none"/>
        </w:rPr>
      </w:pPr>
    </w:p>
    <w:p w14:paraId="7707CE46">
      <w:pPr>
        <w:rPr>
          <w:rFonts w:eastAsia="黑体"/>
          <w:color w:val="auto"/>
          <w:sz w:val="28"/>
          <w:szCs w:val="28"/>
          <w:highlight w:val="none"/>
        </w:rPr>
      </w:pPr>
    </w:p>
    <w:p w14:paraId="3E29662A">
      <w:pPr>
        <w:rPr>
          <w:rFonts w:eastAsia="黑体"/>
          <w:color w:val="auto"/>
          <w:sz w:val="28"/>
          <w:szCs w:val="28"/>
          <w:highlight w:val="none"/>
        </w:rPr>
      </w:pPr>
    </w:p>
    <w:p w14:paraId="69D02104">
      <w:pPr>
        <w:pStyle w:val="14"/>
        <w:ind w:firstLine="420"/>
        <w:rPr>
          <w:rFonts w:ascii="Times New Roman"/>
          <w:color w:val="auto"/>
          <w:szCs w:val="24"/>
          <w:highlight w:val="none"/>
        </w:rPr>
      </w:pPr>
    </w:p>
    <w:p w14:paraId="3062FE47">
      <w:pPr>
        <w:rPr>
          <w:rFonts w:ascii="Times New Roman"/>
          <w:color w:val="auto"/>
          <w:szCs w:val="24"/>
          <w:highlight w:val="none"/>
        </w:rPr>
      </w:pPr>
    </w:p>
    <w:p w14:paraId="78F93F73">
      <w:pPr>
        <w:pStyle w:val="14"/>
        <w:rPr>
          <w:rFonts w:ascii="Times New Roman"/>
          <w:color w:val="auto"/>
          <w:szCs w:val="24"/>
          <w:highlight w:val="none"/>
        </w:rPr>
      </w:pPr>
    </w:p>
    <w:p w14:paraId="1E9D0BD8">
      <w:pPr>
        <w:rPr>
          <w:rFonts w:ascii="Times New Roman"/>
          <w:color w:val="auto"/>
          <w:szCs w:val="24"/>
          <w:highlight w:val="none"/>
        </w:rPr>
      </w:pPr>
    </w:p>
    <w:p w14:paraId="13AFD6AD">
      <w:pPr>
        <w:pStyle w:val="14"/>
        <w:rPr>
          <w:color w:val="auto"/>
          <w:highlight w:val="none"/>
        </w:rPr>
      </w:pPr>
    </w:p>
    <w:p w14:paraId="0799C826">
      <w:pPr>
        <w:pStyle w:val="14"/>
        <w:ind w:firstLine="420"/>
        <w:rPr>
          <w:color w:val="auto"/>
          <w:highlight w:val="none"/>
        </w:rPr>
      </w:pPr>
    </w:p>
    <w:p w14:paraId="63F5BB9B">
      <w:pPr>
        <w:rPr>
          <w:rFonts w:eastAsia="黑体"/>
          <w:color w:val="auto"/>
          <w:sz w:val="28"/>
          <w:szCs w:val="28"/>
          <w:highlight w:val="none"/>
        </w:rPr>
      </w:pPr>
    </w:p>
    <w:p w14:paraId="6ECEBDFF">
      <w:pPr>
        <w:keepNext w:val="0"/>
        <w:keepLines w:val="0"/>
        <w:pageBreakBefore w:val="0"/>
        <w:widowControl w:val="0"/>
        <w:kinsoku/>
        <w:wordWrap/>
        <w:overflowPunct/>
        <w:topLinePunct w:val="0"/>
        <w:autoSpaceDE/>
        <w:autoSpaceDN/>
        <w:bidi w:val="0"/>
        <w:adjustRightInd/>
        <w:snapToGrid/>
        <w:spacing w:line="720" w:lineRule="auto"/>
        <w:textAlignment w:val="auto"/>
        <w:rPr>
          <w:rFonts w:eastAsia="黑体"/>
          <w:color w:val="auto"/>
          <w:sz w:val="28"/>
          <w:szCs w:val="28"/>
          <w:highlight w:val="none"/>
        </w:rPr>
      </w:pPr>
    </w:p>
    <w:p w14:paraId="62522776">
      <w:pPr>
        <w:keepNext w:val="0"/>
        <w:keepLines w:val="0"/>
        <w:pageBreakBefore w:val="0"/>
        <w:widowControl w:val="0"/>
        <w:kinsoku/>
        <w:wordWrap/>
        <w:overflowPunct/>
        <w:topLinePunct w:val="0"/>
        <w:autoSpaceDE/>
        <w:autoSpaceDN/>
        <w:bidi w:val="0"/>
        <w:adjustRightInd/>
        <w:snapToGrid/>
        <w:spacing w:line="720" w:lineRule="auto"/>
        <w:jc w:val="center"/>
        <w:textAlignment w:val="auto"/>
        <w:rPr>
          <w:rFonts w:eastAsia="黑体"/>
          <w:color w:val="auto"/>
          <w:sz w:val="28"/>
          <w:szCs w:val="28"/>
          <w:highlight w:val="none"/>
          <w:u w:val="single"/>
        </w:rPr>
      </w:pPr>
      <w:r>
        <w:rPr>
          <w:rFonts w:hint="eastAsia" w:eastAsia="黑体"/>
          <w:color w:val="auto"/>
          <w:sz w:val="28"/>
          <w:szCs w:val="28"/>
          <w:highlight w:val="none"/>
        </w:rPr>
        <w:t xml:space="preserve"> 投标人</w:t>
      </w:r>
      <w:r>
        <w:rPr>
          <w:rFonts w:eastAsia="黑体"/>
          <w:color w:val="auto"/>
          <w:sz w:val="28"/>
          <w:szCs w:val="28"/>
          <w:highlight w:val="none"/>
        </w:rPr>
        <w:t>：</w:t>
      </w:r>
      <w:r>
        <w:rPr>
          <w:rFonts w:eastAsia="黑体"/>
          <w:color w:val="auto"/>
          <w:sz w:val="28"/>
          <w:szCs w:val="28"/>
          <w:highlight w:val="none"/>
          <w:u w:val="single"/>
        </w:rPr>
        <w:t xml:space="preserve">               </w:t>
      </w:r>
      <w:r>
        <w:rPr>
          <w:rFonts w:hint="eastAsia" w:eastAsia="黑体"/>
          <w:color w:val="auto"/>
          <w:sz w:val="28"/>
          <w:szCs w:val="28"/>
          <w:highlight w:val="none"/>
          <w:u w:val="single"/>
        </w:rPr>
        <w:t xml:space="preserve">    </w:t>
      </w:r>
      <w:r>
        <w:rPr>
          <w:rFonts w:eastAsia="黑体"/>
          <w:color w:val="auto"/>
          <w:sz w:val="28"/>
          <w:szCs w:val="28"/>
          <w:highlight w:val="none"/>
          <w:u w:val="single"/>
        </w:rPr>
        <w:t xml:space="preserve">      </w:t>
      </w:r>
      <w:r>
        <w:rPr>
          <w:rFonts w:hint="eastAsia" w:eastAsia="黑体"/>
          <w:color w:val="auto"/>
          <w:sz w:val="28"/>
          <w:szCs w:val="28"/>
          <w:highlight w:val="none"/>
          <w:u w:val="single"/>
        </w:rPr>
        <w:t xml:space="preserve">  </w:t>
      </w:r>
      <w:r>
        <w:rPr>
          <w:rFonts w:eastAsia="黑体"/>
          <w:color w:val="auto"/>
          <w:sz w:val="28"/>
          <w:szCs w:val="28"/>
          <w:highlight w:val="none"/>
          <w:u w:val="single"/>
        </w:rPr>
        <w:t xml:space="preserve">       </w:t>
      </w:r>
      <w:r>
        <w:rPr>
          <w:rFonts w:eastAsia="黑体"/>
          <w:color w:val="auto"/>
          <w:sz w:val="28"/>
          <w:szCs w:val="28"/>
          <w:highlight w:val="none"/>
        </w:rPr>
        <w:t>（</w:t>
      </w:r>
      <w:r>
        <w:rPr>
          <w:rFonts w:hint="eastAsia" w:eastAsia="黑体"/>
          <w:color w:val="auto"/>
          <w:sz w:val="28"/>
          <w:szCs w:val="28"/>
          <w:highlight w:val="none"/>
        </w:rPr>
        <w:t>盖</w:t>
      </w:r>
      <w:r>
        <w:rPr>
          <w:rFonts w:eastAsia="黑体"/>
          <w:color w:val="auto"/>
          <w:sz w:val="28"/>
          <w:szCs w:val="28"/>
          <w:highlight w:val="none"/>
        </w:rPr>
        <w:t>章）</w:t>
      </w:r>
    </w:p>
    <w:p w14:paraId="097218CB">
      <w:pPr>
        <w:keepNext w:val="0"/>
        <w:keepLines w:val="0"/>
        <w:pageBreakBefore w:val="0"/>
        <w:widowControl w:val="0"/>
        <w:kinsoku/>
        <w:wordWrap/>
        <w:overflowPunct/>
        <w:topLinePunct w:val="0"/>
        <w:autoSpaceDE/>
        <w:autoSpaceDN/>
        <w:bidi w:val="0"/>
        <w:adjustRightInd/>
        <w:snapToGrid/>
        <w:spacing w:line="720" w:lineRule="auto"/>
        <w:jc w:val="center"/>
        <w:textAlignment w:val="auto"/>
        <w:rPr>
          <w:rFonts w:eastAsia="黑体"/>
          <w:color w:val="auto"/>
          <w:sz w:val="28"/>
          <w:szCs w:val="28"/>
          <w:highlight w:val="none"/>
        </w:rPr>
      </w:pPr>
      <w:r>
        <w:rPr>
          <w:rFonts w:hint="eastAsia" w:eastAsia="黑体"/>
          <w:color w:val="auto"/>
          <w:sz w:val="28"/>
          <w:szCs w:val="28"/>
          <w:highlight w:val="none"/>
        </w:rPr>
        <w:t xml:space="preserve">   </w:t>
      </w:r>
      <w:r>
        <w:rPr>
          <w:rFonts w:eastAsia="黑体"/>
          <w:color w:val="auto"/>
          <w:sz w:val="28"/>
          <w:szCs w:val="28"/>
          <w:highlight w:val="none"/>
        </w:rPr>
        <w:t>法定代表人</w:t>
      </w:r>
      <w:r>
        <w:rPr>
          <w:rFonts w:hint="eastAsia" w:eastAsia="黑体"/>
          <w:color w:val="auto"/>
          <w:sz w:val="28"/>
          <w:szCs w:val="28"/>
          <w:highlight w:val="none"/>
          <w:lang w:val="en-US" w:eastAsia="zh-CN"/>
        </w:rPr>
        <w:t>或授权委托人</w:t>
      </w:r>
      <w:r>
        <w:rPr>
          <w:rFonts w:eastAsia="黑体"/>
          <w:color w:val="auto"/>
          <w:sz w:val="28"/>
          <w:szCs w:val="28"/>
          <w:highlight w:val="none"/>
        </w:rPr>
        <w:t>：</w:t>
      </w:r>
      <w:r>
        <w:rPr>
          <w:rFonts w:eastAsia="黑体"/>
          <w:color w:val="auto"/>
          <w:sz w:val="28"/>
          <w:szCs w:val="28"/>
          <w:highlight w:val="none"/>
          <w:u w:val="single"/>
        </w:rPr>
        <w:t xml:space="preserve">         </w:t>
      </w:r>
      <w:r>
        <w:rPr>
          <w:rFonts w:hint="eastAsia" w:eastAsia="黑体"/>
          <w:color w:val="auto"/>
          <w:sz w:val="28"/>
          <w:szCs w:val="28"/>
          <w:highlight w:val="none"/>
          <w:u w:val="single"/>
        </w:rPr>
        <w:t xml:space="preserve">         </w:t>
      </w:r>
      <w:r>
        <w:rPr>
          <w:rFonts w:eastAsia="黑体"/>
          <w:color w:val="auto"/>
          <w:sz w:val="28"/>
          <w:szCs w:val="28"/>
          <w:highlight w:val="none"/>
          <w:u w:val="single"/>
        </w:rPr>
        <w:t xml:space="preserve">       </w:t>
      </w:r>
      <w:r>
        <w:rPr>
          <w:rFonts w:eastAsia="黑体"/>
          <w:color w:val="auto"/>
          <w:sz w:val="28"/>
          <w:szCs w:val="28"/>
          <w:highlight w:val="none"/>
        </w:rPr>
        <w:t>（</w:t>
      </w:r>
      <w:r>
        <w:rPr>
          <w:rFonts w:hint="eastAsia" w:eastAsia="黑体"/>
          <w:color w:val="auto"/>
          <w:sz w:val="28"/>
          <w:szCs w:val="28"/>
          <w:highlight w:val="none"/>
        </w:rPr>
        <w:t>签字或盖章</w:t>
      </w:r>
      <w:r>
        <w:rPr>
          <w:rFonts w:eastAsia="黑体"/>
          <w:color w:val="auto"/>
          <w:sz w:val="28"/>
          <w:szCs w:val="28"/>
          <w:highlight w:val="none"/>
        </w:rPr>
        <w:t>）</w:t>
      </w:r>
    </w:p>
    <w:p w14:paraId="211A5DCF">
      <w:pPr>
        <w:keepNext w:val="0"/>
        <w:keepLines w:val="0"/>
        <w:pageBreakBefore w:val="0"/>
        <w:widowControl w:val="0"/>
        <w:kinsoku/>
        <w:wordWrap/>
        <w:overflowPunct/>
        <w:topLinePunct w:val="0"/>
        <w:autoSpaceDE/>
        <w:autoSpaceDN/>
        <w:bidi w:val="0"/>
        <w:adjustRightInd/>
        <w:snapToGrid/>
        <w:spacing w:line="720" w:lineRule="auto"/>
        <w:jc w:val="center"/>
        <w:textAlignment w:val="auto"/>
        <w:rPr>
          <w:rFonts w:eastAsia="黑体"/>
          <w:color w:val="auto"/>
          <w:sz w:val="28"/>
          <w:szCs w:val="28"/>
          <w:highlight w:val="none"/>
        </w:rPr>
      </w:pPr>
      <w:r>
        <w:rPr>
          <w:rFonts w:hint="eastAsia" w:eastAsia="黑体"/>
          <w:color w:val="auto"/>
          <w:sz w:val="28"/>
          <w:szCs w:val="28"/>
          <w:highlight w:val="none"/>
          <w:u w:val="single"/>
        </w:rPr>
        <w:t xml:space="preserve">      </w:t>
      </w:r>
      <w:r>
        <w:rPr>
          <w:rFonts w:eastAsia="黑体"/>
          <w:color w:val="auto"/>
          <w:sz w:val="28"/>
          <w:szCs w:val="28"/>
          <w:highlight w:val="none"/>
        </w:rPr>
        <w:t>年</w:t>
      </w:r>
      <w:r>
        <w:rPr>
          <w:rFonts w:hint="eastAsia" w:eastAsia="黑体"/>
          <w:color w:val="auto"/>
          <w:sz w:val="28"/>
          <w:szCs w:val="28"/>
          <w:highlight w:val="none"/>
          <w:u w:val="single"/>
        </w:rPr>
        <w:t xml:space="preserve">     </w:t>
      </w:r>
      <w:r>
        <w:rPr>
          <w:rFonts w:eastAsia="黑体"/>
          <w:color w:val="auto"/>
          <w:sz w:val="28"/>
          <w:szCs w:val="28"/>
          <w:highlight w:val="none"/>
        </w:rPr>
        <w:t>月</w:t>
      </w:r>
      <w:r>
        <w:rPr>
          <w:rFonts w:hint="eastAsia" w:eastAsia="黑体"/>
          <w:color w:val="auto"/>
          <w:sz w:val="28"/>
          <w:szCs w:val="28"/>
          <w:highlight w:val="none"/>
          <w:u w:val="single"/>
        </w:rPr>
        <w:t xml:space="preserve">     </w:t>
      </w:r>
      <w:r>
        <w:rPr>
          <w:rFonts w:eastAsia="黑体"/>
          <w:color w:val="auto"/>
          <w:sz w:val="28"/>
          <w:szCs w:val="28"/>
          <w:highlight w:val="none"/>
        </w:rPr>
        <w:t>日</w:t>
      </w:r>
    </w:p>
    <w:p w14:paraId="7802AEA0">
      <w:pPr>
        <w:rPr>
          <w:color w:val="auto"/>
          <w:highlight w:val="none"/>
        </w:rPr>
      </w:pPr>
      <w:bookmarkStart w:id="985" w:name="_Toc35425137"/>
      <w:bookmarkStart w:id="986" w:name="_Toc35424971"/>
      <w:bookmarkStart w:id="987" w:name="_Toc12683"/>
    </w:p>
    <w:p w14:paraId="0EBCA57C">
      <w:pPr>
        <w:spacing w:beforeLines="50" w:afterLines="50" w:line="440" w:lineRule="exact"/>
        <w:ind w:firstLine="643" w:firstLineChars="200"/>
        <w:jc w:val="left"/>
        <w:rPr>
          <w:rFonts w:ascii="宋体" w:hAnsi="宋体" w:cs="宋体"/>
          <w:b/>
          <w:color w:val="auto"/>
          <w:sz w:val="28"/>
          <w:szCs w:val="28"/>
          <w:highlight w:val="none"/>
        </w:rPr>
      </w:pPr>
      <w:bookmarkStart w:id="988" w:name="_Toc78803399"/>
      <w:r>
        <w:rPr>
          <w:rStyle w:val="120"/>
          <w:rFonts w:hint="eastAsia" w:ascii="宋体" w:hAnsi="宋体" w:cs="宋体"/>
          <w:color w:val="auto"/>
          <w:sz w:val="32"/>
          <w:highlight w:val="none"/>
        </w:rPr>
        <w:br w:type="page"/>
      </w:r>
      <w:r>
        <w:rPr>
          <w:rStyle w:val="120"/>
          <w:rFonts w:hint="eastAsia" w:ascii="宋体" w:hAnsi="宋体" w:cs="宋体"/>
          <w:color w:val="auto"/>
          <w:sz w:val="32"/>
          <w:highlight w:val="none"/>
        </w:rPr>
        <w:t>投标文件一</w:t>
      </w:r>
      <w:bookmarkEnd w:id="985"/>
      <w:bookmarkEnd w:id="986"/>
      <w:bookmarkEnd w:id="987"/>
      <w:bookmarkEnd w:id="988"/>
      <w:r>
        <w:rPr>
          <w:rFonts w:hint="eastAsia" w:ascii="宋体" w:hAnsi="宋体" w:cs="宋体"/>
          <w:b/>
          <w:color w:val="auto"/>
          <w:sz w:val="28"/>
          <w:szCs w:val="28"/>
          <w:highlight w:val="none"/>
        </w:rPr>
        <w:t>：资信证明文件目录</w:t>
      </w:r>
    </w:p>
    <w:p w14:paraId="6711C0C4">
      <w:pPr>
        <w:spacing w:line="44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（1）法定代表人身份证明文件和本人有效身份证(或法定代表人授权委托书和委托代理人有效身份证)；</w:t>
      </w:r>
    </w:p>
    <w:p w14:paraId="0C0854E9">
      <w:pPr>
        <w:spacing w:line="44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（2）诚信投标承诺书；</w:t>
      </w:r>
    </w:p>
    <w:p w14:paraId="166CCC46">
      <w:pPr>
        <w:spacing w:line="44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（3）企业法人营业执照；</w:t>
      </w:r>
    </w:p>
    <w:p w14:paraId="6E5FDD6B">
      <w:pPr>
        <w:spacing w:line="44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（4）企业资质证书</w:t>
      </w:r>
      <w:r>
        <w:rPr>
          <w:rFonts w:hint="eastAsia" w:ascii="宋体" w:hAnsi="宋体" w:cs="宋体"/>
          <w:color w:val="auto"/>
          <w:szCs w:val="21"/>
          <w:highlight w:val="none"/>
          <w:lang w:val="en-US" w:eastAsia="zh-CN"/>
        </w:rPr>
        <w:t>及</w:t>
      </w:r>
      <w:r>
        <w:rPr>
          <w:rFonts w:hint="eastAsia" w:ascii="宋体" w:hAnsi="宋体" w:cs="宋体"/>
          <w:color w:val="auto"/>
          <w:szCs w:val="21"/>
          <w:highlight w:val="none"/>
        </w:rPr>
        <w:t>企业安全生产许可证；</w:t>
      </w:r>
    </w:p>
    <w:p w14:paraId="46FCAD8C">
      <w:pPr>
        <w:spacing w:line="440" w:lineRule="exact"/>
        <w:ind w:firstLine="420" w:firstLineChars="200"/>
        <w:jc w:val="left"/>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（5）</w:t>
      </w:r>
      <w:r>
        <w:rPr>
          <w:rFonts w:hint="eastAsia" w:ascii="宋体" w:hAnsi="宋体" w:cs="宋体"/>
          <w:color w:val="auto"/>
          <w:szCs w:val="21"/>
          <w:highlight w:val="none"/>
          <w:lang w:val="en-US" w:eastAsia="zh-CN"/>
        </w:rPr>
        <w:t>企业有效</w:t>
      </w:r>
      <w:r>
        <w:rPr>
          <w:rFonts w:hint="eastAsia" w:ascii="宋体" w:hAnsi="宋体" w:cs="宋体"/>
          <w:color w:val="auto"/>
          <w:szCs w:val="21"/>
          <w:highlight w:val="none"/>
        </w:rPr>
        <w:t>电力设施许可证</w:t>
      </w:r>
      <w:r>
        <w:rPr>
          <w:rFonts w:hint="eastAsia" w:ascii="宋体" w:hAnsi="宋体" w:cs="宋体"/>
          <w:color w:val="auto"/>
          <w:szCs w:val="21"/>
          <w:highlight w:val="none"/>
          <w:lang w:eastAsia="zh-CN"/>
        </w:rPr>
        <w:t>；</w:t>
      </w:r>
    </w:p>
    <w:p w14:paraId="1681E94C">
      <w:pPr>
        <w:spacing w:line="44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项目经理（建造师）有效身份证、注册证书以及安全生产考核合格证书（B证）；</w:t>
      </w:r>
    </w:p>
    <w:p w14:paraId="7BB10734">
      <w:pPr>
        <w:spacing w:line="440" w:lineRule="exact"/>
        <w:ind w:firstLine="420" w:firstLineChars="200"/>
        <w:jc w:val="left"/>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7</w:t>
      </w:r>
      <w:r>
        <w:rPr>
          <w:rFonts w:hint="eastAsia" w:ascii="宋体" w:hAnsi="宋体" w:cs="宋体"/>
          <w:color w:val="auto"/>
          <w:szCs w:val="21"/>
          <w:highlight w:val="none"/>
        </w:rPr>
        <w:t>）投标人的法定代表人(或委托代理人)和拟任项目经理（建造师）须持有社保部门出具的本单位为其缴纳的投标前近三个月连续的养老保险证明（证明文件两个月内有效）（同一人担任不同公司法定代表人的，该法定代表人参加本项目投标时须提供本人在其他公司任法定代表人的营业执照及为其缴纳养老保险证明材料），投标人是事业单位的，暂未缴纳养老保险的，须由其主管部门出具证明</w:t>
      </w:r>
      <w:r>
        <w:rPr>
          <w:rFonts w:hint="eastAsia" w:ascii="宋体" w:hAnsi="宋体" w:cs="宋体"/>
          <w:color w:val="auto"/>
          <w:szCs w:val="21"/>
          <w:highlight w:val="none"/>
          <w:lang w:eastAsia="zh-CN"/>
        </w:rPr>
        <w:t>；</w:t>
      </w:r>
    </w:p>
    <w:p w14:paraId="2737E4A6">
      <w:pPr>
        <w:spacing w:line="440" w:lineRule="exact"/>
        <w:ind w:firstLine="420" w:firstLineChars="200"/>
        <w:jc w:val="left"/>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8</w:t>
      </w:r>
      <w:r>
        <w:rPr>
          <w:rFonts w:hint="eastAsia" w:ascii="宋体" w:hAnsi="宋体" w:cs="宋体"/>
          <w:color w:val="auto"/>
          <w:szCs w:val="21"/>
          <w:highlight w:val="none"/>
          <w:lang w:eastAsia="zh-CN"/>
        </w:rPr>
        <w:t>）</w:t>
      </w:r>
      <w:r>
        <w:rPr>
          <w:rFonts w:hint="eastAsia" w:ascii="宋体" w:hAnsi="宋体" w:cs="宋体"/>
          <w:color w:val="auto"/>
          <w:szCs w:val="21"/>
          <w:highlight w:val="none"/>
        </w:rPr>
        <w:t>需要提供的所有证明材料</w:t>
      </w:r>
      <w:r>
        <w:rPr>
          <w:rFonts w:hint="eastAsia" w:ascii="宋体" w:hAnsi="宋体" w:cs="宋体"/>
          <w:color w:val="auto"/>
          <w:szCs w:val="21"/>
          <w:highlight w:val="none"/>
          <w:lang w:eastAsia="zh-CN"/>
        </w:rPr>
        <w:t>。</w:t>
      </w:r>
    </w:p>
    <w:p w14:paraId="59163E6F">
      <w:pPr>
        <w:spacing w:line="360" w:lineRule="auto"/>
        <w:jc w:val="center"/>
        <w:rPr>
          <w:rFonts w:ascii="宋体"/>
          <w:b/>
          <w:color w:val="auto"/>
          <w:sz w:val="28"/>
          <w:szCs w:val="28"/>
          <w:highlight w:val="none"/>
        </w:rPr>
      </w:pPr>
      <w:r>
        <w:rPr>
          <w:rFonts w:hint="eastAsia"/>
          <w:b/>
          <w:color w:val="auto"/>
          <w:sz w:val="28"/>
          <w:szCs w:val="28"/>
          <w:highlight w:val="none"/>
        </w:rPr>
        <w:br w:type="page"/>
      </w:r>
      <w:r>
        <w:rPr>
          <w:rFonts w:hint="eastAsia"/>
          <w:b/>
          <w:color w:val="auto"/>
          <w:sz w:val="28"/>
          <w:szCs w:val="28"/>
          <w:highlight w:val="none"/>
        </w:rPr>
        <w:t>（1）法定代表人身份证明或授权委托书</w:t>
      </w:r>
    </w:p>
    <w:p w14:paraId="1618991E">
      <w:pPr>
        <w:pStyle w:val="74"/>
        <w:keepNext w:val="0"/>
        <w:keepLines w:val="0"/>
        <w:pageBreakBefore w:val="0"/>
        <w:kinsoku/>
        <w:wordWrap/>
        <w:overflowPunct/>
        <w:topLinePunct w:val="0"/>
        <w:autoSpaceDE/>
        <w:autoSpaceDN/>
        <w:bidi w:val="0"/>
        <w:adjustRightInd/>
        <w:snapToGrid/>
        <w:spacing w:beforeLines="100" w:afterLines="100" w:line="440" w:lineRule="exact"/>
        <w:rPr>
          <w:rFonts w:ascii="宋体"/>
          <w:b/>
          <w:color w:val="auto"/>
          <w:sz w:val="24"/>
          <w:szCs w:val="24"/>
          <w:highlight w:val="none"/>
        </w:rPr>
      </w:pPr>
      <w:bookmarkStart w:id="989" w:name="_Toc506107356"/>
      <w:bookmarkStart w:id="990" w:name="_Toc26598"/>
      <w:bookmarkStart w:id="991" w:name="_Toc503196197"/>
      <w:r>
        <w:rPr>
          <w:rFonts w:hint="eastAsia" w:ascii="宋体"/>
          <w:color w:val="auto"/>
          <w:sz w:val="24"/>
          <w:szCs w:val="24"/>
          <w:highlight w:val="none"/>
        </w:rPr>
        <w:t>1、法定代表人身份证明</w:t>
      </w:r>
    </w:p>
    <w:p w14:paraId="5CD0926A">
      <w:pPr>
        <w:keepNext w:val="0"/>
        <w:keepLines w:val="0"/>
        <w:pageBreakBefore w:val="0"/>
        <w:kinsoku/>
        <w:wordWrap/>
        <w:overflowPunct/>
        <w:topLinePunct w:val="0"/>
        <w:autoSpaceDE/>
        <w:autoSpaceDN/>
        <w:bidi w:val="0"/>
        <w:adjustRightInd/>
        <w:snapToGrid/>
        <w:spacing w:line="440" w:lineRule="exact"/>
        <w:rPr>
          <w:rFonts w:ascii="宋体"/>
          <w:color w:val="auto"/>
          <w:sz w:val="24"/>
          <w:highlight w:val="none"/>
        </w:rPr>
      </w:pPr>
      <w:r>
        <w:rPr>
          <w:rFonts w:hint="eastAsia" w:ascii="宋体"/>
          <w:color w:val="auto"/>
          <w:sz w:val="24"/>
          <w:highlight w:val="none"/>
        </w:rPr>
        <w:t>投标人名称：</w:t>
      </w:r>
      <w:r>
        <w:rPr>
          <w:rFonts w:hint="eastAsia" w:ascii="宋体"/>
          <w:color w:val="auto"/>
          <w:sz w:val="24"/>
          <w:highlight w:val="none"/>
          <w:u w:val="single"/>
        </w:rPr>
        <w:t xml:space="preserve">                            </w:t>
      </w:r>
    </w:p>
    <w:p w14:paraId="30E6B7AC">
      <w:pPr>
        <w:keepNext w:val="0"/>
        <w:keepLines w:val="0"/>
        <w:pageBreakBefore w:val="0"/>
        <w:kinsoku/>
        <w:wordWrap/>
        <w:overflowPunct/>
        <w:topLinePunct w:val="0"/>
        <w:autoSpaceDE/>
        <w:autoSpaceDN/>
        <w:bidi w:val="0"/>
        <w:adjustRightInd/>
        <w:snapToGrid/>
        <w:spacing w:line="440" w:lineRule="exact"/>
        <w:rPr>
          <w:rFonts w:ascii="宋体"/>
          <w:color w:val="auto"/>
          <w:sz w:val="24"/>
          <w:highlight w:val="none"/>
        </w:rPr>
      </w:pPr>
      <w:r>
        <w:rPr>
          <w:rFonts w:hint="eastAsia" w:ascii="宋体"/>
          <w:color w:val="auto"/>
          <w:sz w:val="24"/>
          <w:highlight w:val="none"/>
        </w:rPr>
        <w:t>单位性质：</w:t>
      </w:r>
      <w:r>
        <w:rPr>
          <w:rFonts w:hint="eastAsia" w:ascii="宋体"/>
          <w:color w:val="auto"/>
          <w:sz w:val="24"/>
          <w:highlight w:val="none"/>
          <w:u w:val="single"/>
        </w:rPr>
        <w:t xml:space="preserve">                              </w:t>
      </w:r>
    </w:p>
    <w:p w14:paraId="2B53194B">
      <w:pPr>
        <w:keepNext w:val="0"/>
        <w:keepLines w:val="0"/>
        <w:pageBreakBefore w:val="0"/>
        <w:kinsoku/>
        <w:wordWrap/>
        <w:overflowPunct/>
        <w:topLinePunct w:val="0"/>
        <w:autoSpaceDE/>
        <w:autoSpaceDN/>
        <w:bidi w:val="0"/>
        <w:adjustRightInd/>
        <w:snapToGrid/>
        <w:spacing w:line="440" w:lineRule="exact"/>
        <w:rPr>
          <w:rFonts w:ascii="宋体"/>
          <w:color w:val="auto"/>
          <w:sz w:val="24"/>
          <w:highlight w:val="none"/>
        </w:rPr>
      </w:pPr>
      <w:r>
        <w:rPr>
          <w:rFonts w:hint="eastAsia" w:ascii="宋体"/>
          <w:color w:val="auto"/>
          <w:sz w:val="24"/>
          <w:highlight w:val="none"/>
        </w:rPr>
        <w:t>地    址：</w:t>
      </w:r>
      <w:r>
        <w:rPr>
          <w:rFonts w:hint="eastAsia" w:ascii="宋体"/>
          <w:color w:val="auto"/>
          <w:sz w:val="24"/>
          <w:highlight w:val="none"/>
          <w:u w:val="single"/>
        </w:rPr>
        <w:t xml:space="preserve">                              </w:t>
      </w:r>
    </w:p>
    <w:p w14:paraId="2672DE77">
      <w:pPr>
        <w:keepNext w:val="0"/>
        <w:keepLines w:val="0"/>
        <w:pageBreakBefore w:val="0"/>
        <w:kinsoku/>
        <w:wordWrap/>
        <w:overflowPunct/>
        <w:topLinePunct w:val="0"/>
        <w:autoSpaceDE/>
        <w:autoSpaceDN/>
        <w:bidi w:val="0"/>
        <w:adjustRightInd/>
        <w:snapToGrid/>
        <w:spacing w:line="440" w:lineRule="exact"/>
        <w:rPr>
          <w:rFonts w:ascii="宋体"/>
          <w:color w:val="auto"/>
          <w:sz w:val="24"/>
          <w:highlight w:val="none"/>
        </w:rPr>
      </w:pPr>
      <w:r>
        <w:rPr>
          <w:rFonts w:hint="eastAsia" w:ascii="宋体"/>
          <w:color w:val="auto"/>
          <w:sz w:val="24"/>
          <w:highlight w:val="none"/>
        </w:rPr>
        <w:t>成立时间：</w:t>
      </w:r>
      <w:r>
        <w:rPr>
          <w:rFonts w:hint="eastAsia" w:ascii="宋体"/>
          <w:color w:val="auto"/>
          <w:sz w:val="24"/>
          <w:highlight w:val="none"/>
          <w:u w:val="single"/>
        </w:rPr>
        <w:t xml:space="preserve">     </w:t>
      </w:r>
      <w:r>
        <w:rPr>
          <w:rFonts w:hint="eastAsia" w:ascii="宋体"/>
          <w:color w:val="auto"/>
          <w:sz w:val="24"/>
          <w:highlight w:val="none"/>
        </w:rPr>
        <w:t>年</w:t>
      </w:r>
      <w:r>
        <w:rPr>
          <w:rFonts w:hint="eastAsia" w:ascii="宋体"/>
          <w:color w:val="auto"/>
          <w:sz w:val="24"/>
          <w:highlight w:val="none"/>
          <w:u w:val="single"/>
        </w:rPr>
        <w:t xml:space="preserve">   </w:t>
      </w:r>
      <w:r>
        <w:rPr>
          <w:rFonts w:hint="eastAsia" w:ascii="宋体"/>
          <w:color w:val="auto"/>
          <w:sz w:val="24"/>
          <w:highlight w:val="none"/>
        </w:rPr>
        <w:t>月</w:t>
      </w:r>
      <w:r>
        <w:rPr>
          <w:rFonts w:hint="eastAsia" w:ascii="宋体"/>
          <w:color w:val="auto"/>
          <w:sz w:val="24"/>
          <w:highlight w:val="none"/>
          <w:u w:val="single"/>
        </w:rPr>
        <w:t xml:space="preserve">   </w:t>
      </w:r>
      <w:r>
        <w:rPr>
          <w:rFonts w:hint="eastAsia" w:ascii="宋体"/>
          <w:color w:val="auto"/>
          <w:sz w:val="24"/>
          <w:highlight w:val="none"/>
        </w:rPr>
        <w:t>日</w:t>
      </w:r>
    </w:p>
    <w:p w14:paraId="56E18266">
      <w:pPr>
        <w:keepNext w:val="0"/>
        <w:keepLines w:val="0"/>
        <w:pageBreakBefore w:val="0"/>
        <w:kinsoku/>
        <w:wordWrap/>
        <w:overflowPunct/>
        <w:topLinePunct w:val="0"/>
        <w:autoSpaceDE/>
        <w:autoSpaceDN/>
        <w:bidi w:val="0"/>
        <w:adjustRightInd/>
        <w:snapToGrid/>
        <w:spacing w:line="440" w:lineRule="exact"/>
        <w:rPr>
          <w:rFonts w:ascii="宋体"/>
          <w:color w:val="auto"/>
          <w:sz w:val="24"/>
          <w:highlight w:val="none"/>
        </w:rPr>
      </w:pPr>
      <w:r>
        <w:rPr>
          <w:rFonts w:hint="eastAsia" w:ascii="宋体"/>
          <w:color w:val="auto"/>
          <w:sz w:val="24"/>
          <w:highlight w:val="none"/>
        </w:rPr>
        <w:t>经营期限：</w:t>
      </w:r>
      <w:r>
        <w:rPr>
          <w:rFonts w:hint="eastAsia" w:ascii="宋体"/>
          <w:color w:val="auto"/>
          <w:sz w:val="24"/>
          <w:highlight w:val="none"/>
          <w:u w:val="single"/>
        </w:rPr>
        <w:t xml:space="preserve">                              </w:t>
      </w:r>
    </w:p>
    <w:p w14:paraId="7220154A">
      <w:pPr>
        <w:keepNext w:val="0"/>
        <w:keepLines w:val="0"/>
        <w:pageBreakBefore w:val="0"/>
        <w:kinsoku/>
        <w:wordWrap/>
        <w:overflowPunct/>
        <w:topLinePunct w:val="0"/>
        <w:autoSpaceDE/>
        <w:autoSpaceDN/>
        <w:bidi w:val="0"/>
        <w:adjustRightInd/>
        <w:snapToGrid/>
        <w:spacing w:line="440" w:lineRule="exact"/>
        <w:jc w:val="left"/>
        <w:rPr>
          <w:rFonts w:ascii="宋体"/>
          <w:color w:val="auto"/>
          <w:sz w:val="24"/>
          <w:highlight w:val="none"/>
          <w:u w:val="single"/>
        </w:rPr>
      </w:pPr>
      <w:r>
        <w:rPr>
          <w:rFonts w:hint="eastAsia" w:ascii="宋体"/>
          <w:color w:val="auto"/>
          <w:spacing w:val="240"/>
          <w:sz w:val="24"/>
          <w:highlight w:val="none"/>
        </w:rPr>
        <w:t>姓</w:t>
      </w:r>
      <w:r>
        <w:rPr>
          <w:rFonts w:hint="eastAsia" w:ascii="宋体"/>
          <w:color w:val="auto"/>
          <w:sz w:val="24"/>
          <w:highlight w:val="none"/>
        </w:rPr>
        <w:t>名：</w:t>
      </w:r>
      <w:r>
        <w:rPr>
          <w:rFonts w:hint="eastAsia" w:ascii="宋体"/>
          <w:color w:val="auto"/>
          <w:sz w:val="24"/>
          <w:highlight w:val="none"/>
          <w:u w:val="single"/>
        </w:rPr>
        <w:t xml:space="preserve">     </w:t>
      </w:r>
      <w:r>
        <w:rPr>
          <w:rFonts w:hint="eastAsia" w:ascii="宋体"/>
          <w:color w:val="auto"/>
          <w:sz w:val="24"/>
          <w:highlight w:val="none"/>
        </w:rPr>
        <w:t>身份证号码：</w:t>
      </w:r>
      <w:r>
        <w:rPr>
          <w:rFonts w:hint="eastAsia" w:ascii="宋体"/>
          <w:color w:val="auto"/>
          <w:sz w:val="24"/>
          <w:highlight w:val="none"/>
          <w:u w:val="single"/>
        </w:rPr>
        <w:t xml:space="preserve">     </w:t>
      </w:r>
      <w:r>
        <w:rPr>
          <w:rFonts w:hint="eastAsia" w:ascii="宋体"/>
          <w:color w:val="auto"/>
          <w:sz w:val="24"/>
          <w:highlight w:val="none"/>
        </w:rPr>
        <w:t>性别</w:t>
      </w:r>
      <w:r>
        <w:rPr>
          <w:rFonts w:hint="eastAsia" w:ascii="宋体"/>
          <w:color w:val="auto"/>
          <w:sz w:val="24"/>
          <w:highlight w:val="none"/>
          <w:u w:val="single"/>
        </w:rPr>
        <w:t xml:space="preserve">：    </w:t>
      </w:r>
      <w:r>
        <w:rPr>
          <w:rFonts w:hint="eastAsia" w:ascii="宋体"/>
          <w:color w:val="auto"/>
          <w:sz w:val="24"/>
          <w:highlight w:val="none"/>
        </w:rPr>
        <w:t>年龄：</w:t>
      </w:r>
      <w:r>
        <w:rPr>
          <w:rFonts w:hint="eastAsia" w:ascii="宋体"/>
          <w:color w:val="auto"/>
          <w:sz w:val="24"/>
          <w:highlight w:val="none"/>
          <w:u w:val="single"/>
        </w:rPr>
        <w:t xml:space="preserve">  </w:t>
      </w:r>
      <w:r>
        <w:rPr>
          <w:rFonts w:hint="eastAsia" w:ascii="宋体"/>
          <w:color w:val="auto"/>
          <w:sz w:val="24"/>
          <w:highlight w:val="none"/>
          <w:u w:val="single"/>
          <w:lang w:val="en-US" w:eastAsia="zh-CN"/>
        </w:rPr>
        <w:t xml:space="preserve">    </w:t>
      </w:r>
      <w:r>
        <w:rPr>
          <w:rFonts w:hint="eastAsia" w:ascii="宋体"/>
          <w:color w:val="auto"/>
          <w:sz w:val="24"/>
          <w:highlight w:val="none"/>
        </w:rPr>
        <w:t>职务：</w:t>
      </w:r>
      <w:r>
        <w:rPr>
          <w:rFonts w:hint="eastAsia" w:ascii="宋体"/>
          <w:color w:val="auto"/>
          <w:sz w:val="24"/>
          <w:highlight w:val="none"/>
          <w:u w:val="single"/>
        </w:rPr>
        <w:t xml:space="preserve">     </w:t>
      </w:r>
      <w:r>
        <w:rPr>
          <w:rFonts w:hint="eastAsia" w:ascii="宋体"/>
          <w:color w:val="auto"/>
          <w:sz w:val="24"/>
          <w:highlight w:val="none"/>
        </w:rPr>
        <w:t>，系</w:t>
      </w:r>
      <w:r>
        <w:rPr>
          <w:rFonts w:hint="eastAsia" w:ascii="宋体"/>
          <w:color w:val="auto"/>
          <w:sz w:val="24"/>
          <w:highlight w:val="none"/>
          <w:u w:val="single"/>
        </w:rPr>
        <w:t xml:space="preserve">     （投标人名称）</w:t>
      </w:r>
      <w:r>
        <w:rPr>
          <w:rFonts w:hint="eastAsia" w:ascii="宋体"/>
          <w:color w:val="auto"/>
          <w:sz w:val="24"/>
          <w:highlight w:val="none"/>
        </w:rPr>
        <w:t>的法定代表人。</w:t>
      </w:r>
    </w:p>
    <w:p w14:paraId="13BA0D93">
      <w:pPr>
        <w:keepNext w:val="0"/>
        <w:keepLines w:val="0"/>
        <w:pageBreakBefore w:val="0"/>
        <w:kinsoku/>
        <w:wordWrap/>
        <w:overflowPunct/>
        <w:topLinePunct w:val="0"/>
        <w:autoSpaceDE/>
        <w:autoSpaceDN/>
        <w:bidi w:val="0"/>
        <w:adjustRightInd/>
        <w:snapToGrid/>
        <w:spacing w:line="440" w:lineRule="exact"/>
        <w:rPr>
          <w:rFonts w:ascii="宋体"/>
          <w:color w:val="auto"/>
          <w:sz w:val="24"/>
          <w:highlight w:val="none"/>
        </w:rPr>
      </w:pPr>
      <w:r>
        <w:rPr>
          <w:rFonts w:hint="eastAsia" w:ascii="宋体"/>
          <w:color w:val="auto"/>
          <w:sz w:val="24"/>
          <w:highlight w:val="none"/>
        </w:rPr>
        <w:t>特此证明。</w:t>
      </w:r>
    </w:p>
    <w:p w14:paraId="5AB38E67">
      <w:pPr>
        <w:keepNext w:val="0"/>
        <w:keepLines w:val="0"/>
        <w:pageBreakBefore w:val="0"/>
        <w:kinsoku/>
        <w:wordWrap/>
        <w:overflowPunct/>
        <w:topLinePunct w:val="0"/>
        <w:autoSpaceDE/>
        <w:autoSpaceDN/>
        <w:bidi w:val="0"/>
        <w:adjustRightInd/>
        <w:snapToGrid/>
        <w:spacing w:line="440" w:lineRule="exact"/>
        <w:ind w:firstLine="480" w:firstLineChars="200"/>
        <w:rPr>
          <w:color w:val="auto"/>
          <w:highlight w:val="none"/>
        </w:rPr>
      </w:pPr>
      <w:r>
        <w:rPr>
          <w:rFonts w:hint="eastAsia" w:ascii="宋体"/>
          <w:color w:val="auto"/>
          <w:sz w:val="24"/>
          <w:highlight w:val="none"/>
        </w:rPr>
        <w:t>附：</w:t>
      </w:r>
      <w:r>
        <w:rPr>
          <w:rFonts w:hint="eastAsia" w:ascii="宋体"/>
          <w:b/>
          <w:color w:val="auto"/>
          <w:sz w:val="24"/>
          <w:highlight w:val="none"/>
        </w:rPr>
        <w:t>法定代表人有效身份证扫描件</w:t>
      </w:r>
    </w:p>
    <w:p w14:paraId="3089C1AB">
      <w:pPr>
        <w:keepNext w:val="0"/>
        <w:keepLines w:val="0"/>
        <w:pageBreakBefore w:val="0"/>
        <w:kinsoku/>
        <w:wordWrap/>
        <w:overflowPunct/>
        <w:topLinePunct w:val="0"/>
        <w:autoSpaceDE/>
        <w:autoSpaceDN/>
        <w:bidi w:val="0"/>
        <w:adjustRightInd/>
        <w:snapToGrid/>
        <w:spacing w:line="440" w:lineRule="exact"/>
        <w:ind w:firstLine="3720" w:firstLineChars="1550"/>
        <w:rPr>
          <w:rFonts w:ascii="宋体"/>
          <w:color w:val="auto"/>
          <w:sz w:val="24"/>
          <w:highlight w:val="none"/>
        </w:rPr>
      </w:pPr>
      <w:r>
        <w:rPr>
          <w:rFonts w:hint="eastAsia" w:ascii="宋体"/>
          <w:color w:val="auto"/>
          <w:sz w:val="24"/>
          <w:highlight w:val="none"/>
        </w:rPr>
        <w:t>投标人：</w:t>
      </w:r>
      <w:r>
        <w:rPr>
          <w:rFonts w:hint="eastAsia" w:ascii="宋体"/>
          <w:color w:val="auto"/>
          <w:sz w:val="24"/>
          <w:highlight w:val="none"/>
          <w:u w:val="single"/>
        </w:rPr>
        <w:t xml:space="preserve">            （</w:t>
      </w:r>
      <w:r>
        <w:rPr>
          <w:rFonts w:hint="eastAsia" w:ascii="宋体"/>
          <w:color w:val="auto"/>
          <w:sz w:val="24"/>
          <w:highlight w:val="none"/>
          <w:u w:val="single"/>
          <w:lang w:val="en-US" w:eastAsia="zh-CN"/>
        </w:rPr>
        <w:t>盖</w:t>
      </w:r>
      <w:r>
        <w:rPr>
          <w:rFonts w:hint="eastAsia" w:ascii="宋体"/>
          <w:color w:val="auto"/>
          <w:sz w:val="24"/>
          <w:highlight w:val="none"/>
          <w:u w:val="single"/>
        </w:rPr>
        <w:t>章）</w:t>
      </w:r>
    </w:p>
    <w:p w14:paraId="34409C45">
      <w:pPr>
        <w:keepNext w:val="0"/>
        <w:keepLines w:val="0"/>
        <w:pageBreakBefore w:val="0"/>
        <w:kinsoku/>
        <w:wordWrap/>
        <w:overflowPunct/>
        <w:topLinePunct w:val="0"/>
        <w:autoSpaceDE/>
        <w:autoSpaceDN/>
        <w:bidi w:val="0"/>
        <w:adjustRightInd/>
        <w:snapToGrid/>
        <w:spacing w:line="440" w:lineRule="exact"/>
        <w:rPr>
          <w:rFonts w:ascii="宋体"/>
          <w:color w:val="auto"/>
          <w:sz w:val="24"/>
          <w:highlight w:val="none"/>
        </w:rPr>
      </w:pPr>
      <w:r>
        <w:rPr>
          <w:rFonts w:hint="eastAsia" w:ascii="宋体"/>
          <w:color w:val="auto"/>
          <w:sz w:val="24"/>
          <w:highlight w:val="none"/>
        </w:rPr>
        <w:t xml:space="preserve">                                        年    月     日</w:t>
      </w:r>
    </w:p>
    <w:p w14:paraId="2F0B7B0C">
      <w:pPr>
        <w:keepNext w:val="0"/>
        <w:keepLines w:val="0"/>
        <w:pageBreakBefore w:val="0"/>
        <w:kinsoku/>
        <w:wordWrap/>
        <w:overflowPunct/>
        <w:topLinePunct w:val="0"/>
        <w:autoSpaceDE/>
        <w:autoSpaceDN/>
        <w:bidi w:val="0"/>
        <w:adjustRightInd/>
        <w:snapToGrid/>
        <w:spacing w:line="440" w:lineRule="exact"/>
        <w:rPr>
          <w:color w:val="auto"/>
          <w:highlight w:val="none"/>
        </w:rPr>
      </w:pPr>
    </w:p>
    <w:p w14:paraId="1550066F">
      <w:pPr>
        <w:pStyle w:val="74"/>
        <w:keepNext w:val="0"/>
        <w:keepLines w:val="0"/>
        <w:pageBreakBefore w:val="0"/>
        <w:kinsoku/>
        <w:wordWrap/>
        <w:overflowPunct/>
        <w:topLinePunct w:val="0"/>
        <w:autoSpaceDE/>
        <w:autoSpaceDN/>
        <w:bidi w:val="0"/>
        <w:adjustRightInd/>
        <w:snapToGrid/>
        <w:spacing w:beforeLines="100" w:afterLines="100" w:line="440" w:lineRule="exact"/>
        <w:rPr>
          <w:rFonts w:ascii="宋体"/>
          <w:color w:val="auto"/>
          <w:sz w:val="24"/>
          <w:szCs w:val="24"/>
          <w:highlight w:val="none"/>
        </w:rPr>
      </w:pPr>
      <w:r>
        <w:rPr>
          <w:rFonts w:hint="eastAsia" w:ascii="宋体"/>
          <w:color w:val="auto"/>
          <w:sz w:val="24"/>
          <w:szCs w:val="24"/>
          <w:highlight w:val="none"/>
        </w:rPr>
        <w:t>或1、授权委托书</w:t>
      </w:r>
    </w:p>
    <w:p w14:paraId="00E2E773">
      <w:pPr>
        <w:keepNext w:val="0"/>
        <w:keepLines w:val="0"/>
        <w:pageBreakBefore w:val="0"/>
        <w:kinsoku/>
        <w:wordWrap/>
        <w:overflowPunct/>
        <w:topLinePunct w:val="0"/>
        <w:autoSpaceDE/>
        <w:autoSpaceDN/>
        <w:bidi w:val="0"/>
        <w:adjustRightInd/>
        <w:snapToGrid/>
        <w:spacing w:line="440" w:lineRule="exact"/>
        <w:ind w:firstLine="480" w:firstLineChars="200"/>
        <w:jc w:val="left"/>
        <w:rPr>
          <w:rFonts w:ascii="宋体"/>
          <w:color w:val="auto"/>
          <w:sz w:val="24"/>
          <w:highlight w:val="none"/>
        </w:rPr>
      </w:pPr>
      <w:r>
        <w:rPr>
          <w:rFonts w:hint="eastAsia" w:ascii="宋体"/>
          <w:color w:val="auto"/>
          <w:sz w:val="24"/>
          <w:highlight w:val="none"/>
        </w:rPr>
        <w:t>本人</w:t>
      </w:r>
      <w:r>
        <w:rPr>
          <w:rFonts w:hint="eastAsia" w:ascii="宋体"/>
          <w:color w:val="auto"/>
          <w:sz w:val="24"/>
          <w:highlight w:val="none"/>
          <w:u w:val="single"/>
        </w:rPr>
        <w:t xml:space="preserve"> （姓名）</w:t>
      </w:r>
      <w:r>
        <w:rPr>
          <w:rFonts w:hint="eastAsia" w:ascii="宋体"/>
          <w:color w:val="auto"/>
          <w:sz w:val="24"/>
          <w:highlight w:val="none"/>
        </w:rPr>
        <w:t>系</w:t>
      </w:r>
      <w:r>
        <w:rPr>
          <w:rFonts w:hint="eastAsia" w:ascii="宋体"/>
          <w:color w:val="auto"/>
          <w:sz w:val="24"/>
          <w:highlight w:val="none"/>
          <w:u w:val="single"/>
        </w:rPr>
        <w:t>（投标人）</w:t>
      </w:r>
      <w:r>
        <w:rPr>
          <w:rFonts w:hint="eastAsia" w:ascii="宋体"/>
          <w:color w:val="auto"/>
          <w:sz w:val="24"/>
          <w:highlight w:val="none"/>
        </w:rPr>
        <w:t>的法定代表人，现委托</w:t>
      </w:r>
      <w:r>
        <w:rPr>
          <w:rFonts w:hint="eastAsia" w:ascii="宋体"/>
          <w:color w:val="auto"/>
          <w:sz w:val="24"/>
          <w:highlight w:val="none"/>
          <w:u w:val="single"/>
        </w:rPr>
        <w:t>（姓名）</w:t>
      </w:r>
      <w:r>
        <w:rPr>
          <w:rFonts w:hint="eastAsia" w:ascii="宋体"/>
          <w:color w:val="auto"/>
          <w:sz w:val="24"/>
          <w:highlight w:val="none"/>
        </w:rPr>
        <w:t>为我方代理人。代理人根据授权，以我方名义签署、澄清、说明、补正、递交、撤回、修改</w:t>
      </w:r>
      <w:r>
        <w:rPr>
          <w:rFonts w:hint="eastAsia" w:ascii="宋体"/>
          <w:color w:val="auto"/>
          <w:sz w:val="24"/>
          <w:highlight w:val="none"/>
          <w:u w:val="single"/>
        </w:rPr>
        <w:t xml:space="preserve"> “   ”(项目名称）</w:t>
      </w:r>
      <w:r>
        <w:rPr>
          <w:rFonts w:hint="eastAsia" w:ascii="宋体"/>
          <w:color w:val="auto"/>
          <w:sz w:val="24"/>
          <w:highlight w:val="none"/>
        </w:rPr>
        <w:t>投标文件，全权处理与该项目投标、评审答疑、签订合同以及与合同执行有关的一切事务，其法律后果由我方承担。</w:t>
      </w:r>
    </w:p>
    <w:p w14:paraId="104BA12E">
      <w:pPr>
        <w:keepNext w:val="0"/>
        <w:keepLines w:val="0"/>
        <w:pageBreakBefore w:val="0"/>
        <w:kinsoku/>
        <w:wordWrap/>
        <w:overflowPunct/>
        <w:topLinePunct w:val="0"/>
        <w:autoSpaceDE/>
        <w:autoSpaceDN/>
        <w:bidi w:val="0"/>
        <w:adjustRightInd/>
        <w:snapToGrid/>
        <w:spacing w:line="440" w:lineRule="exact"/>
        <w:ind w:firstLine="480" w:firstLineChars="200"/>
        <w:rPr>
          <w:rFonts w:ascii="宋体"/>
          <w:color w:val="auto"/>
          <w:sz w:val="24"/>
          <w:highlight w:val="none"/>
        </w:rPr>
      </w:pPr>
      <w:r>
        <w:rPr>
          <w:rFonts w:hint="eastAsia" w:ascii="宋体"/>
          <w:color w:val="auto"/>
          <w:sz w:val="24"/>
          <w:highlight w:val="none"/>
        </w:rPr>
        <w:t>委托期限：</w:t>
      </w:r>
      <w:r>
        <w:rPr>
          <w:rFonts w:hint="eastAsia" w:ascii="宋体"/>
          <w:color w:val="auto"/>
          <w:sz w:val="24"/>
          <w:highlight w:val="none"/>
          <w:u w:val="single"/>
          <w:lang w:val="en-US" w:eastAsia="zh-CN"/>
        </w:rPr>
        <w:t xml:space="preserve">              </w:t>
      </w:r>
      <w:r>
        <w:rPr>
          <w:rFonts w:hint="eastAsia" w:ascii="宋体" w:cs="宋体"/>
          <w:color w:val="auto"/>
          <w:sz w:val="24"/>
          <w:highlight w:val="none"/>
        </w:rPr>
        <w:t>。</w:t>
      </w:r>
    </w:p>
    <w:p w14:paraId="5334BA4B">
      <w:pPr>
        <w:keepNext w:val="0"/>
        <w:keepLines w:val="0"/>
        <w:pageBreakBefore w:val="0"/>
        <w:kinsoku/>
        <w:wordWrap/>
        <w:overflowPunct/>
        <w:topLinePunct w:val="0"/>
        <w:autoSpaceDE/>
        <w:autoSpaceDN/>
        <w:bidi w:val="0"/>
        <w:adjustRightInd/>
        <w:snapToGrid/>
        <w:spacing w:line="440" w:lineRule="exact"/>
        <w:ind w:firstLine="480" w:firstLineChars="200"/>
        <w:rPr>
          <w:rFonts w:ascii="宋体"/>
          <w:color w:val="auto"/>
          <w:sz w:val="24"/>
          <w:highlight w:val="none"/>
        </w:rPr>
      </w:pPr>
      <w:r>
        <w:rPr>
          <w:rFonts w:hint="eastAsia" w:ascii="宋体"/>
          <w:color w:val="auto"/>
          <w:sz w:val="24"/>
          <w:highlight w:val="none"/>
        </w:rPr>
        <w:t>代理人无转委托权。</w:t>
      </w:r>
    </w:p>
    <w:p w14:paraId="0A2C1F2B">
      <w:pPr>
        <w:keepNext w:val="0"/>
        <w:keepLines w:val="0"/>
        <w:pageBreakBefore w:val="0"/>
        <w:kinsoku/>
        <w:wordWrap/>
        <w:overflowPunct/>
        <w:topLinePunct w:val="0"/>
        <w:autoSpaceDE/>
        <w:autoSpaceDN/>
        <w:bidi w:val="0"/>
        <w:adjustRightInd/>
        <w:snapToGrid/>
        <w:spacing w:line="440" w:lineRule="exact"/>
        <w:ind w:firstLine="480" w:firstLineChars="200"/>
        <w:rPr>
          <w:rFonts w:ascii="宋体"/>
          <w:b/>
          <w:color w:val="auto"/>
          <w:sz w:val="24"/>
          <w:highlight w:val="none"/>
        </w:rPr>
      </w:pPr>
      <w:r>
        <w:rPr>
          <w:rFonts w:hint="eastAsia" w:ascii="宋体"/>
          <w:color w:val="auto"/>
          <w:sz w:val="24"/>
          <w:highlight w:val="none"/>
        </w:rPr>
        <w:t>附：</w:t>
      </w:r>
      <w:r>
        <w:rPr>
          <w:rFonts w:hint="eastAsia" w:ascii="宋体"/>
          <w:b/>
          <w:color w:val="auto"/>
          <w:sz w:val="24"/>
          <w:highlight w:val="none"/>
        </w:rPr>
        <w:t>委托代理人有效身份证扫描件</w:t>
      </w:r>
    </w:p>
    <w:p w14:paraId="3E1AE668">
      <w:pPr>
        <w:keepNext w:val="0"/>
        <w:keepLines w:val="0"/>
        <w:pageBreakBefore w:val="0"/>
        <w:kinsoku/>
        <w:wordWrap/>
        <w:overflowPunct/>
        <w:topLinePunct w:val="0"/>
        <w:autoSpaceDE/>
        <w:autoSpaceDN/>
        <w:bidi w:val="0"/>
        <w:adjustRightInd/>
        <w:snapToGrid/>
        <w:spacing w:line="440" w:lineRule="exact"/>
        <w:ind w:firstLine="964" w:firstLineChars="400"/>
        <w:rPr>
          <w:rFonts w:ascii="宋体"/>
          <w:b/>
          <w:color w:val="auto"/>
          <w:sz w:val="24"/>
          <w:highlight w:val="none"/>
        </w:rPr>
      </w:pPr>
      <w:r>
        <w:rPr>
          <w:rFonts w:hint="eastAsia" w:ascii="宋体"/>
          <w:b/>
          <w:color w:val="auto"/>
          <w:sz w:val="24"/>
          <w:highlight w:val="none"/>
        </w:rPr>
        <w:t>法定代表人有效身份证扫描件</w:t>
      </w:r>
    </w:p>
    <w:p w14:paraId="3DC4B743">
      <w:pPr>
        <w:keepNext w:val="0"/>
        <w:keepLines w:val="0"/>
        <w:pageBreakBefore w:val="0"/>
        <w:kinsoku/>
        <w:wordWrap/>
        <w:overflowPunct/>
        <w:topLinePunct w:val="0"/>
        <w:autoSpaceDE/>
        <w:autoSpaceDN/>
        <w:bidi w:val="0"/>
        <w:adjustRightInd/>
        <w:snapToGrid/>
        <w:spacing w:line="440" w:lineRule="exact"/>
        <w:ind w:firstLine="833" w:firstLineChars="397"/>
        <w:rPr>
          <w:color w:val="auto"/>
          <w:highlight w:val="none"/>
        </w:rPr>
      </w:pPr>
    </w:p>
    <w:p w14:paraId="4D108BBB">
      <w:pPr>
        <w:keepNext w:val="0"/>
        <w:keepLines w:val="0"/>
        <w:pageBreakBefore w:val="0"/>
        <w:kinsoku/>
        <w:wordWrap/>
        <w:overflowPunct/>
        <w:topLinePunct w:val="0"/>
        <w:autoSpaceDE/>
        <w:autoSpaceDN/>
        <w:bidi w:val="0"/>
        <w:adjustRightInd/>
        <w:snapToGrid/>
        <w:spacing w:line="440" w:lineRule="exact"/>
        <w:ind w:firstLine="3720" w:firstLineChars="1550"/>
        <w:rPr>
          <w:rFonts w:hint="eastAsia" w:ascii="宋体" w:hAnsi="Times New Roman" w:eastAsia="宋体" w:cs="Times New Roman"/>
          <w:color w:val="auto"/>
          <w:sz w:val="24"/>
          <w:highlight w:val="none"/>
        </w:rPr>
      </w:pPr>
      <w:r>
        <w:rPr>
          <w:rFonts w:hint="eastAsia" w:ascii="宋体" w:hAnsi="Times New Roman" w:eastAsia="宋体" w:cs="Times New Roman"/>
          <w:color w:val="auto"/>
          <w:sz w:val="24"/>
          <w:highlight w:val="none"/>
        </w:rPr>
        <w:t xml:space="preserve"> 投标人（盖章）：</w:t>
      </w:r>
    </w:p>
    <w:p w14:paraId="63FE0C48">
      <w:pPr>
        <w:keepNext w:val="0"/>
        <w:keepLines w:val="0"/>
        <w:pageBreakBefore w:val="0"/>
        <w:kinsoku/>
        <w:wordWrap/>
        <w:overflowPunct/>
        <w:topLinePunct w:val="0"/>
        <w:autoSpaceDE/>
        <w:autoSpaceDN/>
        <w:bidi w:val="0"/>
        <w:adjustRightInd/>
        <w:snapToGrid/>
        <w:spacing w:line="440" w:lineRule="exact"/>
        <w:ind w:firstLine="3720" w:firstLineChars="1550"/>
        <w:rPr>
          <w:rFonts w:hint="eastAsia" w:ascii="宋体" w:hAnsi="Times New Roman" w:eastAsia="宋体" w:cs="Times New Roman"/>
          <w:color w:val="auto"/>
          <w:sz w:val="24"/>
          <w:highlight w:val="none"/>
        </w:rPr>
      </w:pPr>
      <w:r>
        <w:rPr>
          <w:rFonts w:hint="eastAsia" w:ascii="宋体" w:hAnsi="Times New Roman" w:eastAsia="宋体" w:cs="Times New Roman"/>
          <w:color w:val="auto"/>
          <w:sz w:val="24"/>
          <w:highlight w:val="none"/>
        </w:rPr>
        <w:t>法定代表人（身份证号码）：    （签字或盖章）</w:t>
      </w:r>
    </w:p>
    <w:p w14:paraId="3BE5CF08">
      <w:pPr>
        <w:keepNext w:val="0"/>
        <w:keepLines w:val="0"/>
        <w:pageBreakBefore w:val="0"/>
        <w:kinsoku/>
        <w:wordWrap/>
        <w:overflowPunct/>
        <w:topLinePunct w:val="0"/>
        <w:autoSpaceDE/>
        <w:autoSpaceDN/>
        <w:bidi w:val="0"/>
        <w:adjustRightInd/>
        <w:snapToGrid/>
        <w:spacing w:line="440" w:lineRule="exact"/>
        <w:ind w:firstLine="3720" w:firstLineChars="1550"/>
        <w:rPr>
          <w:rFonts w:hint="eastAsia" w:ascii="宋体" w:hAnsi="Times New Roman" w:eastAsia="宋体" w:cs="Times New Roman"/>
          <w:color w:val="auto"/>
          <w:sz w:val="24"/>
          <w:highlight w:val="none"/>
        </w:rPr>
      </w:pPr>
      <w:r>
        <w:rPr>
          <w:rFonts w:hint="eastAsia" w:ascii="宋体" w:hAnsi="Times New Roman" w:eastAsia="宋体" w:cs="Times New Roman"/>
          <w:color w:val="auto"/>
          <w:sz w:val="24"/>
          <w:highlight w:val="none"/>
        </w:rPr>
        <w:t>委托代理人（身份证号码）：    （签字或盖章）</w:t>
      </w:r>
    </w:p>
    <w:p w14:paraId="0FCD3FA1">
      <w:pPr>
        <w:keepNext w:val="0"/>
        <w:keepLines w:val="0"/>
        <w:pageBreakBefore w:val="0"/>
        <w:kinsoku/>
        <w:wordWrap/>
        <w:overflowPunct/>
        <w:topLinePunct w:val="0"/>
        <w:autoSpaceDE/>
        <w:autoSpaceDN/>
        <w:bidi w:val="0"/>
        <w:adjustRightInd/>
        <w:snapToGrid/>
        <w:spacing w:line="440" w:lineRule="exact"/>
        <w:ind w:firstLine="5040" w:firstLineChars="2100"/>
        <w:rPr>
          <w:rFonts w:ascii="宋体"/>
          <w:color w:val="auto"/>
          <w:sz w:val="24"/>
          <w:highlight w:val="none"/>
        </w:rPr>
      </w:pPr>
      <w:r>
        <w:rPr>
          <w:rFonts w:hint="eastAsia" w:ascii="宋体"/>
          <w:color w:val="auto"/>
          <w:sz w:val="24"/>
          <w:highlight w:val="none"/>
        </w:rPr>
        <w:t xml:space="preserve">   </w:t>
      </w:r>
    </w:p>
    <w:p w14:paraId="0F4784B3">
      <w:pPr>
        <w:keepNext w:val="0"/>
        <w:keepLines w:val="0"/>
        <w:pageBreakBefore w:val="0"/>
        <w:kinsoku/>
        <w:wordWrap/>
        <w:overflowPunct/>
        <w:topLinePunct w:val="0"/>
        <w:autoSpaceDE/>
        <w:autoSpaceDN/>
        <w:bidi w:val="0"/>
        <w:adjustRightInd/>
        <w:snapToGrid/>
        <w:spacing w:line="440" w:lineRule="exact"/>
        <w:ind w:firstLine="5700" w:firstLineChars="2375"/>
        <w:rPr>
          <w:rFonts w:ascii="宋体"/>
          <w:color w:val="auto"/>
          <w:sz w:val="24"/>
          <w:highlight w:val="none"/>
        </w:rPr>
      </w:pPr>
      <w:r>
        <w:rPr>
          <w:rFonts w:hint="eastAsia" w:ascii="宋体"/>
          <w:color w:val="auto"/>
          <w:sz w:val="24"/>
          <w:highlight w:val="none"/>
        </w:rPr>
        <w:t>年    月    日</w:t>
      </w:r>
    </w:p>
    <w:p w14:paraId="666987B1">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b/>
          <w:color w:val="auto"/>
          <w:sz w:val="28"/>
          <w:szCs w:val="28"/>
          <w:highlight w:val="none"/>
        </w:rPr>
      </w:pPr>
    </w:p>
    <w:p w14:paraId="1DB5A09F">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b/>
          <w:color w:val="auto"/>
          <w:sz w:val="28"/>
          <w:szCs w:val="28"/>
          <w:highlight w:val="none"/>
        </w:rPr>
      </w:pPr>
    </w:p>
    <w:p w14:paraId="1B9326C1">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b/>
          <w:color w:val="auto"/>
          <w:sz w:val="28"/>
          <w:szCs w:val="28"/>
          <w:highlight w:val="none"/>
        </w:rPr>
      </w:pPr>
    </w:p>
    <w:p w14:paraId="52876103">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b/>
          <w:color w:val="auto"/>
          <w:sz w:val="28"/>
          <w:szCs w:val="28"/>
          <w:highlight w:val="none"/>
        </w:rPr>
      </w:pPr>
      <w:r>
        <w:rPr>
          <w:rFonts w:hint="eastAsia"/>
          <w:b/>
          <w:color w:val="auto"/>
          <w:sz w:val="28"/>
          <w:szCs w:val="28"/>
          <w:highlight w:val="none"/>
        </w:rPr>
        <w:t>（2）诚信投标承诺书</w:t>
      </w:r>
      <w:bookmarkEnd w:id="989"/>
      <w:bookmarkEnd w:id="990"/>
      <w:bookmarkEnd w:id="991"/>
    </w:p>
    <w:p w14:paraId="4397CDBB">
      <w:pPr>
        <w:adjustRightInd w:val="0"/>
        <w:snapToGrid w:val="0"/>
        <w:spacing w:line="560" w:lineRule="exact"/>
        <w:ind w:firstLine="420" w:firstLineChars="200"/>
        <w:rPr>
          <w:rFonts w:ascii="宋体" w:hAnsi="宋体"/>
          <w:color w:val="auto"/>
          <w:szCs w:val="21"/>
          <w:highlight w:val="none"/>
        </w:rPr>
      </w:pPr>
      <w:r>
        <w:rPr>
          <w:rFonts w:hint="eastAsia" w:ascii="宋体" w:hAnsi="宋体"/>
          <w:color w:val="auto"/>
          <w:szCs w:val="21"/>
          <w:highlight w:val="none"/>
        </w:rPr>
        <w:t>本人以企业法定代表人的身份郑重承诺：</w:t>
      </w:r>
    </w:p>
    <w:p w14:paraId="122CFC97">
      <w:pPr>
        <w:adjustRightInd w:val="0"/>
        <w:snapToGrid w:val="0"/>
        <w:spacing w:line="560" w:lineRule="exact"/>
        <w:ind w:firstLine="420" w:firstLineChars="200"/>
        <w:rPr>
          <w:rFonts w:ascii="宋体" w:hAnsi="宋体"/>
          <w:color w:val="auto"/>
          <w:szCs w:val="21"/>
          <w:highlight w:val="none"/>
        </w:rPr>
      </w:pPr>
      <w:r>
        <w:rPr>
          <w:rFonts w:hint="eastAsia" w:ascii="宋体" w:hAnsi="宋体"/>
          <w:color w:val="auto"/>
          <w:szCs w:val="21"/>
          <w:highlight w:val="none"/>
        </w:rPr>
        <w:t>一、将遵循公开、公正和诚实信用的原则自愿参加</w:t>
      </w:r>
      <w:r>
        <w:rPr>
          <w:rFonts w:hint="eastAsia" w:ascii="宋体" w:hAnsi="宋体"/>
          <w:color w:val="auto"/>
          <w:szCs w:val="21"/>
          <w:highlight w:val="none"/>
          <w:u w:val="single"/>
        </w:rPr>
        <w:t xml:space="preserve">                     （项目名称）</w:t>
      </w:r>
      <w:r>
        <w:rPr>
          <w:rFonts w:hint="eastAsia" w:ascii="宋体" w:hAnsi="宋体"/>
          <w:color w:val="auto"/>
          <w:szCs w:val="21"/>
          <w:highlight w:val="none"/>
        </w:rPr>
        <w:t>项目的投标；</w:t>
      </w:r>
    </w:p>
    <w:p w14:paraId="7223CEBE">
      <w:pPr>
        <w:adjustRightInd w:val="0"/>
        <w:snapToGrid w:val="0"/>
        <w:spacing w:line="560" w:lineRule="exact"/>
        <w:ind w:firstLine="420" w:firstLineChars="200"/>
        <w:rPr>
          <w:rFonts w:ascii="宋体" w:hAnsi="宋体"/>
          <w:color w:val="auto"/>
          <w:szCs w:val="21"/>
          <w:highlight w:val="none"/>
        </w:rPr>
      </w:pPr>
      <w:r>
        <w:rPr>
          <w:rFonts w:hint="eastAsia" w:ascii="宋体" w:hAnsi="宋体"/>
          <w:color w:val="auto"/>
          <w:szCs w:val="21"/>
          <w:highlight w:val="none"/>
        </w:rPr>
        <w:t>二、所提供的一切材料都是真实、合法的；</w:t>
      </w:r>
    </w:p>
    <w:p w14:paraId="7F0547A5">
      <w:pPr>
        <w:adjustRightInd w:val="0"/>
        <w:snapToGrid w:val="0"/>
        <w:spacing w:line="560" w:lineRule="exact"/>
        <w:ind w:firstLine="420" w:firstLineChars="200"/>
        <w:rPr>
          <w:rFonts w:ascii="宋体" w:hAnsi="宋体"/>
          <w:color w:val="auto"/>
          <w:szCs w:val="21"/>
          <w:highlight w:val="none"/>
        </w:rPr>
      </w:pPr>
      <w:r>
        <w:rPr>
          <w:rFonts w:hint="eastAsia" w:ascii="宋体" w:hAnsi="宋体"/>
          <w:color w:val="auto"/>
          <w:szCs w:val="21"/>
          <w:highlight w:val="none"/>
        </w:rPr>
        <w:t>三、不出借、转让资质证书，不让他人挂靠投标，不以他人名义投标或者以其他方式弄虚作假，骗取中标；</w:t>
      </w:r>
    </w:p>
    <w:p w14:paraId="10139E40">
      <w:pPr>
        <w:adjustRightInd w:val="0"/>
        <w:snapToGrid w:val="0"/>
        <w:spacing w:line="560" w:lineRule="exact"/>
        <w:ind w:firstLine="420" w:firstLineChars="200"/>
        <w:rPr>
          <w:rFonts w:ascii="宋体" w:hAnsi="宋体"/>
          <w:color w:val="auto"/>
          <w:szCs w:val="21"/>
          <w:highlight w:val="none"/>
        </w:rPr>
      </w:pPr>
      <w:r>
        <w:rPr>
          <w:rFonts w:hint="eastAsia" w:ascii="宋体" w:hAnsi="宋体"/>
          <w:color w:val="auto"/>
          <w:szCs w:val="21"/>
          <w:highlight w:val="none"/>
        </w:rPr>
        <w:t>四、不与其他投标人相互串通投标报价，不排挤其他投标人的公平竞争、损害招标人的合法权益；</w:t>
      </w:r>
    </w:p>
    <w:p w14:paraId="1ACA9AAC">
      <w:pPr>
        <w:adjustRightInd w:val="0"/>
        <w:snapToGrid w:val="0"/>
        <w:spacing w:line="5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五、不与招标人、招标代理机构或其他投标人串通投标，损害国家利益、社会公共利益或者他人的合法权益；</w:t>
      </w:r>
    </w:p>
    <w:p w14:paraId="07953209">
      <w:pPr>
        <w:adjustRightInd w:val="0"/>
        <w:snapToGrid w:val="0"/>
        <w:spacing w:line="560" w:lineRule="exact"/>
        <w:ind w:firstLine="420" w:firstLineChars="200"/>
        <w:rPr>
          <w:rFonts w:hint="eastAsia"/>
          <w:color w:val="auto"/>
          <w:szCs w:val="21"/>
          <w:highlight w:val="none"/>
        </w:rPr>
      </w:pPr>
      <w:r>
        <w:rPr>
          <w:rFonts w:hint="eastAsia" w:ascii="宋体" w:hAnsi="宋体"/>
          <w:color w:val="auto"/>
          <w:szCs w:val="21"/>
          <w:highlight w:val="none"/>
        </w:rPr>
        <w:t>六、</w:t>
      </w:r>
      <w:r>
        <w:rPr>
          <w:rFonts w:hint="eastAsia" w:ascii="宋体" w:hAnsi="宋体"/>
          <w:color w:val="auto"/>
          <w:szCs w:val="21"/>
          <w:highlight w:val="none"/>
          <w:u w:val="none"/>
          <w:lang w:eastAsia="zh-CN"/>
        </w:rPr>
        <w:t>我公司</w:t>
      </w:r>
      <w:r>
        <w:rPr>
          <w:rFonts w:hint="eastAsia" w:ascii="Times New Roman" w:hAnsi="Times New Roman"/>
          <w:smallCaps w:val="0"/>
          <w:color w:val="auto"/>
          <w:highlight w:val="none"/>
        </w:rPr>
        <w:t>（包括联合体各成员）</w:t>
      </w:r>
      <w:r>
        <w:rPr>
          <w:rFonts w:hint="eastAsia" w:ascii="宋体" w:hAnsi="宋体"/>
          <w:color w:val="auto"/>
          <w:szCs w:val="21"/>
          <w:highlight w:val="none"/>
        </w:rPr>
        <w:t>没有下列情形：</w:t>
      </w:r>
      <w:bookmarkStart w:id="992" w:name="OLE_LINK133"/>
      <w:bookmarkStart w:id="993" w:name="OLE_LINK134"/>
      <w:r>
        <w:rPr>
          <w:rFonts w:hint="eastAsia" w:ascii="宋体" w:hAnsi="宋体"/>
          <w:color w:val="auto"/>
          <w:szCs w:val="21"/>
          <w:highlight w:val="none"/>
        </w:rPr>
        <w:t>①被列入“信用中国”网站“失信被执行人”的</w:t>
      </w:r>
      <w:r>
        <w:rPr>
          <w:rFonts w:hint="eastAsia" w:ascii="宋体" w:hAnsi="宋体"/>
          <w:color w:val="auto"/>
          <w:szCs w:val="21"/>
          <w:highlight w:val="none"/>
          <w:lang w:eastAsia="zh-CN"/>
        </w:rPr>
        <w:t>；</w:t>
      </w:r>
      <w:r>
        <w:rPr>
          <w:rFonts w:hint="eastAsia" w:ascii="宋体" w:hAnsi="宋体"/>
          <w:color w:val="auto"/>
          <w:szCs w:val="21"/>
          <w:highlight w:val="none"/>
        </w:rPr>
        <w:t>②被列入“信用中国”网站“重大税收违法失信主体”的；③被列入“信用中国”网站“拖欠农民工工资失信联合惩戒对象名单”的；④被列入“信用中国”网站“</w:t>
      </w:r>
      <w:r>
        <w:rPr>
          <w:rFonts w:hint="eastAsia" w:ascii="Times New Roman" w:hAnsi="Times New Roman"/>
          <w:smallCaps w:val="0"/>
          <w:color w:val="auto"/>
          <w:highlight w:val="none"/>
          <w:lang w:eastAsia="zh-CN"/>
        </w:rPr>
        <w:t>安全生产严重失信主体名单</w:t>
      </w:r>
      <w:r>
        <w:rPr>
          <w:rFonts w:hint="eastAsia" w:ascii="宋体" w:hAnsi="宋体"/>
          <w:color w:val="auto"/>
          <w:szCs w:val="21"/>
          <w:highlight w:val="none"/>
        </w:rPr>
        <w:t>”的；⑤被列入国家企业信用信息公示系统网站“严重违法失信名单”的</w:t>
      </w:r>
      <w:r>
        <w:rPr>
          <w:rFonts w:hint="eastAsia" w:ascii="宋体" w:hAnsi="宋体"/>
          <w:color w:val="auto"/>
          <w:szCs w:val="21"/>
          <w:highlight w:val="none"/>
          <w:lang w:eastAsia="zh-CN"/>
        </w:rPr>
        <w:t>；</w:t>
      </w:r>
      <w:r>
        <w:rPr>
          <w:rFonts w:hint="eastAsia"/>
          <w:color w:val="auto"/>
          <w:szCs w:val="21"/>
          <w:highlight w:val="none"/>
        </w:rPr>
        <w:t>（</w:t>
      </w:r>
      <w:bookmarkEnd w:id="992"/>
      <w:bookmarkEnd w:id="993"/>
      <w:r>
        <w:rPr>
          <w:rFonts w:hint="eastAsia"/>
          <w:color w:val="auto"/>
          <w:szCs w:val="21"/>
          <w:highlight w:val="none"/>
        </w:rPr>
        <w:t>若招标文件对投标人</w:t>
      </w:r>
      <w:r>
        <w:rPr>
          <w:rFonts w:hint="eastAsia" w:ascii="Times New Roman" w:hAnsi="Times New Roman"/>
          <w:smallCaps w:val="0"/>
          <w:color w:val="auto"/>
          <w:highlight w:val="none"/>
        </w:rPr>
        <w:t>（包括联合体各成员）</w:t>
      </w:r>
      <w:r>
        <w:rPr>
          <w:rFonts w:hint="eastAsia"/>
          <w:color w:val="auto"/>
          <w:szCs w:val="21"/>
          <w:highlight w:val="none"/>
        </w:rPr>
        <w:t>所属分公司、办事处等分支机构有上述</w:t>
      </w:r>
      <w:r>
        <w:rPr>
          <w:color w:val="auto"/>
          <w:szCs w:val="21"/>
          <w:highlight w:val="none"/>
        </w:rPr>
        <w:t>1-</w:t>
      </w:r>
      <w:r>
        <w:rPr>
          <w:rFonts w:hint="eastAsia"/>
          <w:color w:val="auto"/>
          <w:szCs w:val="21"/>
          <w:highlight w:val="none"/>
          <w:lang w:val="en-US" w:eastAsia="zh-CN"/>
        </w:rPr>
        <w:t>5</w:t>
      </w:r>
      <w:r>
        <w:rPr>
          <w:rFonts w:hint="eastAsia"/>
          <w:color w:val="auto"/>
          <w:szCs w:val="21"/>
          <w:highlight w:val="none"/>
        </w:rPr>
        <w:t>项信誉要求，在此一并承诺我公司</w:t>
      </w:r>
      <w:r>
        <w:rPr>
          <w:rFonts w:hint="eastAsia" w:ascii="Times New Roman" w:hAnsi="Times New Roman"/>
          <w:smallCaps w:val="0"/>
          <w:color w:val="auto"/>
          <w:highlight w:val="none"/>
        </w:rPr>
        <w:t>（包括联合体各成员）</w:t>
      </w:r>
      <w:r>
        <w:rPr>
          <w:rFonts w:hint="eastAsia"/>
          <w:color w:val="auto"/>
          <w:szCs w:val="21"/>
          <w:highlight w:val="none"/>
        </w:rPr>
        <w:t>所属分公司、办事处等分支机构没有上述</w:t>
      </w:r>
      <w:r>
        <w:rPr>
          <w:color w:val="auto"/>
          <w:szCs w:val="21"/>
          <w:highlight w:val="none"/>
        </w:rPr>
        <w:t>1-</w:t>
      </w:r>
      <w:r>
        <w:rPr>
          <w:rFonts w:hint="eastAsia"/>
          <w:color w:val="auto"/>
          <w:szCs w:val="21"/>
          <w:highlight w:val="none"/>
          <w:lang w:val="en-US" w:eastAsia="zh-CN"/>
        </w:rPr>
        <w:t>5</w:t>
      </w:r>
      <w:r>
        <w:rPr>
          <w:rFonts w:hint="eastAsia"/>
          <w:color w:val="auto"/>
          <w:szCs w:val="21"/>
          <w:highlight w:val="none"/>
        </w:rPr>
        <w:t>项情形）</w:t>
      </w:r>
    </w:p>
    <w:p w14:paraId="2E528178">
      <w:pPr>
        <w:adjustRightInd w:val="0"/>
        <w:snapToGrid w:val="0"/>
        <w:spacing w:line="5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七、</w:t>
      </w:r>
      <w:r>
        <w:rPr>
          <w:rFonts w:hint="eastAsia" w:ascii="Times New Roman" w:cs="宋体"/>
          <w:color w:val="auto"/>
          <w:szCs w:val="24"/>
          <w:highlight w:val="none"/>
        </w:rPr>
        <w:t>本次投标不存在第二章“投标人须知”第1.4.3项规定的任何一种情形</w:t>
      </w:r>
      <w:r>
        <w:rPr>
          <w:rFonts w:hint="eastAsia" w:ascii="Times New Roman" w:cs="宋体"/>
          <w:color w:val="auto"/>
          <w:szCs w:val="24"/>
          <w:highlight w:val="none"/>
          <w:lang w:eastAsia="zh-CN"/>
        </w:rPr>
        <w:t>；</w:t>
      </w:r>
    </w:p>
    <w:p w14:paraId="01B6FEFA">
      <w:pPr>
        <w:adjustRightInd w:val="0"/>
        <w:snapToGrid w:val="0"/>
        <w:spacing w:line="560" w:lineRule="exact"/>
        <w:ind w:firstLine="420" w:firstLineChars="200"/>
        <w:rPr>
          <w:rFonts w:ascii="宋体" w:hAnsi="宋体"/>
          <w:color w:val="auto"/>
          <w:szCs w:val="21"/>
          <w:highlight w:val="none"/>
        </w:rPr>
      </w:pPr>
      <w:r>
        <w:rPr>
          <w:rFonts w:hint="eastAsia" w:ascii="宋体" w:hAnsi="宋体"/>
          <w:color w:val="auto"/>
          <w:szCs w:val="21"/>
          <w:highlight w:val="none"/>
        </w:rPr>
        <w:t>八、严格遵守开标现场纪律，服从监管人员管理；</w:t>
      </w:r>
    </w:p>
    <w:p w14:paraId="545F49D8">
      <w:pPr>
        <w:adjustRightInd w:val="0"/>
        <w:snapToGrid w:val="0"/>
        <w:spacing w:line="560" w:lineRule="exact"/>
        <w:ind w:firstLine="420" w:firstLineChars="200"/>
        <w:rPr>
          <w:rFonts w:ascii="宋体" w:hAnsi="宋体"/>
          <w:color w:val="auto"/>
          <w:szCs w:val="21"/>
          <w:highlight w:val="none"/>
        </w:rPr>
      </w:pPr>
      <w:r>
        <w:rPr>
          <w:rFonts w:hint="eastAsia" w:ascii="宋体" w:hAnsi="宋体"/>
          <w:color w:val="auto"/>
          <w:szCs w:val="21"/>
          <w:highlight w:val="none"/>
        </w:rPr>
        <w:t>九、保证中标后不转包及使用挂靠施工队伍，若有分包征得建设单位同意；</w:t>
      </w:r>
    </w:p>
    <w:p w14:paraId="0FBB0CB3">
      <w:pPr>
        <w:adjustRightInd w:val="0"/>
        <w:snapToGrid w:val="0"/>
        <w:spacing w:line="560" w:lineRule="exact"/>
        <w:ind w:firstLine="420" w:firstLineChars="200"/>
        <w:rPr>
          <w:rFonts w:ascii="宋体" w:hAnsi="宋体"/>
          <w:color w:val="auto"/>
          <w:szCs w:val="21"/>
          <w:highlight w:val="none"/>
        </w:rPr>
      </w:pPr>
      <w:r>
        <w:rPr>
          <w:rFonts w:hint="eastAsia" w:ascii="宋体" w:hAnsi="宋体"/>
          <w:color w:val="auto"/>
          <w:szCs w:val="21"/>
          <w:highlight w:val="none"/>
        </w:rPr>
        <w:t>十、保证中标之后，按照投标文件承诺派驻管理人员及投入机械设备，如有违反，同意接受建设单位违约处罚；</w:t>
      </w:r>
    </w:p>
    <w:p w14:paraId="76362D9E">
      <w:pPr>
        <w:adjustRightInd w:val="0"/>
        <w:snapToGrid w:val="0"/>
        <w:spacing w:line="560" w:lineRule="exact"/>
        <w:ind w:firstLine="420" w:firstLineChars="200"/>
        <w:rPr>
          <w:rFonts w:ascii="宋体" w:hAnsi="宋体"/>
          <w:color w:val="auto"/>
          <w:szCs w:val="21"/>
          <w:highlight w:val="none"/>
        </w:rPr>
      </w:pPr>
      <w:r>
        <w:rPr>
          <w:rFonts w:hint="eastAsia" w:ascii="宋体" w:hAnsi="宋体"/>
          <w:color w:val="auto"/>
          <w:szCs w:val="21"/>
          <w:highlight w:val="none"/>
        </w:rPr>
        <w:t>十一、保证企业及所属相关人员在本次投标中无行贿等犯罪行为；</w:t>
      </w:r>
    </w:p>
    <w:p w14:paraId="6EB56DCB">
      <w:pPr>
        <w:adjustRightInd w:val="0"/>
        <w:snapToGrid w:val="0"/>
        <w:spacing w:line="5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十二、如我公司中标，保证中标的项目经理（建造师）无其他尚未完工（以竣工、交工、完工验收报告等手续为准）项目或在已中标项目（以发放中标通知书为准）中担任项目经理（建造师）情形。如有，项目在滁州市区域内的，接受中标无效、记入不良行为记录等处理；项目在滁州市区域外的，保证在中标候选人公示期第一日起开始计算7日内，提供经行政主管部门备案的变更证明材料，否则接受中标无效、记入不良行为记录等处理；</w:t>
      </w:r>
    </w:p>
    <w:p w14:paraId="744B0501">
      <w:pPr>
        <w:adjustRightInd w:val="0"/>
        <w:snapToGrid w:val="0"/>
        <w:spacing w:line="5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十三、如在投标过程和公示期间发生投诉行为，依法进行投诉。投诉内容符合要求，投诉材料加盖企业公章或由法定代表人授权委托人签字，并附有关身份证明复印件。不恶意投诉，对本公司提供的投诉线索的真实性负责，否则愿接受有关部门的处罚；</w:t>
      </w:r>
    </w:p>
    <w:p w14:paraId="4EFBB8AB">
      <w:pPr>
        <w:adjustRightInd w:val="0"/>
        <w:snapToGrid w:val="0"/>
        <w:spacing w:line="5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十四、如我公司中标，按照国务院《关于全面治理拖欠农民工工资问题的意见》（国办发[2016]1号）及国家住建部和人社部关于《建筑工人实名制管理办法》（建市[2019]18号）的规定，总承包单位对所承建的工程项目的建筑工人实名制管理负总责，对建筑工人实行实名制管理；实行人工费用与其他工程款分账管理制度；建筑工程承包单位必须开设农民工工资专户；建设单位在支付工程款时，应将人工费部分按规定汇入建筑工程承包单位的农民工工资专户，由建筑工程承包单位按劳动合同约定，通过农民工工资专户按月足额将工资发放给建筑工人；</w:t>
      </w:r>
    </w:p>
    <w:p w14:paraId="2E3452EB">
      <w:pPr>
        <w:adjustRightInd w:val="0"/>
        <w:snapToGrid w:val="0"/>
        <w:spacing w:line="5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十</w:t>
      </w:r>
      <w:r>
        <w:rPr>
          <w:rFonts w:hint="eastAsia" w:ascii="宋体" w:hAnsi="宋体"/>
          <w:color w:val="auto"/>
          <w:szCs w:val="21"/>
          <w:highlight w:val="none"/>
          <w:lang w:eastAsia="zh-CN"/>
        </w:rPr>
        <w:t>五</w:t>
      </w:r>
      <w:r>
        <w:rPr>
          <w:rFonts w:hint="eastAsia" w:ascii="宋体" w:hAnsi="宋体"/>
          <w:color w:val="auto"/>
          <w:szCs w:val="21"/>
          <w:highlight w:val="none"/>
        </w:rPr>
        <w:t>、我公司拟任项目经理（建造师）不是投标截止时间前六个月内在滁州市区域内办理过项目经理（建造师）变更备案手续的原项目经理（建造师）。</w:t>
      </w:r>
    </w:p>
    <w:p w14:paraId="3887DE42">
      <w:pPr>
        <w:adjustRightInd w:val="0"/>
        <w:snapToGrid w:val="0"/>
        <w:spacing w:line="5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 xml:space="preserve"> 以上内容我已仔细阅读，本公司若有违反承诺内容的行为，自愿接受取消投标或者中标资格、中标无效、记入不良行为记录等有关处理，愿意承担法律责任，给招标人造成损失的，承担赔偿责任。</w:t>
      </w:r>
    </w:p>
    <w:p w14:paraId="3E3C11BB">
      <w:pPr>
        <w:adjustRightInd w:val="0"/>
        <w:snapToGrid w:val="0"/>
        <w:spacing w:line="560" w:lineRule="exact"/>
        <w:rPr>
          <w:rFonts w:hint="eastAsia" w:ascii="宋体" w:hAnsi="宋体"/>
          <w:color w:val="auto"/>
          <w:szCs w:val="21"/>
          <w:highlight w:val="none"/>
        </w:rPr>
      </w:pPr>
    </w:p>
    <w:p w14:paraId="505FA28C">
      <w:pPr>
        <w:adjustRightInd w:val="0"/>
        <w:snapToGrid w:val="0"/>
        <w:spacing w:line="560" w:lineRule="exact"/>
        <w:ind w:firstLine="420" w:firstLineChars="200"/>
        <w:rPr>
          <w:rFonts w:hint="eastAsia" w:ascii="宋体" w:hAnsi="宋体"/>
          <w:color w:val="auto"/>
          <w:szCs w:val="21"/>
          <w:highlight w:val="none"/>
          <w:u w:val="single"/>
        </w:rPr>
      </w:pPr>
      <w:r>
        <w:rPr>
          <w:rFonts w:hint="eastAsia" w:ascii="宋体" w:hAnsi="宋体"/>
          <w:color w:val="auto"/>
          <w:szCs w:val="21"/>
          <w:highlight w:val="none"/>
        </w:rPr>
        <w:t>开户银行：</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基本账户：                             </w:t>
      </w:r>
    </w:p>
    <w:p w14:paraId="067023D8">
      <w:pPr>
        <w:adjustRightInd w:val="0"/>
        <w:snapToGrid w:val="0"/>
        <w:spacing w:line="560" w:lineRule="exact"/>
        <w:rPr>
          <w:rFonts w:ascii="宋体" w:hAnsi="宋体"/>
          <w:color w:val="auto"/>
          <w:szCs w:val="21"/>
          <w:highlight w:val="none"/>
        </w:rPr>
      </w:pPr>
    </w:p>
    <w:p w14:paraId="5FA85BEA">
      <w:pPr>
        <w:adjustRightInd w:val="0"/>
        <w:snapToGrid w:val="0"/>
        <w:spacing w:line="560" w:lineRule="exact"/>
        <w:ind w:firstLine="420" w:firstLineChars="200"/>
        <w:rPr>
          <w:rFonts w:hint="eastAsia" w:ascii="宋体" w:hAnsi="宋体"/>
          <w:color w:val="auto"/>
          <w:szCs w:val="21"/>
          <w:highlight w:val="none"/>
          <w:u w:val="single"/>
        </w:rPr>
      </w:pPr>
      <w:r>
        <w:rPr>
          <w:rFonts w:hint="eastAsia" w:ascii="宋体" w:hAnsi="宋体"/>
          <w:color w:val="auto"/>
          <w:szCs w:val="21"/>
          <w:highlight w:val="none"/>
        </w:rPr>
        <w:t xml:space="preserve">投标人（签章）：  </w:t>
      </w:r>
      <w:r>
        <w:rPr>
          <w:rFonts w:hint="eastAsia" w:ascii="宋体" w:hAnsi="宋体"/>
          <w:color w:val="auto"/>
          <w:szCs w:val="21"/>
          <w:highlight w:val="none"/>
          <w:u w:val="single"/>
        </w:rPr>
        <w:t xml:space="preserve">        </w:t>
      </w:r>
      <w:r>
        <w:rPr>
          <w:rFonts w:hint="eastAsia" w:ascii="宋体" w:hAnsi="宋体"/>
          <w:color w:val="auto"/>
          <w:szCs w:val="21"/>
          <w:highlight w:val="none"/>
        </w:rPr>
        <w:t>法定代表人（签章）：</w:t>
      </w:r>
      <w:r>
        <w:rPr>
          <w:rFonts w:hint="eastAsia" w:ascii="宋体" w:hAnsi="宋体"/>
          <w:color w:val="auto"/>
          <w:szCs w:val="21"/>
          <w:highlight w:val="none"/>
          <w:u w:val="single"/>
        </w:rPr>
        <w:t xml:space="preserve">                           </w:t>
      </w:r>
    </w:p>
    <w:p w14:paraId="1CEF8A3E">
      <w:pPr>
        <w:adjustRightInd w:val="0"/>
        <w:snapToGrid w:val="0"/>
        <w:spacing w:line="560" w:lineRule="exact"/>
        <w:rPr>
          <w:rFonts w:hint="eastAsia" w:ascii="宋体" w:hAnsi="宋体"/>
          <w:color w:val="auto"/>
          <w:szCs w:val="21"/>
          <w:highlight w:val="none"/>
        </w:rPr>
      </w:pPr>
    </w:p>
    <w:p w14:paraId="627BF861">
      <w:pPr>
        <w:pStyle w:val="14"/>
        <w:rPr>
          <w:rFonts w:hint="eastAsia"/>
          <w:color w:val="auto"/>
          <w:highlight w:val="none"/>
        </w:rPr>
      </w:pPr>
      <w:r>
        <w:rPr>
          <w:rFonts w:hint="eastAsia" w:ascii="宋体" w:hAnsi="宋体"/>
          <w:color w:val="auto"/>
          <w:szCs w:val="21"/>
          <w:highlight w:val="none"/>
        </w:rPr>
        <w:t>日期：</w:t>
      </w:r>
      <w:r>
        <w:rPr>
          <w:rFonts w:ascii="宋体" w:hAnsi="宋体"/>
          <w:color w:val="auto"/>
          <w:szCs w:val="21"/>
          <w:highlight w:val="none"/>
          <w:u w:val="single"/>
        </w:rPr>
        <w:t xml:space="preserve">           </w:t>
      </w:r>
      <w:r>
        <w:rPr>
          <w:rFonts w:hint="eastAsia" w:ascii="宋体" w:hAnsi="宋体"/>
          <w:color w:val="auto"/>
          <w:szCs w:val="21"/>
          <w:highlight w:val="none"/>
        </w:rPr>
        <w:t>年</w:t>
      </w:r>
      <w:r>
        <w:rPr>
          <w:rFonts w:ascii="宋体" w:hAnsi="宋体"/>
          <w:color w:val="auto"/>
          <w:szCs w:val="21"/>
          <w:highlight w:val="none"/>
        </w:rPr>
        <w:t xml:space="preserve"> </w:t>
      </w:r>
      <w:r>
        <w:rPr>
          <w:rFonts w:ascii="宋体" w:hAnsi="宋体"/>
          <w:color w:val="auto"/>
          <w:szCs w:val="21"/>
          <w:highlight w:val="none"/>
          <w:u w:val="single"/>
        </w:rPr>
        <w:t xml:space="preserve">           </w:t>
      </w:r>
      <w:r>
        <w:rPr>
          <w:rFonts w:hint="eastAsia" w:ascii="宋体" w:hAnsi="宋体"/>
          <w:color w:val="auto"/>
          <w:szCs w:val="21"/>
          <w:highlight w:val="none"/>
        </w:rPr>
        <w:t>月</w:t>
      </w:r>
      <w:r>
        <w:rPr>
          <w:rFonts w:ascii="宋体" w:hAnsi="宋体"/>
          <w:color w:val="auto"/>
          <w:szCs w:val="21"/>
          <w:highlight w:val="none"/>
        </w:rPr>
        <w:t xml:space="preserve"> </w:t>
      </w:r>
      <w:r>
        <w:rPr>
          <w:rFonts w:ascii="宋体" w:hAnsi="宋体"/>
          <w:color w:val="auto"/>
          <w:szCs w:val="21"/>
          <w:highlight w:val="none"/>
          <w:u w:val="single"/>
        </w:rPr>
        <w:t xml:space="preserve">            </w:t>
      </w:r>
      <w:r>
        <w:rPr>
          <w:rFonts w:hint="eastAsia" w:ascii="宋体" w:hAnsi="宋体"/>
          <w:color w:val="auto"/>
          <w:szCs w:val="21"/>
          <w:highlight w:val="none"/>
        </w:rPr>
        <w:t>日</w:t>
      </w:r>
    </w:p>
    <w:p w14:paraId="54D61EA4">
      <w:pPr>
        <w:rPr>
          <w:rFonts w:hint="eastAsia"/>
          <w:color w:val="auto"/>
          <w:highlight w:val="none"/>
        </w:rPr>
      </w:pPr>
    </w:p>
    <w:p w14:paraId="364DDAFB">
      <w:pPr>
        <w:rPr>
          <w:rFonts w:eastAsia="黑体"/>
          <w:color w:val="auto"/>
          <w:sz w:val="28"/>
          <w:szCs w:val="28"/>
          <w:highlight w:val="none"/>
          <w:u w:val="single"/>
        </w:rPr>
      </w:pPr>
      <w:r>
        <w:rPr>
          <w:rFonts w:hint="eastAsia" w:ascii="宋体" w:hAnsi="宋体"/>
          <w:b/>
          <w:color w:val="auto"/>
          <w:sz w:val="32"/>
          <w:szCs w:val="32"/>
          <w:highlight w:val="none"/>
        </w:rPr>
        <w:br w:type="page"/>
      </w:r>
    </w:p>
    <w:p w14:paraId="32909EE7">
      <w:pPr>
        <w:rPr>
          <w:color w:val="auto"/>
          <w:highlight w:val="none"/>
        </w:rPr>
      </w:pPr>
    </w:p>
    <w:p w14:paraId="37AFF5C8">
      <w:pPr>
        <w:rPr>
          <w:color w:val="auto"/>
          <w:highlight w:val="none"/>
        </w:rPr>
      </w:pPr>
    </w:p>
    <w:p w14:paraId="10A94BA1">
      <w:pPr>
        <w:pStyle w:val="14"/>
        <w:rPr>
          <w:color w:val="auto"/>
          <w:highlight w:val="none"/>
        </w:rPr>
      </w:pPr>
    </w:p>
    <w:p w14:paraId="50582D72">
      <w:pPr>
        <w:rPr>
          <w:color w:val="auto"/>
          <w:highlight w:val="none"/>
        </w:rPr>
      </w:pPr>
    </w:p>
    <w:p w14:paraId="4408DAAE">
      <w:pPr>
        <w:pStyle w:val="14"/>
        <w:rPr>
          <w:color w:val="auto"/>
          <w:highlight w:val="none"/>
        </w:rPr>
      </w:pPr>
    </w:p>
    <w:p w14:paraId="1ADCBC81">
      <w:pPr>
        <w:rPr>
          <w:color w:val="auto"/>
          <w:highlight w:val="none"/>
        </w:rPr>
      </w:pPr>
    </w:p>
    <w:p w14:paraId="52F921F7">
      <w:pPr>
        <w:jc w:val="center"/>
        <w:rPr>
          <w:rFonts w:eastAsia="黑体"/>
          <w:color w:val="auto"/>
          <w:sz w:val="20"/>
          <w:szCs w:val="20"/>
          <w:highlight w:val="none"/>
        </w:rPr>
      </w:pPr>
      <w:r>
        <w:rPr>
          <w:rFonts w:eastAsia="黑体"/>
          <w:color w:val="auto"/>
          <w:sz w:val="28"/>
          <w:szCs w:val="28"/>
          <w:highlight w:val="none"/>
        </w:rPr>
        <w:t>（项目名称）</w:t>
      </w:r>
    </w:p>
    <w:p w14:paraId="1CB3AF7F">
      <w:pPr>
        <w:jc w:val="center"/>
        <w:rPr>
          <w:rFonts w:eastAsia="黑体"/>
          <w:color w:val="auto"/>
          <w:sz w:val="20"/>
          <w:szCs w:val="20"/>
          <w:highlight w:val="none"/>
        </w:rPr>
      </w:pPr>
    </w:p>
    <w:p w14:paraId="7F67D925">
      <w:pPr>
        <w:rPr>
          <w:rFonts w:eastAsia="黑体"/>
          <w:color w:val="auto"/>
          <w:sz w:val="20"/>
          <w:szCs w:val="20"/>
          <w:highlight w:val="none"/>
        </w:rPr>
      </w:pPr>
    </w:p>
    <w:p w14:paraId="5AE9D7EA">
      <w:pPr>
        <w:jc w:val="center"/>
        <w:rPr>
          <w:rFonts w:hint="eastAsia" w:eastAsia="黑体"/>
          <w:color w:val="auto"/>
          <w:sz w:val="44"/>
          <w:szCs w:val="44"/>
          <w:highlight w:val="none"/>
          <w:lang w:eastAsia="zh-CN"/>
        </w:rPr>
      </w:pPr>
      <w:r>
        <w:rPr>
          <w:rFonts w:eastAsia="黑体"/>
          <w:color w:val="auto"/>
          <w:sz w:val="44"/>
          <w:szCs w:val="44"/>
          <w:highlight w:val="none"/>
        </w:rPr>
        <w:t>投  标  文  件</w:t>
      </w:r>
      <w:r>
        <w:rPr>
          <w:rFonts w:hint="eastAsia" w:eastAsia="黑体"/>
          <w:color w:val="auto"/>
          <w:sz w:val="44"/>
          <w:szCs w:val="44"/>
          <w:highlight w:val="none"/>
        </w:rPr>
        <w:t xml:space="preserve">  </w:t>
      </w:r>
      <w:r>
        <w:rPr>
          <w:rFonts w:hint="eastAsia" w:eastAsia="黑体"/>
          <w:color w:val="auto"/>
          <w:sz w:val="44"/>
          <w:szCs w:val="44"/>
          <w:highlight w:val="none"/>
          <w:lang w:val="en-US" w:eastAsia="zh-CN"/>
        </w:rPr>
        <w:t>二</w:t>
      </w:r>
    </w:p>
    <w:p w14:paraId="4D9A83AD">
      <w:pPr>
        <w:jc w:val="center"/>
        <w:rPr>
          <w:rFonts w:eastAsia="黑体"/>
          <w:color w:val="auto"/>
          <w:sz w:val="44"/>
          <w:szCs w:val="44"/>
          <w:highlight w:val="none"/>
        </w:rPr>
      </w:pPr>
      <w:r>
        <w:rPr>
          <w:rFonts w:hint="eastAsia" w:eastAsia="黑体"/>
          <w:color w:val="auto"/>
          <w:sz w:val="44"/>
          <w:szCs w:val="44"/>
          <w:highlight w:val="none"/>
        </w:rPr>
        <w:t>（商务标文件）</w:t>
      </w:r>
    </w:p>
    <w:p w14:paraId="00AD4571">
      <w:pPr>
        <w:rPr>
          <w:rFonts w:eastAsia="黑体"/>
          <w:color w:val="auto"/>
          <w:sz w:val="28"/>
          <w:szCs w:val="28"/>
          <w:highlight w:val="none"/>
        </w:rPr>
      </w:pPr>
    </w:p>
    <w:p w14:paraId="03FF9373">
      <w:pPr>
        <w:rPr>
          <w:rFonts w:eastAsia="黑体"/>
          <w:color w:val="auto"/>
          <w:sz w:val="28"/>
          <w:szCs w:val="28"/>
          <w:highlight w:val="none"/>
        </w:rPr>
      </w:pPr>
    </w:p>
    <w:p w14:paraId="6F4198FD">
      <w:pPr>
        <w:rPr>
          <w:rFonts w:eastAsia="黑体"/>
          <w:color w:val="auto"/>
          <w:sz w:val="28"/>
          <w:szCs w:val="28"/>
          <w:highlight w:val="none"/>
        </w:rPr>
      </w:pPr>
    </w:p>
    <w:p w14:paraId="18D553B1">
      <w:pPr>
        <w:rPr>
          <w:rFonts w:eastAsia="黑体"/>
          <w:color w:val="auto"/>
          <w:sz w:val="28"/>
          <w:szCs w:val="28"/>
          <w:highlight w:val="none"/>
        </w:rPr>
      </w:pPr>
    </w:p>
    <w:p w14:paraId="0E5FE50F">
      <w:pPr>
        <w:rPr>
          <w:rFonts w:eastAsia="黑体"/>
          <w:color w:val="auto"/>
          <w:sz w:val="28"/>
          <w:szCs w:val="28"/>
          <w:highlight w:val="none"/>
        </w:rPr>
      </w:pPr>
    </w:p>
    <w:p w14:paraId="74AFA9E2">
      <w:pPr>
        <w:rPr>
          <w:rFonts w:eastAsia="黑体"/>
          <w:color w:val="auto"/>
          <w:sz w:val="28"/>
          <w:szCs w:val="28"/>
          <w:highlight w:val="none"/>
        </w:rPr>
      </w:pPr>
    </w:p>
    <w:p w14:paraId="078AB10D">
      <w:pPr>
        <w:rPr>
          <w:rFonts w:eastAsia="黑体"/>
          <w:color w:val="auto"/>
          <w:sz w:val="28"/>
          <w:szCs w:val="28"/>
          <w:highlight w:val="none"/>
        </w:rPr>
      </w:pPr>
    </w:p>
    <w:p w14:paraId="5C03182B">
      <w:pPr>
        <w:rPr>
          <w:rFonts w:eastAsia="黑体"/>
          <w:color w:val="auto"/>
          <w:sz w:val="28"/>
          <w:szCs w:val="28"/>
          <w:highlight w:val="none"/>
        </w:rPr>
      </w:pPr>
    </w:p>
    <w:p w14:paraId="50FB798D">
      <w:pPr>
        <w:rPr>
          <w:rFonts w:eastAsia="黑体"/>
          <w:color w:val="auto"/>
          <w:sz w:val="28"/>
          <w:szCs w:val="28"/>
          <w:highlight w:val="none"/>
        </w:rPr>
      </w:pPr>
    </w:p>
    <w:p w14:paraId="3118FFCA">
      <w:pPr>
        <w:pStyle w:val="14"/>
        <w:rPr>
          <w:rFonts w:eastAsia="黑体"/>
          <w:color w:val="auto"/>
          <w:sz w:val="28"/>
          <w:szCs w:val="28"/>
          <w:highlight w:val="none"/>
        </w:rPr>
      </w:pPr>
    </w:p>
    <w:p w14:paraId="01BE5E84">
      <w:pPr>
        <w:rPr>
          <w:rFonts w:eastAsia="黑体"/>
          <w:color w:val="auto"/>
          <w:sz w:val="28"/>
          <w:szCs w:val="28"/>
          <w:highlight w:val="none"/>
        </w:rPr>
      </w:pPr>
    </w:p>
    <w:p w14:paraId="2FE9E756">
      <w:pPr>
        <w:pStyle w:val="14"/>
        <w:rPr>
          <w:rFonts w:eastAsia="黑体"/>
          <w:color w:val="auto"/>
          <w:sz w:val="28"/>
          <w:szCs w:val="28"/>
          <w:highlight w:val="none"/>
        </w:rPr>
      </w:pPr>
    </w:p>
    <w:p w14:paraId="67B6F8F9">
      <w:pPr>
        <w:rPr>
          <w:rFonts w:eastAsia="黑体"/>
          <w:color w:val="auto"/>
          <w:sz w:val="28"/>
          <w:szCs w:val="28"/>
          <w:highlight w:val="none"/>
        </w:rPr>
      </w:pPr>
    </w:p>
    <w:p w14:paraId="3C7498B7">
      <w:pPr>
        <w:pStyle w:val="14"/>
        <w:rPr>
          <w:rFonts w:eastAsia="黑体"/>
          <w:color w:val="auto"/>
          <w:sz w:val="28"/>
          <w:szCs w:val="28"/>
          <w:highlight w:val="none"/>
        </w:rPr>
      </w:pPr>
    </w:p>
    <w:p w14:paraId="34079401">
      <w:pPr>
        <w:rPr>
          <w:rFonts w:eastAsia="黑体"/>
          <w:color w:val="auto"/>
          <w:sz w:val="28"/>
          <w:szCs w:val="28"/>
          <w:highlight w:val="none"/>
        </w:rPr>
      </w:pPr>
    </w:p>
    <w:p w14:paraId="794B988D">
      <w:pPr>
        <w:pStyle w:val="14"/>
        <w:rPr>
          <w:color w:val="auto"/>
          <w:highlight w:val="none"/>
        </w:rPr>
      </w:pPr>
    </w:p>
    <w:p w14:paraId="0682BFC9">
      <w:pPr>
        <w:rPr>
          <w:rFonts w:eastAsia="黑体"/>
          <w:color w:val="auto"/>
          <w:sz w:val="28"/>
          <w:szCs w:val="28"/>
          <w:highlight w:val="none"/>
        </w:rPr>
      </w:pPr>
    </w:p>
    <w:p w14:paraId="68117E32">
      <w:pPr>
        <w:rPr>
          <w:rFonts w:eastAsia="黑体"/>
          <w:color w:val="auto"/>
          <w:sz w:val="28"/>
          <w:szCs w:val="28"/>
          <w:highlight w:val="none"/>
        </w:rPr>
      </w:pPr>
    </w:p>
    <w:p w14:paraId="038F9E36">
      <w:pPr>
        <w:keepNext w:val="0"/>
        <w:keepLines w:val="0"/>
        <w:pageBreakBefore w:val="0"/>
        <w:widowControl w:val="0"/>
        <w:kinsoku/>
        <w:wordWrap/>
        <w:overflowPunct/>
        <w:topLinePunct w:val="0"/>
        <w:autoSpaceDE/>
        <w:autoSpaceDN/>
        <w:bidi w:val="0"/>
        <w:adjustRightInd/>
        <w:snapToGrid/>
        <w:spacing w:line="720" w:lineRule="auto"/>
        <w:jc w:val="center"/>
        <w:textAlignment w:val="auto"/>
        <w:rPr>
          <w:rFonts w:eastAsia="黑体"/>
          <w:color w:val="auto"/>
          <w:sz w:val="28"/>
          <w:szCs w:val="28"/>
          <w:highlight w:val="none"/>
          <w:u w:val="single"/>
        </w:rPr>
      </w:pPr>
      <w:r>
        <w:rPr>
          <w:rFonts w:hint="eastAsia" w:eastAsia="黑体"/>
          <w:color w:val="auto"/>
          <w:sz w:val="28"/>
          <w:szCs w:val="28"/>
          <w:highlight w:val="none"/>
        </w:rPr>
        <w:t xml:space="preserve"> 投标人</w:t>
      </w:r>
      <w:r>
        <w:rPr>
          <w:rFonts w:eastAsia="黑体"/>
          <w:color w:val="auto"/>
          <w:sz w:val="28"/>
          <w:szCs w:val="28"/>
          <w:highlight w:val="none"/>
        </w:rPr>
        <w:t>：</w:t>
      </w:r>
      <w:r>
        <w:rPr>
          <w:rFonts w:eastAsia="黑体"/>
          <w:color w:val="auto"/>
          <w:sz w:val="28"/>
          <w:szCs w:val="28"/>
          <w:highlight w:val="none"/>
          <w:u w:val="single"/>
        </w:rPr>
        <w:t xml:space="preserve">               </w:t>
      </w:r>
      <w:r>
        <w:rPr>
          <w:rFonts w:hint="eastAsia" w:eastAsia="黑体"/>
          <w:color w:val="auto"/>
          <w:sz w:val="28"/>
          <w:szCs w:val="28"/>
          <w:highlight w:val="none"/>
          <w:u w:val="single"/>
        </w:rPr>
        <w:t xml:space="preserve">    </w:t>
      </w:r>
      <w:r>
        <w:rPr>
          <w:rFonts w:eastAsia="黑体"/>
          <w:color w:val="auto"/>
          <w:sz w:val="28"/>
          <w:szCs w:val="28"/>
          <w:highlight w:val="none"/>
          <w:u w:val="single"/>
        </w:rPr>
        <w:t xml:space="preserve">      </w:t>
      </w:r>
      <w:r>
        <w:rPr>
          <w:rFonts w:hint="eastAsia" w:eastAsia="黑体"/>
          <w:color w:val="auto"/>
          <w:sz w:val="28"/>
          <w:szCs w:val="28"/>
          <w:highlight w:val="none"/>
          <w:u w:val="single"/>
        </w:rPr>
        <w:t xml:space="preserve">  </w:t>
      </w:r>
      <w:r>
        <w:rPr>
          <w:rFonts w:eastAsia="黑体"/>
          <w:color w:val="auto"/>
          <w:sz w:val="28"/>
          <w:szCs w:val="28"/>
          <w:highlight w:val="none"/>
          <w:u w:val="single"/>
        </w:rPr>
        <w:t xml:space="preserve">       </w:t>
      </w:r>
      <w:r>
        <w:rPr>
          <w:rFonts w:eastAsia="黑体"/>
          <w:color w:val="auto"/>
          <w:sz w:val="28"/>
          <w:szCs w:val="28"/>
          <w:highlight w:val="none"/>
        </w:rPr>
        <w:t>（</w:t>
      </w:r>
      <w:r>
        <w:rPr>
          <w:rFonts w:hint="eastAsia" w:eastAsia="黑体"/>
          <w:color w:val="auto"/>
          <w:sz w:val="28"/>
          <w:szCs w:val="28"/>
          <w:highlight w:val="none"/>
        </w:rPr>
        <w:t>盖</w:t>
      </w:r>
      <w:r>
        <w:rPr>
          <w:rFonts w:eastAsia="黑体"/>
          <w:color w:val="auto"/>
          <w:sz w:val="28"/>
          <w:szCs w:val="28"/>
          <w:highlight w:val="none"/>
        </w:rPr>
        <w:t>章）</w:t>
      </w:r>
    </w:p>
    <w:p w14:paraId="4CAB06D8">
      <w:pPr>
        <w:keepNext w:val="0"/>
        <w:keepLines w:val="0"/>
        <w:pageBreakBefore w:val="0"/>
        <w:widowControl w:val="0"/>
        <w:kinsoku/>
        <w:wordWrap/>
        <w:overflowPunct/>
        <w:topLinePunct w:val="0"/>
        <w:autoSpaceDE/>
        <w:autoSpaceDN/>
        <w:bidi w:val="0"/>
        <w:adjustRightInd/>
        <w:snapToGrid/>
        <w:spacing w:line="720" w:lineRule="auto"/>
        <w:jc w:val="center"/>
        <w:textAlignment w:val="auto"/>
        <w:rPr>
          <w:rFonts w:eastAsia="黑体"/>
          <w:color w:val="auto"/>
          <w:sz w:val="28"/>
          <w:szCs w:val="28"/>
          <w:highlight w:val="none"/>
        </w:rPr>
      </w:pPr>
      <w:r>
        <w:rPr>
          <w:rFonts w:hint="eastAsia" w:eastAsia="黑体"/>
          <w:color w:val="auto"/>
          <w:sz w:val="28"/>
          <w:szCs w:val="28"/>
          <w:highlight w:val="none"/>
        </w:rPr>
        <w:t xml:space="preserve">   </w:t>
      </w:r>
      <w:r>
        <w:rPr>
          <w:rFonts w:eastAsia="黑体"/>
          <w:color w:val="auto"/>
          <w:sz w:val="28"/>
          <w:szCs w:val="28"/>
          <w:highlight w:val="none"/>
        </w:rPr>
        <w:t>法定代表人</w:t>
      </w:r>
      <w:r>
        <w:rPr>
          <w:rFonts w:hint="eastAsia" w:eastAsia="黑体"/>
          <w:color w:val="auto"/>
          <w:sz w:val="28"/>
          <w:szCs w:val="28"/>
          <w:highlight w:val="none"/>
          <w:lang w:val="en-US" w:eastAsia="zh-CN"/>
        </w:rPr>
        <w:t>或授权委托人</w:t>
      </w:r>
      <w:r>
        <w:rPr>
          <w:rFonts w:eastAsia="黑体"/>
          <w:color w:val="auto"/>
          <w:sz w:val="28"/>
          <w:szCs w:val="28"/>
          <w:highlight w:val="none"/>
        </w:rPr>
        <w:t>：</w:t>
      </w:r>
      <w:r>
        <w:rPr>
          <w:rFonts w:eastAsia="黑体"/>
          <w:color w:val="auto"/>
          <w:sz w:val="28"/>
          <w:szCs w:val="28"/>
          <w:highlight w:val="none"/>
          <w:u w:val="single"/>
        </w:rPr>
        <w:t xml:space="preserve">         </w:t>
      </w:r>
      <w:r>
        <w:rPr>
          <w:rFonts w:hint="eastAsia" w:eastAsia="黑体"/>
          <w:color w:val="auto"/>
          <w:sz w:val="28"/>
          <w:szCs w:val="28"/>
          <w:highlight w:val="none"/>
          <w:u w:val="single"/>
        </w:rPr>
        <w:t xml:space="preserve">         </w:t>
      </w:r>
      <w:r>
        <w:rPr>
          <w:rFonts w:eastAsia="黑体"/>
          <w:color w:val="auto"/>
          <w:sz w:val="28"/>
          <w:szCs w:val="28"/>
          <w:highlight w:val="none"/>
          <w:u w:val="single"/>
        </w:rPr>
        <w:t xml:space="preserve">       </w:t>
      </w:r>
      <w:r>
        <w:rPr>
          <w:rFonts w:eastAsia="黑体"/>
          <w:color w:val="auto"/>
          <w:sz w:val="28"/>
          <w:szCs w:val="28"/>
          <w:highlight w:val="none"/>
        </w:rPr>
        <w:t>（</w:t>
      </w:r>
      <w:r>
        <w:rPr>
          <w:rFonts w:hint="eastAsia" w:eastAsia="黑体"/>
          <w:color w:val="auto"/>
          <w:sz w:val="28"/>
          <w:szCs w:val="28"/>
          <w:highlight w:val="none"/>
        </w:rPr>
        <w:t>签字或盖章</w:t>
      </w:r>
      <w:r>
        <w:rPr>
          <w:rFonts w:eastAsia="黑体"/>
          <w:color w:val="auto"/>
          <w:sz w:val="28"/>
          <w:szCs w:val="28"/>
          <w:highlight w:val="none"/>
        </w:rPr>
        <w:t>）</w:t>
      </w:r>
    </w:p>
    <w:p w14:paraId="350C1BB2">
      <w:pPr>
        <w:keepNext w:val="0"/>
        <w:keepLines w:val="0"/>
        <w:pageBreakBefore w:val="0"/>
        <w:widowControl w:val="0"/>
        <w:kinsoku/>
        <w:wordWrap/>
        <w:overflowPunct/>
        <w:topLinePunct w:val="0"/>
        <w:autoSpaceDE/>
        <w:autoSpaceDN/>
        <w:bidi w:val="0"/>
        <w:adjustRightInd/>
        <w:snapToGrid/>
        <w:spacing w:line="720" w:lineRule="auto"/>
        <w:jc w:val="center"/>
        <w:textAlignment w:val="auto"/>
        <w:rPr>
          <w:rFonts w:eastAsia="黑体"/>
          <w:color w:val="auto"/>
          <w:sz w:val="28"/>
          <w:szCs w:val="28"/>
          <w:highlight w:val="none"/>
        </w:rPr>
      </w:pPr>
      <w:r>
        <w:rPr>
          <w:rFonts w:hint="eastAsia" w:eastAsia="黑体"/>
          <w:color w:val="auto"/>
          <w:sz w:val="28"/>
          <w:szCs w:val="28"/>
          <w:highlight w:val="none"/>
          <w:u w:val="single"/>
        </w:rPr>
        <w:t xml:space="preserve">      </w:t>
      </w:r>
      <w:r>
        <w:rPr>
          <w:rFonts w:eastAsia="黑体"/>
          <w:color w:val="auto"/>
          <w:sz w:val="28"/>
          <w:szCs w:val="28"/>
          <w:highlight w:val="none"/>
        </w:rPr>
        <w:t>年</w:t>
      </w:r>
      <w:r>
        <w:rPr>
          <w:rFonts w:hint="eastAsia" w:eastAsia="黑体"/>
          <w:color w:val="auto"/>
          <w:sz w:val="28"/>
          <w:szCs w:val="28"/>
          <w:highlight w:val="none"/>
          <w:u w:val="single"/>
        </w:rPr>
        <w:t xml:space="preserve">     </w:t>
      </w:r>
      <w:r>
        <w:rPr>
          <w:rFonts w:eastAsia="黑体"/>
          <w:color w:val="auto"/>
          <w:sz w:val="28"/>
          <w:szCs w:val="28"/>
          <w:highlight w:val="none"/>
        </w:rPr>
        <w:t>月</w:t>
      </w:r>
      <w:r>
        <w:rPr>
          <w:rFonts w:hint="eastAsia" w:eastAsia="黑体"/>
          <w:color w:val="auto"/>
          <w:sz w:val="28"/>
          <w:szCs w:val="28"/>
          <w:highlight w:val="none"/>
          <w:u w:val="single"/>
        </w:rPr>
        <w:t xml:space="preserve">     </w:t>
      </w:r>
      <w:r>
        <w:rPr>
          <w:rFonts w:eastAsia="黑体"/>
          <w:color w:val="auto"/>
          <w:sz w:val="28"/>
          <w:szCs w:val="28"/>
          <w:highlight w:val="none"/>
        </w:rPr>
        <w:t>日</w:t>
      </w:r>
    </w:p>
    <w:p w14:paraId="2EE77B13">
      <w:pPr>
        <w:rPr>
          <w:color w:val="auto"/>
          <w:highlight w:val="none"/>
        </w:rPr>
      </w:pPr>
    </w:p>
    <w:p w14:paraId="2F4494A4">
      <w:pPr>
        <w:pStyle w:val="14"/>
        <w:ind w:firstLine="420"/>
        <w:rPr>
          <w:color w:val="auto"/>
          <w:highlight w:val="none"/>
        </w:rPr>
      </w:pPr>
    </w:p>
    <w:p w14:paraId="3AB72A24">
      <w:pPr>
        <w:rPr>
          <w:color w:val="auto"/>
          <w:highlight w:val="none"/>
        </w:rPr>
      </w:pPr>
    </w:p>
    <w:p w14:paraId="60A767E1">
      <w:pPr>
        <w:spacing w:beforeLines="50" w:afterLines="50" w:line="440" w:lineRule="exact"/>
        <w:ind w:firstLine="643" w:firstLineChars="200"/>
        <w:jc w:val="left"/>
        <w:rPr>
          <w:rStyle w:val="120"/>
          <w:rFonts w:ascii="宋体" w:hAnsi="宋体" w:cs="宋体"/>
          <w:color w:val="auto"/>
          <w:sz w:val="32"/>
          <w:highlight w:val="none"/>
        </w:rPr>
      </w:pPr>
      <w:bookmarkStart w:id="994" w:name="_Toc35424973"/>
      <w:bookmarkStart w:id="995" w:name="_Toc19174"/>
      <w:bookmarkStart w:id="996" w:name="_Toc35425139"/>
      <w:bookmarkStart w:id="997" w:name="_Toc78803401"/>
      <w:r>
        <w:rPr>
          <w:rStyle w:val="120"/>
          <w:rFonts w:hint="eastAsia" w:ascii="宋体" w:hAnsi="宋体" w:cs="宋体"/>
          <w:color w:val="auto"/>
          <w:sz w:val="32"/>
          <w:highlight w:val="none"/>
        </w:rPr>
        <w:t>投标文件</w:t>
      </w:r>
      <w:bookmarkEnd w:id="994"/>
      <w:bookmarkEnd w:id="995"/>
      <w:bookmarkEnd w:id="996"/>
      <w:r>
        <w:rPr>
          <w:rStyle w:val="120"/>
          <w:rFonts w:hint="eastAsia" w:ascii="宋体" w:hAnsi="宋体" w:cs="宋体"/>
          <w:color w:val="auto"/>
          <w:sz w:val="32"/>
          <w:highlight w:val="none"/>
          <w:lang w:val="en-US"/>
        </w:rPr>
        <w:t>二</w:t>
      </w:r>
      <w:r>
        <w:rPr>
          <w:rStyle w:val="120"/>
          <w:rFonts w:hint="eastAsia" w:ascii="宋体" w:hAnsi="宋体" w:cs="宋体"/>
          <w:color w:val="auto"/>
          <w:sz w:val="32"/>
          <w:highlight w:val="none"/>
        </w:rPr>
        <w:t>：商务标目录</w:t>
      </w:r>
      <w:bookmarkEnd w:id="997"/>
    </w:p>
    <w:p w14:paraId="3318E4A9">
      <w:pPr>
        <w:adjustRightInd w:val="0"/>
        <w:snapToGrid w:val="0"/>
        <w:spacing w:line="5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（1）投标函</w:t>
      </w:r>
      <w:r>
        <w:rPr>
          <w:rFonts w:hint="eastAsia" w:ascii="宋体" w:hAnsi="宋体" w:eastAsia="宋体" w:cs="Times New Roman"/>
          <w:color w:val="auto"/>
          <w:szCs w:val="21"/>
          <w:highlight w:val="none"/>
        </w:rPr>
        <w:t>（格式见附件）</w:t>
      </w:r>
      <w:r>
        <w:rPr>
          <w:rFonts w:hint="eastAsia" w:ascii="宋体" w:hAnsi="宋体"/>
          <w:color w:val="auto"/>
          <w:szCs w:val="21"/>
          <w:highlight w:val="none"/>
        </w:rPr>
        <w:t>；</w:t>
      </w:r>
    </w:p>
    <w:p w14:paraId="2DB808BC">
      <w:pPr>
        <w:adjustRightInd w:val="0"/>
        <w:snapToGrid w:val="0"/>
        <w:spacing w:line="560" w:lineRule="exact"/>
        <w:ind w:firstLine="420" w:firstLineChars="200"/>
        <w:rPr>
          <w:rFonts w:hint="eastAsia" w:ascii="宋体" w:hAnsi="宋体" w:cs="Times New Roman"/>
          <w:color w:val="auto"/>
          <w:szCs w:val="21"/>
          <w:highlight w:val="none"/>
          <w:lang w:eastAsia="zh-CN"/>
        </w:rPr>
      </w:pPr>
      <w:r>
        <w:rPr>
          <w:rFonts w:hint="eastAsia" w:ascii="宋体" w:hAnsi="宋体"/>
          <w:color w:val="auto"/>
          <w:szCs w:val="21"/>
          <w:highlight w:val="none"/>
        </w:rPr>
        <w:t>（</w:t>
      </w:r>
      <w:r>
        <w:rPr>
          <w:rFonts w:hint="eastAsia" w:ascii="宋体" w:hAnsi="宋体"/>
          <w:color w:val="auto"/>
          <w:szCs w:val="21"/>
          <w:highlight w:val="none"/>
          <w:lang w:val="en-US" w:eastAsia="zh-CN"/>
        </w:rPr>
        <w:t>2</w:t>
      </w:r>
      <w:r>
        <w:rPr>
          <w:rFonts w:hint="eastAsia" w:ascii="宋体" w:hAnsi="宋体"/>
          <w:color w:val="auto"/>
          <w:szCs w:val="21"/>
          <w:highlight w:val="none"/>
        </w:rPr>
        <w:t>）招标人推荐的材料品牌响应表（如有）</w:t>
      </w:r>
    </w:p>
    <w:p w14:paraId="7DEC2A54">
      <w:pPr>
        <w:adjustRightInd w:val="0"/>
        <w:snapToGrid w:val="0"/>
        <w:spacing w:line="560" w:lineRule="exact"/>
        <w:ind w:firstLine="420" w:firstLineChars="200"/>
        <w:rPr>
          <w:rFonts w:hint="eastAsia" w:ascii="宋体" w:hAnsi="宋体" w:eastAsia="宋体" w:cs="Times New Roman"/>
          <w:color w:val="auto"/>
          <w:szCs w:val="21"/>
          <w:highlight w:val="none"/>
        </w:rPr>
      </w:pPr>
      <w:r>
        <w:rPr>
          <w:rFonts w:hint="eastAsia" w:ascii="宋体" w:hAnsi="宋体" w:cs="Times New Roman"/>
          <w:color w:val="auto"/>
          <w:szCs w:val="21"/>
          <w:highlight w:val="none"/>
          <w:lang w:eastAsia="zh-CN"/>
        </w:rPr>
        <w:t>（</w:t>
      </w:r>
      <w:r>
        <w:rPr>
          <w:rFonts w:hint="eastAsia" w:ascii="宋体" w:hAnsi="宋体" w:cs="Times New Roman"/>
          <w:color w:val="auto"/>
          <w:szCs w:val="21"/>
          <w:highlight w:val="none"/>
          <w:lang w:val="en-US" w:eastAsia="zh-CN"/>
        </w:rPr>
        <w:t>3）</w:t>
      </w:r>
      <w:r>
        <w:rPr>
          <w:rFonts w:hint="eastAsia" w:ascii="宋体" w:hAnsi="宋体" w:eastAsia="宋体" w:cs="Times New Roman"/>
          <w:color w:val="auto"/>
          <w:szCs w:val="21"/>
          <w:highlight w:val="none"/>
        </w:rPr>
        <w:t>全国建筑市场监管公共服务平台(四库一平台)企业注册人员网页截图；</w:t>
      </w:r>
    </w:p>
    <w:p w14:paraId="66686266">
      <w:pPr>
        <w:adjustRightInd w:val="0"/>
        <w:snapToGrid w:val="0"/>
        <w:spacing w:line="560" w:lineRule="exact"/>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w:t>
      </w:r>
      <w:r>
        <w:rPr>
          <w:rFonts w:hint="eastAsia" w:ascii="宋体" w:hAnsi="宋体" w:cs="Times New Roman"/>
          <w:color w:val="auto"/>
          <w:szCs w:val="21"/>
          <w:highlight w:val="none"/>
          <w:lang w:val="en-US" w:eastAsia="zh-CN"/>
        </w:rPr>
        <w:t>4</w:t>
      </w:r>
      <w:r>
        <w:rPr>
          <w:rFonts w:hint="eastAsia" w:ascii="宋体" w:hAnsi="宋体" w:eastAsia="宋体" w:cs="Times New Roman"/>
          <w:color w:val="auto"/>
          <w:szCs w:val="21"/>
          <w:highlight w:val="none"/>
        </w:rPr>
        <w:t>）详细评审所需其他材料。</w:t>
      </w:r>
    </w:p>
    <w:p w14:paraId="03122088">
      <w:pPr>
        <w:spacing w:line="540" w:lineRule="exact"/>
        <w:rPr>
          <w:rFonts w:eastAsia="黑体"/>
          <w:color w:val="auto"/>
          <w:sz w:val="20"/>
          <w:szCs w:val="20"/>
          <w:highlight w:val="none"/>
        </w:rPr>
      </w:pPr>
    </w:p>
    <w:p w14:paraId="3338FC9F">
      <w:pPr>
        <w:spacing w:line="540" w:lineRule="exact"/>
        <w:rPr>
          <w:rFonts w:eastAsia="黑体"/>
          <w:color w:val="auto"/>
          <w:sz w:val="20"/>
          <w:szCs w:val="20"/>
          <w:highlight w:val="none"/>
        </w:rPr>
      </w:pPr>
    </w:p>
    <w:p w14:paraId="3D5F9903">
      <w:pPr>
        <w:spacing w:line="540" w:lineRule="exact"/>
        <w:rPr>
          <w:rFonts w:eastAsia="黑体"/>
          <w:color w:val="auto"/>
          <w:sz w:val="20"/>
          <w:szCs w:val="20"/>
          <w:highlight w:val="none"/>
        </w:rPr>
      </w:pPr>
    </w:p>
    <w:p w14:paraId="6FEF5B0D">
      <w:pPr>
        <w:spacing w:line="360" w:lineRule="auto"/>
        <w:ind w:firstLine="420" w:firstLineChars="200"/>
        <w:jc w:val="right"/>
        <w:rPr>
          <w:color w:val="auto"/>
          <w:szCs w:val="21"/>
          <w:highlight w:val="none"/>
          <w:u w:val="single"/>
        </w:rPr>
      </w:pPr>
    </w:p>
    <w:p w14:paraId="70F20168">
      <w:pPr>
        <w:spacing w:line="360" w:lineRule="auto"/>
        <w:ind w:firstLine="420" w:firstLineChars="200"/>
        <w:jc w:val="right"/>
        <w:rPr>
          <w:color w:val="auto"/>
          <w:szCs w:val="21"/>
          <w:highlight w:val="none"/>
          <w:u w:val="single"/>
        </w:rPr>
      </w:pPr>
    </w:p>
    <w:p w14:paraId="5BDCA848">
      <w:pPr>
        <w:spacing w:line="360" w:lineRule="auto"/>
        <w:ind w:firstLine="420" w:firstLineChars="200"/>
        <w:jc w:val="right"/>
        <w:rPr>
          <w:color w:val="auto"/>
          <w:szCs w:val="21"/>
          <w:highlight w:val="none"/>
          <w:u w:val="single"/>
        </w:rPr>
      </w:pPr>
    </w:p>
    <w:p w14:paraId="5B4A47D5">
      <w:pPr>
        <w:spacing w:line="360" w:lineRule="auto"/>
        <w:ind w:firstLine="420" w:firstLineChars="200"/>
        <w:jc w:val="right"/>
        <w:rPr>
          <w:color w:val="auto"/>
          <w:szCs w:val="21"/>
          <w:highlight w:val="none"/>
          <w:u w:val="single"/>
        </w:rPr>
      </w:pPr>
    </w:p>
    <w:p w14:paraId="6AF87BBA">
      <w:pPr>
        <w:spacing w:line="360" w:lineRule="auto"/>
        <w:ind w:firstLine="420" w:firstLineChars="200"/>
        <w:jc w:val="right"/>
        <w:rPr>
          <w:color w:val="auto"/>
          <w:szCs w:val="21"/>
          <w:highlight w:val="none"/>
          <w:u w:val="single"/>
        </w:rPr>
      </w:pPr>
    </w:p>
    <w:p w14:paraId="49A7FE35">
      <w:pPr>
        <w:spacing w:line="360" w:lineRule="auto"/>
        <w:ind w:firstLine="420" w:firstLineChars="200"/>
        <w:jc w:val="right"/>
        <w:rPr>
          <w:color w:val="auto"/>
          <w:szCs w:val="21"/>
          <w:highlight w:val="none"/>
          <w:u w:val="single"/>
        </w:rPr>
      </w:pPr>
    </w:p>
    <w:p w14:paraId="7EAE036F">
      <w:pPr>
        <w:spacing w:line="360" w:lineRule="auto"/>
        <w:ind w:firstLine="420" w:firstLineChars="200"/>
        <w:jc w:val="right"/>
        <w:rPr>
          <w:color w:val="auto"/>
          <w:szCs w:val="21"/>
          <w:highlight w:val="none"/>
          <w:u w:val="single"/>
        </w:rPr>
      </w:pPr>
    </w:p>
    <w:p w14:paraId="39D3A8B9">
      <w:pPr>
        <w:spacing w:line="360" w:lineRule="auto"/>
        <w:ind w:firstLine="420" w:firstLineChars="200"/>
        <w:jc w:val="right"/>
        <w:rPr>
          <w:color w:val="auto"/>
          <w:szCs w:val="21"/>
          <w:highlight w:val="none"/>
          <w:u w:val="single"/>
        </w:rPr>
      </w:pPr>
    </w:p>
    <w:p w14:paraId="042B576F">
      <w:pPr>
        <w:jc w:val="center"/>
        <w:rPr>
          <w:b/>
          <w:color w:val="auto"/>
          <w:sz w:val="32"/>
          <w:szCs w:val="32"/>
          <w:highlight w:val="none"/>
        </w:rPr>
      </w:pPr>
    </w:p>
    <w:p w14:paraId="29EE3D81">
      <w:pPr>
        <w:jc w:val="center"/>
        <w:rPr>
          <w:b/>
          <w:color w:val="auto"/>
          <w:sz w:val="32"/>
          <w:szCs w:val="32"/>
          <w:highlight w:val="none"/>
        </w:rPr>
      </w:pPr>
    </w:p>
    <w:p w14:paraId="569DA32B">
      <w:pPr>
        <w:jc w:val="center"/>
        <w:rPr>
          <w:b/>
          <w:color w:val="auto"/>
          <w:sz w:val="32"/>
          <w:szCs w:val="32"/>
          <w:highlight w:val="none"/>
        </w:rPr>
      </w:pPr>
    </w:p>
    <w:p w14:paraId="30415CF4">
      <w:pPr>
        <w:jc w:val="center"/>
        <w:rPr>
          <w:b/>
          <w:color w:val="auto"/>
          <w:sz w:val="32"/>
          <w:szCs w:val="32"/>
          <w:highlight w:val="none"/>
        </w:rPr>
      </w:pPr>
    </w:p>
    <w:p w14:paraId="1AAF50B0">
      <w:pPr>
        <w:jc w:val="center"/>
        <w:rPr>
          <w:b/>
          <w:color w:val="auto"/>
          <w:sz w:val="32"/>
          <w:szCs w:val="32"/>
          <w:highlight w:val="none"/>
        </w:rPr>
      </w:pPr>
    </w:p>
    <w:p w14:paraId="5BCCA520">
      <w:pPr>
        <w:jc w:val="center"/>
        <w:rPr>
          <w:b/>
          <w:color w:val="auto"/>
          <w:sz w:val="32"/>
          <w:szCs w:val="32"/>
          <w:highlight w:val="none"/>
        </w:rPr>
      </w:pPr>
    </w:p>
    <w:p w14:paraId="194A658F">
      <w:pPr>
        <w:jc w:val="center"/>
        <w:rPr>
          <w:b/>
          <w:color w:val="auto"/>
          <w:sz w:val="32"/>
          <w:szCs w:val="32"/>
          <w:highlight w:val="none"/>
        </w:rPr>
      </w:pPr>
    </w:p>
    <w:p w14:paraId="3F1030A3">
      <w:pPr>
        <w:spacing w:line="360" w:lineRule="auto"/>
        <w:rPr>
          <w:b/>
          <w:bCs/>
          <w:color w:val="auto"/>
          <w:sz w:val="32"/>
          <w:szCs w:val="32"/>
          <w:highlight w:val="none"/>
        </w:rPr>
      </w:pPr>
    </w:p>
    <w:p w14:paraId="5D358DCD">
      <w:pPr>
        <w:jc w:val="center"/>
        <w:rPr>
          <w:rFonts w:ascii="宋体" w:hAnsi="宋体"/>
          <w:b/>
          <w:color w:val="auto"/>
          <w:sz w:val="32"/>
          <w:szCs w:val="32"/>
          <w:highlight w:val="none"/>
        </w:rPr>
      </w:pPr>
      <w:r>
        <w:rPr>
          <w:rFonts w:hint="eastAsia" w:ascii="宋体" w:hAnsi="宋体"/>
          <w:b/>
          <w:color w:val="auto"/>
          <w:sz w:val="32"/>
          <w:szCs w:val="32"/>
          <w:highlight w:val="none"/>
        </w:rPr>
        <w:br w:type="page"/>
      </w:r>
      <w:r>
        <w:rPr>
          <w:rFonts w:hint="eastAsia" w:ascii="宋体" w:hAnsi="宋体"/>
          <w:b/>
          <w:color w:val="auto"/>
          <w:sz w:val="32"/>
          <w:szCs w:val="32"/>
          <w:highlight w:val="none"/>
        </w:rPr>
        <w:t>（1）投 标 函</w:t>
      </w:r>
    </w:p>
    <w:p w14:paraId="246EE23D">
      <w:pPr>
        <w:keepNext w:val="0"/>
        <w:keepLines w:val="0"/>
        <w:pageBreakBefore w:val="0"/>
        <w:widowControl w:val="0"/>
        <w:kinsoku/>
        <w:wordWrap/>
        <w:overflowPunct/>
        <w:topLinePunct w:val="0"/>
        <w:autoSpaceDE/>
        <w:autoSpaceDN/>
        <w:bidi w:val="0"/>
        <w:adjustRightInd/>
        <w:snapToGrid/>
        <w:spacing w:line="460" w:lineRule="exact"/>
        <w:jc w:val="left"/>
        <w:textAlignment w:val="auto"/>
        <w:rPr>
          <w:rFonts w:hint="eastAsia" w:ascii="宋体" w:hAnsi="宋体" w:eastAsia="宋体" w:cs="宋体"/>
          <w:color w:val="auto"/>
          <w:highlight w:val="none"/>
        </w:rPr>
      </w:pPr>
      <w:bookmarkStart w:id="998" w:name="_Toc35425140"/>
      <w:bookmarkStart w:id="999" w:name="_Toc506107366"/>
      <w:bookmarkStart w:id="1000" w:name="_Toc15058950"/>
      <w:bookmarkStart w:id="1001" w:name="_Toc35424974"/>
      <w:r>
        <w:rPr>
          <w:rFonts w:hint="eastAsia" w:ascii="宋体" w:hAnsi="宋体" w:eastAsia="宋体" w:cs="宋体"/>
          <w:b/>
          <w:bCs/>
          <w:color w:val="auto"/>
          <w:highlight w:val="none"/>
        </w:rPr>
        <w:t>致 ：</w:t>
      </w:r>
      <w:r>
        <w:rPr>
          <w:rFonts w:hint="eastAsia" w:ascii="宋体" w:hAnsi="宋体" w:eastAsia="宋体" w:cs="宋体"/>
          <w:b/>
          <w:bCs/>
          <w:color w:val="auto"/>
          <w:highlight w:val="none"/>
          <w:u w:val="single"/>
          <w:lang w:val="en-US" w:eastAsia="zh-CN"/>
        </w:rPr>
        <w:t xml:space="preserve">       （招标人） </w:t>
      </w:r>
      <w:r>
        <w:rPr>
          <w:rFonts w:hint="eastAsia" w:ascii="宋体" w:hAnsi="宋体" w:eastAsia="宋体" w:cs="宋体"/>
          <w:color w:val="auto"/>
          <w:highlight w:val="none"/>
        </w:rPr>
        <w:t xml:space="preserve">：  </w:t>
      </w:r>
    </w:p>
    <w:p w14:paraId="4655D6FB">
      <w:pPr>
        <w:adjustRightInd w:val="0"/>
        <w:snapToGrid w:val="0"/>
        <w:spacing w:line="560" w:lineRule="exact"/>
        <w:ind w:firstLine="420" w:firstLineChars="200"/>
        <w:rPr>
          <w:rFonts w:ascii="宋体" w:hAnsi="宋体"/>
          <w:color w:val="auto"/>
          <w:sz w:val="21"/>
          <w:szCs w:val="21"/>
          <w:highlight w:val="none"/>
        </w:rPr>
      </w:pPr>
      <w:r>
        <w:rPr>
          <w:rFonts w:hint="eastAsia" w:ascii="宋体" w:hAnsi="宋体"/>
          <w:color w:val="auto"/>
          <w:sz w:val="21"/>
          <w:szCs w:val="21"/>
          <w:highlight w:val="none"/>
        </w:rPr>
        <w:t>1、根据你方招</w:t>
      </w:r>
      <w:bookmarkStart w:id="1002" w:name="_Toc60061591"/>
      <w:r>
        <w:rPr>
          <w:rFonts w:hint="eastAsia" w:ascii="宋体" w:hAnsi="宋体"/>
          <w:color w:val="auto"/>
          <w:sz w:val="21"/>
          <w:szCs w:val="21"/>
          <w:highlight w:val="none"/>
        </w:rPr>
        <w:t>标项目编号为</w:t>
      </w:r>
      <w:r>
        <w:rPr>
          <w:rFonts w:ascii="宋体" w:hAnsi="宋体"/>
          <w:color w:val="auto"/>
          <w:sz w:val="21"/>
          <w:szCs w:val="21"/>
          <w:highlight w:val="none"/>
          <w:u w:val="single"/>
        </w:rPr>
        <w:t xml:space="preserve">  </w:t>
      </w:r>
      <w:bookmarkEnd w:id="1002"/>
      <w:r>
        <w:rPr>
          <w:rFonts w:ascii="宋体" w:hAnsi="宋体"/>
          <w:color w:val="auto"/>
          <w:sz w:val="21"/>
          <w:szCs w:val="21"/>
          <w:highlight w:val="none"/>
          <w:u w:val="single"/>
        </w:rPr>
        <w:t xml:space="preserve">      </w:t>
      </w:r>
      <w:r>
        <w:rPr>
          <w:rFonts w:ascii="宋体" w:hAnsi="宋体"/>
          <w:color w:val="auto"/>
          <w:sz w:val="21"/>
          <w:szCs w:val="21"/>
          <w:highlight w:val="none"/>
        </w:rPr>
        <w:t xml:space="preserve"> </w:t>
      </w:r>
      <w:r>
        <w:rPr>
          <w:rFonts w:hint="eastAsia" w:ascii="宋体" w:hAnsi="宋体"/>
          <w:color w:val="auto"/>
          <w:sz w:val="21"/>
          <w:szCs w:val="21"/>
          <w:highlight w:val="none"/>
        </w:rPr>
        <w:t>的</w:t>
      </w:r>
      <w:r>
        <w:rPr>
          <w:rFonts w:ascii="宋体" w:hAnsi="宋体"/>
          <w:color w:val="auto"/>
          <w:sz w:val="21"/>
          <w:szCs w:val="21"/>
          <w:highlight w:val="none"/>
        </w:rPr>
        <w:t xml:space="preserve"> </w:t>
      </w:r>
      <w:r>
        <w:rPr>
          <w:rFonts w:ascii="宋体" w:hAnsi="宋体"/>
          <w:color w:val="auto"/>
          <w:sz w:val="21"/>
          <w:szCs w:val="21"/>
          <w:highlight w:val="none"/>
          <w:u w:val="single"/>
        </w:rPr>
        <w:t xml:space="preserve">                </w:t>
      </w:r>
      <w:r>
        <w:rPr>
          <w:rFonts w:hint="eastAsia" w:ascii="宋体" w:hAnsi="宋体"/>
          <w:color w:val="auto"/>
          <w:sz w:val="21"/>
          <w:szCs w:val="21"/>
          <w:highlight w:val="none"/>
        </w:rPr>
        <w:t>招标文件，遵照《中华人民共和国招标投标法》等有关规定，经踏勘项目现场和研究上述招标文件的投标须知、合同条件、技术规范、图纸、工程量清单和其他有关文件后，我方愿以</w:t>
      </w:r>
      <w:r>
        <w:rPr>
          <w:rFonts w:ascii="宋体" w:hAnsi="宋体"/>
          <w:color w:val="auto"/>
          <w:sz w:val="21"/>
          <w:szCs w:val="21"/>
          <w:highlight w:val="none"/>
        </w:rPr>
        <w:t xml:space="preserve"> </w:t>
      </w:r>
      <w:r>
        <w:rPr>
          <w:rFonts w:hint="eastAsia" w:ascii="宋体" w:hAnsi="宋体"/>
          <w:color w:val="auto"/>
          <w:sz w:val="21"/>
          <w:szCs w:val="21"/>
          <w:highlight w:val="none"/>
        </w:rPr>
        <w:t>（币种，金额、单位）</w:t>
      </w:r>
      <w:r>
        <w:rPr>
          <w:rFonts w:hint="eastAsia" w:ascii="宋体" w:hAnsi="宋体"/>
          <w:color w:val="auto"/>
          <w:sz w:val="21"/>
          <w:szCs w:val="21"/>
          <w:highlight w:val="none"/>
          <w:u w:val="single"/>
        </w:rPr>
        <w:t>人民币           元</w:t>
      </w:r>
      <w:r>
        <w:rPr>
          <w:rFonts w:hint="eastAsia" w:ascii="宋体" w:hAnsi="宋体"/>
          <w:color w:val="auto"/>
          <w:sz w:val="21"/>
          <w:szCs w:val="21"/>
          <w:highlight w:val="none"/>
          <w:u w:val="single"/>
          <w:lang w:val="en-US" w:eastAsia="zh-CN"/>
        </w:rPr>
        <w:t>/wp</w:t>
      </w:r>
      <w:r>
        <w:rPr>
          <w:rFonts w:hint="eastAsia" w:ascii="宋体" w:hAnsi="宋体"/>
          <w:color w:val="auto"/>
          <w:sz w:val="21"/>
          <w:szCs w:val="21"/>
          <w:highlight w:val="none"/>
        </w:rPr>
        <w:t>的投标报价承包上述工程的施工、竣工，并承担任何质量缺陷保修责任。</w:t>
      </w:r>
    </w:p>
    <w:p w14:paraId="5F0C98BD">
      <w:pPr>
        <w:tabs>
          <w:tab w:val="left" w:pos="840"/>
        </w:tabs>
        <w:adjustRightInd w:val="0"/>
        <w:snapToGrid w:val="0"/>
        <w:spacing w:line="560" w:lineRule="exact"/>
        <w:ind w:firstLine="420" w:firstLineChars="200"/>
        <w:rPr>
          <w:rFonts w:ascii="宋体" w:hAnsi="宋体"/>
          <w:color w:val="auto"/>
          <w:sz w:val="21"/>
          <w:szCs w:val="21"/>
          <w:highlight w:val="none"/>
        </w:rPr>
      </w:pPr>
      <w:r>
        <w:rPr>
          <w:rFonts w:hint="eastAsia" w:ascii="宋体" w:hAnsi="宋体"/>
          <w:color w:val="auto"/>
          <w:sz w:val="21"/>
          <w:szCs w:val="21"/>
          <w:highlight w:val="none"/>
        </w:rPr>
        <w:t>2、我方已详细审核全部招标文件及有关附件，承诺招标文件及有关附件中所有条款。</w:t>
      </w:r>
    </w:p>
    <w:p w14:paraId="3FE6622D">
      <w:pPr>
        <w:adjustRightInd w:val="0"/>
        <w:snapToGrid w:val="0"/>
        <w:spacing w:line="560" w:lineRule="exact"/>
        <w:ind w:firstLine="420" w:firstLineChars="200"/>
        <w:rPr>
          <w:rFonts w:ascii="宋体" w:hAnsi="宋体"/>
          <w:color w:val="auto"/>
          <w:sz w:val="21"/>
          <w:szCs w:val="21"/>
          <w:highlight w:val="none"/>
        </w:rPr>
      </w:pPr>
      <w:r>
        <w:rPr>
          <w:rFonts w:hint="eastAsia" w:ascii="宋体" w:hAnsi="宋体"/>
          <w:color w:val="auto"/>
          <w:sz w:val="21"/>
          <w:szCs w:val="21"/>
          <w:highlight w:val="none"/>
        </w:rPr>
        <w:t>3、一旦我方中标，我方将派出</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建造师为本工程项目经理，保证按照招标人要求开始本工程的施工，并在</w:t>
      </w:r>
      <w:r>
        <w:rPr>
          <w:rFonts w:ascii="宋体" w:hAnsi="宋体"/>
          <w:color w:val="auto"/>
          <w:sz w:val="21"/>
          <w:szCs w:val="21"/>
          <w:highlight w:val="none"/>
          <w:u w:val="single"/>
        </w:rPr>
        <w:t xml:space="preserve">       </w:t>
      </w:r>
      <w:r>
        <w:rPr>
          <w:rFonts w:hint="eastAsia" w:ascii="宋体" w:hAnsi="宋体"/>
          <w:color w:val="auto"/>
          <w:sz w:val="21"/>
          <w:szCs w:val="21"/>
          <w:highlight w:val="none"/>
        </w:rPr>
        <w:t>个日历天（工期）内完成本合同的施工，并移交整个工程，工程质量达到</w:t>
      </w:r>
      <w:r>
        <w:rPr>
          <w:rFonts w:ascii="宋体" w:hAnsi="宋体"/>
          <w:color w:val="auto"/>
          <w:sz w:val="21"/>
          <w:szCs w:val="21"/>
          <w:highlight w:val="none"/>
          <w:u w:val="single"/>
        </w:rPr>
        <w:t xml:space="preserve">          </w:t>
      </w:r>
      <w:r>
        <w:rPr>
          <w:rFonts w:hint="eastAsia" w:ascii="宋体" w:hAnsi="宋体"/>
          <w:color w:val="auto"/>
          <w:sz w:val="21"/>
          <w:szCs w:val="21"/>
          <w:highlight w:val="none"/>
        </w:rPr>
        <w:t xml:space="preserve"> 标准。</w:t>
      </w:r>
    </w:p>
    <w:p w14:paraId="68274B7B">
      <w:pPr>
        <w:adjustRightInd w:val="0"/>
        <w:snapToGrid w:val="0"/>
        <w:spacing w:line="560" w:lineRule="exact"/>
        <w:ind w:firstLine="420" w:firstLineChars="200"/>
        <w:rPr>
          <w:rFonts w:hint="eastAsia" w:ascii="宋体" w:hAnsi="宋体"/>
          <w:color w:val="auto"/>
          <w:sz w:val="21"/>
          <w:szCs w:val="21"/>
          <w:highlight w:val="none"/>
        </w:rPr>
      </w:pPr>
      <w:r>
        <w:rPr>
          <w:rFonts w:hint="eastAsia" w:ascii="宋体" w:hAnsi="宋体"/>
          <w:color w:val="auto"/>
          <w:sz w:val="21"/>
          <w:szCs w:val="21"/>
          <w:highlight w:val="none"/>
          <w:lang w:val="en-US" w:eastAsia="zh-CN"/>
        </w:rPr>
        <w:t>4</w:t>
      </w:r>
      <w:r>
        <w:rPr>
          <w:rFonts w:hint="eastAsia" w:ascii="宋体" w:hAnsi="宋体"/>
          <w:color w:val="auto"/>
          <w:sz w:val="21"/>
          <w:szCs w:val="21"/>
          <w:highlight w:val="none"/>
        </w:rPr>
        <w:t>、如果我方中标我方将按照招标文件的规定提交履约担保。工程验收合格后，方可退还。</w:t>
      </w:r>
    </w:p>
    <w:p w14:paraId="3E40DC48">
      <w:pPr>
        <w:adjustRightInd w:val="0"/>
        <w:snapToGrid w:val="0"/>
        <w:spacing w:line="560" w:lineRule="exact"/>
        <w:ind w:firstLine="420" w:firstLineChars="200"/>
        <w:jc w:val="left"/>
        <w:rPr>
          <w:rFonts w:hint="eastAsia" w:ascii="宋体" w:hAnsi="宋体"/>
          <w:color w:val="auto"/>
          <w:sz w:val="21"/>
          <w:szCs w:val="21"/>
          <w:highlight w:val="none"/>
        </w:rPr>
      </w:pPr>
      <w:r>
        <w:rPr>
          <w:rFonts w:hint="eastAsia" w:ascii="宋体" w:hAnsi="宋体"/>
          <w:color w:val="auto"/>
          <w:sz w:val="21"/>
          <w:szCs w:val="21"/>
          <w:highlight w:val="none"/>
          <w:lang w:val="en-US" w:eastAsia="zh-CN"/>
        </w:rPr>
        <w:t>5</w:t>
      </w:r>
      <w:r>
        <w:rPr>
          <w:rFonts w:hint="eastAsia" w:ascii="宋体" w:hAnsi="宋体"/>
          <w:color w:val="auto"/>
          <w:sz w:val="21"/>
          <w:szCs w:val="21"/>
          <w:highlight w:val="none"/>
        </w:rPr>
        <w:t>、我方承诺在招标文件规定的投标有效期内不撤销投标文件。</w:t>
      </w:r>
    </w:p>
    <w:p w14:paraId="4B7069B8">
      <w:pPr>
        <w:adjustRightInd w:val="0"/>
        <w:snapToGrid w:val="0"/>
        <w:spacing w:line="560" w:lineRule="exact"/>
        <w:ind w:firstLine="420" w:firstLineChars="200"/>
        <w:jc w:val="left"/>
        <w:rPr>
          <w:rFonts w:hint="eastAsia" w:ascii="宋体" w:hAnsi="宋体"/>
          <w:color w:val="auto"/>
          <w:sz w:val="21"/>
          <w:szCs w:val="21"/>
          <w:highlight w:val="none"/>
        </w:rPr>
      </w:pPr>
      <w:r>
        <w:rPr>
          <w:rFonts w:hint="eastAsia" w:ascii="宋体" w:hAnsi="宋体"/>
          <w:color w:val="auto"/>
          <w:sz w:val="21"/>
          <w:szCs w:val="21"/>
          <w:highlight w:val="none"/>
          <w:lang w:val="en-US" w:eastAsia="zh-CN"/>
        </w:rPr>
        <w:t>6</w:t>
      </w:r>
      <w:r>
        <w:rPr>
          <w:rFonts w:hint="eastAsia" w:ascii="宋体" w:hAnsi="宋体"/>
          <w:color w:val="auto"/>
          <w:sz w:val="21"/>
          <w:szCs w:val="21"/>
          <w:highlight w:val="none"/>
        </w:rPr>
        <w:t>、我单位提供如下通讯地址：</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电子邮箱（地址），确认本项目相关法律文书均通过提供的以上地址送达，相关文书只要发送至以上电子邮箱（地址）即视为送达，投标人愿意承担一切法律后果。</w:t>
      </w:r>
    </w:p>
    <w:p w14:paraId="3E0C4000">
      <w:pPr>
        <w:adjustRightInd w:val="0"/>
        <w:snapToGrid w:val="0"/>
        <w:spacing w:line="560" w:lineRule="exact"/>
        <w:ind w:firstLine="420" w:firstLineChars="200"/>
        <w:jc w:val="left"/>
        <w:rPr>
          <w:rFonts w:hint="eastAsia" w:ascii="宋体" w:hAnsi="宋体" w:eastAsia="宋体" w:cs="宋体"/>
          <w:color w:val="auto"/>
          <w:sz w:val="21"/>
          <w:szCs w:val="21"/>
          <w:highlight w:val="none"/>
        </w:rPr>
      </w:pPr>
      <w:r>
        <w:rPr>
          <w:rFonts w:hint="eastAsia" w:ascii="宋体" w:hAnsi="宋体"/>
          <w:color w:val="auto"/>
          <w:sz w:val="21"/>
          <w:szCs w:val="21"/>
          <w:highlight w:val="none"/>
          <w:lang w:val="en-US" w:eastAsia="zh-CN"/>
        </w:rPr>
        <w:t>7</w:t>
      </w:r>
      <w:r>
        <w:rPr>
          <w:rFonts w:hint="eastAsia" w:ascii="宋体" w:hAnsi="宋体"/>
          <w:color w:val="auto"/>
          <w:sz w:val="21"/>
          <w:szCs w:val="21"/>
          <w:highlight w:val="none"/>
          <w:lang w:eastAsia="zh-CN"/>
        </w:rPr>
        <w:t>、</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（其他补充说明）</w:t>
      </w:r>
    </w:p>
    <w:p w14:paraId="2504D90C">
      <w:pPr>
        <w:keepNext w:val="0"/>
        <w:keepLines w:val="0"/>
        <w:pageBreakBefore w:val="0"/>
        <w:widowControl w:val="0"/>
        <w:kinsoku/>
        <w:wordWrap/>
        <w:overflowPunct/>
        <w:topLinePunct w:val="0"/>
        <w:autoSpaceDE/>
        <w:autoSpaceDN/>
        <w:bidi w:val="0"/>
        <w:adjustRightInd/>
        <w:snapToGrid/>
        <w:spacing w:line="460" w:lineRule="exact"/>
        <w:ind w:firstLine="2310" w:firstLineChars="1100"/>
        <w:jc w:val="left"/>
        <w:textAlignment w:val="auto"/>
        <w:rPr>
          <w:rFonts w:hint="eastAsia" w:ascii="宋体" w:hAnsi="宋体" w:eastAsia="宋体" w:cs="宋体"/>
          <w:color w:val="auto"/>
          <w:szCs w:val="21"/>
          <w:highlight w:val="none"/>
        </w:rPr>
      </w:pPr>
    </w:p>
    <w:p w14:paraId="7B092613">
      <w:pPr>
        <w:keepNext w:val="0"/>
        <w:keepLines w:val="0"/>
        <w:pageBreakBefore w:val="0"/>
        <w:widowControl w:val="0"/>
        <w:kinsoku/>
        <w:wordWrap/>
        <w:overflowPunct/>
        <w:topLinePunct w:val="0"/>
        <w:autoSpaceDE/>
        <w:autoSpaceDN/>
        <w:bidi w:val="0"/>
        <w:adjustRightInd/>
        <w:snapToGrid/>
        <w:spacing w:line="460" w:lineRule="exact"/>
        <w:ind w:firstLine="2310" w:firstLineChars="1100"/>
        <w:jc w:val="left"/>
        <w:textAlignment w:val="auto"/>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投标人：</w:t>
      </w:r>
      <w:r>
        <w:rPr>
          <w:rFonts w:hint="eastAsia" w:ascii="宋体" w:hAnsi="宋体" w:eastAsia="宋体" w:cs="宋体"/>
          <w:color w:val="auto"/>
          <w:szCs w:val="21"/>
          <w:highlight w:val="none"/>
          <w:u w:val="single"/>
        </w:rPr>
        <w:t xml:space="preserve">                             （</w:t>
      </w:r>
      <w:r>
        <w:rPr>
          <w:rFonts w:hint="eastAsia" w:ascii="宋体" w:hAnsi="宋体" w:cs="宋体"/>
          <w:color w:val="auto"/>
          <w:szCs w:val="21"/>
          <w:highlight w:val="none"/>
          <w:u w:val="single"/>
          <w:lang w:val="en-US" w:eastAsia="zh-CN"/>
        </w:rPr>
        <w:t>盖</w:t>
      </w:r>
      <w:r>
        <w:rPr>
          <w:rFonts w:hint="eastAsia" w:ascii="宋体" w:hAnsi="宋体" w:eastAsia="宋体" w:cs="宋体"/>
          <w:color w:val="auto"/>
          <w:szCs w:val="21"/>
          <w:highlight w:val="none"/>
          <w:u w:val="single"/>
        </w:rPr>
        <w:t xml:space="preserve">章）   </w:t>
      </w:r>
    </w:p>
    <w:p w14:paraId="41B57621">
      <w:pPr>
        <w:spacing w:line="600" w:lineRule="exact"/>
        <w:ind w:firstLine="2310" w:firstLineChars="1100"/>
        <w:jc w:val="left"/>
        <w:rPr>
          <w:rFonts w:ascii="宋体" w:hAnsi="宋体"/>
          <w:color w:val="auto"/>
          <w:szCs w:val="21"/>
          <w:highlight w:val="none"/>
        </w:rPr>
      </w:pPr>
      <w:r>
        <w:rPr>
          <w:rFonts w:hint="eastAsia" w:ascii="宋体" w:hAnsi="宋体"/>
          <w:color w:val="auto"/>
          <w:szCs w:val="21"/>
          <w:highlight w:val="none"/>
        </w:rPr>
        <w:t>法定代表人</w:t>
      </w:r>
      <w:r>
        <w:rPr>
          <w:rFonts w:hint="eastAsia" w:ascii="宋体" w:hAnsi="宋体"/>
          <w:color w:val="auto"/>
          <w:szCs w:val="21"/>
          <w:highlight w:val="none"/>
          <w:lang w:val="en-US" w:eastAsia="zh-CN"/>
        </w:rPr>
        <w:t>或委托代理人</w:t>
      </w:r>
      <w:r>
        <w:rPr>
          <w:rFonts w:hint="eastAsia" w:ascii="宋体" w:hAnsi="宋体"/>
          <w:color w:val="auto"/>
          <w:szCs w:val="21"/>
          <w:highlight w:val="none"/>
        </w:rPr>
        <w:t>：</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hint="eastAsia" w:ascii="宋体" w:hAnsi="宋体"/>
          <w:color w:val="auto"/>
          <w:szCs w:val="21"/>
          <w:highlight w:val="none"/>
          <w:u w:val="single"/>
        </w:rPr>
        <w:t>（</w:t>
      </w:r>
      <w:r>
        <w:rPr>
          <w:rFonts w:hint="eastAsia" w:ascii="宋体" w:hAnsi="宋体"/>
          <w:color w:val="auto"/>
          <w:szCs w:val="21"/>
          <w:highlight w:val="none"/>
          <w:u w:val="single"/>
          <w:lang w:val="en-US" w:eastAsia="zh-CN"/>
        </w:rPr>
        <w:t>签字或盖章</w:t>
      </w:r>
      <w:r>
        <w:rPr>
          <w:rFonts w:hint="eastAsia" w:ascii="宋体" w:hAnsi="宋体"/>
          <w:color w:val="auto"/>
          <w:szCs w:val="21"/>
          <w:highlight w:val="none"/>
          <w:u w:val="single"/>
        </w:rPr>
        <w:t>）</w:t>
      </w:r>
    </w:p>
    <w:p w14:paraId="75BF44E2">
      <w:pPr>
        <w:keepNext w:val="0"/>
        <w:keepLines w:val="0"/>
        <w:pageBreakBefore w:val="0"/>
        <w:widowControl w:val="0"/>
        <w:kinsoku/>
        <w:wordWrap/>
        <w:overflowPunct/>
        <w:topLinePunct w:val="0"/>
        <w:autoSpaceDE/>
        <w:autoSpaceDN/>
        <w:bidi w:val="0"/>
        <w:adjustRightInd/>
        <w:snapToGrid/>
        <w:spacing w:line="460" w:lineRule="exact"/>
        <w:ind w:firstLine="2310" w:firstLineChars="11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单位地址：</w:t>
      </w:r>
      <w:r>
        <w:rPr>
          <w:rFonts w:hint="eastAsia" w:ascii="宋体" w:hAnsi="宋体" w:eastAsia="宋体" w:cs="宋体"/>
          <w:color w:val="auto"/>
          <w:szCs w:val="21"/>
          <w:highlight w:val="none"/>
          <w:u w:val="single"/>
        </w:rPr>
        <w:t xml:space="preserve">                                       </w:t>
      </w:r>
    </w:p>
    <w:p w14:paraId="152985B8">
      <w:pPr>
        <w:keepNext w:val="0"/>
        <w:keepLines w:val="0"/>
        <w:pageBreakBefore w:val="0"/>
        <w:widowControl w:val="0"/>
        <w:kinsoku/>
        <w:wordWrap/>
        <w:overflowPunct/>
        <w:topLinePunct w:val="0"/>
        <w:autoSpaceDE/>
        <w:autoSpaceDN/>
        <w:bidi w:val="0"/>
        <w:adjustRightInd/>
        <w:snapToGrid/>
        <w:spacing w:line="460" w:lineRule="exact"/>
        <w:ind w:firstLine="2310" w:firstLineChars="1100"/>
        <w:jc w:val="left"/>
        <w:textAlignment w:val="auto"/>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邮政编码：</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电话：</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传真：</w:t>
      </w:r>
      <w:r>
        <w:rPr>
          <w:rFonts w:hint="eastAsia" w:ascii="宋体" w:hAnsi="宋体" w:eastAsia="宋体" w:cs="宋体"/>
          <w:color w:val="auto"/>
          <w:szCs w:val="21"/>
          <w:highlight w:val="none"/>
          <w:u w:val="single"/>
        </w:rPr>
        <w:t xml:space="preserve">       </w:t>
      </w:r>
    </w:p>
    <w:p w14:paraId="26367422">
      <w:pPr>
        <w:keepNext w:val="0"/>
        <w:keepLines w:val="0"/>
        <w:pageBreakBefore w:val="0"/>
        <w:widowControl w:val="0"/>
        <w:kinsoku/>
        <w:wordWrap/>
        <w:overflowPunct/>
        <w:topLinePunct w:val="0"/>
        <w:autoSpaceDE/>
        <w:autoSpaceDN/>
        <w:bidi w:val="0"/>
        <w:adjustRightInd/>
        <w:snapToGrid/>
        <w:spacing w:line="460" w:lineRule="exact"/>
        <w:ind w:firstLine="2310" w:firstLineChars="11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日期：</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年 </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月 </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日</w:t>
      </w:r>
    </w:p>
    <w:p w14:paraId="65A7D629">
      <w:pPr>
        <w:rPr>
          <w:rFonts w:hint="eastAsia"/>
          <w:bCs/>
          <w:color w:val="auto"/>
          <w:szCs w:val="32"/>
          <w:highlight w:val="none"/>
        </w:rPr>
      </w:pPr>
      <w:r>
        <w:rPr>
          <w:rFonts w:hint="eastAsia"/>
          <w:color w:val="auto"/>
          <w:sz w:val="32"/>
          <w:szCs w:val="32"/>
          <w:highlight w:val="none"/>
        </w:rPr>
        <w:br w:type="page"/>
      </w:r>
      <w:bookmarkEnd w:id="7"/>
      <w:bookmarkEnd w:id="8"/>
      <w:bookmarkEnd w:id="9"/>
      <w:bookmarkEnd w:id="10"/>
      <w:bookmarkEnd w:id="11"/>
      <w:bookmarkEnd w:id="998"/>
      <w:bookmarkEnd w:id="999"/>
      <w:bookmarkEnd w:id="1000"/>
      <w:bookmarkEnd w:id="1001"/>
      <w:bookmarkStart w:id="1003" w:name="_Toc78803402"/>
    </w:p>
    <w:p w14:paraId="1C4E7B59">
      <w:pPr>
        <w:pStyle w:val="4"/>
        <w:adjustRightInd w:val="0"/>
        <w:snapToGrid w:val="0"/>
        <w:spacing w:before="0" w:after="0" w:line="560" w:lineRule="exact"/>
        <w:jc w:val="center"/>
        <w:rPr>
          <w:color w:val="auto"/>
          <w:highlight w:val="none"/>
        </w:rPr>
      </w:pPr>
      <w:bookmarkStart w:id="1004" w:name="_Toc95223545"/>
      <w:bookmarkStart w:id="1005" w:name="_Toc4803"/>
      <w:r>
        <w:rPr>
          <w:rFonts w:hint="eastAsia"/>
          <w:color w:val="auto"/>
          <w:highlight w:val="none"/>
        </w:rPr>
        <w:t>（</w:t>
      </w:r>
      <w:r>
        <w:rPr>
          <w:rFonts w:hint="eastAsia"/>
          <w:color w:val="auto"/>
          <w:highlight w:val="none"/>
          <w:lang w:val="en-US" w:eastAsia="zh-CN"/>
        </w:rPr>
        <w:t>2</w:t>
      </w:r>
      <w:r>
        <w:rPr>
          <w:rFonts w:hint="eastAsia"/>
          <w:color w:val="auto"/>
          <w:highlight w:val="none"/>
        </w:rPr>
        <w:t>）</w:t>
      </w:r>
      <w:r>
        <w:rPr>
          <w:color w:val="auto"/>
          <w:highlight w:val="none"/>
        </w:rPr>
        <w:t>招标人推荐的材料品牌响应表</w:t>
      </w:r>
      <w:bookmarkEnd w:id="1004"/>
      <w:bookmarkEnd w:id="1005"/>
    </w:p>
    <w:p w14:paraId="6BB7C1D9">
      <w:pPr>
        <w:pStyle w:val="20"/>
        <w:tabs>
          <w:tab w:val="left" w:pos="6462"/>
          <w:tab w:val="left" w:pos="6988"/>
          <w:tab w:val="left" w:pos="7722"/>
        </w:tabs>
        <w:adjustRightInd w:val="0"/>
        <w:snapToGrid w:val="0"/>
        <w:spacing w:after="0" w:line="560" w:lineRule="exact"/>
        <w:jc w:val="center"/>
        <w:rPr>
          <w:color w:val="auto"/>
          <w:highlight w:val="none"/>
        </w:rPr>
      </w:pPr>
      <w:r>
        <w:rPr>
          <w:color w:val="auto"/>
          <w:highlight w:val="none"/>
        </w:rPr>
        <w:t>工程</w:t>
      </w:r>
      <w:r>
        <w:rPr>
          <w:color w:val="auto"/>
          <w:spacing w:val="-3"/>
          <w:highlight w:val="none"/>
        </w:rPr>
        <w:t>名</w:t>
      </w:r>
      <w:r>
        <w:rPr>
          <w:color w:val="auto"/>
          <w:highlight w:val="none"/>
        </w:rPr>
        <w:t>称：</w:t>
      </w:r>
      <w:r>
        <w:rPr>
          <w:rFonts w:hint="eastAsia"/>
          <w:color w:val="auto"/>
          <w:highlight w:val="none"/>
        </w:rPr>
        <w:t xml:space="preserve"> </w:t>
      </w:r>
      <w:r>
        <w:rPr>
          <w:color w:val="auto"/>
          <w:highlight w:val="none"/>
        </w:rPr>
        <w:tab/>
      </w:r>
      <w:r>
        <w:rPr>
          <w:color w:val="auto"/>
          <w:highlight w:val="none"/>
        </w:rPr>
        <w:t>第</w:t>
      </w:r>
      <w:r>
        <w:rPr>
          <w:color w:val="auto"/>
          <w:highlight w:val="none"/>
        </w:rPr>
        <w:tab/>
      </w:r>
      <w:r>
        <w:rPr>
          <w:color w:val="auto"/>
          <w:spacing w:val="-3"/>
          <w:highlight w:val="none"/>
        </w:rPr>
        <w:t>页</w:t>
      </w:r>
      <w:r>
        <w:rPr>
          <w:color w:val="auto"/>
          <w:highlight w:val="none"/>
        </w:rPr>
        <w:t>共</w:t>
      </w:r>
      <w:r>
        <w:rPr>
          <w:color w:val="auto"/>
          <w:highlight w:val="none"/>
        </w:rPr>
        <w:tab/>
      </w:r>
      <w:r>
        <w:rPr>
          <w:color w:val="auto"/>
          <w:highlight w:val="none"/>
        </w:rPr>
        <w:t>页</w:t>
      </w:r>
    </w:p>
    <w:p w14:paraId="26BE0FE9">
      <w:pPr>
        <w:pStyle w:val="20"/>
        <w:tabs>
          <w:tab w:val="left" w:pos="6462"/>
          <w:tab w:val="left" w:pos="6988"/>
          <w:tab w:val="left" w:pos="7722"/>
        </w:tabs>
        <w:adjustRightInd w:val="0"/>
        <w:snapToGrid w:val="0"/>
        <w:spacing w:after="0" w:line="560" w:lineRule="exact"/>
        <w:jc w:val="center"/>
        <w:rPr>
          <w:b/>
          <w:color w:val="auto"/>
          <w:sz w:val="28"/>
          <w:highlight w:val="none"/>
        </w:rPr>
      </w:pPr>
      <w:r>
        <w:rPr>
          <w:b/>
          <w:color w:val="auto"/>
          <w:sz w:val="28"/>
          <w:highlight w:val="none"/>
        </w:rPr>
        <w:t>品牌推荐表（如要求）</w:t>
      </w:r>
    </w:p>
    <w:p w14:paraId="4B9B05DE">
      <w:pPr>
        <w:pStyle w:val="20"/>
        <w:adjustRightInd w:val="0"/>
        <w:snapToGrid w:val="0"/>
        <w:spacing w:after="0" w:line="560" w:lineRule="exact"/>
        <w:rPr>
          <w:b/>
          <w:color w:val="auto"/>
          <w:sz w:val="5"/>
          <w:highlight w:val="none"/>
        </w:rPr>
      </w:pPr>
    </w:p>
    <w:tbl>
      <w:tblPr>
        <w:tblStyle w:val="47"/>
        <w:tblW w:w="7816" w:type="dxa"/>
        <w:tblInd w:w="93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36"/>
        <w:gridCol w:w="1685"/>
        <w:gridCol w:w="794"/>
        <w:gridCol w:w="794"/>
        <w:gridCol w:w="794"/>
        <w:gridCol w:w="791"/>
        <w:gridCol w:w="635"/>
        <w:gridCol w:w="1687"/>
      </w:tblGrid>
      <w:tr w14:paraId="4717BA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6" w:hRule="atLeast"/>
        </w:trPr>
        <w:tc>
          <w:tcPr>
            <w:tcW w:w="636" w:type="dxa"/>
            <w:noWrap w:val="0"/>
            <w:vAlign w:val="top"/>
          </w:tcPr>
          <w:p w14:paraId="420963AE">
            <w:pPr>
              <w:pStyle w:val="92"/>
              <w:adjustRightInd w:val="0"/>
              <w:snapToGrid w:val="0"/>
              <w:spacing w:line="560" w:lineRule="exact"/>
              <w:jc w:val="center"/>
              <w:rPr>
                <w:rFonts w:hint="eastAsia" w:ascii="黑体" w:eastAsia="黑体"/>
                <w:color w:val="auto"/>
                <w:highlight w:val="none"/>
              </w:rPr>
            </w:pPr>
            <w:r>
              <w:rPr>
                <w:rFonts w:hint="eastAsia" w:ascii="黑体" w:eastAsia="黑体"/>
                <w:color w:val="auto"/>
                <w:highlight w:val="none"/>
              </w:rPr>
              <w:t>序号</w:t>
            </w:r>
          </w:p>
        </w:tc>
        <w:tc>
          <w:tcPr>
            <w:tcW w:w="1685" w:type="dxa"/>
            <w:noWrap w:val="0"/>
            <w:vAlign w:val="top"/>
          </w:tcPr>
          <w:p w14:paraId="78CBF4A0">
            <w:pPr>
              <w:pStyle w:val="92"/>
              <w:adjustRightInd w:val="0"/>
              <w:snapToGrid w:val="0"/>
              <w:spacing w:line="560" w:lineRule="exact"/>
              <w:rPr>
                <w:rFonts w:hint="eastAsia" w:ascii="黑体" w:eastAsia="黑体"/>
                <w:color w:val="auto"/>
                <w:highlight w:val="none"/>
              </w:rPr>
            </w:pPr>
            <w:r>
              <w:rPr>
                <w:rFonts w:hint="eastAsia" w:ascii="黑体" w:eastAsia="黑体"/>
                <w:color w:val="auto"/>
                <w:highlight w:val="none"/>
              </w:rPr>
              <w:t>材料、设备名称</w:t>
            </w:r>
          </w:p>
        </w:tc>
        <w:tc>
          <w:tcPr>
            <w:tcW w:w="794" w:type="dxa"/>
            <w:noWrap w:val="0"/>
            <w:vAlign w:val="top"/>
          </w:tcPr>
          <w:p w14:paraId="37D64A03">
            <w:pPr>
              <w:pStyle w:val="92"/>
              <w:adjustRightInd w:val="0"/>
              <w:snapToGrid w:val="0"/>
              <w:spacing w:line="560" w:lineRule="exact"/>
              <w:rPr>
                <w:rFonts w:hint="eastAsia" w:ascii="黑体" w:eastAsia="黑体"/>
                <w:color w:val="auto"/>
                <w:highlight w:val="none"/>
              </w:rPr>
            </w:pPr>
            <w:r>
              <w:rPr>
                <w:rFonts w:hint="eastAsia" w:ascii="黑体" w:eastAsia="黑体"/>
                <w:color w:val="auto"/>
                <w:highlight w:val="none"/>
              </w:rPr>
              <w:t>品牌 1</w:t>
            </w:r>
          </w:p>
        </w:tc>
        <w:tc>
          <w:tcPr>
            <w:tcW w:w="794" w:type="dxa"/>
            <w:noWrap w:val="0"/>
            <w:vAlign w:val="top"/>
          </w:tcPr>
          <w:p w14:paraId="2128153D">
            <w:pPr>
              <w:pStyle w:val="92"/>
              <w:adjustRightInd w:val="0"/>
              <w:snapToGrid w:val="0"/>
              <w:spacing w:line="560" w:lineRule="exact"/>
              <w:rPr>
                <w:rFonts w:hint="eastAsia" w:ascii="黑体" w:eastAsia="黑体"/>
                <w:color w:val="auto"/>
                <w:highlight w:val="none"/>
              </w:rPr>
            </w:pPr>
            <w:r>
              <w:rPr>
                <w:rFonts w:hint="eastAsia" w:ascii="黑体" w:eastAsia="黑体"/>
                <w:color w:val="auto"/>
                <w:highlight w:val="none"/>
              </w:rPr>
              <w:t>品牌 2</w:t>
            </w:r>
          </w:p>
        </w:tc>
        <w:tc>
          <w:tcPr>
            <w:tcW w:w="794" w:type="dxa"/>
            <w:noWrap w:val="0"/>
            <w:vAlign w:val="top"/>
          </w:tcPr>
          <w:p w14:paraId="02F4571A">
            <w:pPr>
              <w:pStyle w:val="92"/>
              <w:adjustRightInd w:val="0"/>
              <w:snapToGrid w:val="0"/>
              <w:spacing w:line="560" w:lineRule="exact"/>
              <w:rPr>
                <w:rFonts w:hint="eastAsia" w:ascii="黑体" w:eastAsia="黑体"/>
                <w:color w:val="auto"/>
                <w:highlight w:val="none"/>
              </w:rPr>
            </w:pPr>
            <w:r>
              <w:rPr>
                <w:rFonts w:hint="eastAsia" w:ascii="黑体" w:eastAsia="黑体"/>
                <w:color w:val="auto"/>
                <w:highlight w:val="none"/>
              </w:rPr>
              <w:t>品牌 3</w:t>
            </w:r>
          </w:p>
        </w:tc>
        <w:tc>
          <w:tcPr>
            <w:tcW w:w="791" w:type="dxa"/>
            <w:noWrap w:val="0"/>
            <w:vAlign w:val="top"/>
          </w:tcPr>
          <w:p w14:paraId="1D9039BE">
            <w:pPr>
              <w:pStyle w:val="92"/>
              <w:adjustRightInd w:val="0"/>
              <w:snapToGrid w:val="0"/>
              <w:spacing w:line="560" w:lineRule="exact"/>
              <w:rPr>
                <w:rFonts w:hint="eastAsia" w:ascii="黑体" w:eastAsia="黑体"/>
                <w:color w:val="auto"/>
                <w:highlight w:val="none"/>
              </w:rPr>
            </w:pPr>
            <w:r>
              <w:rPr>
                <w:rFonts w:hint="eastAsia" w:ascii="黑体" w:eastAsia="黑体"/>
                <w:color w:val="auto"/>
                <w:highlight w:val="none"/>
              </w:rPr>
              <w:t>品牌 4</w:t>
            </w:r>
          </w:p>
        </w:tc>
        <w:tc>
          <w:tcPr>
            <w:tcW w:w="635" w:type="dxa"/>
            <w:noWrap w:val="0"/>
            <w:vAlign w:val="top"/>
          </w:tcPr>
          <w:p w14:paraId="4E82FEA7">
            <w:pPr>
              <w:pStyle w:val="92"/>
              <w:adjustRightInd w:val="0"/>
              <w:snapToGrid w:val="0"/>
              <w:spacing w:line="560" w:lineRule="exact"/>
              <w:rPr>
                <w:rFonts w:hint="eastAsia" w:ascii="黑体" w:eastAsia="黑体"/>
                <w:color w:val="auto"/>
                <w:highlight w:val="none"/>
              </w:rPr>
            </w:pPr>
            <w:r>
              <w:rPr>
                <w:rFonts w:hint="eastAsia" w:ascii="黑体" w:eastAsia="黑体"/>
                <w:color w:val="auto"/>
                <w:highlight w:val="none"/>
              </w:rPr>
              <w:t>备注</w:t>
            </w:r>
          </w:p>
        </w:tc>
        <w:tc>
          <w:tcPr>
            <w:tcW w:w="1687" w:type="dxa"/>
            <w:noWrap w:val="0"/>
            <w:vAlign w:val="top"/>
          </w:tcPr>
          <w:p w14:paraId="48F66A24">
            <w:pPr>
              <w:pStyle w:val="92"/>
              <w:adjustRightInd w:val="0"/>
              <w:snapToGrid w:val="0"/>
              <w:spacing w:line="560" w:lineRule="exact"/>
              <w:rPr>
                <w:rFonts w:hint="eastAsia" w:ascii="黑体" w:eastAsia="黑体"/>
                <w:color w:val="auto"/>
                <w:highlight w:val="none"/>
              </w:rPr>
            </w:pPr>
            <w:r>
              <w:rPr>
                <w:rFonts w:hint="eastAsia" w:ascii="黑体" w:eastAsia="黑体"/>
                <w:color w:val="auto"/>
                <w:highlight w:val="none"/>
              </w:rPr>
              <w:t>投标人选定品牌</w:t>
            </w:r>
          </w:p>
        </w:tc>
      </w:tr>
      <w:tr w14:paraId="49BBB2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6" w:hRule="atLeast"/>
        </w:trPr>
        <w:tc>
          <w:tcPr>
            <w:tcW w:w="636" w:type="dxa"/>
            <w:noWrap w:val="0"/>
            <w:vAlign w:val="top"/>
          </w:tcPr>
          <w:p w14:paraId="759267C8">
            <w:pPr>
              <w:pStyle w:val="92"/>
              <w:adjustRightInd w:val="0"/>
              <w:snapToGrid w:val="0"/>
              <w:spacing w:line="560" w:lineRule="exact"/>
              <w:jc w:val="center"/>
              <w:rPr>
                <w:color w:val="auto"/>
                <w:highlight w:val="none"/>
              </w:rPr>
            </w:pPr>
            <w:r>
              <w:rPr>
                <w:color w:val="auto"/>
                <w:highlight w:val="none"/>
              </w:rPr>
              <w:t>1</w:t>
            </w:r>
          </w:p>
        </w:tc>
        <w:tc>
          <w:tcPr>
            <w:tcW w:w="1685" w:type="dxa"/>
            <w:noWrap w:val="0"/>
            <w:vAlign w:val="top"/>
          </w:tcPr>
          <w:p w14:paraId="1E57E763">
            <w:pPr>
              <w:pStyle w:val="92"/>
              <w:adjustRightInd w:val="0"/>
              <w:snapToGrid w:val="0"/>
              <w:spacing w:line="560" w:lineRule="exact"/>
              <w:rPr>
                <w:rFonts w:ascii="Times New Roman"/>
                <w:color w:val="auto"/>
                <w:sz w:val="20"/>
                <w:highlight w:val="none"/>
              </w:rPr>
            </w:pPr>
          </w:p>
        </w:tc>
        <w:tc>
          <w:tcPr>
            <w:tcW w:w="794" w:type="dxa"/>
            <w:noWrap w:val="0"/>
            <w:vAlign w:val="top"/>
          </w:tcPr>
          <w:p w14:paraId="2BC2F249">
            <w:pPr>
              <w:pStyle w:val="92"/>
              <w:adjustRightInd w:val="0"/>
              <w:snapToGrid w:val="0"/>
              <w:spacing w:line="560" w:lineRule="exact"/>
              <w:rPr>
                <w:rFonts w:ascii="Times New Roman"/>
                <w:color w:val="auto"/>
                <w:sz w:val="20"/>
                <w:highlight w:val="none"/>
              </w:rPr>
            </w:pPr>
          </w:p>
        </w:tc>
        <w:tc>
          <w:tcPr>
            <w:tcW w:w="794" w:type="dxa"/>
            <w:noWrap w:val="0"/>
            <w:vAlign w:val="top"/>
          </w:tcPr>
          <w:p w14:paraId="45E5C36D">
            <w:pPr>
              <w:pStyle w:val="92"/>
              <w:adjustRightInd w:val="0"/>
              <w:snapToGrid w:val="0"/>
              <w:spacing w:line="560" w:lineRule="exact"/>
              <w:rPr>
                <w:rFonts w:ascii="Times New Roman"/>
                <w:color w:val="auto"/>
                <w:sz w:val="20"/>
                <w:highlight w:val="none"/>
              </w:rPr>
            </w:pPr>
          </w:p>
        </w:tc>
        <w:tc>
          <w:tcPr>
            <w:tcW w:w="794" w:type="dxa"/>
            <w:noWrap w:val="0"/>
            <w:vAlign w:val="top"/>
          </w:tcPr>
          <w:p w14:paraId="5F5B855A">
            <w:pPr>
              <w:pStyle w:val="92"/>
              <w:adjustRightInd w:val="0"/>
              <w:snapToGrid w:val="0"/>
              <w:spacing w:line="560" w:lineRule="exact"/>
              <w:rPr>
                <w:rFonts w:ascii="Times New Roman"/>
                <w:color w:val="auto"/>
                <w:sz w:val="20"/>
                <w:highlight w:val="none"/>
              </w:rPr>
            </w:pPr>
          </w:p>
        </w:tc>
        <w:tc>
          <w:tcPr>
            <w:tcW w:w="791" w:type="dxa"/>
            <w:noWrap w:val="0"/>
            <w:vAlign w:val="top"/>
          </w:tcPr>
          <w:p w14:paraId="6B18D13B">
            <w:pPr>
              <w:pStyle w:val="92"/>
              <w:adjustRightInd w:val="0"/>
              <w:snapToGrid w:val="0"/>
              <w:spacing w:line="560" w:lineRule="exact"/>
              <w:rPr>
                <w:rFonts w:ascii="Times New Roman"/>
                <w:color w:val="auto"/>
                <w:sz w:val="20"/>
                <w:highlight w:val="none"/>
              </w:rPr>
            </w:pPr>
          </w:p>
        </w:tc>
        <w:tc>
          <w:tcPr>
            <w:tcW w:w="635" w:type="dxa"/>
            <w:noWrap w:val="0"/>
            <w:vAlign w:val="top"/>
          </w:tcPr>
          <w:p w14:paraId="7A13F9B4">
            <w:pPr>
              <w:pStyle w:val="92"/>
              <w:adjustRightInd w:val="0"/>
              <w:snapToGrid w:val="0"/>
              <w:spacing w:line="560" w:lineRule="exact"/>
              <w:rPr>
                <w:rFonts w:ascii="Times New Roman"/>
                <w:color w:val="auto"/>
                <w:sz w:val="20"/>
                <w:highlight w:val="none"/>
              </w:rPr>
            </w:pPr>
          </w:p>
        </w:tc>
        <w:tc>
          <w:tcPr>
            <w:tcW w:w="1687" w:type="dxa"/>
            <w:noWrap w:val="0"/>
            <w:vAlign w:val="top"/>
          </w:tcPr>
          <w:p w14:paraId="53A46401">
            <w:pPr>
              <w:pStyle w:val="92"/>
              <w:adjustRightInd w:val="0"/>
              <w:snapToGrid w:val="0"/>
              <w:spacing w:line="560" w:lineRule="exact"/>
              <w:rPr>
                <w:rFonts w:ascii="Times New Roman"/>
                <w:color w:val="auto"/>
                <w:sz w:val="20"/>
                <w:highlight w:val="none"/>
              </w:rPr>
            </w:pPr>
          </w:p>
        </w:tc>
      </w:tr>
      <w:tr w14:paraId="4D149F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6" w:hRule="atLeast"/>
        </w:trPr>
        <w:tc>
          <w:tcPr>
            <w:tcW w:w="636" w:type="dxa"/>
            <w:noWrap w:val="0"/>
            <w:vAlign w:val="top"/>
          </w:tcPr>
          <w:p w14:paraId="0A700AB0">
            <w:pPr>
              <w:pStyle w:val="92"/>
              <w:adjustRightInd w:val="0"/>
              <w:snapToGrid w:val="0"/>
              <w:spacing w:line="560" w:lineRule="exact"/>
              <w:jc w:val="center"/>
              <w:rPr>
                <w:color w:val="auto"/>
                <w:highlight w:val="none"/>
              </w:rPr>
            </w:pPr>
            <w:r>
              <w:rPr>
                <w:color w:val="auto"/>
                <w:highlight w:val="none"/>
              </w:rPr>
              <w:t>2</w:t>
            </w:r>
          </w:p>
        </w:tc>
        <w:tc>
          <w:tcPr>
            <w:tcW w:w="1685" w:type="dxa"/>
            <w:noWrap w:val="0"/>
            <w:vAlign w:val="top"/>
          </w:tcPr>
          <w:p w14:paraId="475EFAB5">
            <w:pPr>
              <w:pStyle w:val="92"/>
              <w:adjustRightInd w:val="0"/>
              <w:snapToGrid w:val="0"/>
              <w:spacing w:line="560" w:lineRule="exact"/>
              <w:rPr>
                <w:rFonts w:ascii="Times New Roman"/>
                <w:color w:val="auto"/>
                <w:sz w:val="20"/>
                <w:highlight w:val="none"/>
              </w:rPr>
            </w:pPr>
          </w:p>
        </w:tc>
        <w:tc>
          <w:tcPr>
            <w:tcW w:w="794" w:type="dxa"/>
            <w:noWrap w:val="0"/>
            <w:vAlign w:val="top"/>
          </w:tcPr>
          <w:p w14:paraId="7554DF91">
            <w:pPr>
              <w:pStyle w:val="92"/>
              <w:adjustRightInd w:val="0"/>
              <w:snapToGrid w:val="0"/>
              <w:spacing w:line="560" w:lineRule="exact"/>
              <w:rPr>
                <w:rFonts w:ascii="Times New Roman"/>
                <w:color w:val="auto"/>
                <w:sz w:val="20"/>
                <w:highlight w:val="none"/>
              </w:rPr>
            </w:pPr>
          </w:p>
        </w:tc>
        <w:tc>
          <w:tcPr>
            <w:tcW w:w="794" w:type="dxa"/>
            <w:noWrap w:val="0"/>
            <w:vAlign w:val="top"/>
          </w:tcPr>
          <w:p w14:paraId="1E75C36C">
            <w:pPr>
              <w:pStyle w:val="92"/>
              <w:adjustRightInd w:val="0"/>
              <w:snapToGrid w:val="0"/>
              <w:spacing w:line="560" w:lineRule="exact"/>
              <w:rPr>
                <w:rFonts w:ascii="Times New Roman"/>
                <w:color w:val="auto"/>
                <w:sz w:val="20"/>
                <w:highlight w:val="none"/>
              </w:rPr>
            </w:pPr>
          </w:p>
        </w:tc>
        <w:tc>
          <w:tcPr>
            <w:tcW w:w="794" w:type="dxa"/>
            <w:noWrap w:val="0"/>
            <w:vAlign w:val="top"/>
          </w:tcPr>
          <w:p w14:paraId="32E18A8D">
            <w:pPr>
              <w:pStyle w:val="92"/>
              <w:adjustRightInd w:val="0"/>
              <w:snapToGrid w:val="0"/>
              <w:spacing w:line="560" w:lineRule="exact"/>
              <w:rPr>
                <w:rFonts w:ascii="Times New Roman"/>
                <w:color w:val="auto"/>
                <w:sz w:val="20"/>
                <w:highlight w:val="none"/>
              </w:rPr>
            </w:pPr>
          </w:p>
        </w:tc>
        <w:tc>
          <w:tcPr>
            <w:tcW w:w="791" w:type="dxa"/>
            <w:noWrap w:val="0"/>
            <w:vAlign w:val="top"/>
          </w:tcPr>
          <w:p w14:paraId="6F4AA155">
            <w:pPr>
              <w:pStyle w:val="92"/>
              <w:adjustRightInd w:val="0"/>
              <w:snapToGrid w:val="0"/>
              <w:spacing w:line="560" w:lineRule="exact"/>
              <w:rPr>
                <w:rFonts w:ascii="Times New Roman"/>
                <w:color w:val="auto"/>
                <w:sz w:val="20"/>
                <w:highlight w:val="none"/>
              </w:rPr>
            </w:pPr>
          </w:p>
        </w:tc>
        <w:tc>
          <w:tcPr>
            <w:tcW w:w="635" w:type="dxa"/>
            <w:noWrap w:val="0"/>
            <w:vAlign w:val="top"/>
          </w:tcPr>
          <w:p w14:paraId="2443A954">
            <w:pPr>
              <w:pStyle w:val="92"/>
              <w:adjustRightInd w:val="0"/>
              <w:snapToGrid w:val="0"/>
              <w:spacing w:line="560" w:lineRule="exact"/>
              <w:rPr>
                <w:rFonts w:ascii="Times New Roman"/>
                <w:color w:val="auto"/>
                <w:sz w:val="20"/>
                <w:highlight w:val="none"/>
              </w:rPr>
            </w:pPr>
          </w:p>
        </w:tc>
        <w:tc>
          <w:tcPr>
            <w:tcW w:w="1687" w:type="dxa"/>
            <w:noWrap w:val="0"/>
            <w:vAlign w:val="top"/>
          </w:tcPr>
          <w:p w14:paraId="3CCDBD58">
            <w:pPr>
              <w:pStyle w:val="92"/>
              <w:adjustRightInd w:val="0"/>
              <w:snapToGrid w:val="0"/>
              <w:spacing w:line="560" w:lineRule="exact"/>
              <w:rPr>
                <w:rFonts w:ascii="Times New Roman"/>
                <w:color w:val="auto"/>
                <w:sz w:val="20"/>
                <w:highlight w:val="none"/>
              </w:rPr>
            </w:pPr>
          </w:p>
        </w:tc>
      </w:tr>
      <w:tr w14:paraId="79067E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4" w:hRule="atLeast"/>
        </w:trPr>
        <w:tc>
          <w:tcPr>
            <w:tcW w:w="636" w:type="dxa"/>
            <w:tcBorders>
              <w:bottom w:val="single" w:color="000000" w:sz="6" w:space="0"/>
            </w:tcBorders>
            <w:noWrap w:val="0"/>
            <w:vAlign w:val="top"/>
          </w:tcPr>
          <w:p w14:paraId="1108054C">
            <w:pPr>
              <w:pStyle w:val="92"/>
              <w:adjustRightInd w:val="0"/>
              <w:snapToGrid w:val="0"/>
              <w:spacing w:line="560" w:lineRule="exact"/>
              <w:jc w:val="center"/>
              <w:rPr>
                <w:color w:val="auto"/>
                <w:highlight w:val="none"/>
              </w:rPr>
            </w:pPr>
            <w:r>
              <w:rPr>
                <w:color w:val="auto"/>
                <w:highlight w:val="none"/>
              </w:rPr>
              <w:t>3</w:t>
            </w:r>
          </w:p>
        </w:tc>
        <w:tc>
          <w:tcPr>
            <w:tcW w:w="1685" w:type="dxa"/>
            <w:tcBorders>
              <w:bottom w:val="single" w:color="000000" w:sz="6" w:space="0"/>
            </w:tcBorders>
            <w:noWrap w:val="0"/>
            <w:vAlign w:val="top"/>
          </w:tcPr>
          <w:p w14:paraId="19227A3A">
            <w:pPr>
              <w:pStyle w:val="92"/>
              <w:adjustRightInd w:val="0"/>
              <w:snapToGrid w:val="0"/>
              <w:spacing w:line="560" w:lineRule="exact"/>
              <w:rPr>
                <w:rFonts w:ascii="Times New Roman"/>
                <w:color w:val="auto"/>
                <w:sz w:val="20"/>
                <w:highlight w:val="none"/>
              </w:rPr>
            </w:pPr>
          </w:p>
        </w:tc>
        <w:tc>
          <w:tcPr>
            <w:tcW w:w="794" w:type="dxa"/>
            <w:tcBorders>
              <w:bottom w:val="single" w:color="000000" w:sz="6" w:space="0"/>
            </w:tcBorders>
            <w:noWrap w:val="0"/>
            <w:vAlign w:val="top"/>
          </w:tcPr>
          <w:p w14:paraId="04986B5A">
            <w:pPr>
              <w:pStyle w:val="92"/>
              <w:adjustRightInd w:val="0"/>
              <w:snapToGrid w:val="0"/>
              <w:spacing w:line="560" w:lineRule="exact"/>
              <w:rPr>
                <w:rFonts w:ascii="Times New Roman"/>
                <w:color w:val="auto"/>
                <w:sz w:val="20"/>
                <w:highlight w:val="none"/>
              </w:rPr>
            </w:pPr>
          </w:p>
        </w:tc>
        <w:tc>
          <w:tcPr>
            <w:tcW w:w="794" w:type="dxa"/>
            <w:tcBorders>
              <w:bottom w:val="single" w:color="000000" w:sz="6" w:space="0"/>
            </w:tcBorders>
            <w:noWrap w:val="0"/>
            <w:vAlign w:val="top"/>
          </w:tcPr>
          <w:p w14:paraId="6852EDC7">
            <w:pPr>
              <w:pStyle w:val="92"/>
              <w:adjustRightInd w:val="0"/>
              <w:snapToGrid w:val="0"/>
              <w:spacing w:line="560" w:lineRule="exact"/>
              <w:rPr>
                <w:rFonts w:ascii="Times New Roman"/>
                <w:color w:val="auto"/>
                <w:sz w:val="20"/>
                <w:highlight w:val="none"/>
              </w:rPr>
            </w:pPr>
          </w:p>
        </w:tc>
        <w:tc>
          <w:tcPr>
            <w:tcW w:w="794" w:type="dxa"/>
            <w:tcBorders>
              <w:bottom w:val="single" w:color="000000" w:sz="6" w:space="0"/>
            </w:tcBorders>
            <w:noWrap w:val="0"/>
            <w:vAlign w:val="top"/>
          </w:tcPr>
          <w:p w14:paraId="1DA483FF">
            <w:pPr>
              <w:pStyle w:val="92"/>
              <w:adjustRightInd w:val="0"/>
              <w:snapToGrid w:val="0"/>
              <w:spacing w:line="560" w:lineRule="exact"/>
              <w:rPr>
                <w:rFonts w:ascii="Times New Roman"/>
                <w:color w:val="auto"/>
                <w:sz w:val="20"/>
                <w:highlight w:val="none"/>
              </w:rPr>
            </w:pPr>
          </w:p>
        </w:tc>
        <w:tc>
          <w:tcPr>
            <w:tcW w:w="791" w:type="dxa"/>
            <w:tcBorders>
              <w:bottom w:val="single" w:color="000000" w:sz="6" w:space="0"/>
            </w:tcBorders>
            <w:noWrap w:val="0"/>
            <w:vAlign w:val="top"/>
          </w:tcPr>
          <w:p w14:paraId="5E59C198">
            <w:pPr>
              <w:pStyle w:val="92"/>
              <w:adjustRightInd w:val="0"/>
              <w:snapToGrid w:val="0"/>
              <w:spacing w:line="560" w:lineRule="exact"/>
              <w:rPr>
                <w:rFonts w:ascii="Times New Roman"/>
                <w:color w:val="auto"/>
                <w:sz w:val="20"/>
                <w:highlight w:val="none"/>
              </w:rPr>
            </w:pPr>
          </w:p>
        </w:tc>
        <w:tc>
          <w:tcPr>
            <w:tcW w:w="635" w:type="dxa"/>
            <w:tcBorders>
              <w:bottom w:val="single" w:color="000000" w:sz="6" w:space="0"/>
            </w:tcBorders>
            <w:noWrap w:val="0"/>
            <w:vAlign w:val="top"/>
          </w:tcPr>
          <w:p w14:paraId="6EDF3B73">
            <w:pPr>
              <w:pStyle w:val="92"/>
              <w:adjustRightInd w:val="0"/>
              <w:snapToGrid w:val="0"/>
              <w:spacing w:line="560" w:lineRule="exact"/>
              <w:rPr>
                <w:rFonts w:ascii="Times New Roman"/>
                <w:color w:val="auto"/>
                <w:sz w:val="20"/>
                <w:highlight w:val="none"/>
              </w:rPr>
            </w:pPr>
          </w:p>
        </w:tc>
        <w:tc>
          <w:tcPr>
            <w:tcW w:w="1687" w:type="dxa"/>
            <w:tcBorders>
              <w:bottom w:val="single" w:color="000000" w:sz="6" w:space="0"/>
            </w:tcBorders>
            <w:noWrap w:val="0"/>
            <w:vAlign w:val="top"/>
          </w:tcPr>
          <w:p w14:paraId="2814ADE7">
            <w:pPr>
              <w:pStyle w:val="92"/>
              <w:adjustRightInd w:val="0"/>
              <w:snapToGrid w:val="0"/>
              <w:spacing w:line="560" w:lineRule="exact"/>
              <w:rPr>
                <w:rFonts w:ascii="Times New Roman"/>
                <w:color w:val="auto"/>
                <w:sz w:val="20"/>
                <w:highlight w:val="none"/>
              </w:rPr>
            </w:pPr>
          </w:p>
        </w:tc>
      </w:tr>
      <w:tr w14:paraId="6AF188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4" w:hRule="atLeast"/>
        </w:trPr>
        <w:tc>
          <w:tcPr>
            <w:tcW w:w="636" w:type="dxa"/>
            <w:tcBorders>
              <w:top w:val="single" w:color="000000" w:sz="6" w:space="0"/>
            </w:tcBorders>
            <w:noWrap w:val="0"/>
            <w:vAlign w:val="top"/>
          </w:tcPr>
          <w:p w14:paraId="2A0C093D">
            <w:pPr>
              <w:pStyle w:val="92"/>
              <w:adjustRightInd w:val="0"/>
              <w:snapToGrid w:val="0"/>
              <w:spacing w:line="560" w:lineRule="exact"/>
              <w:jc w:val="center"/>
              <w:rPr>
                <w:color w:val="auto"/>
                <w:highlight w:val="none"/>
              </w:rPr>
            </w:pPr>
            <w:r>
              <w:rPr>
                <w:color w:val="auto"/>
                <w:highlight w:val="none"/>
              </w:rPr>
              <w:t>4</w:t>
            </w:r>
          </w:p>
        </w:tc>
        <w:tc>
          <w:tcPr>
            <w:tcW w:w="1685" w:type="dxa"/>
            <w:tcBorders>
              <w:top w:val="single" w:color="000000" w:sz="6" w:space="0"/>
            </w:tcBorders>
            <w:noWrap w:val="0"/>
            <w:vAlign w:val="top"/>
          </w:tcPr>
          <w:p w14:paraId="37D8346F">
            <w:pPr>
              <w:pStyle w:val="92"/>
              <w:adjustRightInd w:val="0"/>
              <w:snapToGrid w:val="0"/>
              <w:spacing w:line="560" w:lineRule="exact"/>
              <w:rPr>
                <w:rFonts w:ascii="Times New Roman"/>
                <w:color w:val="auto"/>
                <w:sz w:val="20"/>
                <w:highlight w:val="none"/>
              </w:rPr>
            </w:pPr>
          </w:p>
        </w:tc>
        <w:tc>
          <w:tcPr>
            <w:tcW w:w="794" w:type="dxa"/>
            <w:tcBorders>
              <w:top w:val="single" w:color="000000" w:sz="6" w:space="0"/>
            </w:tcBorders>
            <w:noWrap w:val="0"/>
            <w:vAlign w:val="top"/>
          </w:tcPr>
          <w:p w14:paraId="09195CA9">
            <w:pPr>
              <w:pStyle w:val="92"/>
              <w:adjustRightInd w:val="0"/>
              <w:snapToGrid w:val="0"/>
              <w:spacing w:line="560" w:lineRule="exact"/>
              <w:rPr>
                <w:rFonts w:ascii="Times New Roman"/>
                <w:color w:val="auto"/>
                <w:sz w:val="20"/>
                <w:highlight w:val="none"/>
              </w:rPr>
            </w:pPr>
          </w:p>
        </w:tc>
        <w:tc>
          <w:tcPr>
            <w:tcW w:w="794" w:type="dxa"/>
            <w:tcBorders>
              <w:top w:val="single" w:color="000000" w:sz="6" w:space="0"/>
            </w:tcBorders>
            <w:noWrap w:val="0"/>
            <w:vAlign w:val="top"/>
          </w:tcPr>
          <w:p w14:paraId="2C97F1D2">
            <w:pPr>
              <w:pStyle w:val="92"/>
              <w:adjustRightInd w:val="0"/>
              <w:snapToGrid w:val="0"/>
              <w:spacing w:line="560" w:lineRule="exact"/>
              <w:rPr>
                <w:rFonts w:ascii="Times New Roman"/>
                <w:color w:val="auto"/>
                <w:sz w:val="20"/>
                <w:highlight w:val="none"/>
              </w:rPr>
            </w:pPr>
          </w:p>
        </w:tc>
        <w:tc>
          <w:tcPr>
            <w:tcW w:w="794" w:type="dxa"/>
            <w:tcBorders>
              <w:top w:val="single" w:color="000000" w:sz="6" w:space="0"/>
            </w:tcBorders>
            <w:noWrap w:val="0"/>
            <w:vAlign w:val="top"/>
          </w:tcPr>
          <w:p w14:paraId="53970600">
            <w:pPr>
              <w:pStyle w:val="92"/>
              <w:adjustRightInd w:val="0"/>
              <w:snapToGrid w:val="0"/>
              <w:spacing w:line="560" w:lineRule="exact"/>
              <w:rPr>
                <w:rFonts w:ascii="Times New Roman"/>
                <w:color w:val="auto"/>
                <w:sz w:val="20"/>
                <w:highlight w:val="none"/>
              </w:rPr>
            </w:pPr>
          </w:p>
        </w:tc>
        <w:tc>
          <w:tcPr>
            <w:tcW w:w="791" w:type="dxa"/>
            <w:tcBorders>
              <w:top w:val="single" w:color="000000" w:sz="6" w:space="0"/>
            </w:tcBorders>
            <w:noWrap w:val="0"/>
            <w:vAlign w:val="top"/>
          </w:tcPr>
          <w:p w14:paraId="5E9B5D52">
            <w:pPr>
              <w:pStyle w:val="92"/>
              <w:adjustRightInd w:val="0"/>
              <w:snapToGrid w:val="0"/>
              <w:spacing w:line="560" w:lineRule="exact"/>
              <w:rPr>
                <w:rFonts w:ascii="Times New Roman"/>
                <w:color w:val="auto"/>
                <w:sz w:val="20"/>
                <w:highlight w:val="none"/>
              </w:rPr>
            </w:pPr>
          </w:p>
        </w:tc>
        <w:tc>
          <w:tcPr>
            <w:tcW w:w="635" w:type="dxa"/>
            <w:tcBorders>
              <w:top w:val="single" w:color="000000" w:sz="6" w:space="0"/>
            </w:tcBorders>
            <w:noWrap w:val="0"/>
            <w:vAlign w:val="top"/>
          </w:tcPr>
          <w:p w14:paraId="187B73E8">
            <w:pPr>
              <w:pStyle w:val="92"/>
              <w:adjustRightInd w:val="0"/>
              <w:snapToGrid w:val="0"/>
              <w:spacing w:line="560" w:lineRule="exact"/>
              <w:rPr>
                <w:rFonts w:ascii="Times New Roman"/>
                <w:color w:val="auto"/>
                <w:sz w:val="20"/>
                <w:highlight w:val="none"/>
              </w:rPr>
            </w:pPr>
          </w:p>
        </w:tc>
        <w:tc>
          <w:tcPr>
            <w:tcW w:w="1687" w:type="dxa"/>
            <w:tcBorders>
              <w:top w:val="single" w:color="000000" w:sz="6" w:space="0"/>
            </w:tcBorders>
            <w:noWrap w:val="0"/>
            <w:vAlign w:val="top"/>
          </w:tcPr>
          <w:p w14:paraId="03C95AFE">
            <w:pPr>
              <w:pStyle w:val="92"/>
              <w:adjustRightInd w:val="0"/>
              <w:snapToGrid w:val="0"/>
              <w:spacing w:line="560" w:lineRule="exact"/>
              <w:rPr>
                <w:rFonts w:ascii="Times New Roman"/>
                <w:color w:val="auto"/>
                <w:sz w:val="20"/>
                <w:highlight w:val="none"/>
              </w:rPr>
            </w:pPr>
          </w:p>
        </w:tc>
      </w:tr>
      <w:tr w14:paraId="7D1DEB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6" w:hRule="atLeast"/>
        </w:trPr>
        <w:tc>
          <w:tcPr>
            <w:tcW w:w="636" w:type="dxa"/>
            <w:noWrap w:val="0"/>
            <w:vAlign w:val="top"/>
          </w:tcPr>
          <w:p w14:paraId="603443C3">
            <w:pPr>
              <w:pStyle w:val="92"/>
              <w:adjustRightInd w:val="0"/>
              <w:snapToGrid w:val="0"/>
              <w:spacing w:line="560" w:lineRule="exact"/>
              <w:jc w:val="center"/>
              <w:rPr>
                <w:color w:val="auto"/>
                <w:highlight w:val="none"/>
              </w:rPr>
            </w:pPr>
            <w:r>
              <w:rPr>
                <w:color w:val="auto"/>
                <w:highlight w:val="none"/>
              </w:rPr>
              <w:t>5</w:t>
            </w:r>
          </w:p>
        </w:tc>
        <w:tc>
          <w:tcPr>
            <w:tcW w:w="1685" w:type="dxa"/>
            <w:noWrap w:val="0"/>
            <w:vAlign w:val="top"/>
          </w:tcPr>
          <w:p w14:paraId="5583A7E3">
            <w:pPr>
              <w:pStyle w:val="92"/>
              <w:adjustRightInd w:val="0"/>
              <w:snapToGrid w:val="0"/>
              <w:spacing w:line="560" w:lineRule="exact"/>
              <w:rPr>
                <w:rFonts w:ascii="Times New Roman"/>
                <w:color w:val="auto"/>
                <w:sz w:val="20"/>
                <w:highlight w:val="none"/>
              </w:rPr>
            </w:pPr>
          </w:p>
        </w:tc>
        <w:tc>
          <w:tcPr>
            <w:tcW w:w="794" w:type="dxa"/>
            <w:noWrap w:val="0"/>
            <w:vAlign w:val="top"/>
          </w:tcPr>
          <w:p w14:paraId="77A1B04B">
            <w:pPr>
              <w:pStyle w:val="92"/>
              <w:adjustRightInd w:val="0"/>
              <w:snapToGrid w:val="0"/>
              <w:spacing w:line="560" w:lineRule="exact"/>
              <w:rPr>
                <w:rFonts w:ascii="Times New Roman"/>
                <w:color w:val="auto"/>
                <w:sz w:val="20"/>
                <w:highlight w:val="none"/>
              </w:rPr>
            </w:pPr>
          </w:p>
        </w:tc>
        <w:tc>
          <w:tcPr>
            <w:tcW w:w="794" w:type="dxa"/>
            <w:noWrap w:val="0"/>
            <w:vAlign w:val="top"/>
          </w:tcPr>
          <w:p w14:paraId="672B62A8">
            <w:pPr>
              <w:pStyle w:val="92"/>
              <w:adjustRightInd w:val="0"/>
              <w:snapToGrid w:val="0"/>
              <w:spacing w:line="560" w:lineRule="exact"/>
              <w:rPr>
                <w:rFonts w:ascii="Times New Roman"/>
                <w:color w:val="auto"/>
                <w:sz w:val="20"/>
                <w:highlight w:val="none"/>
              </w:rPr>
            </w:pPr>
          </w:p>
        </w:tc>
        <w:tc>
          <w:tcPr>
            <w:tcW w:w="794" w:type="dxa"/>
            <w:noWrap w:val="0"/>
            <w:vAlign w:val="top"/>
          </w:tcPr>
          <w:p w14:paraId="49B6B7D1">
            <w:pPr>
              <w:pStyle w:val="92"/>
              <w:adjustRightInd w:val="0"/>
              <w:snapToGrid w:val="0"/>
              <w:spacing w:line="560" w:lineRule="exact"/>
              <w:rPr>
                <w:rFonts w:ascii="Times New Roman"/>
                <w:color w:val="auto"/>
                <w:sz w:val="20"/>
                <w:highlight w:val="none"/>
              </w:rPr>
            </w:pPr>
          </w:p>
        </w:tc>
        <w:tc>
          <w:tcPr>
            <w:tcW w:w="791" w:type="dxa"/>
            <w:noWrap w:val="0"/>
            <w:vAlign w:val="top"/>
          </w:tcPr>
          <w:p w14:paraId="4D8B933B">
            <w:pPr>
              <w:pStyle w:val="92"/>
              <w:adjustRightInd w:val="0"/>
              <w:snapToGrid w:val="0"/>
              <w:spacing w:line="560" w:lineRule="exact"/>
              <w:rPr>
                <w:rFonts w:ascii="Times New Roman"/>
                <w:color w:val="auto"/>
                <w:sz w:val="20"/>
                <w:highlight w:val="none"/>
              </w:rPr>
            </w:pPr>
          </w:p>
        </w:tc>
        <w:tc>
          <w:tcPr>
            <w:tcW w:w="635" w:type="dxa"/>
            <w:noWrap w:val="0"/>
            <w:vAlign w:val="top"/>
          </w:tcPr>
          <w:p w14:paraId="50EA3814">
            <w:pPr>
              <w:pStyle w:val="92"/>
              <w:adjustRightInd w:val="0"/>
              <w:snapToGrid w:val="0"/>
              <w:spacing w:line="560" w:lineRule="exact"/>
              <w:rPr>
                <w:rFonts w:ascii="Times New Roman"/>
                <w:color w:val="auto"/>
                <w:sz w:val="20"/>
                <w:highlight w:val="none"/>
              </w:rPr>
            </w:pPr>
          </w:p>
        </w:tc>
        <w:tc>
          <w:tcPr>
            <w:tcW w:w="1687" w:type="dxa"/>
            <w:noWrap w:val="0"/>
            <w:vAlign w:val="top"/>
          </w:tcPr>
          <w:p w14:paraId="23ED814A">
            <w:pPr>
              <w:pStyle w:val="92"/>
              <w:adjustRightInd w:val="0"/>
              <w:snapToGrid w:val="0"/>
              <w:spacing w:line="560" w:lineRule="exact"/>
              <w:rPr>
                <w:rFonts w:ascii="Times New Roman"/>
                <w:color w:val="auto"/>
                <w:sz w:val="20"/>
                <w:highlight w:val="none"/>
              </w:rPr>
            </w:pPr>
          </w:p>
        </w:tc>
      </w:tr>
      <w:tr w14:paraId="78591F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6" w:hRule="atLeast"/>
        </w:trPr>
        <w:tc>
          <w:tcPr>
            <w:tcW w:w="636" w:type="dxa"/>
            <w:noWrap w:val="0"/>
            <w:vAlign w:val="top"/>
          </w:tcPr>
          <w:p w14:paraId="65825802">
            <w:pPr>
              <w:pStyle w:val="92"/>
              <w:adjustRightInd w:val="0"/>
              <w:snapToGrid w:val="0"/>
              <w:spacing w:line="560" w:lineRule="exact"/>
              <w:jc w:val="center"/>
              <w:rPr>
                <w:color w:val="auto"/>
                <w:highlight w:val="none"/>
              </w:rPr>
            </w:pPr>
            <w:r>
              <w:rPr>
                <w:color w:val="auto"/>
                <w:highlight w:val="none"/>
              </w:rPr>
              <w:t>6</w:t>
            </w:r>
          </w:p>
        </w:tc>
        <w:tc>
          <w:tcPr>
            <w:tcW w:w="1685" w:type="dxa"/>
            <w:noWrap w:val="0"/>
            <w:vAlign w:val="top"/>
          </w:tcPr>
          <w:p w14:paraId="04D701AD">
            <w:pPr>
              <w:pStyle w:val="92"/>
              <w:adjustRightInd w:val="0"/>
              <w:snapToGrid w:val="0"/>
              <w:spacing w:line="560" w:lineRule="exact"/>
              <w:rPr>
                <w:rFonts w:ascii="Times New Roman"/>
                <w:color w:val="auto"/>
                <w:sz w:val="20"/>
                <w:highlight w:val="none"/>
              </w:rPr>
            </w:pPr>
          </w:p>
        </w:tc>
        <w:tc>
          <w:tcPr>
            <w:tcW w:w="794" w:type="dxa"/>
            <w:noWrap w:val="0"/>
            <w:vAlign w:val="top"/>
          </w:tcPr>
          <w:p w14:paraId="7653F34E">
            <w:pPr>
              <w:pStyle w:val="92"/>
              <w:adjustRightInd w:val="0"/>
              <w:snapToGrid w:val="0"/>
              <w:spacing w:line="560" w:lineRule="exact"/>
              <w:rPr>
                <w:rFonts w:ascii="Times New Roman"/>
                <w:color w:val="auto"/>
                <w:sz w:val="20"/>
                <w:highlight w:val="none"/>
              </w:rPr>
            </w:pPr>
          </w:p>
        </w:tc>
        <w:tc>
          <w:tcPr>
            <w:tcW w:w="794" w:type="dxa"/>
            <w:noWrap w:val="0"/>
            <w:vAlign w:val="top"/>
          </w:tcPr>
          <w:p w14:paraId="665CE15B">
            <w:pPr>
              <w:pStyle w:val="92"/>
              <w:adjustRightInd w:val="0"/>
              <w:snapToGrid w:val="0"/>
              <w:spacing w:line="560" w:lineRule="exact"/>
              <w:rPr>
                <w:rFonts w:ascii="Times New Roman"/>
                <w:color w:val="auto"/>
                <w:sz w:val="20"/>
                <w:highlight w:val="none"/>
              </w:rPr>
            </w:pPr>
          </w:p>
        </w:tc>
        <w:tc>
          <w:tcPr>
            <w:tcW w:w="794" w:type="dxa"/>
            <w:noWrap w:val="0"/>
            <w:vAlign w:val="top"/>
          </w:tcPr>
          <w:p w14:paraId="1063830F">
            <w:pPr>
              <w:pStyle w:val="92"/>
              <w:adjustRightInd w:val="0"/>
              <w:snapToGrid w:val="0"/>
              <w:spacing w:line="560" w:lineRule="exact"/>
              <w:rPr>
                <w:rFonts w:ascii="Times New Roman"/>
                <w:color w:val="auto"/>
                <w:sz w:val="20"/>
                <w:highlight w:val="none"/>
              </w:rPr>
            </w:pPr>
          </w:p>
        </w:tc>
        <w:tc>
          <w:tcPr>
            <w:tcW w:w="791" w:type="dxa"/>
            <w:noWrap w:val="0"/>
            <w:vAlign w:val="top"/>
          </w:tcPr>
          <w:p w14:paraId="696B2FDE">
            <w:pPr>
              <w:pStyle w:val="92"/>
              <w:adjustRightInd w:val="0"/>
              <w:snapToGrid w:val="0"/>
              <w:spacing w:line="560" w:lineRule="exact"/>
              <w:rPr>
                <w:rFonts w:ascii="Times New Roman"/>
                <w:color w:val="auto"/>
                <w:sz w:val="20"/>
                <w:highlight w:val="none"/>
              </w:rPr>
            </w:pPr>
          </w:p>
        </w:tc>
        <w:tc>
          <w:tcPr>
            <w:tcW w:w="635" w:type="dxa"/>
            <w:noWrap w:val="0"/>
            <w:vAlign w:val="top"/>
          </w:tcPr>
          <w:p w14:paraId="4516CF3D">
            <w:pPr>
              <w:pStyle w:val="92"/>
              <w:adjustRightInd w:val="0"/>
              <w:snapToGrid w:val="0"/>
              <w:spacing w:line="560" w:lineRule="exact"/>
              <w:rPr>
                <w:rFonts w:ascii="Times New Roman"/>
                <w:color w:val="auto"/>
                <w:sz w:val="20"/>
                <w:highlight w:val="none"/>
              </w:rPr>
            </w:pPr>
          </w:p>
        </w:tc>
        <w:tc>
          <w:tcPr>
            <w:tcW w:w="1687" w:type="dxa"/>
            <w:noWrap w:val="0"/>
            <w:vAlign w:val="top"/>
          </w:tcPr>
          <w:p w14:paraId="573D7387">
            <w:pPr>
              <w:pStyle w:val="92"/>
              <w:adjustRightInd w:val="0"/>
              <w:snapToGrid w:val="0"/>
              <w:spacing w:line="560" w:lineRule="exact"/>
              <w:rPr>
                <w:rFonts w:ascii="Times New Roman"/>
                <w:color w:val="auto"/>
                <w:sz w:val="20"/>
                <w:highlight w:val="none"/>
              </w:rPr>
            </w:pPr>
          </w:p>
        </w:tc>
      </w:tr>
      <w:tr w14:paraId="26C333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6" w:hRule="atLeast"/>
        </w:trPr>
        <w:tc>
          <w:tcPr>
            <w:tcW w:w="636" w:type="dxa"/>
            <w:noWrap w:val="0"/>
            <w:vAlign w:val="top"/>
          </w:tcPr>
          <w:p w14:paraId="539597C1">
            <w:pPr>
              <w:pStyle w:val="92"/>
              <w:adjustRightInd w:val="0"/>
              <w:snapToGrid w:val="0"/>
              <w:spacing w:line="560" w:lineRule="exact"/>
              <w:rPr>
                <w:rFonts w:ascii="Times New Roman"/>
                <w:color w:val="auto"/>
                <w:sz w:val="20"/>
                <w:highlight w:val="none"/>
              </w:rPr>
            </w:pPr>
          </w:p>
        </w:tc>
        <w:tc>
          <w:tcPr>
            <w:tcW w:w="1685" w:type="dxa"/>
            <w:noWrap w:val="0"/>
            <w:vAlign w:val="top"/>
          </w:tcPr>
          <w:p w14:paraId="63C325CF">
            <w:pPr>
              <w:pStyle w:val="92"/>
              <w:adjustRightInd w:val="0"/>
              <w:snapToGrid w:val="0"/>
              <w:spacing w:line="560" w:lineRule="exact"/>
              <w:rPr>
                <w:rFonts w:ascii="Times New Roman"/>
                <w:color w:val="auto"/>
                <w:sz w:val="20"/>
                <w:highlight w:val="none"/>
              </w:rPr>
            </w:pPr>
          </w:p>
        </w:tc>
        <w:tc>
          <w:tcPr>
            <w:tcW w:w="794" w:type="dxa"/>
            <w:noWrap w:val="0"/>
            <w:vAlign w:val="top"/>
          </w:tcPr>
          <w:p w14:paraId="60AB122C">
            <w:pPr>
              <w:pStyle w:val="92"/>
              <w:adjustRightInd w:val="0"/>
              <w:snapToGrid w:val="0"/>
              <w:spacing w:line="560" w:lineRule="exact"/>
              <w:rPr>
                <w:rFonts w:ascii="Times New Roman"/>
                <w:color w:val="auto"/>
                <w:sz w:val="20"/>
                <w:highlight w:val="none"/>
              </w:rPr>
            </w:pPr>
          </w:p>
        </w:tc>
        <w:tc>
          <w:tcPr>
            <w:tcW w:w="794" w:type="dxa"/>
            <w:noWrap w:val="0"/>
            <w:vAlign w:val="top"/>
          </w:tcPr>
          <w:p w14:paraId="041247F8">
            <w:pPr>
              <w:pStyle w:val="92"/>
              <w:adjustRightInd w:val="0"/>
              <w:snapToGrid w:val="0"/>
              <w:spacing w:line="560" w:lineRule="exact"/>
              <w:rPr>
                <w:rFonts w:ascii="Times New Roman"/>
                <w:color w:val="auto"/>
                <w:sz w:val="20"/>
                <w:highlight w:val="none"/>
              </w:rPr>
            </w:pPr>
          </w:p>
        </w:tc>
        <w:tc>
          <w:tcPr>
            <w:tcW w:w="794" w:type="dxa"/>
            <w:noWrap w:val="0"/>
            <w:vAlign w:val="top"/>
          </w:tcPr>
          <w:p w14:paraId="52F0FB0B">
            <w:pPr>
              <w:pStyle w:val="92"/>
              <w:adjustRightInd w:val="0"/>
              <w:snapToGrid w:val="0"/>
              <w:spacing w:line="560" w:lineRule="exact"/>
              <w:rPr>
                <w:rFonts w:ascii="Times New Roman"/>
                <w:color w:val="auto"/>
                <w:sz w:val="20"/>
                <w:highlight w:val="none"/>
              </w:rPr>
            </w:pPr>
          </w:p>
        </w:tc>
        <w:tc>
          <w:tcPr>
            <w:tcW w:w="791" w:type="dxa"/>
            <w:noWrap w:val="0"/>
            <w:vAlign w:val="top"/>
          </w:tcPr>
          <w:p w14:paraId="0406862E">
            <w:pPr>
              <w:pStyle w:val="92"/>
              <w:adjustRightInd w:val="0"/>
              <w:snapToGrid w:val="0"/>
              <w:spacing w:line="560" w:lineRule="exact"/>
              <w:rPr>
                <w:rFonts w:ascii="Times New Roman"/>
                <w:color w:val="auto"/>
                <w:sz w:val="20"/>
                <w:highlight w:val="none"/>
              </w:rPr>
            </w:pPr>
          </w:p>
        </w:tc>
        <w:tc>
          <w:tcPr>
            <w:tcW w:w="635" w:type="dxa"/>
            <w:noWrap w:val="0"/>
            <w:vAlign w:val="top"/>
          </w:tcPr>
          <w:p w14:paraId="73582081">
            <w:pPr>
              <w:pStyle w:val="92"/>
              <w:adjustRightInd w:val="0"/>
              <w:snapToGrid w:val="0"/>
              <w:spacing w:line="560" w:lineRule="exact"/>
              <w:rPr>
                <w:rFonts w:ascii="Times New Roman"/>
                <w:color w:val="auto"/>
                <w:sz w:val="20"/>
                <w:highlight w:val="none"/>
              </w:rPr>
            </w:pPr>
          </w:p>
        </w:tc>
        <w:tc>
          <w:tcPr>
            <w:tcW w:w="1687" w:type="dxa"/>
            <w:noWrap w:val="0"/>
            <w:vAlign w:val="top"/>
          </w:tcPr>
          <w:p w14:paraId="5B120117">
            <w:pPr>
              <w:pStyle w:val="92"/>
              <w:adjustRightInd w:val="0"/>
              <w:snapToGrid w:val="0"/>
              <w:spacing w:line="560" w:lineRule="exact"/>
              <w:rPr>
                <w:rFonts w:ascii="Times New Roman"/>
                <w:color w:val="auto"/>
                <w:sz w:val="20"/>
                <w:highlight w:val="none"/>
              </w:rPr>
            </w:pPr>
          </w:p>
        </w:tc>
      </w:tr>
      <w:tr w14:paraId="5B72C7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6" w:hRule="atLeast"/>
        </w:trPr>
        <w:tc>
          <w:tcPr>
            <w:tcW w:w="636" w:type="dxa"/>
            <w:noWrap w:val="0"/>
            <w:vAlign w:val="top"/>
          </w:tcPr>
          <w:p w14:paraId="52D89462">
            <w:pPr>
              <w:pStyle w:val="92"/>
              <w:adjustRightInd w:val="0"/>
              <w:snapToGrid w:val="0"/>
              <w:spacing w:line="560" w:lineRule="exact"/>
              <w:rPr>
                <w:rFonts w:ascii="Times New Roman"/>
                <w:color w:val="auto"/>
                <w:sz w:val="20"/>
                <w:highlight w:val="none"/>
              </w:rPr>
            </w:pPr>
          </w:p>
        </w:tc>
        <w:tc>
          <w:tcPr>
            <w:tcW w:w="1685" w:type="dxa"/>
            <w:noWrap w:val="0"/>
            <w:vAlign w:val="top"/>
          </w:tcPr>
          <w:p w14:paraId="6BAE9515">
            <w:pPr>
              <w:pStyle w:val="92"/>
              <w:adjustRightInd w:val="0"/>
              <w:snapToGrid w:val="0"/>
              <w:spacing w:line="560" w:lineRule="exact"/>
              <w:rPr>
                <w:rFonts w:ascii="Times New Roman"/>
                <w:color w:val="auto"/>
                <w:sz w:val="20"/>
                <w:highlight w:val="none"/>
              </w:rPr>
            </w:pPr>
          </w:p>
        </w:tc>
        <w:tc>
          <w:tcPr>
            <w:tcW w:w="794" w:type="dxa"/>
            <w:noWrap w:val="0"/>
            <w:vAlign w:val="top"/>
          </w:tcPr>
          <w:p w14:paraId="06F83661">
            <w:pPr>
              <w:pStyle w:val="92"/>
              <w:adjustRightInd w:val="0"/>
              <w:snapToGrid w:val="0"/>
              <w:spacing w:line="560" w:lineRule="exact"/>
              <w:rPr>
                <w:rFonts w:ascii="Times New Roman"/>
                <w:color w:val="auto"/>
                <w:sz w:val="20"/>
                <w:highlight w:val="none"/>
              </w:rPr>
            </w:pPr>
          </w:p>
        </w:tc>
        <w:tc>
          <w:tcPr>
            <w:tcW w:w="794" w:type="dxa"/>
            <w:noWrap w:val="0"/>
            <w:vAlign w:val="top"/>
          </w:tcPr>
          <w:p w14:paraId="6361C7E6">
            <w:pPr>
              <w:pStyle w:val="92"/>
              <w:adjustRightInd w:val="0"/>
              <w:snapToGrid w:val="0"/>
              <w:spacing w:line="560" w:lineRule="exact"/>
              <w:rPr>
                <w:rFonts w:ascii="Times New Roman"/>
                <w:color w:val="auto"/>
                <w:sz w:val="20"/>
                <w:highlight w:val="none"/>
              </w:rPr>
            </w:pPr>
          </w:p>
        </w:tc>
        <w:tc>
          <w:tcPr>
            <w:tcW w:w="794" w:type="dxa"/>
            <w:noWrap w:val="0"/>
            <w:vAlign w:val="top"/>
          </w:tcPr>
          <w:p w14:paraId="2BB72B3A">
            <w:pPr>
              <w:pStyle w:val="92"/>
              <w:adjustRightInd w:val="0"/>
              <w:snapToGrid w:val="0"/>
              <w:spacing w:line="560" w:lineRule="exact"/>
              <w:rPr>
                <w:rFonts w:ascii="Times New Roman"/>
                <w:color w:val="auto"/>
                <w:sz w:val="20"/>
                <w:highlight w:val="none"/>
              </w:rPr>
            </w:pPr>
          </w:p>
        </w:tc>
        <w:tc>
          <w:tcPr>
            <w:tcW w:w="791" w:type="dxa"/>
            <w:noWrap w:val="0"/>
            <w:vAlign w:val="top"/>
          </w:tcPr>
          <w:p w14:paraId="3725CE9B">
            <w:pPr>
              <w:pStyle w:val="92"/>
              <w:adjustRightInd w:val="0"/>
              <w:snapToGrid w:val="0"/>
              <w:spacing w:line="560" w:lineRule="exact"/>
              <w:rPr>
                <w:rFonts w:ascii="Times New Roman"/>
                <w:color w:val="auto"/>
                <w:sz w:val="20"/>
                <w:highlight w:val="none"/>
              </w:rPr>
            </w:pPr>
          </w:p>
        </w:tc>
        <w:tc>
          <w:tcPr>
            <w:tcW w:w="635" w:type="dxa"/>
            <w:noWrap w:val="0"/>
            <w:vAlign w:val="top"/>
          </w:tcPr>
          <w:p w14:paraId="462C0652">
            <w:pPr>
              <w:pStyle w:val="92"/>
              <w:adjustRightInd w:val="0"/>
              <w:snapToGrid w:val="0"/>
              <w:spacing w:line="560" w:lineRule="exact"/>
              <w:rPr>
                <w:rFonts w:ascii="Times New Roman"/>
                <w:color w:val="auto"/>
                <w:sz w:val="20"/>
                <w:highlight w:val="none"/>
              </w:rPr>
            </w:pPr>
          </w:p>
        </w:tc>
        <w:tc>
          <w:tcPr>
            <w:tcW w:w="1687" w:type="dxa"/>
            <w:noWrap w:val="0"/>
            <w:vAlign w:val="top"/>
          </w:tcPr>
          <w:p w14:paraId="0CA7409F">
            <w:pPr>
              <w:pStyle w:val="92"/>
              <w:adjustRightInd w:val="0"/>
              <w:snapToGrid w:val="0"/>
              <w:spacing w:line="560" w:lineRule="exact"/>
              <w:rPr>
                <w:rFonts w:ascii="Times New Roman"/>
                <w:color w:val="auto"/>
                <w:sz w:val="20"/>
                <w:highlight w:val="none"/>
              </w:rPr>
            </w:pPr>
          </w:p>
        </w:tc>
      </w:tr>
      <w:tr w14:paraId="4BE9D9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6" w:hRule="atLeast"/>
        </w:trPr>
        <w:tc>
          <w:tcPr>
            <w:tcW w:w="636" w:type="dxa"/>
            <w:noWrap w:val="0"/>
            <w:vAlign w:val="top"/>
          </w:tcPr>
          <w:p w14:paraId="6221CACE">
            <w:pPr>
              <w:pStyle w:val="92"/>
              <w:adjustRightInd w:val="0"/>
              <w:snapToGrid w:val="0"/>
              <w:spacing w:line="560" w:lineRule="exact"/>
              <w:rPr>
                <w:rFonts w:ascii="Times New Roman"/>
                <w:color w:val="auto"/>
                <w:sz w:val="20"/>
                <w:highlight w:val="none"/>
              </w:rPr>
            </w:pPr>
          </w:p>
        </w:tc>
        <w:tc>
          <w:tcPr>
            <w:tcW w:w="1685" w:type="dxa"/>
            <w:noWrap w:val="0"/>
            <w:vAlign w:val="top"/>
          </w:tcPr>
          <w:p w14:paraId="21D7BF4C">
            <w:pPr>
              <w:pStyle w:val="92"/>
              <w:adjustRightInd w:val="0"/>
              <w:snapToGrid w:val="0"/>
              <w:spacing w:line="560" w:lineRule="exact"/>
              <w:rPr>
                <w:rFonts w:ascii="Times New Roman"/>
                <w:color w:val="auto"/>
                <w:sz w:val="20"/>
                <w:highlight w:val="none"/>
              </w:rPr>
            </w:pPr>
          </w:p>
        </w:tc>
        <w:tc>
          <w:tcPr>
            <w:tcW w:w="794" w:type="dxa"/>
            <w:noWrap w:val="0"/>
            <w:vAlign w:val="top"/>
          </w:tcPr>
          <w:p w14:paraId="212AD62E">
            <w:pPr>
              <w:pStyle w:val="92"/>
              <w:adjustRightInd w:val="0"/>
              <w:snapToGrid w:val="0"/>
              <w:spacing w:line="560" w:lineRule="exact"/>
              <w:rPr>
                <w:rFonts w:ascii="Times New Roman"/>
                <w:color w:val="auto"/>
                <w:sz w:val="20"/>
                <w:highlight w:val="none"/>
              </w:rPr>
            </w:pPr>
          </w:p>
        </w:tc>
        <w:tc>
          <w:tcPr>
            <w:tcW w:w="794" w:type="dxa"/>
            <w:noWrap w:val="0"/>
            <w:vAlign w:val="top"/>
          </w:tcPr>
          <w:p w14:paraId="4E2AF952">
            <w:pPr>
              <w:pStyle w:val="92"/>
              <w:adjustRightInd w:val="0"/>
              <w:snapToGrid w:val="0"/>
              <w:spacing w:line="560" w:lineRule="exact"/>
              <w:rPr>
                <w:rFonts w:ascii="Times New Roman"/>
                <w:color w:val="auto"/>
                <w:sz w:val="20"/>
                <w:highlight w:val="none"/>
              </w:rPr>
            </w:pPr>
          </w:p>
        </w:tc>
        <w:tc>
          <w:tcPr>
            <w:tcW w:w="794" w:type="dxa"/>
            <w:noWrap w:val="0"/>
            <w:vAlign w:val="top"/>
          </w:tcPr>
          <w:p w14:paraId="0BB4EA27">
            <w:pPr>
              <w:pStyle w:val="92"/>
              <w:adjustRightInd w:val="0"/>
              <w:snapToGrid w:val="0"/>
              <w:spacing w:line="560" w:lineRule="exact"/>
              <w:rPr>
                <w:rFonts w:ascii="Times New Roman"/>
                <w:color w:val="auto"/>
                <w:sz w:val="20"/>
                <w:highlight w:val="none"/>
              </w:rPr>
            </w:pPr>
          </w:p>
        </w:tc>
        <w:tc>
          <w:tcPr>
            <w:tcW w:w="791" w:type="dxa"/>
            <w:noWrap w:val="0"/>
            <w:vAlign w:val="top"/>
          </w:tcPr>
          <w:p w14:paraId="49781F36">
            <w:pPr>
              <w:pStyle w:val="92"/>
              <w:adjustRightInd w:val="0"/>
              <w:snapToGrid w:val="0"/>
              <w:spacing w:line="560" w:lineRule="exact"/>
              <w:rPr>
                <w:rFonts w:ascii="Times New Roman"/>
                <w:color w:val="auto"/>
                <w:sz w:val="20"/>
                <w:highlight w:val="none"/>
              </w:rPr>
            </w:pPr>
          </w:p>
        </w:tc>
        <w:tc>
          <w:tcPr>
            <w:tcW w:w="635" w:type="dxa"/>
            <w:noWrap w:val="0"/>
            <w:vAlign w:val="top"/>
          </w:tcPr>
          <w:p w14:paraId="2ECA2326">
            <w:pPr>
              <w:pStyle w:val="92"/>
              <w:adjustRightInd w:val="0"/>
              <w:snapToGrid w:val="0"/>
              <w:spacing w:line="560" w:lineRule="exact"/>
              <w:rPr>
                <w:rFonts w:ascii="Times New Roman"/>
                <w:color w:val="auto"/>
                <w:sz w:val="20"/>
                <w:highlight w:val="none"/>
              </w:rPr>
            </w:pPr>
          </w:p>
        </w:tc>
        <w:tc>
          <w:tcPr>
            <w:tcW w:w="1687" w:type="dxa"/>
            <w:noWrap w:val="0"/>
            <w:vAlign w:val="top"/>
          </w:tcPr>
          <w:p w14:paraId="228C9583">
            <w:pPr>
              <w:pStyle w:val="92"/>
              <w:adjustRightInd w:val="0"/>
              <w:snapToGrid w:val="0"/>
              <w:spacing w:line="560" w:lineRule="exact"/>
              <w:rPr>
                <w:rFonts w:ascii="Times New Roman"/>
                <w:color w:val="auto"/>
                <w:sz w:val="20"/>
                <w:highlight w:val="none"/>
              </w:rPr>
            </w:pPr>
          </w:p>
        </w:tc>
      </w:tr>
      <w:tr w14:paraId="169063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7" w:hRule="atLeast"/>
        </w:trPr>
        <w:tc>
          <w:tcPr>
            <w:tcW w:w="636" w:type="dxa"/>
            <w:noWrap w:val="0"/>
            <w:vAlign w:val="top"/>
          </w:tcPr>
          <w:p w14:paraId="796681DB">
            <w:pPr>
              <w:pStyle w:val="92"/>
              <w:adjustRightInd w:val="0"/>
              <w:snapToGrid w:val="0"/>
              <w:spacing w:line="560" w:lineRule="exact"/>
              <w:rPr>
                <w:rFonts w:ascii="Times New Roman"/>
                <w:color w:val="auto"/>
                <w:sz w:val="20"/>
                <w:highlight w:val="none"/>
              </w:rPr>
            </w:pPr>
          </w:p>
        </w:tc>
        <w:tc>
          <w:tcPr>
            <w:tcW w:w="1685" w:type="dxa"/>
            <w:noWrap w:val="0"/>
            <w:vAlign w:val="top"/>
          </w:tcPr>
          <w:p w14:paraId="35ED50B3">
            <w:pPr>
              <w:pStyle w:val="92"/>
              <w:adjustRightInd w:val="0"/>
              <w:snapToGrid w:val="0"/>
              <w:spacing w:line="560" w:lineRule="exact"/>
              <w:rPr>
                <w:rFonts w:ascii="Times New Roman"/>
                <w:color w:val="auto"/>
                <w:sz w:val="20"/>
                <w:highlight w:val="none"/>
              </w:rPr>
            </w:pPr>
          </w:p>
        </w:tc>
        <w:tc>
          <w:tcPr>
            <w:tcW w:w="794" w:type="dxa"/>
            <w:noWrap w:val="0"/>
            <w:vAlign w:val="top"/>
          </w:tcPr>
          <w:p w14:paraId="3F227FD6">
            <w:pPr>
              <w:pStyle w:val="92"/>
              <w:adjustRightInd w:val="0"/>
              <w:snapToGrid w:val="0"/>
              <w:spacing w:line="560" w:lineRule="exact"/>
              <w:rPr>
                <w:rFonts w:ascii="Times New Roman"/>
                <w:color w:val="auto"/>
                <w:sz w:val="20"/>
                <w:highlight w:val="none"/>
              </w:rPr>
            </w:pPr>
          </w:p>
        </w:tc>
        <w:tc>
          <w:tcPr>
            <w:tcW w:w="794" w:type="dxa"/>
            <w:noWrap w:val="0"/>
            <w:vAlign w:val="top"/>
          </w:tcPr>
          <w:p w14:paraId="5C23EB7D">
            <w:pPr>
              <w:pStyle w:val="92"/>
              <w:adjustRightInd w:val="0"/>
              <w:snapToGrid w:val="0"/>
              <w:spacing w:line="560" w:lineRule="exact"/>
              <w:rPr>
                <w:rFonts w:ascii="Times New Roman"/>
                <w:color w:val="auto"/>
                <w:sz w:val="20"/>
                <w:highlight w:val="none"/>
              </w:rPr>
            </w:pPr>
          </w:p>
        </w:tc>
        <w:tc>
          <w:tcPr>
            <w:tcW w:w="794" w:type="dxa"/>
            <w:noWrap w:val="0"/>
            <w:vAlign w:val="top"/>
          </w:tcPr>
          <w:p w14:paraId="1B2246EB">
            <w:pPr>
              <w:pStyle w:val="92"/>
              <w:adjustRightInd w:val="0"/>
              <w:snapToGrid w:val="0"/>
              <w:spacing w:line="560" w:lineRule="exact"/>
              <w:rPr>
                <w:rFonts w:ascii="Times New Roman"/>
                <w:color w:val="auto"/>
                <w:sz w:val="20"/>
                <w:highlight w:val="none"/>
              </w:rPr>
            </w:pPr>
          </w:p>
        </w:tc>
        <w:tc>
          <w:tcPr>
            <w:tcW w:w="791" w:type="dxa"/>
            <w:noWrap w:val="0"/>
            <w:vAlign w:val="top"/>
          </w:tcPr>
          <w:p w14:paraId="527CB48A">
            <w:pPr>
              <w:pStyle w:val="92"/>
              <w:adjustRightInd w:val="0"/>
              <w:snapToGrid w:val="0"/>
              <w:spacing w:line="560" w:lineRule="exact"/>
              <w:rPr>
                <w:rFonts w:ascii="Times New Roman"/>
                <w:color w:val="auto"/>
                <w:sz w:val="20"/>
                <w:highlight w:val="none"/>
              </w:rPr>
            </w:pPr>
          </w:p>
        </w:tc>
        <w:tc>
          <w:tcPr>
            <w:tcW w:w="635" w:type="dxa"/>
            <w:noWrap w:val="0"/>
            <w:vAlign w:val="top"/>
          </w:tcPr>
          <w:p w14:paraId="0E4A9E3B">
            <w:pPr>
              <w:pStyle w:val="92"/>
              <w:adjustRightInd w:val="0"/>
              <w:snapToGrid w:val="0"/>
              <w:spacing w:line="560" w:lineRule="exact"/>
              <w:rPr>
                <w:rFonts w:ascii="Times New Roman"/>
                <w:color w:val="auto"/>
                <w:sz w:val="20"/>
                <w:highlight w:val="none"/>
              </w:rPr>
            </w:pPr>
          </w:p>
        </w:tc>
        <w:tc>
          <w:tcPr>
            <w:tcW w:w="1687" w:type="dxa"/>
            <w:noWrap w:val="0"/>
            <w:vAlign w:val="top"/>
          </w:tcPr>
          <w:p w14:paraId="7B3FDE7F">
            <w:pPr>
              <w:pStyle w:val="92"/>
              <w:adjustRightInd w:val="0"/>
              <w:snapToGrid w:val="0"/>
              <w:spacing w:line="560" w:lineRule="exact"/>
              <w:rPr>
                <w:rFonts w:ascii="Times New Roman"/>
                <w:color w:val="auto"/>
                <w:sz w:val="20"/>
                <w:highlight w:val="none"/>
              </w:rPr>
            </w:pPr>
          </w:p>
        </w:tc>
      </w:tr>
      <w:tr w14:paraId="1AA06B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9" w:hRule="atLeast"/>
        </w:trPr>
        <w:tc>
          <w:tcPr>
            <w:tcW w:w="636" w:type="dxa"/>
            <w:noWrap w:val="0"/>
            <w:vAlign w:val="top"/>
          </w:tcPr>
          <w:p w14:paraId="06FC1091">
            <w:pPr>
              <w:pStyle w:val="92"/>
              <w:adjustRightInd w:val="0"/>
              <w:snapToGrid w:val="0"/>
              <w:spacing w:line="560" w:lineRule="exact"/>
              <w:rPr>
                <w:rFonts w:ascii="Times New Roman"/>
                <w:color w:val="auto"/>
                <w:sz w:val="20"/>
                <w:highlight w:val="none"/>
              </w:rPr>
            </w:pPr>
          </w:p>
        </w:tc>
        <w:tc>
          <w:tcPr>
            <w:tcW w:w="1685" w:type="dxa"/>
            <w:noWrap w:val="0"/>
            <w:vAlign w:val="top"/>
          </w:tcPr>
          <w:p w14:paraId="5102ACF2">
            <w:pPr>
              <w:pStyle w:val="92"/>
              <w:adjustRightInd w:val="0"/>
              <w:snapToGrid w:val="0"/>
              <w:spacing w:line="560" w:lineRule="exact"/>
              <w:rPr>
                <w:rFonts w:ascii="Times New Roman"/>
                <w:color w:val="auto"/>
                <w:sz w:val="20"/>
                <w:highlight w:val="none"/>
              </w:rPr>
            </w:pPr>
          </w:p>
        </w:tc>
        <w:tc>
          <w:tcPr>
            <w:tcW w:w="794" w:type="dxa"/>
            <w:noWrap w:val="0"/>
            <w:vAlign w:val="top"/>
          </w:tcPr>
          <w:p w14:paraId="260061E1">
            <w:pPr>
              <w:pStyle w:val="92"/>
              <w:adjustRightInd w:val="0"/>
              <w:snapToGrid w:val="0"/>
              <w:spacing w:line="560" w:lineRule="exact"/>
              <w:rPr>
                <w:rFonts w:ascii="Times New Roman"/>
                <w:color w:val="auto"/>
                <w:sz w:val="20"/>
                <w:highlight w:val="none"/>
              </w:rPr>
            </w:pPr>
          </w:p>
        </w:tc>
        <w:tc>
          <w:tcPr>
            <w:tcW w:w="794" w:type="dxa"/>
            <w:noWrap w:val="0"/>
            <w:vAlign w:val="top"/>
          </w:tcPr>
          <w:p w14:paraId="37D5F189">
            <w:pPr>
              <w:pStyle w:val="92"/>
              <w:adjustRightInd w:val="0"/>
              <w:snapToGrid w:val="0"/>
              <w:spacing w:line="560" w:lineRule="exact"/>
              <w:rPr>
                <w:rFonts w:ascii="Times New Roman"/>
                <w:color w:val="auto"/>
                <w:sz w:val="20"/>
                <w:highlight w:val="none"/>
              </w:rPr>
            </w:pPr>
          </w:p>
        </w:tc>
        <w:tc>
          <w:tcPr>
            <w:tcW w:w="794" w:type="dxa"/>
            <w:noWrap w:val="0"/>
            <w:vAlign w:val="top"/>
          </w:tcPr>
          <w:p w14:paraId="073F4513">
            <w:pPr>
              <w:pStyle w:val="92"/>
              <w:adjustRightInd w:val="0"/>
              <w:snapToGrid w:val="0"/>
              <w:spacing w:line="560" w:lineRule="exact"/>
              <w:rPr>
                <w:rFonts w:ascii="Times New Roman"/>
                <w:color w:val="auto"/>
                <w:sz w:val="20"/>
                <w:highlight w:val="none"/>
              </w:rPr>
            </w:pPr>
          </w:p>
        </w:tc>
        <w:tc>
          <w:tcPr>
            <w:tcW w:w="791" w:type="dxa"/>
            <w:noWrap w:val="0"/>
            <w:vAlign w:val="top"/>
          </w:tcPr>
          <w:p w14:paraId="4F7D408D">
            <w:pPr>
              <w:pStyle w:val="92"/>
              <w:adjustRightInd w:val="0"/>
              <w:snapToGrid w:val="0"/>
              <w:spacing w:line="560" w:lineRule="exact"/>
              <w:rPr>
                <w:rFonts w:ascii="Times New Roman"/>
                <w:color w:val="auto"/>
                <w:sz w:val="20"/>
                <w:highlight w:val="none"/>
              </w:rPr>
            </w:pPr>
          </w:p>
        </w:tc>
        <w:tc>
          <w:tcPr>
            <w:tcW w:w="635" w:type="dxa"/>
            <w:noWrap w:val="0"/>
            <w:vAlign w:val="top"/>
          </w:tcPr>
          <w:p w14:paraId="5B049883">
            <w:pPr>
              <w:pStyle w:val="92"/>
              <w:adjustRightInd w:val="0"/>
              <w:snapToGrid w:val="0"/>
              <w:spacing w:line="560" w:lineRule="exact"/>
              <w:rPr>
                <w:rFonts w:ascii="Times New Roman"/>
                <w:color w:val="auto"/>
                <w:sz w:val="20"/>
                <w:highlight w:val="none"/>
              </w:rPr>
            </w:pPr>
          </w:p>
        </w:tc>
        <w:tc>
          <w:tcPr>
            <w:tcW w:w="1687" w:type="dxa"/>
            <w:noWrap w:val="0"/>
            <w:vAlign w:val="top"/>
          </w:tcPr>
          <w:p w14:paraId="1BEB50A0">
            <w:pPr>
              <w:pStyle w:val="92"/>
              <w:adjustRightInd w:val="0"/>
              <w:snapToGrid w:val="0"/>
              <w:spacing w:line="560" w:lineRule="exact"/>
              <w:rPr>
                <w:rFonts w:ascii="Times New Roman"/>
                <w:color w:val="auto"/>
                <w:sz w:val="20"/>
                <w:highlight w:val="none"/>
              </w:rPr>
            </w:pPr>
          </w:p>
        </w:tc>
      </w:tr>
      <w:tr w14:paraId="512C50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6" w:hRule="atLeast"/>
        </w:trPr>
        <w:tc>
          <w:tcPr>
            <w:tcW w:w="636" w:type="dxa"/>
            <w:noWrap w:val="0"/>
            <w:vAlign w:val="top"/>
          </w:tcPr>
          <w:p w14:paraId="05AAD0CC">
            <w:pPr>
              <w:pStyle w:val="92"/>
              <w:adjustRightInd w:val="0"/>
              <w:snapToGrid w:val="0"/>
              <w:spacing w:line="560" w:lineRule="exact"/>
              <w:rPr>
                <w:rFonts w:ascii="Times New Roman"/>
                <w:color w:val="auto"/>
                <w:sz w:val="20"/>
                <w:highlight w:val="none"/>
              </w:rPr>
            </w:pPr>
          </w:p>
        </w:tc>
        <w:tc>
          <w:tcPr>
            <w:tcW w:w="1685" w:type="dxa"/>
            <w:noWrap w:val="0"/>
            <w:vAlign w:val="top"/>
          </w:tcPr>
          <w:p w14:paraId="2E74704A">
            <w:pPr>
              <w:pStyle w:val="92"/>
              <w:adjustRightInd w:val="0"/>
              <w:snapToGrid w:val="0"/>
              <w:spacing w:line="560" w:lineRule="exact"/>
              <w:rPr>
                <w:rFonts w:ascii="Times New Roman"/>
                <w:color w:val="auto"/>
                <w:sz w:val="20"/>
                <w:highlight w:val="none"/>
              </w:rPr>
            </w:pPr>
          </w:p>
        </w:tc>
        <w:tc>
          <w:tcPr>
            <w:tcW w:w="794" w:type="dxa"/>
            <w:noWrap w:val="0"/>
            <w:vAlign w:val="top"/>
          </w:tcPr>
          <w:p w14:paraId="358EC03C">
            <w:pPr>
              <w:pStyle w:val="92"/>
              <w:adjustRightInd w:val="0"/>
              <w:snapToGrid w:val="0"/>
              <w:spacing w:line="560" w:lineRule="exact"/>
              <w:rPr>
                <w:rFonts w:ascii="Times New Roman"/>
                <w:color w:val="auto"/>
                <w:sz w:val="20"/>
                <w:highlight w:val="none"/>
              </w:rPr>
            </w:pPr>
          </w:p>
        </w:tc>
        <w:tc>
          <w:tcPr>
            <w:tcW w:w="794" w:type="dxa"/>
            <w:noWrap w:val="0"/>
            <w:vAlign w:val="top"/>
          </w:tcPr>
          <w:p w14:paraId="05B422F1">
            <w:pPr>
              <w:pStyle w:val="92"/>
              <w:adjustRightInd w:val="0"/>
              <w:snapToGrid w:val="0"/>
              <w:spacing w:line="560" w:lineRule="exact"/>
              <w:rPr>
                <w:rFonts w:ascii="Times New Roman"/>
                <w:color w:val="auto"/>
                <w:sz w:val="20"/>
                <w:highlight w:val="none"/>
              </w:rPr>
            </w:pPr>
          </w:p>
        </w:tc>
        <w:tc>
          <w:tcPr>
            <w:tcW w:w="794" w:type="dxa"/>
            <w:noWrap w:val="0"/>
            <w:vAlign w:val="top"/>
          </w:tcPr>
          <w:p w14:paraId="7A897759">
            <w:pPr>
              <w:pStyle w:val="92"/>
              <w:adjustRightInd w:val="0"/>
              <w:snapToGrid w:val="0"/>
              <w:spacing w:line="560" w:lineRule="exact"/>
              <w:rPr>
                <w:rFonts w:ascii="Times New Roman"/>
                <w:color w:val="auto"/>
                <w:sz w:val="20"/>
                <w:highlight w:val="none"/>
              </w:rPr>
            </w:pPr>
          </w:p>
        </w:tc>
        <w:tc>
          <w:tcPr>
            <w:tcW w:w="791" w:type="dxa"/>
            <w:noWrap w:val="0"/>
            <w:vAlign w:val="top"/>
          </w:tcPr>
          <w:p w14:paraId="08473FFD">
            <w:pPr>
              <w:pStyle w:val="92"/>
              <w:adjustRightInd w:val="0"/>
              <w:snapToGrid w:val="0"/>
              <w:spacing w:line="560" w:lineRule="exact"/>
              <w:rPr>
                <w:rFonts w:ascii="Times New Roman"/>
                <w:color w:val="auto"/>
                <w:sz w:val="20"/>
                <w:highlight w:val="none"/>
              </w:rPr>
            </w:pPr>
          </w:p>
        </w:tc>
        <w:tc>
          <w:tcPr>
            <w:tcW w:w="635" w:type="dxa"/>
            <w:noWrap w:val="0"/>
            <w:vAlign w:val="top"/>
          </w:tcPr>
          <w:p w14:paraId="424FA13C">
            <w:pPr>
              <w:pStyle w:val="92"/>
              <w:adjustRightInd w:val="0"/>
              <w:snapToGrid w:val="0"/>
              <w:spacing w:line="560" w:lineRule="exact"/>
              <w:rPr>
                <w:rFonts w:ascii="Times New Roman"/>
                <w:color w:val="auto"/>
                <w:sz w:val="20"/>
                <w:highlight w:val="none"/>
              </w:rPr>
            </w:pPr>
          </w:p>
        </w:tc>
        <w:tc>
          <w:tcPr>
            <w:tcW w:w="1687" w:type="dxa"/>
            <w:noWrap w:val="0"/>
            <w:vAlign w:val="top"/>
          </w:tcPr>
          <w:p w14:paraId="54A2D2FC">
            <w:pPr>
              <w:pStyle w:val="92"/>
              <w:adjustRightInd w:val="0"/>
              <w:snapToGrid w:val="0"/>
              <w:spacing w:line="560" w:lineRule="exact"/>
              <w:rPr>
                <w:rFonts w:ascii="Times New Roman"/>
                <w:color w:val="auto"/>
                <w:sz w:val="20"/>
                <w:highlight w:val="none"/>
              </w:rPr>
            </w:pPr>
          </w:p>
        </w:tc>
      </w:tr>
      <w:tr w14:paraId="017E3B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6" w:hRule="atLeast"/>
        </w:trPr>
        <w:tc>
          <w:tcPr>
            <w:tcW w:w="636" w:type="dxa"/>
            <w:noWrap w:val="0"/>
            <w:vAlign w:val="top"/>
          </w:tcPr>
          <w:p w14:paraId="23DD3280">
            <w:pPr>
              <w:pStyle w:val="92"/>
              <w:adjustRightInd w:val="0"/>
              <w:snapToGrid w:val="0"/>
              <w:spacing w:line="560" w:lineRule="exact"/>
              <w:rPr>
                <w:rFonts w:ascii="Times New Roman"/>
                <w:color w:val="auto"/>
                <w:sz w:val="20"/>
                <w:highlight w:val="none"/>
              </w:rPr>
            </w:pPr>
          </w:p>
        </w:tc>
        <w:tc>
          <w:tcPr>
            <w:tcW w:w="1685" w:type="dxa"/>
            <w:noWrap w:val="0"/>
            <w:vAlign w:val="top"/>
          </w:tcPr>
          <w:p w14:paraId="4C35726C">
            <w:pPr>
              <w:pStyle w:val="92"/>
              <w:adjustRightInd w:val="0"/>
              <w:snapToGrid w:val="0"/>
              <w:spacing w:line="560" w:lineRule="exact"/>
              <w:rPr>
                <w:rFonts w:ascii="Times New Roman"/>
                <w:color w:val="auto"/>
                <w:sz w:val="20"/>
                <w:highlight w:val="none"/>
              </w:rPr>
            </w:pPr>
          </w:p>
        </w:tc>
        <w:tc>
          <w:tcPr>
            <w:tcW w:w="794" w:type="dxa"/>
            <w:noWrap w:val="0"/>
            <w:vAlign w:val="top"/>
          </w:tcPr>
          <w:p w14:paraId="4F96A2FE">
            <w:pPr>
              <w:pStyle w:val="92"/>
              <w:adjustRightInd w:val="0"/>
              <w:snapToGrid w:val="0"/>
              <w:spacing w:line="560" w:lineRule="exact"/>
              <w:rPr>
                <w:rFonts w:ascii="Times New Roman"/>
                <w:color w:val="auto"/>
                <w:sz w:val="20"/>
                <w:highlight w:val="none"/>
              </w:rPr>
            </w:pPr>
          </w:p>
        </w:tc>
        <w:tc>
          <w:tcPr>
            <w:tcW w:w="794" w:type="dxa"/>
            <w:noWrap w:val="0"/>
            <w:vAlign w:val="top"/>
          </w:tcPr>
          <w:p w14:paraId="2199013A">
            <w:pPr>
              <w:pStyle w:val="92"/>
              <w:adjustRightInd w:val="0"/>
              <w:snapToGrid w:val="0"/>
              <w:spacing w:line="560" w:lineRule="exact"/>
              <w:rPr>
                <w:rFonts w:ascii="Times New Roman"/>
                <w:color w:val="auto"/>
                <w:sz w:val="20"/>
                <w:highlight w:val="none"/>
              </w:rPr>
            </w:pPr>
          </w:p>
        </w:tc>
        <w:tc>
          <w:tcPr>
            <w:tcW w:w="794" w:type="dxa"/>
            <w:noWrap w:val="0"/>
            <w:vAlign w:val="top"/>
          </w:tcPr>
          <w:p w14:paraId="7F4D6ABA">
            <w:pPr>
              <w:pStyle w:val="92"/>
              <w:adjustRightInd w:val="0"/>
              <w:snapToGrid w:val="0"/>
              <w:spacing w:line="560" w:lineRule="exact"/>
              <w:rPr>
                <w:rFonts w:ascii="Times New Roman"/>
                <w:color w:val="auto"/>
                <w:sz w:val="20"/>
                <w:highlight w:val="none"/>
              </w:rPr>
            </w:pPr>
          </w:p>
        </w:tc>
        <w:tc>
          <w:tcPr>
            <w:tcW w:w="791" w:type="dxa"/>
            <w:noWrap w:val="0"/>
            <w:vAlign w:val="top"/>
          </w:tcPr>
          <w:p w14:paraId="2F07D055">
            <w:pPr>
              <w:pStyle w:val="92"/>
              <w:adjustRightInd w:val="0"/>
              <w:snapToGrid w:val="0"/>
              <w:spacing w:line="560" w:lineRule="exact"/>
              <w:rPr>
                <w:rFonts w:ascii="Times New Roman"/>
                <w:color w:val="auto"/>
                <w:sz w:val="20"/>
                <w:highlight w:val="none"/>
              </w:rPr>
            </w:pPr>
          </w:p>
        </w:tc>
        <w:tc>
          <w:tcPr>
            <w:tcW w:w="635" w:type="dxa"/>
            <w:noWrap w:val="0"/>
            <w:vAlign w:val="top"/>
          </w:tcPr>
          <w:p w14:paraId="29C0E36F">
            <w:pPr>
              <w:pStyle w:val="92"/>
              <w:adjustRightInd w:val="0"/>
              <w:snapToGrid w:val="0"/>
              <w:spacing w:line="560" w:lineRule="exact"/>
              <w:rPr>
                <w:rFonts w:ascii="Times New Roman"/>
                <w:color w:val="auto"/>
                <w:sz w:val="20"/>
                <w:highlight w:val="none"/>
              </w:rPr>
            </w:pPr>
          </w:p>
        </w:tc>
        <w:tc>
          <w:tcPr>
            <w:tcW w:w="1687" w:type="dxa"/>
            <w:noWrap w:val="0"/>
            <w:vAlign w:val="top"/>
          </w:tcPr>
          <w:p w14:paraId="0C4298AD">
            <w:pPr>
              <w:pStyle w:val="92"/>
              <w:adjustRightInd w:val="0"/>
              <w:snapToGrid w:val="0"/>
              <w:spacing w:line="560" w:lineRule="exact"/>
              <w:rPr>
                <w:rFonts w:ascii="Times New Roman"/>
                <w:color w:val="auto"/>
                <w:sz w:val="20"/>
                <w:highlight w:val="none"/>
              </w:rPr>
            </w:pPr>
          </w:p>
        </w:tc>
      </w:tr>
      <w:tr w14:paraId="2686B4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6" w:hRule="atLeast"/>
        </w:trPr>
        <w:tc>
          <w:tcPr>
            <w:tcW w:w="636" w:type="dxa"/>
            <w:noWrap w:val="0"/>
            <w:vAlign w:val="top"/>
          </w:tcPr>
          <w:p w14:paraId="3097E032">
            <w:pPr>
              <w:pStyle w:val="92"/>
              <w:adjustRightInd w:val="0"/>
              <w:snapToGrid w:val="0"/>
              <w:spacing w:line="560" w:lineRule="exact"/>
              <w:rPr>
                <w:rFonts w:ascii="Times New Roman"/>
                <w:color w:val="auto"/>
                <w:sz w:val="20"/>
                <w:highlight w:val="none"/>
              </w:rPr>
            </w:pPr>
          </w:p>
        </w:tc>
        <w:tc>
          <w:tcPr>
            <w:tcW w:w="1685" w:type="dxa"/>
            <w:noWrap w:val="0"/>
            <w:vAlign w:val="top"/>
          </w:tcPr>
          <w:p w14:paraId="61EDBEBB">
            <w:pPr>
              <w:pStyle w:val="92"/>
              <w:adjustRightInd w:val="0"/>
              <w:snapToGrid w:val="0"/>
              <w:spacing w:line="560" w:lineRule="exact"/>
              <w:rPr>
                <w:rFonts w:ascii="Times New Roman"/>
                <w:color w:val="auto"/>
                <w:sz w:val="20"/>
                <w:highlight w:val="none"/>
              </w:rPr>
            </w:pPr>
          </w:p>
        </w:tc>
        <w:tc>
          <w:tcPr>
            <w:tcW w:w="794" w:type="dxa"/>
            <w:noWrap w:val="0"/>
            <w:vAlign w:val="top"/>
          </w:tcPr>
          <w:p w14:paraId="1E1F49A4">
            <w:pPr>
              <w:pStyle w:val="92"/>
              <w:adjustRightInd w:val="0"/>
              <w:snapToGrid w:val="0"/>
              <w:spacing w:line="560" w:lineRule="exact"/>
              <w:rPr>
                <w:rFonts w:ascii="Times New Roman"/>
                <w:color w:val="auto"/>
                <w:sz w:val="20"/>
                <w:highlight w:val="none"/>
              </w:rPr>
            </w:pPr>
          </w:p>
        </w:tc>
        <w:tc>
          <w:tcPr>
            <w:tcW w:w="794" w:type="dxa"/>
            <w:noWrap w:val="0"/>
            <w:vAlign w:val="top"/>
          </w:tcPr>
          <w:p w14:paraId="44E7DB04">
            <w:pPr>
              <w:pStyle w:val="92"/>
              <w:adjustRightInd w:val="0"/>
              <w:snapToGrid w:val="0"/>
              <w:spacing w:line="560" w:lineRule="exact"/>
              <w:rPr>
                <w:rFonts w:ascii="Times New Roman"/>
                <w:color w:val="auto"/>
                <w:sz w:val="20"/>
                <w:highlight w:val="none"/>
              </w:rPr>
            </w:pPr>
          </w:p>
        </w:tc>
        <w:tc>
          <w:tcPr>
            <w:tcW w:w="794" w:type="dxa"/>
            <w:noWrap w:val="0"/>
            <w:vAlign w:val="top"/>
          </w:tcPr>
          <w:p w14:paraId="78CDFD47">
            <w:pPr>
              <w:pStyle w:val="92"/>
              <w:adjustRightInd w:val="0"/>
              <w:snapToGrid w:val="0"/>
              <w:spacing w:line="560" w:lineRule="exact"/>
              <w:rPr>
                <w:rFonts w:ascii="Times New Roman"/>
                <w:color w:val="auto"/>
                <w:sz w:val="20"/>
                <w:highlight w:val="none"/>
              </w:rPr>
            </w:pPr>
          </w:p>
        </w:tc>
        <w:tc>
          <w:tcPr>
            <w:tcW w:w="791" w:type="dxa"/>
            <w:noWrap w:val="0"/>
            <w:vAlign w:val="top"/>
          </w:tcPr>
          <w:p w14:paraId="4E9082C6">
            <w:pPr>
              <w:pStyle w:val="92"/>
              <w:adjustRightInd w:val="0"/>
              <w:snapToGrid w:val="0"/>
              <w:spacing w:line="560" w:lineRule="exact"/>
              <w:rPr>
                <w:rFonts w:ascii="Times New Roman"/>
                <w:color w:val="auto"/>
                <w:sz w:val="20"/>
                <w:highlight w:val="none"/>
              </w:rPr>
            </w:pPr>
          </w:p>
        </w:tc>
        <w:tc>
          <w:tcPr>
            <w:tcW w:w="635" w:type="dxa"/>
            <w:noWrap w:val="0"/>
            <w:vAlign w:val="top"/>
          </w:tcPr>
          <w:p w14:paraId="740933C9">
            <w:pPr>
              <w:pStyle w:val="92"/>
              <w:adjustRightInd w:val="0"/>
              <w:snapToGrid w:val="0"/>
              <w:spacing w:line="560" w:lineRule="exact"/>
              <w:rPr>
                <w:rFonts w:ascii="Times New Roman"/>
                <w:color w:val="auto"/>
                <w:sz w:val="20"/>
                <w:highlight w:val="none"/>
              </w:rPr>
            </w:pPr>
          </w:p>
        </w:tc>
        <w:tc>
          <w:tcPr>
            <w:tcW w:w="1687" w:type="dxa"/>
            <w:noWrap w:val="0"/>
            <w:vAlign w:val="top"/>
          </w:tcPr>
          <w:p w14:paraId="44F4D404">
            <w:pPr>
              <w:pStyle w:val="92"/>
              <w:adjustRightInd w:val="0"/>
              <w:snapToGrid w:val="0"/>
              <w:spacing w:line="560" w:lineRule="exact"/>
              <w:rPr>
                <w:rFonts w:ascii="Times New Roman"/>
                <w:color w:val="auto"/>
                <w:sz w:val="20"/>
                <w:highlight w:val="none"/>
              </w:rPr>
            </w:pPr>
          </w:p>
        </w:tc>
      </w:tr>
    </w:tbl>
    <w:p w14:paraId="7E7E706A">
      <w:pPr>
        <w:pStyle w:val="20"/>
        <w:adjustRightInd w:val="0"/>
        <w:snapToGrid w:val="0"/>
        <w:spacing w:after="0" w:line="560" w:lineRule="exact"/>
        <w:ind w:firstLine="420"/>
        <w:rPr>
          <w:color w:val="auto"/>
          <w:highlight w:val="none"/>
        </w:rPr>
      </w:pPr>
      <w:r>
        <w:rPr>
          <w:color w:val="auto"/>
          <w:highlight w:val="none"/>
        </w:rPr>
        <w:t>注：</w:t>
      </w:r>
      <w:r>
        <w:rPr>
          <w:rFonts w:hint="eastAsia"/>
          <w:color w:val="auto"/>
          <w:highlight w:val="none"/>
        </w:rPr>
        <w:t>1、</w:t>
      </w:r>
      <w:r>
        <w:rPr>
          <w:color w:val="auto"/>
          <w:highlight w:val="none"/>
        </w:rPr>
        <w:t>本表仅针对不采用招标人推荐品牌，采用其他品牌的投标人填写，并注明并提供相关技术参数、业绩等供评标委员会评审，未在上表中注明且未提供相关技术参数、业绩，或经评标委员会评审未通过的，中标后只能从招标人推荐品牌中进行选择，价格不予调整。</w:t>
      </w:r>
    </w:p>
    <w:p w14:paraId="5688DAFC">
      <w:pPr>
        <w:pStyle w:val="65"/>
        <w:numPr>
          <w:ilvl w:val="0"/>
          <w:numId w:val="4"/>
        </w:numPr>
        <w:tabs>
          <w:tab w:val="left" w:pos="1319"/>
        </w:tabs>
        <w:adjustRightInd w:val="0"/>
        <w:snapToGrid w:val="0"/>
        <w:spacing w:line="560" w:lineRule="exact"/>
        <w:ind w:left="0" w:firstLine="408" w:firstLineChars="200"/>
        <w:rPr>
          <w:rFonts w:hint="eastAsia"/>
          <w:color w:val="auto"/>
          <w:spacing w:val="-3"/>
          <w:highlight w:val="none"/>
        </w:rPr>
      </w:pPr>
      <w:r>
        <w:rPr>
          <w:color w:val="auto"/>
          <w:spacing w:val="-3"/>
          <w:highlight w:val="none"/>
        </w:rPr>
        <w:t>对于招标人推荐品牌的材料、设备等，投标人如认为招标人推荐的品牌有限定性、唯一性、明显不在同一档次等级的或者其他疑问的，应在本项目</w:t>
      </w:r>
      <w:r>
        <w:rPr>
          <w:rFonts w:hint="eastAsia"/>
          <w:color w:val="auto"/>
          <w:spacing w:val="-3"/>
          <w:highlight w:val="none"/>
        </w:rPr>
        <w:t>异议</w:t>
      </w:r>
      <w:r>
        <w:rPr>
          <w:color w:val="auto"/>
          <w:spacing w:val="-3"/>
          <w:highlight w:val="none"/>
        </w:rPr>
        <w:t>提出的截止时间前通过电子交易系统</w:t>
      </w:r>
      <w:r>
        <w:rPr>
          <w:rFonts w:hint="eastAsia"/>
          <w:color w:val="auto"/>
          <w:spacing w:val="-3"/>
          <w:highlight w:val="none"/>
        </w:rPr>
        <w:t>向招标人提出。</w:t>
      </w:r>
    </w:p>
    <w:p w14:paraId="29997E66">
      <w:pPr>
        <w:pStyle w:val="4"/>
        <w:adjustRightInd w:val="0"/>
        <w:snapToGrid w:val="0"/>
        <w:spacing w:before="0" w:after="0" w:line="560" w:lineRule="exact"/>
        <w:jc w:val="center"/>
        <w:rPr>
          <w:rFonts w:hint="eastAsia"/>
          <w:color w:val="auto"/>
          <w:spacing w:val="-3"/>
          <w:highlight w:val="none"/>
        </w:rPr>
        <w:sectPr>
          <w:headerReference r:id="rId10" w:type="default"/>
          <w:footerReference r:id="rId11" w:type="default"/>
          <w:pgSz w:w="11910" w:h="16840"/>
          <w:pgMar w:top="1060" w:right="660" w:bottom="1020" w:left="1120" w:header="0" w:footer="833" w:gutter="0"/>
          <w:pgNumType w:fmt="decimal"/>
          <w:cols w:space="720" w:num="1"/>
        </w:sectPr>
      </w:pPr>
      <w:bookmarkStart w:id="1006" w:name="_Toc28808"/>
      <w:r>
        <w:rPr>
          <w:rFonts w:hint="eastAsia"/>
          <w:color w:val="auto"/>
          <w:highlight w:val="none"/>
        </w:rPr>
        <w:t>（</w:t>
      </w:r>
      <w:r>
        <w:rPr>
          <w:rFonts w:hint="eastAsia"/>
          <w:color w:val="auto"/>
          <w:highlight w:val="none"/>
          <w:lang w:val="en-US" w:eastAsia="zh-CN"/>
        </w:rPr>
        <w:t>3</w:t>
      </w:r>
      <w:r>
        <w:rPr>
          <w:rFonts w:hint="eastAsia"/>
          <w:color w:val="auto"/>
          <w:highlight w:val="none"/>
        </w:rPr>
        <w:t>）详细评审所需其他材料（如有）</w:t>
      </w:r>
      <w:bookmarkEnd w:id="1006"/>
    </w:p>
    <w:p w14:paraId="172B3F58">
      <w:pPr>
        <w:pStyle w:val="44"/>
        <w:spacing w:beforeLines="50" w:afterLines="50" w:line="440" w:lineRule="exact"/>
        <w:jc w:val="center"/>
        <w:rPr>
          <w:bCs/>
          <w:color w:val="auto"/>
          <w:szCs w:val="32"/>
          <w:highlight w:val="none"/>
        </w:rPr>
      </w:pPr>
      <w:r>
        <w:rPr>
          <w:rFonts w:hint="eastAsia"/>
          <w:bCs/>
          <w:color w:val="auto"/>
          <w:szCs w:val="32"/>
          <w:highlight w:val="none"/>
        </w:rPr>
        <w:t>第</w:t>
      </w:r>
      <w:r>
        <w:rPr>
          <w:rFonts w:hint="eastAsia"/>
          <w:bCs/>
          <w:color w:val="auto"/>
          <w:szCs w:val="32"/>
          <w:highlight w:val="none"/>
          <w:lang w:val="en-US" w:eastAsia="zh-CN"/>
        </w:rPr>
        <w:t>十</w:t>
      </w:r>
      <w:r>
        <w:rPr>
          <w:rFonts w:hint="eastAsia"/>
          <w:bCs/>
          <w:color w:val="auto"/>
          <w:szCs w:val="32"/>
          <w:highlight w:val="none"/>
        </w:rPr>
        <w:t>章  招标单位、招标代理机构对本招标文件的确认</w:t>
      </w:r>
      <w:bookmarkEnd w:id="1003"/>
    </w:p>
    <w:p w14:paraId="7D391125">
      <w:pPr>
        <w:pStyle w:val="20"/>
        <w:rPr>
          <w:color w:val="auto"/>
          <w:highlight w:val="none"/>
        </w:rPr>
      </w:pPr>
    </w:p>
    <w:tbl>
      <w:tblPr>
        <w:tblStyle w:val="47"/>
        <w:tblW w:w="95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80"/>
      </w:tblGrid>
      <w:tr w14:paraId="28B5C4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4" w:hRule="atLeast"/>
          <w:jc w:val="center"/>
        </w:trPr>
        <w:tc>
          <w:tcPr>
            <w:tcW w:w="9580" w:type="dxa"/>
            <w:noWrap/>
          </w:tcPr>
          <w:p w14:paraId="3CB446EA">
            <w:pPr>
              <w:wordWrap w:val="0"/>
              <w:spacing w:line="560" w:lineRule="exact"/>
              <w:ind w:firstLine="560" w:firstLineChars="200"/>
              <w:rPr>
                <w:color w:val="auto"/>
                <w:sz w:val="28"/>
                <w:szCs w:val="28"/>
                <w:highlight w:val="none"/>
              </w:rPr>
            </w:pPr>
            <w:r>
              <w:rPr>
                <w:rFonts w:hint="eastAsia"/>
                <w:color w:val="auto"/>
                <w:sz w:val="28"/>
                <w:szCs w:val="28"/>
                <w:highlight w:val="none"/>
              </w:rPr>
              <w:t>我单位对</w:t>
            </w:r>
            <w:r>
              <w:rPr>
                <w:rFonts w:hint="eastAsia"/>
                <w:color w:val="auto"/>
                <w:sz w:val="28"/>
                <w:szCs w:val="28"/>
                <w:highlight w:val="none"/>
                <w:u w:val="single"/>
              </w:rPr>
              <w:t xml:space="preserve"> </w:t>
            </w:r>
            <w:r>
              <w:rPr>
                <w:rFonts w:hint="eastAsia"/>
                <w:color w:val="auto"/>
                <w:sz w:val="28"/>
                <w:szCs w:val="28"/>
                <w:highlight w:val="none"/>
                <w:u w:val="single"/>
                <w:lang w:eastAsia="zh-CN"/>
              </w:rPr>
              <w:t xml:space="preserve">琅琊区健康食品产业园（二期）屋顶分布式光伏发电项目 </w:t>
            </w:r>
            <w:r>
              <w:rPr>
                <w:rFonts w:hint="eastAsia"/>
                <w:color w:val="auto"/>
                <w:sz w:val="28"/>
                <w:szCs w:val="28"/>
                <w:highlight w:val="none"/>
              </w:rPr>
              <w:t>的招标文件进行确认。</w:t>
            </w:r>
          </w:p>
          <w:p w14:paraId="71A0CDF3">
            <w:pPr>
              <w:widowControl/>
              <w:spacing w:line="360" w:lineRule="auto"/>
              <w:ind w:firstLine="560" w:firstLineChars="200"/>
              <w:jc w:val="left"/>
              <w:rPr>
                <w:rFonts w:hint="eastAsia" w:ascii="宋体" w:hAnsi="宋体"/>
                <w:color w:val="auto"/>
                <w:sz w:val="28"/>
                <w:szCs w:val="28"/>
                <w:highlight w:val="none"/>
              </w:rPr>
            </w:pPr>
            <w:r>
              <w:rPr>
                <w:rFonts w:hint="eastAsia" w:ascii="宋体" w:hAnsi="宋体"/>
                <w:color w:val="auto"/>
                <w:sz w:val="28"/>
                <w:szCs w:val="28"/>
                <w:highlight w:val="none"/>
                <w:lang w:val="en-US" w:eastAsia="zh-CN"/>
              </w:rPr>
              <w:t>招标人</w:t>
            </w:r>
            <w:r>
              <w:rPr>
                <w:rFonts w:hint="eastAsia" w:ascii="宋体" w:hAnsi="宋体"/>
                <w:color w:val="auto"/>
                <w:sz w:val="28"/>
                <w:szCs w:val="28"/>
                <w:highlight w:val="none"/>
              </w:rPr>
              <w:t>：</w:t>
            </w:r>
            <w:r>
              <w:rPr>
                <w:rFonts w:hint="eastAsia" w:ascii="宋体" w:hAnsi="宋体"/>
                <w:color w:val="auto"/>
                <w:sz w:val="28"/>
                <w:szCs w:val="28"/>
                <w:highlight w:val="none"/>
                <w:lang w:eastAsia="zh-CN"/>
              </w:rPr>
              <w:t>安徽富邦建设工程有限公司</w:t>
            </w:r>
            <w:r>
              <w:rPr>
                <w:rFonts w:hint="eastAsia" w:ascii="宋体" w:hAnsi="宋体"/>
                <w:color w:val="auto"/>
                <w:sz w:val="28"/>
                <w:szCs w:val="28"/>
                <w:highlight w:val="none"/>
              </w:rPr>
              <w:t xml:space="preserve">  </w:t>
            </w:r>
          </w:p>
          <w:p w14:paraId="7E988D38">
            <w:pPr>
              <w:adjustRightInd w:val="0"/>
              <w:snapToGrid w:val="0"/>
              <w:spacing w:line="560" w:lineRule="exact"/>
              <w:ind w:firstLine="560" w:firstLineChars="200"/>
              <w:rPr>
                <w:rFonts w:hint="eastAsia" w:ascii="宋体" w:hAnsi="宋体" w:eastAsia="宋体" w:cs="Times New Roman"/>
                <w:color w:val="auto"/>
                <w:sz w:val="28"/>
                <w:szCs w:val="28"/>
                <w:highlight w:val="none"/>
              </w:rPr>
            </w:pPr>
            <w:r>
              <w:rPr>
                <w:rFonts w:hint="eastAsia" w:ascii="宋体" w:hAnsi="宋体" w:eastAsia="宋体" w:cs="Times New Roman"/>
                <w:color w:val="auto"/>
                <w:sz w:val="28"/>
                <w:szCs w:val="28"/>
                <w:highlight w:val="none"/>
              </w:rPr>
              <w:t>联 系 人</w:t>
            </w:r>
            <w:r>
              <w:rPr>
                <w:rFonts w:hint="eastAsia" w:ascii="宋体" w:hAnsi="宋体" w:cs="Times New Roman"/>
                <w:color w:val="auto"/>
                <w:sz w:val="28"/>
                <w:szCs w:val="28"/>
                <w:highlight w:val="none"/>
                <w:lang w:eastAsia="zh-CN"/>
              </w:rPr>
              <w:t>：</w:t>
            </w:r>
            <w:r>
              <w:rPr>
                <w:rFonts w:hint="eastAsia" w:ascii="宋体" w:hAnsi="宋体" w:cs="Times New Roman"/>
                <w:color w:val="auto"/>
                <w:sz w:val="28"/>
                <w:szCs w:val="28"/>
                <w:highlight w:val="none"/>
                <w:lang w:val="en-US" w:eastAsia="zh-CN"/>
              </w:rPr>
              <w:t>杨飞</w:t>
            </w:r>
            <w:r>
              <w:rPr>
                <w:rFonts w:hint="eastAsia" w:ascii="宋体" w:hAnsi="宋体" w:eastAsia="宋体" w:cs="Times New Roman"/>
                <w:color w:val="auto"/>
                <w:sz w:val="28"/>
                <w:szCs w:val="28"/>
                <w:highlight w:val="none"/>
              </w:rPr>
              <w:t xml:space="preserve"> </w:t>
            </w:r>
            <w:r>
              <w:rPr>
                <w:rFonts w:hint="eastAsia" w:ascii="宋体" w:hAnsi="宋体" w:eastAsia="宋体" w:cs="Times New Roman"/>
                <w:color w:val="auto"/>
                <w:sz w:val="28"/>
                <w:szCs w:val="28"/>
                <w:highlight w:val="none"/>
                <w:lang w:val="en-US" w:eastAsia="zh-CN"/>
              </w:rPr>
              <w:t xml:space="preserve"> </w:t>
            </w:r>
          </w:p>
          <w:p w14:paraId="3879E6FD">
            <w:pPr>
              <w:spacing w:line="560" w:lineRule="exact"/>
              <w:ind w:firstLine="560" w:firstLineChars="200"/>
              <w:rPr>
                <w:rFonts w:ascii="宋体" w:hAnsi="宋体"/>
                <w:color w:val="auto"/>
                <w:sz w:val="28"/>
                <w:szCs w:val="28"/>
                <w:highlight w:val="none"/>
              </w:rPr>
            </w:pPr>
            <w:r>
              <w:rPr>
                <w:rFonts w:hint="eastAsia" w:ascii="宋体" w:hAnsi="宋体" w:eastAsia="宋体" w:cs="宋体"/>
                <w:color w:val="auto"/>
                <w:sz w:val="28"/>
                <w:szCs w:val="28"/>
                <w:highlight w:val="none"/>
              </w:rPr>
              <w:t>联系电话：18656564307</w:t>
            </w:r>
            <w:r>
              <w:rPr>
                <w:rFonts w:hint="eastAsia" w:ascii="宋体" w:hAnsi="宋体"/>
                <w:color w:val="auto"/>
                <w:sz w:val="28"/>
                <w:szCs w:val="28"/>
                <w:highlight w:val="none"/>
              </w:rPr>
              <w:t xml:space="preserve">  </w:t>
            </w:r>
          </w:p>
          <w:p w14:paraId="6BD2A618">
            <w:pPr>
              <w:wordWrap w:val="0"/>
              <w:spacing w:line="560" w:lineRule="exact"/>
              <w:ind w:firstLine="5740" w:firstLineChars="2050"/>
              <w:rPr>
                <w:rFonts w:ascii="宋体" w:hAnsi="宋体"/>
                <w:color w:val="auto"/>
                <w:sz w:val="28"/>
                <w:szCs w:val="28"/>
                <w:highlight w:val="none"/>
              </w:rPr>
            </w:pPr>
            <w:r>
              <w:rPr>
                <w:rFonts w:hint="eastAsia" w:ascii="宋体" w:hAnsi="宋体"/>
                <w:color w:val="auto"/>
                <w:sz w:val="28"/>
                <w:szCs w:val="28"/>
                <w:highlight w:val="none"/>
              </w:rPr>
              <w:t>（单位盖章）</w:t>
            </w:r>
          </w:p>
          <w:p w14:paraId="72A7FF77">
            <w:pPr>
              <w:spacing w:line="560" w:lineRule="exact"/>
              <w:ind w:firstLine="5880" w:firstLineChars="2100"/>
              <w:rPr>
                <w:rFonts w:hint="eastAsia" w:eastAsia="宋体"/>
                <w:color w:val="auto"/>
                <w:highlight w:val="none"/>
                <w:lang w:val="en-US" w:eastAsia="zh-CN"/>
              </w:rPr>
            </w:pPr>
            <w:r>
              <w:rPr>
                <w:rFonts w:hint="eastAsia" w:ascii="宋体" w:hAnsi="宋体"/>
                <w:color w:val="auto"/>
                <w:sz w:val="28"/>
                <w:szCs w:val="28"/>
                <w:highlight w:val="none"/>
                <w:lang w:eastAsia="zh-CN"/>
              </w:rPr>
              <w:t>2026年9月</w:t>
            </w:r>
          </w:p>
        </w:tc>
      </w:tr>
      <w:tr w14:paraId="083C7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4" w:hRule="atLeast"/>
          <w:jc w:val="center"/>
        </w:trPr>
        <w:tc>
          <w:tcPr>
            <w:tcW w:w="9580" w:type="dxa"/>
            <w:noWrap/>
          </w:tcPr>
          <w:p w14:paraId="5EA9BECA">
            <w:pPr>
              <w:wordWrap w:val="0"/>
              <w:spacing w:line="560" w:lineRule="exact"/>
              <w:ind w:firstLine="560" w:firstLineChars="200"/>
              <w:rPr>
                <w:color w:val="auto"/>
                <w:sz w:val="28"/>
                <w:szCs w:val="28"/>
                <w:highlight w:val="none"/>
              </w:rPr>
            </w:pPr>
            <w:r>
              <w:rPr>
                <w:rFonts w:hint="eastAsia"/>
                <w:color w:val="auto"/>
                <w:sz w:val="28"/>
                <w:szCs w:val="28"/>
                <w:highlight w:val="none"/>
              </w:rPr>
              <w:t>我单位对</w:t>
            </w:r>
            <w:r>
              <w:rPr>
                <w:rFonts w:hint="eastAsia"/>
                <w:color w:val="auto"/>
                <w:sz w:val="28"/>
                <w:szCs w:val="28"/>
                <w:highlight w:val="none"/>
                <w:u w:val="single"/>
              </w:rPr>
              <w:t xml:space="preserve"> </w:t>
            </w:r>
            <w:r>
              <w:rPr>
                <w:rFonts w:hint="eastAsia"/>
                <w:color w:val="auto"/>
                <w:sz w:val="28"/>
                <w:szCs w:val="28"/>
                <w:highlight w:val="none"/>
                <w:u w:val="single"/>
                <w:lang w:eastAsia="zh-CN"/>
              </w:rPr>
              <w:t xml:space="preserve">琅琊区健康食品产业园（二期）屋顶分布式光伏发电项目 </w:t>
            </w:r>
            <w:r>
              <w:rPr>
                <w:rFonts w:hint="eastAsia"/>
                <w:color w:val="auto"/>
                <w:sz w:val="28"/>
                <w:szCs w:val="28"/>
                <w:highlight w:val="none"/>
              </w:rPr>
              <w:t>的招标文件进行确认。</w:t>
            </w:r>
          </w:p>
          <w:p w14:paraId="1486D5DC">
            <w:pPr>
              <w:keepNext w:val="0"/>
              <w:keepLines w:val="0"/>
              <w:pageBreakBefore w:val="0"/>
              <w:widowControl w:val="0"/>
              <w:suppressLineNumbers w:val="0"/>
              <w:shd w:val="clear" w:color="auto" w:fill="FFFFFF"/>
              <w:kinsoku/>
              <w:wordWrap/>
              <w:overflowPunct/>
              <w:topLinePunct w:val="0"/>
              <w:autoSpaceDE/>
              <w:autoSpaceDN/>
              <w:bidi w:val="0"/>
              <w:adjustRightInd/>
              <w:snapToGrid/>
              <w:spacing w:before="0" w:beforeAutospacing="0" w:after="0" w:afterAutospacing="0" w:line="560" w:lineRule="exact"/>
              <w:ind w:left="0" w:right="0" w:firstLine="560" w:firstLineChars="200"/>
              <w:textAlignment w:val="auto"/>
              <w:rPr>
                <w:rFonts w:hint="eastAsia"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lang w:val="en-US" w:eastAsia="zh-CN"/>
              </w:rPr>
              <w:t>建设单位</w:t>
            </w:r>
            <w:r>
              <w:rPr>
                <w:rFonts w:hint="eastAsia" w:ascii="宋体" w:hAnsi="宋体" w:eastAsia="宋体" w:cs="宋体"/>
                <w:color w:val="auto"/>
                <w:sz w:val="28"/>
                <w:szCs w:val="28"/>
                <w:highlight w:val="none"/>
              </w:rPr>
              <w:t xml:space="preserve">：滁州市琅琊区国控发展集团有限公司   </w:t>
            </w:r>
            <w:r>
              <w:rPr>
                <w:rFonts w:hint="eastAsia" w:ascii="宋体" w:hAnsi="宋体" w:eastAsia="宋体" w:cs="宋体"/>
                <w:color w:val="auto"/>
                <w:sz w:val="28"/>
                <w:szCs w:val="28"/>
                <w:highlight w:val="none"/>
                <w:lang w:val="en-US" w:eastAsia="zh-CN"/>
              </w:rPr>
              <w:t xml:space="preserve"> </w:t>
            </w:r>
          </w:p>
          <w:p w14:paraId="361A5F62">
            <w:pPr>
              <w:keepNext w:val="0"/>
              <w:keepLines w:val="0"/>
              <w:pageBreakBefore w:val="0"/>
              <w:widowControl w:val="0"/>
              <w:suppressLineNumbers w:val="0"/>
              <w:shd w:val="clear" w:color="auto" w:fill="FFFFFF"/>
              <w:kinsoku/>
              <w:wordWrap/>
              <w:overflowPunct/>
              <w:topLinePunct w:val="0"/>
              <w:autoSpaceDE/>
              <w:autoSpaceDN/>
              <w:bidi w:val="0"/>
              <w:adjustRightInd/>
              <w:snapToGrid/>
              <w:spacing w:before="0" w:beforeAutospacing="0" w:after="0" w:afterAutospacing="0" w:line="560" w:lineRule="exact"/>
              <w:ind w:left="0" w:right="0" w:firstLine="560" w:firstLineChars="200"/>
              <w:textAlignment w:val="auto"/>
              <w:rPr>
                <w:rFonts w:hint="default"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rPr>
              <w:t>联系人：</w:t>
            </w:r>
            <w:r>
              <w:rPr>
                <w:rFonts w:hint="eastAsia" w:ascii="宋体" w:hAnsi="宋体" w:eastAsia="宋体" w:cs="宋体"/>
                <w:color w:val="auto"/>
                <w:sz w:val="28"/>
                <w:szCs w:val="28"/>
                <w:highlight w:val="none"/>
                <w:lang w:eastAsia="zh-CN"/>
              </w:rPr>
              <w:t>黎天畅</w:t>
            </w:r>
          </w:p>
          <w:p w14:paraId="116B6959">
            <w:pPr>
              <w:keepNext w:val="0"/>
              <w:keepLines w:val="0"/>
              <w:pageBreakBefore w:val="0"/>
              <w:widowControl w:val="0"/>
              <w:suppressLineNumbers w:val="0"/>
              <w:shd w:val="clear" w:color="auto" w:fill="FFFFFF"/>
              <w:kinsoku/>
              <w:wordWrap/>
              <w:overflowPunct/>
              <w:topLinePunct w:val="0"/>
              <w:autoSpaceDE/>
              <w:autoSpaceDN/>
              <w:bidi w:val="0"/>
              <w:adjustRightInd/>
              <w:snapToGrid/>
              <w:spacing w:before="0" w:beforeAutospacing="0" w:after="0" w:afterAutospacing="0" w:line="560" w:lineRule="exact"/>
              <w:ind w:left="0" w:right="0" w:firstLine="560" w:firstLineChars="200"/>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rPr>
              <w:t>联系电话：</w:t>
            </w:r>
            <w:r>
              <w:rPr>
                <w:rFonts w:hint="eastAsia" w:ascii="宋体" w:hAnsi="宋体" w:eastAsia="宋体" w:cs="宋体"/>
                <w:color w:val="auto"/>
                <w:sz w:val="28"/>
                <w:szCs w:val="28"/>
                <w:highlight w:val="none"/>
                <w:lang w:eastAsia="zh-CN"/>
              </w:rPr>
              <w:t>0550-3318150</w:t>
            </w:r>
            <w:r>
              <w:rPr>
                <w:rFonts w:hint="eastAsia" w:ascii="宋体" w:hAnsi="宋体" w:eastAsia="宋体" w:cs="宋体"/>
                <w:color w:val="auto"/>
                <w:sz w:val="28"/>
                <w:szCs w:val="28"/>
                <w:highlight w:val="none"/>
                <w:lang w:val="en-US" w:eastAsia="zh-CN"/>
              </w:rPr>
              <w:t xml:space="preserve"> </w:t>
            </w:r>
          </w:p>
          <w:p w14:paraId="38006650">
            <w:pPr>
              <w:wordWrap w:val="0"/>
              <w:spacing w:line="560" w:lineRule="exact"/>
              <w:ind w:firstLine="5740" w:firstLineChars="2050"/>
              <w:rPr>
                <w:rFonts w:ascii="宋体" w:hAnsi="宋体"/>
                <w:color w:val="auto"/>
                <w:sz w:val="28"/>
                <w:szCs w:val="28"/>
                <w:highlight w:val="none"/>
              </w:rPr>
            </w:pPr>
            <w:r>
              <w:rPr>
                <w:rFonts w:hint="eastAsia" w:ascii="宋体" w:hAnsi="宋体"/>
                <w:color w:val="auto"/>
                <w:sz w:val="28"/>
                <w:szCs w:val="28"/>
                <w:highlight w:val="none"/>
              </w:rPr>
              <w:t>（单位盖章）</w:t>
            </w:r>
          </w:p>
          <w:p w14:paraId="625F7273">
            <w:pPr>
              <w:spacing w:line="560" w:lineRule="exact"/>
              <w:ind w:firstLine="5880" w:firstLineChars="2100"/>
              <w:rPr>
                <w:color w:val="auto"/>
                <w:highlight w:val="none"/>
              </w:rPr>
            </w:pPr>
            <w:r>
              <w:rPr>
                <w:rFonts w:hint="eastAsia" w:ascii="宋体" w:hAnsi="宋体"/>
                <w:color w:val="auto"/>
                <w:sz w:val="28"/>
                <w:szCs w:val="28"/>
                <w:highlight w:val="none"/>
                <w:lang w:eastAsia="zh-CN"/>
              </w:rPr>
              <w:t>2026年9月</w:t>
            </w:r>
          </w:p>
        </w:tc>
      </w:tr>
      <w:tr w14:paraId="05F32D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4" w:hRule="atLeast"/>
          <w:jc w:val="center"/>
        </w:trPr>
        <w:tc>
          <w:tcPr>
            <w:tcW w:w="9580" w:type="dxa"/>
            <w:noWrap/>
          </w:tcPr>
          <w:p w14:paraId="5C77C1DB">
            <w:pPr>
              <w:wordWrap w:val="0"/>
              <w:spacing w:line="560" w:lineRule="exact"/>
              <w:ind w:firstLine="560" w:firstLineChars="200"/>
              <w:rPr>
                <w:rFonts w:ascii="宋体" w:hAnsi="宋体" w:cs="宋体"/>
                <w:color w:val="auto"/>
                <w:sz w:val="28"/>
                <w:szCs w:val="28"/>
                <w:highlight w:val="none"/>
              </w:rPr>
            </w:pPr>
            <w:r>
              <w:rPr>
                <w:rFonts w:hint="eastAsia"/>
                <w:color w:val="auto"/>
                <w:sz w:val="28"/>
                <w:szCs w:val="28"/>
                <w:highlight w:val="none"/>
              </w:rPr>
              <w:t>我单位对</w:t>
            </w:r>
            <w:r>
              <w:rPr>
                <w:rFonts w:hint="eastAsia"/>
                <w:color w:val="auto"/>
                <w:sz w:val="28"/>
                <w:szCs w:val="28"/>
                <w:highlight w:val="none"/>
                <w:u w:val="single"/>
              </w:rPr>
              <w:t xml:space="preserve"> </w:t>
            </w:r>
            <w:r>
              <w:rPr>
                <w:rFonts w:hint="eastAsia"/>
                <w:color w:val="auto"/>
                <w:sz w:val="28"/>
                <w:szCs w:val="28"/>
                <w:highlight w:val="none"/>
                <w:u w:val="single"/>
                <w:lang w:eastAsia="zh-CN"/>
              </w:rPr>
              <w:t xml:space="preserve">琅琊区健康食品产业园（二期）屋顶分布式光伏发电项目 </w:t>
            </w:r>
            <w:r>
              <w:rPr>
                <w:rFonts w:hint="eastAsia"/>
                <w:color w:val="auto"/>
                <w:sz w:val="28"/>
                <w:szCs w:val="28"/>
                <w:highlight w:val="none"/>
              </w:rPr>
              <w:t>的招标文件进行确认。</w:t>
            </w:r>
          </w:p>
          <w:p w14:paraId="297A006E">
            <w:pPr>
              <w:spacing w:line="560" w:lineRule="exact"/>
              <w:ind w:firstLine="560" w:firstLineChars="200"/>
              <w:rPr>
                <w:rFonts w:ascii="宋体" w:hAnsi="宋体" w:cs="宋体"/>
                <w:color w:val="auto"/>
                <w:sz w:val="28"/>
                <w:szCs w:val="28"/>
                <w:highlight w:val="none"/>
                <w:u w:val="single"/>
              </w:rPr>
            </w:pPr>
            <w:r>
              <w:rPr>
                <w:rFonts w:hint="eastAsia" w:ascii="宋体" w:hAnsi="宋体" w:cs="宋体"/>
                <w:color w:val="auto"/>
                <w:sz w:val="28"/>
                <w:szCs w:val="28"/>
                <w:highlight w:val="none"/>
              </w:rPr>
              <w:t>招标代理机构：</w:t>
            </w:r>
            <w:r>
              <w:rPr>
                <w:rFonts w:hint="eastAsia"/>
                <w:color w:val="auto"/>
                <w:sz w:val="28"/>
                <w:szCs w:val="28"/>
                <w:highlight w:val="none"/>
              </w:rPr>
              <w:t>滁州市城投工程咨询管理有限公司</w:t>
            </w:r>
          </w:p>
          <w:p w14:paraId="04195C3D">
            <w:pPr>
              <w:spacing w:line="560" w:lineRule="exact"/>
              <w:ind w:firstLine="560" w:firstLineChars="200"/>
              <w:rPr>
                <w:rFonts w:hint="default" w:ascii="宋体" w:hAnsi="宋体" w:eastAsia="宋体" w:cs="宋体"/>
                <w:color w:val="auto"/>
                <w:sz w:val="28"/>
                <w:szCs w:val="28"/>
                <w:highlight w:val="none"/>
                <w:u w:val="single"/>
                <w:lang w:val="en-US" w:eastAsia="zh-CN"/>
              </w:rPr>
            </w:pPr>
            <w:r>
              <w:rPr>
                <w:rFonts w:hint="eastAsia" w:ascii="宋体" w:hAnsi="宋体" w:cs="宋体"/>
                <w:color w:val="auto"/>
                <w:sz w:val="28"/>
                <w:szCs w:val="28"/>
                <w:highlight w:val="none"/>
              </w:rPr>
              <w:t>联 系 人：</w:t>
            </w:r>
            <w:r>
              <w:rPr>
                <w:rFonts w:hint="eastAsia" w:ascii="宋体" w:hAnsi="宋体" w:cs="宋体"/>
                <w:color w:val="auto"/>
                <w:sz w:val="28"/>
                <w:szCs w:val="28"/>
                <w:highlight w:val="none"/>
                <w:lang w:val="en-US" w:eastAsia="zh-CN"/>
              </w:rPr>
              <w:t>周晓培</w:t>
            </w:r>
          </w:p>
          <w:p w14:paraId="47E8E678">
            <w:pPr>
              <w:spacing w:line="560" w:lineRule="exact"/>
              <w:ind w:firstLine="560" w:firstLineChars="200"/>
              <w:rPr>
                <w:rFonts w:hint="eastAsia" w:ascii="宋体" w:hAnsi="宋体" w:eastAsia="宋体" w:cs="宋体"/>
                <w:color w:val="auto"/>
                <w:sz w:val="28"/>
                <w:szCs w:val="28"/>
                <w:highlight w:val="none"/>
                <w:lang w:val="en-US" w:eastAsia="zh-CN"/>
              </w:rPr>
            </w:pPr>
            <w:r>
              <w:rPr>
                <w:rFonts w:hint="eastAsia" w:ascii="宋体" w:hAnsi="宋体" w:cs="宋体"/>
                <w:color w:val="auto"/>
                <w:sz w:val="28"/>
                <w:szCs w:val="28"/>
                <w:highlight w:val="none"/>
              </w:rPr>
              <w:t>联系电话：</w:t>
            </w:r>
            <w:r>
              <w:rPr>
                <w:rFonts w:hint="eastAsia" w:ascii="宋体" w:hAnsi="宋体" w:cs="宋体"/>
                <w:color w:val="auto"/>
                <w:sz w:val="28"/>
                <w:szCs w:val="28"/>
                <w:highlight w:val="none"/>
                <w:lang w:eastAsia="zh-CN"/>
              </w:rPr>
              <w:t>0550-3519512</w:t>
            </w:r>
            <w:r>
              <w:rPr>
                <w:rFonts w:hint="eastAsia" w:ascii="宋体" w:hAnsi="宋体" w:cs="宋体"/>
                <w:color w:val="auto"/>
                <w:sz w:val="28"/>
                <w:szCs w:val="28"/>
                <w:highlight w:val="none"/>
              </w:rPr>
              <w:t>、</w:t>
            </w:r>
            <w:r>
              <w:rPr>
                <w:rFonts w:hint="eastAsia" w:ascii="宋体" w:hAnsi="宋体" w:cs="宋体"/>
                <w:color w:val="auto"/>
                <w:sz w:val="28"/>
                <w:szCs w:val="28"/>
                <w:highlight w:val="none"/>
                <w:lang w:eastAsia="zh-CN"/>
              </w:rPr>
              <w:t>18255055896</w:t>
            </w:r>
          </w:p>
          <w:p w14:paraId="0A1FE158">
            <w:pPr>
              <w:spacing w:line="560" w:lineRule="exact"/>
              <w:ind w:firstLine="5880" w:firstLineChars="2100"/>
              <w:rPr>
                <w:rFonts w:ascii="宋体" w:hAnsi="宋体" w:cs="宋体"/>
                <w:color w:val="auto"/>
                <w:sz w:val="28"/>
                <w:szCs w:val="28"/>
                <w:highlight w:val="none"/>
              </w:rPr>
            </w:pPr>
            <w:r>
              <w:rPr>
                <w:rFonts w:hint="eastAsia" w:ascii="宋体" w:hAnsi="宋体" w:cs="宋体"/>
                <w:color w:val="auto"/>
                <w:sz w:val="28"/>
                <w:szCs w:val="28"/>
                <w:highlight w:val="none"/>
              </w:rPr>
              <w:t>（单位盖章）</w:t>
            </w:r>
          </w:p>
          <w:p w14:paraId="4EDF8AEB">
            <w:pPr>
              <w:spacing w:line="560" w:lineRule="exact"/>
              <w:ind w:firstLine="6020" w:firstLineChars="2150"/>
              <w:rPr>
                <w:color w:val="auto"/>
                <w:highlight w:val="none"/>
              </w:rPr>
            </w:pPr>
            <w:r>
              <w:rPr>
                <w:rFonts w:hint="eastAsia" w:ascii="宋体" w:hAnsi="宋体"/>
                <w:color w:val="auto"/>
                <w:sz w:val="28"/>
                <w:szCs w:val="28"/>
                <w:highlight w:val="none"/>
                <w:lang w:eastAsia="zh-CN"/>
              </w:rPr>
              <w:t>2026年9月</w:t>
            </w:r>
          </w:p>
        </w:tc>
      </w:tr>
    </w:tbl>
    <w:p w14:paraId="7121168B">
      <w:pPr>
        <w:rPr>
          <w:color w:val="auto"/>
          <w:highlight w:val="none"/>
        </w:rPr>
      </w:pPr>
    </w:p>
    <w:sectPr>
      <w:headerReference r:id="rId12" w:type="default"/>
      <w:footerReference r:id="rId13" w:type="default"/>
      <w:pgSz w:w="11906" w:h="16838"/>
      <w:pgMar w:top="1134" w:right="1417" w:bottom="1134" w:left="1417"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4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onospace">
    <w:altName w:val="Segoe Print"/>
    <w:panose1 w:val="00000000000000000000"/>
    <w:charset w:val="0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华文细黑">
    <w:altName w:val="微软雅黑"/>
    <w:panose1 w:val="02010600040101010101"/>
    <w:charset w:val="86"/>
    <w:family w:val="auto"/>
    <w:pitch w:val="default"/>
    <w:sig w:usb0="00000000" w:usb1="00000000" w:usb2="00000000" w:usb3="00000000" w:csb0="0004009F" w:csb1="DFD70000"/>
  </w:font>
  <w:font w:name="微软雅黑">
    <w:panose1 w:val="020B0503020204020204"/>
    <w:charset w:val="86"/>
    <w:family w:val="auto"/>
    <w:pitch w:val="default"/>
    <w:sig w:usb0="80000287" w:usb1="2ACF3C50" w:usb2="00000016" w:usb3="00000000" w:csb0="0004001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76502F">
    <w:pPr>
      <w:pStyle w:val="29"/>
      <w:ind w:right="360"/>
      <w:rPr>
        <w:rStyle w:val="51"/>
      </w:rPr>
    </w:pPr>
  </w:p>
  <w:p w14:paraId="4BC38D96">
    <w:pPr>
      <w:pStyle w:val="29"/>
      <w:framePr w:wrap="around" w:vAnchor="text" w:hAnchor="margin" w:xAlign="center" w:y="1"/>
      <w:ind w:right="360"/>
      <w:rPr>
        <w:rStyle w:val="51"/>
      </w:rPr>
    </w:pPr>
  </w:p>
  <w:p w14:paraId="52FEEEA9">
    <w:pPr>
      <w:pStyle w:val="2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E7D707">
    <w:pPr>
      <w:pStyle w:val="29"/>
      <w:framePr w:wrap="around" w:vAnchor="text" w:hAnchor="margin" w:xAlign="center" w:y="1"/>
      <w:rPr>
        <w:rStyle w:val="51"/>
      </w:rPr>
    </w:pPr>
    <w:r>
      <w:fldChar w:fldCharType="begin"/>
    </w:r>
    <w:r>
      <w:rPr>
        <w:rStyle w:val="51"/>
      </w:rPr>
      <w:instrText xml:space="preserve">PAGE  </w:instrText>
    </w:r>
    <w:r>
      <w:fldChar w:fldCharType="separate"/>
    </w:r>
    <w:r>
      <w:rPr>
        <w:rStyle w:val="51"/>
      </w:rPr>
      <w:t>6</w:t>
    </w:r>
    <w:r>
      <w:fldChar w:fldCharType="end"/>
    </w:r>
  </w:p>
  <w:p w14:paraId="56EAFB20">
    <w:pPr>
      <w:pStyle w:val="29"/>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808C72">
    <w:pPr>
      <w:pStyle w:val="29"/>
      <w:rPr>
        <w:rStyle w:val="51"/>
      </w:rPr>
    </w:pPr>
  </w:p>
  <w:p w14:paraId="78B0040E">
    <w:pPr>
      <w:pStyle w:val="29"/>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56B4D4">
    <w:pPr>
      <w:pStyle w:val="29"/>
      <w:rPr>
        <w:rStyle w:val="51"/>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3E71C97">
                          <w:pPr>
                            <w:pStyle w:val="2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33E71C97">
                    <w:pPr>
                      <w:pStyle w:val="29"/>
                    </w:pPr>
                    <w:r>
                      <w:fldChar w:fldCharType="begin"/>
                    </w:r>
                    <w:r>
                      <w:instrText xml:space="preserve"> PAGE  \* MERGEFORMAT </w:instrText>
                    </w:r>
                    <w:r>
                      <w:fldChar w:fldCharType="separate"/>
                    </w:r>
                    <w:r>
                      <w:t>1</w:t>
                    </w:r>
                    <w:r>
                      <w:fldChar w:fldCharType="end"/>
                    </w:r>
                  </w:p>
                </w:txbxContent>
              </v:textbox>
            </v:shape>
          </w:pict>
        </mc:Fallback>
      </mc:AlternateContent>
    </w:r>
  </w:p>
  <w:p w14:paraId="0A8F7B91">
    <w:pPr>
      <w:pStyle w:val="29"/>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DC588D">
    <w:pPr>
      <w:pStyle w:val="29"/>
      <w:rPr>
        <w:rStyle w:val="51"/>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6AE8F19">
                          <w:pPr>
                            <w:pStyle w:val="29"/>
                          </w:pPr>
                          <w:r>
                            <w:fldChar w:fldCharType="begin"/>
                          </w:r>
                          <w:r>
                            <w:instrText xml:space="preserve"> PAGE  \* MERGEFORMAT </w:instrText>
                          </w:r>
                          <w:r>
                            <w:fldChar w:fldCharType="separate"/>
                          </w:r>
                          <w:r>
                            <w:t>69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56AE8F19">
                    <w:pPr>
                      <w:pStyle w:val="29"/>
                    </w:pPr>
                    <w:r>
                      <w:fldChar w:fldCharType="begin"/>
                    </w:r>
                    <w:r>
                      <w:instrText xml:space="preserve"> PAGE  \* MERGEFORMAT </w:instrText>
                    </w:r>
                    <w:r>
                      <w:fldChar w:fldCharType="separate"/>
                    </w:r>
                    <w:r>
                      <w:t>69</w:t>
                    </w:r>
                    <w:r>
                      <w:fldChar w:fldCharType="end"/>
                    </w:r>
                  </w:p>
                </w:txbxContent>
              </v:textbox>
            </v:shape>
          </w:pict>
        </mc:Fallback>
      </mc:AlternateContent>
    </w:r>
  </w:p>
  <w:p w14:paraId="2441B96C">
    <w:pPr>
      <w:pStyle w:val="29"/>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3767B4">
    <w:pPr>
      <w:pStyle w:val="29"/>
      <w:rPr>
        <w:rStyle w:val="51"/>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FFBDB4D">
                          <w:pPr>
                            <w:pStyle w:val="29"/>
                          </w:pPr>
                          <w:r>
                            <w:fldChar w:fldCharType="begin"/>
                          </w:r>
                          <w:r>
                            <w:instrText xml:space="preserve"> PAGE  \* MERGEFORMAT </w:instrText>
                          </w:r>
                          <w:r>
                            <w:fldChar w:fldCharType="separate"/>
                          </w:r>
                          <w:r>
                            <w:t>83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7FFBDB4D">
                    <w:pPr>
                      <w:pStyle w:val="29"/>
                    </w:pPr>
                    <w:r>
                      <w:fldChar w:fldCharType="begin"/>
                    </w:r>
                    <w:r>
                      <w:instrText xml:space="preserve"> PAGE  \* MERGEFORMAT </w:instrText>
                    </w:r>
                    <w:r>
                      <w:fldChar w:fldCharType="separate"/>
                    </w:r>
                    <w:r>
                      <w:t>83</w:t>
                    </w:r>
                    <w:r>
                      <w:fldChar w:fldCharType="end"/>
                    </w:r>
                  </w:p>
                </w:txbxContent>
              </v:textbox>
            </v:shape>
          </w:pict>
        </mc:Fallback>
      </mc:AlternateContent>
    </w:r>
  </w:p>
  <w:p w14:paraId="01B2BA8E">
    <w:pPr>
      <w:pStyle w:val="2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B5E718">
    <w:pPr>
      <w:pStyle w:val="30"/>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5BE4B1">
    <w:pPr>
      <w:pStyle w:val="3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023331">
    <w:pPr>
      <w:pStyle w:val="30"/>
      <w:pBdr>
        <w:bottom w:val="none" w:color="auto" w:sz="0" w:space="0"/>
      </w:pBdr>
      <w:jc w:val="both"/>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96B492">
    <w:pPr>
      <w:pStyle w:val="29"/>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38BC04">
    <w:pPr>
      <w:pStyle w:val="30"/>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4E0B1C5"/>
    <w:multiLevelType w:val="singleLevel"/>
    <w:tmpl w:val="84E0B1C5"/>
    <w:lvl w:ilvl="0" w:tentative="0">
      <w:start w:val="1"/>
      <w:numFmt w:val="decimal"/>
      <w:suff w:val="space"/>
      <w:lvlText w:val="（%1）"/>
      <w:lvlJc w:val="left"/>
    </w:lvl>
  </w:abstractNum>
  <w:abstractNum w:abstractNumId="1">
    <w:nsid w:val="152B3C79"/>
    <w:multiLevelType w:val="singleLevel"/>
    <w:tmpl w:val="152B3C79"/>
    <w:lvl w:ilvl="0" w:tentative="0">
      <w:start w:val="1"/>
      <w:numFmt w:val="decimal"/>
      <w:suff w:val="nothing"/>
      <w:lvlText w:val="（%1）"/>
      <w:lvlJc w:val="left"/>
    </w:lvl>
  </w:abstractNum>
  <w:abstractNum w:abstractNumId="2">
    <w:nsid w:val="17A77041"/>
    <w:multiLevelType w:val="singleLevel"/>
    <w:tmpl w:val="17A77041"/>
    <w:lvl w:ilvl="0" w:tentative="0">
      <w:start w:val="4"/>
      <w:numFmt w:val="chineseCounting"/>
      <w:suff w:val="space"/>
      <w:lvlText w:val="第%1章"/>
      <w:lvlJc w:val="left"/>
      <w:rPr>
        <w:rFonts w:hint="eastAsia"/>
      </w:rPr>
    </w:lvl>
  </w:abstractNum>
  <w:abstractNum w:abstractNumId="3">
    <w:nsid w:val="73CA2F76"/>
    <w:multiLevelType w:val="singleLevel"/>
    <w:tmpl w:val="73CA2F76"/>
    <w:lvl w:ilvl="0" w:tentative="0">
      <w:start w:val="2"/>
      <w:numFmt w:val="decimal"/>
      <w:suff w:val="nothing"/>
      <w:lvlText w:val="%1、"/>
      <w:lvlJc w:val="left"/>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NotTrackMoves/>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ljMDcwYWJmYjExZWQzNTVmZDAzZTYwM2JlMzJmZDYifQ=="/>
  </w:docVars>
  <w:rsids>
    <w:rsidRoot w:val="00172A27"/>
    <w:rsid w:val="0000197A"/>
    <w:rsid w:val="00002E1B"/>
    <w:rsid w:val="000046EA"/>
    <w:rsid w:val="00004E34"/>
    <w:rsid w:val="00005CD8"/>
    <w:rsid w:val="00006123"/>
    <w:rsid w:val="000070B7"/>
    <w:rsid w:val="0000758B"/>
    <w:rsid w:val="00010F4B"/>
    <w:rsid w:val="0001111D"/>
    <w:rsid w:val="00011A14"/>
    <w:rsid w:val="00012844"/>
    <w:rsid w:val="00012D1D"/>
    <w:rsid w:val="00017114"/>
    <w:rsid w:val="00017EFA"/>
    <w:rsid w:val="00020FE0"/>
    <w:rsid w:val="00021BDB"/>
    <w:rsid w:val="000225E0"/>
    <w:rsid w:val="00022A89"/>
    <w:rsid w:val="00023D05"/>
    <w:rsid w:val="00026E12"/>
    <w:rsid w:val="000273CC"/>
    <w:rsid w:val="000330C1"/>
    <w:rsid w:val="000335C0"/>
    <w:rsid w:val="00034C73"/>
    <w:rsid w:val="0003719A"/>
    <w:rsid w:val="00037B93"/>
    <w:rsid w:val="00040224"/>
    <w:rsid w:val="0004332D"/>
    <w:rsid w:val="00044907"/>
    <w:rsid w:val="0004695D"/>
    <w:rsid w:val="00046C34"/>
    <w:rsid w:val="00057DBF"/>
    <w:rsid w:val="000617FE"/>
    <w:rsid w:val="0006411D"/>
    <w:rsid w:val="000642AF"/>
    <w:rsid w:val="00066792"/>
    <w:rsid w:val="00072090"/>
    <w:rsid w:val="00076B75"/>
    <w:rsid w:val="00076F1D"/>
    <w:rsid w:val="00077234"/>
    <w:rsid w:val="000837EF"/>
    <w:rsid w:val="00083ADA"/>
    <w:rsid w:val="0008659F"/>
    <w:rsid w:val="00086C18"/>
    <w:rsid w:val="00090A07"/>
    <w:rsid w:val="00090F90"/>
    <w:rsid w:val="00093100"/>
    <w:rsid w:val="000939B1"/>
    <w:rsid w:val="00094E9D"/>
    <w:rsid w:val="000A078C"/>
    <w:rsid w:val="000A11AD"/>
    <w:rsid w:val="000A2C9F"/>
    <w:rsid w:val="000A475B"/>
    <w:rsid w:val="000A65EE"/>
    <w:rsid w:val="000B0DC9"/>
    <w:rsid w:val="000B3A75"/>
    <w:rsid w:val="000B4B76"/>
    <w:rsid w:val="000B547D"/>
    <w:rsid w:val="000B7A7E"/>
    <w:rsid w:val="000B7EE6"/>
    <w:rsid w:val="000C10AA"/>
    <w:rsid w:val="000C26FD"/>
    <w:rsid w:val="000D08DE"/>
    <w:rsid w:val="000D203E"/>
    <w:rsid w:val="000D2C3D"/>
    <w:rsid w:val="000D2ECE"/>
    <w:rsid w:val="000D4E9E"/>
    <w:rsid w:val="000D7F9C"/>
    <w:rsid w:val="000E0020"/>
    <w:rsid w:val="000E1F7F"/>
    <w:rsid w:val="000E227E"/>
    <w:rsid w:val="000E24EC"/>
    <w:rsid w:val="000E3D3D"/>
    <w:rsid w:val="000F7312"/>
    <w:rsid w:val="000F740E"/>
    <w:rsid w:val="00104E44"/>
    <w:rsid w:val="001063CB"/>
    <w:rsid w:val="0011140E"/>
    <w:rsid w:val="00114707"/>
    <w:rsid w:val="00115943"/>
    <w:rsid w:val="00116988"/>
    <w:rsid w:val="00120E5D"/>
    <w:rsid w:val="00125553"/>
    <w:rsid w:val="0012738D"/>
    <w:rsid w:val="00130FBA"/>
    <w:rsid w:val="00131494"/>
    <w:rsid w:val="00132E3D"/>
    <w:rsid w:val="0014049F"/>
    <w:rsid w:val="00140BFD"/>
    <w:rsid w:val="00142868"/>
    <w:rsid w:val="00146B5E"/>
    <w:rsid w:val="0015292B"/>
    <w:rsid w:val="0015363F"/>
    <w:rsid w:val="00154C59"/>
    <w:rsid w:val="00155F6F"/>
    <w:rsid w:val="001564C3"/>
    <w:rsid w:val="001620D9"/>
    <w:rsid w:val="0016514F"/>
    <w:rsid w:val="00165414"/>
    <w:rsid w:val="00165F97"/>
    <w:rsid w:val="00167090"/>
    <w:rsid w:val="00167507"/>
    <w:rsid w:val="00172A27"/>
    <w:rsid w:val="00173108"/>
    <w:rsid w:val="00173D37"/>
    <w:rsid w:val="00174E43"/>
    <w:rsid w:val="0018238C"/>
    <w:rsid w:val="00182D4C"/>
    <w:rsid w:val="001834BA"/>
    <w:rsid w:val="001843D3"/>
    <w:rsid w:val="00184866"/>
    <w:rsid w:val="00185DBC"/>
    <w:rsid w:val="001867E2"/>
    <w:rsid w:val="001919D1"/>
    <w:rsid w:val="00191DD8"/>
    <w:rsid w:val="00193AE6"/>
    <w:rsid w:val="00194AEF"/>
    <w:rsid w:val="001963BD"/>
    <w:rsid w:val="001A120B"/>
    <w:rsid w:val="001A184C"/>
    <w:rsid w:val="001A274E"/>
    <w:rsid w:val="001A2C88"/>
    <w:rsid w:val="001A37E0"/>
    <w:rsid w:val="001A3EC9"/>
    <w:rsid w:val="001A50F2"/>
    <w:rsid w:val="001A6EF7"/>
    <w:rsid w:val="001B1DF0"/>
    <w:rsid w:val="001B21A5"/>
    <w:rsid w:val="001B45D5"/>
    <w:rsid w:val="001B4675"/>
    <w:rsid w:val="001B4BDE"/>
    <w:rsid w:val="001B59E9"/>
    <w:rsid w:val="001B62B0"/>
    <w:rsid w:val="001B6A78"/>
    <w:rsid w:val="001C1FC2"/>
    <w:rsid w:val="001C4E01"/>
    <w:rsid w:val="001C7AB4"/>
    <w:rsid w:val="001D0C94"/>
    <w:rsid w:val="001D3498"/>
    <w:rsid w:val="001E1380"/>
    <w:rsid w:val="001E5247"/>
    <w:rsid w:val="001F23AB"/>
    <w:rsid w:val="001F32ED"/>
    <w:rsid w:val="001F4F95"/>
    <w:rsid w:val="001F7E70"/>
    <w:rsid w:val="00200459"/>
    <w:rsid w:val="00202DB7"/>
    <w:rsid w:val="00207065"/>
    <w:rsid w:val="00207999"/>
    <w:rsid w:val="00212D04"/>
    <w:rsid w:val="00213FCA"/>
    <w:rsid w:val="00214988"/>
    <w:rsid w:val="00214B43"/>
    <w:rsid w:val="00214F76"/>
    <w:rsid w:val="002202CE"/>
    <w:rsid w:val="0022219A"/>
    <w:rsid w:val="00222521"/>
    <w:rsid w:val="00227461"/>
    <w:rsid w:val="0022783F"/>
    <w:rsid w:val="00230392"/>
    <w:rsid w:val="00230583"/>
    <w:rsid w:val="00230A2B"/>
    <w:rsid w:val="00231547"/>
    <w:rsid w:val="002334EC"/>
    <w:rsid w:val="00235B32"/>
    <w:rsid w:val="00236AD7"/>
    <w:rsid w:val="00237688"/>
    <w:rsid w:val="00240423"/>
    <w:rsid w:val="00243B18"/>
    <w:rsid w:val="00246AD7"/>
    <w:rsid w:val="00246B91"/>
    <w:rsid w:val="00247A64"/>
    <w:rsid w:val="00250013"/>
    <w:rsid w:val="00250BCF"/>
    <w:rsid w:val="00253591"/>
    <w:rsid w:val="00255670"/>
    <w:rsid w:val="00256780"/>
    <w:rsid w:val="00262ABE"/>
    <w:rsid w:val="002657EE"/>
    <w:rsid w:val="00276F57"/>
    <w:rsid w:val="00277D06"/>
    <w:rsid w:val="002816D4"/>
    <w:rsid w:val="00286980"/>
    <w:rsid w:val="002928CE"/>
    <w:rsid w:val="00292C87"/>
    <w:rsid w:val="0029757E"/>
    <w:rsid w:val="002A1A66"/>
    <w:rsid w:val="002A39EF"/>
    <w:rsid w:val="002A599F"/>
    <w:rsid w:val="002A6E04"/>
    <w:rsid w:val="002B4BA8"/>
    <w:rsid w:val="002B7071"/>
    <w:rsid w:val="002B7117"/>
    <w:rsid w:val="002B714A"/>
    <w:rsid w:val="002B718A"/>
    <w:rsid w:val="002B7621"/>
    <w:rsid w:val="002C2E22"/>
    <w:rsid w:val="002C4A57"/>
    <w:rsid w:val="002C528E"/>
    <w:rsid w:val="002C5643"/>
    <w:rsid w:val="002E13EC"/>
    <w:rsid w:val="002E41CC"/>
    <w:rsid w:val="002F05E9"/>
    <w:rsid w:val="002F2C99"/>
    <w:rsid w:val="002F3D6A"/>
    <w:rsid w:val="002F794D"/>
    <w:rsid w:val="003029B3"/>
    <w:rsid w:val="00303019"/>
    <w:rsid w:val="00306787"/>
    <w:rsid w:val="00306966"/>
    <w:rsid w:val="0031113D"/>
    <w:rsid w:val="00311AAC"/>
    <w:rsid w:val="00313CA4"/>
    <w:rsid w:val="00314E82"/>
    <w:rsid w:val="003150CE"/>
    <w:rsid w:val="00315FF9"/>
    <w:rsid w:val="00316270"/>
    <w:rsid w:val="00321598"/>
    <w:rsid w:val="00321FDB"/>
    <w:rsid w:val="00323870"/>
    <w:rsid w:val="00323FFD"/>
    <w:rsid w:val="00324847"/>
    <w:rsid w:val="00324A5E"/>
    <w:rsid w:val="00325624"/>
    <w:rsid w:val="0032611D"/>
    <w:rsid w:val="003264EB"/>
    <w:rsid w:val="00326940"/>
    <w:rsid w:val="00330CCD"/>
    <w:rsid w:val="00332891"/>
    <w:rsid w:val="00332BBD"/>
    <w:rsid w:val="00333810"/>
    <w:rsid w:val="003343C0"/>
    <w:rsid w:val="00340804"/>
    <w:rsid w:val="00342D97"/>
    <w:rsid w:val="00343375"/>
    <w:rsid w:val="003448C2"/>
    <w:rsid w:val="00344CD6"/>
    <w:rsid w:val="0034662F"/>
    <w:rsid w:val="003510D2"/>
    <w:rsid w:val="00351A8E"/>
    <w:rsid w:val="0035447B"/>
    <w:rsid w:val="00356B27"/>
    <w:rsid w:val="00356B90"/>
    <w:rsid w:val="00357C8A"/>
    <w:rsid w:val="00360C29"/>
    <w:rsid w:val="0036101B"/>
    <w:rsid w:val="003613C6"/>
    <w:rsid w:val="00361CBA"/>
    <w:rsid w:val="00362EE3"/>
    <w:rsid w:val="0036593D"/>
    <w:rsid w:val="00366951"/>
    <w:rsid w:val="00370107"/>
    <w:rsid w:val="003720A1"/>
    <w:rsid w:val="003745F9"/>
    <w:rsid w:val="00376808"/>
    <w:rsid w:val="0037767C"/>
    <w:rsid w:val="003817E6"/>
    <w:rsid w:val="00381E22"/>
    <w:rsid w:val="0038244A"/>
    <w:rsid w:val="00382545"/>
    <w:rsid w:val="00383221"/>
    <w:rsid w:val="00384090"/>
    <w:rsid w:val="003844ED"/>
    <w:rsid w:val="00386132"/>
    <w:rsid w:val="003871B4"/>
    <w:rsid w:val="00393016"/>
    <w:rsid w:val="00394BA5"/>
    <w:rsid w:val="00394D82"/>
    <w:rsid w:val="003A70F7"/>
    <w:rsid w:val="003B39C6"/>
    <w:rsid w:val="003B4CDE"/>
    <w:rsid w:val="003B5919"/>
    <w:rsid w:val="003B7075"/>
    <w:rsid w:val="003B7983"/>
    <w:rsid w:val="003C24F4"/>
    <w:rsid w:val="003C4452"/>
    <w:rsid w:val="003C4CBD"/>
    <w:rsid w:val="003C7646"/>
    <w:rsid w:val="003D0BFC"/>
    <w:rsid w:val="003D206A"/>
    <w:rsid w:val="003D27B4"/>
    <w:rsid w:val="003D34ED"/>
    <w:rsid w:val="003D60ED"/>
    <w:rsid w:val="003D7852"/>
    <w:rsid w:val="003E0F27"/>
    <w:rsid w:val="003E15AB"/>
    <w:rsid w:val="003E3274"/>
    <w:rsid w:val="003E441B"/>
    <w:rsid w:val="003E528B"/>
    <w:rsid w:val="003E62C9"/>
    <w:rsid w:val="003E64A4"/>
    <w:rsid w:val="003F1184"/>
    <w:rsid w:val="003F19CD"/>
    <w:rsid w:val="003F34D1"/>
    <w:rsid w:val="003F5214"/>
    <w:rsid w:val="003F56BE"/>
    <w:rsid w:val="003F72A7"/>
    <w:rsid w:val="00403578"/>
    <w:rsid w:val="0040419B"/>
    <w:rsid w:val="00404AFD"/>
    <w:rsid w:val="0041061A"/>
    <w:rsid w:val="00411B9C"/>
    <w:rsid w:val="004139CC"/>
    <w:rsid w:val="00416BD0"/>
    <w:rsid w:val="004179E4"/>
    <w:rsid w:val="00422908"/>
    <w:rsid w:val="0042416B"/>
    <w:rsid w:val="004249BA"/>
    <w:rsid w:val="0042531B"/>
    <w:rsid w:val="004306D8"/>
    <w:rsid w:val="00430F18"/>
    <w:rsid w:val="00432BC1"/>
    <w:rsid w:val="00433924"/>
    <w:rsid w:val="00434AAC"/>
    <w:rsid w:val="0043512B"/>
    <w:rsid w:val="00435537"/>
    <w:rsid w:val="004355FE"/>
    <w:rsid w:val="00441E58"/>
    <w:rsid w:val="00445715"/>
    <w:rsid w:val="00445E0F"/>
    <w:rsid w:val="00446179"/>
    <w:rsid w:val="004506F7"/>
    <w:rsid w:val="0045199B"/>
    <w:rsid w:val="00451F70"/>
    <w:rsid w:val="00454C0F"/>
    <w:rsid w:val="00454F95"/>
    <w:rsid w:val="004571AF"/>
    <w:rsid w:val="00462043"/>
    <w:rsid w:val="0046380E"/>
    <w:rsid w:val="00466093"/>
    <w:rsid w:val="004712B0"/>
    <w:rsid w:val="00471B5C"/>
    <w:rsid w:val="00473006"/>
    <w:rsid w:val="00473509"/>
    <w:rsid w:val="00473BA0"/>
    <w:rsid w:val="00474B17"/>
    <w:rsid w:val="0047678B"/>
    <w:rsid w:val="00477FF4"/>
    <w:rsid w:val="00482303"/>
    <w:rsid w:val="00487C57"/>
    <w:rsid w:val="00494CD7"/>
    <w:rsid w:val="004A3117"/>
    <w:rsid w:val="004A394F"/>
    <w:rsid w:val="004A7299"/>
    <w:rsid w:val="004B15C6"/>
    <w:rsid w:val="004C0130"/>
    <w:rsid w:val="004C1E7E"/>
    <w:rsid w:val="004C2BF2"/>
    <w:rsid w:val="004C4C36"/>
    <w:rsid w:val="004C791A"/>
    <w:rsid w:val="004D0871"/>
    <w:rsid w:val="004D31D7"/>
    <w:rsid w:val="004D6B92"/>
    <w:rsid w:val="004E085C"/>
    <w:rsid w:val="004E0F8D"/>
    <w:rsid w:val="004F0E30"/>
    <w:rsid w:val="004F1D3D"/>
    <w:rsid w:val="004F3C9D"/>
    <w:rsid w:val="004F5CF2"/>
    <w:rsid w:val="004F77A5"/>
    <w:rsid w:val="00504F99"/>
    <w:rsid w:val="00505F69"/>
    <w:rsid w:val="005078D7"/>
    <w:rsid w:val="00510F89"/>
    <w:rsid w:val="00512B81"/>
    <w:rsid w:val="00513D1E"/>
    <w:rsid w:val="0052022B"/>
    <w:rsid w:val="005212B3"/>
    <w:rsid w:val="00525D5C"/>
    <w:rsid w:val="00526B90"/>
    <w:rsid w:val="00527D18"/>
    <w:rsid w:val="005324F1"/>
    <w:rsid w:val="005345CF"/>
    <w:rsid w:val="00534798"/>
    <w:rsid w:val="00534AB4"/>
    <w:rsid w:val="005362C3"/>
    <w:rsid w:val="00536BAD"/>
    <w:rsid w:val="00537141"/>
    <w:rsid w:val="005408F8"/>
    <w:rsid w:val="00543A1A"/>
    <w:rsid w:val="00543D1A"/>
    <w:rsid w:val="00545A63"/>
    <w:rsid w:val="00550A8B"/>
    <w:rsid w:val="00551ABE"/>
    <w:rsid w:val="00551F3F"/>
    <w:rsid w:val="00553C28"/>
    <w:rsid w:val="00555711"/>
    <w:rsid w:val="0055655B"/>
    <w:rsid w:val="005575EF"/>
    <w:rsid w:val="00557CAA"/>
    <w:rsid w:val="005610A7"/>
    <w:rsid w:val="00562097"/>
    <w:rsid w:val="00562642"/>
    <w:rsid w:val="00562653"/>
    <w:rsid w:val="00563B31"/>
    <w:rsid w:val="00564616"/>
    <w:rsid w:val="00565E25"/>
    <w:rsid w:val="00566512"/>
    <w:rsid w:val="005677A2"/>
    <w:rsid w:val="00571668"/>
    <w:rsid w:val="00573193"/>
    <w:rsid w:val="005736B2"/>
    <w:rsid w:val="0057643A"/>
    <w:rsid w:val="00580342"/>
    <w:rsid w:val="00582213"/>
    <w:rsid w:val="005901E1"/>
    <w:rsid w:val="005915F5"/>
    <w:rsid w:val="00591F58"/>
    <w:rsid w:val="00592834"/>
    <w:rsid w:val="00594FBF"/>
    <w:rsid w:val="0059693D"/>
    <w:rsid w:val="00597823"/>
    <w:rsid w:val="005A3405"/>
    <w:rsid w:val="005A5E6E"/>
    <w:rsid w:val="005A65D3"/>
    <w:rsid w:val="005A71BD"/>
    <w:rsid w:val="005A7C75"/>
    <w:rsid w:val="005B3CFB"/>
    <w:rsid w:val="005B4AA4"/>
    <w:rsid w:val="005B5C42"/>
    <w:rsid w:val="005B682A"/>
    <w:rsid w:val="005B705D"/>
    <w:rsid w:val="005C0054"/>
    <w:rsid w:val="005D0BCF"/>
    <w:rsid w:val="005D1D33"/>
    <w:rsid w:val="005D1E1A"/>
    <w:rsid w:val="005D2808"/>
    <w:rsid w:val="005D49DC"/>
    <w:rsid w:val="005D6EDB"/>
    <w:rsid w:val="005E4BD5"/>
    <w:rsid w:val="005E6D8D"/>
    <w:rsid w:val="005E7874"/>
    <w:rsid w:val="005F2C58"/>
    <w:rsid w:val="005F3CD8"/>
    <w:rsid w:val="005F6D4E"/>
    <w:rsid w:val="00601231"/>
    <w:rsid w:val="006015AA"/>
    <w:rsid w:val="006053A4"/>
    <w:rsid w:val="00610D91"/>
    <w:rsid w:val="0061143B"/>
    <w:rsid w:val="006173D9"/>
    <w:rsid w:val="006174D0"/>
    <w:rsid w:val="00617B19"/>
    <w:rsid w:val="00620E0C"/>
    <w:rsid w:val="0062507F"/>
    <w:rsid w:val="00626412"/>
    <w:rsid w:val="00627097"/>
    <w:rsid w:val="00627F07"/>
    <w:rsid w:val="00630701"/>
    <w:rsid w:val="00630A52"/>
    <w:rsid w:val="006314EC"/>
    <w:rsid w:val="006317D9"/>
    <w:rsid w:val="006319A4"/>
    <w:rsid w:val="006320EC"/>
    <w:rsid w:val="00632505"/>
    <w:rsid w:val="0063261C"/>
    <w:rsid w:val="00634E49"/>
    <w:rsid w:val="006404B8"/>
    <w:rsid w:val="00640732"/>
    <w:rsid w:val="00640CD1"/>
    <w:rsid w:val="006411FA"/>
    <w:rsid w:val="006468C4"/>
    <w:rsid w:val="00656322"/>
    <w:rsid w:val="0065656C"/>
    <w:rsid w:val="00662C9C"/>
    <w:rsid w:val="00664CCB"/>
    <w:rsid w:val="0066501C"/>
    <w:rsid w:val="00667847"/>
    <w:rsid w:val="00667E21"/>
    <w:rsid w:val="00672253"/>
    <w:rsid w:val="00672477"/>
    <w:rsid w:val="006803F2"/>
    <w:rsid w:val="00680EED"/>
    <w:rsid w:val="00683A32"/>
    <w:rsid w:val="00686C3A"/>
    <w:rsid w:val="0069751D"/>
    <w:rsid w:val="00697E3A"/>
    <w:rsid w:val="006A5A61"/>
    <w:rsid w:val="006A6C9D"/>
    <w:rsid w:val="006B06AF"/>
    <w:rsid w:val="006B3780"/>
    <w:rsid w:val="006B3913"/>
    <w:rsid w:val="006B5F0A"/>
    <w:rsid w:val="006B7B67"/>
    <w:rsid w:val="006C004B"/>
    <w:rsid w:val="006C09E3"/>
    <w:rsid w:val="006C12A2"/>
    <w:rsid w:val="006C1EAD"/>
    <w:rsid w:val="006C3056"/>
    <w:rsid w:val="006C3E9D"/>
    <w:rsid w:val="006C4608"/>
    <w:rsid w:val="006E29E7"/>
    <w:rsid w:val="006E3C5D"/>
    <w:rsid w:val="006E4C81"/>
    <w:rsid w:val="006F3D17"/>
    <w:rsid w:val="007010A6"/>
    <w:rsid w:val="007010E6"/>
    <w:rsid w:val="007013D6"/>
    <w:rsid w:val="00704877"/>
    <w:rsid w:val="007056DC"/>
    <w:rsid w:val="00707B0D"/>
    <w:rsid w:val="00707F33"/>
    <w:rsid w:val="00707FB8"/>
    <w:rsid w:val="00710E91"/>
    <w:rsid w:val="00712094"/>
    <w:rsid w:val="00712899"/>
    <w:rsid w:val="00716F04"/>
    <w:rsid w:val="007220FC"/>
    <w:rsid w:val="007224C8"/>
    <w:rsid w:val="00731F87"/>
    <w:rsid w:val="00734057"/>
    <w:rsid w:val="007347A9"/>
    <w:rsid w:val="00734A59"/>
    <w:rsid w:val="00737389"/>
    <w:rsid w:val="00740EA7"/>
    <w:rsid w:val="00741E7A"/>
    <w:rsid w:val="00743A79"/>
    <w:rsid w:val="00746374"/>
    <w:rsid w:val="0074694C"/>
    <w:rsid w:val="00750DC6"/>
    <w:rsid w:val="00751F36"/>
    <w:rsid w:val="00752ABA"/>
    <w:rsid w:val="007544B3"/>
    <w:rsid w:val="00754953"/>
    <w:rsid w:val="00755F4B"/>
    <w:rsid w:val="007569BF"/>
    <w:rsid w:val="00764F21"/>
    <w:rsid w:val="007650EA"/>
    <w:rsid w:val="00771225"/>
    <w:rsid w:val="007716E8"/>
    <w:rsid w:val="00771EE2"/>
    <w:rsid w:val="00772F61"/>
    <w:rsid w:val="007735D0"/>
    <w:rsid w:val="00776CE6"/>
    <w:rsid w:val="0077709D"/>
    <w:rsid w:val="0077725B"/>
    <w:rsid w:val="0078232E"/>
    <w:rsid w:val="007825BB"/>
    <w:rsid w:val="0078387C"/>
    <w:rsid w:val="007846BD"/>
    <w:rsid w:val="007852C4"/>
    <w:rsid w:val="00785C7C"/>
    <w:rsid w:val="00791072"/>
    <w:rsid w:val="00791620"/>
    <w:rsid w:val="00792C93"/>
    <w:rsid w:val="0079603B"/>
    <w:rsid w:val="00796119"/>
    <w:rsid w:val="00797F29"/>
    <w:rsid w:val="00797F99"/>
    <w:rsid w:val="007A3AD3"/>
    <w:rsid w:val="007A5486"/>
    <w:rsid w:val="007A59DE"/>
    <w:rsid w:val="007B10BC"/>
    <w:rsid w:val="007B2FBF"/>
    <w:rsid w:val="007B6549"/>
    <w:rsid w:val="007B7D18"/>
    <w:rsid w:val="007C065A"/>
    <w:rsid w:val="007C313C"/>
    <w:rsid w:val="007C5C10"/>
    <w:rsid w:val="007C5C4D"/>
    <w:rsid w:val="007D2547"/>
    <w:rsid w:val="007D3552"/>
    <w:rsid w:val="007D5303"/>
    <w:rsid w:val="007D6C61"/>
    <w:rsid w:val="007D7027"/>
    <w:rsid w:val="007E1D6E"/>
    <w:rsid w:val="007E60BB"/>
    <w:rsid w:val="007E66F0"/>
    <w:rsid w:val="007E6E71"/>
    <w:rsid w:val="007F0879"/>
    <w:rsid w:val="007F2072"/>
    <w:rsid w:val="007F7CC1"/>
    <w:rsid w:val="00801530"/>
    <w:rsid w:val="00803277"/>
    <w:rsid w:val="00803BC6"/>
    <w:rsid w:val="008044D7"/>
    <w:rsid w:val="00811BC8"/>
    <w:rsid w:val="00812181"/>
    <w:rsid w:val="0081385B"/>
    <w:rsid w:val="00816600"/>
    <w:rsid w:val="00821645"/>
    <w:rsid w:val="00822D2E"/>
    <w:rsid w:val="00827EA0"/>
    <w:rsid w:val="0083345E"/>
    <w:rsid w:val="00834EAE"/>
    <w:rsid w:val="00841403"/>
    <w:rsid w:val="0084190B"/>
    <w:rsid w:val="0084411B"/>
    <w:rsid w:val="00844951"/>
    <w:rsid w:val="00844D6E"/>
    <w:rsid w:val="00845A5D"/>
    <w:rsid w:val="008462FB"/>
    <w:rsid w:val="008465CD"/>
    <w:rsid w:val="0084663D"/>
    <w:rsid w:val="008515C0"/>
    <w:rsid w:val="00854873"/>
    <w:rsid w:val="00855E83"/>
    <w:rsid w:val="00856515"/>
    <w:rsid w:val="0086292A"/>
    <w:rsid w:val="00864FC6"/>
    <w:rsid w:val="00865B48"/>
    <w:rsid w:val="00872E7D"/>
    <w:rsid w:val="00874549"/>
    <w:rsid w:val="008756B7"/>
    <w:rsid w:val="008757B7"/>
    <w:rsid w:val="00880472"/>
    <w:rsid w:val="008813F9"/>
    <w:rsid w:val="0088144C"/>
    <w:rsid w:val="00881587"/>
    <w:rsid w:val="0088218C"/>
    <w:rsid w:val="00884060"/>
    <w:rsid w:val="00890796"/>
    <w:rsid w:val="0089321E"/>
    <w:rsid w:val="008933DF"/>
    <w:rsid w:val="00894C08"/>
    <w:rsid w:val="00895001"/>
    <w:rsid w:val="0089560E"/>
    <w:rsid w:val="008A0CBD"/>
    <w:rsid w:val="008A0D2A"/>
    <w:rsid w:val="008A1DEE"/>
    <w:rsid w:val="008A3970"/>
    <w:rsid w:val="008A5701"/>
    <w:rsid w:val="008B3DFF"/>
    <w:rsid w:val="008B3F28"/>
    <w:rsid w:val="008C49D3"/>
    <w:rsid w:val="008C5947"/>
    <w:rsid w:val="008C6DA1"/>
    <w:rsid w:val="008C72A6"/>
    <w:rsid w:val="008D3D94"/>
    <w:rsid w:val="008D618A"/>
    <w:rsid w:val="008E1DC0"/>
    <w:rsid w:val="008E30BF"/>
    <w:rsid w:val="008E35A0"/>
    <w:rsid w:val="008E3A25"/>
    <w:rsid w:val="008E5038"/>
    <w:rsid w:val="008F031C"/>
    <w:rsid w:val="008F1463"/>
    <w:rsid w:val="008F1F11"/>
    <w:rsid w:val="008F31C7"/>
    <w:rsid w:val="008F7358"/>
    <w:rsid w:val="008F7394"/>
    <w:rsid w:val="008F79D7"/>
    <w:rsid w:val="009006DF"/>
    <w:rsid w:val="00910153"/>
    <w:rsid w:val="00910A19"/>
    <w:rsid w:val="00910BDC"/>
    <w:rsid w:val="00910F4E"/>
    <w:rsid w:val="00911695"/>
    <w:rsid w:val="00911E55"/>
    <w:rsid w:val="00913F05"/>
    <w:rsid w:val="0091562C"/>
    <w:rsid w:val="009177B6"/>
    <w:rsid w:val="00917A27"/>
    <w:rsid w:val="00923CD3"/>
    <w:rsid w:val="00924202"/>
    <w:rsid w:val="00924E50"/>
    <w:rsid w:val="00925CC6"/>
    <w:rsid w:val="00926ABF"/>
    <w:rsid w:val="00927A26"/>
    <w:rsid w:val="00927D00"/>
    <w:rsid w:val="00930969"/>
    <w:rsid w:val="0093269F"/>
    <w:rsid w:val="00936433"/>
    <w:rsid w:val="009412CD"/>
    <w:rsid w:val="0095349A"/>
    <w:rsid w:val="00955204"/>
    <w:rsid w:val="00960CAB"/>
    <w:rsid w:val="00960CCB"/>
    <w:rsid w:val="00961359"/>
    <w:rsid w:val="00962A0B"/>
    <w:rsid w:val="00962C4D"/>
    <w:rsid w:val="00964D34"/>
    <w:rsid w:val="00966F72"/>
    <w:rsid w:val="0096757C"/>
    <w:rsid w:val="00967A23"/>
    <w:rsid w:val="00972946"/>
    <w:rsid w:val="00972E84"/>
    <w:rsid w:val="00974691"/>
    <w:rsid w:val="00976022"/>
    <w:rsid w:val="00976169"/>
    <w:rsid w:val="00976580"/>
    <w:rsid w:val="00977C3F"/>
    <w:rsid w:val="00977CC3"/>
    <w:rsid w:val="00980102"/>
    <w:rsid w:val="0098316D"/>
    <w:rsid w:val="00984D59"/>
    <w:rsid w:val="0098502F"/>
    <w:rsid w:val="00986D16"/>
    <w:rsid w:val="009910B5"/>
    <w:rsid w:val="009920AD"/>
    <w:rsid w:val="0099244A"/>
    <w:rsid w:val="009938B8"/>
    <w:rsid w:val="00994EB2"/>
    <w:rsid w:val="00995053"/>
    <w:rsid w:val="009A0735"/>
    <w:rsid w:val="009A25E2"/>
    <w:rsid w:val="009A37CD"/>
    <w:rsid w:val="009A4C36"/>
    <w:rsid w:val="009B1FF8"/>
    <w:rsid w:val="009B42EF"/>
    <w:rsid w:val="009B4E7E"/>
    <w:rsid w:val="009B5EED"/>
    <w:rsid w:val="009C20D3"/>
    <w:rsid w:val="009C37BF"/>
    <w:rsid w:val="009C6EE6"/>
    <w:rsid w:val="009C7333"/>
    <w:rsid w:val="009C7979"/>
    <w:rsid w:val="009D0966"/>
    <w:rsid w:val="009D0B0C"/>
    <w:rsid w:val="009D22E5"/>
    <w:rsid w:val="009D4B7E"/>
    <w:rsid w:val="009D5E13"/>
    <w:rsid w:val="009D71F1"/>
    <w:rsid w:val="009E015C"/>
    <w:rsid w:val="009E0909"/>
    <w:rsid w:val="009E37B1"/>
    <w:rsid w:val="009E3E05"/>
    <w:rsid w:val="009E5780"/>
    <w:rsid w:val="009E5D72"/>
    <w:rsid w:val="009E6EC4"/>
    <w:rsid w:val="009F01E1"/>
    <w:rsid w:val="009F2F5E"/>
    <w:rsid w:val="009F3B2F"/>
    <w:rsid w:val="009F42ED"/>
    <w:rsid w:val="009F60D9"/>
    <w:rsid w:val="00A01456"/>
    <w:rsid w:val="00A01B5E"/>
    <w:rsid w:val="00A02A20"/>
    <w:rsid w:val="00A03301"/>
    <w:rsid w:val="00A05E3C"/>
    <w:rsid w:val="00A0769D"/>
    <w:rsid w:val="00A07925"/>
    <w:rsid w:val="00A101E8"/>
    <w:rsid w:val="00A10455"/>
    <w:rsid w:val="00A1132C"/>
    <w:rsid w:val="00A1168E"/>
    <w:rsid w:val="00A11DCF"/>
    <w:rsid w:val="00A11EE6"/>
    <w:rsid w:val="00A1213C"/>
    <w:rsid w:val="00A14C01"/>
    <w:rsid w:val="00A1556E"/>
    <w:rsid w:val="00A169DC"/>
    <w:rsid w:val="00A20C10"/>
    <w:rsid w:val="00A22308"/>
    <w:rsid w:val="00A22EC9"/>
    <w:rsid w:val="00A25ED3"/>
    <w:rsid w:val="00A264B5"/>
    <w:rsid w:val="00A26E1A"/>
    <w:rsid w:val="00A27D67"/>
    <w:rsid w:val="00A317E0"/>
    <w:rsid w:val="00A37208"/>
    <w:rsid w:val="00A373FE"/>
    <w:rsid w:val="00A37744"/>
    <w:rsid w:val="00A4126B"/>
    <w:rsid w:val="00A431C8"/>
    <w:rsid w:val="00A47E8E"/>
    <w:rsid w:val="00A50183"/>
    <w:rsid w:val="00A50E52"/>
    <w:rsid w:val="00A512D9"/>
    <w:rsid w:val="00A52488"/>
    <w:rsid w:val="00A52EF8"/>
    <w:rsid w:val="00A52F87"/>
    <w:rsid w:val="00A550F0"/>
    <w:rsid w:val="00A55F4D"/>
    <w:rsid w:val="00A56DFC"/>
    <w:rsid w:val="00A607D6"/>
    <w:rsid w:val="00A65ACF"/>
    <w:rsid w:val="00A71725"/>
    <w:rsid w:val="00A730D4"/>
    <w:rsid w:val="00A75160"/>
    <w:rsid w:val="00A80107"/>
    <w:rsid w:val="00A80270"/>
    <w:rsid w:val="00A81E1C"/>
    <w:rsid w:val="00A82C07"/>
    <w:rsid w:val="00A8654F"/>
    <w:rsid w:val="00A921C2"/>
    <w:rsid w:val="00A93040"/>
    <w:rsid w:val="00A9331E"/>
    <w:rsid w:val="00A96C90"/>
    <w:rsid w:val="00AA1C5D"/>
    <w:rsid w:val="00AA207A"/>
    <w:rsid w:val="00AA672A"/>
    <w:rsid w:val="00AA7717"/>
    <w:rsid w:val="00AA7A7D"/>
    <w:rsid w:val="00AA7BA4"/>
    <w:rsid w:val="00AB24DF"/>
    <w:rsid w:val="00AB2639"/>
    <w:rsid w:val="00AB41F5"/>
    <w:rsid w:val="00AB534D"/>
    <w:rsid w:val="00AB6C48"/>
    <w:rsid w:val="00AB7F2E"/>
    <w:rsid w:val="00AC00B4"/>
    <w:rsid w:val="00AC26EA"/>
    <w:rsid w:val="00AC2702"/>
    <w:rsid w:val="00AC5E52"/>
    <w:rsid w:val="00AC75F2"/>
    <w:rsid w:val="00AD0D0C"/>
    <w:rsid w:val="00AD28A1"/>
    <w:rsid w:val="00AD39D3"/>
    <w:rsid w:val="00AD6CA7"/>
    <w:rsid w:val="00AF04EA"/>
    <w:rsid w:val="00AF1B9D"/>
    <w:rsid w:val="00AF2D9F"/>
    <w:rsid w:val="00AF4146"/>
    <w:rsid w:val="00B01E1E"/>
    <w:rsid w:val="00B04E52"/>
    <w:rsid w:val="00B064E0"/>
    <w:rsid w:val="00B0681C"/>
    <w:rsid w:val="00B06DF0"/>
    <w:rsid w:val="00B125E7"/>
    <w:rsid w:val="00B17733"/>
    <w:rsid w:val="00B17A2D"/>
    <w:rsid w:val="00B238A2"/>
    <w:rsid w:val="00B24199"/>
    <w:rsid w:val="00B2684F"/>
    <w:rsid w:val="00B30708"/>
    <w:rsid w:val="00B30B1C"/>
    <w:rsid w:val="00B32557"/>
    <w:rsid w:val="00B40A36"/>
    <w:rsid w:val="00B421B9"/>
    <w:rsid w:val="00B43070"/>
    <w:rsid w:val="00B43FAA"/>
    <w:rsid w:val="00B46946"/>
    <w:rsid w:val="00B52319"/>
    <w:rsid w:val="00B5524B"/>
    <w:rsid w:val="00B60374"/>
    <w:rsid w:val="00B624DE"/>
    <w:rsid w:val="00B631C4"/>
    <w:rsid w:val="00B648B6"/>
    <w:rsid w:val="00B65453"/>
    <w:rsid w:val="00B669BA"/>
    <w:rsid w:val="00B67E11"/>
    <w:rsid w:val="00B75280"/>
    <w:rsid w:val="00B81D39"/>
    <w:rsid w:val="00B82D37"/>
    <w:rsid w:val="00B879EB"/>
    <w:rsid w:val="00B87A14"/>
    <w:rsid w:val="00B87A48"/>
    <w:rsid w:val="00B91A45"/>
    <w:rsid w:val="00BA398E"/>
    <w:rsid w:val="00BA58F0"/>
    <w:rsid w:val="00BA6D3B"/>
    <w:rsid w:val="00BA7453"/>
    <w:rsid w:val="00BB0336"/>
    <w:rsid w:val="00BB0FA2"/>
    <w:rsid w:val="00BB2223"/>
    <w:rsid w:val="00BB2B7B"/>
    <w:rsid w:val="00BB2E6B"/>
    <w:rsid w:val="00BC0C20"/>
    <w:rsid w:val="00BC508C"/>
    <w:rsid w:val="00BC79D7"/>
    <w:rsid w:val="00BD1389"/>
    <w:rsid w:val="00BD41E9"/>
    <w:rsid w:val="00BD51C6"/>
    <w:rsid w:val="00BD7908"/>
    <w:rsid w:val="00BE057A"/>
    <w:rsid w:val="00BE2D96"/>
    <w:rsid w:val="00BE520A"/>
    <w:rsid w:val="00BE5A23"/>
    <w:rsid w:val="00BE6705"/>
    <w:rsid w:val="00BE7FAD"/>
    <w:rsid w:val="00BF03C1"/>
    <w:rsid w:val="00BF0DAF"/>
    <w:rsid w:val="00BF0E76"/>
    <w:rsid w:val="00BF1E08"/>
    <w:rsid w:val="00BF2EB6"/>
    <w:rsid w:val="00BF7A0C"/>
    <w:rsid w:val="00C063C0"/>
    <w:rsid w:val="00C06DB4"/>
    <w:rsid w:val="00C0756A"/>
    <w:rsid w:val="00C12BE9"/>
    <w:rsid w:val="00C13786"/>
    <w:rsid w:val="00C14FCB"/>
    <w:rsid w:val="00C15A0C"/>
    <w:rsid w:val="00C15FE3"/>
    <w:rsid w:val="00C2443D"/>
    <w:rsid w:val="00C24999"/>
    <w:rsid w:val="00C25A3F"/>
    <w:rsid w:val="00C2616B"/>
    <w:rsid w:val="00C26E45"/>
    <w:rsid w:val="00C318C2"/>
    <w:rsid w:val="00C35769"/>
    <w:rsid w:val="00C405C9"/>
    <w:rsid w:val="00C40FE1"/>
    <w:rsid w:val="00C434BA"/>
    <w:rsid w:val="00C44BCE"/>
    <w:rsid w:val="00C46EAD"/>
    <w:rsid w:val="00C51140"/>
    <w:rsid w:val="00C536A9"/>
    <w:rsid w:val="00C56A2B"/>
    <w:rsid w:val="00C57A7D"/>
    <w:rsid w:val="00C57DD2"/>
    <w:rsid w:val="00C6039F"/>
    <w:rsid w:val="00C61FE7"/>
    <w:rsid w:val="00C64B7C"/>
    <w:rsid w:val="00C673DF"/>
    <w:rsid w:val="00C75A94"/>
    <w:rsid w:val="00C77A24"/>
    <w:rsid w:val="00C77AA8"/>
    <w:rsid w:val="00C804FA"/>
    <w:rsid w:val="00C82D91"/>
    <w:rsid w:val="00C82E68"/>
    <w:rsid w:val="00C862B3"/>
    <w:rsid w:val="00C87690"/>
    <w:rsid w:val="00C87B3D"/>
    <w:rsid w:val="00C92F00"/>
    <w:rsid w:val="00C936E3"/>
    <w:rsid w:val="00C93DA5"/>
    <w:rsid w:val="00C9452A"/>
    <w:rsid w:val="00C94FA3"/>
    <w:rsid w:val="00C9774D"/>
    <w:rsid w:val="00CA00CA"/>
    <w:rsid w:val="00CA0334"/>
    <w:rsid w:val="00CA2884"/>
    <w:rsid w:val="00CA2953"/>
    <w:rsid w:val="00CA3206"/>
    <w:rsid w:val="00CA348C"/>
    <w:rsid w:val="00CA4CD5"/>
    <w:rsid w:val="00CA68AA"/>
    <w:rsid w:val="00CB12D2"/>
    <w:rsid w:val="00CB3280"/>
    <w:rsid w:val="00CB336C"/>
    <w:rsid w:val="00CB3F09"/>
    <w:rsid w:val="00CB4283"/>
    <w:rsid w:val="00CB4873"/>
    <w:rsid w:val="00CB57BD"/>
    <w:rsid w:val="00CB618B"/>
    <w:rsid w:val="00CC1A9F"/>
    <w:rsid w:val="00CC1C9A"/>
    <w:rsid w:val="00CC252A"/>
    <w:rsid w:val="00CC4493"/>
    <w:rsid w:val="00CC44BA"/>
    <w:rsid w:val="00CC47DB"/>
    <w:rsid w:val="00CC5D81"/>
    <w:rsid w:val="00CC7B84"/>
    <w:rsid w:val="00CD275C"/>
    <w:rsid w:val="00CD4231"/>
    <w:rsid w:val="00CD4AF0"/>
    <w:rsid w:val="00CD7B4A"/>
    <w:rsid w:val="00CE3A30"/>
    <w:rsid w:val="00CE4050"/>
    <w:rsid w:val="00CE4F1D"/>
    <w:rsid w:val="00CE602D"/>
    <w:rsid w:val="00CE65F8"/>
    <w:rsid w:val="00CE792C"/>
    <w:rsid w:val="00CE7DD4"/>
    <w:rsid w:val="00CF59F8"/>
    <w:rsid w:val="00CF615A"/>
    <w:rsid w:val="00CF745F"/>
    <w:rsid w:val="00D0047C"/>
    <w:rsid w:val="00D01366"/>
    <w:rsid w:val="00D0265F"/>
    <w:rsid w:val="00D03403"/>
    <w:rsid w:val="00D046B8"/>
    <w:rsid w:val="00D12693"/>
    <w:rsid w:val="00D1359A"/>
    <w:rsid w:val="00D22FAB"/>
    <w:rsid w:val="00D258FD"/>
    <w:rsid w:val="00D26687"/>
    <w:rsid w:val="00D2689C"/>
    <w:rsid w:val="00D26B80"/>
    <w:rsid w:val="00D30EE3"/>
    <w:rsid w:val="00D329C5"/>
    <w:rsid w:val="00D3321C"/>
    <w:rsid w:val="00D337F6"/>
    <w:rsid w:val="00D35580"/>
    <w:rsid w:val="00D356EA"/>
    <w:rsid w:val="00D401A6"/>
    <w:rsid w:val="00D409EF"/>
    <w:rsid w:val="00D40B26"/>
    <w:rsid w:val="00D453E0"/>
    <w:rsid w:val="00D5328E"/>
    <w:rsid w:val="00D54F1A"/>
    <w:rsid w:val="00D565F5"/>
    <w:rsid w:val="00D567DA"/>
    <w:rsid w:val="00D577DB"/>
    <w:rsid w:val="00D57E1A"/>
    <w:rsid w:val="00D608B9"/>
    <w:rsid w:val="00D61861"/>
    <w:rsid w:val="00D622CD"/>
    <w:rsid w:val="00D62567"/>
    <w:rsid w:val="00D66575"/>
    <w:rsid w:val="00D70550"/>
    <w:rsid w:val="00D80FD3"/>
    <w:rsid w:val="00D82784"/>
    <w:rsid w:val="00D8528C"/>
    <w:rsid w:val="00D87357"/>
    <w:rsid w:val="00D93C90"/>
    <w:rsid w:val="00D97E72"/>
    <w:rsid w:val="00DA0B4C"/>
    <w:rsid w:val="00DA116F"/>
    <w:rsid w:val="00DA25E7"/>
    <w:rsid w:val="00DA56E9"/>
    <w:rsid w:val="00DA71CC"/>
    <w:rsid w:val="00DB0579"/>
    <w:rsid w:val="00DB697C"/>
    <w:rsid w:val="00DB727B"/>
    <w:rsid w:val="00DB7622"/>
    <w:rsid w:val="00DB7E9D"/>
    <w:rsid w:val="00DC26C6"/>
    <w:rsid w:val="00DC277E"/>
    <w:rsid w:val="00DC3027"/>
    <w:rsid w:val="00DC383B"/>
    <w:rsid w:val="00DC3D1F"/>
    <w:rsid w:val="00DD13E3"/>
    <w:rsid w:val="00DD2ED9"/>
    <w:rsid w:val="00DD33A6"/>
    <w:rsid w:val="00DD4A45"/>
    <w:rsid w:val="00DD63D1"/>
    <w:rsid w:val="00DE0362"/>
    <w:rsid w:val="00DE222A"/>
    <w:rsid w:val="00DE34C7"/>
    <w:rsid w:val="00DE3DF8"/>
    <w:rsid w:val="00DE5E9E"/>
    <w:rsid w:val="00DE7D44"/>
    <w:rsid w:val="00DF0E81"/>
    <w:rsid w:val="00DF1196"/>
    <w:rsid w:val="00DF73D5"/>
    <w:rsid w:val="00E006A4"/>
    <w:rsid w:val="00E01733"/>
    <w:rsid w:val="00E041AA"/>
    <w:rsid w:val="00E0726C"/>
    <w:rsid w:val="00E12C8B"/>
    <w:rsid w:val="00E13696"/>
    <w:rsid w:val="00E15607"/>
    <w:rsid w:val="00E15BD9"/>
    <w:rsid w:val="00E20153"/>
    <w:rsid w:val="00E213C3"/>
    <w:rsid w:val="00E24AF7"/>
    <w:rsid w:val="00E2637A"/>
    <w:rsid w:val="00E31555"/>
    <w:rsid w:val="00E31DCB"/>
    <w:rsid w:val="00E3267B"/>
    <w:rsid w:val="00E350B1"/>
    <w:rsid w:val="00E355CF"/>
    <w:rsid w:val="00E355D3"/>
    <w:rsid w:val="00E37A69"/>
    <w:rsid w:val="00E40E68"/>
    <w:rsid w:val="00E420DA"/>
    <w:rsid w:val="00E432BC"/>
    <w:rsid w:val="00E452FF"/>
    <w:rsid w:val="00E46A23"/>
    <w:rsid w:val="00E471B1"/>
    <w:rsid w:val="00E47253"/>
    <w:rsid w:val="00E52FB0"/>
    <w:rsid w:val="00E5543F"/>
    <w:rsid w:val="00E61183"/>
    <w:rsid w:val="00E61800"/>
    <w:rsid w:val="00E62303"/>
    <w:rsid w:val="00E658A8"/>
    <w:rsid w:val="00E668DA"/>
    <w:rsid w:val="00E676D9"/>
    <w:rsid w:val="00E71800"/>
    <w:rsid w:val="00E73BE6"/>
    <w:rsid w:val="00E73BEC"/>
    <w:rsid w:val="00E73D9E"/>
    <w:rsid w:val="00E73E25"/>
    <w:rsid w:val="00E74949"/>
    <w:rsid w:val="00E74A8E"/>
    <w:rsid w:val="00E76AD5"/>
    <w:rsid w:val="00E82224"/>
    <w:rsid w:val="00E87A83"/>
    <w:rsid w:val="00E96C97"/>
    <w:rsid w:val="00EA09A8"/>
    <w:rsid w:val="00EA3E32"/>
    <w:rsid w:val="00EA6D61"/>
    <w:rsid w:val="00EA704E"/>
    <w:rsid w:val="00EA7F7C"/>
    <w:rsid w:val="00EB2913"/>
    <w:rsid w:val="00EB42BD"/>
    <w:rsid w:val="00EB642C"/>
    <w:rsid w:val="00EC2475"/>
    <w:rsid w:val="00EC4E86"/>
    <w:rsid w:val="00EC5566"/>
    <w:rsid w:val="00EC69E9"/>
    <w:rsid w:val="00ED12A0"/>
    <w:rsid w:val="00ED2D4B"/>
    <w:rsid w:val="00ED4F9C"/>
    <w:rsid w:val="00ED55F8"/>
    <w:rsid w:val="00ED5689"/>
    <w:rsid w:val="00ED697B"/>
    <w:rsid w:val="00ED70F4"/>
    <w:rsid w:val="00EE0B69"/>
    <w:rsid w:val="00EE0F9A"/>
    <w:rsid w:val="00EE1A69"/>
    <w:rsid w:val="00EE5547"/>
    <w:rsid w:val="00EE7CE2"/>
    <w:rsid w:val="00EF6DB6"/>
    <w:rsid w:val="00EF6EF4"/>
    <w:rsid w:val="00F00091"/>
    <w:rsid w:val="00F005E7"/>
    <w:rsid w:val="00F01476"/>
    <w:rsid w:val="00F0190B"/>
    <w:rsid w:val="00F0202B"/>
    <w:rsid w:val="00F02302"/>
    <w:rsid w:val="00F03454"/>
    <w:rsid w:val="00F0494D"/>
    <w:rsid w:val="00F04A09"/>
    <w:rsid w:val="00F05D9E"/>
    <w:rsid w:val="00F06492"/>
    <w:rsid w:val="00F07ED0"/>
    <w:rsid w:val="00F10121"/>
    <w:rsid w:val="00F1264F"/>
    <w:rsid w:val="00F12882"/>
    <w:rsid w:val="00F1424F"/>
    <w:rsid w:val="00F1577A"/>
    <w:rsid w:val="00F21581"/>
    <w:rsid w:val="00F22362"/>
    <w:rsid w:val="00F24C6B"/>
    <w:rsid w:val="00F26850"/>
    <w:rsid w:val="00F274AF"/>
    <w:rsid w:val="00F308B0"/>
    <w:rsid w:val="00F3163A"/>
    <w:rsid w:val="00F3402B"/>
    <w:rsid w:val="00F365E1"/>
    <w:rsid w:val="00F3673E"/>
    <w:rsid w:val="00F400D9"/>
    <w:rsid w:val="00F40471"/>
    <w:rsid w:val="00F43778"/>
    <w:rsid w:val="00F43A25"/>
    <w:rsid w:val="00F44207"/>
    <w:rsid w:val="00F442EF"/>
    <w:rsid w:val="00F44932"/>
    <w:rsid w:val="00F471C7"/>
    <w:rsid w:val="00F509D2"/>
    <w:rsid w:val="00F53E92"/>
    <w:rsid w:val="00F554B2"/>
    <w:rsid w:val="00F579EE"/>
    <w:rsid w:val="00F57BC9"/>
    <w:rsid w:val="00F60225"/>
    <w:rsid w:val="00F61A0A"/>
    <w:rsid w:val="00F61AD6"/>
    <w:rsid w:val="00F641D8"/>
    <w:rsid w:val="00F64532"/>
    <w:rsid w:val="00F66627"/>
    <w:rsid w:val="00F711EC"/>
    <w:rsid w:val="00F71E61"/>
    <w:rsid w:val="00F75713"/>
    <w:rsid w:val="00F75AB0"/>
    <w:rsid w:val="00F75C73"/>
    <w:rsid w:val="00F81536"/>
    <w:rsid w:val="00F85169"/>
    <w:rsid w:val="00F85239"/>
    <w:rsid w:val="00F8527D"/>
    <w:rsid w:val="00F8540D"/>
    <w:rsid w:val="00F90548"/>
    <w:rsid w:val="00F922EF"/>
    <w:rsid w:val="00F937BD"/>
    <w:rsid w:val="00F962DC"/>
    <w:rsid w:val="00FA07CF"/>
    <w:rsid w:val="00FA2F0E"/>
    <w:rsid w:val="00FA4ABC"/>
    <w:rsid w:val="00FA51C6"/>
    <w:rsid w:val="00FA5D2F"/>
    <w:rsid w:val="00FB11E7"/>
    <w:rsid w:val="00FB7C96"/>
    <w:rsid w:val="00FC1F97"/>
    <w:rsid w:val="00FC460B"/>
    <w:rsid w:val="00FC56B8"/>
    <w:rsid w:val="00FC5F20"/>
    <w:rsid w:val="00FC69AF"/>
    <w:rsid w:val="00FC7B5E"/>
    <w:rsid w:val="00FD079E"/>
    <w:rsid w:val="00FD0B41"/>
    <w:rsid w:val="00FD20A0"/>
    <w:rsid w:val="00FD4991"/>
    <w:rsid w:val="00FE0113"/>
    <w:rsid w:val="00FE0A00"/>
    <w:rsid w:val="00FE0D2A"/>
    <w:rsid w:val="00FE417B"/>
    <w:rsid w:val="00FE6AF1"/>
    <w:rsid w:val="00FE7A2E"/>
    <w:rsid w:val="00FF1392"/>
    <w:rsid w:val="00FF2D63"/>
    <w:rsid w:val="00FF403E"/>
    <w:rsid w:val="00FF6ACF"/>
    <w:rsid w:val="00FF7157"/>
    <w:rsid w:val="01086012"/>
    <w:rsid w:val="012F23D2"/>
    <w:rsid w:val="01353E46"/>
    <w:rsid w:val="013D20EF"/>
    <w:rsid w:val="013D4C8F"/>
    <w:rsid w:val="0141555F"/>
    <w:rsid w:val="01425A17"/>
    <w:rsid w:val="01542AFA"/>
    <w:rsid w:val="015E6630"/>
    <w:rsid w:val="016823AF"/>
    <w:rsid w:val="016C75C7"/>
    <w:rsid w:val="018D524F"/>
    <w:rsid w:val="019036D8"/>
    <w:rsid w:val="01A01767"/>
    <w:rsid w:val="01A66FAC"/>
    <w:rsid w:val="01BD4FDC"/>
    <w:rsid w:val="01C42B8B"/>
    <w:rsid w:val="01CE3A0A"/>
    <w:rsid w:val="01E941AE"/>
    <w:rsid w:val="01ED256A"/>
    <w:rsid w:val="01FE504C"/>
    <w:rsid w:val="02201D8C"/>
    <w:rsid w:val="0221105C"/>
    <w:rsid w:val="02240E71"/>
    <w:rsid w:val="022F6268"/>
    <w:rsid w:val="0230144B"/>
    <w:rsid w:val="023E2A8F"/>
    <w:rsid w:val="023F01AC"/>
    <w:rsid w:val="02497F02"/>
    <w:rsid w:val="025C7268"/>
    <w:rsid w:val="025D37A6"/>
    <w:rsid w:val="02630A21"/>
    <w:rsid w:val="027520D7"/>
    <w:rsid w:val="02910656"/>
    <w:rsid w:val="029452C8"/>
    <w:rsid w:val="0299330C"/>
    <w:rsid w:val="029E3E12"/>
    <w:rsid w:val="02AE2F1E"/>
    <w:rsid w:val="02B07476"/>
    <w:rsid w:val="02B12263"/>
    <w:rsid w:val="02B34262"/>
    <w:rsid w:val="02BA6D6B"/>
    <w:rsid w:val="02BC6761"/>
    <w:rsid w:val="02C30781"/>
    <w:rsid w:val="02C32A89"/>
    <w:rsid w:val="02EB23C8"/>
    <w:rsid w:val="02ED4254"/>
    <w:rsid w:val="02F54A67"/>
    <w:rsid w:val="02FB586B"/>
    <w:rsid w:val="032764F6"/>
    <w:rsid w:val="03355FAD"/>
    <w:rsid w:val="03357A15"/>
    <w:rsid w:val="033F6615"/>
    <w:rsid w:val="034A4B76"/>
    <w:rsid w:val="03604B36"/>
    <w:rsid w:val="03646BB0"/>
    <w:rsid w:val="036A455B"/>
    <w:rsid w:val="03700AD7"/>
    <w:rsid w:val="03881BEB"/>
    <w:rsid w:val="03B07722"/>
    <w:rsid w:val="03B94246"/>
    <w:rsid w:val="03C9092D"/>
    <w:rsid w:val="03C947DD"/>
    <w:rsid w:val="03CD0376"/>
    <w:rsid w:val="03E73921"/>
    <w:rsid w:val="03E868D9"/>
    <w:rsid w:val="03EB0F95"/>
    <w:rsid w:val="03F1290E"/>
    <w:rsid w:val="04002E0B"/>
    <w:rsid w:val="040F03FA"/>
    <w:rsid w:val="0412438A"/>
    <w:rsid w:val="04136717"/>
    <w:rsid w:val="041D2A27"/>
    <w:rsid w:val="04332546"/>
    <w:rsid w:val="04533461"/>
    <w:rsid w:val="048D54DF"/>
    <w:rsid w:val="04B51F1A"/>
    <w:rsid w:val="04BD0338"/>
    <w:rsid w:val="04C56D31"/>
    <w:rsid w:val="04CF0F22"/>
    <w:rsid w:val="04D7542D"/>
    <w:rsid w:val="04DD163F"/>
    <w:rsid w:val="04E452F2"/>
    <w:rsid w:val="04E82F5F"/>
    <w:rsid w:val="05084E1A"/>
    <w:rsid w:val="0536624A"/>
    <w:rsid w:val="05476ED2"/>
    <w:rsid w:val="05507187"/>
    <w:rsid w:val="05547F50"/>
    <w:rsid w:val="05586D81"/>
    <w:rsid w:val="056775E0"/>
    <w:rsid w:val="05812096"/>
    <w:rsid w:val="05A174D0"/>
    <w:rsid w:val="05A31C11"/>
    <w:rsid w:val="05A54A82"/>
    <w:rsid w:val="05B6570E"/>
    <w:rsid w:val="05B719DB"/>
    <w:rsid w:val="05D411B5"/>
    <w:rsid w:val="05DC03BC"/>
    <w:rsid w:val="05E03755"/>
    <w:rsid w:val="05E05D39"/>
    <w:rsid w:val="05EE025B"/>
    <w:rsid w:val="05FB2E46"/>
    <w:rsid w:val="06274DE9"/>
    <w:rsid w:val="0643158D"/>
    <w:rsid w:val="06606ACF"/>
    <w:rsid w:val="06632C8A"/>
    <w:rsid w:val="066C44D0"/>
    <w:rsid w:val="067148C9"/>
    <w:rsid w:val="06780BE4"/>
    <w:rsid w:val="067D77AC"/>
    <w:rsid w:val="0688298E"/>
    <w:rsid w:val="06A978A6"/>
    <w:rsid w:val="06BA577F"/>
    <w:rsid w:val="06C373A0"/>
    <w:rsid w:val="06CA61EA"/>
    <w:rsid w:val="06CE3AAD"/>
    <w:rsid w:val="06D3256B"/>
    <w:rsid w:val="06E93094"/>
    <w:rsid w:val="07142FC9"/>
    <w:rsid w:val="0716354A"/>
    <w:rsid w:val="071A113A"/>
    <w:rsid w:val="071A5532"/>
    <w:rsid w:val="073F7F68"/>
    <w:rsid w:val="07433326"/>
    <w:rsid w:val="074D1200"/>
    <w:rsid w:val="07701435"/>
    <w:rsid w:val="078057A6"/>
    <w:rsid w:val="0791006E"/>
    <w:rsid w:val="07A93817"/>
    <w:rsid w:val="07AA51F7"/>
    <w:rsid w:val="07BC4DD3"/>
    <w:rsid w:val="07C16E32"/>
    <w:rsid w:val="07C956F1"/>
    <w:rsid w:val="07DE071F"/>
    <w:rsid w:val="07E724F1"/>
    <w:rsid w:val="07F54B10"/>
    <w:rsid w:val="0805246C"/>
    <w:rsid w:val="080D2DB2"/>
    <w:rsid w:val="08236132"/>
    <w:rsid w:val="0824157E"/>
    <w:rsid w:val="082A5712"/>
    <w:rsid w:val="08365D8B"/>
    <w:rsid w:val="083932FD"/>
    <w:rsid w:val="083C1D74"/>
    <w:rsid w:val="085041EF"/>
    <w:rsid w:val="08664D5B"/>
    <w:rsid w:val="087338E5"/>
    <w:rsid w:val="087E552F"/>
    <w:rsid w:val="08935065"/>
    <w:rsid w:val="08994E2C"/>
    <w:rsid w:val="089E0248"/>
    <w:rsid w:val="08AA7F40"/>
    <w:rsid w:val="08AC09F8"/>
    <w:rsid w:val="08AF1C74"/>
    <w:rsid w:val="08B76FB8"/>
    <w:rsid w:val="08EC3C9C"/>
    <w:rsid w:val="08EF4818"/>
    <w:rsid w:val="08F26284"/>
    <w:rsid w:val="08F57B11"/>
    <w:rsid w:val="08F617F2"/>
    <w:rsid w:val="08F64252"/>
    <w:rsid w:val="08F94C8C"/>
    <w:rsid w:val="08FD0C7A"/>
    <w:rsid w:val="09027DBF"/>
    <w:rsid w:val="090F109A"/>
    <w:rsid w:val="09151314"/>
    <w:rsid w:val="09263609"/>
    <w:rsid w:val="092E2FE0"/>
    <w:rsid w:val="093E5BC8"/>
    <w:rsid w:val="0953633D"/>
    <w:rsid w:val="095867F9"/>
    <w:rsid w:val="09697733"/>
    <w:rsid w:val="09953804"/>
    <w:rsid w:val="099A0675"/>
    <w:rsid w:val="099C034D"/>
    <w:rsid w:val="09A71810"/>
    <w:rsid w:val="09AF52BC"/>
    <w:rsid w:val="09C556F2"/>
    <w:rsid w:val="09C9680A"/>
    <w:rsid w:val="09E33DCA"/>
    <w:rsid w:val="09EA33AB"/>
    <w:rsid w:val="09EA6668"/>
    <w:rsid w:val="0A0501E5"/>
    <w:rsid w:val="0A075D0B"/>
    <w:rsid w:val="0A0A57FB"/>
    <w:rsid w:val="0A193C90"/>
    <w:rsid w:val="0A1A77A1"/>
    <w:rsid w:val="0A3E3D26"/>
    <w:rsid w:val="0A4834F8"/>
    <w:rsid w:val="0A6173D2"/>
    <w:rsid w:val="0A682231"/>
    <w:rsid w:val="0A6825A9"/>
    <w:rsid w:val="0A781198"/>
    <w:rsid w:val="0AAC10E4"/>
    <w:rsid w:val="0AB07E4A"/>
    <w:rsid w:val="0AC93B72"/>
    <w:rsid w:val="0ACA6D38"/>
    <w:rsid w:val="0ACF6036"/>
    <w:rsid w:val="0AD53C26"/>
    <w:rsid w:val="0ADD3B4A"/>
    <w:rsid w:val="0AEE775A"/>
    <w:rsid w:val="0AFF5154"/>
    <w:rsid w:val="0B0260FA"/>
    <w:rsid w:val="0B127FA5"/>
    <w:rsid w:val="0B187C06"/>
    <w:rsid w:val="0B462863"/>
    <w:rsid w:val="0B4B3360"/>
    <w:rsid w:val="0B6153F6"/>
    <w:rsid w:val="0B6C4BE2"/>
    <w:rsid w:val="0B895D1E"/>
    <w:rsid w:val="0B903157"/>
    <w:rsid w:val="0B9335CE"/>
    <w:rsid w:val="0BA653BF"/>
    <w:rsid w:val="0BAC6F99"/>
    <w:rsid w:val="0BCD1EAC"/>
    <w:rsid w:val="0BCF142C"/>
    <w:rsid w:val="0BDC319A"/>
    <w:rsid w:val="0BFB783E"/>
    <w:rsid w:val="0BFD5373"/>
    <w:rsid w:val="0BFD6481"/>
    <w:rsid w:val="0C0F0CD9"/>
    <w:rsid w:val="0C122745"/>
    <w:rsid w:val="0C631998"/>
    <w:rsid w:val="0C6821F6"/>
    <w:rsid w:val="0C8170B4"/>
    <w:rsid w:val="0C990787"/>
    <w:rsid w:val="0C992D4F"/>
    <w:rsid w:val="0CA529C0"/>
    <w:rsid w:val="0CAC2B9A"/>
    <w:rsid w:val="0CAE3A50"/>
    <w:rsid w:val="0CB35CD6"/>
    <w:rsid w:val="0CBF15FF"/>
    <w:rsid w:val="0CC20F4F"/>
    <w:rsid w:val="0CD8398F"/>
    <w:rsid w:val="0CD91857"/>
    <w:rsid w:val="0CDA4E4E"/>
    <w:rsid w:val="0CF258A4"/>
    <w:rsid w:val="0D212A41"/>
    <w:rsid w:val="0D214045"/>
    <w:rsid w:val="0D215F2C"/>
    <w:rsid w:val="0D314FE6"/>
    <w:rsid w:val="0D330BC5"/>
    <w:rsid w:val="0D3F6573"/>
    <w:rsid w:val="0D540C02"/>
    <w:rsid w:val="0D571C0F"/>
    <w:rsid w:val="0D637F0E"/>
    <w:rsid w:val="0D645222"/>
    <w:rsid w:val="0D6A5410"/>
    <w:rsid w:val="0D794CB6"/>
    <w:rsid w:val="0D8324ED"/>
    <w:rsid w:val="0D8F059D"/>
    <w:rsid w:val="0D8F5855"/>
    <w:rsid w:val="0D936D15"/>
    <w:rsid w:val="0D9827E5"/>
    <w:rsid w:val="0DAF3D29"/>
    <w:rsid w:val="0DC466B9"/>
    <w:rsid w:val="0DC54945"/>
    <w:rsid w:val="0DF25BA4"/>
    <w:rsid w:val="0DFD573A"/>
    <w:rsid w:val="0DFE1012"/>
    <w:rsid w:val="0E0B029F"/>
    <w:rsid w:val="0E230373"/>
    <w:rsid w:val="0E2A41ED"/>
    <w:rsid w:val="0E30302E"/>
    <w:rsid w:val="0E351EED"/>
    <w:rsid w:val="0E397874"/>
    <w:rsid w:val="0E461B92"/>
    <w:rsid w:val="0E6059EA"/>
    <w:rsid w:val="0E632208"/>
    <w:rsid w:val="0E844468"/>
    <w:rsid w:val="0E8A39F1"/>
    <w:rsid w:val="0E9E135B"/>
    <w:rsid w:val="0EA44F43"/>
    <w:rsid w:val="0EA62844"/>
    <w:rsid w:val="0EC2669E"/>
    <w:rsid w:val="0ED75315"/>
    <w:rsid w:val="0ED756CF"/>
    <w:rsid w:val="0EE34A0A"/>
    <w:rsid w:val="0EEF23A4"/>
    <w:rsid w:val="0F2500FF"/>
    <w:rsid w:val="0F2A7DB7"/>
    <w:rsid w:val="0F2D61D9"/>
    <w:rsid w:val="0F43254D"/>
    <w:rsid w:val="0F45451E"/>
    <w:rsid w:val="0F5372FC"/>
    <w:rsid w:val="0F543C48"/>
    <w:rsid w:val="0F54568B"/>
    <w:rsid w:val="0F6801CF"/>
    <w:rsid w:val="0F73799F"/>
    <w:rsid w:val="0F7F71A8"/>
    <w:rsid w:val="0F851480"/>
    <w:rsid w:val="0F9B0554"/>
    <w:rsid w:val="0FAF5422"/>
    <w:rsid w:val="0FAF5990"/>
    <w:rsid w:val="0FB271E8"/>
    <w:rsid w:val="0FB3423F"/>
    <w:rsid w:val="0FB73D2F"/>
    <w:rsid w:val="0FBF1392"/>
    <w:rsid w:val="0FD84D52"/>
    <w:rsid w:val="0FD93801"/>
    <w:rsid w:val="0FDC41E3"/>
    <w:rsid w:val="0FE95EB3"/>
    <w:rsid w:val="100C40A0"/>
    <w:rsid w:val="10131FB5"/>
    <w:rsid w:val="10176676"/>
    <w:rsid w:val="1031732E"/>
    <w:rsid w:val="10327E3A"/>
    <w:rsid w:val="10374301"/>
    <w:rsid w:val="10394E9C"/>
    <w:rsid w:val="103A764D"/>
    <w:rsid w:val="103B6EC4"/>
    <w:rsid w:val="10457DEF"/>
    <w:rsid w:val="10482BD9"/>
    <w:rsid w:val="104A6951"/>
    <w:rsid w:val="105628E7"/>
    <w:rsid w:val="105A27E6"/>
    <w:rsid w:val="108120DC"/>
    <w:rsid w:val="108950E7"/>
    <w:rsid w:val="109135C4"/>
    <w:rsid w:val="10A4426E"/>
    <w:rsid w:val="10B656D8"/>
    <w:rsid w:val="10BB6F68"/>
    <w:rsid w:val="10C37A22"/>
    <w:rsid w:val="10C556C7"/>
    <w:rsid w:val="10C55FD8"/>
    <w:rsid w:val="10F772EF"/>
    <w:rsid w:val="11017A58"/>
    <w:rsid w:val="11023D17"/>
    <w:rsid w:val="110F34C8"/>
    <w:rsid w:val="11491151"/>
    <w:rsid w:val="1159543F"/>
    <w:rsid w:val="116230D1"/>
    <w:rsid w:val="116A7E05"/>
    <w:rsid w:val="11722460"/>
    <w:rsid w:val="117A4F14"/>
    <w:rsid w:val="119D6F55"/>
    <w:rsid w:val="11CB1987"/>
    <w:rsid w:val="11D529F0"/>
    <w:rsid w:val="11DC5FC8"/>
    <w:rsid w:val="11E71072"/>
    <w:rsid w:val="11F55D84"/>
    <w:rsid w:val="11F95233"/>
    <w:rsid w:val="11FE73E1"/>
    <w:rsid w:val="1206271C"/>
    <w:rsid w:val="120839F3"/>
    <w:rsid w:val="120E39AF"/>
    <w:rsid w:val="12114BE2"/>
    <w:rsid w:val="121911ED"/>
    <w:rsid w:val="12261816"/>
    <w:rsid w:val="122816CA"/>
    <w:rsid w:val="122B528F"/>
    <w:rsid w:val="1231523F"/>
    <w:rsid w:val="12392AE3"/>
    <w:rsid w:val="12421044"/>
    <w:rsid w:val="127A5380"/>
    <w:rsid w:val="12957C2C"/>
    <w:rsid w:val="1298079E"/>
    <w:rsid w:val="12AD5EBA"/>
    <w:rsid w:val="12B10442"/>
    <w:rsid w:val="12C319F0"/>
    <w:rsid w:val="12CB7F7B"/>
    <w:rsid w:val="12D57B5A"/>
    <w:rsid w:val="12D60970"/>
    <w:rsid w:val="12DA74FD"/>
    <w:rsid w:val="130354DD"/>
    <w:rsid w:val="13160E95"/>
    <w:rsid w:val="131D4A08"/>
    <w:rsid w:val="132A077A"/>
    <w:rsid w:val="132B4874"/>
    <w:rsid w:val="13365D96"/>
    <w:rsid w:val="133833D9"/>
    <w:rsid w:val="13401CF4"/>
    <w:rsid w:val="13474541"/>
    <w:rsid w:val="13597FDE"/>
    <w:rsid w:val="13610A7C"/>
    <w:rsid w:val="1370511E"/>
    <w:rsid w:val="138A2CF3"/>
    <w:rsid w:val="139600FA"/>
    <w:rsid w:val="139B1B3C"/>
    <w:rsid w:val="13AC7923"/>
    <w:rsid w:val="13BB36C2"/>
    <w:rsid w:val="13C163E4"/>
    <w:rsid w:val="13CF69C3"/>
    <w:rsid w:val="13E63AA6"/>
    <w:rsid w:val="13EB21F9"/>
    <w:rsid w:val="13F175F7"/>
    <w:rsid w:val="13F85DC5"/>
    <w:rsid w:val="13FC3073"/>
    <w:rsid w:val="14002DA6"/>
    <w:rsid w:val="141601C0"/>
    <w:rsid w:val="14183270"/>
    <w:rsid w:val="141D447E"/>
    <w:rsid w:val="141D6B0B"/>
    <w:rsid w:val="142D6F89"/>
    <w:rsid w:val="144554E0"/>
    <w:rsid w:val="144C2ACB"/>
    <w:rsid w:val="145908CD"/>
    <w:rsid w:val="146975C2"/>
    <w:rsid w:val="148617D9"/>
    <w:rsid w:val="149258A7"/>
    <w:rsid w:val="149321EC"/>
    <w:rsid w:val="14A979BF"/>
    <w:rsid w:val="14AA6C47"/>
    <w:rsid w:val="14AD74AF"/>
    <w:rsid w:val="14B81325"/>
    <w:rsid w:val="14BB5770"/>
    <w:rsid w:val="14CA4494"/>
    <w:rsid w:val="14DD13B5"/>
    <w:rsid w:val="14DF1102"/>
    <w:rsid w:val="14E74E80"/>
    <w:rsid w:val="14FB05D3"/>
    <w:rsid w:val="14FB1DB1"/>
    <w:rsid w:val="1507775C"/>
    <w:rsid w:val="15082EFA"/>
    <w:rsid w:val="15107A3E"/>
    <w:rsid w:val="15214D63"/>
    <w:rsid w:val="1531629A"/>
    <w:rsid w:val="153E6FE7"/>
    <w:rsid w:val="15535F3F"/>
    <w:rsid w:val="155C3CBE"/>
    <w:rsid w:val="15697093"/>
    <w:rsid w:val="15760076"/>
    <w:rsid w:val="157E5DA4"/>
    <w:rsid w:val="159F6FD6"/>
    <w:rsid w:val="15A5462A"/>
    <w:rsid w:val="15B01BBF"/>
    <w:rsid w:val="15EC3B3E"/>
    <w:rsid w:val="15F1786F"/>
    <w:rsid w:val="15F46C2A"/>
    <w:rsid w:val="16121567"/>
    <w:rsid w:val="16175528"/>
    <w:rsid w:val="162D4D4B"/>
    <w:rsid w:val="16343F81"/>
    <w:rsid w:val="163948ED"/>
    <w:rsid w:val="164275F4"/>
    <w:rsid w:val="164717FA"/>
    <w:rsid w:val="16501227"/>
    <w:rsid w:val="1654148B"/>
    <w:rsid w:val="165710DF"/>
    <w:rsid w:val="16573B76"/>
    <w:rsid w:val="165B71D5"/>
    <w:rsid w:val="16700A7A"/>
    <w:rsid w:val="16734728"/>
    <w:rsid w:val="167D1103"/>
    <w:rsid w:val="1683572D"/>
    <w:rsid w:val="169E0BEA"/>
    <w:rsid w:val="16AF7EFC"/>
    <w:rsid w:val="16DD2BAC"/>
    <w:rsid w:val="16F70EB5"/>
    <w:rsid w:val="17191BC1"/>
    <w:rsid w:val="17197085"/>
    <w:rsid w:val="172460AC"/>
    <w:rsid w:val="172B1987"/>
    <w:rsid w:val="173054B2"/>
    <w:rsid w:val="17424EAD"/>
    <w:rsid w:val="174C1699"/>
    <w:rsid w:val="17544559"/>
    <w:rsid w:val="175E7E76"/>
    <w:rsid w:val="1763479D"/>
    <w:rsid w:val="178667F0"/>
    <w:rsid w:val="178A4C4F"/>
    <w:rsid w:val="17942AA9"/>
    <w:rsid w:val="17987255"/>
    <w:rsid w:val="179928AA"/>
    <w:rsid w:val="17A739C7"/>
    <w:rsid w:val="17C212EB"/>
    <w:rsid w:val="17C42121"/>
    <w:rsid w:val="17D82A95"/>
    <w:rsid w:val="17FB6C91"/>
    <w:rsid w:val="18053F1E"/>
    <w:rsid w:val="18085749"/>
    <w:rsid w:val="180B6D06"/>
    <w:rsid w:val="181A3262"/>
    <w:rsid w:val="181C3FF8"/>
    <w:rsid w:val="18365CFA"/>
    <w:rsid w:val="184114A1"/>
    <w:rsid w:val="18425C49"/>
    <w:rsid w:val="186969E3"/>
    <w:rsid w:val="188C7694"/>
    <w:rsid w:val="18A64941"/>
    <w:rsid w:val="18A92683"/>
    <w:rsid w:val="18BE3F0D"/>
    <w:rsid w:val="18C140E3"/>
    <w:rsid w:val="18CD6371"/>
    <w:rsid w:val="18DA0A8E"/>
    <w:rsid w:val="18DC03A2"/>
    <w:rsid w:val="18E11EA5"/>
    <w:rsid w:val="18FA4C8D"/>
    <w:rsid w:val="19054750"/>
    <w:rsid w:val="19083037"/>
    <w:rsid w:val="19092828"/>
    <w:rsid w:val="19103908"/>
    <w:rsid w:val="1933462F"/>
    <w:rsid w:val="19390D64"/>
    <w:rsid w:val="19554C37"/>
    <w:rsid w:val="19566DB3"/>
    <w:rsid w:val="196279A1"/>
    <w:rsid w:val="198040A4"/>
    <w:rsid w:val="198C37FE"/>
    <w:rsid w:val="19A941C1"/>
    <w:rsid w:val="19AE5ACF"/>
    <w:rsid w:val="19AF5A77"/>
    <w:rsid w:val="19B3071D"/>
    <w:rsid w:val="19B675DA"/>
    <w:rsid w:val="19C57049"/>
    <w:rsid w:val="19C637E5"/>
    <w:rsid w:val="19C721FB"/>
    <w:rsid w:val="19CE5CD8"/>
    <w:rsid w:val="19F02EFF"/>
    <w:rsid w:val="1A052165"/>
    <w:rsid w:val="1A063EF5"/>
    <w:rsid w:val="1A0F3AD5"/>
    <w:rsid w:val="1A0F6516"/>
    <w:rsid w:val="1A0F7374"/>
    <w:rsid w:val="1A142D27"/>
    <w:rsid w:val="1A1816AF"/>
    <w:rsid w:val="1A302494"/>
    <w:rsid w:val="1A330E88"/>
    <w:rsid w:val="1A526C55"/>
    <w:rsid w:val="1A60672B"/>
    <w:rsid w:val="1A630F50"/>
    <w:rsid w:val="1A6732FB"/>
    <w:rsid w:val="1A7929A3"/>
    <w:rsid w:val="1A7B4669"/>
    <w:rsid w:val="1A870B38"/>
    <w:rsid w:val="1A8C5DB8"/>
    <w:rsid w:val="1A8C6CF6"/>
    <w:rsid w:val="1A9417D9"/>
    <w:rsid w:val="1AA572B8"/>
    <w:rsid w:val="1AA70EB7"/>
    <w:rsid w:val="1AAA4949"/>
    <w:rsid w:val="1AB31D2F"/>
    <w:rsid w:val="1AC00AAF"/>
    <w:rsid w:val="1ACE55DA"/>
    <w:rsid w:val="1ACE6054"/>
    <w:rsid w:val="1ACE6D27"/>
    <w:rsid w:val="1AE0038B"/>
    <w:rsid w:val="1AF000F5"/>
    <w:rsid w:val="1B397563"/>
    <w:rsid w:val="1B403FA5"/>
    <w:rsid w:val="1B450A9E"/>
    <w:rsid w:val="1B481CDF"/>
    <w:rsid w:val="1B4B17D0"/>
    <w:rsid w:val="1B524326"/>
    <w:rsid w:val="1B55168B"/>
    <w:rsid w:val="1B63458F"/>
    <w:rsid w:val="1B645069"/>
    <w:rsid w:val="1B7D1BE7"/>
    <w:rsid w:val="1B7D1D15"/>
    <w:rsid w:val="1B8637EA"/>
    <w:rsid w:val="1B966EEF"/>
    <w:rsid w:val="1BDD1B28"/>
    <w:rsid w:val="1BE57F51"/>
    <w:rsid w:val="1C022610"/>
    <w:rsid w:val="1C037CCC"/>
    <w:rsid w:val="1C085913"/>
    <w:rsid w:val="1C0876C1"/>
    <w:rsid w:val="1C2F4A48"/>
    <w:rsid w:val="1C37598E"/>
    <w:rsid w:val="1C400DCC"/>
    <w:rsid w:val="1C4A3D51"/>
    <w:rsid w:val="1C550B58"/>
    <w:rsid w:val="1C6062B5"/>
    <w:rsid w:val="1C656B00"/>
    <w:rsid w:val="1C657709"/>
    <w:rsid w:val="1C6D522B"/>
    <w:rsid w:val="1C762201"/>
    <w:rsid w:val="1C87757C"/>
    <w:rsid w:val="1C911F05"/>
    <w:rsid w:val="1C9232F2"/>
    <w:rsid w:val="1C943E77"/>
    <w:rsid w:val="1C993860"/>
    <w:rsid w:val="1CB517E1"/>
    <w:rsid w:val="1CBF5FD1"/>
    <w:rsid w:val="1CC07FCD"/>
    <w:rsid w:val="1CCD060E"/>
    <w:rsid w:val="1CD4109A"/>
    <w:rsid w:val="1CDE3631"/>
    <w:rsid w:val="1CE814D1"/>
    <w:rsid w:val="1CFE11B3"/>
    <w:rsid w:val="1D00167E"/>
    <w:rsid w:val="1D01132A"/>
    <w:rsid w:val="1D022EEB"/>
    <w:rsid w:val="1D2C5B34"/>
    <w:rsid w:val="1D3444B7"/>
    <w:rsid w:val="1D3A1AFC"/>
    <w:rsid w:val="1D3F2887"/>
    <w:rsid w:val="1D413DD6"/>
    <w:rsid w:val="1D442082"/>
    <w:rsid w:val="1D467DF1"/>
    <w:rsid w:val="1D494085"/>
    <w:rsid w:val="1D6104E9"/>
    <w:rsid w:val="1D6D5E73"/>
    <w:rsid w:val="1D6E2EA0"/>
    <w:rsid w:val="1D7C0366"/>
    <w:rsid w:val="1D90430C"/>
    <w:rsid w:val="1DA228F6"/>
    <w:rsid w:val="1DA26C67"/>
    <w:rsid w:val="1DB571C9"/>
    <w:rsid w:val="1DBF6F58"/>
    <w:rsid w:val="1DFC5003"/>
    <w:rsid w:val="1E2527AC"/>
    <w:rsid w:val="1E2851F8"/>
    <w:rsid w:val="1E2A3F9F"/>
    <w:rsid w:val="1E65546D"/>
    <w:rsid w:val="1E7B6900"/>
    <w:rsid w:val="1E933E22"/>
    <w:rsid w:val="1EB60A31"/>
    <w:rsid w:val="1EC6457D"/>
    <w:rsid w:val="1EC7170B"/>
    <w:rsid w:val="1EC7534C"/>
    <w:rsid w:val="1ECD7160"/>
    <w:rsid w:val="1ED34F83"/>
    <w:rsid w:val="1ED4353F"/>
    <w:rsid w:val="1ED641E3"/>
    <w:rsid w:val="1EED4935"/>
    <w:rsid w:val="1EF15FC6"/>
    <w:rsid w:val="1F196F16"/>
    <w:rsid w:val="1F1F544D"/>
    <w:rsid w:val="1F2667DB"/>
    <w:rsid w:val="1F294330"/>
    <w:rsid w:val="1F2A3EE6"/>
    <w:rsid w:val="1F5164BE"/>
    <w:rsid w:val="1F530AFF"/>
    <w:rsid w:val="1F550636"/>
    <w:rsid w:val="1F6725BD"/>
    <w:rsid w:val="1F6F0182"/>
    <w:rsid w:val="1F751014"/>
    <w:rsid w:val="1F7A16FF"/>
    <w:rsid w:val="1F841E94"/>
    <w:rsid w:val="1F86410F"/>
    <w:rsid w:val="1F987D78"/>
    <w:rsid w:val="1FAD0B55"/>
    <w:rsid w:val="1FB57B5F"/>
    <w:rsid w:val="1FBA786C"/>
    <w:rsid w:val="1FC55FF4"/>
    <w:rsid w:val="1FDF7221"/>
    <w:rsid w:val="1FE07DD2"/>
    <w:rsid w:val="1FF30506"/>
    <w:rsid w:val="1FF72B1D"/>
    <w:rsid w:val="2000702C"/>
    <w:rsid w:val="200821DD"/>
    <w:rsid w:val="201952D2"/>
    <w:rsid w:val="201E74B3"/>
    <w:rsid w:val="2020109E"/>
    <w:rsid w:val="20220096"/>
    <w:rsid w:val="202816B6"/>
    <w:rsid w:val="20352DB6"/>
    <w:rsid w:val="204E725A"/>
    <w:rsid w:val="205050F3"/>
    <w:rsid w:val="20665891"/>
    <w:rsid w:val="208241B4"/>
    <w:rsid w:val="208F5999"/>
    <w:rsid w:val="20A12C39"/>
    <w:rsid w:val="20B05494"/>
    <w:rsid w:val="20BD4F1E"/>
    <w:rsid w:val="20D109C9"/>
    <w:rsid w:val="20EE5770"/>
    <w:rsid w:val="2107261C"/>
    <w:rsid w:val="21147FEE"/>
    <w:rsid w:val="21154D5A"/>
    <w:rsid w:val="2132760F"/>
    <w:rsid w:val="213F7E47"/>
    <w:rsid w:val="21592FEC"/>
    <w:rsid w:val="215B2DFE"/>
    <w:rsid w:val="215C5CD9"/>
    <w:rsid w:val="215E3FAB"/>
    <w:rsid w:val="215F2E6D"/>
    <w:rsid w:val="218B2E3C"/>
    <w:rsid w:val="219E13DD"/>
    <w:rsid w:val="21B5456C"/>
    <w:rsid w:val="21C0289A"/>
    <w:rsid w:val="21C314C7"/>
    <w:rsid w:val="21CB366A"/>
    <w:rsid w:val="21E53DD4"/>
    <w:rsid w:val="21FE67C3"/>
    <w:rsid w:val="21FF567A"/>
    <w:rsid w:val="220019CB"/>
    <w:rsid w:val="22080E1D"/>
    <w:rsid w:val="222E4A4B"/>
    <w:rsid w:val="224564ED"/>
    <w:rsid w:val="225B1C1A"/>
    <w:rsid w:val="22655D1C"/>
    <w:rsid w:val="227A5579"/>
    <w:rsid w:val="227B3EC3"/>
    <w:rsid w:val="22AC6E9D"/>
    <w:rsid w:val="22AF6B28"/>
    <w:rsid w:val="22BF1959"/>
    <w:rsid w:val="22F83FEB"/>
    <w:rsid w:val="22FE3A70"/>
    <w:rsid w:val="23007343"/>
    <w:rsid w:val="230A1D1E"/>
    <w:rsid w:val="230F3D0A"/>
    <w:rsid w:val="232E3EB1"/>
    <w:rsid w:val="23341448"/>
    <w:rsid w:val="23385650"/>
    <w:rsid w:val="23425BAE"/>
    <w:rsid w:val="23517B9F"/>
    <w:rsid w:val="23531B69"/>
    <w:rsid w:val="235C6C70"/>
    <w:rsid w:val="237F04EF"/>
    <w:rsid w:val="23841437"/>
    <w:rsid w:val="238A3CA3"/>
    <w:rsid w:val="23AF4708"/>
    <w:rsid w:val="23C16A9A"/>
    <w:rsid w:val="23C465C3"/>
    <w:rsid w:val="23E66003"/>
    <w:rsid w:val="23F80076"/>
    <w:rsid w:val="23FE2FB7"/>
    <w:rsid w:val="23FE3AF7"/>
    <w:rsid w:val="241B7142"/>
    <w:rsid w:val="24452007"/>
    <w:rsid w:val="244802C7"/>
    <w:rsid w:val="244C0B39"/>
    <w:rsid w:val="24587F82"/>
    <w:rsid w:val="245A32E7"/>
    <w:rsid w:val="24635935"/>
    <w:rsid w:val="24660E6A"/>
    <w:rsid w:val="24665559"/>
    <w:rsid w:val="24691825"/>
    <w:rsid w:val="248E0BEE"/>
    <w:rsid w:val="249222CA"/>
    <w:rsid w:val="24B056E4"/>
    <w:rsid w:val="24CC572F"/>
    <w:rsid w:val="24CF65FC"/>
    <w:rsid w:val="24D258A5"/>
    <w:rsid w:val="24DA6A74"/>
    <w:rsid w:val="24DB4BCD"/>
    <w:rsid w:val="24E53F53"/>
    <w:rsid w:val="24F602A0"/>
    <w:rsid w:val="250025A0"/>
    <w:rsid w:val="25296C9F"/>
    <w:rsid w:val="25401D76"/>
    <w:rsid w:val="2544236B"/>
    <w:rsid w:val="25453733"/>
    <w:rsid w:val="254F010E"/>
    <w:rsid w:val="256C3562"/>
    <w:rsid w:val="257F6C45"/>
    <w:rsid w:val="258C736F"/>
    <w:rsid w:val="25977271"/>
    <w:rsid w:val="259B2D68"/>
    <w:rsid w:val="259E7D45"/>
    <w:rsid w:val="25A6077B"/>
    <w:rsid w:val="25A941CC"/>
    <w:rsid w:val="25A97E1E"/>
    <w:rsid w:val="25B40CD0"/>
    <w:rsid w:val="25BF4424"/>
    <w:rsid w:val="25C17AFA"/>
    <w:rsid w:val="25C251DB"/>
    <w:rsid w:val="25E00E0C"/>
    <w:rsid w:val="25EF379B"/>
    <w:rsid w:val="25F34B9A"/>
    <w:rsid w:val="260C11C1"/>
    <w:rsid w:val="261049C1"/>
    <w:rsid w:val="261E645E"/>
    <w:rsid w:val="26383109"/>
    <w:rsid w:val="2641214D"/>
    <w:rsid w:val="26597FFC"/>
    <w:rsid w:val="26697AAB"/>
    <w:rsid w:val="266D2F42"/>
    <w:rsid w:val="2673065B"/>
    <w:rsid w:val="26746071"/>
    <w:rsid w:val="267839D3"/>
    <w:rsid w:val="26802C75"/>
    <w:rsid w:val="268423E1"/>
    <w:rsid w:val="26890627"/>
    <w:rsid w:val="26937CAB"/>
    <w:rsid w:val="26A43060"/>
    <w:rsid w:val="26BB1EFF"/>
    <w:rsid w:val="26BB2001"/>
    <w:rsid w:val="26C467F8"/>
    <w:rsid w:val="26E35358"/>
    <w:rsid w:val="270E00FE"/>
    <w:rsid w:val="270E298C"/>
    <w:rsid w:val="270E29F5"/>
    <w:rsid w:val="271512D2"/>
    <w:rsid w:val="272A0E33"/>
    <w:rsid w:val="272A2D2F"/>
    <w:rsid w:val="274020AE"/>
    <w:rsid w:val="27446B6F"/>
    <w:rsid w:val="274F752C"/>
    <w:rsid w:val="27520933"/>
    <w:rsid w:val="27584657"/>
    <w:rsid w:val="275E5A93"/>
    <w:rsid w:val="27736226"/>
    <w:rsid w:val="27755DA7"/>
    <w:rsid w:val="277C7F9A"/>
    <w:rsid w:val="279D2924"/>
    <w:rsid w:val="27A52E1A"/>
    <w:rsid w:val="27AC7A9A"/>
    <w:rsid w:val="27C53958"/>
    <w:rsid w:val="27D36D37"/>
    <w:rsid w:val="27DA4B73"/>
    <w:rsid w:val="27E61F25"/>
    <w:rsid w:val="27EC31BB"/>
    <w:rsid w:val="27ED2CBD"/>
    <w:rsid w:val="27F63DA6"/>
    <w:rsid w:val="27FA5CB6"/>
    <w:rsid w:val="280D34EA"/>
    <w:rsid w:val="281466B1"/>
    <w:rsid w:val="281713B7"/>
    <w:rsid w:val="281824A7"/>
    <w:rsid w:val="28312BBF"/>
    <w:rsid w:val="283B7736"/>
    <w:rsid w:val="285F673E"/>
    <w:rsid w:val="28644CCA"/>
    <w:rsid w:val="28687E65"/>
    <w:rsid w:val="28732D83"/>
    <w:rsid w:val="288F6949"/>
    <w:rsid w:val="28911AF2"/>
    <w:rsid w:val="289151CA"/>
    <w:rsid w:val="28A10C81"/>
    <w:rsid w:val="28A2680F"/>
    <w:rsid w:val="28DF17A9"/>
    <w:rsid w:val="28EB31BC"/>
    <w:rsid w:val="28EB583C"/>
    <w:rsid w:val="28EC2844"/>
    <w:rsid w:val="28F402DA"/>
    <w:rsid w:val="28FC78BE"/>
    <w:rsid w:val="29000A40"/>
    <w:rsid w:val="290F29AF"/>
    <w:rsid w:val="292D0766"/>
    <w:rsid w:val="29332221"/>
    <w:rsid w:val="293634F4"/>
    <w:rsid w:val="29600B3C"/>
    <w:rsid w:val="29606D8E"/>
    <w:rsid w:val="29671ECA"/>
    <w:rsid w:val="29770361"/>
    <w:rsid w:val="2985201E"/>
    <w:rsid w:val="29C55899"/>
    <w:rsid w:val="29D3130E"/>
    <w:rsid w:val="29F2147C"/>
    <w:rsid w:val="2A0C4A40"/>
    <w:rsid w:val="2A0D3DED"/>
    <w:rsid w:val="2A104310"/>
    <w:rsid w:val="2A134AF4"/>
    <w:rsid w:val="2A255C2B"/>
    <w:rsid w:val="2A2B7BC9"/>
    <w:rsid w:val="2A3A5DF9"/>
    <w:rsid w:val="2A4926C2"/>
    <w:rsid w:val="2A4B107A"/>
    <w:rsid w:val="2A4D2BFD"/>
    <w:rsid w:val="2A530EDF"/>
    <w:rsid w:val="2A574428"/>
    <w:rsid w:val="2A5F6992"/>
    <w:rsid w:val="2A7949E3"/>
    <w:rsid w:val="2A80647C"/>
    <w:rsid w:val="2A8E62B6"/>
    <w:rsid w:val="2A9572CC"/>
    <w:rsid w:val="2AA9206F"/>
    <w:rsid w:val="2AD81233"/>
    <w:rsid w:val="2AE63EFE"/>
    <w:rsid w:val="2B053749"/>
    <w:rsid w:val="2B160FCB"/>
    <w:rsid w:val="2B195446"/>
    <w:rsid w:val="2B2E227F"/>
    <w:rsid w:val="2B2F07C6"/>
    <w:rsid w:val="2B3404E2"/>
    <w:rsid w:val="2B363CF4"/>
    <w:rsid w:val="2B3A7305"/>
    <w:rsid w:val="2B425FD0"/>
    <w:rsid w:val="2B4268A6"/>
    <w:rsid w:val="2B536BAA"/>
    <w:rsid w:val="2B6375A1"/>
    <w:rsid w:val="2B8C79C6"/>
    <w:rsid w:val="2B9B40AD"/>
    <w:rsid w:val="2B9B4F58"/>
    <w:rsid w:val="2BA3696C"/>
    <w:rsid w:val="2BAA0794"/>
    <w:rsid w:val="2BB67A51"/>
    <w:rsid w:val="2BB769EE"/>
    <w:rsid w:val="2BB8130D"/>
    <w:rsid w:val="2BC058C2"/>
    <w:rsid w:val="2BC1223D"/>
    <w:rsid w:val="2BC40014"/>
    <w:rsid w:val="2BC51B34"/>
    <w:rsid w:val="2BDE3F9A"/>
    <w:rsid w:val="2BE07D12"/>
    <w:rsid w:val="2BF95140"/>
    <w:rsid w:val="2C063C1D"/>
    <w:rsid w:val="2C0B194E"/>
    <w:rsid w:val="2C1A4F62"/>
    <w:rsid w:val="2C3447BE"/>
    <w:rsid w:val="2C3C07B5"/>
    <w:rsid w:val="2C3D3C75"/>
    <w:rsid w:val="2C4B420E"/>
    <w:rsid w:val="2C56006A"/>
    <w:rsid w:val="2C5F50DB"/>
    <w:rsid w:val="2C660165"/>
    <w:rsid w:val="2C6619D7"/>
    <w:rsid w:val="2C6A0BA3"/>
    <w:rsid w:val="2C6E17C2"/>
    <w:rsid w:val="2C745C43"/>
    <w:rsid w:val="2C8A76F4"/>
    <w:rsid w:val="2C931BC6"/>
    <w:rsid w:val="2CA45E14"/>
    <w:rsid w:val="2CB43679"/>
    <w:rsid w:val="2CB62CA6"/>
    <w:rsid w:val="2CD27351"/>
    <w:rsid w:val="2CD40261"/>
    <w:rsid w:val="2CEE34EF"/>
    <w:rsid w:val="2CF605F7"/>
    <w:rsid w:val="2D016FE9"/>
    <w:rsid w:val="2D14362B"/>
    <w:rsid w:val="2D2E304F"/>
    <w:rsid w:val="2D3C07FE"/>
    <w:rsid w:val="2D551A36"/>
    <w:rsid w:val="2D5756FC"/>
    <w:rsid w:val="2D5D5591"/>
    <w:rsid w:val="2D74743A"/>
    <w:rsid w:val="2D7C11D4"/>
    <w:rsid w:val="2D7F4766"/>
    <w:rsid w:val="2D8D3A62"/>
    <w:rsid w:val="2DAF3E40"/>
    <w:rsid w:val="2DBE7F60"/>
    <w:rsid w:val="2DF22E0E"/>
    <w:rsid w:val="2DF6381D"/>
    <w:rsid w:val="2DF6788C"/>
    <w:rsid w:val="2E0D1588"/>
    <w:rsid w:val="2E1168A9"/>
    <w:rsid w:val="2E3944B7"/>
    <w:rsid w:val="2E4749F8"/>
    <w:rsid w:val="2E4C1B78"/>
    <w:rsid w:val="2E586286"/>
    <w:rsid w:val="2E73313B"/>
    <w:rsid w:val="2E866E5E"/>
    <w:rsid w:val="2E9077CD"/>
    <w:rsid w:val="2E9C43C4"/>
    <w:rsid w:val="2EA916B2"/>
    <w:rsid w:val="2EB46A04"/>
    <w:rsid w:val="2EB84F76"/>
    <w:rsid w:val="2EC62DA5"/>
    <w:rsid w:val="2ECB7077"/>
    <w:rsid w:val="2EED318E"/>
    <w:rsid w:val="2EFE3F3B"/>
    <w:rsid w:val="2F0F1794"/>
    <w:rsid w:val="2F176141"/>
    <w:rsid w:val="2F1A0856"/>
    <w:rsid w:val="2F2B5B05"/>
    <w:rsid w:val="2F475C7E"/>
    <w:rsid w:val="2F486024"/>
    <w:rsid w:val="2F523B34"/>
    <w:rsid w:val="2F5E78CC"/>
    <w:rsid w:val="2F681310"/>
    <w:rsid w:val="2F6C283B"/>
    <w:rsid w:val="2F743B89"/>
    <w:rsid w:val="2F7D19D9"/>
    <w:rsid w:val="2F7E2877"/>
    <w:rsid w:val="2F8567D8"/>
    <w:rsid w:val="2F8B5040"/>
    <w:rsid w:val="2F9107C4"/>
    <w:rsid w:val="2F961B57"/>
    <w:rsid w:val="2FA0209F"/>
    <w:rsid w:val="2FDC6A42"/>
    <w:rsid w:val="2FE65B09"/>
    <w:rsid w:val="2FFF53A8"/>
    <w:rsid w:val="30047098"/>
    <w:rsid w:val="30077F63"/>
    <w:rsid w:val="30115CE5"/>
    <w:rsid w:val="30135C1F"/>
    <w:rsid w:val="30191760"/>
    <w:rsid w:val="3028092A"/>
    <w:rsid w:val="302F54E7"/>
    <w:rsid w:val="304863A9"/>
    <w:rsid w:val="30726790"/>
    <w:rsid w:val="30801AC4"/>
    <w:rsid w:val="30823D65"/>
    <w:rsid w:val="30831C53"/>
    <w:rsid w:val="308E438B"/>
    <w:rsid w:val="30A43A04"/>
    <w:rsid w:val="30C87FB8"/>
    <w:rsid w:val="30CB1DAF"/>
    <w:rsid w:val="30E90E2B"/>
    <w:rsid w:val="30ED02EA"/>
    <w:rsid w:val="30FF267A"/>
    <w:rsid w:val="310A2A14"/>
    <w:rsid w:val="310B18B9"/>
    <w:rsid w:val="310F59F0"/>
    <w:rsid w:val="31395BA8"/>
    <w:rsid w:val="3141666D"/>
    <w:rsid w:val="31480833"/>
    <w:rsid w:val="314B14BF"/>
    <w:rsid w:val="3158219E"/>
    <w:rsid w:val="316D537E"/>
    <w:rsid w:val="31716348"/>
    <w:rsid w:val="317355F2"/>
    <w:rsid w:val="3185517F"/>
    <w:rsid w:val="3185793C"/>
    <w:rsid w:val="319475D5"/>
    <w:rsid w:val="31975317"/>
    <w:rsid w:val="31A87524"/>
    <w:rsid w:val="31B06C89"/>
    <w:rsid w:val="31B91778"/>
    <w:rsid w:val="31C2569E"/>
    <w:rsid w:val="31C96BD0"/>
    <w:rsid w:val="31D04385"/>
    <w:rsid w:val="31D9377A"/>
    <w:rsid w:val="31E15891"/>
    <w:rsid w:val="31F043F4"/>
    <w:rsid w:val="32170EE1"/>
    <w:rsid w:val="323531D1"/>
    <w:rsid w:val="32472899"/>
    <w:rsid w:val="325066A8"/>
    <w:rsid w:val="32563FE3"/>
    <w:rsid w:val="325D3410"/>
    <w:rsid w:val="3260226B"/>
    <w:rsid w:val="327652E9"/>
    <w:rsid w:val="327A5FF1"/>
    <w:rsid w:val="32A55CC0"/>
    <w:rsid w:val="32A937D2"/>
    <w:rsid w:val="32C95971"/>
    <w:rsid w:val="32CF5928"/>
    <w:rsid w:val="32E41009"/>
    <w:rsid w:val="32E9078F"/>
    <w:rsid w:val="32ED34FF"/>
    <w:rsid w:val="330856D0"/>
    <w:rsid w:val="33226E62"/>
    <w:rsid w:val="33316646"/>
    <w:rsid w:val="333A06E2"/>
    <w:rsid w:val="33462B8C"/>
    <w:rsid w:val="33491C13"/>
    <w:rsid w:val="335E45B2"/>
    <w:rsid w:val="33680D19"/>
    <w:rsid w:val="33691E57"/>
    <w:rsid w:val="336E025D"/>
    <w:rsid w:val="33735D99"/>
    <w:rsid w:val="33736E76"/>
    <w:rsid w:val="337570A4"/>
    <w:rsid w:val="33833CFC"/>
    <w:rsid w:val="33A269EC"/>
    <w:rsid w:val="33A856B1"/>
    <w:rsid w:val="33A930DF"/>
    <w:rsid w:val="33AB2922"/>
    <w:rsid w:val="33B73314"/>
    <w:rsid w:val="33C50B9E"/>
    <w:rsid w:val="33D30EC6"/>
    <w:rsid w:val="33D867E1"/>
    <w:rsid w:val="33D976B3"/>
    <w:rsid w:val="33DB2EFB"/>
    <w:rsid w:val="33DC6CF8"/>
    <w:rsid w:val="33EE36D1"/>
    <w:rsid w:val="33F54490"/>
    <w:rsid w:val="33F85833"/>
    <w:rsid w:val="33F94458"/>
    <w:rsid w:val="340B1EAD"/>
    <w:rsid w:val="34111989"/>
    <w:rsid w:val="341266A4"/>
    <w:rsid w:val="3429350C"/>
    <w:rsid w:val="343C76C2"/>
    <w:rsid w:val="343D0166"/>
    <w:rsid w:val="343D6C24"/>
    <w:rsid w:val="345873A9"/>
    <w:rsid w:val="347C5D20"/>
    <w:rsid w:val="348C4EDB"/>
    <w:rsid w:val="34997F68"/>
    <w:rsid w:val="34AF7CC9"/>
    <w:rsid w:val="34B14942"/>
    <w:rsid w:val="34E526B4"/>
    <w:rsid w:val="34F03DC0"/>
    <w:rsid w:val="34FE7262"/>
    <w:rsid w:val="352407FC"/>
    <w:rsid w:val="352612DF"/>
    <w:rsid w:val="35284201"/>
    <w:rsid w:val="35322B1F"/>
    <w:rsid w:val="3535498A"/>
    <w:rsid w:val="35471E10"/>
    <w:rsid w:val="354F3660"/>
    <w:rsid w:val="355004C3"/>
    <w:rsid w:val="3556146D"/>
    <w:rsid w:val="355724F0"/>
    <w:rsid w:val="356B5D07"/>
    <w:rsid w:val="35810326"/>
    <w:rsid w:val="358C5E8C"/>
    <w:rsid w:val="358D7C9B"/>
    <w:rsid w:val="358E2186"/>
    <w:rsid w:val="35AA4C6A"/>
    <w:rsid w:val="35B90B5D"/>
    <w:rsid w:val="35C81F43"/>
    <w:rsid w:val="35CC1726"/>
    <w:rsid w:val="35DE239E"/>
    <w:rsid w:val="35E004BC"/>
    <w:rsid w:val="35E06512"/>
    <w:rsid w:val="35E33F92"/>
    <w:rsid w:val="36010FB1"/>
    <w:rsid w:val="360212D1"/>
    <w:rsid w:val="360C7B72"/>
    <w:rsid w:val="360E2480"/>
    <w:rsid w:val="361327DB"/>
    <w:rsid w:val="361F1CFE"/>
    <w:rsid w:val="36371201"/>
    <w:rsid w:val="363720E3"/>
    <w:rsid w:val="3639711B"/>
    <w:rsid w:val="363E765D"/>
    <w:rsid w:val="36592830"/>
    <w:rsid w:val="36632356"/>
    <w:rsid w:val="367409D2"/>
    <w:rsid w:val="367B56C5"/>
    <w:rsid w:val="367C5173"/>
    <w:rsid w:val="367E1190"/>
    <w:rsid w:val="36915D46"/>
    <w:rsid w:val="36AA789A"/>
    <w:rsid w:val="36B81FB7"/>
    <w:rsid w:val="36CA31B0"/>
    <w:rsid w:val="36D20797"/>
    <w:rsid w:val="36E65B3A"/>
    <w:rsid w:val="36FF3742"/>
    <w:rsid w:val="370346A6"/>
    <w:rsid w:val="37113475"/>
    <w:rsid w:val="37252E94"/>
    <w:rsid w:val="37296474"/>
    <w:rsid w:val="373227C5"/>
    <w:rsid w:val="37405833"/>
    <w:rsid w:val="374101FF"/>
    <w:rsid w:val="375869AC"/>
    <w:rsid w:val="375B253A"/>
    <w:rsid w:val="37666B6B"/>
    <w:rsid w:val="37675674"/>
    <w:rsid w:val="376B1978"/>
    <w:rsid w:val="37940CA8"/>
    <w:rsid w:val="37D848CF"/>
    <w:rsid w:val="37DA41AF"/>
    <w:rsid w:val="37DB157C"/>
    <w:rsid w:val="37DB3C7D"/>
    <w:rsid w:val="37EE7D30"/>
    <w:rsid w:val="37F62976"/>
    <w:rsid w:val="37F77F19"/>
    <w:rsid w:val="38042FDA"/>
    <w:rsid w:val="381C3F20"/>
    <w:rsid w:val="3822692C"/>
    <w:rsid w:val="38343F2A"/>
    <w:rsid w:val="38490F9C"/>
    <w:rsid w:val="384C1631"/>
    <w:rsid w:val="38542754"/>
    <w:rsid w:val="386C03A0"/>
    <w:rsid w:val="386D6DD1"/>
    <w:rsid w:val="38850AD8"/>
    <w:rsid w:val="38B10FD7"/>
    <w:rsid w:val="38B2326B"/>
    <w:rsid w:val="38BD498D"/>
    <w:rsid w:val="38D81B11"/>
    <w:rsid w:val="38ED2653"/>
    <w:rsid w:val="38FC71A8"/>
    <w:rsid w:val="38FD1F03"/>
    <w:rsid w:val="39020983"/>
    <w:rsid w:val="39037F6C"/>
    <w:rsid w:val="39186D3D"/>
    <w:rsid w:val="39214610"/>
    <w:rsid w:val="39317DFF"/>
    <w:rsid w:val="39464964"/>
    <w:rsid w:val="395224D9"/>
    <w:rsid w:val="39535FC7"/>
    <w:rsid w:val="395601FC"/>
    <w:rsid w:val="397B4E62"/>
    <w:rsid w:val="39972B1A"/>
    <w:rsid w:val="399A1410"/>
    <w:rsid w:val="39C47D94"/>
    <w:rsid w:val="39CD1539"/>
    <w:rsid w:val="39CD5D32"/>
    <w:rsid w:val="39D0322E"/>
    <w:rsid w:val="39DA1DFA"/>
    <w:rsid w:val="39DC71EB"/>
    <w:rsid w:val="39DD5D2E"/>
    <w:rsid w:val="39E01A69"/>
    <w:rsid w:val="3A045F91"/>
    <w:rsid w:val="3A076679"/>
    <w:rsid w:val="3A0A0953"/>
    <w:rsid w:val="3A211C22"/>
    <w:rsid w:val="3A23599A"/>
    <w:rsid w:val="3A2C4127"/>
    <w:rsid w:val="3A4F0AA8"/>
    <w:rsid w:val="3A543DA5"/>
    <w:rsid w:val="3A5576B6"/>
    <w:rsid w:val="3A682780"/>
    <w:rsid w:val="3A697EB7"/>
    <w:rsid w:val="3A7F0311"/>
    <w:rsid w:val="3A8538B6"/>
    <w:rsid w:val="3A884EF1"/>
    <w:rsid w:val="3A8C5141"/>
    <w:rsid w:val="3AA52853"/>
    <w:rsid w:val="3AA648FE"/>
    <w:rsid w:val="3AAA7D3D"/>
    <w:rsid w:val="3AD117FB"/>
    <w:rsid w:val="3AD4138A"/>
    <w:rsid w:val="3AD72904"/>
    <w:rsid w:val="3AD75A09"/>
    <w:rsid w:val="3ADC5AFD"/>
    <w:rsid w:val="3AE17BBC"/>
    <w:rsid w:val="3AF13F0D"/>
    <w:rsid w:val="3B007A89"/>
    <w:rsid w:val="3B0F5ABD"/>
    <w:rsid w:val="3B2F4F75"/>
    <w:rsid w:val="3B31477D"/>
    <w:rsid w:val="3B315914"/>
    <w:rsid w:val="3B422101"/>
    <w:rsid w:val="3B4715CB"/>
    <w:rsid w:val="3B5008D7"/>
    <w:rsid w:val="3B7F15E2"/>
    <w:rsid w:val="3B8536A6"/>
    <w:rsid w:val="3B9F0C51"/>
    <w:rsid w:val="3BA00572"/>
    <w:rsid w:val="3BB1021B"/>
    <w:rsid w:val="3BE15B0C"/>
    <w:rsid w:val="3BE64EF0"/>
    <w:rsid w:val="3BF72A83"/>
    <w:rsid w:val="3C135790"/>
    <w:rsid w:val="3C1752F7"/>
    <w:rsid w:val="3C193171"/>
    <w:rsid w:val="3C1E3214"/>
    <w:rsid w:val="3C2528C6"/>
    <w:rsid w:val="3C371BD0"/>
    <w:rsid w:val="3C4F1FEA"/>
    <w:rsid w:val="3C5B6745"/>
    <w:rsid w:val="3C683B38"/>
    <w:rsid w:val="3C686571"/>
    <w:rsid w:val="3C6F5E3B"/>
    <w:rsid w:val="3C83525B"/>
    <w:rsid w:val="3C87375A"/>
    <w:rsid w:val="3C88531F"/>
    <w:rsid w:val="3C8D7A42"/>
    <w:rsid w:val="3C8E189D"/>
    <w:rsid w:val="3CA22EFE"/>
    <w:rsid w:val="3CB8043D"/>
    <w:rsid w:val="3CB94BCA"/>
    <w:rsid w:val="3CC35212"/>
    <w:rsid w:val="3CC50225"/>
    <w:rsid w:val="3CD967E3"/>
    <w:rsid w:val="3CDE231E"/>
    <w:rsid w:val="3D245A63"/>
    <w:rsid w:val="3D36346C"/>
    <w:rsid w:val="3D4269DA"/>
    <w:rsid w:val="3D430EA3"/>
    <w:rsid w:val="3D47560D"/>
    <w:rsid w:val="3D523BCD"/>
    <w:rsid w:val="3D645169"/>
    <w:rsid w:val="3D6933DE"/>
    <w:rsid w:val="3D7C3859"/>
    <w:rsid w:val="3D80607F"/>
    <w:rsid w:val="3D8F2120"/>
    <w:rsid w:val="3D8F30A0"/>
    <w:rsid w:val="3D990E61"/>
    <w:rsid w:val="3DA327E5"/>
    <w:rsid w:val="3DB01C7C"/>
    <w:rsid w:val="3DB334D8"/>
    <w:rsid w:val="3DBA1ADA"/>
    <w:rsid w:val="3DC355A6"/>
    <w:rsid w:val="3DC42D6E"/>
    <w:rsid w:val="3DD009EA"/>
    <w:rsid w:val="3DD122A2"/>
    <w:rsid w:val="3DD64752"/>
    <w:rsid w:val="3DD80DF7"/>
    <w:rsid w:val="3DE17E96"/>
    <w:rsid w:val="3DE26317"/>
    <w:rsid w:val="3DEB1B40"/>
    <w:rsid w:val="3DFC4E7F"/>
    <w:rsid w:val="3E2D1C0D"/>
    <w:rsid w:val="3E352B5B"/>
    <w:rsid w:val="3E3A2755"/>
    <w:rsid w:val="3E463101"/>
    <w:rsid w:val="3E5717D0"/>
    <w:rsid w:val="3E5E04B0"/>
    <w:rsid w:val="3E5F4189"/>
    <w:rsid w:val="3E6C1A3F"/>
    <w:rsid w:val="3E734A16"/>
    <w:rsid w:val="3E752133"/>
    <w:rsid w:val="3E7A5DA4"/>
    <w:rsid w:val="3E8B1D5F"/>
    <w:rsid w:val="3E953235"/>
    <w:rsid w:val="3EA64DEB"/>
    <w:rsid w:val="3EAA3B18"/>
    <w:rsid w:val="3EAA555F"/>
    <w:rsid w:val="3EBD0BAE"/>
    <w:rsid w:val="3EC3774B"/>
    <w:rsid w:val="3ECC3927"/>
    <w:rsid w:val="3ECD2095"/>
    <w:rsid w:val="3EEF22EE"/>
    <w:rsid w:val="3EF02AD3"/>
    <w:rsid w:val="3F024C1A"/>
    <w:rsid w:val="3F0D0FA0"/>
    <w:rsid w:val="3F21052E"/>
    <w:rsid w:val="3F330C34"/>
    <w:rsid w:val="3F3917F4"/>
    <w:rsid w:val="3F397A0D"/>
    <w:rsid w:val="3F4A39C9"/>
    <w:rsid w:val="3F5B1066"/>
    <w:rsid w:val="3F625E8E"/>
    <w:rsid w:val="3F6A673B"/>
    <w:rsid w:val="3F8C2A74"/>
    <w:rsid w:val="3FA70307"/>
    <w:rsid w:val="3FA7458E"/>
    <w:rsid w:val="3FB22390"/>
    <w:rsid w:val="3FCF1529"/>
    <w:rsid w:val="3FD51C94"/>
    <w:rsid w:val="3FDD2A57"/>
    <w:rsid w:val="3FE37E33"/>
    <w:rsid w:val="3FF027C2"/>
    <w:rsid w:val="3FF55C7D"/>
    <w:rsid w:val="3FF676AC"/>
    <w:rsid w:val="400E03CE"/>
    <w:rsid w:val="401171AD"/>
    <w:rsid w:val="40225AF1"/>
    <w:rsid w:val="403D5148"/>
    <w:rsid w:val="403D6B94"/>
    <w:rsid w:val="40507C98"/>
    <w:rsid w:val="40580367"/>
    <w:rsid w:val="4061657E"/>
    <w:rsid w:val="40767673"/>
    <w:rsid w:val="407707ED"/>
    <w:rsid w:val="40892318"/>
    <w:rsid w:val="408E0789"/>
    <w:rsid w:val="40A76FA9"/>
    <w:rsid w:val="40AC084A"/>
    <w:rsid w:val="40D05FDB"/>
    <w:rsid w:val="40DB515E"/>
    <w:rsid w:val="40E30197"/>
    <w:rsid w:val="40E63D94"/>
    <w:rsid w:val="40EA1367"/>
    <w:rsid w:val="40EB151F"/>
    <w:rsid w:val="40ED4F53"/>
    <w:rsid w:val="40F25A91"/>
    <w:rsid w:val="411C387B"/>
    <w:rsid w:val="41292B74"/>
    <w:rsid w:val="41406E31"/>
    <w:rsid w:val="414E3836"/>
    <w:rsid w:val="41592854"/>
    <w:rsid w:val="416E516B"/>
    <w:rsid w:val="418812BB"/>
    <w:rsid w:val="418D4040"/>
    <w:rsid w:val="419E7FFC"/>
    <w:rsid w:val="419F3079"/>
    <w:rsid w:val="41AE3A67"/>
    <w:rsid w:val="41C95125"/>
    <w:rsid w:val="41EA02ED"/>
    <w:rsid w:val="42075BA1"/>
    <w:rsid w:val="42140520"/>
    <w:rsid w:val="4215282E"/>
    <w:rsid w:val="42225E0B"/>
    <w:rsid w:val="42383FB6"/>
    <w:rsid w:val="423D7815"/>
    <w:rsid w:val="424F30C2"/>
    <w:rsid w:val="425E14DB"/>
    <w:rsid w:val="42621029"/>
    <w:rsid w:val="426B4382"/>
    <w:rsid w:val="42725710"/>
    <w:rsid w:val="427358D4"/>
    <w:rsid w:val="42736D87"/>
    <w:rsid w:val="427E086F"/>
    <w:rsid w:val="42826F4F"/>
    <w:rsid w:val="428B0580"/>
    <w:rsid w:val="429A4E70"/>
    <w:rsid w:val="429E14C4"/>
    <w:rsid w:val="42A26186"/>
    <w:rsid w:val="42A94EAA"/>
    <w:rsid w:val="42BA0E65"/>
    <w:rsid w:val="42C13D5C"/>
    <w:rsid w:val="42DD74CF"/>
    <w:rsid w:val="42DF3579"/>
    <w:rsid w:val="42E264C2"/>
    <w:rsid w:val="42E85CD3"/>
    <w:rsid w:val="42F54D63"/>
    <w:rsid w:val="43011E27"/>
    <w:rsid w:val="430D368B"/>
    <w:rsid w:val="430F20A0"/>
    <w:rsid w:val="43135F0F"/>
    <w:rsid w:val="431B6CC7"/>
    <w:rsid w:val="43225F65"/>
    <w:rsid w:val="435720D9"/>
    <w:rsid w:val="43615785"/>
    <w:rsid w:val="43732880"/>
    <w:rsid w:val="43865952"/>
    <w:rsid w:val="438F0BB0"/>
    <w:rsid w:val="43913CA7"/>
    <w:rsid w:val="43993170"/>
    <w:rsid w:val="43AC6A00"/>
    <w:rsid w:val="43BF04EA"/>
    <w:rsid w:val="43C05A1E"/>
    <w:rsid w:val="43CF4932"/>
    <w:rsid w:val="43D22CDA"/>
    <w:rsid w:val="43D354DC"/>
    <w:rsid w:val="4405353A"/>
    <w:rsid w:val="44063CF3"/>
    <w:rsid w:val="44072973"/>
    <w:rsid w:val="44095C00"/>
    <w:rsid w:val="44117E2D"/>
    <w:rsid w:val="441822E7"/>
    <w:rsid w:val="442F13DF"/>
    <w:rsid w:val="44426345"/>
    <w:rsid w:val="444B2816"/>
    <w:rsid w:val="445279AA"/>
    <w:rsid w:val="4453331F"/>
    <w:rsid w:val="445F3A86"/>
    <w:rsid w:val="4478636B"/>
    <w:rsid w:val="447A0DB3"/>
    <w:rsid w:val="4481712B"/>
    <w:rsid w:val="44901E7E"/>
    <w:rsid w:val="449F54A7"/>
    <w:rsid w:val="44A1052F"/>
    <w:rsid w:val="44C93406"/>
    <w:rsid w:val="44D74994"/>
    <w:rsid w:val="44DD0E3B"/>
    <w:rsid w:val="44E67CEF"/>
    <w:rsid w:val="44F62875"/>
    <w:rsid w:val="451730A2"/>
    <w:rsid w:val="45187ACA"/>
    <w:rsid w:val="451955A3"/>
    <w:rsid w:val="45205199"/>
    <w:rsid w:val="45260B70"/>
    <w:rsid w:val="45357C2D"/>
    <w:rsid w:val="453A003B"/>
    <w:rsid w:val="45467C1A"/>
    <w:rsid w:val="45523E0A"/>
    <w:rsid w:val="45603F46"/>
    <w:rsid w:val="45784EE5"/>
    <w:rsid w:val="457C33A8"/>
    <w:rsid w:val="458804FE"/>
    <w:rsid w:val="458D57CB"/>
    <w:rsid w:val="4595726A"/>
    <w:rsid w:val="45C67177"/>
    <w:rsid w:val="45D048BE"/>
    <w:rsid w:val="45DE626C"/>
    <w:rsid w:val="45EB660D"/>
    <w:rsid w:val="45F13477"/>
    <w:rsid w:val="45FA688F"/>
    <w:rsid w:val="45FD7B3D"/>
    <w:rsid w:val="460A10C2"/>
    <w:rsid w:val="46220C85"/>
    <w:rsid w:val="46230254"/>
    <w:rsid w:val="46244F73"/>
    <w:rsid w:val="46287B26"/>
    <w:rsid w:val="462A00B0"/>
    <w:rsid w:val="462D24EF"/>
    <w:rsid w:val="46427F4E"/>
    <w:rsid w:val="46534E0B"/>
    <w:rsid w:val="4670640B"/>
    <w:rsid w:val="46753897"/>
    <w:rsid w:val="467A71EB"/>
    <w:rsid w:val="46867477"/>
    <w:rsid w:val="468A02AD"/>
    <w:rsid w:val="468B3DD1"/>
    <w:rsid w:val="469043B7"/>
    <w:rsid w:val="46BF4C9C"/>
    <w:rsid w:val="46C936C8"/>
    <w:rsid w:val="46CB1893"/>
    <w:rsid w:val="46D87DE5"/>
    <w:rsid w:val="46E556A4"/>
    <w:rsid w:val="46E97F6B"/>
    <w:rsid w:val="46EA25E1"/>
    <w:rsid w:val="46EB1077"/>
    <w:rsid w:val="470C2558"/>
    <w:rsid w:val="472127B7"/>
    <w:rsid w:val="472165B7"/>
    <w:rsid w:val="47277064"/>
    <w:rsid w:val="47323C17"/>
    <w:rsid w:val="4743767B"/>
    <w:rsid w:val="474E29C1"/>
    <w:rsid w:val="475569C5"/>
    <w:rsid w:val="475A49C5"/>
    <w:rsid w:val="475E44B5"/>
    <w:rsid w:val="476121D8"/>
    <w:rsid w:val="476A063C"/>
    <w:rsid w:val="477C748E"/>
    <w:rsid w:val="478A7058"/>
    <w:rsid w:val="47941208"/>
    <w:rsid w:val="47A101B2"/>
    <w:rsid w:val="47AF6ABF"/>
    <w:rsid w:val="47BF2852"/>
    <w:rsid w:val="47BF386C"/>
    <w:rsid w:val="47C3256A"/>
    <w:rsid w:val="47C95C6C"/>
    <w:rsid w:val="47EC7022"/>
    <w:rsid w:val="47FC7940"/>
    <w:rsid w:val="48030B33"/>
    <w:rsid w:val="48046015"/>
    <w:rsid w:val="4819316F"/>
    <w:rsid w:val="482F5E51"/>
    <w:rsid w:val="483F125D"/>
    <w:rsid w:val="48580B32"/>
    <w:rsid w:val="485B43A9"/>
    <w:rsid w:val="48635024"/>
    <w:rsid w:val="487B675C"/>
    <w:rsid w:val="48A95C04"/>
    <w:rsid w:val="48B22238"/>
    <w:rsid w:val="48B33076"/>
    <w:rsid w:val="48C4330A"/>
    <w:rsid w:val="48D55EB3"/>
    <w:rsid w:val="48DA0701"/>
    <w:rsid w:val="48DF324A"/>
    <w:rsid w:val="48E052EC"/>
    <w:rsid w:val="48E65AEE"/>
    <w:rsid w:val="48F80CE7"/>
    <w:rsid w:val="49096FCD"/>
    <w:rsid w:val="491D7C08"/>
    <w:rsid w:val="494625B6"/>
    <w:rsid w:val="49507E2D"/>
    <w:rsid w:val="49512BB1"/>
    <w:rsid w:val="495E0009"/>
    <w:rsid w:val="49641F5D"/>
    <w:rsid w:val="49666B6B"/>
    <w:rsid w:val="496C26B3"/>
    <w:rsid w:val="496F2CCC"/>
    <w:rsid w:val="498F64FC"/>
    <w:rsid w:val="49AD1724"/>
    <w:rsid w:val="49BE7E39"/>
    <w:rsid w:val="49C40005"/>
    <w:rsid w:val="49C65419"/>
    <w:rsid w:val="49D04BAB"/>
    <w:rsid w:val="49EA0282"/>
    <w:rsid w:val="49EA17C4"/>
    <w:rsid w:val="49EF440A"/>
    <w:rsid w:val="4A1A2F12"/>
    <w:rsid w:val="4A2C7C77"/>
    <w:rsid w:val="4A321C6F"/>
    <w:rsid w:val="4A366D8C"/>
    <w:rsid w:val="4A375709"/>
    <w:rsid w:val="4A475BFC"/>
    <w:rsid w:val="4A4E1094"/>
    <w:rsid w:val="4A561717"/>
    <w:rsid w:val="4A606796"/>
    <w:rsid w:val="4A7151AA"/>
    <w:rsid w:val="4A717D8F"/>
    <w:rsid w:val="4A7D0F83"/>
    <w:rsid w:val="4A834A22"/>
    <w:rsid w:val="4A8815D3"/>
    <w:rsid w:val="4A8A736F"/>
    <w:rsid w:val="4A9454F9"/>
    <w:rsid w:val="4A972DF7"/>
    <w:rsid w:val="4A992274"/>
    <w:rsid w:val="4AA77F21"/>
    <w:rsid w:val="4AAA2276"/>
    <w:rsid w:val="4AB64534"/>
    <w:rsid w:val="4ABD14F2"/>
    <w:rsid w:val="4AC66642"/>
    <w:rsid w:val="4AC87549"/>
    <w:rsid w:val="4AD37353"/>
    <w:rsid w:val="4ADC6651"/>
    <w:rsid w:val="4AE2340C"/>
    <w:rsid w:val="4AE72A13"/>
    <w:rsid w:val="4AFF6999"/>
    <w:rsid w:val="4B0E61F2"/>
    <w:rsid w:val="4B21257E"/>
    <w:rsid w:val="4B290FE3"/>
    <w:rsid w:val="4B322207"/>
    <w:rsid w:val="4B3B5793"/>
    <w:rsid w:val="4B58050B"/>
    <w:rsid w:val="4B5A25F7"/>
    <w:rsid w:val="4B6A0768"/>
    <w:rsid w:val="4B6B0CBD"/>
    <w:rsid w:val="4B705719"/>
    <w:rsid w:val="4B7B47F9"/>
    <w:rsid w:val="4BA563FE"/>
    <w:rsid w:val="4BB77663"/>
    <w:rsid w:val="4BC54DE5"/>
    <w:rsid w:val="4BCB7306"/>
    <w:rsid w:val="4BD52968"/>
    <w:rsid w:val="4BD91D02"/>
    <w:rsid w:val="4BE2600E"/>
    <w:rsid w:val="4BE57820"/>
    <w:rsid w:val="4BF657A1"/>
    <w:rsid w:val="4BFB7B74"/>
    <w:rsid w:val="4C0457A1"/>
    <w:rsid w:val="4C3F2C78"/>
    <w:rsid w:val="4C42244E"/>
    <w:rsid w:val="4C437DCE"/>
    <w:rsid w:val="4C4F3505"/>
    <w:rsid w:val="4C6D3DA8"/>
    <w:rsid w:val="4C727CFA"/>
    <w:rsid w:val="4C88081B"/>
    <w:rsid w:val="4C8872A2"/>
    <w:rsid w:val="4C9C19F3"/>
    <w:rsid w:val="4CA47183"/>
    <w:rsid w:val="4CB7606E"/>
    <w:rsid w:val="4CB91CB1"/>
    <w:rsid w:val="4CF745DE"/>
    <w:rsid w:val="4CFC57E0"/>
    <w:rsid w:val="4D087B01"/>
    <w:rsid w:val="4D0B58BC"/>
    <w:rsid w:val="4D0C050F"/>
    <w:rsid w:val="4D0C2AD5"/>
    <w:rsid w:val="4D2059FA"/>
    <w:rsid w:val="4D2E3574"/>
    <w:rsid w:val="4D451B18"/>
    <w:rsid w:val="4D4D5AFE"/>
    <w:rsid w:val="4D502AF2"/>
    <w:rsid w:val="4D5C07F9"/>
    <w:rsid w:val="4D755736"/>
    <w:rsid w:val="4DAC0A3B"/>
    <w:rsid w:val="4DB92102"/>
    <w:rsid w:val="4DBA3E20"/>
    <w:rsid w:val="4DBC5B64"/>
    <w:rsid w:val="4DC679DB"/>
    <w:rsid w:val="4DE61D12"/>
    <w:rsid w:val="4DF1146E"/>
    <w:rsid w:val="4DF82017"/>
    <w:rsid w:val="4E0E661C"/>
    <w:rsid w:val="4E1E3790"/>
    <w:rsid w:val="4E2E44B5"/>
    <w:rsid w:val="4E4C57ED"/>
    <w:rsid w:val="4E5505A6"/>
    <w:rsid w:val="4E7B0CB2"/>
    <w:rsid w:val="4E820BD8"/>
    <w:rsid w:val="4E8D729C"/>
    <w:rsid w:val="4E8E1C0C"/>
    <w:rsid w:val="4E9609D8"/>
    <w:rsid w:val="4E98004C"/>
    <w:rsid w:val="4EA5208F"/>
    <w:rsid w:val="4EAE617F"/>
    <w:rsid w:val="4EBD702F"/>
    <w:rsid w:val="4EC310A1"/>
    <w:rsid w:val="4EC818B0"/>
    <w:rsid w:val="4ECB59F9"/>
    <w:rsid w:val="4ECE1CAC"/>
    <w:rsid w:val="4EE414BB"/>
    <w:rsid w:val="4EE87B84"/>
    <w:rsid w:val="4EFF65C5"/>
    <w:rsid w:val="4F0052D1"/>
    <w:rsid w:val="4F014784"/>
    <w:rsid w:val="4F0431E6"/>
    <w:rsid w:val="4F1B712F"/>
    <w:rsid w:val="4F1C605F"/>
    <w:rsid w:val="4F254824"/>
    <w:rsid w:val="4F2658BE"/>
    <w:rsid w:val="4F4736A7"/>
    <w:rsid w:val="4F7914EF"/>
    <w:rsid w:val="4F9174FD"/>
    <w:rsid w:val="4F9402D2"/>
    <w:rsid w:val="4F9A6D4E"/>
    <w:rsid w:val="4FB10142"/>
    <w:rsid w:val="4FB82BD0"/>
    <w:rsid w:val="4FC643B6"/>
    <w:rsid w:val="4FD1578E"/>
    <w:rsid w:val="4FE10E76"/>
    <w:rsid w:val="4FEE2189"/>
    <w:rsid w:val="4FF71C3D"/>
    <w:rsid w:val="50016856"/>
    <w:rsid w:val="5008518B"/>
    <w:rsid w:val="500B32A2"/>
    <w:rsid w:val="502B6647"/>
    <w:rsid w:val="502B6EFE"/>
    <w:rsid w:val="50324E90"/>
    <w:rsid w:val="504C1B11"/>
    <w:rsid w:val="505F48A5"/>
    <w:rsid w:val="506472D4"/>
    <w:rsid w:val="50666C7A"/>
    <w:rsid w:val="507460A4"/>
    <w:rsid w:val="5094445D"/>
    <w:rsid w:val="509C0D4E"/>
    <w:rsid w:val="50A23A1E"/>
    <w:rsid w:val="50AC44E3"/>
    <w:rsid w:val="50B57EA9"/>
    <w:rsid w:val="50BC2B26"/>
    <w:rsid w:val="50BE1984"/>
    <w:rsid w:val="50D141C6"/>
    <w:rsid w:val="50D94FDD"/>
    <w:rsid w:val="50F115EA"/>
    <w:rsid w:val="50F72C9C"/>
    <w:rsid w:val="50FC0DB6"/>
    <w:rsid w:val="511107EA"/>
    <w:rsid w:val="511F2007"/>
    <w:rsid w:val="51271E2F"/>
    <w:rsid w:val="51342CAA"/>
    <w:rsid w:val="51366F32"/>
    <w:rsid w:val="51406A38"/>
    <w:rsid w:val="514B4E4E"/>
    <w:rsid w:val="516578E1"/>
    <w:rsid w:val="517174DB"/>
    <w:rsid w:val="518049FF"/>
    <w:rsid w:val="51932FAD"/>
    <w:rsid w:val="51A06E66"/>
    <w:rsid w:val="51AF590D"/>
    <w:rsid w:val="51B475E9"/>
    <w:rsid w:val="51C05FF6"/>
    <w:rsid w:val="51D135DE"/>
    <w:rsid w:val="51DF4444"/>
    <w:rsid w:val="51F65295"/>
    <w:rsid w:val="51F872B4"/>
    <w:rsid w:val="51FD3DB6"/>
    <w:rsid w:val="52097713"/>
    <w:rsid w:val="520C3BB6"/>
    <w:rsid w:val="52252174"/>
    <w:rsid w:val="52295AE6"/>
    <w:rsid w:val="522D0E7F"/>
    <w:rsid w:val="523E4D62"/>
    <w:rsid w:val="5243507E"/>
    <w:rsid w:val="525402A0"/>
    <w:rsid w:val="52554706"/>
    <w:rsid w:val="525F5585"/>
    <w:rsid w:val="527D4695"/>
    <w:rsid w:val="528D41E4"/>
    <w:rsid w:val="52BF5C92"/>
    <w:rsid w:val="52C2167A"/>
    <w:rsid w:val="52C7794C"/>
    <w:rsid w:val="52D279CD"/>
    <w:rsid w:val="52D32ADF"/>
    <w:rsid w:val="52E45ACB"/>
    <w:rsid w:val="52E71802"/>
    <w:rsid w:val="52F47AFB"/>
    <w:rsid w:val="53071B37"/>
    <w:rsid w:val="530A5973"/>
    <w:rsid w:val="531169F3"/>
    <w:rsid w:val="531348FB"/>
    <w:rsid w:val="53275D3D"/>
    <w:rsid w:val="533354CF"/>
    <w:rsid w:val="533407C0"/>
    <w:rsid w:val="53346B96"/>
    <w:rsid w:val="534D18F0"/>
    <w:rsid w:val="535D5DC8"/>
    <w:rsid w:val="537A3167"/>
    <w:rsid w:val="537D2360"/>
    <w:rsid w:val="53811E50"/>
    <w:rsid w:val="53B22465"/>
    <w:rsid w:val="53B72F65"/>
    <w:rsid w:val="53BE3989"/>
    <w:rsid w:val="53D83751"/>
    <w:rsid w:val="53D85151"/>
    <w:rsid w:val="53E844A9"/>
    <w:rsid w:val="53FD2AC2"/>
    <w:rsid w:val="5409404E"/>
    <w:rsid w:val="54134B75"/>
    <w:rsid w:val="54164746"/>
    <w:rsid w:val="541F238F"/>
    <w:rsid w:val="542E2ADC"/>
    <w:rsid w:val="543341B9"/>
    <w:rsid w:val="543415ED"/>
    <w:rsid w:val="5438608E"/>
    <w:rsid w:val="544B7F7E"/>
    <w:rsid w:val="54501D22"/>
    <w:rsid w:val="546146EB"/>
    <w:rsid w:val="54680D66"/>
    <w:rsid w:val="54685AA1"/>
    <w:rsid w:val="547D06FB"/>
    <w:rsid w:val="547D14B1"/>
    <w:rsid w:val="54857DDB"/>
    <w:rsid w:val="548C678B"/>
    <w:rsid w:val="54905199"/>
    <w:rsid w:val="54914216"/>
    <w:rsid w:val="549273A9"/>
    <w:rsid w:val="549405C7"/>
    <w:rsid w:val="549D6C55"/>
    <w:rsid w:val="54CA07F6"/>
    <w:rsid w:val="54E979F3"/>
    <w:rsid w:val="54EF0774"/>
    <w:rsid w:val="54F2448F"/>
    <w:rsid w:val="54FE2E33"/>
    <w:rsid w:val="550B2DC8"/>
    <w:rsid w:val="5540169E"/>
    <w:rsid w:val="55466588"/>
    <w:rsid w:val="5547793A"/>
    <w:rsid w:val="554C32B2"/>
    <w:rsid w:val="55501E76"/>
    <w:rsid w:val="55701D69"/>
    <w:rsid w:val="55731E3E"/>
    <w:rsid w:val="557A0272"/>
    <w:rsid w:val="557E29D7"/>
    <w:rsid w:val="558F2195"/>
    <w:rsid w:val="55900035"/>
    <w:rsid w:val="55AF798B"/>
    <w:rsid w:val="55B81234"/>
    <w:rsid w:val="55CA70E8"/>
    <w:rsid w:val="55ED4967"/>
    <w:rsid w:val="55F350C4"/>
    <w:rsid w:val="561019A5"/>
    <w:rsid w:val="561B14C6"/>
    <w:rsid w:val="561B7A15"/>
    <w:rsid w:val="56247722"/>
    <w:rsid w:val="56342FDD"/>
    <w:rsid w:val="56467B64"/>
    <w:rsid w:val="565626F9"/>
    <w:rsid w:val="565671A2"/>
    <w:rsid w:val="56685CA8"/>
    <w:rsid w:val="56740DC7"/>
    <w:rsid w:val="56753961"/>
    <w:rsid w:val="5677558B"/>
    <w:rsid w:val="569C2904"/>
    <w:rsid w:val="56AA3219"/>
    <w:rsid w:val="56CF2574"/>
    <w:rsid w:val="56CF424D"/>
    <w:rsid w:val="56DE4C00"/>
    <w:rsid w:val="57016033"/>
    <w:rsid w:val="5707525A"/>
    <w:rsid w:val="570847EE"/>
    <w:rsid w:val="573270B5"/>
    <w:rsid w:val="57331689"/>
    <w:rsid w:val="57443B56"/>
    <w:rsid w:val="57614844"/>
    <w:rsid w:val="57664CC0"/>
    <w:rsid w:val="576A00D2"/>
    <w:rsid w:val="576A530D"/>
    <w:rsid w:val="57971A40"/>
    <w:rsid w:val="579E4D2D"/>
    <w:rsid w:val="57A24175"/>
    <w:rsid w:val="57B75717"/>
    <w:rsid w:val="57C470D2"/>
    <w:rsid w:val="57C77E19"/>
    <w:rsid w:val="57CA488B"/>
    <w:rsid w:val="57DB3900"/>
    <w:rsid w:val="57DB47FB"/>
    <w:rsid w:val="580846BB"/>
    <w:rsid w:val="581003C6"/>
    <w:rsid w:val="5816050F"/>
    <w:rsid w:val="581D5CC6"/>
    <w:rsid w:val="58205F1A"/>
    <w:rsid w:val="582468CD"/>
    <w:rsid w:val="582840C5"/>
    <w:rsid w:val="583074F9"/>
    <w:rsid w:val="583515AC"/>
    <w:rsid w:val="584B45E2"/>
    <w:rsid w:val="584C2587"/>
    <w:rsid w:val="585127AA"/>
    <w:rsid w:val="585D5314"/>
    <w:rsid w:val="58603D47"/>
    <w:rsid w:val="58743A0C"/>
    <w:rsid w:val="58BB3CCE"/>
    <w:rsid w:val="58CD3249"/>
    <w:rsid w:val="58DE0E81"/>
    <w:rsid w:val="59125866"/>
    <w:rsid w:val="5915352F"/>
    <w:rsid w:val="591B0458"/>
    <w:rsid w:val="59232E69"/>
    <w:rsid w:val="59304651"/>
    <w:rsid w:val="593E2965"/>
    <w:rsid w:val="594856C1"/>
    <w:rsid w:val="59486EBB"/>
    <w:rsid w:val="59493AFE"/>
    <w:rsid w:val="594968EC"/>
    <w:rsid w:val="594C38F9"/>
    <w:rsid w:val="594C4A1E"/>
    <w:rsid w:val="59567838"/>
    <w:rsid w:val="595E16C1"/>
    <w:rsid w:val="59700D18"/>
    <w:rsid w:val="5970491E"/>
    <w:rsid w:val="597304CA"/>
    <w:rsid w:val="59794C92"/>
    <w:rsid w:val="597A0373"/>
    <w:rsid w:val="598803B1"/>
    <w:rsid w:val="59A5117A"/>
    <w:rsid w:val="59A937D5"/>
    <w:rsid w:val="59BA6CB3"/>
    <w:rsid w:val="59BA6CC4"/>
    <w:rsid w:val="59DB746A"/>
    <w:rsid w:val="59F2154E"/>
    <w:rsid w:val="59F9691A"/>
    <w:rsid w:val="5A012975"/>
    <w:rsid w:val="5A0233C6"/>
    <w:rsid w:val="5A097A39"/>
    <w:rsid w:val="5A112448"/>
    <w:rsid w:val="5A1E417A"/>
    <w:rsid w:val="5A266C4C"/>
    <w:rsid w:val="5A2D3B53"/>
    <w:rsid w:val="5A3B2434"/>
    <w:rsid w:val="5A4937ED"/>
    <w:rsid w:val="5A6457FD"/>
    <w:rsid w:val="5A645A7F"/>
    <w:rsid w:val="5A653116"/>
    <w:rsid w:val="5A7035CD"/>
    <w:rsid w:val="5A873ECB"/>
    <w:rsid w:val="5A934A0F"/>
    <w:rsid w:val="5A957C98"/>
    <w:rsid w:val="5A9641F8"/>
    <w:rsid w:val="5A9E6D6F"/>
    <w:rsid w:val="5AAC50E0"/>
    <w:rsid w:val="5AAD60EA"/>
    <w:rsid w:val="5AB61DE0"/>
    <w:rsid w:val="5ACB527F"/>
    <w:rsid w:val="5AD7761B"/>
    <w:rsid w:val="5B072DB6"/>
    <w:rsid w:val="5B19492B"/>
    <w:rsid w:val="5B233465"/>
    <w:rsid w:val="5B506B61"/>
    <w:rsid w:val="5B557DDB"/>
    <w:rsid w:val="5B5F0F2E"/>
    <w:rsid w:val="5B667984"/>
    <w:rsid w:val="5B6B796C"/>
    <w:rsid w:val="5B7C0F56"/>
    <w:rsid w:val="5B9808C1"/>
    <w:rsid w:val="5BB10CB2"/>
    <w:rsid w:val="5BC16A09"/>
    <w:rsid w:val="5C012CC6"/>
    <w:rsid w:val="5C274F8D"/>
    <w:rsid w:val="5C3B496D"/>
    <w:rsid w:val="5C503DE0"/>
    <w:rsid w:val="5C5435D1"/>
    <w:rsid w:val="5C5C5BA5"/>
    <w:rsid w:val="5C8005D2"/>
    <w:rsid w:val="5C8C4702"/>
    <w:rsid w:val="5C936557"/>
    <w:rsid w:val="5C943DBC"/>
    <w:rsid w:val="5C997625"/>
    <w:rsid w:val="5CA57080"/>
    <w:rsid w:val="5CA77E21"/>
    <w:rsid w:val="5CAF0BE0"/>
    <w:rsid w:val="5CB458BA"/>
    <w:rsid w:val="5CDC782C"/>
    <w:rsid w:val="5CE23DAC"/>
    <w:rsid w:val="5CE73917"/>
    <w:rsid w:val="5CF8460C"/>
    <w:rsid w:val="5D0A73AF"/>
    <w:rsid w:val="5D120F26"/>
    <w:rsid w:val="5D1F603D"/>
    <w:rsid w:val="5D376039"/>
    <w:rsid w:val="5D3E31E9"/>
    <w:rsid w:val="5D436E42"/>
    <w:rsid w:val="5D63667B"/>
    <w:rsid w:val="5D696565"/>
    <w:rsid w:val="5D6F2EDA"/>
    <w:rsid w:val="5D783847"/>
    <w:rsid w:val="5D83037A"/>
    <w:rsid w:val="5D885121"/>
    <w:rsid w:val="5D9941C1"/>
    <w:rsid w:val="5D9E3405"/>
    <w:rsid w:val="5DA92832"/>
    <w:rsid w:val="5DAE502B"/>
    <w:rsid w:val="5DB466F3"/>
    <w:rsid w:val="5DB915F2"/>
    <w:rsid w:val="5DBC60F3"/>
    <w:rsid w:val="5DCB1D21"/>
    <w:rsid w:val="5DCD5A99"/>
    <w:rsid w:val="5DDA5440"/>
    <w:rsid w:val="5DDD5947"/>
    <w:rsid w:val="5DDF393D"/>
    <w:rsid w:val="5DDF6E4E"/>
    <w:rsid w:val="5DFA49E0"/>
    <w:rsid w:val="5E1D0F80"/>
    <w:rsid w:val="5E1F3B6D"/>
    <w:rsid w:val="5E224037"/>
    <w:rsid w:val="5E352C38"/>
    <w:rsid w:val="5E3E40FF"/>
    <w:rsid w:val="5E3F3871"/>
    <w:rsid w:val="5E40706E"/>
    <w:rsid w:val="5E4C1080"/>
    <w:rsid w:val="5E4E1C8A"/>
    <w:rsid w:val="5E5D7A78"/>
    <w:rsid w:val="5E7833A1"/>
    <w:rsid w:val="5E8274BA"/>
    <w:rsid w:val="5EA06D09"/>
    <w:rsid w:val="5EA53C9A"/>
    <w:rsid w:val="5EB822A5"/>
    <w:rsid w:val="5EBC7F37"/>
    <w:rsid w:val="5ECE7D1A"/>
    <w:rsid w:val="5ED36C86"/>
    <w:rsid w:val="5EDA60B0"/>
    <w:rsid w:val="5EDE0F33"/>
    <w:rsid w:val="5EE35A57"/>
    <w:rsid w:val="5F1645A7"/>
    <w:rsid w:val="5F6A54DD"/>
    <w:rsid w:val="5F815969"/>
    <w:rsid w:val="5F8B4FA7"/>
    <w:rsid w:val="5F9B72D1"/>
    <w:rsid w:val="5FAB0A44"/>
    <w:rsid w:val="5FB17C29"/>
    <w:rsid w:val="5FB34738"/>
    <w:rsid w:val="5FB95E1C"/>
    <w:rsid w:val="5FC85F82"/>
    <w:rsid w:val="5FCB3FE5"/>
    <w:rsid w:val="5FD8170F"/>
    <w:rsid w:val="5FDC5EDE"/>
    <w:rsid w:val="5FEB2206"/>
    <w:rsid w:val="5FED772C"/>
    <w:rsid w:val="5FF97EAE"/>
    <w:rsid w:val="60155C27"/>
    <w:rsid w:val="60162D11"/>
    <w:rsid w:val="601A6070"/>
    <w:rsid w:val="60226F8B"/>
    <w:rsid w:val="603B4F3C"/>
    <w:rsid w:val="60477ABF"/>
    <w:rsid w:val="604B06AE"/>
    <w:rsid w:val="60526566"/>
    <w:rsid w:val="607F756F"/>
    <w:rsid w:val="60917251"/>
    <w:rsid w:val="60982996"/>
    <w:rsid w:val="60C53D01"/>
    <w:rsid w:val="60C9018D"/>
    <w:rsid w:val="61012C93"/>
    <w:rsid w:val="61053FC5"/>
    <w:rsid w:val="610C088E"/>
    <w:rsid w:val="614A03E6"/>
    <w:rsid w:val="61531A50"/>
    <w:rsid w:val="61532201"/>
    <w:rsid w:val="61651210"/>
    <w:rsid w:val="61666018"/>
    <w:rsid w:val="616B46BB"/>
    <w:rsid w:val="616E5EB6"/>
    <w:rsid w:val="617526CF"/>
    <w:rsid w:val="618560EB"/>
    <w:rsid w:val="618E3791"/>
    <w:rsid w:val="619B5D77"/>
    <w:rsid w:val="61B10243"/>
    <w:rsid w:val="61BB2DD9"/>
    <w:rsid w:val="61C00B2F"/>
    <w:rsid w:val="61C3411F"/>
    <w:rsid w:val="61DD1B9A"/>
    <w:rsid w:val="61E136F6"/>
    <w:rsid w:val="61F4426B"/>
    <w:rsid w:val="61F83805"/>
    <w:rsid w:val="62022776"/>
    <w:rsid w:val="6205764C"/>
    <w:rsid w:val="62256C85"/>
    <w:rsid w:val="623600B0"/>
    <w:rsid w:val="62562501"/>
    <w:rsid w:val="6256299E"/>
    <w:rsid w:val="62574D95"/>
    <w:rsid w:val="62586747"/>
    <w:rsid w:val="626C60B7"/>
    <w:rsid w:val="62746498"/>
    <w:rsid w:val="62922E0D"/>
    <w:rsid w:val="62982A5C"/>
    <w:rsid w:val="62CB6D60"/>
    <w:rsid w:val="62E358B2"/>
    <w:rsid w:val="62EA49F7"/>
    <w:rsid w:val="62F154C5"/>
    <w:rsid w:val="62FD0A5D"/>
    <w:rsid w:val="63162338"/>
    <w:rsid w:val="632036E4"/>
    <w:rsid w:val="63232EB3"/>
    <w:rsid w:val="63267478"/>
    <w:rsid w:val="633D315E"/>
    <w:rsid w:val="63504ABF"/>
    <w:rsid w:val="63517786"/>
    <w:rsid w:val="637052D7"/>
    <w:rsid w:val="637D4968"/>
    <w:rsid w:val="6388739F"/>
    <w:rsid w:val="6389099E"/>
    <w:rsid w:val="63954DAA"/>
    <w:rsid w:val="63C74AA3"/>
    <w:rsid w:val="63D87748"/>
    <w:rsid w:val="63DE2EEF"/>
    <w:rsid w:val="63E8362C"/>
    <w:rsid w:val="63F16145"/>
    <w:rsid w:val="63FE69AC"/>
    <w:rsid w:val="64024CFF"/>
    <w:rsid w:val="641D22DD"/>
    <w:rsid w:val="64426DE8"/>
    <w:rsid w:val="6457073A"/>
    <w:rsid w:val="645B3151"/>
    <w:rsid w:val="646A170C"/>
    <w:rsid w:val="64701038"/>
    <w:rsid w:val="64722EF6"/>
    <w:rsid w:val="64797A3F"/>
    <w:rsid w:val="647B4B09"/>
    <w:rsid w:val="647B6F79"/>
    <w:rsid w:val="64815AEE"/>
    <w:rsid w:val="648937A8"/>
    <w:rsid w:val="648B1BA9"/>
    <w:rsid w:val="648D0F64"/>
    <w:rsid w:val="649449E8"/>
    <w:rsid w:val="649D5D6D"/>
    <w:rsid w:val="64A9391A"/>
    <w:rsid w:val="64AF7CA6"/>
    <w:rsid w:val="64D77B16"/>
    <w:rsid w:val="64F953C5"/>
    <w:rsid w:val="65143871"/>
    <w:rsid w:val="651B533C"/>
    <w:rsid w:val="651E27DC"/>
    <w:rsid w:val="65206DF6"/>
    <w:rsid w:val="65291D8F"/>
    <w:rsid w:val="65570D94"/>
    <w:rsid w:val="655774EE"/>
    <w:rsid w:val="65795592"/>
    <w:rsid w:val="65A10F4D"/>
    <w:rsid w:val="65A93335"/>
    <w:rsid w:val="65AC068A"/>
    <w:rsid w:val="65BC5BDE"/>
    <w:rsid w:val="65D3678B"/>
    <w:rsid w:val="65DB69B9"/>
    <w:rsid w:val="65E142CF"/>
    <w:rsid w:val="65F16DEF"/>
    <w:rsid w:val="65FF5B93"/>
    <w:rsid w:val="660540EE"/>
    <w:rsid w:val="66081715"/>
    <w:rsid w:val="661673E0"/>
    <w:rsid w:val="661A1A97"/>
    <w:rsid w:val="661A3845"/>
    <w:rsid w:val="661B00EA"/>
    <w:rsid w:val="661D360B"/>
    <w:rsid w:val="66303069"/>
    <w:rsid w:val="66523C3F"/>
    <w:rsid w:val="66541F53"/>
    <w:rsid w:val="665C126F"/>
    <w:rsid w:val="66604179"/>
    <w:rsid w:val="6660647F"/>
    <w:rsid w:val="66613222"/>
    <w:rsid w:val="66820F47"/>
    <w:rsid w:val="668A782A"/>
    <w:rsid w:val="66AF1795"/>
    <w:rsid w:val="66B07CC1"/>
    <w:rsid w:val="66B14B24"/>
    <w:rsid w:val="66B27D18"/>
    <w:rsid w:val="66D1442C"/>
    <w:rsid w:val="66D47E7F"/>
    <w:rsid w:val="66D64E5B"/>
    <w:rsid w:val="66DD089D"/>
    <w:rsid w:val="66F0016C"/>
    <w:rsid w:val="66FA0812"/>
    <w:rsid w:val="66FB2BD0"/>
    <w:rsid w:val="66FC2971"/>
    <w:rsid w:val="670008EB"/>
    <w:rsid w:val="67103ED9"/>
    <w:rsid w:val="67262B05"/>
    <w:rsid w:val="672C7CD4"/>
    <w:rsid w:val="674E513F"/>
    <w:rsid w:val="674E6BDA"/>
    <w:rsid w:val="674F751F"/>
    <w:rsid w:val="67610E75"/>
    <w:rsid w:val="676F0F89"/>
    <w:rsid w:val="677178CC"/>
    <w:rsid w:val="677977BA"/>
    <w:rsid w:val="67797A29"/>
    <w:rsid w:val="679D31F9"/>
    <w:rsid w:val="679D3BF4"/>
    <w:rsid w:val="679D472E"/>
    <w:rsid w:val="67A41618"/>
    <w:rsid w:val="67AE4749"/>
    <w:rsid w:val="67C56A11"/>
    <w:rsid w:val="67DC3A63"/>
    <w:rsid w:val="67E071EA"/>
    <w:rsid w:val="67FC4971"/>
    <w:rsid w:val="68221BAF"/>
    <w:rsid w:val="682D62D9"/>
    <w:rsid w:val="685143BC"/>
    <w:rsid w:val="68542A0A"/>
    <w:rsid w:val="68555296"/>
    <w:rsid w:val="686C1E80"/>
    <w:rsid w:val="689079C3"/>
    <w:rsid w:val="689A2A1B"/>
    <w:rsid w:val="68D46A71"/>
    <w:rsid w:val="68D56910"/>
    <w:rsid w:val="68EF70C5"/>
    <w:rsid w:val="68F22D9F"/>
    <w:rsid w:val="69012A9A"/>
    <w:rsid w:val="69162C86"/>
    <w:rsid w:val="69180AD7"/>
    <w:rsid w:val="69214083"/>
    <w:rsid w:val="69456B9A"/>
    <w:rsid w:val="69481344"/>
    <w:rsid w:val="695700E3"/>
    <w:rsid w:val="697C3CC5"/>
    <w:rsid w:val="6980516E"/>
    <w:rsid w:val="698B51FD"/>
    <w:rsid w:val="69960468"/>
    <w:rsid w:val="69A109AD"/>
    <w:rsid w:val="69B875FD"/>
    <w:rsid w:val="69D5796F"/>
    <w:rsid w:val="69E00AE8"/>
    <w:rsid w:val="69E2467A"/>
    <w:rsid w:val="69F101EA"/>
    <w:rsid w:val="69F448E4"/>
    <w:rsid w:val="6A0606AA"/>
    <w:rsid w:val="6A090874"/>
    <w:rsid w:val="6A0F6D29"/>
    <w:rsid w:val="6A1231B1"/>
    <w:rsid w:val="6A1B780C"/>
    <w:rsid w:val="6A206086"/>
    <w:rsid w:val="6A3F0B90"/>
    <w:rsid w:val="6A3F71AB"/>
    <w:rsid w:val="6A407F9F"/>
    <w:rsid w:val="6A4620BF"/>
    <w:rsid w:val="6A4D5F32"/>
    <w:rsid w:val="6A5D65D9"/>
    <w:rsid w:val="6A6908F7"/>
    <w:rsid w:val="6A722F0B"/>
    <w:rsid w:val="6A7A4D5B"/>
    <w:rsid w:val="6A7E7518"/>
    <w:rsid w:val="6A825953"/>
    <w:rsid w:val="6A881C38"/>
    <w:rsid w:val="6A8A11E6"/>
    <w:rsid w:val="6A8B2F63"/>
    <w:rsid w:val="6A904811"/>
    <w:rsid w:val="6A9C6F1F"/>
    <w:rsid w:val="6AC034F3"/>
    <w:rsid w:val="6AC31AF5"/>
    <w:rsid w:val="6AC96987"/>
    <w:rsid w:val="6AD24017"/>
    <w:rsid w:val="6AD42C61"/>
    <w:rsid w:val="6AE14092"/>
    <w:rsid w:val="6AEA323D"/>
    <w:rsid w:val="6AF07997"/>
    <w:rsid w:val="6AF5032D"/>
    <w:rsid w:val="6AFB2812"/>
    <w:rsid w:val="6AFF182D"/>
    <w:rsid w:val="6B032C8C"/>
    <w:rsid w:val="6B243303"/>
    <w:rsid w:val="6B3569BE"/>
    <w:rsid w:val="6B3A1CE8"/>
    <w:rsid w:val="6B3E4E41"/>
    <w:rsid w:val="6B4D49EF"/>
    <w:rsid w:val="6B556078"/>
    <w:rsid w:val="6B565CD0"/>
    <w:rsid w:val="6B68013D"/>
    <w:rsid w:val="6B7022D0"/>
    <w:rsid w:val="6B7B5422"/>
    <w:rsid w:val="6B852192"/>
    <w:rsid w:val="6B925A32"/>
    <w:rsid w:val="6B9C4F5E"/>
    <w:rsid w:val="6BA92B5A"/>
    <w:rsid w:val="6BB42760"/>
    <w:rsid w:val="6BCC6C4D"/>
    <w:rsid w:val="6BD37065"/>
    <w:rsid w:val="6BE13B5E"/>
    <w:rsid w:val="6BE31674"/>
    <w:rsid w:val="6BE95EA9"/>
    <w:rsid w:val="6BEA6094"/>
    <w:rsid w:val="6C114575"/>
    <w:rsid w:val="6C3E2214"/>
    <w:rsid w:val="6C427652"/>
    <w:rsid w:val="6C4D48CD"/>
    <w:rsid w:val="6C8202CD"/>
    <w:rsid w:val="6C8639E2"/>
    <w:rsid w:val="6C961621"/>
    <w:rsid w:val="6C9D5038"/>
    <w:rsid w:val="6CBB7DE1"/>
    <w:rsid w:val="6CC445CB"/>
    <w:rsid w:val="6CCE0EE6"/>
    <w:rsid w:val="6CD042ED"/>
    <w:rsid w:val="6CDA2357"/>
    <w:rsid w:val="6CE8212C"/>
    <w:rsid w:val="6CF01775"/>
    <w:rsid w:val="6CFB62C0"/>
    <w:rsid w:val="6CFD7CAA"/>
    <w:rsid w:val="6D026DE8"/>
    <w:rsid w:val="6D0316B2"/>
    <w:rsid w:val="6D087337"/>
    <w:rsid w:val="6D0E1321"/>
    <w:rsid w:val="6D104BE0"/>
    <w:rsid w:val="6D132371"/>
    <w:rsid w:val="6D1338DD"/>
    <w:rsid w:val="6D153789"/>
    <w:rsid w:val="6D3B4D97"/>
    <w:rsid w:val="6D487B73"/>
    <w:rsid w:val="6D4A2408"/>
    <w:rsid w:val="6D4B1E5A"/>
    <w:rsid w:val="6D5E70E9"/>
    <w:rsid w:val="6D6729D8"/>
    <w:rsid w:val="6D6E09F2"/>
    <w:rsid w:val="6D852386"/>
    <w:rsid w:val="6DA5203F"/>
    <w:rsid w:val="6DA610B2"/>
    <w:rsid w:val="6DBD67AE"/>
    <w:rsid w:val="6DCF3167"/>
    <w:rsid w:val="6DD54C21"/>
    <w:rsid w:val="6DF453C2"/>
    <w:rsid w:val="6DFC1EB9"/>
    <w:rsid w:val="6E25722B"/>
    <w:rsid w:val="6E3363CE"/>
    <w:rsid w:val="6E3C316F"/>
    <w:rsid w:val="6E453429"/>
    <w:rsid w:val="6E456275"/>
    <w:rsid w:val="6E4E36BD"/>
    <w:rsid w:val="6E6127F4"/>
    <w:rsid w:val="6E631ECC"/>
    <w:rsid w:val="6E860D5E"/>
    <w:rsid w:val="6E880670"/>
    <w:rsid w:val="6E9028F6"/>
    <w:rsid w:val="6EB7522E"/>
    <w:rsid w:val="6EC002E5"/>
    <w:rsid w:val="6EC64ECD"/>
    <w:rsid w:val="6EC71F62"/>
    <w:rsid w:val="6ECD2CED"/>
    <w:rsid w:val="6EE1422E"/>
    <w:rsid w:val="6EE449F0"/>
    <w:rsid w:val="6EF14DB2"/>
    <w:rsid w:val="6EFA06B8"/>
    <w:rsid w:val="6F046E40"/>
    <w:rsid w:val="6F1743AC"/>
    <w:rsid w:val="6F3E2352"/>
    <w:rsid w:val="6F46088C"/>
    <w:rsid w:val="6F4656AB"/>
    <w:rsid w:val="6F4D42DA"/>
    <w:rsid w:val="6F5C1867"/>
    <w:rsid w:val="6F5C3F48"/>
    <w:rsid w:val="6F61462B"/>
    <w:rsid w:val="6F6D6714"/>
    <w:rsid w:val="6F8561D3"/>
    <w:rsid w:val="6F926B42"/>
    <w:rsid w:val="6F9C2017"/>
    <w:rsid w:val="6FB37BE5"/>
    <w:rsid w:val="6FC2450B"/>
    <w:rsid w:val="6FC7059A"/>
    <w:rsid w:val="6FCA64CD"/>
    <w:rsid w:val="6FE112C4"/>
    <w:rsid w:val="6FF069FB"/>
    <w:rsid w:val="6FF36A80"/>
    <w:rsid w:val="6FFB0619"/>
    <w:rsid w:val="6FFD7D02"/>
    <w:rsid w:val="70020E6A"/>
    <w:rsid w:val="701904DB"/>
    <w:rsid w:val="701A60AC"/>
    <w:rsid w:val="701D465E"/>
    <w:rsid w:val="702149D3"/>
    <w:rsid w:val="7021684B"/>
    <w:rsid w:val="70217D0F"/>
    <w:rsid w:val="7045295A"/>
    <w:rsid w:val="7047527A"/>
    <w:rsid w:val="704E0CBB"/>
    <w:rsid w:val="7056241A"/>
    <w:rsid w:val="707B2CB1"/>
    <w:rsid w:val="70924B19"/>
    <w:rsid w:val="70952588"/>
    <w:rsid w:val="70A34833"/>
    <w:rsid w:val="70B75478"/>
    <w:rsid w:val="70BA7DE6"/>
    <w:rsid w:val="70BF74C3"/>
    <w:rsid w:val="70D56048"/>
    <w:rsid w:val="70DA3248"/>
    <w:rsid w:val="71027F8C"/>
    <w:rsid w:val="712A4901"/>
    <w:rsid w:val="71391F94"/>
    <w:rsid w:val="7148395C"/>
    <w:rsid w:val="715D7335"/>
    <w:rsid w:val="717159EA"/>
    <w:rsid w:val="71777F8A"/>
    <w:rsid w:val="719340CC"/>
    <w:rsid w:val="71946BA2"/>
    <w:rsid w:val="71A412EF"/>
    <w:rsid w:val="71B106B0"/>
    <w:rsid w:val="71B61A42"/>
    <w:rsid w:val="71BB267E"/>
    <w:rsid w:val="71BE59CD"/>
    <w:rsid w:val="71C32243"/>
    <w:rsid w:val="71D94178"/>
    <w:rsid w:val="71E258E0"/>
    <w:rsid w:val="71E450CA"/>
    <w:rsid w:val="71EA7F5E"/>
    <w:rsid w:val="71EE0EE5"/>
    <w:rsid w:val="71F773F9"/>
    <w:rsid w:val="71FB452B"/>
    <w:rsid w:val="72025ED5"/>
    <w:rsid w:val="720A7322"/>
    <w:rsid w:val="72137E38"/>
    <w:rsid w:val="721E571E"/>
    <w:rsid w:val="721F7D69"/>
    <w:rsid w:val="7225336C"/>
    <w:rsid w:val="722E3E35"/>
    <w:rsid w:val="724A7260"/>
    <w:rsid w:val="724B68D9"/>
    <w:rsid w:val="72541E8D"/>
    <w:rsid w:val="725E62FA"/>
    <w:rsid w:val="72860473"/>
    <w:rsid w:val="7299364D"/>
    <w:rsid w:val="72C16C93"/>
    <w:rsid w:val="72D66A82"/>
    <w:rsid w:val="72D67597"/>
    <w:rsid w:val="72E43D31"/>
    <w:rsid w:val="72EF16DE"/>
    <w:rsid w:val="72FF6E9B"/>
    <w:rsid w:val="73027148"/>
    <w:rsid w:val="7305147C"/>
    <w:rsid w:val="731A30F8"/>
    <w:rsid w:val="733A7EE8"/>
    <w:rsid w:val="734D11ED"/>
    <w:rsid w:val="735A55D3"/>
    <w:rsid w:val="73621B80"/>
    <w:rsid w:val="7375174D"/>
    <w:rsid w:val="73795D83"/>
    <w:rsid w:val="737B6EF7"/>
    <w:rsid w:val="73850D73"/>
    <w:rsid w:val="738B56FD"/>
    <w:rsid w:val="738B5D82"/>
    <w:rsid w:val="73993FFB"/>
    <w:rsid w:val="739F2E93"/>
    <w:rsid w:val="73A60FE9"/>
    <w:rsid w:val="73B8143C"/>
    <w:rsid w:val="73C06788"/>
    <w:rsid w:val="73D813D5"/>
    <w:rsid w:val="73DB1F8F"/>
    <w:rsid w:val="73DE1B70"/>
    <w:rsid w:val="73E6120B"/>
    <w:rsid w:val="741378E4"/>
    <w:rsid w:val="74213FF1"/>
    <w:rsid w:val="743138C9"/>
    <w:rsid w:val="74497E8D"/>
    <w:rsid w:val="744F70D5"/>
    <w:rsid w:val="74542618"/>
    <w:rsid w:val="746B1062"/>
    <w:rsid w:val="74836A59"/>
    <w:rsid w:val="74890514"/>
    <w:rsid w:val="74957A1D"/>
    <w:rsid w:val="74976F8C"/>
    <w:rsid w:val="749C28D6"/>
    <w:rsid w:val="74AC2DBE"/>
    <w:rsid w:val="74B03CF2"/>
    <w:rsid w:val="74B4279D"/>
    <w:rsid w:val="74C959EF"/>
    <w:rsid w:val="74D13C69"/>
    <w:rsid w:val="74D226D8"/>
    <w:rsid w:val="74D951DD"/>
    <w:rsid w:val="74E36253"/>
    <w:rsid w:val="74F273DA"/>
    <w:rsid w:val="74F600B5"/>
    <w:rsid w:val="750C6A4F"/>
    <w:rsid w:val="75102AF5"/>
    <w:rsid w:val="751C1B98"/>
    <w:rsid w:val="752E2E69"/>
    <w:rsid w:val="753F1C14"/>
    <w:rsid w:val="75404D65"/>
    <w:rsid w:val="75410DEE"/>
    <w:rsid w:val="754B45FC"/>
    <w:rsid w:val="754C4FE3"/>
    <w:rsid w:val="75780005"/>
    <w:rsid w:val="75846F2D"/>
    <w:rsid w:val="758E56B6"/>
    <w:rsid w:val="759D26FD"/>
    <w:rsid w:val="75BA7DC9"/>
    <w:rsid w:val="75C158E1"/>
    <w:rsid w:val="75D75BBF"/>
    <w:rsid w:val="75F25C45"/>
    <w:rsid w:val="75F8173D"/>
    <w:rsid w:val="75FE15A4"/>
    <w:rsid w:val="76087EFE"/>
    <w:rsid w:val="762F3987"/>
    <w:rsid w:val="763146BA"/>
    <w:rsid w:val="76373F9F"/>
    <w:rsid w:val="763C17CD"/>
    <w:rsid w:val="7651209F"/>
    <w:rsid w:val="765A396A"/>
    <w:rsid w:val="765B5EE0"/>
    <w:rsid w:val="76625186"/>
    <w:rsid w:val="76694515"/>
    <w:rsid w:val="7671183A"/>
    <w:rsid w:val="76795A9A"/>
    <w:rsid w:val="76850BE3"/>
    <w:rsid w:val="768E7AAD"/>
    <w:rsid w:val="769D37DC"/>
    <w:rsid w:val="76AD1FDF"/>
    <w:rsid w:val="76AF483A"/>
    <w:rsid w:val="76C37C6F"/>
    <w:rsid w:val="76C61386"/>
    <w:rsid w:val="76CF1D13"/>
    <w:rsid w:val="76D56664"/>
    <w:rsid w:val="76E81AE6"/>
    <w:rsid w:val="76FD0D45"/>
    <w:rsid w:val="77000835"/>
    <w:rsid w:val="770802F0"/>
    <w:rsid w:val="771025D4"/>
    <w:rsid w:val="77115FC5"/>
    <w:rsid w:val="77196438"/>
    <w:rsid w:val="77326AF1"/>
    <w:rsid w:val="77342D6F"/>
    <w:rsid w:val="77383B2B"/>
    <w:rsid w:val="773B467C"/>
    <w:rsid w:val="775B5775"/>
    <w:rsid w:val="775E0D1F"/>
    <w:rsid w:val="776655B0"/>
    <w:rsid w:val="77685B26"/>
    <w:rsid w:val="777B5097"/>
    <w:rsid w:val="777E55F4"/>
    <w:rsid w:val="777F79AC"/>
    <w:rsid w:val="77820DEB"/>
    <w:rsid w:val="7792671F"/>
    <w:rsid w:val="7797445D"/>
    <w:rsid w:val="77986D62"/>
    <w:rsid w:val="77A015C8"/>
    <w:rsid w:val="77A92E90"/>
    <w:rsid w:val="77B650A0"/>
    <w:rsid w:val="77BB5477"/>
    <w:rsid w:val="77CE0481"/>
    <w:rsid w:val="77E43CB3"/>
    <w:rsid w:val="77E912C9"/>
    <w:rsid w:val="77EC7456"/>
    <w:rsid w:val="77EE7D89"/>
    <w:rsid w:val="77EF0483"/>
    <w:rsid w:val="78131205"/>
    <w:rsid w:val="781911C5"/>
    <w:rsid w:val="781A279F"/>
    <w:rsid w:val="782500E0"/>
    <w:rsid w:val="782F5811"/>
    <w:rsid w:val="78384A59"/>
    <w:rsid w:val="783B343E"/>
    <w:rsid w:val="78491B75"/>
    <w:rsid w:val="784A2663"/>
    <w:rsid w:val="784A43B3"/>
    <w:rsid w:val="78511348"/>
    <w:rsid w:val="785250C1"/>
    <w:rsid w:val="78564BB1"/>
    <w:rsid w:val="78581051"/>
    <w:rsid w:val="786228CD"/>
    <w:rsid w:val="786F0FB8"/>
    <w:rsid w:val="78714DF4"/>
    <w:rsid w:val="78721CEF"/>
    <w:rsid w:val="787234C6"/>
    <w:rsid w:val="78756296"/>
    <w:rsid w:val="788334CC"/>
    <w:rsid w:val="78B20233"/>
    <w:rsid w:val="78D12FAA"/>
    <w:rsid w:val="78D855C6"/>
    <w:rsid w:val="78FC0536"/>
    <w:rsid w:val="78FE7954"/>
    <w:rsid w:val="79315979"/>
    <w:rsid w:val="79424F4F"/>
    <w:rsid w:val="795831E5"/>
    <w:rsid w:val="796E7E54"/>
    <w:rsid w:val="79756315"/>
    <w:rsid w:val="79765CDA"/>
    <w:rsid w:val="798B6ADC"/>
    <w:rsid w:val="79A47621"/>
    <w:rsid w:val="79AA18D2"/>
    <w:rsid w:val="79AB6836"/>
    <w:rsid w:val="79C56A19"/>
    <w:rsid w:val="79D957CA"/>
    <w:rsid w:val="79DA621C"/>
    <w:rsid w:val="79ED729C"/>
    <w:rsid w:val="7A0A78E3"/>
    <w:rsid w:val="7A2465E9"/>
    <w:rsid w:val="7A364577"/>
    <w:rsid w:val="7A54735F"/>
    <w:rsid w:val="7A5A319C"/>
    <w:rsid w:val="7A5B64AE"/>
    <w:rsid w:val="7A5C5D83"/>
    <w:rsid w:val="7A681FA7"/>
    <w:rsid w:val="7A6963D8"/>
    <w:rsid w:val="7A8D6E37"/>
    <w:rsid w:val="7AA21823"/>
    <w:rsid w:val="7AA7070E"/>
    <w:rsid w:val="7AA900DE"/>
    <w:rsid w:val="7AA936C9"/>
    <w:rsid w:val="7AB12D4C"/>
    <w:rsid w:val="7AD37F76"/>
    <w:rsid w:val="7AF32BF3"/>
    <w:rsid w:val="7AF771AA"/>
    <w:rsid w:val="7B063D79"/>
    <w:rsid w:val="7B095F0A"/>
    <w:rsid w:val="7B116B6D"/>
    <w:rsid w:val="7B190BA4"/>
    <w:rsid w:val="7B334D35"/>
    <w:rsid w:val="7B36137C"/>
    <w:rsid w:val="7B3A2568"/>
    <w:rsid w:val="7B51165F"/>
    <w:rsid w:val="7B6F5B5B"/>
    <w:rsid w:val="7B7415FA"/>
    <w:rsid w:val="7B765886"/>
    <w:rsid w:val="7B7C4D25"/>
    <w:rsid w:val="7B893C25"/>
    <w:rsid w:val="7B8B5C40"/>
    <w:rsid w:val="7B90640C"/>
    <w:rsid w:val="7B922E29"/>
    <w:rsid w:val="7BA15C44"/>
    <w:rsid w:val="7BAB0D70"/>
    <w:rsid w:val="7BBC11CF"/>
    <w:rsid w:val="7BBF79A8"/>
    <w:rsid w:val="7BC24F1F"/>
    <w:rsid w:val="7BE129E3"/>
    <w:rsid w:val="7BE23EB3"/>
    <w:rsid w:val="7BE91898"/>
    <w:rsid w:val="7BF72207"/>
    <w:rsid w:val="7C101909"/>
    <w:rsid w:val="7C161B08"/>
    <w:rsid w:val="7C3A2FA7"/>
    <w:rsid w:val="7C541407"/>
    <w:rsid w:val="7C5840BF"/>
    <w:rsid w:val="7C6D071B"/>
    <w:rsid w:val="7C84107F"/>
    <w:rsid w:val="7C9909ED"/>
    <w:rsid w:val="7C9C2291"/>
    <w:rsid w:val="7CA46921"/>
    <w:rsid w:val="7CA56991"/>
    <w:rsid w:val="7CA71E0B"/>
    <w:rsid w:val="7CB85E09"/>
    <w:rsid w:val="7CFE3A42"/>
    <w:rsid w:val="7CFF1519"/>
    <w:rsid w:val="7D013878"/>
    <w:rsid w:val="7D0F508E"/>
    <w:rsid w:val="7D17450A"/>
    <w:rsid w:val="7D1943FF"/>
    <w:rsid w:val="7D2557AC"/>
    <w:rsid w:val="7D3F099E"/>
    <w:rsid w:val="7D4B01E2"/>
    <w:rsid w:val="7D533A52"/>
    <w:rsid w:val="7D5B43D0"/>
    <w:rsid w:val="7D6243C6"/>
    <w:rsid w:val="7D76523E"/>
    <w:rsid w:val="7D781E69"/>
    <w:rsid w:val="7D7B5075"/>
    <w:rsid w:val="7D832173"/>
    <w:rsid w:val="7D8A3C14"/>
    <w:rsid w:val="7D8C5B06"/>
    <w:rsid w:val="7D934401"/>
    <w:rsid w:val="7D953960"/>
    <w:rsid w:val="7D961406"/>
    <w:rsid w:val="7D9D0B8C"/>
    <w:rsid w:val="7DA56991"/>
    <w:rsid w:val="7DA623C2"/>
    <w:rsid w:val="7DA737B9"/>
    <w:rsid w:val="7DB639FC"/>
    <w:rsid w:val="7DD32800"/>
    <w:rsid w:val="7DFF0E02"/>
    <w:rsid w:val="7E070C8C"/>
    <w:rsid w:val="7E0800A0"/>
    <w:rsid w:val="7E0C521E"/>
    <w:rsid w:val="7E0E7E19"/>
    <w:rsid w:val="7E1840CC"/>
    <w:rsid w:val="7E1964D0"/>
    <w:rsid w:val="7E303249"/>
    <w:rsid w:val="7E525E1A"/>
    <w:rsid w:val="7E555123"/>
    <w:rsid w:val="7E557656"/>
    <w:rsid w:val="7E7538B7"/>
    <w:rsid w:val="7E841CD2"/>
    <w:rsid w:val="7E844BCE"/>
    <w:rsid w:val="7E8D660B"/>
    <w:rsid w:val="7E9433D2"/>
    <w:rsid w:val="7E992085"/>
    <w:rsid w:val="7EB47F46"/>
    <w:rsid w:val="7EB94600"/>
    <w:rsid w:val="7ECF7C45"/>
    <w:rsid w:val="7ED82860"/>
    <w:rsid w:val="7EF45DB1"/>
    <w:rsid w:val="7EFD2358"/>
    <w:rsid w:val="7EFF5324"/>
    <w:rsid w:val="7F03165A"/>
    <w:rsid w:val="7F077A20"/>
    <w:rsid w:val="7F077BC2"/>
    <w:rsid w:val="7F09267A"/>
    <w:rsid w:val="7F2B23E6"/>
    <w:rsid w:val="7F2B4123"/>
    <w:rsid w:val="7F3426C9"/>
    <w:rsid w:val="7F3E0944"/>
    <w:rsid w:val="7F3E5DC7"/>
    <w:rsid w:val="7F43784F"/>
    <w:rsid w:val="7F5C2ED4"/>
    <w:rsid w:val="7F5E061E"/>
    <w:rsid w:val="7F643B5C"/>
    <w:rsid w:val="7F8A3D01"/>
    <w:rsid w:val="7F8B6823"/>
    <w:rsid w:val="7F9B25D3"/>
    <w:rsid w:val="7F9C4EBD"/>
    <w:rsid w:val="7FAD310E"/>
    <w:rsid w:val="7FCD6742"/>
    <w:rsid w:val="7FE44850"/>
    <w:rsid w:val="7FE546A7"/>
  </w:rsids>
  <m:mathPr>
    <m:mathFont m:val="Cambria Math"/>
    <m:brkBin m:val="before"/>
    <m:brkBinSub m:val="--"/>
    <m:smallFrac m:val="1"/>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qFormat="1"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qFormat="1"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20"/>
    <w:qFormat/>
    <w:uiPriority w:val="0"/>
    <w:pPr>
      <w:keepNext/>
      <w:keepLines/>
      <w:spacing w:line="440" w:lineRule="exact"/>
      <w:jc w:val="center"/>
      <w:outlineLvl w:val="0"/>
    </w:pPr>
    <w:rPr>
      <w:b/>
      <w:bCs/>
      <w:kern w:val="44"/>
      <w:sz w:val="44"/>
      <w:szCs w:val="44"/>
    </w:rPr>
  </w:style>
  <w:style w:type="paragraph" w:styleId="3">
    <w:name w:val="heading 2"/>
    <w:basedOn w:val="1"/>
    <w:next w:val="1"/>
    <w:link w:val="197"/>
    <w:qFormat/>
    <w:uiPriority w:val="0"/>
    <w:pPr>
      <w:keepNext/>
      <w:keepLines/>
      <w:spacing w:line="440" w:lineRule="exact"/>
      <w:jc w:val="left"/>
      <w:outlineLvl w:val="1"/>
    </w:pPr>
    <w:rPr>
      <w:rFonts w:ascii="Arial" w:hAnsi="Arial" w:eastAsia="黑体"/>
      <w:b/>
      <w:bCs/>
      <w:szCs w:val="32"/>
    </w:rPr>
  </w:style>
  <w:style w:type="paragraph" w:styleId="4">
    <w:name w:val="heading 3"/>
    <w:basedOn w:val="1"/>
    <w:next w:val="1"/>
    <w:link w:val="153"/>
    <w:qFormat/>
    <w:uiPriority w:val="0"/>
    <w:pPr>
      <w:keepNext/>
      <w:keepLines/>
      <w:spacing w:line="415" w:lineRule="auto"/>
      <w:outlineLvl w:val="2"/>
    </w:pPr>
    <w:rPr>
      <w:b/>
      <w:bCs/>
      <w:kern w:val="0"/>
      <w:sz w:val="32"/>
      <w:szCs w:val="32"/>
    </w:rPr>
  </w:style>
  <w:style w:type="paragraph" w:styleId="5">
    <w:name w:val="heading 4"/>
    <w:basedOn w:val="1"/>
    <w:next w:val="1"/>
    <w:qFormat/>
    <w:uiPriority w:val="0"/>
    <w:pPr>
      <w:keepNext/>
      <w:keepLines/>
      <w:spacing w:line="374" w:lineRule="auto"/>
      <w:outlineLvl w:val="3"/>
    </w:pPr>
    <w:rPr>
      <w:rFonts w:ascii="Arial" w:hAnsi="Arial" w:eastAsia="黑体"/>
      <w:b/>
      <w:bCs/>
      <w:sz w:val="28"/>
      <w:szCs w:val="28"/>
    </w:rPr>
  </w:style>
  <w:style w:type="paragraph" w:styleId="6">
    <w:name w:val="heading 5"/>
    <w:basedOn w:val="1"/>
    <w:next w:val="1"/>
    <w:link w:val="129"/>
    <w:qFormat/>
    <w:uiPriority w:val="0"/>
    <w:pPr>
      <w:keepNext/>
      <w:keepLines/>
      <w:spacing w:line="376" w:lineRule="auto"/>
      <w:outlineLvl w:val="4"/>
    </w:pPr>
    <w:rPr>
      <w:b/>
      <w:bCs/>
      <w:sz w:val="28"/>
      <w:szCs w:val="28"/>
    </w:rPr>
  </w:style>
  <w:style w:type="paragraph" w:styleId="7">
    <w:name w:val="heading 6"/>
    <w:basedOn w:val="1"/>
    <w:next w:val="1"/>
    <w:qFormat/>
    <w:uiPriority w:val="0"/>
    <w:pPr>
      <w:keepNext/>
      <w:keepLines/>
      <w:widowControl/>
      <w:tabs>
        <w:tab w:val="left" w:pos="1440"/>
      </w:tabs>
      <w:spacing w:line="319" w:lineRule="auto"/>
      <w:ind w:left="1152" w:hanging="1152"/>
      <w:jc w:val="left"/>
      <w:outlineLvl w:val="5"/>
    </w:pPr>
    <w:rPr>
      <w:rFonts w:ascii="Arial" w:hAnsi="Arial" w:eastAsia="黑体"/>
      <w:b/>
      <w:bCs/>
      <w:kern w:val="0"/>
      <w:sz w:val="24"/>
    </w:rPr>
  </w:style>
  <w:style w:type="paragraph" w:styleId="8">
    <w:name w:val="heading 7"/>
    <w:basedOn w:val="1"/>
    <w:next w:val="1"/>
    <w:qFormat/>
    <w:uiPriority w:val="0"/>
    <w:pPr>
      <w:keepNext/>
      <w:keepLines/>
      <w:widowControl/>
      <w:tabs>
        <w:tab w:val="left" w:pos="2520"/>
      </w:tabs>
      <w:spacing w:line="319" w:lineRule="auto"/>
      <w:ind w:left="1296" w:hanging="1296"/>
      <w:jc w:val="left"/>
      <w:outlineLvl w:val="6"/>
    </w:pPr>
    <w:rPr>
      <w:b/>
      <w:bCs/>
      <w:kern w:val="0"/>
      <w:sz w:val="24"/>
    </w:rPr>
  </w:style>
  <w:style w:type="paragraph" w:styleId="9">
    <w:name w:val="heading 8"/>
    <w:basedOn w:val="1"/>
    <w:next w:val="1"/>
    <w:qFormat/>
    <w:uiPriority w:val="0"/>
    <w:pPr>
      <w:keepNext/>
      <w:keepLines/>
      <w:widowControl/>
      <w:tabs>
        <w:tab w:val="left" w:pos="1440"/>
      </w:tabs>
      <w:spacing w:line="319" w:lineRule="auto"/>
      <w:ind w:left="1440" w:hanging="1440"/>
      <w:jc w:val="left"/>
      <w:outlineLvl w:val="7"/>
    </w:pPr>
    <w:rPr>
      <w:rFonts w:ascii="Arial" w:hAnsi="Arial" w:eastAsia="黑体"/>
      <w:kern w:val="0"/>
      <w:sz w:val="24"/>
    </w:rPr>
  </w:style>
  <w:style w:type="paragraph" w:styleId="10">
    <w:name w:val="heading 9"/>
    <w:basedOn w:val="1"/>
    <w:next w:val="1"/>
    <w:qFormat/>
    <w:uiPriority w:val="0"/>
    <w:pPr>
      <w:keepNext/>
      <w:keepLines/>
      <w:widowControl/>
      <w:tabs>
        <w:tab w:val="left" w:pos="1584"/>
      </w:tabs>
      <w:spacing w:line="319" w:lineRule="auto"/>
      <w:ind w:left="1584" w:hanging="1584"/>
      <w:jc w:val="left"/>
      <w:outlineLvl w:val="8"/>
    </w:pPr>
    <w:rPr>
      <w:rFonts w:ascii="Arial" w:hAnsi="Arial" w:eastAsia="黑体"/>
      <w:kern w:val="0"/>
      <w:szCs w:val="21"/>
    </w:rPr>
  </w:style>
  <w:style w:type="character" w:default="1" w:styleId="49">
    <w:name w:val="Default Paragraph Font"/>
    <w:semiHidden/>
    <w:unhideWhenUsed/>
    <w:qFormat/>
    <w:uiPriority w:val="1"/>
  </w:style>
  <w:style w:type="table" w:default="1" w:styleId="47">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qFormat/>
    <w:uiPriority w:val="39"/>
    <w:pPr>
      <w:ind w:left="1260"/>
      <w:jc w:val="left"/>
    </w:pPr>
    <w:rPr>
      <w:sz w:val="18"/>
      <w:szCs w:val="18"/>
    </w:rPr>
  </w:style>
  <w:style w:type="paragraph" w:styleId="12">
    <w:name w:val="table of authorities"/>
    <w:basedOn w:val="1"/>
    <w:next w:val="1"/>
    <w:unhideWhenUsed/>
    <w:qFormat/>
    <w:uiPriority w:val="0"/>
    <w:pPr>
      <w:ind w:left="420" w:leftChars="200"/>
    </w:pPr>
  </w:style>
  <w:style w:type="paragraph" w:styleId="13">
    <w:name w:val="Normal Indent"/>
    <w:basedOn w:val="1"/>
    <w:next w:val="14"/>
    <w:qFormat/>
    <w:uiPriority w:val="0"/>
    <w:pPr>
      <w:ind w:firstLine="420" w:firstLineChars="200"/>
    </w:pPr>
  </w:style>
  <w:style w:type="paragraph" w:styleId="14">
    <w:name w:val="Body Text First Indent 2"/>
    <w:basedOn w:val="15"/>
    <w:next w:val="1"/>
    <w:qFormat/>
    <w:uiPriority w:val="0"/>
    <w:pPr>
      <w:spacing w:line="360" w:lineRule="auto"/>
      <w:ind w:firstLine="200" w:firstLineChars="200"/>
    </w:pPr>
    <w:rPr>
      <w:rFonts w:ascii="宋体"/>
      <w:szCs w:val="20"/>
    </w:rPr>
  </w:style>
  <w:style w:type="paragraph" w:styleId="15">
    <w:name w:val="Body Text Indent"/>
    <w:basedOn w:val="1"/>
    <w:next w:val="16"/>
    <w:qFormat/>
    <w:uiPriority w:val="0"/>
    <w:pPr>
      <w:ind w:left="420" w:leftChars="200"/>
    </w:pPr>
  </w:style>
  <w:style w:type="paragraph" w:styleId="16">
    <w:name w:val="envelope return"/>
    <w:basedOn w:val="1"/>
    <w:next w:val="11"/>
    <w:qFormat/>
    <w:uiPriority w:val="0"/>
    <w:pPr>
      <w:snapToGrid w:val="0"/>
    </w:pPr>
    <w:rPr>
      <w:rFonts w:ascii="Arial" w:hAnsi="Arial"/>
    </w:rPr>
  </w:style>
  <w:style w:type="paragraph" w:styleId="17">
    <w:name w:val="Document Map"/>
    <w:basedOn w:val="1"/>
    <w:qFormat/>
    <w:uiPriority w:val="0"/>
    <w:pPr>
      <w:shd w:val="clear" w:color="auto" w:fill="000080"/>
    </w:pPr>
  </w:style>
  <w:style w:type="paragraph" w:styleId="18">
    <w:name w:val="annotation text"/>
    <w:basedOn w:val="1"/>
    <w:link w:val="112"/>
    <w:qFormat/>
    <w:uiPriority w:val="0"/>
    <w:pPr>
      <w:jc w:val="left"/>
    </w:pPr>
  </w:style>
  <w:style w:type="paragraph" w:styleId="19">
    <w:name w:val="Body Text 3"/>
    <w:basedOn w:val="1"/>
    <w:qFormat/>
    <w:uiPriority w:val="0"/>
    <w:rPr>
      <w:rFonts w:ascii="宋体"/>
      <w:sz w:val="24"/>
      <w:szCs w:val="20"/>
    </w:rPr>
  </w:style>
  <w:style w:type="paragraph" w:styleId="20">
    <w:name w:val="Body Text"/>
    <w:basedOn w:val="1"/>
    <w:link w:val="142"/>
    <w:qFormat/>
    <w:uiPriority w:val="0"/>
  </w:style>
  <w:style w:type="paragraph" w:styleId="21">
    <w:name w:val="Block Text"/>
    <w:basedOn w:val="1"/>
    <w:qFormat/>
    <w:uiPriority w:val="0"/>
    <w:pPr>
      <w:spacing w:line="400" w:lineRule="exact"/>
      <w:ind w:left="-359" w:leftChars="-171" w:right="31" w:rightChars="15" w:firstLine="980" w:firstLineChars="350"/>
    </w:pPr>
    <w:rPr>
      <w:rFonts w:ascii="宋体" w:hAnsi="宋体"/>
      <w:sz w:val="28"/>
      <w:szCs w:val="32"/>
    </w:rPr>
  </w:style>
  <w:style w:type="paragraph" w:styleId="22">
    <w:name w:val="toc 5"/>
    <w:basedOn w:val="1"/>
    <w:next w:val="1"/>
    <w:qFormat/>
    <w:uiPriority w:val="39"/>
    <w:pPr>
      <w:ind w:left="840"/>
      <w:jc w:val="left"/>
    </w:pPr>
    <w:rPr>
      <w:sz w:val="18"/>
      <w:szCs w:val="18"/>
    </w:rPr>
  </w:style>
  <w:style w:type="paragraph" w:styleId="23">
    <w:name w:val="toc 3"/>
    <w:basedOn w:val="1"/>
    <w:next w:val="1"/>
    <w:qFormat/>
    <w:uiPriority w:val="39"/>
    <w:pPr>
      <w:ind w:left="420"/>
      <w:jc w:val="left"/>
    </w:pPr>
    <w:rPr>
      <w:i/>
      <w:iCs/>
      <w:sz w:val="20"/>
      <w:szCs w:val="20"/>
    </w:rPr>
  </w:style>
  <w:style w:type="paragraph" w:styleId="24">
    <w:name w:val="Plain Text"/>
    <w:basedOn w:val="1"/>
    <w:next w:val="1"/>
    <w:link w:val="136"/>
    <w:qFormat/>
    <w:uiPriority w:val="0"/>
    <w:rPr>
      <w:rFonts w:ascii="Courier New" w:hAnsi="Courier New"/>
      <w:szCs w:val="20"/>
    </w:rPr>
  </w:style>
  <w:style w:type="paragraph" w:styleId="25">
    <w:name w:val="toc 8"/>
    <w:basedOn w:val="1"/>
    <w:next w:val="1"/>
    <w:qFormat/>
    <w:uiPriority w:val="39"/>
    <w:pPr>
      <w:ind w:left="1470"/>
      <w:jc w:val="left"/>
    </w:pPr>
    <w:rPr>
      <w:sz w:val="18"/>
      <w:szCs w:val="18"/>
    </w:rPr>
  </w:style>
  <w:style w:type="paragraph" w:styleId="26">
    <w:name w:val="Date"/>
    <w:basedOn w:val="1"/>
    <w:next w:val="1"/>
    <w:qFormat/>
    <w:uiPriority w:val="0"/>
    <w:rPr>
      <w:sz w:val="24"/>
      <w:szCs w:val="20"/>
    </w:rPr>
  </w:style>
  <w:style w:type="paragraph" w:styleId="27">
    <w:name w:val="Body Text Indent 2"/>
    <w:basedOn w:val="1"/>
    <w:qFormat/>
    <w:uiPriority w:val="0"/>
    <w:pPr>
      <w:spacing w:line="360" w:lineRule="exact"/>
      <w:ind w:firstLine="600" w:firstLineChars="250"/>
      <w:jc w:val="left"/>
    </w:pPr>
    <w:rPr>
      <w:sz w:val="24"/>
    </w:rPr>
  </w:style>
  <w:style w:type="paragraph" w:styleId="28">
    <w:name w:val="Balloon Text"/>
    <w:basedOn w:val="1"/>
    <w:qFormat/>
    <w:uiPriority w:val="0"/>
    <w:rPr>
      <w:sz w:val="18"/>
      <w:szCs w:val="18"/>
    </w:rPr>
  </w:style>
  <w:style w:type="paragraph" w:styleId="29">
    <w:name w:val="footer"/>
    <w:basedOn w:val="1"/>
    <w:qFormat/>
    <w:uiPriority w:val="0"/>
    <w:pPr>
      <w:tabs>
        <w:tab w:val="center" w:pos="4153"/>
        <w:tab w:val="right" w:pos="8306"/>
      </w:tabs>
      <w:snapToGrid w:val="0"/>
      <w:jc w:val="left"/>
    </w:pPr>
    <w:rPr>
      <w:sz w:val="18"/>
      <w:szCs w:val="18"/>
    </w:rPr>
  </w:style>
  <w:style w:type="paragraph" w:styleId="30">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31">
    <w:name w:val="toc 1"/>
    <w:basedOn w:val="1"/>
    <w:next w:val="1"/>
    <w:qFormat/>
    <w:uiPriority w:val="39"/>
    <w:pPr>
      <w:jc w:val="left"/>
    </w:pPr>
    <w:rPr>
      <w:b/>
      <w:bCs/>
      <w:caps/>
      <w:sz w:val="20"/>
      <w:szCs w:val="20"/>
    </w:rPr>
  </w:style>
  <w:style w:type="paragraph" w:styleId="32">
    <w:name w:val="toc 4"/>
    <w:basedOn w:val="1"/>
    <w:next w:val="1"/>
    <w:qFormat/>
    <w:uiPriority w:val="39"/>
    <w:pPr>
      <w:ind w:left="630"/>
      <w:jc w:val="left"/>
    </w:pPr>
    <w:rPr>
      <w:sz w:val="18"/>
      <w:szCs w:val="18"/>
    </w:rPr>
  </w:style>
  <w:style w:type="paragraph" w:styleId="33">
    <w:name w:val="List"/>
    <w:basedOn w:val="1"/>
    <w:qFormat/>
    <w:uiPriority w:val="0"/>
    <w:pPr>
      <w:ind w:left="420" w:hanging="420"/>
    </w:pPr>
  </w:style>
  <w:style w:type="paragraph" w:styleId="34">
    <w:name w:val="footnote text"/>
    <w:basedOn w:val="1"/>
    <w:qFormat/>
    <w:uiPriority w:val="0"/>
    <w:rPr>
      <w:sz w:val="20"/>
      <w:szCs w:val="20"/>
    </w:rPr>
  </w:style>
  <w:style w:type="paragraph" w:styleId="35">
    <w:name w:val="toc 6"/>
    <w:basedOn w:val="1"/>
    <w:next w:val="1"/>
    <w:qFormat/>
    <w:uiPriority w:val="39"/>
    <w:pPr>
      <w:ind w:left="1050"/>
      <w:jc w:val="left"/>
    </w:pPr>
    <w:rPr>
      <w:sz w:val="18"/>
      <w:szCs w:val="18"/>
    </w:rPr>
  </w:style>
  <w:style w:type="paragraph" w:styleId="36">
    <w:name w:val="Body Text Indent 3"/>
    <w:basedOn w:val="1"/>
    <w:qFormat/>
    <w:uiPriority w:val="0"/>
    <w:pPr>
      <w:ind w:left="420" w:leftChars="200"/>
    </w:pPr>
    <w:rPr>
      <w:sz w:val="16"/>
      <w:szCs w:val="16"/>
    </w:rPr>
  </w:style>
  <w:style w:type="paragraph" w:styleId="37">
    <w:name w:val="table of figures"/>
    <w:basedOn w:val="1"/>
    <w:next w:val="1"/>
    <w:qFormat/>
    <w:uiPriority w:val="0"/>
    <w:pPr>
      <w:ind w:left="200" w:leftChars="200" w:hanging="200" w:hangingChars="200"/>
    </w:pPr>
  </w:style>
  <w:style w:type="paragraph" w:styleId="38">
    <w:name w:val="toc 2"/>
    <w:basedOn w:val="1"/>
    <w:next w:val="1"/>
    <w:qFormat/>
    <w:uiPriority w:val="39"/>
    <w:pPr>
      <w:ind w:left="210"/>
      <w:jc w:val="left"/>
    </w:pPr>
    <w:rPr>
      <w:smallCaps/>
      <w:sz w:val="20"/>
      <w:szCs w:val="20"/>
    </w:rPr>
  </w:style>
  <w:style w:type="paragraph" w:styleId="39">
    <w:name w:val="toc 9"/>
    <w:basedOn w:val="1"/>
    <w:next w:val="1"/>
    <w:qFormat/>
    <w:uiPriority w:val="39"/>
    <w:pPr>
      <w:ind w:left="1680"/>
      <w:jc w:val="left"/>
    </w:pPr>
    <w:rPr>
      <w:sz w:val="18"/>
      <w:szCs w:val="18"/>
    </w:rPr>
  </w:style>
  <w:style w:type="paragraph" w:styleId="40">
    <w:name w:val="Body Text 2"/>
    <w:basedOn w:val="1"/>
    <w:qFormat/>
    <w:uiPriority w:val="0"/>
    <w:pPr>
      <w:spacing w:line="440" w:lineRule="exact"/>
    </w:pPr>
    <w:rPr>
      <w:sz w:val="28"/>
    </w:rPr>
  </w:style>
  <w:style w:type="paragraph" w:styleId="41">
    <w:name w:val="HTML Preformatted"/>
    <w:basedOn w:val="1"/>
    <w:link w:val="114"/>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paragraph" w:styleId="42">
    <w:name w:val="Normal (Web)"/>
    <w:basedOn w:val="1"/>
    <w:next w:val="43"/>
    <w:qFormat/>
    <w:uiPriority w:val="99"/>
    <w:pPr>
      <w:widowControl/>
      <w:spacing w:beforeAutospacing="1" w:afterAutospacing="1"/>
      <w:jc w:val="left"/>
    </w:pPr>
    <w:rPr>
      <w:rFonts w:ascii="宋体" w:hAnsi="宋体" w:cs="宋体"/>
      <w:kern w:val="0"/>
      <w:sz w:val="24"/>
    </w:rPr>
  </w:style>
  <w:style w:type="paragraph" w:customStyle="1" w:styleId="43">
    <w:name w:val="正文文字 8"/>
    <w:basedOn w:val="1"/>
    <w:next w:val="1"/>
    <w:qFormat/>
    <w:uiPriority w:val="0"/>
    <w:pPr>
      <w:ind w:left="240"/>
    </w:pPr>
    <w:rPr>
      <w:sz w:val="16"/>
    </w:rPr>
  </w:style>
  <w:style w:type="paragraph" w:styleId="44">
    <w:name w:val="Title"/>
    <w:basedOn w:val="1"/>
    <w:qFormat/>
    <w:uiPriority w:val="0"/>
    <w:pPr>
      <w:adjustRightInd w:val="0"/>
      <w:spacing w:line="420" w:lineRule="atLeast"/>
      <w:jc w:val="center"/>
      <w:textAlignment w:val="baseline"/>
      <w:outlineLvl w:val="0"/>
    </w:pPr>
    <w:rPr>
      <w:rFonts w:ascii="Arial" w:hAnsi="Arial"/>
      <w:b/>
      <w:kern w:val="0"/>
      <w:sz w:val="32"/>
      <w:szCs w:val="20"/>
    </w:rPr>
  </w:style>
  <w:style w:type="paragraph" w:styleId="45">
    <w:name w:val="annotation subject"/>
    <w:basedOn w:val="18"/>
    <w:next w:val="18"/>
    <w:qFormat/>
    <w:uiPriority w:val="0"/>
    <w:rPr>
      <w:b/>
      <w:bCs/>
    </w:rPr>
  </w:style>
  <w:style w:type="paragraph" w:styleId="46">
    <w:name w:val="Body Text First Indent"/>
    <w:basedOn w:val="20"/>
    <w:qFormat/>
    <w:uiPriority w:val="0"/>
    <w:pPr>
      <w:ind w:firstLine="420" w:firstLineChars="100"/>
    </w:pPr>
  </w:style>
  <w:style w:type="table" w:styleId="48">
    <w:name w:val="Table Grid"/>
    <w:basedOn w:val="4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50">
    <w:name w:val="Strong"/>
    <w:basedOn w:val="49"/>
    <w:qFormat/>
    <w:uiPriority w:val="0"/>
    <w:rPr>
      <w:b/>
      <w:bCs/>
    </w:rPr>
  </w:style>
  <w:style w:type="character" w:styleId="51">
    <w:name w:val="page number"/>
    <w:basedOn w:val="49"/>
    <w:qFormat/>
    <w:uiPriority w:val="0"/>
  </w:style>
  <w:style w:type="character" w:styleId="52">
    <w:name w:val="FollowedHyperlink"/>
    <w:qFormat/>
    <w:uiPriority w:val="0"/>
    <w:rPr>
      <w:color w:val="333333"/>
      <w:u w:val="none"/>
    </w:rPr>
  </w:style>
  <w:style w:type="character" w:styleId="53">
    <w:name w:val="Emphasis"/>
    <w:qFormat/>
    <w:uiPriority w:val="0"/>
    <w:rPr>
      <w:color w:val="CC0033"/>
    </w:rPr>
  </w:style>
  <w:style w:type="character" w:styleId="54">
    <w:name w:val="HTML Definition"/>
    <w:qFormat/>
    <w:uiPriority w:val="0"/>
  </w:style>
  <w:style w:type="character" w:styleId="55">
    <w:name w:val="HTML Typewriter"/>
    <w:qFormat/>
    <w:uiPriority w:val="0"/>
    <w:rPr>
      <w:rFonts w:hint="default" w:ascii="monospace" w:hAnsi="monospace" w:eastAsia="monospace" w:cs="monospace"/>
      <w:sz w:val="20"/>
    </w:rPr>
  </w:style>
  <w:style w:type="character" w:styleId="56">
    <w:name w:val="HTML Acronym"/>
    <w:basedOn w:val="49"/>
    <w:qFormat/>
    <w:uiPriority w:val="0"/>
  </w:style>
  <w:style w:type="character" w:styleId="57">
    <w:name w:val="HTML Variable"/>
    <w:qFormat/>
    <w:uiPriority w:val="0"/>
  </w:style>
  <w:style w:type="character" w:styleId="58">
    <w:name w:val="Hyperlink"/>
    <w:basedOn w:val="49"/>
    <w:qFormat/>
    <w:uiPriority w:val="99"/>
    <w:rPr>
      <w:color w:val="333333"/>
      <w:u w:val="none"/>
    </w:rPr>
  </w:style>
  <w:style w:type="character" w:styleId="59">
    <w:name w:val="HTML Code"/>
    <w:qFormat/>
    <w:uiPriority w:val="0"/>
    <w:rPr>
      <w:rFonts w:hint="default" w:ascii="monospace" w:hAnsi="monospace" w:eastAsia="monospace" w:cs="monospace"/>
      <w:sz w:val="20"/>
    </w:rPr>
  </w:style>
  <w:style w:type="character" w:styleId="60">
    <w:name w:val="annotation reference"/>
    <w:qFormat/>
    <w:uiPriority w:val="0"/>
    <w:rPr>
      <w:sz w:val="21"/>
      <w:szCs w:val="21"/>
    </w:rPr>
  </w:style>
  <w:style w:type="character" w:styleId="61">
    <w:name w:val="HTML Cite"/>
    <w:qFormat/>
    <w:uiPriority w:val="0"/>
  </w:style>
  <w:style w:type="character" w:styleId="62">
    <w:name w:val="footnote reference"/>
    <w:qFormat/>
    <w:uiPriority w:val="0"/>
    <w:rPr>
      <w:vertAlign w:val="superscript"/>
    </w:rPr>
  </w:style>
  <w:style w:type="character" w:styleId="63">
    <w:name w:val="HTML Keyboard"/>
    <w:qFormat/>
    <w:uiPriority w:val="0"/>
    <w:rPr>
      <w:rFonts w:ascii="monospace" w:hAnsi="monospace" w:eastAsia="monospace" w:cs="monospace"/>
      <w:sz w:val="20"/>
    </w:rPr>
  </w:style>
  <w:style w:type="character" w:styleId="64">
    <w:name w:val="HTML Sample"/>
    <w:qFormat/>
    <w:uiPriority w:val="0"/>
    <w:rPr>
      <w:rFonts w:hint="default" w:ascii="monospace" w:hAnsi="monospace" w:eastAsia="monospace" w:cs="monospace"/>
    </w:rPr>
  </w:style>
  <w:style w:type="paragraph" w:styleId="65">
    <w:name w:val="List Paragraph"/>
    <w:basedOn w:val="1"/>
    <w:qFormat/>
    <w:uiPriority w:val="34"/>
    <w:pPr>
      <w:ind w:firstLine="420" w:firstLineChars="200"/>
    </w:pPr>
  </w:style>
  <w:style w:type="paragraph" w:customStyle="1" w:styleId="66">
    <w:name w:val="_Style 62"/>
    <w:basedOn w:val="1"/>
    <w:next w:val="1"/>
    <w:qFormat/>
    <w:uiPriority w:val="0"/>
    <w:pPr>
      <w:pBdr>
        <w:top w:val="single" w:color="auto" w:sz="6" w:space="1"/>
      </w:pBdr>
      <w:jc w:val="center"/>
    </w:pPr>
    <w:rPr>
      <w:rFonts w:ascii="Arial"/>
      <w:vanish/>
      <w:sz w:val="16"/>
    </w:rPr>
  </w:style>
  <w:style w:type="paragraph" w:customStyle="1" w:styleId="67">
    <w:name w:val="Blockquote"/>
    <w:basedOn w:val="1"/>
    <w:qFormat/>
    <w:uiPriority w:val="0"/>
    <w:pPr>
      <w:autoSpaceDE w:val="0"/>
      <w:autoSpaceDN w:val="0"/>
      <w:adjustRightInd w:val="0"/>
      <w:ind w:left="360" w:right="360"/>
      <w:jc w:val="left"/>
    </w:pPr>
    <w:rPr>
      <w:kern w:val="0"/>
      <w:sz w:val="24"/>
      <w:szCs w:val="20"/>
    </w:rPr>
  </w:style>
  <w:style w:type="paragraph" w:customStyle="1" w:styleId="68">
    <w:name w:val="表格"/>
    <w:basedOn w:val="1"/>
    <w:qFormat/>
    <w:uiPriority w:val="0"/>
    <w:pPr>
      <w:jc w:val="center"/>
      <w:textAlignment w:val="center"/>
    </w:pPr>
    <w:rPr>
      <w:rFonts w:ascii="华文细黑" w:hAnsi="华文细黑"/>
      <w:kern w:val="0"/>
      <w:szCs w:val="20"/>
    </w:rPr>
  </w:style>
  <w:style w:type="paragraph" w:customStyle="1" w:styleId="69">
    <w:name w:val="表格文字"/>
    <w:basedOn w:val="1"/>
    <w:qFormat/>
    <w:uiPriority w:val="0"/>
    <w:pPr>
      <w:adjustRightInd w:val="0"/>
      <w:spacing w:line="420" w:lineRule="atLeast"/>
      <w:jc w:val="left"/>
      <w:textAlignment w:val="baseline"/>
    </w:pPr>
    <w:rPr>
      <w:kern w:val="0"/>
      <w:szCs w:val="20"/>
    </w:rPr>
  </w:style>
  <w:style w:type="paragraph" w:customStyle="1" w:styleId="70">
    <w:name w:val="Char"/>
    <w:basedOn w:val="1"/>
    <w:next w:val="1"/>
    <w:qFormat/>
    <w:uiPriority w:val="0"/>
    <w:pPr>
      <w:widowControl/>
      <w:spacing w:line="360" w:lineRule="auto"/>
      <w:jc w:val="left"/>
    </w:pPr>
    <w:rPr>
      <w:kern w:val="0"/>
      <w:szCs w:val="20"/>
      <w:lang w:eastAsia="en-US"/>
    </w:rPr>
  </w:style>
  <w:style w:type="paragraph" w:customStyle="1" w:styleId="71">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72">
    <w:name w:val="样式2"/>
    <w:basedOn w:val="4"/>
    <w:qFormat/>
    <w:uiPriority w:val="0"/>
  </w:style>
  <w:style w:type="paragraph" w:customStyle="1" w:styleId="73">
    <w:name w:val="Default Paragraph Char Char Char Char"/>
    <w:basedOn w:val="1"/>
    <w:next w:val="1"/>
    <w:qFormat/>
    <w:uiPriority w:val="0"/>
    <w:pPr>
      <w:spacing w:line="360" w:lineRule="auto"/>
    </w:pPr>
    <w:rPr>
      <w:szCs w:val="20"/>
    </w:rPr>
  </w:style>
  <w:style w:type="paragraph" w:customStyle="1" w:styleId="74">
    <w:name w:val="节标题"/>
    <w:basedOn w:val="1"/>
    <w:next w:val="1"/>
    <w:qFormat/>
    <w:uiPriority w:val="0"/>
    <w:pPr>
      <w:widowControl/>
      <w:spacing w:line="289" w:lineRule="atLeast"/>
      <w:jc w:val="center"/>
      <w:textAlignment w:val="baseline"/>
    </w:pPr>
    <w:rPr>
      <w:color w:val="000000"/>
      <w:kern w:val="0"/>
      <w:sz w:val="28"/>
      <w:szCs w:val="20"/>
      <w:u w:color="000000"/>
    </w:rPr>
  </w:style>
  <w:style w:type="paragraph" w:customStyle="1" w:styleId="75">
    <w:name w:val="默认段落字体 Para Char Char Char Char"/>
    <w:basedOn w:val="1"/>
    <w:qFormat/>
    <w:uiPriority w:val="0"/>
  </w:style>
  <w:style w:type="paragraph" w:customStyle="1" w:styleId="76">
    <w:name w:val="样式 标题 1 + 黑体 五号"/>
    <w:basedOn w:val="2"/>
    <w:qFormat/>
    <w:uiPriority w:val="0"/>
    <w:pPr>
      <w:jc w:val="left"/>
    </w:pPr>
    <w:rPr>
      <w:rFonts w:ascii="黑体" w:hAnsi="黑体" w:eastAsia="黑体"/>
      <w:sz w:val="21"/>
    </w:rPr>
  </w:style>
  <w:style w:type="paragraph" w:customStyle="1" w:styleId="77">
    <w:name w:val="样式4"/>
    <w:basedOn w:val="4"/>
    <w:qFormat/>
    <w:uiPriority w:val="0"/>
    <w:rPr>
      <w:rFonts w:eastAsia="Arial"/>
    </w:rPr>
  </w:style>
  <w:style w:type="paragraph" w:customStyle="1" w:styleId="78">
    <w:name w:val="正文1"/>
    <w:qFormat/>
    <w:uiPriority w:val="0"/>
    <w:pPr>
      <w:widowControl w:val="0"/>
      <w:adjustRightInd w:val="0"/>
      <w:spacing w:line="312" w:lineRule="atLeast"/>
      <w:jc w:val="both"/>
      <w:textAlignment w:val="baseline"/>
    </w:pPr>
    <w:rPr>
      <w:rFonts w:ascii="宋体" w:hAnsi="Times New Roman" w:eastAsia="宋体" w:cs="宋体"/>
      <w:sz w:val="24"/>
      <w:szCs w:val="24"/>
      <w:lang w:val="en-US" w:eastAsia="zh-CN" w:bidi="ar-SA"/>
    </w:rPr>
  </w:style>
  <w:style w:type="paragraph" w:customStyle="1" w:styleId="79">
    <w:name w:val="列出段落1"/>
    <w:basedOn w:val="1"/>
    <w:qFormat/>
    <w:uiPriority w:val="0"/>
    <w:pPr>
      <w:ind w:firstLine="200" w:firstLineChars="200"/>
    </w:pPr>
  </w:style>
  <w:style w:type="paragraph" w:customStyle="1" w:styleId="80">
    <w:name w:val="p0 New"/>
    <w:basedOn w:val="1"/>
    <w:qFormat/>
    <w:uiPriority w:val="0"/>
    <w:pPr>
      <w:widowControl/>
      <w:jc w:val="left"/>
    </w:pPr>
    <w:rPr>
      <w:rFonts w:ascii="宋体" w:hAnsi="宋体" w:cs="宋体"/>
      <w:kern w:val="0"/>
      <w:sz w:val="18"/>
      <w:szCs w:val="18"/>
    </w:rPr>
  </w:style>
  <w:style w:type="paragraph" w:customStyle="1" w:styleId="81">
    <w:name w:val="样式 标题 1 + 黑体 三号 非加粗 居中 段前: 6 磅 段后: 6 磅 行距: 固定值 20 磅"/>
    <w:basedOn w:val="2"/>
    <w:qFormat/>
    <w:uiPriority w:val="0"/>
    <w:pPr>
      <w:spacing w:line="400" w:lineRule="exact"/>
    </w:pPr>
    <w:rPr>
      <w:rFonts w:ascii="黑体" w:hAnsi="黑体" w:eastAsia="黑体" w:cs="宋体"/>
      <w:b w:val="0"/>
      <w:bCs w:val="0"/>
      <w:sz w:val="32"/>
      <w:szCs w:val="20"/>
    </w:rPr>
  </w:style>
  <w:style w:type="paragraph" w:customStyle="1" w:styleId="82">
    <w:name w:val="_Style 78"/>
    <w:basedOn w:val="2"/>
    <w:next w:val="1"/>
    <w:qFormat/>
    <w:uiPriority w:val="39"/>
    <w:pPr>
      <w:widowControl/>
      <w:spacing w:before="480" w:line="276" w:lineRule="auto"/>
      <w:jc w:val="left"/>
      <w:outlineLvl w:val="9"/>
    </w:pPr>
    <w:rPr>
      <w:rFonts w:ascii="Cambria" w:hAnsi="Cambria"/>
      <w:color w:val="365F91"/>
      <w:kern w:val="0"/>
      <w:sz w:val="28"/>
      <w:szCs w:val="28"/>
    </w:rPr>
  </w:style>
  <w:style w:type="paragraph" w:customStyle="1" w:styleId="83">
    <w:name w:val="Char1"/>
    <w:basedOn w:val="1"/>
    <w:qFormat/>
    <w:uiPriority w:val="0"/>
    <w:pPr>
      <w:tabs>
        <w:tab w:val="left" w:pos="360"/>
      </w:tabs>
    </w:pPr>
    <w:rPr>
      <w:sz w:val="24"/>
    </w:rPr>
  </w:style>
  <w:style w:type="paragraph" w:customStyle="1" w:styleId="84">
    <w:name w:val="样式1"/>
    <w:basedOn w:val="4"/>
    <w:qFormat/>
    <w:uiPriority w:val="0"/>
    <w:rPr>
      <w:rFonts w:eastAsia="Arial"/>
    </w:rPr>
  </w:style>
  <w:style w:type="paragraph" w:customStyle="1" w:styleId="85">
    <w:name w:val="Char Char Char Char Char Char Char Char Char Char Char Char Char"/>
    <w:basedOn w:val="1"/>
    <w:qFormat/>
    <w:uiPriority w:val="0"/>
  </w:style>
  <w:style w:type="paragraph" w:customStyle="1" w:styleId="86">
    <w:name w:val="p"/>
    <w:basedOn w:val="1"/>
    <w:qFormat/>
    <w:uiPriority w:val="0"/>
    <w:rPr>
      <w:rFonts w:ascii="宋体"/>
      <w:sz w:val="24"/>
    </w:rPr>
  </w:style>
  <w:style w:type="paragraph" w:customStyle="1" w:styleId="87">
    <w:name w:val="Char Char Char Char"/>
    <w:basedOn w:val="1"/>
    <w:qFormat/>
    <w:uiPriority w:val="0"/>
  </w:style>
  <w:style w:type="paragraph" w:customStyle="1" w:styleId="88">
    <w:name w:val="_Style 84"/>
    <w:basedOn w:val="1"/>
    <w:next w:val="1"/>
    <w:qFormat/>
    <w:uiPriority w:val="0"/>
    <w:pPr>
      <w:pBdr>
        <w:bottom w:val="single" w:color="auto" w:sz="6" w:space="1"/>
      </w:pBdr>
      <w:jc w:val="center"/>
    </w:pPr>
    <w:rPr>
      <w:rFonts w:ascii="Arial"/>
      <w:vanish/>
      <w:sz w:val="16"/>
    </w:rPr>
  </w:style>
  <w:style w:type="paragraph" w:customStyle="1" w:styleId="89">
    <w:name w:val="1"/>
    <w:basedOn w:val="1"/>
    <w:next w:val="1"/>
    <w:qFormat/>
    <w:uiPriority w:val="0"/>
  </w:style>
  <w:style w:type="paragraph" w:customStyle="1" w:styleId="90">
    <w:name w:val="p15"/>
    <w:qFormat/>
    <w:uiPriority w:val="0"/>
    <w:pPr>
      <w:jc w:val="both"/>
    </w:pPr>
    <w:rPr>
      <w:rFonts w:ascii="宋体" w:hAnsi="Times New Roman" w:eastAsia="宋体" w:cs="宋体"/>
      <w:sz w:val="21"/>
      <w:szCs w:val="21"/>
      <w:lang w:val="en-US" w:eastAsia="zh-CN" w:bidi="ar-SA"/>
    </w:rPr>
  </w:style>
  <w:style w:type="paragraph" w:customStyle="1" w:styleId="91">
    <w:name w:val="样式 标题 2 + Times New Roman 四号 非加粗 段前: 5 磅 段后: 0 磅 行距: 固定值 20..."/>
    <w:basedOn w:val="3"/>
    <w:qFormat/>
    <w:uiPriority w:val="0"/>
    <w:pPr>
      <w:spacing w:line="400" w:lineRule="exact"/>
    </w:pPr>
    <w:rPr>
      <w:rFonts w:ascii="Times New Roman" w:hAnsi="Times New Roman" w:cs="宋体"/>
      <w:b w:val="0"/>
      <w:bCs w:val="0"/>
      <w:sz w:val="28"/>
      <w:szCs w:val="20"/>
    </w:rPr>
  </w:style>
  <w:style w:type="paragraph" w:customStyle="1" w:styleId="92">
    <w:name w:val="Table Paragraph"/>
    <w:basedOn w:val="1"/>
    <w:qFormat/>
    <w:uiPriority w:val="0"/>
    <w:pPr>
      <w:autoSpaceDE w:val="0"/>
      <w:autoSpaceDN w:val="0"/>
      <w:jc w:val="left"/>
    </w:pPr>
    <w:rPr>
      <w:rFonts w:ascii="宋体" w:hAnsi="宋体" w:cs="宋体"/>
      <w:kern w:val="0"/>
      <w:sz w:val="22"/>
      <w:szCs w:val="22"/>
      <w:lang w:val="zh-CN"/>
    </w:rPr>
  </w:style>
  <w:style w:type="paragraph" w:customStyle="1" w:styleId="93">
    <w:name w:val="p0"/>
    <w:basedOn w:val="1"/>
    <w:qFormat/>
    <w:uiPriority w:val="99"/>
    <w:pPr>
      <w:widowControl/>
    </w:pPr>
    <w:rPr>
      <w:kern w:val="0"/>
      <w:szCs w:val="21"/>
    </w:rPr>
  </w:style>
  <w:style w:type="paragraph" w:customStyle="1" w:styleId="94">
    <w:name w:val="样式3"/>
    <w:basedOn w:val="4"/>
    <w:qFormat/>
    <w:uiPriority w:val="0"/>
    <w:rPr>
      <w:rFonts w:eastAsia="Arial"/>
    </w:rPr>
  </w:style>
  <w:style w:type="paragraph" w:customStyle="1" w:styleId="95">
    <w:name w:val="样式 标题 3 + (中文) 黑体 小四 非加粗 段前: 7.8 磅 段后: 0 磅 行距: 固定值 20 磅"/>
    <w:basedOn w:val="4"/>
    <w:qFormat/>
    <w:uiPriority w:val="0"/>
    <w:pPr>
      <w:spacing w:line="400" w:lineRule="exact"/>
    </w:pPr>
    <w:rPr>
      <w:rFonts w:eastAsia="黑体" w:cs="宋体"/>
      <w:b w:val="0"/>
      <w:bCs w:val="0"/>
      <w:sz w:val="24"/>
      <w:szCs w:val="20"/>
    </w:rPr>
  </w:style>
  <w:style w:type="paragraph" w:customStyle="1" w:styleId="96">
    <w:name w:val="Char Char Char Char Char Char Char Char Char Char Char Char Char1"/>
    <w:basedOn w:val="1"/>
    <w:qFormat/>
    <w:uiPriority w:val="0"/>
  </w:style>
  <w:style w:type="paragraph" w:customStyle="1" w:styleId="97">
    <w:name w:val="Char4"/>
    <w:basedOn w:val="1"/>
    <w:qFormat/>
    <w:uiPriority w:val="0"/>
    <w:pPr>
      <w:widowControl/>
      <w:spacing w:line="360" w:lineRule="auto"/>
      <w:ind w:firstLine="200" w:firstLineChars="200"/>
      <w:textAlignment w:val="baseline"/>
    </w:pPr>
    <w:rPr>
      <w:color w:val="000000"/>
      <w:kern w:val="0"/>
      <w:szCs w:val="20"/>
      <w:u w:color="000000"/>
    </w:rPr>
  </w:style>
  <w:style w:type="paragraph" w:customStyle="1" w:styleId="98">
    <w:name w:val="正文2"/>
    <w:qFormat/>
    <w:uiPriority w:val="0"/>
    <w:pPr>
      <w:widowControl w:val="0"/>
      <w:jc w:val="both"/>
    </w:pPr>
    <w:rPr>
      <w:rFonts w:ascii="Times New Roman" w:hAnsi="Times New Roman" w:eastAsia="宋体" w:cs="Times New Roman"/>
      <w:lang w:val="en-US" w:eastAsia="zh-CN" w:bidi="ar-SA"/>
    </w:rPr>
  </w:style>
  <w:style w:type="character" w:customStyle="1" w:styleId="99">
    <w:name w:val="first-child"/>
    <w:basedOn w:val="49"/>
    <w:qFormat/>
    <w:uiPriority w:val="0"/>
  </w:style>
  <w:style w:type="character" w:customStyle="1" w:styleId="100">
    <w:name w:val="Char Char Char Char Char Char"/>
    <w:qFormat/>
    <w:uiPriority w:val="0"/>
    <w:rPr>
      <w:rFonts w:ascii="Arial" w:hAnsi="Arial" w:eastAsia="黑体"/>
      <w:b/>
      <w:bCs/>
      <w:kern w:val="2"/>
      <w:sz w:val="32"/>
      <w:szCs w:val="32"/>
      <w:lang w:val="en-US" w:eastAsia="zh-CN" w:bidi="ar-SA"/>
    </w:rPr>
  </w:style>
  <w:style w:type="character" w:customStyle="1" w:styleId="101">
    <w:name w:val="l11"/>
    <w:qFormat/>
    <w:uiPriority w:val="0"/>
    <w:rPr>
      <w:color w:val="999999"/>
    </w:rPr>
  </w:style>
  <w:style w:type="character" w:customStyle="1" w:styleId="102">
    <w:name w:val="Char Char"/>
    <w:qFormat/>
    <w:uiPriority w:val="0"/>
    <w:rPr>
      <w:rFonts w:ascii="Arial" w:hAnsi="Arial" w:eastAsia="黑体"/>
      <w:b/>
      <w:bCs/>
      <w:kern w:val="2"/>
      <w:sz w:val="32"/>
      <w:szCs w:val="32"/>
      <w:lang w:val="en-US" w:eastAsia="zh-CN" w:bidi="ar-SA"/>
    </w:rPr>
  </w:style>
  <w:style w:type="character" w:customStyle="1" w:styleId="103">
    <w:name w:val="Char Char5"/>
    <w:qFormat/>
    <w:uiPriority w:val="0"/>
    <w:rPr>
      <w:rFonts w:ascii="Arial" w:hAnsi="Arial" w:eastAsia="黑体"/>
      <w:b/>
      <w:bCs/>
      <w:kern w:val="2"/>
      <w:sz w:val="32"/>
      <w:szCs w:val="32"/>
    </w:rPr>
  </w:style>
  <w:style w:type="character" w:customStyle="1" w:styleId="104">
    <w:name w:val="msg-box28"/>
    <w:basedOn w:val="49"/>
    <w:qFormat/>
    <w:uiPriority w:val="0"/>
  </w:style>
  <w:style w:type="character" w:customStyle="1" w:styleId="105">
    <w:name w:val="img_title6"/>
    <w:qFormat/>
    <w:uiPriority w:val="0"/>
    <w:rPr>
      <w:vanish/>
    </w:rPr>
  </w:style>
  <w:style w:type="character" w:customStyle="1" w:styleId="106">
    <w:name w:val="tit12"/>
    <w:qFormat/>
    <w:uiPriority w:val="0"/>
    <w:rPr>
      <w:color w:val="04A06C"/>
    </w:rPr>
  </w:style>
  <w:style w:type="character" w:customStyle="1" w:styleId="107">
    <w:name w:val="Char Char2"/>
    <w:qFormat/>
    <w:uiPriority w:val="0"/>
    <w:rPr>
      <w:rFonts w:eastAsia="宋体"/>
      <w:kern w:val="2"/>
      <w:sz w:val="21"/>
      <w:szCs w:val="24"/>
      <w:lang w:val="en-US" w:eastAsia="zh-CN" w:bidi="ar-SA"/>
    </w:rPr>
  </w:style>
  <w:style w:type="character" w:customStyle="1" w:styleId="108">
    <w:name w:val="nostart"/>
    <w:qFormat/>
    <w:uiPriority w:val="0"/>
    <w:rPr>
      <w:color w:val="FF0000"/>
    </w:rPr>
  </w:style>
  <w:style w:type="character" w:customStyle="1" w:styleId="109">
    <w:name w:val="nostart3"/>
    <w:basedOn w:val="49"/>
    <w:qFormat/>
    <w:uiPriority w:val="0"/>
  </w:style>
  <w:style w:type="character" w:customStyle="1" w:styleId="110">
    <w:name w:val="img4"/>
    <w:basedOn w:val="49"/>
    <w:qFormat/>
    <w:uiPriority w:val="0"/>
  </w:style>
  <w:style w:type="character" w:customStyle="1" w:styleId="111">
    <w:name w:val="tit11"/>
    <w:qFormat/>
    <w:uiPriority w:val="0"/>
    <w:rPr>
      <w:color w:val="B60000"/>
    </w:rPr>
  </w:style>
  <w:style w:type="character" w:customStyle="1" w:styleId="112">
    <w:name w:val="批注文字 Char"/>
    <w:link w:val="18"/>
    <w:qFormat/>
    <w:uiPriority w:val="0"/>
    <w:rPr>
      <w:rFonts w:eastAsia="宋体"/>
      <w:kern w:val="2"/>
      <w:sz w:val="21"/>
      <w:szCs w:val="24"/>
      <w:lang w:val="en-US" w:eastAsia="zh-CN" w:bidi="ar-SA"/>
    </w:rPr>
  </w:style>
  <w:style w:type="character" w:customStyle="1" w:styleId="113">
    <w:name w:val="over"/>
    <w:qFormat/>
    <w:uiPriority w:val="0"/>
    <w:rPr>
      <w:color w:val="B60000"/>
    </w:rPr>
  </w:style>
  <w:style w:type="character" w:customStyle="1" w:styleId="114">
    <w:name w:val="HTML 预设格式 Char"/>
    <w:link w:val="41"/>
    <w:qFormat/>
    <w:uiPriority w:val="0"/>
    <w:rPr>
      <w:rFonts w:ascii="宋体" w:hAnsi="宋体" w:cs="宋体"/>
      <w:sz w:val="24"/>
      <w:szCs w:val="24"/>
    </w:rPr>
  </w:style>
  <w:style w:type="character" w:customStyle="1" w:styleId="115">
    <w:name w:val="l6"/>
    <w:qFormat/>
    <w:uiPriority w:val="0"/>
    <w:rPr>
      <w:color w:val="999999"/>
    </w:rPr>
  </w:style>
  <w:style w:type="character" w:customStyle="1" w:styleId="116">
    <w:name w:val="datetime"/>
    <w:qFormat/>
    <w:uiPriority w:val="0"/>
    <w:rPr>
      <w:rFonts w:hint="default" w:ascii="Arial" w:hAnsi="Arial" w:cs="Arial"/>
      <w:color w:val="999999"/>
      <w:sz w:val="21"/>
      <w:szCs w:val="21"/>
    </w:rPr>
  </w:style>
  <w:style w:type="character" w:customStyle="1" w:styleId="117">
    <w:name w:val="txt1"/>
    <w:basedOn w:val="49"/>
    <w:qFormat/>
    <w:uiPriority w:val="0"/>
  </w:style>
  <w:style w:type="character" w:customStyle="1" w:styleId="118">
    <w:name w:val="starting1"/>
    <w:qFormat/>
    <w:uiPriority w:val="0"/>
    <w:rPr>
      <w:color w:val="339900"/>
    </w:rPr>
  </w:style>
  <w:style w:type="character" w:customStyle="1" w:styleId="119">
    <w:name w:val="starting2"/>
    <w:qFormat/>
    <w:uiPriority w:val="0"/>
    <w:rPr>
      <w:color w:val="B60000"/>
    </w:rPr>
  </w:style>
  <w:style w:type="character" w:customStyle="1" w:styleId="120">
    <w:name w:val="标题 1 Char"/>
    <w:link w:val="2"/>
    <w:qFormat/>
    <w:uiPriority w:val="0"/>
    <w:rPr>
      <w:rFonts w:eastAsia="宋体"/>
      <w:b/>
      <w:bCs/>
      <w:kern w:val="44"/>
      <w:sz w:val="44"/>
      <w:szCs w:val="44"/>
      <w:lang w:val="en-US" w:eastAsia="zh-CN" w:bidi="ar-SA"/>
    </w:rPr>
  </w:style>
  <w:style w:type="character" w:customStyle="1" w:styleId="121">
    <w:name w:val="red"/>
    <w:qFormat/>
    <w:uiPriority w:val="0"/>
    <w:rPr>
      <w:rFonts w:hint="default" w:ascii="Arial" w:hAnsi="Arial" w:cs="Arial"/>
      <w:color w:val="E50000"/>
    </w:rPr>
  </w:style>
  <w:style w:type="character" w:customStyle="1" w:styleId="122">
    <w:name w:val="Char Char4"/>
    <w:qFormat/>
    <w:uiPriority w:val="0"/>
    <w:rPr>
      <w:rFonts w:eastAsia="宋体"/>
      <w:b/>
      <w:bCs/>
      <w:kern w:val="44"/>
      <w:sz w:val="44"/>
      <w:szCs w:val="44"/>
      <w:lang w:val="en-US" w:eastAsia="zh-CN" w:bidi="ar-SA"/>
    </w:rPr>
  </w:style>
  <w:style w:type="character" w:customStyle="1" w:styleId="123">
    <w:name w:val="font161"/>
    <w:qFormat/>
    <w:uiPriority w:val="0"/>
    <w:rPr>
      <w:b/>
      <w:bCs/>
      <w:sz w:val="32"/>
      <w:szCs w:val="32"/>
    </w:rPr>
  </w:style>
  <w:style w:type="character" w:customStyle="1" w:styleId="124">
    <w:name w:val="Char Char8"/>
    <w:qFormat/>
    <w:uiPriority w:val="0"/>
    <w:rPr>
      <w:rFonts w:ascii="Arial" w:hAnsi="Arial" w:eastAsia="黑体"/>
      <w:b/>
      <w:bCs/>
      <w:kern w:val="2"/>
      <w:sz w:val="32"/>
      <w:szCs w:val="32"/>
      <w:lang w:val="en-US" w:eastAsia="zh-CN" w:bidi="ar-SA"/>
    </w:rPr>
  </w:style>
  <w:style w:type="character" w:customStyle="1" w:styleId="125">
    <w:name w:val="msg-box29"/>
    <w:basedOn w:val="49"/>
    <w:qFormat/>
    <w:uiPriority w:val="0"/>
  </w:style>
  <w:style w:type="character" w:customStyle="1" w:styleId="126">
    <w:name w:val="over2"/>
    <w:qFormat/>
    <w:uiPriority w:val="0"/>
    <w:rPr>
      <w:color w:val="999999"/>
    </w:rPr>
  </w:style>
  <w:style w:type="character" w:customStyle="1" w:styleId="127">
    <w:name w:val="img_title7"/>
    <w:qFormat/>
    <w:uiPriority w:val="0"/>
    <w:rPr>
      <w:vanish/>
    </w:rPr>
  </w:style>
  <w:style w:type="character" w:customStyle="1" w:styleId="128">
    <w:name w:val="l7"/>
    <w:qFormat/>
    <w:uiPriority w:val="0"/>
    <w:rPr>
      <w:color w:val="999999"/>
    </w:rPr>
  </w:style>
  <w:style w:type="character" w:customStyle="1" w:styleId="129">
    <w:name w:val="标题 5 Char"/>
    <w:link w:val="6"/>
    <w:qFormat/>
    <w:uiPriority w:val="0"/>
    <w:rPr>
      <w:b/>
      <w:bCs/>
      <w:kern w:val="2"/>
      <w:sz w:val="28"/>
      <w:szCs w:val="28"/>
    </w:rPr>
  </w:style>
  <w:style w:type="character" w:customStyle="1" w:styleId="130">
    <w:name w:val="l51"/>
    <w:qFormat/>
    <w:uiPriority w:val="0"/>
    <w:rPr>
      <w:color w:val="999999"/>
    </w:rPr>
  </w:style>
  <w:style w:type="character" w:customStyle="1" w:styleId="131">
    <w:name w:val="num81"/>
    <w:basedOn w:val="49"/>
    <w:qFormat/>
    <w:uiPriority w:val="0"/>
  </w:style>
  <w:style w:type="character" w:customStyle="1" w:styleId="132">
    <w:name w:val="Char Char1"/>
    <w:qFormat/>
    <w:uiPriority w:val="0"/>
    <w:rPr>
      <w:rFonts w:eastAsia="宋体"/>
      <w:kern w:val="2"/>
      <w:sz w:val="21"/>
      <w:szCs w:val="24"/>
      <w:lang w:val="en-US" w:eastAsia="zh-CN" w:bidi="ar-SA"/>
    </w:rPr>
  </w:style>
  <w:style w:type="character" w:customStyle="1" w:styleId="133">
    <w:name w:val="zs"/>
    <w:qFormat/>
    <w:uiPriority w:val="0"/>
    <w:rPr>
      <w:color w:val="8D744B"/>
      <w:sz w:val="18"/>
      <w:szCs w:val="18"/>
    </w:rPr>
  </w:style>
  <w:style w:type="character" w:customStyle="1" w:styleId="134">
    <w:name w:val="bigfont"/>
    <w:basedOn w:val="49"/>
    <w:qFormat/>
    <w:uiPriority w:val="0"/>
  </w:style>
  <w:style w:type="character" w:customStyle="1" w:styleId="135">
    <w:name w:val="txt"/>
    <w:qFormat/>
    <w:uiPriority w:val="0"/>
    <w:rPr>
      <w:color w:val="C0C0C0"/>
    </w:rPr>
  </w:style>
  <w:style w:type="character" w:customStyle="1" w:styleId="136">
    <w:name w:val="纯文本 Char2"/>
    <w:link w:val="24"/>
    <w:qFormat/>
    <w:uiPriority w:val="0"/>
    <w:rPr>
      <w:rFonts w:ascii="Courier New" w:hAnsi="Courier New" w:eastAsia="宋体"/>
      <w:kern w:val="2"/>
      <w:sz w:val="21"/>
      <w:lang w:val="en-US" w:eastAsia="zh-CN" w:bidi="ar-SA"/>
    </w:rPr>
  </w:style>
  <w:style w:type="character" w:customStyle="1" w:styleId="137">
    <w:name w:val="jg"/>
    <w:basedOn w:val="49"/>
    <w:qFormat/>
    <w:uiPriority w:val="0"/>
  </w:style>
  <w:style w:type="character" w:customStyle="1" w:styleId="138">
    <w:name w:val="17"/>
    <w:qFormat/>
    <w:uiPriority w:val="0"/>
    <w:rPr>
      <w:rFonts w:ascii="仿宋_GB2312" w:eastAsia="仿宋_GB2312"/>
      <w:color w:val="auto"/>
      <w:sz w:val="28"/>
      <w:szCs w:val="28"/>
      <w:u w:val="single"/>
    </w:rPr>
  </w:style>
  <w:style w:type="character" w:customStyle="1" w:styleId="139">
    <w:name w:val="job"/>
    <w:basedOn w:val="49"/>
    <w:qFormat/>
    <w:uiPriority w:val="0"/>
  </w:style>
  <w:style w:type="character" w:customStyle="1" w:styleId="140">
    <w:name w:val="job1"/>
    <w:basedOn w:val="49"/>
    <w:qFormat/>
    <w:uiPriority w:val="0"/>
  </w:style>
  <w:style w:type="character" w:customStyle="1" w:styleId="141">
    <w:name w:val="标题 2 Char"/>
    <w:qFormat/>
    <w:uiPriority w:val="0"/>
    <w:rPr>
      <w:rFonts w:ascii="Arial" w:hAnsi="Arial" w:eastAsia="黑体"/>
      <w:b/>
      <w:bCs/>
      <w:kern w:val="2"/>
      <w:sz w:val="21"/>
      <w:szCs w:val="32"/>
      <w:lang w:val="en-US" w:eastAsia="zh-CN" w:bidi="ar-SA"/>
    </w:rPr>
  </w:style>
  <w:style w:type="character" w:customStyle="1" w:styleId="142">
    <w:name w:val="正文文本 Char"/>
    <w:link w:val="20"/>
    <w:qFormat/>
    <w:uiPriority w:val="0"/>
    <w:rPr>
      <w:rFonts w:eastAsia="宋体"/>
      <w:kern w:val="2"/>
      <w:sz w:val="21"/>
      <w:szCs w:val="24"/>
      <w:lang w:val="en-US" w:eastAsia="zh-CN" w:bidi="ar-SA"/>
    </w:rPr>
  </w:style>
  <w:style w:type="character" w:customStyle="1" w:styleId="143">
    <w:name w:val="p05"/>
    <w:basedOn w:val="49"/>
    <w:qFormat/>
    <w:uiPriority w:val="0"/>
  </w:style>
  <w:style w:type="character" w:customStyle="1" w:styleId="144">
    <w:name w:val="Char Char7"/>
    <w:qFormat/>
    <w:uiPriority w:val="0"/>
    <w:rPr>
      <w:rFonts w:ascii="Arial" w:hAnsi="Arial" w:eastAsia="黑体"/>
      <w:b/>
      <w:bCs/>
      <w:kern w:val="2"/>
      <w:sz w:val="32"/>
      <w:szCs w:val="32"/>
      <w:lang w:val="en-US" w:eastAsia="zh-CN" w:bidi="ar-SA"/>
    </w:rPr>
  </w:style>
  <w:style w:type="character" w:customStyle="1" w:styleId="145">
    <w:name w:val="over3"/>
    <w:basedOn w:val="49"/>
    <w:qFormat/>
    <w:uiPriority w:val="0"/>
  </w:style>
  <w:style w:type="character" w:customStyle="1" w:styleId="146">
    <w:name w:val="Char Char3"/>
    <w:qFormat/>
    <w:uiPriority w:val="0"/>
    <w:rPr>
      <w:rFonts w:ascii="Arial" w:hAnsi="Arial" w:eastAsia="黑体"/>
      <w:b/>
      <w:bCs/>
      <w:kern w:val="2"/>
      <w:sz w:val="32"/>
      <w:szCs w:val="32"/>
      <w:lang w:val="en-US" w:eastAsia="zh-CN" w:bidi="ar-SA"/>
    </w:rPr>
  </w:style>
  <w:style w:type="character" w:customStyle="1" w:styleId="147">
    <w:name w:val="Char Char71"/>
    <w:qFormat/>
    <w:uiPriority w:val="0"/>
    <w:rPr>
      <w:rFonts w:ascii="Arial" w:hAnsi="Arial" w:eastAsia="黑体"/>
      <w:b/>
      <w:bCs/>
      <w:kern w:val="2"/>
      <w:sz w:val="32"/>
      <w:szCs w:val="32"/>
      <w:lang w:val="en-US" w:eastAsia="zh-CN" w:bidi="ar-SA"/>
    </w:rPr>
  </w:style>
  <w:style w:type="character" w:customStyle="1" w:styleId="148">
    <w:name w:val="num51"/>
    <w:basedOn w:val="49"/>
    <w:qFormat/>
    <w:uiPriority w:val="0"/>
  </w:style>
  <w:style w:type="character" w:customStyle="1" w:styleId="149">
    <w:name w:val="Char Char Char"/>
    <w:qFormat/>
    <w:uiPriority w:val="0"/>
    <w:rPr>
      <w:rFonts w:eastAsia="宋体"/>
      <w:b/>
      <w:bCs/>
      <w:kern w:val="44"/>
      <w:sz w:val="44"/>
      <w:szCs w:val="44"/>
      <w:lang w:val="en-US" w:eastAsia="zh-CN" w:bidi="ar-SA"/>
    </w:rPr>
  </w:style>
  <w:style w:type="character" w:customStyle="1" w:styleId="150">
    <w:name w:val="msg-box31"/>
    <w:basedOn w:val="49"/>
    <w:qFormat/>
    <w:uiPriority w:val="0"/>
  </w:style>
  <w:style w:type="character" w:customStyle="1" w:styleId="151">
    <w:name w:val="msg-box30"/>
    <w:basedOn w:val="49"/>
    <w:qFormat/>
    <w:uiPriority w:val="0"/>
  </w:style>
  <w:style w:type="character" w:customStyle="1" w:styleId="152">
    <w:name w:val="标题 1 Char Char"/>
    <w:qFormat/>
    <w:uiPriority w:val="0"/>
    <w:rPr>
      <w:rFonts w:eastAsia="宋体"/>
      <w:b/>
      <w:bCs/>
      <w:kern w:val="44"/>
      <w:sz w:val="44"/>
      <w:szCs w:val="44"/>
      <w:lang w:val="en-US" w:eastAsia="zh-CN" w:bidi="ar-SA"/>
    </w:rPr>
  </w:style>
  <w:style w:type="character" w:customStyle="1" w:styleId="153">
    <w:name w:val="标题 3 Char"/>
    <w:link w:val="4"/>
    <w:qFormat/>
    <w:uiPriority w:val="0"/>
    <w:rPr>
      <w:b/>
      <w:bCs/>
      <w:sz w:val="32"/>
      <w:szCs w:val="32"/>
    </w:rPr>
  </w:style>
  <w:style w:type="character" w:customStyle="1" w:styleId="154">
    <w:name w:val="c1"/>
    <w:basedOn w:val="49"/>
    <w:qFormat/>
    <w:uiPriority w:val="0"/>
  </w:style>
  <w:style w:type="character" w:customStyle="1" w:styleId="155">
    <w:name w:val="纯文本 Char1"/>
    <w:qFormat/>
    <w:uiPriority w:val="0"/>
    <w:rPr>
      <w:rFonts w:ascii="Courier New" w:hAnsi="Courier New" w:eastAsia="宋体"/>
      <w:kern w:val="2"/>
      <w:sz w:val="21"/>
      <w:lang w:val="en-US" w:eastAsia="zh-CN" w:bidi="ar-SA"/>
    </w:rPr>
  </w:style>
  <w:style w:type="character" w:customStyle="1" w:styleId="156">
    <w:name w:val="Char Char Char1"/>
    <w:qFormat/>
    <w:uiPriority w:val="0"/>
    <w:rPr>
      <w:rFonts w:ascii="Arial" w:hAnsi="Arial" w:eastAsia="黑体"/>
      <w:b/>
      <w:bCs/>
      <w:kern w:val="2"/>
      <w:sz w:val="32"/>
      <w:szCs w:val="32"/>
      <w:lang w:val="en-US" w:eastAsia="zh-CN" w:bidi="ar-SA"/>
    </w:rPr>
  </w:style>
  <w:style w:type="character" w:customStyle="1" w:styleId="157">
    <w:name w:val="l3"/>
    <w:qFormat/>
    <w:uiPriority w:val="0"/>
    <w:rPr>
      <w:color w:val="999999"/>
    </w:rPr>
  </w:style>
  <w:style w:type="character" w:customStyle="1" w:styleId="158">
    <w:name w:val="tit14"/>
    <w:qFormat/>
    <w:uiPriority w:val="0"/>
    <w:rPr>
      <w:color w:val="B60000"/>
    </w:rPr>
  </w:style>
  <w:style w:type="character" w:customStyle="1" w:styleId="159">
    <w:name w:val="tit10"/>
    <w:qFormat/>
    <w:uiPriority w:val="0"/>
    <w:rPr>
      <w:color w:val="B60000"/>
    </w:rPr>
  </w:style>
  <w:style w:type="character" w:customStyle="1" w:styleId="160">
    <w:name w:val="l21"/>
    <w:qFormat/>
    <w:uiPriority w:val="0"/>
    <w:rPr>
      <w:color w:val="999999"/>
    </w:rPr>
  </w:style>
  <w:style w:type="character" w:customStyle="1" w:styleId="161">
    <w:name w:val="num71"/>
    <w:basedOn w:val="49"/>
    <w:qFormat/>
    <w:uiPriority w:val="0"/>
  </w:style>
  <w:style w:type="character" w:customStyle="1" w:styleId="162">
    <w:name w:val="标题 2 Char Char"/>
    <w:qFormat/>
    <w:uiPriority w:val="0"/>
    <w:rPr>
      <w:rFonts w:ascii="Arial" w:hAnsi="Arial" w:eastAsia="黑体"/>
      <w:b/>
      <w:bCs/>
      <w:kern w:val="2"/>
      <w:sz w:val="32"/>
      <w:szCs w:val="32"/>
      <w:lang w:val="en-US" w:eastAsia="zh-CN" w:bidi="ar-SA"/>
    </w:rPr>
  </w:style>
  <w:style w:type="character" w:customStyle="1" w:styleId="163">
    <w:name w:val="buvis"/>
    <w:qFormat/>
    <w:uiPriority w:val="0"/>
    <w:rPr>
      <w:color w:val="999999"/>
    </w:rPr>
  </w:style>
  <w:style w:type="character" w:customStyle="1" w:styleId="164">
    <w:name w:val="name"/>
    <w:qFormat/>
    <w:uiPriority w:val="0"/>
    <w:rPr>
      <w:color w:val="444444"/>
      <w:sz w:val="21"/>
      <w:szCs w:val="21"/>
    </w:rPr>
  </w:style>
  <w:style w:type="character" w:customStyle="1" w:styleId="165">
    <w:name w:val="layui-this"/>
    <w:qFormat/>
    <w:uiPriority w:val="0"/>
    <w:rPr>
      <w:bdr w:val="single" w:color="EEEEEE" w:sz="6" w:space="0"/>
      <w:shd w:val="clear" w:color="auto" w:fill="FFFFFF"/>
    </w:rPr>
  </w:style>
  <w:style w:type="character" w:customStyle="1" w:styleId="166">
    <w:name w:val="标题 2 Char1"/>
    <w:qFormat/>
    <w:uiPriority w:val="0"/>
    <w:rPr>
      <w:rFonts w:ascii="Arial" w:hAnsi="Arial" w:eastAsia="黑体"/>
      <w:b/>
      <w:bCs/>
      <w:kern w:val="2"/>
      <w:sz w:val="32"/>
      <w:szCs w:val="32"/>
      <w:lang w:val="en-US" w:eastAsia="zh-CN" w:bidi="ar-SA"/>
    </w:rPr>
  </w:style>
  <w:style w:type="character" w:customStyle="1" w:styleId="167">
    <w:name w:val="zw"/>
    <w:qFormat/>
    <w:uiPriority w:val="0"/>
    <w:rPr>
      <w:color w:val="BD1E22"/>
      <w:sz w:val="22"/>
      <w:szCs w:val="22"/>
    </w:rPr>
  </w:style>
  <w:style w:type="character" w:customStyle="1" w:styleId="168">
    <w:name w:val="name1"/>
    <w:qFormat/>
    <w:uiPriority w:val="0"/>
    <w:rPr>
      <w:color w:val="695435"/>
      <w:sz w:val="24"/>
      <w:szCs w:val="24"/>
    </w:rPr>
  </w:style>
  <w:style w:type="character" w:customStyle="1" w:styleId="169">
    <w:name w:val="num61"/>
    <w:basedOn w:val="49"/>
    <w:qFormat/>
    <w:uiPriority w:val="0"/>
  </w:style>
  <w:style w:type="character" w:customStyle="1" w:styleId="170">
    <w:name w:val="mesg-myd"/>
    <w:qFormat/>
    <w:uiPriority w:val="0"/>
    <w:rPr>
      <w:color w:val="EE0000"/>
    </w:rPr>
  </w:style>
  <w:style w:type="character" w:customStyle="1" w:styleId="171">
    <w:name w:val="c2"/>
    <w:basedOn w:val="49"/>
    <w:qFormat/>
    <w:uiPriority w:val="0"/>
  </w:style>
  <w:style w:type="character" w:customStyle="1" w:styleId="172">
    <w:name w:val="c3"/>
    <w:basedOn w:val="49"/>
    <w:qFormat/>
    <w:uiPriority w:val="0"/>
  </w:style>
  <w:style w:type="character" w:customStyle="1" w:styleId="173">
    <w:name w:val="over1"/>
    <w:qFormat/>
    <w:uiPriority w:val="0"/>
    <w:rPr>
      <w:color w:val="B60000"/>
    </w:rPr>
  </w:style>
  <w:style w:type="character" w:customStyle="1" w:styleId="174">
    <w:name w:val="tit13"/>
    <w:qFormat/>
    <w:uiPriority w:val="0"/>
    <w:rPr>
      <w:color w:val="FFFFFF"/>
    </w:rPr>
  </w:style>
  <w:style w:type="character" w:customStyle="1" w:styleId="175">
    <w:name w:val="Char Char21"/>
    <w:qFormat/>
    <w:uiPriority w:val="0"/>
    <w:rPr>
      <w:rFonts w:eastAsia="宋体"/>
      <w:kern w:val="2"/>
      <w:sz w:val="21"/>
      <w:szCs w:val="24"/>
      <w:lang w:val="en-US" w:eastAsia="zh-CN" w:bidi="ar-SA"/>
    </w:rPr>
  </w:style>
  <w:style w:type="character" w:customStyle="1" w:styleId="176">
    <w:name w:val="l41"/>
    <w:qFormat/>
    <w:uiPriority w:val="0"/>
    <w:rPr>
      <w:color w:val="999999"/>
    </w:rPr>
  </w:style>
  <w:style w:type="character" w:customStyle="1" w:styleId="177">
    <w:name w:val="16"/>
    <w:qFormat/>
    <w:uiPriority w:val="0"/>
    <w:rPr>
      <w:rFonts w:ascii="仿宋_GB2312" w:eastAsia="仿宋_GB2312"/>
      <w:color w:val="auto"/>
      <w:sz w:val="28"/>
      <w:szCs w:val="28"/>
    </w:rPr>
  </w:style>
  <w:style w:type="character" w:customStyle="1" w:styleId="178">
    <w:name w:val="num31"/>
    <w:basedOn w:val="49"/>
    <w:qFormat/>
    <w:uiPriority w:val="0"/>
  </w:style>
  <w:style w:type="character" w:customStyle="1" w:styleId="179">
    <w:name w:val="starting4"/>
    <w:basedOn w:val="49"/>
    <w:qFormat/>
    <w:uiPriority w:val="0"/>
  </w:style>
  <w:style w:type="character" w:customStyle="1" w:styleId="180">
    <w:name w:val="bsharetext"/>
    <w:basedOn w:val="49"/>
    <w:qFormat/>
    <w:uiPriority w:val="0"/>
  </w:style>
  <w:style w:type="character" w:customStyle="1" w:styleId="181">
    <w:name w:val="unit"/>
    <w:qFormat/>
    <w:uiPriority w:val="0"/>
    <w:rPr>
      <w:color w:val="999999"/>
    </w:rPr>
  </w:style>
  <w:style w:type="character" w:customStyle="1" w:styleId="182">
    <w:name w:val="nostart2"/>
    <w:qFormat/>
    <w:uiPriority w:val="0"/>
    <w:rPr>
      <w:color w:val="B60000"/>
    </w:rPr>
  </w:style>
  <w:style w:type="character" w:customStyle="1" w:styleId="183">
    <w:name w:val="纯文本 Char"/>
    <w:qFormat/>
    <w:uiPriority w:val="99"/>
    <w:rPr>
      <w:rFonts w:ascii="Courier New" w:hAnsi="Courier New" w:eastAsia="宋体"/>
      <w:kern w:val="2"/>
      <w:sz w:val="21"/>
      <w:lang w:val="en-US" w:eastAsia="zh-CN" w:bidi="ar-SA"/>
    </w:rPr>
  </w:style>
  <w:style w:type="character" w:customStyle="1" w:styleId="184">
    <w:name w:val="Char Char81"/>
    <w:qFormat/>
    <w:uiPriority w:val="0"/>
    <w:rPr>
      <w:rFonts w:ascii="Arial" w:hAnsi="Arial" w:eastAsia="黑体"/>
      <w:b/>
      <w:bCs/>
      <w:kern w:val="2"/>
      <w:sz w:val="32"/>
      <w:szCs w:val="32"/>
      <w:lang w:val="en-US" w:eastAsia="zh-CN" w:bidi="ar-SA"/>
    </w:rPr>
  </w:style>
  <w:style w:type="character" w:customStyle="1" w:styleId="185">
    <w:name w:val="starting"/>
    <w:qFormat/>
    <w:uiPriority w:val="0"/>
    <w:rPr>
      <w:color w:val="339900"/>
    </w:rPr>
  </w:style>
  <w:style w:type="character" w:customStyle="1" w:styleId="186">
    <w:name w:val="nostart1"/>
    <w:qFormat/>
    <w:uiPriority w:val="0"/>
    <w:rPr>
      <w:color w:val="FF0000"/>
    </w:rPr>
  </w:style>
  <w:style w:type="character" w:customStyle="1" w:styleId="187">
    <w:name w:val="num210"/>
    <w:basedOn w:val="49"/>
    <w:qFormat/>
    <w:uiPriority w:val="0"/>
  </w:style>
  <w:style w:type="character" w:customStyle="1" w:styleId="188">
    <w:name w:val="buvis1"/>
    <w:qFormat/>
    <w:uiPriority w:val="0"/>
    <w:rPr>
      <w:color w:val="CC0000"/>
    </w:rPr>
  </w:style>
  <w:style w:type="character" w:customStyle="1" w:styleId="189">
    <w:name w:val="starting3"/>
    <w:basedOn w:val="49"/>
    <w:qFormat/>
    <w:uiPriority w:val="0"/>
  </w:style>
  <w:style w:type="character" w:customStyle="1" w:styleId="190">
    <w:name w:val="textcontents"/>
    <w:basedOn w:val="49"/>
    <w:qFormat/>
    <w:uiPriority w:val="0"/>
  </w:style>
  <w:style w:type="character" w:customStyle="1" w:styleId="191">
    <w:name w:val="num41"/>
    <w:basedOn w:val="49"/>
    <w:qFormat/>
    <w:uiPriority w:val="0"/>
  </w:style>
  <w:style w:type="character" w:customStyle="1" w:styleId="192">
    <w:name w:val="tit9"/>
    <w:qFormat/>
    <w:uiPriority w:val="0"/>
    <w:rPr>
      <w:color w:val="B60000"/>
      <w:sz w:val="27"/>
      <w:szCs w:val="27"/>
      <w:bdr w:val="single" w:color="DFCEB8" w:sz="6" w:space="0"/>
      <w:shd w:val="clear" w:color="auto" w:fill="FFFFFF"/>
    </w:rPr>
  </w:style>
  <w:style w:type="character" w:customStyle="1" w:styleId="193">
    <w:name w:val="name2"/>
    <w:qFormat/>
    <w:uiPriority w:val="0"/>
    <w:rPr>
      <w:color w:val="000000"/>
      <w:sz w:val="39"/>
      <w:szCs w:val="39"/>
    </w:rPr>
  </w:style>
  <w:style w:type="character" w:customStyle="1" w:styleId="194">
    <w:name w:val="img_title8"/>
    <w:qFormat/>
    <w:uiPriority w:val="0"/>
    <w:rPr>
      <w:vanish/>
    </w:rPr>
  </w:style>
  <w:style w:type="character" w:customStyle="1" w:styleId="195">
    <w:name w:val="tit15"/>
    <w:qFormat/>
    <w:uiPriority w:val="0"/>
    <w:rPr>
      <w:b/>
      <w:color w:val="B60000"/>
    </w:rPr>
  </w:style>
  <w:style w:type="character" w:customStyle="1" w:styleId="196">
    <w:name w:val="img_title9"/>
    <w:qFormat/>
    <w:uiPriority w:val="0"/>
    <w:rPr>
      <w:vanish/>
    </w:rPr>
  </w:style>
  <w:style w:type="character" w:customStyle="1" w:styleId="197">
    <w:name w:val="标题 2 Char2"/>
    <w:link w:val="3"/>
    <w:qFormat/>
    <w:uiPriority w:val="0"/>
    <w:rPr>
      <w:rFonts w:ascii="Arial" w:hAnsi="Arial" w:eastAsia="黑体"/>
      <w:b/>
      <w:bCs/>
      <w:kern w:val="2"/>
      <w:sz w:val="21"/>
      <w:szCs w:val="32"/>
      <w:lang w:val="en-US" w:eastAsia="zh-CN" w:bidi="ar-SA"/>
    </w:rPr>
  </w:style>
  <w:style w:type="paragraph" w:customStyle="1" w:styleId="198">
    <w:name w:val="正文 New"/>
    <w:qFormat/>
    <w:uiPriority w:val="0"/>
    <w:pPr>
      <w:widowControl w:val="0"/>
      <w:spacing w:line="440" w:lineRule="exact"/>
      <w:ind w:left="357" w:hanging="357"/>
      <w:jc w:val="both"/>
    </w:pPr>
    <w:rPr>
      <w:rFonts w:ascii="Calibri" w:hAnsi="Calibri" w:eastAsia="宋体" w:cs="Times New Roman"/>
      <w:kern w:val="2"/>
      <w:sz w:val="21"/>
      <w:szCs w:val="22"/>
      <w:lang w:val="en-US" w:eastAsia="zh-CN" w:bidi="ar-SA"/>
    </w:rPr>
  </w:style>
  <w:style w:type="character" w:customStyle="1" w:styleId="199">
    <w:name w:val="font12"/>
    <w:basedOn w:val="49"/>
    <w:qFormat/>
    <w:uiPriority w:val="0"/>
    <w:rPr>
      <w:rFonts w:hint="eastAsia" w:ascii="仿宋" w:hAnsi="仿宋" w:eastAsia="仿宋" w:cs="仿宋"/>
      <w:b/>
      <w:color w:val="000000"/>
      <w:sz w:val="32"/>
      <w:szCs w:val="32"/>
      <w:u w:val="none"/>
    </w:rPr>
  </w:style>
  <w:style w:type="character" w:customStyle="1" w:styleId="200">
    <w:name w:val="font101"/>
    <w:basedOn w:val="49"/>
    <w:qFormat/>
    <w:uiPriority w:val="0"/>
    <w:rPr>
      <w:rFonts w:hint="default" w:ascii="Times New Roman" w:hAnsi="Times New Roman" w:cs="Times New Roman"/>
      <w:color w:val="000000"/>
      <w:sz w:val="24"/>
      <w:szCs w:val="24"/>
      <w:u w:val="none"/>
    </w:rPr>
  </w:style>
  <w:style w:type="character" w:customStyle="1" w:styleId="201">
    <w:name w:val="font111"/>
    <w:basedOn w:val="49"/>
    <w:qFormat/>
    <w:uiPriority w:val="0"/>
    <w:rPr>
      <w:rFonts w:ascii="仿宋_GB2312" w:eastAsia="仿宋_GB2312" w:cs="仿宋_GB2312"/>
      <w:color w:val="000000"/>
      <w:sz w:val="24"/>
      <w:szCs w:val="24"/>
      <w:u w:val="none"/>
    </w:rPr>
  </w:style>
  <w:style w:type="character" w:customStyle="1" w:styleId="202">
    <w:name w:val="font91"/>
    <w:basedOn w:val="49"/>
    <w:qFormat/>
    <w:uiPriority w:val="0"/>
    <w:rPr>
      <w:rFonts w:hint="eastAsia" w:ascii="仿宋" w:hAnsi="仿宋" w:eastAsia="仿宋" w:cs="仿宋"/>
      <w:color w:val="000000"/>
      <w:sz w:val="24"/>
      <w:szCs w:val="24"/>
      <w:u w:val="single"/>
    </w:rPr>
  </w:style>
  <w:style w:type="character" w:customStyle="1" w:styleId="203">
    <w:name w:val="font81"/>
    <w:basedOn w:val="49"/>
    <w:qFormat/>
    <w:uiPriority w:val="0"/>
    <w:rPr>
      <w:rFonts w:hint="default" w:ascii="Times New Roman" w:hAnsi="Times New Roman" w:cs="Times New Roman"/>
      <w:color w:val="000000"/>
      <w:sz w:val="24"/>
      <w:szCs w:val="24"/>
      <w:u w:val="none"/>
    </w:rPr>
  </w:style>
  <w:style w:type="character" w:customStyle="1" w:styleId="204">
    <w:name w:val="font61"/>
    <w:basedOn w:val="49"/>
    <w:qFormat/>
    <w:uiPriority w:val="0"/>
    <w:rPr>
      <w:rFonts w:hint="eastAsia" w:ascii="仿宋_GB2312" w:eastAsia="仿宋_GB2312" w:cs="仿宋_GB2312"/>
      <w:color w:val="000000"/>
      <w:sz w:val="24"/>
      <w:szCs w:val="24"/>
      <w:u w:val="none"/>
    </w:rPr>
  </w:style>
  <w:style w:type="character" w:customStyle="1" w:styleId="205">
    <w:name w:val="font21"/>
    <w:basedOn w:val="49"/>
    <w:qFormat/>
    <w:uiPriority w:val="0"/>
    <w:rPr>
      <w:rFonts w:hint="default" w:ascii="Times New Roman" w:hAnsi="Times New Roman" w:cs="Times New Roman"/>
      <w:color w:val="000000"/>
      <w:sz w:val="24"/>
      <w:szCs w:val="24"/>
      <w:u w:val="none"/>
    </w:rPr>
  </w:style>
  <w:style w:type="character" w:customStyle="1" w:styleId="206">
    <w:name w:val="NormalCharacter"/>
    <w:semiHidden/>
    <w:qFormat/>
    <w:uiPriority w:val="0"/>
    <w:rPr>
      <w:snapToGrid w:val="0"/>
      <w:kern w:val="0"/>
      <w:sz w:val="32"/>
      <w:szCs w:val="32"/>
      <w:lang w:val="en-US" w:eastAsia="zh-CN" w:bidi="ar-SA"/>
    </w:rPr>
  </w:style>
  <w:style w:type="character" w:customStyle="1" w:styleId="207">
    <w:name w:val="first-child1"/>
    <w:basedOn w:val="49"/>
    <w:qFormat/>
    <w:uiPriority w:val="0"/>
  </w:style>
  <w:style w:type="character" w:customStyle="1" w:styleId="208">
    <w:name w:val="hover1"/>
    <w:basedOn w:val="49"/>
    <w:qFormat/>
    <w:uiPriority w:val="0"/>
    <w:rPr>
      <w:color w:val="2590EB"/>
    </w:rPr>
  </w:style>
  <w:style w:type="character" w:customStyle="1" w:styleId="209">
    <w:name w:val="hover2"/>
    <w:basedOn w:val="49"/>
    <w:qFormat/>
    <w:uiPriority w:val="0"/>
  </w:style>
  <w:style w:type="character" w:customStyle="1" w:styleId="210">
    <w:name w:val="hover3"/>
    <w:basedOn w:val="49"/>
    <w:qFormat/>
    <w:uiPriority w:val="0"/>
    <w:rPr>
      <w:color w:val="2590EB"/>
    </w:rPr>
  </w:style>
  <w:style w:type="character" w:customStyle="1" w:styleId="211">
    <w:name w:val="hover4"/>
    <w:basedOn w:val="49"/>
    <w:qFormat/>
    <w:uiPriority w:val="0"/>
    <w:rPr>
      <w:color w:val="2590EB"/>
      <w:shd w:val="clear" w:fill="E9F4FD"/>
    </w:rPr>
  </w:style>
  <w:style w:type="character" w:customStyle="1" w:styleId="212">
    <w:name w:val="mini-outputtext1"/>
    <w:basedOn w:val="49"/>
    <w:qFormat/>
    <w:uiPriority w:val="0"/>
  </w:style>
  <w:style w:type="character" w:customStyle="1" w:styleId="213">
    <w:name w:val="hover"/>
    <w:basedOn w:val="49"/>
    <w:qFormat/>
    <w:uiPriority w:val="0"/>
    <w:rPr>
      <w:color w:val="2590EB"/>
    </w:rPr>
  </w:style>
  <w:style w:type="paragraph" w:customStyle="1" w:styleId="214">
    <w:name w:val="table"/>
    <w:qFormat/>
    <w:uiPriority w:val="0"/>
    <w:pPr>
      <w:framePr w:hSpace="180" w:wrap="around" w:vAnchor="text" w:hAnchor="margin" w:y="1418"/>
      <w:adjustRightInd w:val="0"/>
      <w:snapToGrid w:val="0"/>
    </w:pPr>
    <w:rPr>
      <w:rFonts w:ascii="宋体" w:hAnsi="Calibri" w:eastAsia="宋体" w:cs="Times New Roman"/>
      <w:kern w:val="2"/>
      <w:sz w:val="24"/>
      <w:szCs w:val="22"/>
      <w:lang w:val="en-US" w:eastAsia="zh-CN" w:bidi="ar-SA"/>
    </w:rPr>
  </w:style>
  <w:style w:type="character" w:customStyle="1" w:styleId="215">
    <w:name w:val="time"/>
    <w:basedOn w:val="49"/>
    <w:qFormat/>
    <w:uiPriority w:val="0"/>
  </w:style>
  <w:style w:type="character" w:customStyle="1" w:styleId="216">
    <w:name w:val="status"/>
    <w:basedOn w:val="49"/>
    <w:qFormat/>
    <w:uiPriority w:val="0"/>
    <w:rPr>
      <w:color w:val="0776DD"/>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theme" Target="theme/theme1.xml"/><Relationship Id="rId13" Type="http://schemas.openxmlformats.org/officeDocument/2006/relationships/footer" Target="footer6.xml"/><Relationship Id="rId12" Type="http://schemas.openxmlformats.org/officeDocument/2006/relationships/header" Target="header5.xml"/><Relationship Id="rId11" Type="http://schemas.openxmlformats.org/officeDocument/2006/relationships/footer" Target="footer5.xml"/><Relationship Id="rId10" Type="http://schemas.openxmlformats.org/officeDocument/2006/relationships/header" Target="header4.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85</Pages>
  <Words>15162</Words>
  <Characters>16772</Characters>
  <Lines>411</Lines>
  <Paragraphs>115</Paragraphs>
  <TotalTime>5</TotalTime>
  <ScaleCrop>false</ScaleCrop>
  <LinksUpToDate>false</LinksUpToDate>
  <CharactersWithSpaces>17072</CharactersWithSpaces>
  <Application>WPS Office_12.1.0.28488_F1E327BC-269C-435d-A152-05C5408002CA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2016-05-15T08:29:00Z</dcterms:created>
  <dc:creator>dengxiaochun</dc:creator>
  <cp:lastModifiedBy>Pim Pom丶</cp:lastModifiedBy>
  <cp:lastPrinted>2023-06-08T00:43:00Z</cp:lastPrinted>
  <dcterms:modified xsi:type="dcterms:W3CDTF">2026-09-02T03:44:11Z</dcterms:modified>
  <dc:title>标准交易文件</dc:title>
  <cp:revision>328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2052-12.1.0.28488</vt:lpwstr>
  </property>
  <property fmtid="{D5CDD505-2E9C-101B-9397-08002B2CF9AE}" pid="3" name="ICV">
    <vt:lpwstr>40CBC1B083924196992377331F4909AC_13</vt:lpwstr>
  </property>
  <property fmtid="{D5CDD505-2E9C-101B-9397-08002B2CF9AE}" pid="4" name="KSOTemplateDocerSaveRecord">
    <vt:lpwstr>eyJoZGlkIjoiMDk2MmQyNTdjMmYyM2I4Njk3YjVkOTliYjhhNDZiYTEiLCJ1c2VySWQiOiI0MDkyMjI1MTkifQ==</vt:lpwstr>
  </property>
</Properties>
</file>