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B8914C9">
      <w:pPr>
        <w:jc w:val="center"/>
        <w:rPr>
          <w:rFonts w:ascii="宋体" w:cs="宋体"/>
          <w:b/>
          <w:color w:val="auto"/>
          <w:kern w:val="0"/>
          <w:sz w:val="44"/>
          <w:szCs w:val="44"/>
          <w:highlight w:val="none"/>
        </w:rPr>
      </w:pPr>
      <w:bookmarkStart w:id="0" w:name="_Toc15058843"/>
      <w:bookmarkStart w:id="1" w:name="_Toc461631222"/>
      <w:bookmarkStart w:id="2" w:name="_Toc246996898"/>
      <w:bookmarkStart w:id="3" w:name="_Toc324404811"/>
      <w:bookmarkStart w:id="4" w:name="_Toc247085669"/>
      <w:bookmarkStart w:id="5" w:name="_Toc296602400"/>
      <w:bookmarkStart w:id="6" w:name="_Toc506107265"/>
      <w:bookmarkStart w:id="7" w:name="OLE_LINK4"/>
      <w:bookmarkStart w:id="8" w:name="OLE_LINK5"/>
      <w:bookmarkStart w:id="9" w:name="OLE_LINK3"/>
      <w:bookmarkStart w:id="10" w:name="OLE_LINK2"/>
      <w:bookmarkStart w:id="11" w:name="OLE_LINK1"/>
    </w:p>
    <w:p w14:paraId="50BE0B6B">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cs="宋体"/>
          <w:b/>
          <w:color w:val="auto"/>
          <w:kern w:val="0"/>
          <w:sz w:val="40"/>
          <w:szCs w:val="40"/>
          <w:highlight w:val="none"/>
          <w:lang w:val="en-US" w:eastAsia="zh-CN"/>
        </w:rPr>
      </w:pPr>
      <w:r>
        <w:rPr>
          <w:rFonts w:hint="eastAsia" w:ascii="宋体" w:hAnsi="宋体" w:cs="宋体"/>
          <w:b/>
          <w:color w:val="auto"/>
          <w:kern w:val="0"/>
          <w:sz w:val="40"/>
          <w:szCs w:val="40"/>
          <w:highlight w:val="none"/>
          <w:lang w:val="en-US" w:eastAsia="zh-CN"/>
        </w:rPr>
        <w:t>中新苏滁高新区超级电容智能制造基地监理项目</w:t>
      </w:r>
    </w:p>
    <w:p w14:paraId="6E297E4F">
      <w:pPr>
        <w:wordWrap w:val="0"/>
        <w:ind w:firstLine="2640" w:firstLineChars="1100"/>
        <w:rPr>
          <w:color w:val="auto"/>
          <w:sz w:val="24"/>
          <w:highlight w:val="none"/>
        </w:rPr>
      </w:pPr>
    </w:p>
    <w:p w14:paraId="63195DA3">
      <w:pPr>
        <w:wordWrap w:val="0"/>
        <w:ind w:firstLine="2640" w:firstLineChars="1100"/>
        <w:rPr>
          <w:color w:val="auto"/>
          <w:sz w:val="24"/>
          <w:highlight w:val="none"/>
        </w:rPr>
      </w:pPr>
    </w:p>
    <w:p w14:paraId="5AA55DBC">
      <w:pPr>
        <w:adjustRightInd w:val="0"/>
        <w:snapToGrid w:val="0"/>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招 标 文 件</w:t>
      </w:r>
    </w:p>
    <w:p w14:paraId="5625F271">
      <w:pPr>
        <w:jc w:val="center"/>
        <w:rPr>
          <w:rFonts w:hint="eastAsia"/>
          <w:color w:val="auto"/>
          <w:sz w:val="28"/>
          <w:szCs w:val="28"/>
          <w:highlight w:val="none"/>
        </w:rPr>
      </w:pPr>
      <w:r>
        <w:rPr>
          <w:rFonts w:hint="eastAsia"/>
          <w:color w:val="auto"/>
          <w:sz w:val="28"/>
          <w:szCs w:val="28"/>
          <w:highlight w:val="none"/>
        </w:rPr>
        <w:t>项目编号：</w:t>
      </w:r>
      <w:r>
        <w:rPr>
          <w:rFonts w:hint="eastAsia"/>
          <w:color w:val="auto"/>
          <w:sz w:val="28"/>
          <w:szCs w:val="28"/>
          <w:highlight w:val="none"/>
          <w:lang w:val="en-US" w:eastAsia="zh-CN"/>
        </w:rPr>
        <w:t>czsjgc202508-009</w:t>
      </w:r>
    </w:p>
    <w:p w14:paraId="6CD83344">
      <w:pPr>
        <w:jc w:val="center"/>
        <w:rPr>
          <w:rFonts w:hint="default" w:ascii="宋体" w:hAnsi="宋体" w:eastAsia="宋体" w:cs="宋体"/>
          <w:color w:val="auto"/>
          <w:sz w:val="72"/>
          <w:szCs w:val="72"/>
          <w:highlight w:val="none"/>
          <w:lang w:val="en-US" w:eastAsia="zh-CN"/>
        </w:rPr>
      </w:pPr>
    </w:p>
    <w:p w14:paraId="3124D997">
      <w:pPr>
        <w:jc w:val="center"/>
        <w:rPr>
          <w:color w:val="auto"/>
          <w:sz w:val="24"/>
          <w:highlight w:val="none"/>
        </w:rPr>
      </w:pPr>
      <w:r>
        <w:rPr>
          <w:color w:val="auto"/>
          <w:sz w:val="24"/>
          <w:highlight w:val="none"/>
        </w:rPr>
        <w:t xml:space="preserve"> </w:t>
      </w:r>
    </w:p>
    <w:p w14:paraId="21A3D888">
      <w:pPr>
        <w:spacing w:line="400" w:lineRule="exact"/>
        <w:jc w:val="center"/>
        <w:rPr>
          <w:rFonts w:ascii="宋体"/>
          <w:b/>
          <w:color w:val="auto"/>
          <w:sz w:val="39"/>
          <w:highlight w:val="none"/>
        </w:rPr>
      </w:pPr>
    </w:p>
    <w:p w14:paraId="0F6F6D2D">
      <w:pPr>
        <w:spacing w:line="400" w:lineRule="exact"/>
        <w:rPr>
          <w:color w:val="auto"/>
          <w:highlight w:val="none"/>
        </w:rPr>
      </w:pPr>
    </w:p>
    <w:p w14:paraId="38A6E7B8">
      <w:pPr>
        <w:spacing w:line="720" w:lineRule="exact"/>
        <w:rPr>
          <w:b/>
          <w:bCs/>
          <w:color w:val="auto"/>
          <w:sz w:val="28"/>
          <w:szCs w:val="28"/>
          <w:highlight w:val="none"/>
        </w:rPr>
      </w:pPr>
    </w:p>
    <w:p w14:paraId="224A73AB">
      <w:pPr>
        <w:pStyle w:val="45"/>
        <w:rPr>
          <w:b/>
          <w:bCs/>
          <w:color w:val="auto"/>
          <w:sz w:val="28"/>
          <w:szCs w:val="28"/>
          <w:highlight w:val="none"/>
        </w:rPr>
      </w:pPr>
    </w:p>
    <w:p w14:paraId="3666097B">
      <w:pPr>
        <w:rPr>
          <w:b/>
          <w:bCs/>
          <w:color w:val="auto"/>
          <w:sz w:val="28"/>
          <w:szCs w:val="28"/>
          <w:highlight w:val="none"/>
        </w:rPr>
      </w:pPr>
    </w:p>
    <w:p w14:paraId="61A6D098">
      <w:pPr>
        <w:pStyle w:val="45"/>
        <w:rPr>
          <w:b/>
          <w:bCs/>
          <w:color w:val="auto"/>
          <w:sz w:val="28"/>
          <w:szCs w:val="28"/>
          <w:highlight w:val="none"/>
        </w:rPr>
      </w:pPr>
    </w:p>
    <w:p w14:paraId="7309C998">
      <w:pPr>
        <w:rPr>
          <w:b/>
          <w:bCs/>
          <w:color w:val="auto"/>
          <w:sz w:val="28"/>
          <w:szCs w:val="28"/>
          <w:highlight w:val="none"/>
        </w:rPr>
      </w:pPr>
    </w:p>
    <w:p w14:paraId="4E289A05">
      <w:pPr>
        <w:pStyle w:val="45"/>
        <w:rPr>
          <w:color w:val="auto"/>
          <w:highlight w:val="none"/>
        </w:rPr>
      </w:pPr>
    </w:p>
    <w:p w14:paraId="4F9CF2A1">
      <w:pPr>
        <w:spacing w:line="720" w:lineRule="exact"/>
        <w:rPr>
          <w:b/>
          <w:bCs/>
          <w:color w:val="auto"/>
          <w:sz w:val="28"/>
          <w:szCs w:val="28"/>
          <w:highlight w:val="none"/>
        </w:rPr>
      </w:pPr>
    </w:p>
    <w:p w14:paraId="292613CD">
      <w:pPr>
        <w:keepNext w:val="0"/>
        <w:keepLines w:val="0"/>
        <w:pageBreakBefore w:val="0"/>
        <w:widowControl/>
        <w:kinsoku/>
        <w:wordWrap/>
        <w:overflowPunct/>
        <w:topLinePunct w:val="0"/>
        <w:autoSpaceDE/>
        <w:autoSpaceDN/>
        <w:bidi w:val="0"/>
        <w:adjustRightInd/>
        <w:snapToGrid/>
        <w:spacing w:before="157" w:beforeLines="50" w:after="157" w:afterLines="50" w:line="640" w:lineRule="exact"/>
        <w:ind w:firstLine="0" w:firstLineChars="0"/>
        <w:jc w:val="center"/>
        <w:textAlignment w:val="baseline"/>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eastAsia="zh-CN"/>
        </w:rPr>
        <w:t>招标单位</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u w:val="single"/>
          <w:lang w:val="en-US" w:eastAsia="zh-CN"/>
        </w:rPr>
        <w:t xml:space="preserve">    </w:t>
      </w:r>
      <w:r>
        <w:rPr>
          <w:rFonts w:hint="eastAsia" w:ascii="宋体" w:hAnsi="宋体" w:cs="宋体"/>
          <w:b/>
          <w:bCs/>
          <w:color w:val="auto"/>
          <w:sz w:val="28"/>
          <w:szCs w:val="28"/>
          <w:highlight w:val="none"/>
          <w:u w:val="single"/>
          <w:lang w:eastAsia="zh-CN"/>
        </w:rPr>
        <w:t>滁州苏滁产城开发有限公司</w:t>
      </w:r>
      <w:r>
        <w:rPr>
          <w:rFonts w:hint="eastAsia" w:ascii="宋体" w:hAnsi="宋体" w:cs="宋体"/>
          <w:b/>
          <w:bCs/>
          <w:color w:val="auto"/>
          <w:sz w:val="28"/>
          <w:szCs w:val="28"/>
          <w:highlight w:val="none"/>
          <w:u w:val="single"/>
          <w:lang w:val="en-US" w:eastAsia="zh-CN"/>
        </w:rPr>
        <w:t xml:space="preserve">   </w:t>
      </w:r>
      <w:r>
        <w:rPr>
          <w:rFonts w:hint="eastAsia" w:ascii="宋体" w:hAnsi="宋体" w:cs="宋体"/>
          <w:b/>
          <w:bCs/>
          <w:color w:val="auto"/>
          <w:sz w:val="28"/>
          <w:szCs w:val="28"/>
          <w:highlight w:val="none"/>
        </w:rPr>
        <w:t>（盖章）</w:t>
      </w:r>
    </w:p>
    <w:p w14:paraId="2917471B">
      <w:pPr>
        <w:keepNext w:val="0"/>
        <w:keepLines w:val="0"/>
        <w:pageBreakBefore w:val="0"/>
        <w:widowControl/>
        <w:kinsoku/>
        <w:wordWrap/>
        <w:overflowPunct/>
        <w:topLinePunct w:val="0"/>
        <w:autoSpaceDE/>
        <w:autoSpaceDN/>
        <w:bidi w:val="0"/>
        <w:adjustRightInd/>
        <w:snapToGrid/>
        <w:spacing w:before="157" w:beforeLines="50" w:after="157" w:afterLines="50" w:line="640" w:lineRule="exact"/>
        <w:ind w:firstLine="0" w:firstLineChars="0"/>
        <w:jc w:val="center"/>
        <w:textAlignment w:val="baseline"/>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代理机构：</w:t>
      </w:r>
      <w:r>
        <w:rPr>
          <w:rFonts w:hint="eastAsia" w:ascii="宋体" w:hAnsi="宋体" w:cs="宋体"/>
          <w:b/>
          <w:bCs/>
          <w:color w:val="auto"/>
          <w:sz w:val="28"/>
          <w:szCs w:val="28"/>
          <w:highlight w:val="none"/>
          <w:u w:val="single"/>
          <w:lang w:eastAsia="zh-CN"/>
        </w:rPr>
        <w:t>滁州市城投工程咨询管理有限公司</w:t>
      </w:r>
      <w:r>
        <w:rPr>
          <w:rFonts w:hint="eastAsia" w:ascii="宋体" w:hAnsi="宋体" w:cs="宋体"/>
          <w:b/>
          <w:bCs/>
          <w:color w:val="auto"/>
          <w:sz w:val="28"/>
          <w:szCs w:val="28"/>
          <w:highlight w:val="none"/>
        </w:rPr>
        <w:t>（盖章）</w:t>
      </w:r>
    </w:p>
    <w:p w14:paraId="1B13AB2E">
      <w:pPr>
        <w:keepNext w:val="0"/>
        <w:keepLines w:val="0"/>
        <w:pageBreakBefore w:val="0"/>
        <w:widowControl/>
        <w:kinsoku/>
        <w:wordWrap/>
        <w:overflowPunct/>
        <w:topLinePunct w:val="0"/>
        <w:autoSpaceDE/>
        <w:autoSpaceDN/>
        <w:bidi w:val="0"/>
        <w:adjustRightInd/>
        <w:snapToGrid/>
        <w:spacing w:before="157" w:beforeLines="50" w:after="157" w:afterLines="50" w:line="640" w:lineRule="exact"/>
        <w:ind w:firstLine="0" w:firstLineChars="0"/>
        <w:jc w:val="center"/>
        <w:textAlignment w:val="baseline"/>
        <w:rPr>
          <w:rFonts w:hint="eastAsia" w:ascii="宋体" w:hAnsi="宋体" w:cs="宋体"/>
          <w:b/>
          <w:bCs/>
          <w:color w:val="auto"/>
          <w:sz w:val="28"/>
          <w:szCs w:val="28"/>
          <w:highlight w:val="none"/>
        </w:rPr>
      </w:pPr>
      <w:r>
        <w:rPr>
          <w:rFonts w:hint="eastAsia" w:ascii="宋体" w:hAnsi="宋体" w:cs="宋体"/>
          <w:b/>
          <w:bCs/>
          <w:color w:val="auto"/>
          <w:sz w:val="28"/>
          <w:szCs w:val="28"/>
          <w:highlight w:val="none"/>
          <w:u w:val="single"/>
        </w:rPr>
        <w:t>202</w:t>
      </w:r>
      <w:r>
        <w:rPr>
          <w:rFonts w:hint="eastAsia" w:ascii="宋体" w:hAnsi="宋体" w:cs="宋体"/>
          <w:b/>
          <w:bCs/>
          <w:color w:val="auto"/>
          <w:sz w:val="28"/>
          <w:szCs w:val="28"/>
          <w:highlight w:val="none"/>
          <w:u w:val="single"/>
          <w:lang w:val="en-US" w:eastAsia="zh-CN"/>
        </w:rPr>
        <w:t>5</w:t>
      </w:r>
      <w:r>
        <w:rPr>
          <w:rFonts w:hint="eastAsia" w:ascii="宋体" w:hAnsi="宋体" w:cs="宋体"/>
          <w:b/>
          <w:bCs/>
          <w:color w:val="auto"/>
          <w:sz w:val="28"/>
          <w:szCs w:val="28"/>
          <w:highlight w:val="none"/>
        </w:rPr>
        <w:t xml:space="preserve">年 </w:t>
      </w:r>
      <w:r>
        <w:rPr>
          <w:rFonts w:hint="eastAsia" w:ascii="宋体" w:hAnsi="宋体" w:cs="宋体"/>
          <w:b/>
          <w:bCs/>
          <w:color w:val="auto"/>
          <w:sz w:val="28"/>
          <w:szCs w:val="28"/>
          <w:highlight w:val="none"/>
          <w:u w:val="single"/>
          <w:lang w:val="en-US" w:eastAsia="zh-CN"/>
        </w:rPr>
        <w:t>8</w:t>
      </w:r>
      <w:r>
        <w:rPr>
          <w:rFonts w:hint="eastAsia" w:ascii="宋体" w:hAnsi="宋体" w:cs="宋体"/>
          <w:b/>
          <w:bCs/>
          <w:color w:val="auto"/>
          <w:sz w:val="28"/>
          <w:szCs w:val="28"/>
          <w:highlight w:val="none"/>
        </w:rPr>
        <w:t>月</w:t>
      </w:r>
    </w:p>
    <w:p w14:paraId="73E67A41">
      <w:pPr>
        <w:jc w:val="center"/>
        <w:rPr>
          <w:color w:val="auto"/>
          <w:sz w:val="44"/>
          <w:szCs w:val="44"/>
          <w:highlight w:val="none"/>
        </w:rPr>
        <w:sectPr>
          <w:headerReference r:id="rId3" w:type="default"/>
          <w:footerReference r:id="rId4" w:type="default"/>
          <w:pgSz w:w="11906" w:h="16838"/>
          <w:pgMar w:top="1134" w:right="1417" w:bottom="1134" w:left="1417" w:header="851" w:footer="992" w:gutter="0"/>
          <w:cols w:space="720" w:num="1"/>
          <w:docGrid w:type="lines" w:linePitch="312" w:charSpace="0"/>
        </w:sectPr>
      </w:pPr>
    </w:p>
    <w:p w14:paraId="7A7E50CA">
      <w:pPr>
        <w:spacing w:line="700" w:lineRule="exact"/>
        <w:jc w:val="center"/>
        <w:rPr>
          <w:color w:val="auto"/>
          <w:sz w:val="44"/>
          <w:szCs w:val="44"/>
          <w:highlight w:val="none"/>
        </w:rPr>
      </w:pPr>
      <w:r>
        <w:rPr>
          <w:rFonts w:hint="eastAsia"/>
          <w:color w:val="auto"/>
          <w:sz w:val="44"/>
          <w:szCs w:val="44"/>
          <w:highlight w:val="none"/>
        </w:rPr>
        <w:t>目</w:t>
      </w:r>
      <w:r>
        <w:rPr>
          <w:color w:val="auto"/>
          <w:sz w:val="44"/>
          <w:szCs w:val="44"/>
          <w:highlight w:val="none"/>
        </w:rPr>
        <w:t xml:space="preserve">   </w:t>
      </w:r>
      <w:r>
        <w:rPr>
          <w:rFonts w:hint="eastAsia"/>
          <w:color w:val="auto"/>
          <w:sz w:val="44"/>
          <w:szCs w:val="44"/>
          <w:highlight w:val="none"/>
        </w:rPr>
        <w:t>录</w:t>
      </w:r>
      <w:bookmarkEnd w:id="0"/>
      <w:bookmarkEnd w:id="1"/>
      <w:bookmarkEnd w:id="2"/>
      <w:bookmarkEnd w:id="3"/>
      <w:bookmarkEnd w:id="4"/>
      <w:bookmarkEnd w:id="5"/>
      <w:bookmarkEnd w:id="6"/>
      <w:bookmarkStart w:id="12" w:name="_Toc144974479"/>
      <w:bookmarkStart w:id="13" w:name="_Toc152042287"/>
      <w:bookmarkStart w:id="14" w:name="_Toc179632527"/>
      <w:bookmarkStart w:id="15" w:name="_Toc152045511"/>
    </w:p>
    <w:p w14:paraId="05894F46">
      <w:pPr>
        <w:pStyle w:val="29"/>
        <w:tabs>
          <w:tab w:val="right" w:leader="dot" w:pos="9072"/>
        </w:tabs>
        <w:spacing w:line="480" w:lineRule="auto"/>
        <w:rPr>
          <w:b w:val="0"/>
          <w:bCs w:val="0"/>
          <w:color w:val="auto"/>
          <w:sz w:val="24"/>
          <w:szCs w:val="24"/>
          <w:highlight w:val="none"/>
        </w:rPr>
      </w:pPr>
      <w:r>
        <w:rPr>
          <w:rFonts w:ascii="宋体" w:hAnsi="宋体" w:cs="宋体"/>
          <w:b w:val="0"/>
          <w:bCs w:val="0"/>
          <w:caps w:val="0"/>
          <w:color w:val="auto"/>
          <w:sz w:val="24"/>
          <w:szCs w:val="24"/>
          <w:highlight w:val="none"/>
        </w:rPr>
        <w:fldChar w:fldCharType="begin"/>
      </w:r>
      <w:r>
        <w:rPr>
          <w:rFonts w:ascii="宋体" w:hAnsi="宋体" w:cs="宋体"/>
          <w:b w:val="0"/>
          <w:bCs w:val="0"/>
          <w:caps w:val="0"/>
          <w:color w:val="auto"/>
          <w:sz w:val="24"/>
          <w:szCs w:val="24"/>
          <w:highlight w:val="none"/>
        </w:rPr>
        <w:instrText xml:space="preserve"> TOC \o "1-3" \h \z \u </w:instrText>
      </w:r>
      <w:r>
        <w:rPr>
          <w:rFonts w:ascii="宋体" w:hAnsi="宋体" w:cs="宋体"/>
          <w:b w:val="0"/>
          <w:bCs w:val="0"/>
          <w:caps w:val="0"/>
          <w:color w:val="auto"/>
          <w:sz w:val="24"/>
          <w:szCs w:val="24"/>
          <w:highlight w:val="none"/>
        </w:rPr>
        <w:fldChar w:fldCharType="separate"/>
      </w:r>
      <w:r>
        <w:rPr>
          <w:rFonts w:ascii="宋体" w:hAnsi="宋体" w:cs="宋体"/>
          <w:b w:val="0"/>
          <w:bCs w:val="0"/>
          <w:caps w:val="0"/>
          <w:color w:val="auto"/>
          <w:sz w:val="24"/>
          <w:szCs w:val="24"/>
          <w:highlight w:val="none"/>
        </w:rPr>
        <w:fldChar w:fldCharType="begin"/>
      </w:r>
      <w:r>
        <w:rPr>
          <w:rFonts w:ascii="宋体" w:hAnsi="宋体" w:cs="宋体"/>
          <w:b w:val="0"/>
          <w:bCs w:val="0"/>
          <w:caps w:val="0"/>
          <w:color w:val="auto"/>
          <w:sz w:val="24"/>
          <w:szCs w:val="24"/>
          <w:highlight w:val="none"/>
        </w:rPr>
        <w:instrText xml:space="preserve"> HYPERLINK \l _Toc4058 </w:instrText>
      </w:r>
      <w:r>
        <w:rPr>
          <w:rFonts w:ascii="宋体" w:hAnsi="宋体" w:cs="宋体"/>
          <w:b w:val="0"/>
          <w:bCs w:val="0"/>
          <w:caps w:val="0"/>
          <w:color w:val="auto"/>
          <w:sz w:val="24"/>
          <w:szCs w:val="24"/>
          <w:highlight w:val="none"/>
        </w:rPr>
        <w:fldChar w:fldCharType="separate"/>
      </w:r>
      <w:r>
        <w:rPr>
          <w:rFonts w:hint="eastAsia"/>
          <w:b w:val="0"/>
          <w:bCs w:val="0"/>
          <w:color w:val="auto"/>
          <w:sz w:val="24"/>
          <w:szCs w:val="24"/>
          <w:highlight w:val="none"/>
        </w:rPr>
        <w:t>招标公告</w:t>
      </w:r>
      <w:r>
        <w:rPr>
          <w:b w:val="0"/>
          <w:bCs w:val="0"/>
          <w:color w:val="auto"/>
          <w:sz w:val="24"/>
          <w:szCs w:val="24"/>
          <w:highlight w:val="none"/>
        </w:rPr>
        <w:tab/>
      </w:r>
      <w:r>
        <w:rPr>
          <w:rFonts w:hint="eastAsia"/>
          <w:b w:val="0"/>
          <w:bCs w:val="0"/>
          <w:color w:val="auto"/>
          <w:sz w:val="24"/>
          <w:szCs w:val="24"/>
          <w:highlight w:val="none"/>
          <w:lang w:val="en-US" w:eastAsia="zh-CN"/>
        </w:rPr>
        <w:t>1</w:t>
      </w:r>
      <w:r>
        <w:rPr>
          <w:rFonts w:ascii="宋体" w:hAnsi="宋体" w:cs="宋体"/>
          <w:b w:val="0"/>
          <w:bCs w:val="0"/>
          <w:caps w:val="0"/>
          <w:color w:val="auto"/>
          <w:sz w:val="24"/>
          <w:szCs w:val="24"/>
          <w:highlight w:val="none"/>
        </w:rPr>
        <w:fldChar w:fldCharType="end"/>
      </w:r>
    </w:p>
    <w:p w14:paraId="5B60CF4D">
      <w:pPr>
        <w:pStyle w:val="29"/>
        <w:tabs>
          <w:tab w:val="right" w:leader="dot" w:pos="9072"/>
        </w:tabs>
        <w:spacing w:line="480" w:lineRule="auto"/>
        <w:rPr>
          <w:rFonts w:hint="eastAsia" w:eastAsia="宋体"/>
          <w:b w:val="0"/>
          <w:bCs w:val="0"/>
          <w:color w:val="auto"/>
          <w:sz w:val="24"/>
          <w:szCs w:val="24"/>
          <w:highlight w:val="none"/>
          <w:lang w:val="en-US" w:eastAsia="zh-CN"/>
        </w:rPr>
      </w:pPr>
      <w:r>
        <w:rPr>
          <w:rFonts w:hAnsi="宋体" w:cs="宋体"/>
          <w:b w:val="0"/>
          <w:bCs w:val="0"/>
          <w:caps/>
          <w:color w:val="auto"/>
          <w:sz w:val="24"/>
          <w:szCs w:val="24"/>
          <w:highlight w:val="none"/>
        </w:rPr>
        <w:fldChar w:fldCharType="begin"/>
      </w:r>
      <w:r>
        <w:rPr>
          <w:rFonts w:hAnsi="宋体" w:cs="宋体"/>
          <w:b w:val="0"/>
          <w:bCs w:val="0"/>
          <w:caps/>
          <w:color w:val="auto"/>
          <w:sz w:val="24"/>
          <w:szCs w:val="24"/>
          <w:highlight w:val="none"/>
        </w:rPr>
        <w:instrText xml:space="preserve"> HYPERLINK \l _Toc22978 </w:instrText>
      </w:r>
      <w:r>
        <w:rPr>
          <w:rFonts w:hAnsi="宋体" w:cs="宋体"/>
          <w:b w:val="0"/>
          <w:bCs w:val="0"/>
          <w:caps/>
          <w:color w:val="auto"/>
          <w:sz w:val="24"/>
          <w:szCs w:val="24"/>
          <w:highlight w:val="none"/>
        </w:rPr>
        <w:fldChar w:fldCharType="separate"/>
      </w:r>
      <w:r>
        <w:rPr>
          <w:rFonts w:hint="eastAsia"/>
          <w:b w:val="0"/>
          <w:bCs w:val="0"/>
          <w:color w:val="auto"/>
          <w:sz w:val="24"/>
          <w:szCs w:val="24"/>
          <w:highlight w:val="none"/>
        </w:rPr>
        <w:t>第一章</w:t>
      </w:r>
      <w:r>
        <w:rPr>
          <w:b w:val="0"/>
          <w:bCs w:val="0"/>
          <w:color w:val="auto"/>
          <w:sz w:val="24"/>
          <w:szCs w:val="24"/>
          <w:highlight w:val="none"/>
        </w:rPr>
        <w:t xml:space="preserve"> </w:t>
      </w:r>
      <w:r>
        <w:rPr>
          <w:rFonts w:hint="eastAsia"/>
          <w:b w:val="0"/>
          <w:bCs w:val="0"/>
          <w:color w:val="auto"/>
          <w:sz w:val="24"/>
          <w:szCs w:val="24"/>
          <w:highlight w:val="none"/>
        </w:rPr>
        <w:t>投标人须知</w:t>
      </w:r>
      <w:r>
        <w:rPr>
          <w:b w:val="0"/>
          <w:bCs w:val="0"/>
          <w:color w:val="auto"/>
          <w:sz w:val="24"/>
          <w:szCs w:val="24"/>
          <w:highlight w:val="none"/>
        </w:rPr>
        <w:tab/>
      </w:r>
      <w:r>
        <w:rPr>
          <w:rFonts w:hint="eastAsia"/>
          <w:b w:val="0"/>
          <w:bCs w:val="0"/>
          <w:color w:val="auto"/>
          <w:sz w:val="24"/>
          <w:szCs w:val="24"/>
          <w:highlight w:val="none"/>
          <w:lang w:val="en-US" w:eastAsia="zh-CN"/>
        </w:rPr>
        <w:t>1</w:t>
      </w:r>
      <w:r>
        <w:rPr>
          <w:rFonts w:hAnsi="宋体" w:cs="宋体"/>
          <w:b w:val="0"/>
          <w:bCs w:val="0"/>
          <w:caps/>
          <w:color w:val="auto"/>
          <w:sz w:val="24"/>
          <w:szCs w:val="24"/>
          <w:highlight w:val="none"/>
        </w:rPr>
        <w:fldChar w:fldCharType="end"/>
      </w:r>
      <w:r>
        <w:rPr>
          <w:rFonts w:hint="eastAsia" w:hAnsi="宋体" w:cs="宋体"/>
          <w:b w:val="0"/>
          <w:bCs w:val="0"/>
          <w:caps/>
          <w:color w:val="auto"/>
          <w:sz w:val="24"/>
          <w:szCs w:val="24"/>
          <w:highlight w:val="none"/>
          <w:lang w:val="en-US" w:eastAsia="zh-CN"/>
        </w:rPr>
        <w:t>0</w:t>
      </w:r>
    </w:p>
    <w:p w14:paraId="0362D26F">
      <w:pPr>
        <w:pStyle w:val="29"/>
        <w:tabs>
          <w:tab w:val="right" w:leader="dot" w:pos="9072"/>
        </w:tabs>
        <w:spacing w:line="480" w:lineRule="auto"/>
        <w:rPr>
          <w:rFonts w:hint="eastAsia" w:eastAsia="宋体"/>
          <w:b w:val="0"/>
          <w:bCs w:val="0"/>
          <w:color w:val="auto"/>
          <w:sz w:val="24"/>
          <w:szCs w:val="24"/>
          <w:highlight w:val="none"/>
          <w:lang w:val="en-US" w:eastAsia="zh-CN"/>
        </w:rPr>
      </w:pPr>
      <w:r>
        <w:rPr>
          <w:rFonts w:hAnsi="宋体" w:cs="宋体"/>
          <w:b w:val="0"/>
          <w:bCs w:val="0"/>
          <w:caps/>
          <w:color w:val="auto"/>
          <w:sz w:val="24"/>
          <w:szCs w:val="24"/>
          <w:highlight w:val="none"/>
        </w:rPr>
        <w:fldChar w:fldCharType="begin"/>
      </w:r>
      <w:r>
        <w:rPr>
          <w:rFonts w:hAnsi="宋体" w:cs="宋体"/>
          <w:b w:val="0"/>
          <w:bCs w:val="0"/>
          <w:caps/>
          <w:color w:val="auto"/>
          <w:sz w:val="24"/>
          <w:szCs w:val="24"/>
          <w:highlight w:val="none"/>
        </w:rPr>
        <w:instrText xml:space="preserve"> HYPERLINK \l _Toc7754 </w:instrText>
      </w:r>
      <w:r>
        <w:rPr>
          <w:rFonts w:hAnsi="宋体" w:cs="宋体"/>
          <w:b w:val="0"/>
          <w:bCs w:val="0"/>
          <w:caps/>
          <w:color w:val="auto"/>
          <w:sz w:val="24"/>
          <w:szCs w:val="24"/>
          <w:highlight w:val="none"/>
        </w:rPr>
        <w:fldChar w:fldCharType="separate"/>
      </w:r>
      <w:r>
        <w:rPr>
          <w:rFonts w:hint="eastAsia" w:ascii="Arial" w:hAnsi="Arial"/>
          <w:b w:val="0"/>
          <w:bCs w:val="0"/>
          <w:color w:val="auto"/>
          <w:kern w:val="0"/>
          <w:sz w:val="24"/>
          <w:szCs w:val="24"/>
          <w:highlight w:val="none"/>
        </w:rPr>
        <w:t>第二章</w:t>
      </w:r>
      <w:r>
        <w:rPr>
          <w:rFonts w:ascii="Arial" w:hAnsi="Arial"/>
          <w:b w:val="0"/>
          <w:bCs w:val="0"/>
          <w:color w:val="auto"/>
          <w:kern w:val="0"/>
          <w:sz w:val="24"/>
          <w:szCs w:val="24"/>
          <w:highlight w:val="none"/>
        </w:rPr>
        <w:t xml:space="preserve"> </w:t>
      </w:r>
      <w:r>
        <w:rPr>
          <w:rFonts w:hint="eastAsia" w:ascii="Arial" w:hAnsi="Arial"/>
          <w:b w:val="0"/>
          <w:bCs w:val="0"/>
          <w:color w:val="auto"/>
          <w:kern w:val="0"/>
          <w:sz w:val="24"/>
          <w:szCs w:val="24"/>
          <w:highlight w:val="none"/>
        </w:rPr>
        <w:t>资格审查办法</w:t>
      </w:r>
      <w:r>
        <w:rPr>
          <w:b w:val="0"/>
          <w:bCs w:val="0"/>
          <w:color w:val="auto"/>
          <w:sz w:val="24"/>
          <w:szCs w:val="24"/>
          <w:highlight w:val="none"/>
        </w:rPr>
        <w:tab/>
      </w:r>
      <w:r>
        <w:rPr>
          <w:rFonts w:hint="eastAsia"/>
          <w:b w:val="0"/>
          <w:bCs w:val="0"/>
          <w:color w:val="auto"/>
          <w:sz w:val="24"/>
          <w:szCs w:val="24"/>
          <w:highlight w:val="none"/>
          <w:lang w:val="en-US" w:eastAsia="zh-CN"/>
        </w:rPr>
        <w:t>3</w:t>
      </w:r>
      <w:r>
        <w:rPr>
          <w:rFonts w:hAnsi="宋体" w:cs="宋体"/>
          <w:b w:val="0"/>
          <w:bCs w:val="0"/>
          <w:caps/>
          <w:color w:val="auto"/>
          <w:sz w:val="24"/>
          <w:szCs w:val="24"/>
          <w:highlight w:val="none"/>
        </w:rPr>
        <w:fldChar w:fldCharType="end"/>
      </w:r>
      <w:r>
        <w:rPr>
          <w:rFonts w:hint="eastAsia" w:hAnsi="宋体" w:cs="宋体"/>
          <w:b w:val="0"/>
          <w:bCs w:val="0"/>
          <w:caps/>
          <w:color w:val="auto"/>
          <w:sz w:val="24"/>
          <w:szCs w:val="24"/>
          <w:highlight w:val="none"/>
          <w:lang w:val="en-US" w:eastAsia="zh-CN"/>
        </w:rPr>
        <w:t>2</w:t>
      </w:r>
    </w:p>
    <w:p w14:paraId="458FB527">
      <w:pPr>
        <w:pStyle w:val="29"/>
        <w:tabs>
          <w:tab w:val="right" w:leader="dot" w:pos="9072"/>
        </w:tabs>
        <w:spacing w:line="480" w:lineRule="auto"/>
        <w:rPr>
          <w:rFonts w:hint="eastAsia" w:eastAsia="宋体"/>
          <w:b w:val="0"/>
          <w:bCs w:val="0"/>
          <w:color w:val="auto"/>
          <w:sz w:val="24"/>
          <w:szCs w:val="24"/>
          <w:highlight w:val="none"/>
          <w:lang w:val="en-US" w:eastAsia="zh-CN"/>
        </w:rPr>
      </w:pPr>
      <w:r>
        <w:rPr>
          <w:rFonts w:hAnsi="宋体" w:cs="宋体"/>
          <w:b w:val="0"/>
          <w:bCs w:val="0"/>
          <w:caps/>
          <w:color w:val="auto"/>
          <w:sz w:val="24"/>
          <w:szCs w:val="24"/>
          <w:highlight w:val="none"/>
        </w:rPr>
        <w:fldChar w:fldCharType="begin"/>
      </w:r>
      <w:r>
        <w:rPr>
          <w:rFonts w:hAnsi="宋体" w:cs="宋体"/>
          <w:b w:val="0"/>
          <w:bCs w:val="0"/>
          <w:caps/>
          <w:color w:val="auto"/>
          <w:sz w:val="24"/>
          <w:szCs w:val="24"/>
          <w:highlight w:val="none"/>
        </w:rPr>
        <w:instrText xml:space="preserve"> HYPERLINK \l _Toc2515 </w:instrText>
      </w:r>
      <w:r>
        <w:rPr>
          <w:rFonts w:hAnsi="宋体" w:cs="宋体"/>
          <w:b w:val="0"/>
          <w:bCs w:val="0"/>
          <w:caps/>
          <w:color w:val="auto"/>
          <w:sz w:val="24"/>
          <w:szCs w:val="24"/>
          <w:highlight w:val="none"/>
        </w:rPr>
        <w:fldChar w:fldCharType="separate"/>
      </w:r>
      <w:r>
        <w:rPr>
          <w:rFonts w:hint="eastAsia" w:ascii="Arial" w:hAnsi="Arial"/>
          <w:b w:val="0"/>
          <w:bCs w:val="0"/>
          <w:color w:val="auto"/>
          <w:kern w:val="0"/>
          <w:sz w:val="24"/>
          <w:szCs w:val="24"/>
          <w:highlight w:val="none"/>
        </w:rPr>
        <w:t>第三章</w:t>
      </w:r>
      <w:r>
        <w:rPr>
          <w:rFonts w:ascii="Arial" w:hAnsi="Arial"/>
          <w:b w:val="0"/>
          <w:bCs w:val="0"/>
          <w:color w:val="auto"/>
          <w:kern w:val="0"/>
          <w:sz w:val="24"/>
          <w:szCs w:val="24"/>
          <w:highlight w:val="none"/>
        </w:rPr>
        <w:t xml:space="preserve"> </w:t>
      </w:r>
      <w:r>
        <w:rPr>
          <w:rFonts w:hint="eastAsia" w:ascii="Arial" w:hAnsi="Arial"/>
          <w:b w:val="0"/>
          <w:bCs w:val="0"/>
          <w:color w:val="auto"/>
          <w:kern w:val="0"/>
          <w:sz w:val="24"/>
          <w:szCs w:val="24"/>
          <w:highlight w:val="none"/>
        </w:rPr>
        <w:t>评标办法</w:t>
      </w:r>
      <w:r>
        <w:rPr>
          <w:b w:val="0"/>
          <w:bCs w:val="0"/>
          <w:color w:val="auto"/>
          <w:sz w:val="24"/>
          <w:szCs w:val="24"/>
          <w:highlight w:val="none"/>
        </w:rPr>
        <w:tab/>
      </w:r>
      <w:r>
        <w:rPr>
          <w:rFonts w:hint="eastAsia"/>
          <w:b w:val="0"/>
          <w:bCs w:val="0"/>
          <w:color w:val="auto"/>
          <w:sz w:val="24"/>
          <w:szCs w:val="24"/>
          <w:highlight w:val="none"/>
          <w:lang w:val="en-US" w:eastAsia="zh-CN"/>
        </w:rPr>
        <w:t>3</w:t>
      </w:r>
      <w:r>
        <w:rPr>
          <w:rFonts w:hAnsi="宋体" w:cs="宋体"/>
          <w:b w:val="0"/>
          <w:bCs w:val="0"/>
          <w:caps/>
          <w:color w:val="auto"/>
          <w:sz w:val="24"/>
          <w:szCs w:val="24"/>
          <w:highlight w:val="none"/>
        </w:rPr>
        <w:fldChar w:fldCharType="end"/>
      </w:r>
      <w:r>
        <w:rPr>
          <w:rFonts w:hint="eastAsia" w:hAnsi="宋体" w:cs="宋体"/>
          <w:b w:val="0"/>
          <w:bCs w:val="0"/>
          <w:caps/>
          <w:color w:val="auto"/>
          <w:sz w:val="24"/>
          <w:szCs w:val="24"/>
          <w:highlight w:val="none"/>
          <w:lang w:val="en-US" w:eastAsia="zh-CN"/>
        </w:rPr>
        <w:t>5</w:t>
      </w:r>
    </w:p>
    <w:p w14:paraId="1E25AF98">
      <w:pPr>
        <w:pStyle w:val="29"/>
        <w:tabs>
          <w:tab w:val="right" w:leader="dot" w:pos="9072"/>
        </w:tabs>
        <w:spacing w:line="480" w:lineRule="auto"/>
        <w:rPr>
          <w:rFonts w:hint="eastAsia" w:eastAsia="宋体"/>
          <w:b w:val="0"/>
          <w:bCs w:val="0"/>
          <w:color w:val="auto"/>
          <w:sz w:val="24"/>
          <w:szCs w:val="24"/>
          <w:highlight w:val="none"/>
          <w:lang w:val="en-US" w:eastAsia="zh-CN"/>
        </w:rPr>
      </w:pPr>
      <w:r>
        <w:rPr>
          <w:rFonts w:hAnsi="宋体" w:cs="宋体"/>
          <w:b w:val="0"/>
          <w:bCs w:val="0"/>
          <w:caps/>
          <w:color w:val="auto"/>
          <w:sz w:val="24"/>
          <w:szCs w:val="24"/>
          <w:highlight w:val="none"/>
        </w:rPr>
        <w:fldChar w:fldCharType="begin"/>
      </w:r>
      <w:r>
        <w:rPr>
          <w:rFonts w:hAnsi="宋体" w:cs="宋体"/>
          <w:b w:val="0"/>
          <w:bCs w:val="0"/>
          <w:caps/>
          <w:color w:val="auto"/>
          <w:sz w:val="24"/>
          <w:szCs w:val="24"/>
          <w:highlight w:val="none"/>
        </w:rPr>
        <w:instrText xml:space="preserve"> HYPERLINK \l _Toc28636 </w:instrText>
      </w:r>
      <w:r>
        <w:rPr>
          <w:rFonts w:hAnsi="宋体" w:cs="宋体"/>
          <w:b w:val="0"/>
          <w:bCs w:val="0"/>
          <w:caps/>
          <w:color w:val="auto"/>
          <w:sz w:val="24"/>
          <w:szCs w:val="24"/>
          <w:highlight w:val="none"/>
        </w:rPr>
        <w:fldChar w:fldCharType="separate"/>
      </w:r>
      <w:r>
        <w:rPr>
          <w:rFonts w:hint="eastAsia" w:ascii="Arial" w:hAnsi="Arial"/>
          <w:b w:val="0"/>
          <w:bCs w:val="0"/>
          <w:color w:val="auto"/>
          <w:kern w:val="0"/>
          <w:sz w:val="24"/>
          <w:szCs w:val="24"/>
          <w:highlight w:val="none"/>
        </w:rPr>
        <w:t>第四章</w:t>
      </w:r>
      <w:r>
        <w:rPr>
          <w:rFonts w:ascii="Arial" w:hAnsi="Arial"/>
          <w:b w:val="0"/>
          <w:bCs w:val="0"/>
          <w:color w:val="auto"/>
          <w:kern w:val="0"/>
          <w:sz w:val="24"/>
          <w:szCs w:val="24"/>
          <w:highlight w:val="none"/>
        </w:rPr>
        <w:t xml:space="preserve"> </w:t>
      </w:r>
      <w:r>
        <w:rPr>
          <w:rFonts w:hint="eastAsia" w:ascii="Arial" w:hAnsi="Arial"/>
          <w:b w:val="0"/>
          <w:bCs w:val="0"/>
          <w:color w:val="auto"/>
          <w:kern w:val="0"/>
          <w:sz w:val="24"/>
          <w:szCs w:val="24"/>
          <w:highlight w:val="none"/>
        </w:rPr>
        <w:t>合同条款及格式</w:t>
      </w:r>
      <w:r>
        <w:rPr>
          <w:b w:val="0"/>
          <w:bCs w:val="0"/>
          <w:color w:val="auto"/>
          <w:sz w:val="24"/>
          <w:szCs w:val="24"/>
          <w:highlight w:val="none"/>
        </w:rPr>
        <w:tab/>
      </w:r>
      <w:r>
        <w:rPr>
          <w:rFonts w:hint="eastAsia"/>
          <w:b w:val="0"/>
          <w:bCs w:val="0"/>
          <w:color w:val="auto"/>
          <w:sz w:val="24"/>
          <w:szCs w:val="24"/>
          <w:highlight w:val="none"/>
          <w:lang w:val="en-US" w:eastAsia="zh-CN"/>
        </w:rPr>
        <w:t>4</w:t>
      </w:r>
      <w:r>
        <w:rPr>
          <w:rFonts w:hAnsi="宋体" w:cs="宋体"/>
          <w:b w:val="0"/>
          <w:bCs w:val="0"/>
          <w:caps/>
          <w:color w:val="auto"/>
          <w:sz w:val="24"/>
          <w:szCs w:val="24"/>
          <w:highlight w:val="none"/>
        </w:rPr>
        <w:fldChar w:fldCharType="end"/>
      </w:r>
      <w:r>
        <w:rPr>
          <w:rFonts w:hint="eastAsia" w:hAnsi="宋体" w:cs="宋体"/>
          <w:b w:val="0"/>
          <w:bCs w:val="0"/>
          <w:caps/>
          <w:color w:val="auto"/>
          <w:sz w:val="24"/>
          <w:szCs w:val="24"/>
          <w:highlight w:val="none"/>
          <w:lang w:val="en-US" w:eastAsia="zh-CN"/>
        </w:rPr>
        <w:t>6</w:t>
      </w:r>
    </w:p>
    <w:p w14:paraId="13F76B0A">
      <w:pPr>
        <w:pStyle w:val="29"/>
        <w:tabs>
          <w:tab w:val="right" w:leader="dot" w:pos="9072"/>
        </w:tabs>
        <w:spacing w:line="480" w:lineRule="auto"/>
        <w:rPr>
          <w:rFonts w:hint="eastAsia" w:eastAsia="宋体"/>
          <w:b w:val="0"/>
          <w:bCs w:val="0"/>
          <w:color w:val="auto"/>
          <w:sz w:val="24"/>
          <w:szCs w:val="24"/>
          <w:highlight w:val="none"/>
          <w:lang w:val="en-US" w:eastAsia="zh-CN"/>
        </w:rPr>
      </w:pPr>
      <w:r>
        <w:rPr>
          <w:rFonts w:hAnsi="宋体" w:cs="宋体"/>
          <w:b w:val="0"/>
          <w:bCs w:val="0"/>
          <w:caps/>
          <w:color w:val="auto"/>
          <w:sz w:val="24"/>
          <w:szCs w:val="24"/>
          <w:highlight w:val="none"/>
        </w:rPr>
        <w:fldChar w:fldCharType="begin"/>
      </w:r>
      <w:r>
        <w:rPr>
          <w:rFonts w:hAnsi="宋体" w:cs="宋体"/>
          <w:b w:val="0"/>
          <w:bCs w:val="0"/>
          <w:caps/>
          <w:color w:val="auto"/>
          <w:sz w:val="24"/>
          <w:szCs w:val="24"/>
          <w:highlight w:val="none"/>
        </w:rPr>
        <w:instrText xml:space="preserve"> HYPERLINK \l _Toc4268 </w:instrText>
      </w:r>
      <w:r>
        <w:rPr>
          <w:rFonts w:hAnsi="宋体" w:cs="宋体"/>
          <w:b w:val="0"/>
          <w:bCs w:val="0"/>
          <w:caps/>
          <w:color w:val="auto"/>
          <w:sz w:val="24"/>
          <w:szCs w:val="24"/>
          <w:highlight w:val="none"/>
        </w:rPr>
        <w:fldChar w:fldCharType="separate"/>
      </w:r>
      <w:r>
        <w:rPr>
          <w:rFonts w:hint="eastAsia" w:ascii="Arial" w:hAnsi="Arial" w:eastAsia="宋体" w:cs="Times New Roman"/>
          <w:b w:val="0"/>
          <w:bCs w:val="0"/>
          <w:color w:val="auto"/>
          <w:kern w:val="0"/>
          <w:sz w:val="24"/>
          <w:szCs w:val="24"/>
          <w:highlight w:val="none"/>
          <w:lang w:val="en-US" w:eastAsia="zh-CN" w:bidi="ar-SA"/>
        </w:rPr>
        <w:t>第五章 监理内容和要求</w:t>
      </w:r>
      <w:r>
        <w:rPr>
          <w:b w:val="0"/>
          <w:bCs w:val="0"/>
          <w:color w:val="auto"/>
          <w:sz w:val="24"/>
          <w:szCs w:val="24"/>
          <w:highlight w:val="none"/>
        </w:rPr>
        <w:tab/>
      </w:r>
      <w:r>
        <w:rPr>
          <w:rFonts w:hint="eastAsia"/>
          <w:b w:val="0"/>
          <w:bCs w:val="0"/>
          <w:color w:val="auto"/>
          <w:sz w:val="24"/>
          <w:szCs w:val="24"/>
          <w:highlight w:val="none"/>
          <w:lang w:val="en-US" w:eastAsia="zh-CN"/>
        </w:rPr>
        <w:t>6</w:t>
      </w:r>
      <w:r>
        <w:rPr>
          <w:rFonts w:hAnsi="宋体" w:cs="宋体"/>
          <w:b w:val="0"/>
          <w:bCs w:val="0"/>
          <w:caps/>
          <w:color w:val="auto"/>
          <w:sz w:val="24"/>
          <w:szCs w:val="24"/>
          <w:highlight w:val="none"/>
        </w:rPr>
        <w:fldChar w:fldCharType="end"/>
      </w:r>
      <w:r>
        <w:rPr>
          <w:rFonts w:hint="eastAsia" w:hAnsi="宋体" w:cs="宋体"/>
          <w:b w:val="0"/>
          <w:bCs w:val="0"/>
          <w:caps/>
          <w:color w:val="auto"/>
          <w:sz w:val="24"/>
          <w:szCs w:val="24"/>
          <w:highlight w:val="none"/>
          <w:lang w:val="en-US" w:eastAsia="zh-CN"/>
        </w:rPr>
        <w:t>4</w:t>
      </w:r>
    </w:p>
    <w:p w14:paraId="407A63E6">
      <w:pPr>
        <w:pStyle w:val="29"/>
        <w:tabs>
          <w:tab w:val="right" w:leader="dot" w:pos="9072"/>
        </w:tabs>
        <w:spacing w:line="480" w:lineRule="auto"/>
        <w:rPr>
          <w:rFonts w:hint="eastAsia" w:eastAsia="宋体"/>
          <w:b w:val="0"/>
          <w:bCs w:val="0"/>
          <w:color w:val="auto"/>
          <w:sz w:val="24"/>
          <w:szCs w:val="24"/>
          <w:highlight w:val="none"/>
          <w:lang w:val="en-US" w:eastAsia="zh-CN"/>
        </w:rPr>
      </w:pPr>
      <w:r>
        <w:rPr>
          <w:rFonts w:hAnsi="宋体" w:cs="宋体"/>
          <w:b w:val="0"/>
          <w:bCs w:val="0"/>
          <w:caps/>
          <w:color w:val="auto"/>
          <w:sz w:val="24"/>
          <w:szCs w:val="24"/>
          <w:highlight w:val="none"/>
        </w:rPr>
        <w:fldChar w:fldCharType="begin"/>
      </w:r>
      <w:r>
        <w:rPr>
          <w:rFonts w:hAnsi="宋体" w:cs="宋体"/>
          <w:b w:val="0"/>
          <w:bCs w:val="0"/>
          <w:caps/>
          <w:color w:val="auto"/>
          <w:sz w:val="24"/>
          <w:szCs w:val="24"/>
          <w:highlight w:val="none"/>
        </w:rPr>
        <w:instrText xml:space="preserve"> HYPERLINK \l _Toc16481 </w:instrText>
      </w:r>
      <w:r>
        <w:rPr>
          <w:rFonts w:hAnsi="宋体" w:cs="宋体"/>
          <w:b w:val="0"/>
          <w:bCs w:val="0"/>
          <w:caps/>
          <w:color w:val="auto"/>
          <w:sz w:val="24"/>
          <w:szCs w:val="24"/>
          <w:highlight w:val="none"/>
        </w:rPr>
        <w:fldChar w:fldCharType="separate"/>
      </w:r>
      <w:r>
        <w:rPr>
          <w:rFonts w:hint="eastAsia"/>
          <w:b w:val="0"/>
          <w:bCs w:val="0"/>
          <w:color w:val="auto"/>
          <w:sz w:val="24"/>
          <w:szCs w:val="24"/>
          <w:highlight w:val="none"/>
        </w:rPr>
        <w:t>第</w:t>
      </w:r>
      <w:r>
        <w:rPr>
          <w:rFonts w:hint="eastAsia"/>
          <w:b w:val="0"/>
          <w:bCs w:val="0"/>
          <w:color w:val="auto"/>
          <w:sz w:val="24"/>
          <w:szCs w:val="24"/>
          <w:highlight w:val="none"/>
          <w:lang w:val="en-US" w:eastAsia="zh-CN"/>
        </w:rPr>
        <w:t>六</w:t>
      </w:r>
      <w:r>
        <w:rPr>
          <w:rFonts w:hint="eastAsia"/>
          <w:b w:val="0"/>
          <w:bCs w:val="0"/>
          <w:color w:val="auto"/>
          <w:sz w:val="24"/>
          <w:szCs w:val="24"/>
          <w:highlight w:val="none"/>
        </w:rPr>
        <w:t>章</w:t>
      </w:r>
      <w:r>
        <w:rPr>
          <w:b w:val="0"/>
          <w:bCs w:val="0"/>
          <w:color w:val="auto"/>
          <w:sz w:val="24"/>
          <w:szCs w:val="24"/>
          <w:highlight w:val="none"/>
        </w:rPr>
        <w:t xml:space="preserve"> </w:t>
      </w:r>
      <w:r>
        <w:rPr>
          <w:rFonts w:hint="eastAsia"/>
          <w:b w:val="0"/>
          <w:bCs w:val="0"/>
          <w:color w:val="auto"/>
          <w:sz w:val="24"/>
          <w:szCs w:val="24"/>
          <w:highlight w:val="none"/>
        </w:rPr>
        <w:t>投标文件格式</w:t>
      </w:r>
      <w:r>
        <w:rPr>
          <w:b w:val="0"/>
          <w:bCs w:val="0"/>
          <w:color w:val="auto"/>
          <w:sz w:val="24"/>
          <w:szCs w:val="24"/>
          <w:highlight w:val="none"/>
        </w:rPr>
        <w:tab/>
      </w:r>
      <w:r>
        <w:rPr>
          <w:rFonts w:hint="eastAsia"/>
          <w:b w:val="0"/>
          <w:bCs w:val="0"/>
          <w:color w:val="auto"/>
          <w:sz w:val="24"/>
          <w:szCs w:val="24"/>
          <w:highlight w:val="none"/>
          <w:lang w:val="en-US" w:eastAsia="zh-CN"/>
        </w:rPr>
        <w:t>6</w:t>
      </w:r>
      <w:r>
        <w:rPr>
          <w:rFonts w:hAnsi="宋体" w:cs="宋体"/>
          <w:b w:val="0"/>
          <w:bCs w:val="0"/>
          <w:caps/>
          <w:color w:val="auto"/>
          <w:sz w:val="24"/>
          <w:szCs w:val="24"/>
          <w:highlight w:val="none"/>
        </w:rPr>
        <w:fldChar w:fldCharType="end"/>
      </w:r>
      <w:r>
        <w:rPr>
          <w:rFonts w:hint="eastAsia" w:hAnsi="宋体" w:cs="宋体"/>
          <w:b w:val="0"/>
          <w:bCs w:val="0"/>
          <w:caps/>
          <w:color w:val="auto"/>
          <w:sz w:val="24"/>
          <w:szCs w:val="24"/>
          <w:highlight w:val="none"/>
          <w:lang w:val="en-US" w:eastAsia="zh-CN"/>
        </w:rPr>
        <w:t>6</w:t>
      </w:r>
    </w:p>
    <w:p w14:paraId="42A584A6">
      <w:pPr>
        <w:pStyle w:val="29"/>
        <w:tabs>
          <w:tab w:val="right" w:leader="dot" w:pos="9072"/>
        </w:tabs>
        <w:spacing w:line="480" w:lineRule="auto"/>
        <w:rPr>
          <w:rFonts w:hint="eastAsia" w:eastAsia="宋体"/>
          <w:b w:val="0"/>
          <w:bCs w:val="0"/>
          <w:color w:val="auto"/>
          <w:sz w:val="24"/>
          <w:szCs w:val="24"/>
          <w:highlight w:val="none"/>
          <w:lang w:val="en-US" w:eastAsia="zh-CN"/>
        </w:rPr>
      </w:pPr>
      <w:r>
        <w:rPr>
          <w:rFonts w:hAnsi="宋体" w:cs="宋体"/>
          <w:b w:val="0"/>
          <w:bCs w:val="0"/>
          <w:caps/>
          <w:color w:val="auto"/>
          <w:sz w:val="24"/>
          <w:szCs w:val="24"/>
          <w:highlight w:val="none"/>
        </w:rPr>
        <w:fldChar w:fldCharType="begin"/>
      </w:r>
      <w:r>
        <w:rPr>
          <w:rFonts w:hAnsi="宋体" w:cs="宋体"/>
          <w:b w:val="0"/>
          <w:bCs w:val="0"/>
          <w:caps/>
          <w:color w:val="auto"/>
          <w:sz w:val="24"/>
          <w:szCs w:val="24"/>
          <w:highlight w:val="none"/>
        </w:rPr>
        <w:instrText xml:space="preserve"> HYPERLINK \l _Toc1919 </w:instrText>
      </w:r>
      <w:r>
        <w:rPr>
          <w:rFonts w:hAnsi="宋体" w:cs="宋体"/>
          <w:b w:val="0"/>
          <w:bCs w:val="0"/>
          <w:caps/>
          <w:color w:val="auto"/>
          <w:sz w:val="24"/>
          <w:szCs w:val="24"/>
          <w:highlight w:val="none"/>
        </w:rPr>
        <w:fldChar w:fldCharType="separate"/>
      </w:r>
      <w:r>
        <w:rPr>
          <w:rFonts w:hint="eastAsia" w:ascii="黑体" w:hAnsi="黑体" w:eastAsia="黑体"/>
          <w:b w:val="0"/>
          <w:bCs w:val="0"/>
          <w:color w:val="auto"/>
          <w:sz w:val="24"/>
          <w:szCs w:val="24"/>
          <w:highlight w:val="none"/>
        </w:rPr>
        <w:t>附件1 关于联合惩戒失信行为加强信用查询管理的通知</w:t>
      </w:r>
      <w:r>
        <w:rPr>
          <w:b w:val="0"/>
          <w:bCs w:val="0"/>
          <w:color w:val="auto"/>
          <w:sz w:val="24"/>
          <w:szCs w:val="24"/>
          <w:highlight w:val="none"/>
        </w:rPr>
        <w:tab/>
      </w:r>
      <w:r>
        <w:rPr>
          <w:rFonts w:hint="eastAsia"/>
          <w:b w:val="0"/>
          <w:bCs w:val="0"/>
          <w:color w:val="auto"/>
          <w:sz w:val="24"/>
          <w:szCs w:val="24"/>
          <w:highlight w:val="none"/>
          <w:lang w:val="en-US" w:eastAsia="zh-CN"/>
        </w:rPr>
        <w:t>7</w:t>
      </w:r>
      <w:r>
        <w:rPr>
          <w:rFonts w:hAnsi="宋体" w:cs="宋体"/>
          <w:b w:val="0"/>
          <w:bCs w:val="0"/>
          <w:caps/>
          <w:color w:val="auto"/>
          <w:sz w:val="24"/>
          <w:szCs w:val="24"/>
          <w:highlight w:val="none"/>
        </w:rPr>
        <w:fldChar w:fldCharType="end"/>
      </w:r>
      <w:r>
        <w:rPr>
          <w:rFonts w:hint="eastAsia" w:hAnsi="宋体" w:cs="宋体"/>
          <w:b w:val="0"/>
          <w:bCs w:val="0"/>
          <w:caps/>
          <w:color w:val="auto"/>
          <w:sz w:val="24"/>
          <w:szCs w:val="24"/>
          <w:highlight w:val="none"/>
          <w:lang w:val="en-US" w:eastAsia="zh-CN"/>
        </w:rPr>
        <w:t>7</w:t>
      </w:r>
    </w:p>
    <w:p w14:paraId="6CE66043">
      <w:pPr>
        <w:pStyle w:val="29"/>
        <w:tabs>
          <w:tab w:val="right" w:leader="dot" w:pos="9072"/>
        </w:tabs>
        <w:spacing w:line="480" w:lineRule="auto"/>
        <w:rPr>
          <w:rFonts w:hint="eastAsia" w:eastAsia="宋体"/>
          <w:b w:val="0"/>
          <w:bCs w:val="0"/>
          <w:color w:val="auto"/>
          <w:sz w:val="24"/>
          <w:szCs w:val="24"/>
          <w:highlight w:val="none"/>
          <w:lang w:val="en-US" w:eastAsia="zh-CN"/>
        </w:rPr>
      </w:pPr>
      <w:r>
        <w:rPr>
          <w:rFonts w:hAnsi="宋体" w:cs="宋体"/>
          <w:b w:val="0"/>
          <w:bCs w:val="0"/>
          <w:caps/>
          <w:color w:val="auto"/>
          <w:sz w:val="24"/>
          <w:szCs w:val="24"/>
          <w:highlight w:val="none"/>
        </w:rPr>
        <w:fldChar w:fldCharType="begin"/>
      </w:r>
      <w:r>
        <w:rPr>
          <w:rFonts w:hAnsi="宋体" w:cs="宋体"/>
          <w:b w:val="0"/>
          <w:bCs w:val="0"/>
          <w:caps/>
          <w:color w:val="auto"/>
          <w:sz w:val="24"/>
          <w:szCs w:val="24"/>
          <w:highlight w:val="none"/>
        </w:rPr>
        <w:instrText xml:space="preserve"> HYPERLINK \l _Toc6120 </w:instrText>
      </w:r>
      <w:r>
        <w:rPr>
          <w:rFonts w:hAnsi="宋体" w:cs="宋体"/>
          <w:b w:val="0"/>
          <w:bCs w:val="0"/>
          <w:caps/>
          <w:color w:val="auto"/>
          <w:sz w:val="24"/>
          <w:szCs w:val="24"/>
          <w:highlight w:val="none"/>
        </w:rPr>
        <w:fldChar w:fldCharType="separate"/>
      </w:r>
      <w:r>
        <w:rPr>
          <w:rFonts w:hint="eastAsia" w:ascii="黑体" w:hAnsi="黑体" w:eastAsia="黑体"/>
          <w:b w:val="0"/>
          <w:bCs w:val="0"/>
          <w:color w:val="auto"/>
          <w:sz w:val="24"/>
          <w:szCs w:val="24"/>
          <w:highlight w:val="none"/>
        </w:rPr>
        <w:t>附件2 “信用中国”查询的严重失信行为类别及判定依据</w:t>
      </w:r>
      <w:r>
        <w:rPr>
          <w:b w:val="0"/>
          <w:bCs w:val="0"/>
          <w:color w:val="auto"/>
          <w:sz w:val="24"/>
          <w:szCs w:val="24"/>
          <w:highlight w:val="none"/>
        </w:rPr>
        <w:tab/>
      </w:r>
      <w:r>
        <w:rPr>
          <w:rFonts w:hint="eastAsia"/>
          <w:b w:val="0"/>
          <w:bCs w:val="0"/>
          <w:color w:val="auto"/>
          <w:sz w:val="24"/>
          <w:szCs w:val="24"/>
          <w:highlight w:val="none"/>
          <w:lang w:val="en-US" w:eastAsia="zh-CN"/>
        </w:rPr>
        <w:t>8</w:t>
      </w:r>
      <w:r>
        <w:rPr>
          <w:rFonts w:hAnsi="宋体" w:cs="宋体"/>
          <w:b w:val="0"/>
          <w:bCs w:val="0"/>
          <w:caps/>
          <w:color w:val="auto"/>
          <w:sz w:val="24"/>
          <w:szCs w:val="24"/>
          <w:highlight w:val="none"/>
        </w:rPr>
        <w:fldChar w:fldCharType="end"/>
      </w:r>
      <w:r>
        <w:rPr>
          <w:rFonts w:hint="eastAsia" w:hAnsi="宋体" w:cs="宋体"/>
          <w:b w:val="0"/>
          <w:bCs w:val="0"/>
          <w:caps/>
          <w:color w:val="auto"/>
          <w:sz w:val="24"/>
          <w:szCs w:val="24"/>
          <w:highlight w:val="none"/>
          <w:lang w:val="en-US" w:eastAsia="zh-CN"/>
        </w:rPr>
        <w:t>1</w:t>
      </w:r>
    </w:p>
    <w:p w14:paraId="66E44EBC">
      <w:pPr>
        <w:pStyle w:val="29"/>
        <w:tabs>
          <w:tab w:val="right" w:leader="dot" w:pos="9072"/>
        </w:tabs>
        <w:spacing w:line="480" w:lineRule="auto"/>
        <w:rPr>
          <w:rFonts w:hint="eastAsia" w:eastAsia="宋体"/>
          <w:b w:val="0"/>
          <w:bCs w:val="0"/>
          <w:color w:val="auto"/>
          <w:sz w:val="24"/>
          <w:szCs w:val="24"/>
          <w:highlight w:val="none"/>
          <w:lang w:val="en-US" w:eastAsia="zh-CN"/>
        </w:rPr>
      </w:pPr>
      <w:r>
        <w:rPr>
          <w:rFonts w:hAnsi="宋体" w:cs="宋体"/>
          <w:b w:val="0"/>
          <w:bCs w:val="0"/>
          <w:caps/>
          <w:color w:val="auto"/>
          <w:sz w:val="24"/>
          <w:szCs w:val="24"/>
          <w:highlight w:val="none"/>
        </w:rPr>
        <w:fldChar w:fldCharType="begin"/>
      </w:r>
      <w:r>
        <w:rPr>
          <w:rFonts w:hAnsi="宋体" w:cs="宋体"/>
          <w:b w:val="0"/>
          <w:bCs w:val="0"/>
          <w:caps/>
          <w:color w:val="auto"/>
          <w:sz w:val="24"/>
          <w:szCs w:val="24"/>
          <w:highlight w:val="none"/>
        </w:rPr>
        <w:instrText xml:space="preserve"> HYPERLINK \l _Toc27547 </w:instrText>
      </w:r>
      <w:r>
        <w:rPr>
          <w:rFonts w:hAnsi="宋体" w:cs="宋体"/>
          <w:b w:val="0"/>
          <w:bCs w:val="0"/>
          <w:caps/>
          <w:color w:val="auto"/>
          <w:sz w:val="24"/>
          <w:szCs w:val="24"/>
          <w:highlight w:val="none"/>
        </w:rPr>
        <w:fldChar w:fldCharType="separate"/>
      </w:r>
      <w:r>
        <w:rPr>
          <w:rFonts w:hint="eastAsia"/>
          <w:b w:val="0"/>
          <w:bCs w:val="0"/>
          <w:color w:val="auto"/>
          <w:sz w:val="24"/>
          <w:szCs w:val="24"/>
          <w:highlight w:val="none"/>
        </w:rPr>
        <w:t>第</w:t>
      </w:r>
      <w:r>
        <w:rPr>
          <w:rFonts w:hint="eastAsia"/>
          <w:b w:val="0"/>
          <w:bCs w:val="0"/>
          <w:color w:val="auto"/>
          <w:sz w:val="24"/>
          <w:szCs w:val="24"/>
          <w:highlight w:val="none"/>
          <w:lang w:val="en-US" w:eastAsia="zh-CN"/>
        </w:rPr>
        <w:t>七</w:t>
      </w:r>
      <w:r>
        <w:rPr>
          <w:rFonts w:hint="eastAsia"/>
          <w:b w:val="0"/>
          <w:bCs w:val="0"/>
          <w:color w:val="auto"/>
          <w:sz w:val="24"/>
          <w:szCs w:val="24"/>
          <w:highlight w:val="none"/>
        </w:rPr>
        <w:t>章</w:t>
      </w:r>
      <w:r>
        <w:rPr>
          <w:b w:val="0"/>
          <w:bCs w:val="0"/>
          <w:color w:val="auto"/>
          <w:sz w:val="24"/>
          <w:szCs w:val="24"/>
          <w:highlight w:val="none"/>
        </w:rPr>
        <w:t xml:space="preserve">  </w:t>
      </w:r>
      <w:r>
        <w:rPr>
          <w:rFonts w:hint="eastAsia"/>
          <w:b w:val="0"/>
          <w:bCs w:val="0"/>
          <w:color w:val="auto"/>
          <w:sz w:val="24"/>
          <w:szCs w:val="24"/>
          <w:highlight w:val="none"/>
        </w:rPr>
        <w:t>招标单位、招标代理机构对本招标文件的确认</w:t>
      </w:r>
      <w:r>
        <w:rPr>
          <w:b w:val="0"/>
          <w:bCs w:val="0"/>
          <w:color w:val="auto"/>
          <w:sz w:val="24"/>
          <w:szCs w:val="24"/>
          <w:highlight w:val="none"/>
        </w:rPr>
        <w:tab/>
      </w:r>
      <w:r>
        <w:rPr>
          <w:rFonts w:hint="eastAsia"/>
          <w:b w:val="0"/>
          <w:bCs w:val="0"/>
          <w:color w:val="auto"/>
          <w:sz w:val="24"/>
          <w:szCs w:val="24"/>
          <w:highlight w:val="none"/>
          <w:lang w:val="en-US" w:eastAsia="zh-CN"/>
        </w:rPr>
        <w:t>8</w:t>
      </w:r>
      <w:r>
        <w:rPr>
          <w:rFonts w:hAnsi="宋体" w:cs="宋体"/>
          <w:b w:val="0"/>
          <w:bCs w:val="0"/>
          <w:caps/>
          <w:color w:val="auto"/>
          <w:sz w:val="24"/>
          <w:szCs w:val="24"/>
          <w:highlight w:val="none"/>
        </w:rPr>
        <w:fldChar w:fldCharType="end"/>
      </w:r>
      <w:r>
        <w:rPr>
          <w:rFonts w:hint="eastAsia" w:hAnsi="宋体" w:cs="宋体"/>
          <w:b w:val="0"/>
          <w:bCs w:val="0"/>
          <w:caps/>
          <w:color w:val="auto"/>
          <w:sz w:val="24"/>
          <w:szCs w:val="24"/>
          <w:highlight w:val="none"/>
          <w:lang w:val="en-US" w:eastAsia="zh-CN"/>
        </w:rPr>
        <w:t>8</w:t>
      </w:r>
    </w:p>
    <w:p w14:paraId="79BD038C">
      <w:pPr>
        <w:pStyle w:val="45"/>
        <w:spacing w:line="700" w:lineRule="exact"/>
        <w:ind w:left="0" w:leftChars="0" w:firstLine="0" w:firstLineChars="0"/>
        <w:jc w:val="left"/>
        <w:rPr>
          <w:color w:val="auto"/>
          <w:sz w:val="24"/>
          <w:szCs w:val="24"/>
          <w:highlight w:val="none"/>
        </w:rPr>
      </w:pPr>
      <w:r>
        <w:rPr>
          <w:rFonts w:hAnsi="宋体" w:cs="宋体"/>
          <w:b w:val="0"/>
          <w:bCs w:val="0"/>
          <w:caps/>
          <w:color w:val="auto"/>
          <w:sz w:val="24"/>
          <w:szCs w:val="24"/>
          <w:highlight w:val="none"/>
        </w:rPr>
        <w:fldChar w:fldCharType="end"/>
      </w:r>
    </w:p>
    <w:p w14:paraId="0115B4AF">
      <w:pPr>
        <w:pStyle w:val="43"/>
        <w:spacing w:line="700" w:lineRule="exact"/>
        <w:jc w:val="left"/>
        <w:rPr>
          <w:color w:val="auto"/>
          <w:sz w:val="24"/>
          <w:szCs w:val="24"/>
          <w:highlight w:val="none"/>
        </w:rPr>
      </w:pPr>
    </w:p>
    <w:p w14:paraId="07ED507C">
      <w:pPr>
        <w:bidi w:val="0"/>
        <w:rPr>
          <w:color w:val="auto"/>
          <w:highlight w:val="none"/>
        </w:rPr>
      </w:pPr>
    </w:p>
    <w:p w14:paraId="3E12E12A">
      <w:pPr>
        <w:bidi w:val="0"/>
        <w:rPr>
          <w:color w:val="auto"/>
          <w:highlight w:val="none"/>
        </w:rPr>
      </w:pPr>
    </w:p>
    <w:p w14:paraId="26C1C918">
      <w:pPr>
        <w:bidi w:val="0"/>
        <w:rPr>
          <w:color w:val="auto"/>
          <w:highlight w:val="none"/>
        </w:rPr>
      </w:pPr>
    </w:p>
    <w:p w14:paraId="74EA5D89">
      <w:pPr>
        <w:bidi w:val="0"/>
        <w:rPr>
          <w:color w:val="auto"/>
          <w:highlight w:val="none"/>
        </w:rPr>
      </w:pPr>
    </w:p>
    <w:p w14:paraId="27AC7500">
      <w:pPr>
        <w:bidi w:val="0"/>
        <w:rPr>
          <w:color w:val="auto"/>
          <w:highlight w:val="none"/>
        </w:rPr>
      </w:pPr>
    </w:p>
    <w:p w14:paraId="6D6F07E8">
      <w:pPr>
        <w:bidi w:val="0"/>
        <w:rPr>
          <w:color w:val="auto"/>
          <w:highlight w:val="none"/>
        </w:rPr>
      </w:pPr>
    </w:p>
    <w:p w14:paraId="038E8EC3">
      <w:pPr>
        <w:bidi w:val="0"/>
        <w:rPr>
          <w:color w:val="auto"/>
          <w:highlight w:val="none"/>
        </w:rPr>
      </w:pPr>
    </w:p>
    <w:p w14:paraId="1732F3C7">
      <w:pPr>
        <w:bidi w:val="0"/>
        <w:rPr>
          <w:color w:val="auto"/>
          <w:highlight w:val="none"/>
        </w:rPr>
      </w:pPr>
    </w:p>
    <w:p w14:paraId="0D12EB5F">
      <w:pPr>
        <w:tabs>
          <w:tab w:val="left" w:pos="7034"/>
        </w:tabs>
        <w:bidi w:val="0"/>
        <w:jc w:val="left"/>
        <w:rPr>
          <w:rFonts w:hint="eastAsia" w:eastAsia="宋体"/>
          <w:color w:val="auto"/>
          <w:highlight w:val="none"/>
          <w:lang w:eastAsia="zh-CN"/>
        </w:rPr>
        <w:sectPr>
          <w:footerReference r:id="rId5" w:type="default"/>
          <w:pgSz w:w="11906" w:h="16838"/>
          <w:pgMar w:top="1134" w:right="1417" w:bottom="1134" w:left="1417" w:header="851" w:footer="992" w:gutter="0"/>
          <w:pgNumType w:start="1"/>
          <w:cols w:space="720" w:num="1"/>
          <w:docGrid w:type="lines" w:linePitch="312" w:charSpace="0"/>
        </w:sectPr>
      </w:pPr>
      <w:r>
        <w:rPr>
          <w:rFonts w:hint="eastAsia"/>
          <w:color w:val="auto"/>
          <w:highlight w:val="none"/>
          <w:lang w:eastAsia="zh-CN"/>
        </w:rPr>
        <w:tab/>
      </w:r>
    </w:p>
    <w:p w14:paraId="2694EC35">
      <w:pPr>
        <w:pStyle w:val="43"/>
        <w:spacing w:beforeLines="50" w:afterLines="50" w:line="440" w:lineRule="exact"/>
        <w:rPr>
          <w:rFonts w:hint="eastAsia"/>
          <w:bCs/>
          <w:color w:val="auto"/>
          <w:sz w:val="28"/>
          <w:szCs w:val="28"/>
          <w:highlight w:val="none"/>
          <w:lang w:val="en-US" w:eastAsia="zh-CN"/>
        </w:rPr>
      </w:pPr>
      <w:bookmarkStart w:id="16" w:name="_Toc3705"/>
      <w:r>
        <w:rPr>
          <w:rFonts w:hint="eastAsia"/>
          <w:bCs/>
          <w:color w:val="auto"/>
          <w:sz w:val="28"/>
          <w:szCs w:val="28"/>
          <w:highlight w:val="none"/>
          <w:lang w:val="en-US" w:eastAsia="zh-CN"/>
        </w:rPr>
        <w:t>中新苏滁高新区超级电容智能制造基地监理项目</w:t>
      </w:r>
      <w:r>
        <w:rPr>
          <w:rFonts w:hint="eastAsia"/>
          <w:bCs/>
          <w:color w:val="auto"/>
          <w:sz w:val="28"/>
          <w:szCs w:val="28"/>
          <w:highlight w:val="none"/>
        </w:rPr>
        <w:t>招标公告信息</w:t>
      </w:r>
      <w:bookmarkEnd w:id="16"/>
    </w:p>
    <w:tbl>
      <w:tblPr>
        <w:tblStyle w:val="46"/>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8313"/>
      </w:tblGrid>
      <w:tr w14:paraId="3DC4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6" w:type="dxa"/>
            <w:gridSpan w:val="2"/>
            <w:noWrap w:val="0"/>
            <w:vAlign w:val="center"/>
          </w:tcPr>
          <w:p w14:paraId="1B85F730">
            <w:pPr>
              <w:keepNext w:val="0"/>
              <w:keepLines w:val="0"/>
              <w:pageBreakBefore w:val="0"/>
              <w:kinsoku/>
              <w:overflowPunct/>
              <w:topLinePunct w:val="0"/>
              <w:autoSpaceDE/>
              <w:autoSpaceDN/>
              <w:bidi w:val="0"/>
              <w:adjustRightInd/>
              <w:snapToGrid/>
              <w:spacing w:line="50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
                <w:bCs/>
                <w:color w:val="auto"/>
                <w:sz w:val="21"/>
                <w:szCs w:val="21"/>
                <w:highlight w:val="none"/>
              </w:rPr>
              <w:t>招标条件</w:t>
            </w:r>
          </w:p>
        </w:tc>
      </w:tr>
      <w:tr w14:paraId="7FFC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B04D5E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Cs/>
                <w:color w:val="auto"/>
                <w:kern w:val="1"/>
                <w:sz w:val="21"/>
                <w:szCs w:val="21"/>
                <w:highlight w:val="none"/>
              </w:rPr>
              <w:t>项目</w:t>
            </w:r>
            <w:r>
              <w:rPr>
                <w:rFonts w:hint="eastAsia" w:ascii="宋体" w:hAnsi="宋体" w:eastAsia="宋体" w:cs="宋体"/>
                <w:color w:val="auto"/>
                <w:kern w:val="0"/>
                <w:sz w:val="21"/>
                <w:szCs w:val="21"/>
                <w:highlight w:val="none"/>
              </w:rPr>
              <w:t>名称</w:t>
            </w:r>
          </w:p>
        </w:tc>
        <w:tc>
          <w:tcPr>
            <w:tcW w:w="8313" w:type="dxa"/>
            <w:noWrap w:val="0"/>
            <w:vAlign w:val="top"/>
          </w:tcPr>
          <w:p w14:paraId="4BCCB9DD">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Cs/>
                <w:color w:val="auto"/>
                <w:kern w:val="1"/>
                <w:sz w:val="21"/>
                <w:szCs w:val="21"/>
                <w:highlight w:val="none"/>
                <w:lang w:val="en-US" w:eastAsia="zh-CN"/>
              </w:rPr>
            </w:pPr>
            <w:r>
              <w:rPr>
                <w:rFonts w:hint="eastAsia" w:ascii="宋体" w:hAnsi="宋体" w:cs="宋体"/>
                <w:bCs/>
                <w:color w:val="auto"/>
                <w:kern w:val="1"/>
                <w:sz w:val="21"/>
                <w:szCs w:val="21"/>
                <w:highlight w:val="none"/>
                <w:lang w:val="en-US" w:eastAsia="zh-CN"/>
              </w:rPr>
              <w:t>中新苏滁高新区超级电容智能制造基地监理项目</w:t>
            </w:r>
          </w:p>
        </w:tc>
      </w:tr>
      <w:tr w14:paraId="1447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14CB5A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项目审批、核准或备案机关名称</w:t>
            </w:r>
          </w:p>
        </w:tc>
        <w:tc>
          <w:tcPr>
            <w:tcW w:w="8313" w:type="dxa"/>
            <w:noWrap w:val="0"/>
            <w:vAlign w:val="center"/>
          </w:tcPr>
          <w:p w14:paraId="2CD902FB">
            <w:pPr>
              <w:keepNext w:val="0"/>
              <w:keepLines w:val="0"/>
              <w:pageBreakBefore w:val="0"/>
              <w:widowControl/>
              <w:kinsoku/>
              <w:overflowPunct/>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中新苏滁高新技术产业开发区经济运行局</w:t>
            </w:r>
          </w:p>
        </w:tc>
      </w:tr>
      <w:tr w14:paraId="032E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386CA6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批文名称及编号</w:t>
            </w:r>
          </w:p>
        </w:tc>
        <w:tc>
          <w:tcPr>
            <w:tcW w:w="8313" w:type="dxa"/>
            <w:noWrap w:val="0"/>
            <w:vAlign w:val="center"/>
          </w:tcPr>
          <w:p w14:paraId="197EC5CE">
            <w:pPr>
              <w:widowControl/>
              <w:spacing w:line="56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关于中新苏滁高新区超级电容智能制造基地项目立项的批复</w:t>
            </w:r>
          </w:p>
          <w:p w14:paraId="6825A7E8">
            <w:pPr>
              <w:keepNext w:val="0"/>
              <w:keepLines w:val="0"/>
              <w:pageBreakBefore w:val="0"/>
              <w:widowControl/>
              <w:kinsoku/>
              <w:overflowPunct/>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苏滁经发【2025】6号</w:t>
            </w:r>
          </w:p>
        </w:tc>
      </w:tr>
      <w:tr w14:paraId="48CA9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CDA824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招标人</w:t>
            </w:r>
          </w:p>
        </w:tc>
        <w:tc>
          <w:tcPr>
            <w:tcW w:w="8313" w:type="dxa"/>
            <w:noWrap w:val="0"/>
            <w:vAlign w:val="center"/>
          </w:tcPr>
          <w:p w14:paraId="41614052">
            <w:pPr>
              <w:keepNext w:val="0"/>
              <w:keepLines w:val="0"/>
              <w:pageBreakBefore w:val="0"/>
              <w:widowControl/>
              <w:kinsoku/>
              <w:overflowPunct/>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滁州苏滁产城开发有限公司</w:t>
            </w:r>
          </w:p>
        </w:tc>
      </w:tr>
      <w:tr w14:paraId="1E5E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C90173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项目业主</w:t>
            </w:r>
          </w:p>
        </w:tc>
        <w:tc>
          <w:tcPr>
            <w:tcW w:w="8313" w:type="dxa"/>
            <w:noWrap w:val="0"/>
            <w:vAlign w:val="center"/>
          </w:tcPr>
          <w:p w14:paraId="751661F4">
            <w:pPr>
              <w:keepNext w:val="0"/>
              <w:keepLines w:val="0"/>
              <w:pageBreakBefore w:val="0"/>
              <w:widowControl/>
              <w:kinsoku/>
              <w:overflowPunct/>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滁州苏滁产城开发有限公司</w:t>
            </w:r>
          </w:p>
        </w:tc>
      </w:tr>
      <w:tr w14:paraId="676B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D7B2A8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资金来源</w:t>
            </w:r>
          </w:p>
        </w:tc>
        <w:tc>
          <w:tcPr>
            <w:tcW w:w="8313" w:type="dxa"/>
            <w:noWrap w:val="0"/>
            <w:vAlign w:val="center"/>
          </w:tcPr>
          <w:p w14:paraId="2EEE0A10">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自筹资金</w:t>
            </w:r>
          </w:p>
        </w:tc>
      </w:tr>
      <w:tr w14:paraId="3F65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3" w:type="dxa"/>
            <w:noWrap w:val="0"/>
            <w:vAlign w:val="center"/>
          </w:tcPr>
          <w:p w14:paraId="2A5F413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项目出资比例</w:t>
            </w:r>
          </w:p>
        </w:tc>
        <w:tc>
          <w:tcPr>
            <w:tcW w:w="8313" w:type="dxa"/>
            <w:noWrap w:val="0"/>
            <w:vAlign w:val="center"/>
          </w:tcPr>
          <w:p w14:paraId="18A3BB1C">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100%</w:t>
            </w:r>
          </w:p>
        </w:tc>
      </w:tr>
      <w:tr w14:paraId="738E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98DE0C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招标方式</w:t>
            </w:r>
          </w:p>
        </w:tc>
        <w:tc>
          <w:tcPr>
            <w:tcW w:w="8313" w:type="dxa"/>
            <w:noWrap w:val="0"/>
            <w:vAlign w:val="center"/>
          </w:tcPr>
          <w:p w14:paraId="34E1F8E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公开招标</w:t>
            </w:r>
          </w:p>
        </w:tc>
      </w:tr>
      <w:tr w14:paraId="42CB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225F94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评标办法</w:t>
            </w:r>
          </w:p>
        </w:tc>
        <w:tc>
          <w:tcPr>
            <w:tcW w:w="8313" w:type="dxa"/>
            <w:noWrap w:val="0"/>
            <w:vAlign w:val="center"/>
          </w:tcPr>
          <w:p w14:paraId="0922E258">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综合评估法</w:t>
            </w:r>
          </w:p>
        </w:tc>
      </w:tr>
      <w:tr w14:paraId="28D4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6" w:type="dxa"/>
            <w:gridSpan w:val="2"/>
            <w:noWrap w:val="0"/>
            <w:vAlign w:val="center"/>
          </w:tcPr>
          <w:p w14:paraId="7229113E">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项目概况与招标范围</w:t>
            </w:r>
          </w:p>
        </w:tc>
      </w:tr>
      <w:tr w14:paraId="21E1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9788F0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招标项目名称</w:t>
            </w:r>
          </w:p>
        </w:tc>
        <w:tc>
          <w:tcPr>
            <w:tcW w:w="8313" w:type="dxa"/>
            <w:noWrap w:val="0"/>
            <w:vAlign w:val="center"/>
          </w:tcPr>
          <w:p w14:paraId="0D1F6F1F">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中新苏滁高新区超级电容智能制造基地监理项目</w:t>
            </w:r>
          </w:p>
        </w:tc>
      </w:tr>
      <w:tr w14:paraId="4690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3" w:type="dxa"/>
            <w:noWrap w:val="0"/>
            <w:vAlign w:val="center"/>
          </w:tcPr>
          <w:p w14:paraId="335F799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招标项目编号</w:t>
            </w:r>
          </w:p>
        </w:tc>
        <w:tc>
          <w:tcPr>
            <w:tcW w:w="8313" w:type="dxa"/>
            <w:noWrap w:val="0"/>
            <w:vAlign w:val="center"/>
          </w:tcPr>
          <w:p w14:paraId="71326B35">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czsjgc20250</w:t>
            </w:r>
            <w:r>
              <w:rPr>
                <w:rFonts w:hint="eastAsia" w:ascii="宋体" w:hAnsi="宋体" w:cs="宋体"/>
                <w:color w:val="auto"/>
                <w:sz w:val="21"/>
                <w:szCs w:val="21"/>
                <w:highlight w:val="none"/>
                <w:lang w:val="en-US" w:eastAsia="zh-CN"/>
              </w:rPr>
              <w:t>8-009</w:t>
            </w:r>
          </w:p>
        </w:tc>
      </w:tr>
      <w:tr w14:paraId="7439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33" w:type="dxa"/>
            <w:noWrap w:val="0"/>
            <w:vAlign w:val="center"/>
          </w:tcPr>
          <w:p w14:paraId="3CFD6A7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标段划分</w:t>
            </w:r>
          </w:p>
        </w:tc>
        <w:tc>
          <w:tcPr>
            <w:tcW w:w="8313" w:type="dxa"/>
            <w:noWrap w:val="0"/>
            <w:vAlign w:val="center"/>
          </w:tcPr>
          <w:p w14:paraId="35F9597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一个标段</w:t>
            </w:r>
          </w:p>
        </w:tc>
      </w:tr>
      <w:tr w14:paraId="2E9E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630AA3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招标项目标段编号</w:t>
            </w:r>
          </w:p>
        </w:tc>
        <w:tc>
          <w:tcPr>
            <w:tcW w:w="8313" w:type="dxa"/>
            <w:noWrap w:val="0"/>
            <w:vAlign w:val="center"/>
          </w:tcPr>
          <w:p w14:paraId="58DE40F4">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czsjgc20250</w:t>
            </w:r>
            <w:r>
              <w:rPr>
                <w:rFonts w:hint="eastAsia" w:ascii="宋体" w:hAnsi="宋体" w:cs="宋体"/>
                <w:color w:val="auto"/>
                <w:sz w:val="21"/>
                <w:szCs w:val="21"/>
                <w:highlight w:val="none"/>
                <w:lang w:val="en-US" w:eastAsia="zh-CN"/>
              </w:rPr>
              <w:t>8-009</w:t>
            </w:r>
          </w:p>
        </w:tc>
      </w:tr>
      <w:tr w14:paraId="6C14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3" w:type="dxa"/>
            <w:noWrap w:val="0"/>
            <w:vAlign w:val="center"/>
          </w:tcPr>
          <w:p w14:paraId="24EDEF1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建设地点</w:t>
            </w:r>
          </w:p>
        </w:tc>
        <w:tc>
          <w:tcPr>
            <w:tcW w:w="8313" w:type="dxa"/>
            <w:noWrap w:val="0"/>
            <w:vAlign w:val="center"/>
          </w:tcPr>
          <w:p w14:paraId="2346EA12">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滁州市中新苏滁高新区</w:t>
            </w:r>
          </w:p>
        </w:tc>
      </w:tr>
      <w:tr w14:paraId="00EF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B562D2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建设规模</w:t>
            </w:r>
          </w:p>
        </w:tc>
        <w:tc>
          <w:tcPr>
            <w:tcW w:w="8313" w:type="dxa"/>
            <w:noWrap w:val="0"/>
            <w:vAlign w:val="center"/>
          </w:tcPr>
          <w:p w14:paraId="11C956CF">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本项目位于中新苏滁高新区内，用地面积约8.8万平方米，建筑面积约7.7万平方米，</w:t>
            </w:r>
            <w:r>
              <w:rPr>
                <w:rFonts w:hint="eastAsia" w:ascii="宋体" w:hAnsi="宋体" w:cs="宋体"/>
                <w:color w:val="auto"/>
                <w:sz w:val="21"/>
                <w:szCs w:val="21"/>
                <w:highlight w:val="none"/>
                <w:lang w:val="en-US" w:eastAsia="zh-CN"/>
              </w:rPr>
              <w:t>最大单体建筑面积约3.2万平方米，</w:t>
            </w:r>
            <w:r>
              <w:rPr>
                <w:rFonts w:hint="eastAsia" w:ascii="宋体" w:hAnsi="宋体" w:eastAsia="宋体" w:cs="宋体"/>
                <w:color w:val="auto"/>
                <w:sz w:val="21"/>
                <w:szCs w:val="21"/>
                <w:highlight w:val="none"/>
                <w:lang w:val="en-US" w:eastAsia="zh-CN"/>
              </w:rPr>
              <w:t>最大单跨跨度为27.5米。</w:t>
            </w:r>
          </w:p>
        </w:tc>
      </w:tr>
      <w:tr w14:paraId="56B4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EEB4D1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合同估算价</w:t>
            </w:r>
          </w:p>
        </w:tc>
        <w:tc>
          <w:tcPr>
            <w:tcW w:w="8313" w:type="dxa"/>
            <w:noWrap w:val="0"/>
            <w:vAlign w:val="center"/>
          </w:tcPr>
          <w:p w14:paraId="0FA75952">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项目投资约</w:t>
            </w:r>
            <w:r>
              <w:rPr>
                <w:rFonts w:hint="eastAsia" w:ascii="宋体" w:hAnsi="宋体" w:cs="宋体"/>
                <w:color w:val="auto"/>
                <w:sz w:val="21"/>
                <w:szCs w:val="21"/>
                <w:highlight w:val="none"/>
                <w:lang w:val="en-US" w:eastAsia="zh-CN"/>
              </w:rPr>
              <w:t>20000</w:t>
            </w:r>
            <w:r>
              <w:rPr>
                <w:rFonts w:hint="eastAsia" w:ascii="宋体" w:hAnsi="宋体" w:eastAsia="宋体" w:cs="宋体"/>
                <w:color w:val="auto"/>
                <w:sz w:val="21"/>
                <w:szCs w:val="21"/>
                <w:highlight w:val="none"/>
                <w:lang w:val="en-US" w:eastAsia="zh-CN"/>
              </w:rPr>
              <w:t>万元，服务费用约</w:t>
            </w:r>
            <w:r>
              <w:rPr>
                <w:rFonts w:hint="eastAsia" w:ascii="宋体" w:hAnsi="宋体" w:cs="宋体"/>
                <w:color w:val="auto"/>
                <w:sz w:val="21"/>
                <w:szCs w:val="21"/>
                <w:highlight w:val="none"/>
                <w:lang w:val="en-US" w:eastAsia="zh-CN"/>
              </w:rPr>
              <w:t>160</w:t>
            </w:r>
            <w:r>
              <w:rPr>
                <w:rFonts w:hint="eastAsia" w:ascii="宋体" w:hAnsi="宋体" w:eastAsia="宋体" w:cs="宋体"/>
                <w:color w:val="auto"/>
                <w:sz w:val="21"/>
                <w:szCs w:val="21"/>
                <w:highlight w:val="none"/>
                <w:lang w:val="en-US" w:eastAsia="zh-CN"/>
              </w:rPr>
              <w:t>万元。</w:t>
            </w:r>
          </w:p>
        </w:tc>
      </w:tr>
      <w:tr w14:paraId="031A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3" w:type="dxa"/>
            <w:noWrap w:val="0"/>
            <w:vAlign w:val="center"/>
          </w:tcPr>
          <w:p w14:paraId="1F7ADC5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计划工期</w:t>
            </w:r>
          </w:p>
        </w:tc>
        <w:tc>
          <w:tcPr>
            <w:tcW w:w="8313" w:type="dxa"/>
            <w:noWrap w:val="0"/>
            <w:vAlign w:val="center"/>
          </w:tcPr>
          <w:p w14:paraId="780365D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详见招标文件</w:t>
            </w:r>
          </w:p>
        </w:tc>
      </w:tr>
      <w:tr w14:paraId="656E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1D2A6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招标范围</w:t>
            </w:r>
          </w:p>
        </w:tc>
        <w:tc>
          <w:tcPr>
            <w:tcW w:w="8313" w:type="dxa"/>
            <w:noWrap w:val="0"/>
            <w:vAlign w:val="center"/>
          </w:tcPr>
          <w:p w14:paraId="1FBF2627">
            <w:pPr>
              <w:keepNext w:val="0"/>
              <w:keepLines w:val="0"/>
              <w:pageBreakBefore w:val="0"/>
              <w:widowControl/>
              <w:numPr>
                <w:ilvl w:val="0"/>
                <w:numId w:val="0"/>
              </w:numPr>
              <w:kinsoku/>
              <w:wordWrap w:val="0"/>
              <w:overflowPunct/>
              <w:topLinePunct w:val="0"/>
              <w:autoSpaceDE/>
              <w:autoSpaceDN/>
              <w:bidi w:val="0"/>
              <w:adjustRightInd/>
              <w:snapToGrid/>
              <w:spacing w:line="500" w:lineRule="exact"/>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包括但不限于施工准备阶段、施工阶段、工程收尾阶段（包括但不限于竣工验收、整改、工程移交、工程结算等）及工程质量保修阶段的质量控制、进度控制、投资控制、职业健康安全及环境监督管理、合同管理、信息管理、组织协调、工程创优等所有方面进行全面控制和管理的</w:t>
            </w:r>
            <w:r>
              <w:rPr>
                <w:rFonts w:hint="eastAsia" w:ascii="宋体" w:hAnsi="宋体" w:cs="宋体"/>
                <w:color w:val="auto"/>
                <w:sz w:val="21"/>
                <w:szCs w:val="21"/>
                <w:highlight w:val="none"/>
                <w:lang w:val="en-US" w:eastAsia="zh-CN"/>
              </w:rPr>
              <w:t>工程建设期内的所有监理服务。</w:t>
            </w:r>
          </w:p>
          <w:p w14:paraId="695C806F">
            <w:pPr>
              <w:pStyle w:val="45"/>
              <w:numPr>
                <w:ilvl w:val="0"/>
                <w:numId w:val="0"/>
              </w:numPr>
              <w:rPr>
                <w:rFonts w:hint="default"/>
                <w:color w:val="auto"/>
                <w:highlight w:val="none"/>
                <w:lang w:val="en-US" w:eastAsia="zh-CN"/>
              </w:rPr>
            </w:pPr>
            <w:r>
              <w:rPr>
                <w:rFonts w:hint="eastAsia"/>
                <w:color w:val="auto"/>
                <w:highlight w:val="none"/>
                <w:lang w:val="en-US" w:eastAsia="zh-CN"/>
              </w:rPr>
              <w:t>2.其他未尽事宜详见招标文件第五章监理内容和要求。</w:t>
            </w:r>
          </w:p>
        </w:tc>
      </w:tr>
      <w:tr w14:paraId="47D5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D29CA4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项目类别</w:t>
            </w:r>
          </w:p>
        </w:tc>
        <w:tc>
          <w:tcPr>
            <w:tcW w:w="8313" w:type="dxa"/>
            <w:noWrap w:val="0"/>
            <w:vAlign w:val="center"/>
          </w:tcPr>
          <w:p w14:paraId="777EB938">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建筑工程</w:t>
            </w:r>
          </w:p>
        </w:tc>
      </w:tr>
      <w:tr w14:paraId="02D3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12B114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8313" w:type="dxa"/>
            <w:noWrap w:val="0"/>
            <w:vAlign w:val="center"/>
          </w:tcPr>
          <w:p w14:paraId="66554CB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6D43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6" w:type="dxa"/>
            <w:gridSpan w:val="2"/>
            <w:noWrap w:val="0"/>
            <w:vAlign w:val="center"/>
          </w:tcPr>
          <w:p w14:paraId="5AEAD5C0">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投标人资格要求</w:t>
            </w:r>
          </w:p>
        </w:tc>
      </w:tr>
      <w:tr w14:paraId="4848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7DED8A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投标人资质要求</w:t>
            </w:r>
          </w:p>
        </w:tc>
        <w:tc>
          <w:tcPr>
            <w:tcW w:w="8313" w:type="dxa"/>
            <w:noWrap w:val="0"/>
            <w:vAlign w:val="center"/>
          </w:tcPr>
          <w:p w14:paraId="6266E71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投标人须具备建设行政主管部门颁发的监理综合资质或建设行政主管部门颁发的房屋建筑工程监理甲级资质</w:t>
            </w:r>
          </w:p>
        </w:tc>
      </w:tr>
      <w:tr w14:paraId="40094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2DED78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cs="宋体"/>
                <w:bCs/>
                <w:snapToGrid w:val="0"/>
                <w:color w:val="auto"/>
                <w:kern w:val="0"/>
                <w:sz w:val="21"/>
                <w:szCs w:val="21"/>
                <w:highlight w:val="none"/>
                <w:lang w:val="en-US" w:eastAsia="zh-CN"/>
              </w:rPr>
              <w:t>项目负责人（总监理工程师）资格要求</w:t>
            </w:r>
          </w:p>
        </w:tc>
        <w:tc>
          <w:tcPr>
            <w:tcW w:w="8313" w:type="dxa"/>
            <w:noWrap w:val="0"/>
            <w:vAlign w:val="center"/>
          </w:tcPr>
          <w:p w14:paraId="6C481E6D">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具有房屋建筑工程专业国家级注册监理工程师证书，且在投标单位注册</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拟派的</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负责人（总监理工程师）在本项目所在市行政区域外无在建，在本项目所在市行政区域内不多于两个在建项目，如有在建项目，需在建项目</w:t>
            </w:r>
            <w:r>
              <w:rPr>
                <w:rFonts w:hint="eastAsia" w:ascii="宋体" w:hAnsi="宋体" w:eastAsia="宋体" w:cs="宋体"/>
                <w:color w:val="auto"/>
                <w:sz w:val="21"/>
                <w:szCs w:val="21"/>
                <w:highlight w:val="none"/>
                <w:lang w:val="en-US" w:eastAsia="zh-CN"/>
              </w:rPr>
              <w:t>所属</w:t>
            </w:r>
            <w:r>
              <w:rPr>
                <w:rFonts w:hint="eastAsia" w:ascii="宋体" w:hAnsi="宋体" w:eastAsia="宋体" w:cs="宋体"/>
                <w:color w:val="auto"/>
                <w:sz w:val="21"/>
                <w:szCs w:val="21"/>
                <w:highlight w:val="none"/>
              </w:rPr>
              <w:t>建设单位书面同意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本项目不接受投标截止时间前六个月内在滁州市区域内办理过项目负责人（总监理工程师）变更备案手续的原项目负责人作为拟任</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负责人（总监理工程师）参加投标。</w:t>
            </w:r>
          </w:p>
          <w:p w14:paraId="01D5A2B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在建项目</w:t>
            </w:r>
            <w:r>
              <w:rPr>
                <w:rFonts w:hint="eastAsia" w:ascii="宋体" w:hAnsi="宋体" w:eastAsia="宋体" w:cs="宋体"/>
                <w:b/>
                <w:bCs/>
                <w:color w:val="auto"/>
                <w:sz w:val="21"/>
                <w:szCs w:val="21"/>
                <w:highlight w:val="none"/>
              </w:rPr>
              <w:t>是指以项目负责人（总监理工程师）的身份承担其他尚未完工（以竣工或交工或完工验收报告等手续为准）的项目或已中标的项目（以</w:t>
            </w:r>
            <w:r>
              <w:rPr>
                <w:rFonts w:hint="eastAsia" w:ascii="宋体" w:hAnsi="宋体" w:eastAsia="宋体" w:cs="宋体"/>
                <w:b/>
                <w:bCs/>
                <w:color w:val="auto"/>
                <w:sz w:val="21"/>
                <w:szCs w:val="21"/>
                <w:highlight w:val="none"/>
                <w:lang w:val="en-US" w:eastAsia="zh-CN"/>
              </w:rPr>
              <w:t>发放中标通知书</w:t>
            </w:r>
            <w:r>
              <w:rPr>
                <w:rFonts w:hint="eastAsia" w:ascii="宋体" w:hAnsi="宋体" w:eastAsia="宋体" w:cs="宋体"/>
                <w:b/>
                <w:bCs/>
                <w:color w:val="auto"/>
                <w:sz w:val="21"/>
                <w:szCs w:val="21"/>
                <w:highlight w:val="none"/>
              </w:rPr>
              <w:t>为准）。</w:t>
            </w:r>
          </w:p>
        </w:tc>
      </w:tr>
      <w:tr w14:paraId="09D1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DEA9FC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信誉要求</w:t>
            </w:r>
          </w:p>
        </w:tc>
        <w:tc>
          <w:tcPr>
            <w:tcW w:w="8313" w:type="dxa"/>
            <w:noWrap w:val="0"/>
            <w:vAlign w:val="center"/>
          </w:tcPr>
          <w:p w14:paraId="03053D7E">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投标人存在以下情形之一的，不得被确定为中标人：</w:t>
            </w:r>
          </w:p>
          <w:p w14:paraId="362579C0">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①被列入“信用中国”网站“失信被执行人”的;</w:t>
            </w:r>
          </w:p>
          <w:p w14:paraId="01B358E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②被列入“信用中国”网站“重大税收违法失信主体”的；</w:t>
            </w:r>
          </w:p>
          <w:p w14:paraId="4AD6BDE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③被列入“信用中国”网站“拖欠农民工工资失信联合惩戒对象名单”的；</w:t>
            </w:r>
          </w:p>
          <w:p w14:paraId="5463378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④被列入“信用中国”网站 “严重失信主体名单”的；</w:t>
            </w:r>
          </w:p>
          <w:p w14:paraId="23199F6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⑤在“信用中国”网站上披露的仍在公示期的严重失信行为(具体行为类别及判定依据见附件2)的。</w:t>
            </w:r>
          </w:p>
          <w:p w14:paraId="2DD08FBF">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⑥被列入国家企业信用信息公示系统网站“经营异常名录”或者“严重违法失信名单”的。</w:t>
            </w:r>
          </w:p>
          <w:p w14:paraId="77E61C3A">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⑦前三年有行贿犯罪行为的单位和个人；</w:t>
            </w:r>
          </w:p>
          <w:p w14:paraId="264FBB68">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⑧被滁州市县两级公管部门及各行业主管部门取消在一定期限内的投标资格且在取消期限内的；</w:t>
            </w:r>
          </w:p>
          <w:p w14:paraId="55A329E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⑨因拖欠农民工工资被县级及以上有关行政主管部门限制投标资格且在限制期限内的；</w:t>
            </w:r>
          </w:p>
          <w:p w14:paraId="2A1CD01A">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6A07101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投标人所属分公司、办事处等分支机构存在第1条信誉要求①-⑩项情形之一的，接受其被确定为中标人。</w:t>
            </w:r>
          </w:p>
          <w:p w14:paraId="0C23AC12">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备注：第1、2条按照附件1“关于联合惩戒失信行为加强信用查询管理的通知”查询或承诺。</w:t>
            </w:r>
          </w:p>
        </w:tc>
      </w:tr>
      <w:tr w14:paraId="3F71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933" w:type="dxa"/>
            <w:noWrap w:val="0"/>
            <w:vAlign w:val="center"/>
          </w:tcPr>
          <w:p w14:paraId="72C20D9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联合体投标</w:t>
            </w:r>
          </w:p>
        </w:tc>
        <w:tc>
          <w:tcPr>
            <w:tcW w:w="8313" w:type="dxa"/>
            <w:noWrap w:val="0"/>
            <w:vAlign w:val="center"/>
          </w:tcPr>
          <w:p w14:paraId="7DE36563">
            <w:pPr>
              <w:pStyle w:val="45"/>
              <w:keepNext w:val="0"/>
              <w:keepLines w:val="0"/>
              <w:pageBreakBefore w:val="0"/>
              <w:kinsoku/>
              <w:overflowPunct/>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本次不接受联合体投标</w:t>
            </w:r>
            <w:r>
              <w:rPr>
                <w:rFonts w:hint="eastAsia" w:ascii="宋体" w:hAnsi="宋体" w:eastAsia="宋体" w:cs="宋体"/>
                <w:color w:val="auto"/>
                <w:sz w:val="21"/>
                <w:szCs w:val="21"/>
                <w:highlight w:val="none"/>
                <w:lang w:eastAsia="zh-CN"/>
              </w:rPr>
              <w:t>。</w:t>
            </w:r>
          </w:p>
        </w:tc>
      </w:tr>
      <w:tr w14:paraId="183D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DFD2AA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多标段投标</w:t>
            </w:r>
          </w:p>
        </w:tc>
        <w:tc>
          <w:tcPr>
            <w:tcW w:w="8313" w:type="dxa"/>
            <w:noWrap w:val="0"/>
            <w:vAlign w:val="center"/>
          </w:tcPr>
          <w:p w14:paraId="2E75ACBA">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5A55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EF24AA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其他要求</w:t>
            </w:r>
          </w:p>
        </w:tc>
        <w:tc>
          <w:tcPr>
            <w:tcW w:w="8313" w:type="dxa"/>
            <w:noWrap w:val="0"/>
            <w:vAlign w:val="center"/>
          </w:tcPr>
          <w:p w14:paraId="4EA8A208">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w:t>
            </w:r>
          </w:p>
        </w:tc>
      </w:tr>
      <w:tr w14:paraId="6639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6" w:type="dxa"/>
            <w:gridSpan w:val="2"/>
            <w:noWrap w:val="0"/>
            <w:vAlign w:val="center"/>
          </w:tcPr>
          <w:p w14:paraId="441DBF39">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招标文件的获取</w:t>
            </w:r>
          </w:p>
        </w:tc>
      </w:tr>
      <w:tr w14:paraId="19C9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933" w:type="dxa"/>
            <w:noWrap w:val="0"/>
            <w:vAlign w:val="center"/>
          </w:tcPr>
          <w:p w14:paraId="33B6C0E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获取时间</w:t>
            </w:r>
          </w:p>
        </w:tc>
        <w:tc>
          <w:tcPr>
            <w:tcW w:w="8313" w:type="dxa"/>
            <w:noWrap w:val="0"/>
            <w:vAlign w:val="center"/>
          </w:tcPr>
          <w:p w14:paraId="3C411A35">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Cs/>
                <w:snapToGrid w:val="0"/>
                <w:color w:val="auto"/>
                <w:kern w:val="0"/>
                <w:sz w:val="21"/>
                <w:szCs w:val="21"/>
                <w:highlight w:val="none"/>
                <w:u w:val="single"/>
                <w:lang w:val="en-US" w:eastAsia="zh-CN"/>
              </w:rPr>
              <w:t>2025</w:t>
            </w:r>
            <w:r>
              <w:rPr>
                <w:rFonts w:hint="eastAsia" w:ascii="宋体" w:hAnsi="宋体" w:eastAsia="宋体" w:cs="宋体"/>
                <w:bCs/>
                <w:snapToGrid w:val="0"/>
                <w:color w:val="auto"/>
                <w:kern w:val="0"/>
                <w:sz w:val="21"/>
                <w:szCs w:val="21"/>
                <w:highlight w:val="none"/>
              </w:rPr>
              <w:t>年</w:t>
            </w:r>
            <w:r>
              <w:rPr>
                <w:rFonts w:hint="eastAsia" w:ascii="宋体" w:hAnsi="宋体" w:eastAsia="宋体" w:cs="宋体"/>
                <w:bCs/>
                <w:snapToGrid w:val="0"/>
                <w:color w:val="auto"/>
                <w:kern w:val="0"/>
                <w:sz w:val="21"/>
                <w:szCs w:val="21"/>
                <w:highlight w:val="none"/>
                <w:u w:val="single"/>
                <w:lang w:val="en-US" w:eastAsia="zh-CN"/>
              </w:rPr>
              <w:t xml:space="preserve"> </w:t>
            </w:r>
            <w:r>
              <w:rPr>
                <w:rFonts w:hint="eastAsia" w:ascii="宋体" w:hAnsi="宋体" w:cs="宋体"/>
                <w:bCs/>
                <w:snapToGrid w:val="0"/>
                <w:color w:val="auto"/>
                <w:kern w:val="0"/>
                <w:sz w:val="21"/>
                <w:szCs w:val="21"/>
                <w:highlight w:val="none"/>
                <w:u w:val="single"/>
                <w:lang w:val="en-US" w:eastAsia="zh-CN"/>
              </w:rPr>
              <w:t>8</w:t>
            </w:r>
            <w:r>
              <w:rPr>
                <w:rFonts w:hint="eastAsia" w:ascii="宋体" w:hAnsi="宋体" w:eastAsia="宋体" w:cs="宋体"/>
                <w:bCs/>
                <w:snapToGrid w:val="0"/>
                <w:color w:val="auto"/>
                <w:kern w:val="0"/>
                <w:sz w:val="21"/>
                <w:szCs w:val="21"/>
                <w:highlight w:val="none"/>
                <w:u w:val="single"/>
                <w:lang w:val="en-US" w:eastAsia="zh-CN"/>
              </w:rPr>
              <w:t xml:space="preserve"> </w:t>
            </w:r>
            <w:r>
              <w:rPr>
                <w:rFonts w:hint="eastAsia" w:ascii="宋体" w:hAnsi="宋体" w:eastAsia="宋体" w:cs="宋体"/>
                <w:bCs/>
                <w:snapToGrid w:val="0"/>
                <w:color w:val="auto"/>
                <w:kern w:val="0"/>
                <w:sz w:val="21"/>
                <w:szCs w:val="21"/>
                <w:highlight w:val="none"/>
              </w:rPr>
              <w:t>月</w:t>
            </w:r>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cs="宋体"/>
                <w:bCs/>
                <w:snapToGrid w:val="0"/>
                <w:color w:val="auto"/>
                <w:kern w:val="0"/>
                <w:sz w:val="21"/>
                <w:szCs w:val="21"/>
                <w:highlight w:val="none"/>
                <w:u w:val="single"/>
                <w:lang w:val="en-US" w:eastAsia="zh-CN"/>
              </w:rPr>
              <w:t>20</w:t>
            </w:r>
            <w:r>
              <w:rPr>
                <w:rFonts w:hint="eastAsia" w:ascii="宋体" w:hAnsi="宋体" w:eastAsia="宋体" w:cs="宋体"/>
                <w:bCs/>
                <w:snapToGrid w:val="0"/>
                <w:color w:val="auto"/>
                <w:kern w:val="0"/>
                <w:sz w:val="21"/>
                <w:szCs w:val="21"/>
                <w:highlight w:val="none"/>
              </w:rPr>
              <w:t>日</w:t>
            </w:r>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cs="宋体"/>
                <w:bCs/>
                <w:snapToGrid w:val="0"/>
                <w:color w:val="auto"/>
                <w:kern w:val="0"/>
                <w:sz w:val="21"/>
                <w:szCs w:val="21"/>
                <w:highlight w:val="none"/>
                <w:u w:val="single"/>
                <w:lang w:val="en-US" w:eastAsia="zh-CN"/>
              </w:rPr>
              <w:t>17</w:t>
            </w:r>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eastAsia="宋体" w:cs="宋体"/>
                <w:bCs/>
                <w:snapToGrid w:val="0"/>
                <w:color w:val="auto"/>
                <w:kern w:val="0"/>
                <w:sz w:val="21"/>
                <w:szCs w:val="21"/>
                <w:highlight w:val="none"/>
              </w:rPr>
              <w:t>时</w:t>
            </w:r>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eastAsia="宋体" w:cs="宋体"/>
                <w:bCs/>
                <w:snapToGrid w:val="0"/>
                <w:color w:val="auto"/>
                <w:kern w:val="0"/>
                <w:sz w:val="21"/>
                <w:szCs w:val="21"/>
                <w:highlight w:val="none"/>
                <w:u w:val="single"/>
                <w:lang w:val="en-US" w:eastAsia="zh-CN"/>
              </w:rPr>
              <w:t>00</w:t>
            </w:r>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eastAsia="宋体" w:cs="宋体"/>
                <w:bCs/>
                <w:snapToGrid w:val="0"/>
                <w:color w:val="auto"/>
                <w:kern w:val="0"/>
                <w:sz w:val="21"/>
                <w:szCs w:val="21"/>
                <w:highlight w:val="none"/>
              </w:rPr>
              <w:t>分至</w:t>
            </w:r>
            <w:r>
              <w:rPr>
                <w:rFonts w:hint="eastAsia" w:ascii="宋体" w:hAnsi="宋体" w:eastAsia="宋体" w:cs="宋体"/>
                <w:bCs/>
                <w:snapToGrid w:val="0"/>
                <w:color w:val="auto"/>
                <w:kern w:val="0"/>
                <w:sz w:val="21"/>
                <w:szCs w:val="21"/>
                <w:highlight w:val="none"/>
                <w:u w:val="single"/>
                <w:lang w:val="en-US" w:eastAsia="zh-CN"/>
              </w:rPr>
              <w:t>2025</w:t>
            </w:r>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eastAsia="宋体" w:cs="宋体"/>
                <w:bCs/>
                <w:snapToGrid w:val="0"/>
                <w:color w:val="auto"/>
                <w:kern w:val="0"/>
                <w:sz w:val="21"/>
                <w:szCs w:val="21"/>
                <w:highlight w:val="none"/>
              </w:rPr>
              <w:t>年</w:t>
            </w:r>
            <w:r>
              <w:rPr>
                <w:rFonts w:hint="eastAsia" w:ascii="宋体" w:hAnsi="宋体" w:eastAsia="宋体" w:cs="宋体"/>
                <w:bCs/>
                <w:snapToGrid w:val="0"/>
                <w:color w:val="auto"/>
                <w:kern w:val="0"/>
                <w:sz w:val="21"/>
                <w:szCs w:val="21"/>
                <w:highlight w:val="none"/>
                <w:u w:val="single"/>
                <w:lang w:val="en-US" w:eastAsia="zh-CN"/>
              </w:rPr>
              <w:t xml:space="preserve"> </w:t>
            </w:r>
            <w:r>
              <w:rPr>
                <w:rFonts w:hint="eastAsia" w:ascii="宋体" w:hAnsi="宋体" w:cs="宋体"/>
                <w:bCs/>
                <w:snapToGrid w:val="0"/>
                <w:color w:val="auto"/>
                <w:kern w:val="0"/>
                <w:sz w:val="21"/>
                <w:szCs w:val="21"/>
                <w:highlight w:val="none"/>
                <w:u w:val="single"/>
                <w:lang w:val="en-US" w:eastAsia="zh-CN"/>
              </w:rPr>
              <w:t xml:space="preserve">9 </w:t>
            </w:r>
            <w:r>
              <w:rPr>
                <w:rFonts w:hint="eastAsia" w:ascii="宋体" w:hAnsi="宋体" w:eastAsia="宋体" w:cs="宋体"/>
                <w:bCs/>
                <w:snapToGrid w:val="0"/>
                <w:color w:val="auto"/>
                <w:kern w:val="0"/>
                <w:sz w:val="21"/>
                <w:szCs w:val="21"/>
                <w:highlight w:val="none"/>
              </w:rPr>
              <w:t>月</w:t>
            </w:r>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cs="宋体"/>
                <w:bCs/>
                <w:snapToGrid w:val="0"/>
                <w:color w:val="auto"/>
                <w:kern w:val="0"/>
                <w:sz w:val="21"/>
                <w:szCs w:val="21"/>
                <w:highlight w:val="none"/>
                <w:u w:val="single"/>
                <w:lang w:val="en-US" w:eastAsia="zh-CN"/>
              </w:rPr>
              <w:t>10</w:t>
            </w:r>
            <w:r>
              <w:rPr>
                <w:rFonts w:hint="eastAsia" w:ascii="宋体" w:hAnsi="宋体" w:eastAsia="宋体" w:cs="宋体"/>
                <w:bCs/>
                <w:snapToGrid w:val="0"/>
                <w:color w:val="auto"/>
                <w:kern w:val="0"/>
                <w:sz w:val="21"/>
                <w:szCs w:val="21"/>
                <w:highlight w:val="none"/>
              </w:rPr>
              <w:t>日</w:t>
            </w:r>
            <w:r>
              <w:rPr>
                <w:rFonts w:hint="eastAsia" w:ascii="宋体" w:hAnsi="宋体" w:eastAsia="宋体" w:cs="宋体"/>
                <w:bCs/>
                <w:snapToGrid w:val="0"/>
                <w:color w:val="auto"/>
                <w:kern w:val="0"/>
                <w:sz w:val="21"/>
                <w:szCs w:val="21"/>
                <w:highlight w:val="none"/>
                <w:u w:val="single"/>
                <w:lang w:val="en-US" w:eastAsia="zh-CN"/>
              </w:rPr>
              <w:t xml:space="preserve"> 8 </w:t>
            </w:r>
            <w:r>
              <w:rPr>
                <w:rFonts w:hint="eastAsia" w:ascii="宋体" w:hAnsi="宋体" w:eastAsia="宋体" w:cs="宋体"/>
                <w:bCs/>
                <w:snapToGrid w:val="0"/>
                <w:color w:val="auto"/>
                <w:kern w:val="0"/>
                <w:sz w:val="21"/>
                <w:szCs w:val="21"/>
                <w:highlight w:val="none"/>
              </w:rPr>
              <w:t xml:space="preserve">时 </w:t>
            </w:r>
            <w:r>
              <w:rPr>
                <w:rFonts w:hint="eastAsia" w:ascii="宋体" w:hAnsi="宋体" w:eastAsia="宋体" w:cs="宋体"/>
                <w:bCs/>
                <w:snapToGrid w:val="0"/>
                <w:color w:val="auto"/>
                <w:kern w:val="0"/>
                <w:sz w:val="21"/>
                <w:szCs w:val="21"/>
                <w:highlight w:val="none"/>
                <w:u w:val="single"/>
                <w:lang w:val="en-US" w:eastAsia="zh-CN"/>
              </w:rPr>
              <w:t>00</w:t>
            </w:r>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eastAsia="宋体" w:cs="宋体"/>
                <w:bCs/>
                <w:snapToGrid w:val="0"/>
                <w:color w:val="auto"/>
                <w:kern w:val="0"/>
                <w:sz w:val="21"/>
                <w:szCs w:val="21"/>
                <w:highlight w:val="none"/>
              </w:rPr>
              <w:t>分。</w:t>
            </w:r>
          </w:p>
        </w:tc>
      </w:tr>
      <w:tr w14:paraId="0D8CA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0EBC66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获取方式</w:t>
            </w:r>
          </w:p>
        </w:tc>
        <w:tc>
          <w:tcPr>
            <w:tcW w:w="8313" w:type="dxa"/>
            <w:noWrap w:val="0"/>
            <w:vAlign w:val="center"/>
          </w:tcPr>
          <w:p w14:paraId="1058EF6B">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bCs/>
                <w:snapToGrid w:val="0"/>
                <w:color w:val="auto"/>
                <w:kern w:val="0"/>
                <w:sz w:val="21"/>
                <w:szCs w:val="21"/>
                <w:highlight w:val="none"/>
                <w:u w:val="none"/>
              </w:rPr>
            </w:pPr>
            <w:r>
              <w:rPr>
                <w:rFonts w:hint="eastAsia" w:ascii="宋体" w:hAnsi="宋体" w:eastAsia="宋体" w:cs="宋体"/>
                <w:bCs/>
                <w:snapToGrid w:val="0"/>
                <w:color w:val="auto"/>
                <w:kern w:val="0"/>
                <w:sz w:val="21"/>
                <w:szCs w:val="21"/>
                <w:highlight w:val="none"/>
                <w:lang w:val="en-US" w:eastAsia="zh-CN"/>
              </w:rPr>
              <w:t>1.</w:t>
            </w:r>
            <w:r>
              <w:rPr>
                <w:rFonts w:hint="eastAsia" w:ascii="宋体" w:hAnsi="宋体" w:eastAsia="宋体" w:cs="宋体"/>
                <w:bCs/>
                <w:snapToGrid w:val="0"/>
                <w:color w:val="auto"/>
                <w:kern w:val="0"/>
                <w:sz w:val="21"/>
                <w:szCs w:val="21"/>
                <w:highlight w:val="none"/>
              </w:rPr>
              <w:t>潜在投标人须</w:t>
            </w:r>
            <w:r>
              <w:rPr>
                <w:rFonts w:hint="eastAsia" w:ascii="宋体" w:hAnsi="宋体" w:eastAsia="宋体" w:cs="宋体"/>
                <w:bCs/>
                <w:snapToGrid w:val="0"/>
                <w:color w:val="auto"/>
                <w:kern w:val="0"/>
                <w:sz w:val="21"/>
                <w:szCs w:val="21"/>
                <w:highlight w:val="none"/>
                <w:u w:val="none"/>
              </w:rPr>
              <w:t>登录滁州市公共资源交易中心网站（http://ggzy.chuzhou.gov.cn/）查阅并下载电子招标文件。</w:t>
            </w:r>
          </w:p>
          <w:p w14:paraId="22277C61">
            <w:pPr>
              <w:keepNext w:val="0"/>
              <w:keepLines w:val="0"/>
              <w:pageBreakBefore w:val="0"/>
              <w:widowControl/>
              <w:kinsoku/>
              <w:wordWrap/>
              <w:overflowPunct/>
              <w:topLinePunct/>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Cs/>
                <w:snapToGrid w:val="0"/>
                <w:color w:val="auto"/>
                <w:kern w:val="0"/>
                <w:sz w:val="21"/>
                <w:szCs w:val="21"/>
                <w:highlight w:val="none"/>
                <w:lang w:val="en-US" w:eastAsia="zh-CN"/>
              </w:rPr>
              <w:t>2.</w:t>
            </w:r>
            <w:r>
              <w:rPr>
                <w:rFonts w:hint="eastAsia" w:ascii="宋体" w:hAnsi="宋体" w:eastAsia="宋体" w:cs="宋体"/>
                <w:bCs/>
                <w:snapToGrid w:val="0"/>
                <w:color w:val="auto"/>
                <w:kern w:val="0"/>
                <w:sz w:val="21"/>
                <w:szCs w:val="21"/>
                <w:highlight w:val="none"/>
              </w:rPr>
              <w:t>招标文件获取过程中有任何疑问，请在工作时间（工作时间：工作日8:00-12:00,14:30-17:30）拨打0550-3801701。</w:t>
            </w:r>
          </w:p>
        </w:tc>
      </w:tr>
      <w:tr w14:paraId="28CC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33" w:type="dxa"/>
            <w:noWrap w:val="0"/>
            <w:vAlign w:val="center"/>
          </w:tcPr>
          <w:p w14:paraId="5C62487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招标公告发布时间</w:t>
            </w:r>
          </w:p>
        </w:tc>
        <w:tc>
          <w:tcPr>
            <w:tcW w:w="8313" w:type="dxa"/>
            <w:noWrap w:val="0"/>
            <w:vAlign w:val="center"/>
          </w:tcPr>
          <w:p w14:paraId="52C50775">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日</w:t>
            </w:r>
          </w:p>
        </w:tc>
      </w:tr>
      <w:tr w14:paraId="417A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F4553E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投标文件递交的截止时间</w:t>
            </w:r>
          </w:p>
        </w:tc>
        <w:tc>
          <w:tcPr>
            <w:tcW w:w="8313" w:type="dxa"/>
            <w:noWrap w:val="0"/>
            <w:vAlign w:val="center"/>
          </w:tcPr>
          <w:p w14:paraId="130AF9F2">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分</w:t>
            </w:r>
          </w:p>
        </w:tc>
      </w:tr>
      <w:tr w14:paraId="478C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E89CF1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投标文件递交的方式</w:t>
            </w:r>
          </w:p>
        </w:tc>
        <w:tc>
          <w:tcPr>
            <w:tcW w:w="8313" w:type="dxa"/>
            <w:noWrap w:val="0"/>
            <w:vAlign w:val="center"/>
          </w:tcPr>
          <w:p w14:paraId="0E9C527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投标人应在投标截止时间前通过滁州市公共资源交易中心交易系统递交电子投标文件。</w:t>
            </w:r>
          </w:p>
        </w:tc>
      </w:tr>
      <w:tr w14:paraId="4B07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33" w:type="dxa"/>
            <w:noWrap w:val="0"/>
            <w:vAlign w:val="center"/>
          </w:tcPr>
          <w:p w14:paraId="4E6EAD0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开标时间</w:t>
            </w:r>
          </w:p>
        </w:tc>
        <w:tc>
          <w:tcPr>
            <w:tcW w:w="8313" w:type="dxa"/>
            <w:noWrap w:val="0"/>
            <w:vAlign w:val="center"/>
          </w:tcPr>
          <w:p w14:paraId="62F04D65">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分</w:t>
            </w:r>
          </w:p>
        </w:tc>
      </w:tr>
      <w:tr w14:paraId="364C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933" w:type="dxa"/>
            <w:noWrap w:val="0"/>
            <w:vAlign w:val="center"/>
          </w:tcPr>
          <w:p w14:paraId="6098D48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开标地点</w:t>
            </w:r>
          </w:p>
        </w:tc>
        <w:tc>
          <w:tcPr>
            <w:tcW w:w="8313" w:type="dxa"/>
            <w:noWrap w:val="0"/>
            <w:vAlign w:val="center"/>
          </w:tcPr>
          <w:p w14:paraId="3BB4E66F">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rPr>
              <w:t>网上开标，投标人登录滁州市不见面开标系统参与网上开标（网址：</w:t>
            </w: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HYPERLINK "https://ggzy.chuzhou.gov.cn/BidOpening/bidopeninghallaction/hall/login</w:instrText>
            </w:r>
            <w:r>
              <w:rPr>
                <w:rFonts w:hint="eastAsia" w:ascii="宋体" w:hAnsi="宋体" w:cs="宋体"/>
                <w:color w:val="auto"/>
                <w:kern w:val="0"/>
                <w:szCs w:val="21"/>
                <w:highlight w:val="none"/>
              </w:rPr>
              <w:instrText xml:space="preserve">）。操作手册见</w:instrText>
            </w:r>
            <w:r>
              <w:rPr>
                <w:rFonts w:ascii="宋体" w:hAnsi="宋体" w:cs="宋体"/>
                <w:color w:val="auto"/>
                <w:kern w:val="0"/>
                <w:szCs w:val="21"/>
                <w:highlight w:val="none"/>
              </w:rPr>
              <w:instrText xml:space="preserve">" </w:instrText>
            </w:r>
            <w:r>
              <w:rPr>
                <w:rFonts w:ascii="宋体" w:hAnsi="宋体" w:cs="宋体"/>
                <w:color w:val="auto"/>
                <w:kern w:val="0"/>
                <w:szCs w:val="21"/>
                <w:highlight w:val="none"/>
              </w:rPr>
              <w:fldChar w:fldCharType="separate"/>
            </w:r>
            <w:r>
              <w:rPr>
                <w:rStyle w:val="57"/>
                <w:rFonts w:ascii="宋体" w:hAnsi="宋体" w:cs="宋体"/>
                <w:color w:val="auto"/>
                <w:kern w:val="0"/>
                <w:szCs w:val="21"/>
                <w:highlight w:val="none"/>
              </w:rPr>
              <w:t>https://ggzy.chuzhou.gov.cn/BidOpening/bidopeninghallaction/hall/login</w:t>
            </w:r>
            <w:r>
              <w:rPr>
                <w:rStyle w:val="57"/>
                <w:rFonts w:hint="eastAsia" w:ascii="宋体" w:hAnsi="宋体" w:cs="宋体"/>
                <w:color w:val="auto"/>
                <w:kern w:val="0"/>
                <w:szCs w:val="21"/>
                <w:highlight w:val="none"/>
              </w:rPr>
              <w:t>）。操作手册见</w:t>
            </w:r>
            <w:r>
              <w:rPr>
                <w:rFonts w:ascii="宋体" w:hAnsi="宋体" w:cs="宋体"/>
                <w:color w:val="auto"/>
                <w:kern w:val="0"/>
                <w:szCs w:val="21"/>
                <w:highlight w:val="none"/>
              </w:rPr>
              <w:fldChar w:fldCharType="end"/>
            </w:r>
            <w:r>
              <w:rPr>
                <w:rFonts w:ascii="宋体" w:hAnsi="宋体" w:cs="宋体"/>
                <w:color w:val="auto"/>
                <w:kern w:val="0"/>
                <w:szCs w:val="21"/>
                <w:highlight w:val="none"/>
              </w:rPr>
              <w:t>https://ggzy.chuzhou.gov.cn/fwzn/011006/20240510/f0637388-583d-4c69-8331-05b6adfcf24d.html</w:t>
            </w:r>
            <w:r>
              <w:rPr>
                <w:rFonts w:hint="eastAsia" w:ascii="宋体" w:hAnsi="宋体" w:cs="宋体"/>
                <w:color w:val="auto"/>
                <w:kern w:val="0"/>
                <w:szCs w:val="21"/>
                <w:highlight w:val="none"/>
              </w:rPr>
              <w:t>。</w:t>
            </w:r>
          </w:p>
        </w:tc>
      </w:tr>
      <w:tr w14:paraId="1AEF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5F2ACA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招标文件价格</w:t>
            </w:r>
          </w:p>
        </w:tc>
        <w:tc>
          <w:tcPr>
            <w:tcW w:w="8313" w:type="dxa"/>
            <w:noWrap w:val="0"/>
            <w:vAlign w:val="center"/>
          </w:tcPr>
          <w:p w14:paraId="11ADD003">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0元</w:t>
            </w:r>
          </w:p>
        </w:tc>
      </w:tr>
      <w:tr w14:paraId="4D1D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A47265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发布公告的媒介</w:t>
            </w:r>
          </w:p>
        </w:tc>
        <w:tc>
          <w:tcPr>
            <w:tcW w:w="8313" w:type="dxa"/>
            <w:noWrap w:val="0"/>
            <w:vAlign w:val="center"/>
          </w:tcPr>
          <w:p w14:paraId="248A8668">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本次招标公告同时在滁州市公共资源交易中心、安徽省公共资源交易监管网、安徽省招标投标信息网等网站发布。</w:t>
            </w:r>
          </w:p>
        </w:tc>
      </w:tr>
      <w:tr w14:paraId="7D3E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9FE8AE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投标人提出异议的截止时间及方式</w:t>
            </w:r>
          </w:p>
        </w:tc>
        <w:tc>
          <w:tcPr>
            <w:tcW w:w="8313" w:type="dxa"/>
            <w:noWrap w:val="0"/>
            <w:vAlign w:val="center"/>
          </w:tcPr>
          <w:p w14:paraId="50DA7304">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如投标人对招标文件有异议，请于</w:t>
            </w:r>
            <w:r>
              <w:rPr>
                <w:rFonts w:hint="eastAsia" w:ascii="宋体" w:hAnsi="宋体" w:eastAsia="宋体" w:cs="宋体"/>
                <w:b/>
                <w:bCs/>
                <w:color w:val="auto"/>
                <w:kern w:val="0"/>
                <w:sz w:val="21"/>
                <w:szCs w:val="21"/>
                <w:highlight w:val="none"/>
                <w:lang w:val="en-US" w:eastAsia="zh-CN"/>
              </w:rPr>
              <w:t>2025年</w:t>
            </w:r>
            <w:r>
              <w:rPr>
                <w:rFonts w:hint="eastAsia" w:ascii="宋体" w:hAnsi="宋体" w:cs="宋体"/>
                <w:b/>
                <w:bCs/>
                <w:color w:val="auto"/>
                <w:kern w:val="0"/>
                <w:sz w:val="21"/>
                <w:szCs w:val="21"/>
                <w:highlight w:val="none"/>
                <w:lang w:val="en-US" w:eastAsia="zh-CN"/>
              </w:rPr>
              <w:t>8</w:t>
            </w:r>
            <w:r>
              <w:rPr>
                <w:rFonts w:hint="eastAsia" w:ascii="宋体" w:hAnsi="宋体" w:eastAsia="宋体" w:cs="宋体"/>
                <w:b/>
                <w:bCs/>
                <w:color w:val="auto"/>
                <w:kern w:val="0"/>
                <w:sz w:val="21"/>
                <w:szCs w:val="21"/>
                <w:highlight w:val="none"/>
                <w:lang w:val="en-US" w:eastAsia="zh-CN"/>
              </w:rPr>
              <w:t>月</w:t>
            </w:r>
            <w:r>
              <w:rPr>
                <w:rFonts w:hint="eastAsia" w:ascii="宋体" w:hAnsi="宋体" w:cs="宋体"/>
                <w:b/>
                <w:bCs/>
                <w:color w:val="auto"/>
                <w:kern w:val="0"/>
                <w:sz w:val="21"/>
                <w:szCs w:val="21"/>
                <w:highlight w:val="none"/>
                <w:lang w:val="en-US" w:eastAsia="zh-CN"/>
              </w:rPr>
              <w:t>31</w:t>
            </w:r>
            <w:r>
              <w:rPr>
                <w:rFonts w:hint="eastAsia" w:ascii="宋体" w:hAnsi="宋体" w:eastAsia="宋体" w:cs="宋体"/>
                <w:b/>
                <w:bCs/>
                <w:color w:val="auto"/>
                <w:kern w:val="0"/>
                <w:sz w:val="21"/>
                <w:szCs w:val="21"/>
                <w:highlight w:val="none"/>
                <w:lang w:val="en-US" w:eastAsia="zh-CN"/>
              </w:rPr>
              <w:t>日8时（</w:t>
            </w:r>
            <w:r>
              <w:rPr>
                <w:rFonts w:hint="eastAsia" w:ascii="宋体" w:hAnsi="宋体" w:eastAsia="宋体" w:cs="宋体"/>
                <w:color w:val="auto"/>
                <w:kern w:val="0"/>
                <w:sz w:val="21"/>
                <w:szCs w:val="21"/>
                <w:highlight w:val="none"/>
                <w:lang w:val="en-US" w:eastAsia="zh-CN"/>
              </w:rPr>
              <w:t>投标截止10日）前在滁州市公共资源交易中心网电子交易系统中进行异议，具体操作步骤和程序请参见服务指南&gt;交易须知&gt;在线异议、质疑和投诉操作手册。</w:t>
            </w:r>
          </w:p>
        </w:tc>
      </w:tr>
      <w:tr w14:paraId="29FF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059B35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受理异议的联系人及联系方式</w:t>
            </w:r>
          </w:p>
        </w:tc>
        <w:tc>
          <w:tcPr>
            <w:tcW w:w="8313" w:type="dxa"/>
            <w:noWrap w:val="0"/>
            <w:vAlign w:val="center"/>
          </w:tcPr>
          <w:p w14:paraId="0BE40CC8">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联系人：李</w:t>
            </w:r>
            <w:r>
              <w:rPr>
                <w:rFonts w:hint="eastAsia" w:ascii="宋体" w:hAnsi="宋体" w:cs="宋体"/>
                <w:color w:val="auto"/>
                <w:kern w:val="0"/>
                <w:sz w:val="21"/>
                <w:szCs w:val="21"/>
                <w:highlight w:val="none"/>
                <w:lang w:val="en-US" w:eastAsia="zh-CN"/>
              </w:rPr>
              <w:t>工</w:t>
            </w:r>
            <w:r>
              <w:rPr>
                <w:rFonts w:hint="eastAsia" w:ascii="宋体" w:hAnsi="宋体" w:eastAsia="宋体" w:cs="宋体"/>
                <w:color w:val="auto"/>
                <w:kern w:val="0"/>
                <w:sz w:val="21"/>
                <w:szCs w:val="21"/>
                <w:highlight w:val="none"/>
                <w:lang w:val="en-US" w:eastAsia="zh-CN"/>
              </w:rPr>
              <w:t xml:space="preserve">、杨韦    联系方式:0550-3026900、0550-3519590   </w:t>
            </w:r>
          </w:p>
        </w:tc>
      </w:tr>
      <w:tr w14:paraId="53B2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shd w:val="clear" w:color="auto" w:fill="auto"/>
            <w:noWrap w:val="0"/>
            <w:vAlign w:val="center"/>
          </w:tcPr>
          <w:p w14:paraId="35467DD7">
            <w:pPr>
              <w:keepNext w:val="0"/>
              <w:keepLines w:val="0"/>
              <w:pageBreakBefore w:val="0"/>
              <w:widowControl/>
              <w:kinsoku/>
              <w:overflowPunct/>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投标人提出投诉的方式</w:t>
            </w:r>
          </w:p>
        </w:tc>
        <w:tc>
          <w:tcPr>
            <w:tcW w:w="8313" w:type="dxa"/>
            <w:shd w:val="clear" w:color="auto" w:fill="auto"/>
            <w:noWrap w:val="0"/>
            <w:vAlign w:val="top"/>
          </w:tcPr>
          <w:p w14:paraId="66168BA9">
            <w:pPr>
              <w:keepNext w:val="0"/>
              <w:keepLines w:val="0"/>
              <w:pageBreakBefore w:val="0"/>
              <w:widowControl/>
              <w:kinsoku/>
              <w:wordWrap w:val="0"/>
              <w:overflowPunct/>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投标人或者其他利害关系人认为招标投标活动违反法律、法规和规章规定的，有权向相关行政监督部门投诉。在线投诉具体步骤和程序请参照服务指南&gt;投诉渠道 </w:t>
            </w:r>
            <w:r>
              <w:rPr>
                <w:rFonts w:hint="eastAsia" w:ascii="宋体" w:hAnsi="宋体" w:eastAsia="宋体" w:cs="宋体"/>
                <w:color w:val="auto"/>
                <w:kern w:val="0"/>
                <w:sz w:val="21"/>
                <w:szCs w:val="21"/>
                <w:highlight w:val="none"/>
                <w:lang w:val="en-US" w:eastAsia="zh-CN" w:bidi="ar-SA"/>
              </w:rPr>
              <w:fldChar w:fldCharType="begin"/>
            </w:r>
            <w:r>
              <w:rPr>
                <w:rFonts w:hint="eastAsia" w:ascii="宋体" w:hAnsi="宋体" w:eastAsia="宋体" w:cs="宋体"/>
                <w:color w:val="auto"/>
                <w:kern w:val="0"/>
                <w:sz w:val="21"/>
                <w:szCs w:val="21"/>
                <w:highlight w:val="none"/>
                <w:lang w:val="en-US" w:eastAsia="zh-CN" w:bidi="ar-SA"/>
              </w:rPr>
              <w:instrText xml:space="preserve"> HYPERLINK "https://ggzy.chuzhou.gov.cn/fwzn/011001/serviceGuide.html" </w:instrText>
            </w:r>
            <w:r>
              <w:rPr>
                <w:rFonts w:hint="eastAsia" w:ascii="宋体" w:hAnsi="宋体" w:eastAsia="宋体" w:cs="宋体"/>
                <w:color w:val="auto"/>
                <w:kern w:val="0"/>
                <w:sz w:val="21"/>
                <w:szCs w:val="21"/>
                <w:highlight w:val="none"/>
                <w:lang w:val="en-US" w:eastAsia="zh-CN" w:bidi="ar-SA"/>
              </w:rPr>
              <w:fldChar w:fldCharType="separate"/>
            </w:r>
            <w:r>
              <w:rPr>
                <w:rFonts w:hint="eastAsia" w:ascii="宋体" w:hAnsi="宋体" w:eastAsia="宋体" w:cs="宋体"/>
                <w:color w:val="auto"/>
                <w:kern w:val="0"/>
                <w:sz w:val="21"/>
                <w:szCs w:val="21"/>
                <w:highlight w:val="none"/>
                <w:lang w:val="en-US" w:eastAsia="zh-CN" w:bidi="ar-SA"/>
              </w:rPr>
              <w:t>https://ggzy.chuzhou.gov.cn/fwzn/011001/serviceGuide.html</w:t>
            </w:r>
            <w:r>
              <w:rPr>
                <w:rFonts w:hint="eastAsia" w:ascii="宋体" w:hAnsi="宋体" w:eastAsia="宋体" w:cs="宋体"/>
                <w:color w:val="auto"/>
                <w:kern w:val="0"/>
                <w:sz w:val="21"/>
                <w:szCs w:val="21"/>
                <w:highlight w:val="none"/>
                <w:lang w:val="en-US" w:eastAsia="zh-CN" w:bidi="ar-SA"/>
              </w:rPr>
              <w:fldChar w:fldCharType="end"/>
            </w:r>
            <w:r>
              <w:rPr>
                <w:rFonts w:hint="eastAsia" w:ascii="宋体" w:hAnsi="宋体" w:eastAsia="宋体" w:cs="宋体"/>
                <w:color w:val="auto"/>
                <w:kern w:val="0"/>
                <w:sz w:val="21"/>
                <w:szCs w:val="21"/>
                <w:highlight w:val="none"/>
                <w:lang w:val="en-US" w:eastAsia="zh-CN" w:bidi="ar-SA"/>
              </w:rPr>
              <w:t>；投诉书格式等内容参见服务指南&gt;办事指南&gt;投标人服务&gt;投诉受理一次告知书https://ggzy.chuzhou.gov.cn/fwzn/011001/011001001/011001001003/20211022/4b7d87ec-2c58-49b0-b76c-3a6277377930.html。</w:t>
            </w:r>
          </w:p>
        </w:tc>
      </w:tr>
      <w:tr w14:paraId="17B5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6" w:type="dxa"/>
            <w:gridSpan w:val="2"/>
            <w:noWrap w:val="0"/>
            <w:vAlign w:val="center"/>
          </w:tcPr>
          <w:p w14:paraId="21544243">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投标保证金收取</w:t>
            </w:r>
          </w:p>
        </w:tc>
      </w:tr>
      <w:tr w14:paraId="4D22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3" w:type="dxa"/>
            <w:noWrap w:val="0"/>
            <w:vAlign w:val="center"/>
          </w:tcPr>
          <w:p w14:paraId="4AD38CBB">
            <w:pPr>
              <w:widowControl/>
              <w:spacing w:line="560" w:lineRule="exact"/>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投标保证金收取</w:t>
            </w:r>
          </w:p>
        </w:tc>
        <w:tc>
          <w:tcPr>
            <w:tcW w:w="8313" w:type="dxa"/>
            <w:noWrap w:val="0"/>
            <w:vAlign w:val="center"/>
          </w:tcPr>
          <w:p w14:paraId="5DD5569F">
            <w:pPr>
              <w:widowControl/>
              <w:spacing w:line="560" w:lineRule="exact"/>
              <w:jc w:val="left"/>
              <w:rPr>
                <w:rFonts w:hint="eastAsia" w:ascii="宋体" w:hAnsi="宋体" w:eastAsia="宋体" w:cs="宋体"/>
                <w:color w:val="auto"/>
                <w:sz w:val="21"/>
                <w:szCs w:val="21"/>
                <w:highlight w:val="none"/>
                <w:lang w:val="en-US" w:eastAsia="zh-CN"/>
              </w:rPr>
            </w:pPr>
            <w:r>
              <w:rPr>
                <w:rFonts w:hint="eastAsia" w:ascii="宋体" w:hAnsi="宋体" w:cs="宋体"/>
                <w:color w:val="auto"/>
                <w:kern w:val="0"/>
                <w:szCs w:val="21"/>
                <w:highlight w:val="none"/>
              </w:rPr>
              <w:t>投标保证金的金额：</w:t>
            </w:r>
            <w:r>
              <w:rPr>
                <w:rFonts w:hint="eastAsia" w:ascii="宋体" w:hAnsi="宋体" w:cs="宋体"/>
                <w:color w:val="auto"/>
                <w:kern w:val="0"/>
                <w:szCs w:val="21"/>
                <w:highlight w:val="none"/>
                <w:lang w:val="en-US" w:eastAsia="zh-CN"/>
              </w:rPr>
              <w:t>3.2</w:t>
            </w:r>
            <w:r>
              <w:rPr>
                <w:rFonts w:hint="eastAsia" w:ascii="宋体" w:hAnsi="宋体" w:cs="宋体"/>
                <w:color w:val="auto"/>
                <w:kern w:val="0"/>
                <w:szCs w:val="21"/>
                <w:highlight w:val="none"/>
              </w:rPr>
              <w:t>万元，要求投标人提交投标保证金。</w:t>
            </w:r>
          </w:p>
        </w:tc>
      </w:tr>
      <w:tr w14:paraId="59EE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top"/>
          </w:tcPr>
          <w:p w14:paraId="50C2561C">
            <w:pPr>
              <w:widowControl/>
              <w:spacing w:line="560" w:lineRule="exact"/>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投标保证金形式</w:t>
            </w:r>
          </w:p>
        </w:tc>
        <w:tc>
          <w:tcPr>
            <w:tcW w:w="8313" w:type="dxa"/>
            <w:noWrap w:val="0"/>
            <w:vAlign w:val="top"/>
          </w:tcPr>
          <w:p w14:paraId="3A26F5EC">
            <w:pPr>
              <w:widowControl/>
              <w:spacing w:line="560" w:lineRule="exact"/>
              <w:jc w:val="left"/>
              <w:rPr>
                <w:rFonts w:hint="eastAsia" w:ascii="宋体" w:hAnsi="宋体" w:eastAsia="宋体" w:cs="宋体"/>
                <w:color w:val="auto"/>
                <w:kern w:val="0"/>
                <w:sz w:val="21"/>
                <w:szCs w:val="21"/>
                <w:highlight w:val="none"/>
              </w:rPr>
            </w:pPr>
            <w:r>
              <w:rPr>
                <w:rFonts w:hint="eastAsia" w:ascii="宋体" w:hAnsi="宋体" w:cs="MS Mincho"/>
                <w:color w:val="auto"/>
                <w:kern w:val="0"/>
                <w:szCs w:val="21"/>
                <w:highlight w:val="none"/>
              </w:rPr>
              <w:t>支持现金（银行转账、银行电汇等）、非现金形式（支票、银行汇票、本票等）、电子保函、纸质保函（纸质银行保函、纸质担保机构担保、纸质保证保险等）。</w:t>
            </w:r>
          </w:p>
        </w:tc>
      </w:tr>
      <w:tr w14:paraId="5A8F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5992A9C">
            <w:pPr>
              <w:widowControl/>
              <w:spacing w:line="560" w:lineRule="exact"/>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接收投标保证金的账户信息</w:t>
            </w:r>
          </w:p>
        </w:tc>
        <w:tc>
          <w:tcPr>
            <w:tcW w:w="8313" w:type="dxa"/>
            <w:noWrap w:val="0"/>
            <w:vAlign w:val="center"/>
          </w:tcPr>
          <w:p w14:paraId="7D6F7AB7">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采用现金形式的，投标保证金应当从投标人基本存款账户转出，投标保证金的到账截止时间为投标截止时间。投标保证金转出账户与投标人投标文件提供的基本存款账户不一致的，视为未按照招标文件规定提交投标保证金。提交投标保证金的开户银行及账号如下（选择任何一家银行提交即可）：</w:t>
            </w:r>
          </w:p>
          <w:p w14:paraId="6E2A1590">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①户名：滁州市公共资源交易中心</w:t>
            </w:r>
          </w:p>
          <w:p w14:paraId="0DB447BC">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开户行：中国银行滁州分行 </w:t>
            </w:r>
          </w:p>
          <w:p w14:paraId="793045B2">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账  号：</w:t>
            </w:r>
            <w:r>
              <w:rPr>
                <w:rFonts w:hint="eastAsia" w:ascii="宋体" w:hAnsi="宋体" w:cs="宋体"/>
                <w:color w:val="auto"/>
                <w:kern w:val="0"/>
                <w:szCs w:val="21"/>
                <w:highlight w:val="none"/>
                <w:lang w:val="en-US" w:eastAsia="zh-CN"/>
              </w:rPr>
              <w:t xml:space="preserve">178215706730 </w:t>
            </w:r>
            <w:r>
              <w:rPr>
                <w:rFonts w:hint="eastAsia" w:ascii="宋体" w:hAnsi="宋体" w:cs="宋体"/>
                <w:color w:val="auto"/>
                <w:kern w:val="0"/>
                <w:szCs w:val="21"/>
                <w:highlight w:val="none"/>
              </w:rPr>
              <w:t xml:space="preserve">                       </w:t>
            </w:r>
          </w:p>
          <w:p w14:paraId="1C090D8C">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②户  名：滁州市公共资源交易中心        </w:t>
            </w:r>
          </w:p>
          <w:p w14:paraId="2D324938">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开户行：中国农业银行滁州中都支行                </w:t>
            </w:r>
          </w:p>
          <w:p w14:paraId="57E31644">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账  号：</w:t>
            </w:r>
            <w:r>
              <w:rPr>
                <w:rFonts w:hint="eastAsia" w:ascii="宋体" w:hAnsi="宋体" w:cs="宋体"/>
                <w:color w:val="auto"/>
                <w:kern w:val="0"/>
                <w:szCs w:val="21"/>
                <w:highlight w:val="none"/>
                <w:lang w:val="en-US" w:eastAsia="zh-CN"/>
              </w:rPr>
              <w:t xml:space="preserve">123340010400044210000000015 </w:t>
            </w:r>
            <w:r>
              <w:rPr>
                <w:rFonts w:hint="eastAsia" w:ascii="宋体" w:hAnsi="宋体" w:cs="宋体"/>
                <w:color w:val="auto"/>
                <w:kern w:val="0"/>
                <w:szCs w:val="21"/>
                <w:highlight w:val="none"/>
              </w:rPr>
              <w:t xml:space="preserve">                              </w:t>
            </w:r>
          </w:p>
          <w:p w14:paraId="284CF825">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采用现金形式缴纳保证金时须在交易附言中注明：“czsjgc20250</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009</w:t>
            </w:r>
            <w:r>
              <w:rPr>
                <w:rFonts w:hint="eastAsia" w:ascii="宋体" w:hAnsi="宋体" w:cs="宋体"/>
                <w:color w:val="auto"/>
                <w:kern w:val="0"/>
                <w:szCs w:val="21"/>
                <w:highlight w:val="none"/>
              </w:rPr>
              <w:t>项目投标保证金”。</w:t>
            </w:r>
          </w:p>
          <w:p w14:paraId="764DA8C5">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采用支票、银行汇票、本票等非现金形式提交投标保证金时，投标人应在付款人开户行申请书附言处注明“czsjgc20250</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009</w:t>
            </w:r>
            <w:r>
              <w:rPr>
                <w:rFonts w:hint="eastAsia" w:ascii="宋体" w:hAnsi="宋体" w:cs="宋体"/>
                <w:color w:val="auto"/>
                <w:kern w:val="0"/>
                <w:szCs w:val="21"/>
                <w:highlight w:val="none"/>
              </w:rPr>
              <w:t>项目投标保证金”字样，应确保收款人开户行进账单完整反映交易附言内容，由此导致无法识别投标保证金对应的投标项目，其后果由投标人负责。</w:t>
            </w:r>
          </w:p>
          <w:p w14:paraId="2E63EA2F">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采用电子保函形式具体要求如下：</w:t>
            </w:r>
          </w:p>
          <w:p w14:paraId="74DF5A43">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①电子保函提交要求：</w:t>
            </w:r>
          </w:p>
          <w:p w14:paraId="0492CEC2">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a.投标人须在投标文件提交截止时间前提供与滁州市公共资源交易中心金融服务平台对接的电子保函，否则视为投标保证金未按规定要求缴纳。</w:t>
            </w:r>
          </w:p>
          <w:p w14:paraId="1061CEDC">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b.电子保函生效时间须为所投项目规定的保证金到账截止时间之前，电子保函的有效期截止时间不得短于招标文件约定的投标有效期截止时间，否则视为投标保证金未按规定要求缴纳。</w:t>
            </w:r>
          </w:p>
          <w:p w14:paraId="0F4EDD29">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c.投标有效期内未能确定中标结果，需要延长投标有效期，投标人同意延长投标有效期的，须相应延长电子保函的有效期。</w:t>
            </w:r>
          </w:p>
          <w:p w14:paraId="041B6786">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d.投标人存在投标保证金不予退还的情形，采用电子保函形式的将予以追缴。</w:t>
            </w:r>
          </w:p>
          <w:p w14:paraId="0BC817E2">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采用纸质保函形式具体要求如下：</w:t>
            </w:r>
          </w:p>
          <w:p w14:paraId="16643F43">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①该保函应当是无条件见索即付的银行保函、保证保险、担保机构保函，保函期限必须大于或等于投标有效期，受益人应为招标人。投标人存在投标保证金不予退还的情形，采用纸质保函形式的将由招标人予以追缴；投标人须将采用的纸质保函原件扫描件编入投标文件。</w:t>
            </w:r>
          </w:p>
          <w:p w14:paraId="1605F313">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②采用纸质保函，其办理所需的费用，应从投标人的银行基本账户汇(支)出，并保证真实有效。投标人须将本单位从基本账户汇出该项费用的原始凭证(属于基本账户银行出具保函的除外)扫描件、基本账户开户许可证(或基本账户开户银行出具的该投标人基本存款账户信息证明材料)的原件扫描件编入投标文件中,由评标委员会在评标时审查认定。</w:t>
            </w:r>
          </w:p>
          <w:p w14:paraId="697E8D00">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③投标人提交的纸质保函，必须明确载明有效的查询途径(包括电话、网址链接及查询方式)。</w:t>
            </w:r>
          </w:p>
          <w:p w14:paraId="2046B725">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采用纸质保函，未按照上述要求提供材料或提供的材料不符合要求的，其投标无效；存在弄虚作假的，由招标人报招标投标行政监督部门依法处理。</w:t>
            </w:r>
          </w:p>
          <w:p w14:paraId="72F733A6">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2.保证金电子保函业务应急处置措施。由于自然灾害、事故灾难、突发公共网络安全事件或者系统原因，以及保证金电子保函系统使用过程中出现的以下情况：</w:t>
            </w:r>
          </w:p>
          <w:p w14:paraId="283CC64D">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（1）开标时，系统获取明文保函文件异常，无法正常获取保函文件；</w:t>
            </w:r>
          </w:p>
          <w:p w14:paraId="10CC1D22">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（2）保证金电子保函系统的软件或数据库出现错误，不能进行正常操作；</w:t>
            </w:r>
          </w:p>
          <w:p w14:paraId="505787AB">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（3）保证金电子保函系统服务器发生故障等情况，无法访问或无法使用电子保函；</w:t>
            </w:r>
          </w:p>
          <w:p w14:paraId="2C2646B3">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（4）保证金电子保函系统服务器受到病毒或其他外来的攻击；</w:t>
            </w:r>
          </w:p>
          <w:p w14:paraId="04E54DBE">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（5）其他影响电子保函出具的异常情形。</w:t>
            </w:r>
          </w:p>
          <w:p w14:paraId="23C001FF">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由于上述原因导致投标人无法正常参加开评标的，招标人或招标代理机构应及时报告公共资源交易服务平台核实问题原因。投标人确实已购买电子保函，经监管部门同意后，投标人可以继续参加开评标。</w:t>
            </w:r>
          </w:p>
          <w:p w14:paraId="21428FAF">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3.本次招标失败，再次进行招标的，投标人须按照新的账户重新缴纳投标保证金。</w:t>
            </w:r>
          </w:p>
          <w:p w14:paraId="388B676E">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4.投标人为联合体投标的，由牵头人基本账户转出投标保证金或由牵头人办理保函。</w:t>
            </w:r>
          </w:p>
          <w:p w14:paraId="54EF7784">
            <w:pPr>
              <w:widowControl/>
              <w:spacing w:line="560" w:lineRule="exact"/>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Cs w:val="21"/>
                <w:highlight w:val="none"/>
              </w:rPr>
              <w:t>5.是否适用免缴投标保证金政策：不适用。</w:t>
            </w:r>
          </w:p>
        </w:tc>
      </w:tr>
      <w:tr w14:paraId="2F1D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C00CF3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备注</w:t>
            </w:r>
          </w:p>
        </w:tc>
        <w:tc>
          <w:tcPr>
            <w:tcW w:w="8313" w:type="dxa"/>
            <w:noWrap w:val="0"/>
            <w:vAlign w:val="center"/>
          </w:tcPr>
          <w:p w14:paraId="5EF85541">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投标人为联合体投标的，保证金由牵头人基本账户转入交易中心账户或由牵头人办理投标担保。</w:t>
            </w:r>
          </w:p>
          <w:p w14:paraId="38E119EC">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本项目不缴纳投标保证金条款仅针对在投标过程中未违反本招标文件第二章“投标人须知”中第3.4.4项约定的投标人。如在投标过程中投标人存在本招标文件第二章“投标人须知”中第3.4.4项约定情形，则无条件按招标人要求的金额、时间、账号缴纳投标保证金。投标人采用银行保函、担保机构担保、保证保险方式提交投标保证金的，如出现本招标文件“投标人须知”第 3.4.4 项所列情形的，提供担保的银行、担保机构及保险机构将无条件向招标人支付保函所列的全部投标保证金金额，该支付行为视同投标保证金不予退还。</w:t>
            </w:r>
          </w:p>
          <w:p w14:paraId="1CF0D2D0">
            <w:pPr>
              <w:pStyle w:val="45"/>
              <w:keepNext w:val="0"/>
              <w:keepLines w:val="0"/>
              <w:pageBreakBefore w:val="0"/>
              <w:kinsoku/>
              <w:wordWrap/>
              <w:overflowPunct/>
              <w:topLinePunct w:val="0"/>
              <w:autoSpaceDE/>
              <w:autoSpaceDN/>
              <w:bidi w:val="0"/>
              <w:adjustRightInd/>
              <w:snapToGrid/>
              <w:spacing w:after="0" w:line="50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color w:val="auto"/>
                <w:highlight w:val="none"/>
              </w:rPr>
              <w:t>3</w:t>
            </w:r>
            <w:r>
              <w:rPr>
                <w:rFonts w:hint="eastAsia"/>
                <w:color w:val="auto"/>
                <w:highlight w:val="none"/>
                <w:lang w:val="en-US" w:eastAsia="zh-CN"/>
              </w:rPr>
              <w:t>.</w:t>
            </w:r>
            <w:r>
              <w:rPr>
                <w:rFonts w:hint="eastAsia"/>
                <w:color w:val="auto"/>
                <w:highlight w:val="none"/>
              </w:rPr>
              <w:t>投标人采用虚假银行保函、担保机构担保、保证保险方式提交投标保证金的，应依法承担弄虚作假、骗取中标的法律责任。</w:t>
            </w:r>
          </w:p>
        </w:tc>
      </w:tr>
      <w:tr w14:paraId="1B2F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6" w:type="dxa"/>
            <w:gridSpan w:val="2"/>
            <w:noWrap w:val="0"/>
            <w:vAlign w:val="center"/>
          </w:tcPr>
          <w:p w14:paraId="4A9E1C18">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其他说明</w:t>
            </w:r>
          </w:p>
        </w:tc>
      </w:tr>
      <w:tr w14:paraId="5B17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5E0D3CC">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重要说明</w:t>
            </w:r>
          </w:p>
        </w:tc>
        <w:tc>
          <w:tcPr>
            <w:tcW w:w="8313" w:type="dxa"/>
            <w:noWrap w:val="0"/>
            <w:vAlign w:val="center"/>
          </w:tcPr>
          <w:p w14:paraId="0F1BD101">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 、0550-3801669（工作日）；（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5B9F1562">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.请投标人登录滁州市公共资源交易中心网站查看参加本项目的程序（具体操作步骤和程序请参见服务指南&gt;交易须知&gt;投标人填写投标信息、下载文件及网上提问操作手册）。</w:t>
            </w:r>
          </w:p>
          <w:p w14:paraId="7C5D21B4">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14:paraId="233BDB88">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en-US" w:eastAsia="zh-CN"/>
              </w:rPr>
              <w:t>.投标文件格式、内容和制作要求以招标文件为准，投标文件制作工具中提供的相关格式及内容仅供参考，投标企业可根据招标文件要求自行调整。</w:t>
            </w:r>
          </w:p>
        </w:tc>
      </w:tr>
      <w:tr w14:paraId="087A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F2385A0">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特别提示</w:t>
            </w:r>
          </w:p>
        </w:tc>
        <w:tc>
          <w:tcPr>
            <w:tcW w:w="8313" w:type="dxa"/>
            <w:noWrap w:val="0"/>
            <w:vAlign w:val="center"/>
          </w:tcPr>
          <w:p w14:paraId="0699417B">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1.本项目投标保证金、履约保证金、工程质量保证金、农民工工资保证金均支持保函使用。以现金形式提交保证金的，应当同时退还保证金本金和银行同期存款利息。</w:t>
            </w:r>
          </w:p>
          <w:p w14:paraId="31CF0CE4">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2.投标人应填写投标信息并下载招标文件，否则无法上传投标文件。</w:t>
            </w:r>
          </w:p>
          <w:p w14:paraId="7C927654">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注：投标人如为联合体的，牵头人必须完善投标人信息，并在上传投标文件环节添加联合体投标信息。</w:t>
            </w:r>
          </w:p>
          <w:p w14:paraId="6DF9F94B">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本项目采用电子招标投标，请投标人在滁州市公共资源交易中心网站&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0512-58188516。</w:t>
            </w:r>
          </w:p>
          <w:p w14:paraId="136250B2">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4.如果过程中出现招标文件更改，应以最后发布的招标答疑澄清文件中的模板制作本项目最新投标文件。</w:t>
            </w:r>
          </w:p>
          <w:p w14:paraId="45E27E61">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5.投标人应当用本单位CA数字证书制作投标文件，制作成功后进行投标文件上传。 </w:t>
            </w:r>
          </w:p>
          <w:p w14:paraId="621E296A">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投标人须用CA数字证书盖章和加密投标文件，建议使用主锁。（如未办理CA数字证书请及时办理，网上办理和窗口办理均可。查看办理所需资料请登录滁州市公共资源交易中心网站&gt;服务指南&gt;办事指南&gt;CA数字证书和电子签章。因未及时办理CA数字证书手续导致无法投标的，责任自负）</w:t>
            </w:r>
          </w:p>
          <w:p w14:paraId="0C180060">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7.请投标人注意加密投标文件CA数字证书的有效期，不在有效期的CA数字证书无法解密投标文件。</w:t>
            </w:r>
          </w:p>
          <w:p w14:paraId="6143DD6F">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8.投标人投标MAC地址一致或申请开具电子保函MAC地址一致的，由评标委员会否决其投标。</w:t>
            </w:r>
          </w:p>
          <w:p w14:paraId="55BB76E4">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9.投标人投标文件中单方面出现其他投标人材料的（依法组成联合体投标的除外），由评标委员会否决其投标。</w:t>
            </w:r>
          </w:p>
          <w:p w14:paraId="5256B91B">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25232075">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11.若存在不予退还投标人投标保证金的情形，银行转账的，由公共资源交易中心代为收缴，递交保函的，由招标人予以追缴。</w:t>
            </w:r>
          </w:p>
          <w:p w14:paraId="78C437C6">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12.投标人以联合体名义投标的，其异议投诉应当由联合体全体成员共同提出。联合体成员单独进行异议投诉的，应当书面征得联合体其他成员同意，联合体成员之间投诉的除外。</w:t>
            </w:r>
          </w:p>
          <w:p w14:paraId="55A557FC">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13.投标人联系人或联系电话相同的，由评标委员会否决其投标，并报告监管部门作不良行为处理和进一步调查。</w:t>
            </w:r>
          </w:p>
          <w:p w14:paraId="4FA76531">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注册地在安徽省内且未在安徽省外开展业务、省外无违法违规行为的企业可通过安徽政务服务网开具由安徽省公共信用信息服务中心出具的《公共信用信息报告（无违法违规证明版或核查版）》代替《诚信投标承诺书》，信用报告出具有关问题可咨询滁州市信用办0550-3035032。</w:t>
            </w:r>
          </w:p>
        </w:tc>
      </w:tr>
      <w:tr w14:paraId="1DC9A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6" w:type="dxa"/>
            <w:gridSpan w:val="2"/>
            <w:noWrap w:val="0"/>
            <w:vAlign w:val="center"/>
          </w:tcPr>
          <w:p w14:paraId="58BB7A23">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联系方式（受理异议的联系人及联系方式）</w:t>
            </w:r>
          </w:p>
        </w:tc>
      </w:tr>
      <w:tr w14:paraId="7F4A2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B7F403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招标人名称</w:t>
            </w:r>
          </w:p>
        </w:tc>
        <w:tc>
          <w:tcPr>
            <w:tcW w:w="8313" w:type="dxa"/>
            <w:noWrap w:val="0"/>
            <w:vAlign w:val="center"/>
          </w:tcPr>
          <w:p w14:paraId="53AA75E3">
            <w:pPr>
              <w:keepNext w:val="0"/>
              <w:keepLines w:val="0"/>
              <w:pageBreakBefore w:val="0"/>
              <w:widowControl/>
              <w:shd w:val="clear" w:color="auto" w:fill="auto"/>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 xml:space="preserve">滁州苏滁产城开发有限公司 </w:t>
            </w:r>
          </w:p>
        </w:tc>
      </w:tr>
      <w:tr w14:paraId="4C83E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8FAB5C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招标人地址</w:t>
            </w:r>
          </w:p>
        </w:tc>
        <w:tc>
          <w:tcPr>
            <w:tcW w:w="8313" w:type="dxa"/>
            <w:noWrap w:val="0"/>
            <w:vAlign w:val="center"/>
          </w:tcPr>
          <w:p w14:paraId="77556140">
            <w:pPr>
              <w:keepNext w:val="0"/>
              <w:keepLines w:val="0"/>
              <w:pageBreakBefore w:val="0"/>
              <w:widowControl/>
              <w:shd w:val="clear" w:color="auto" w:fill="auto"/>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滁州市徽州南路1999号苏滁商务中心8楼 </w:t>
            </w:r>
          </w:p>
        </w:tc>
      </w:tr>
      <w:tr w14:paraId="3A9E5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25B746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招标人联系人</w:t>
            </w:r>
          </w:p>
        </w:tc>
        <w:tc>
          <w:tcPr>
            <w:tcW w:w="8313" w:type="dxa"/>
            <w:noWrap w:val="0"/>
            <w:vAlign w:val="center"/>
          </w:tcPr>
          <w:p w14:paraId="27CD1A9E">
            <w:pPr>
              <w:keepNext w:val="0"/>
              <w:keepLines w:val="0"/>
              <w:pageBreakBefore w:val="0"/>
              <w:widowControl/>
              <w:shd w:val="clear" w:color="auto" w:fill="auto"/>
              <w:kinsoku/>
              <w:wordWrap w:val="0"/>
              <w:overflowPunct/>
              <w:topLinePunct w:val="0"/>
              <w:autoSpaceDE/>
              <w:autoSpaceDN/>
              <w:bidi w:val="0"/>
              <w:adjustRightInd/>
              <w:snapToGrid/>
              <w:spacing w:line="50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李</w:t>
            </w:r>
            <w:r>
              <w:rPr>
                <w:rFonts w:hint="eastAsia" w:ascii="宋体" w:hAnsi="宋体" w:cs="宋体"/>
                <w:color w:val="auto"/>
                <w:kern w:val="0"/>
                <w:sz w:val="21"/>
                <w:szCs w:val="21"/>
                <w:highlight w:val="none"/>
                <w:lang w:val="en-US" w:eastAsia="zh-CN"/>
              </w:rPr>
              <w:t>工</w:t>
            </w:r>
          </w:p>
        </w:tc>
      </w:tr>
      <w:tr w14:paraId="41E8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AA9ACF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招标人电话</w:t>
            </w:r>
          </w:p>
        </w:tc>
        <w:tc>
          <w:tcPr>
            <w:tcW w:w="8313" w:type="dxa"/>
            <w:noWrap w:val="0"/>
            <w:vAlign w:val="center"/>
          </w:tcPr>
          <w:p w14:paraId="0E38C9FE">
            <w:pPr>
              <w:keepNext w:val="0"/>
              <w:keepLines w:val="0"/>
              <w:pageBreakBefore w:val="0"/>
              <w:widowControl/>
              <w:shd w:val="clear" w:color="auto" w:fill="auto"/>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0550-3026900</w:t>
            </w:r>
          </w:p>
        </w:tc>
      </w:tr>
      <w:tr w14:paraId="3A3F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933" w:type="dxa"/>
            <w:noWrap w:val="0"/>
            <w:vAlign w:val="center"/>
          </w:tcPr>
          <w:p w14:paraId="7F086B2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招标代理机构名称</w:t>
            </w:r>
          </w:p>
        </w:tc>
        <w:tc>
          <w:tcPr>
            <w:tcW w:w="8313" w:type="dxa"/>
            <w:noWrap w:val="0"/>
            <w:vAlign w:val="center"/>
          </w:tcPr>
          <w:p w14:paraId="62F1B136">
            <w:pPr>
              <w:keepNext w:val="0"/>
              <w:keepLines w:val="0"/>
              <w:pageBreakBefore w:val="0"/>
              <w:widowControl/>
              <w:shd w:val="clear" w:color="auto" w:fill="auto"/>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滁州市城投工程咨询管理有限公司</w:t>
            </w:r>
          </w:p>
        </w:tc>
      </w:tr>
      <w:tr w14:paraId="5C06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33" w:type="dxa"/>
            <w:noWrap w:val="0"/>
            <w:vAlign w:val="center"/>
          </w:tcPr>
          <w:p w14:paraId="22A8D1A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招标代理机构地址</w:t>
            </w:r>
          </w:p>
        </w:tc>
        <w:tc>
          <w:tcPr>
            <w:tcW w:w="8313" w:type="dxa"/>
            <w:noWrap w:val="0"/>
            <w:vAlign w:val="center"/>
          </w:tcPr>
          <w:p w14:paraId="2707A949">
            <w:pPr>
              <w:keepNext w:val="0"/>
              <w:keepLines w:val="0"/>
              <w:pageBreakBefore w:val="0"/>
              <w:widowControl/>
              <w:shd w:val="clear" w:color="auto" w:fill="auto"/>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滁州市龙蟠大道109号房产大厦6楼</w:t>
            </w:r>
          </w:p>
        </w:tc>
      </w:tr>
      <w:tr w14:paraId="74FC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29D64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w:t>
            </w:r>
          </w:p>
          <w:p w14:paraId="4ABF801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联系人</w:t>
            </w:r>
          </w:p>
        </w:tc>
        <w:tc>
          <w:tcPr>
            <w:tcW w:w="8313" w:type="dxa"/>
            <w:noWrap w:val="0"/>
            <w:vAlign w:val="center"/>
          </w:tcPr>
          <w:p w14:paraId="06B78FF7">
            <w:pPr>
              <w:keepNext w:val="0"/>
              <w:keepLines w:val="0"/>
              <w:pageBreakBefore w:val="0"/>
              <w:widowControl/>
              <w:shd w:val="clear" w:color="auto" w:fill="auto"/>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杨韦</w:t>
            </w:r>
          </w:p>
        </w:tc>
      </w:tr>
      <w:tr w14:paraId="6179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F9593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代理机构电话</w:t>
            </w:r>
          </w:p>
        </w:tc>
        <w:tc>
          <w:tcPr>
            <w:tcW w:w="8313" w:type="dxa"/>
            <w:noWrap w:val="0"/>
            <w:vAlign w:val="center"/>
          </w:tcPr>
          <w:p w14:paraId="40D86FD7">
            <w:pPr>
              <w:keepNext w:val="0"/>
              <w:keepLines w:val="0"/>
              <w:pageBreakBefore w:val="0"/>
              <w:widowControl/>
              <w:shd w:val="clear" w:color="auto" w:fill="auto"/>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0550-3519590、18005501210</w:t>
            </w:r>
          </w:p>
        </w:tc>
      </w:tr>
      <w:tr w14:paraId="4EAD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shd w:val="clear" w:color="auto" w:fill="auto"/>
            <w:noWrap w:val="0"/>
            <w:vAlign w:val="center"/>
          </w:tcPr>
          <w:p w14:paraId="56FF01A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kern w:val="2"/>
                <w:sz w:val="21"/>
                <w:szCs w:val="21"/>
                <w:highlight w:val="none"/>
                <w:lang w:val="en-US" w:eastAsia="zh-CN" w:bidi="ar-SA"/>
              </w:rPr>
            </w:pPr>
            <w:bookmarkStart w:id="17" w:name="_Toc246996173"/>
            <w:bookmarkStart w:id="18" w:name="_Toc8504"/>
            <w:bookmarkStart w:id="19" w:name="_Toc35425050"/>
            <w:bookmarkStart w:id="20" w:name="_Toc152045527"/>
            <w:bookmarkStart w:id="21" w:name="_Toc15058844"/>
            <w:bookmarkStart w:id="22" w:name="_Toc179632544"/>
            <w:bookmarkStart w:id="23" w:name="_Toc324404813"/>
            <w:bookmarkStart w:id="24" w:name="_Toc144974495"/>
            <w:bookmarkStart w:id="25" w:name="_Toc152042303"/>
            <w:bookmarkStart w:id="26" w:name="_Toc246996916"/>
            <w:bookmarkStart w:id="27" w:name="_Toc247085687"/>
            <w:bookmarkStart w:id="28" w:name="_Toc35424883"/>
            <w:bookmarkStart w:id="29" w:name="_Toc506107267"/>
            <w:r>
              <w:rPr>
                <w:rFonts w:hint="eastAsia" w:ascii="宋体" w:hAnsi="宋体" w:eastAsia="宋体" w:cs="宋体"/>
                <w:bCs/>
                <w:color w:val="auto"/>
                <w:spacing w:val="-6"/>
                <w:sz w:val="21"/>
                <w:szCs w:val="21"/>
                <w:highlight w:val="none"/>
              </w:rPr>
              <w:t>招标投标行政监督部门</w:t>
            </w:r>
          </w:p>
        </w:tc>
        <w:tc>
          <w:tcPr>
            <w:tcW w:w="8313" w:type="dxa"/>
            <w:shd w:val="clear" w:color="auto" w:fill="auto"/>
            <w:noWrap w:val="0"/>
            <w:vAlign w:val="center"/>
          </w:tcPr>
          <w:p w14:paraId="77595790">
            <w:pPr>
              <w:keepNext w:val="0"/>
              <w:keepLines w:val="0"/>
              <w:pageBreakBefore w:val="0"/>
              <w:widowControl/>
              <w:shd w:val="clear" w:color="auto" w:fill="auto"/>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滁州市公共资源交易监督管理局</w:t>
            </w:r>
            <w:r>
              <w:rPr>
                <w:rFonts w:hint="eastAsia" w:ascii="宋体" w:hAnsi="宋体" w:eastAsia="宋体" w:cs="宋体"/>
                <w:color w:val="auto"/>
                <w:kern w:val="0"/>
                <w:sz w:val="21"/>
                <w:szCs w:val="21"/>
                <w:highlight w:val="none"/>
                <w:lang w:eastAsia="zh-CN"/>
              </w:rPr>
              <w:t xml:space="preserve"> </w:t>
            </w:r>
          </w:p>
        </w:tc>
      </w:tr>
      <w:bookmarkEnd w:id="12"/>
      <w:bookmarkEnd w:id="13"/>
      <w:bookmarkEnd w:id="14"/>
      <w:bookmarkEnd w:id="15"/>
    </w:tbl>
    <w:p w14:paraId="065567C7">
      <w:pPr>
        <w:rPr>
          <w:rFonts w:hint="eastAsia"/>
          <w:bCs/>
          <w:color w:val="auto"/>
          <w:szCs w:val="32"/>
          <w:highlight w:val="none"/>
        </w:rPr>
      </w:pPr>
      <w:r>
        <w:rPr>
          <w:rFonts w:hint="eastAsia"/>
          <w:bCs/>
          <w:color w:val="auto"/>
          <w:szCs w:val="32"/>
          <w:highlight w:val="none"/>
        </w:rPr>
        <w:br w:type="page"/>
      </w:r>
    </w:p>
    <w:p w14:paraId="6B13ED2D">
      <w:pPr>
        <w:pStyle w:val="43"/>
        <w:spacing w:beforeLines="50" w:afterLines="50" w:line="440" w:lineRule="exact"/>
        <w:rPr>
          <w:bCs/>
          <w:color w:val="auto"/>
          <w:szCs w:val="32"/>
          <w:highlight w:val="none"/>
        </w:rPr>
      </w:pPr>
      <w:r>
        <w:rPr>
          <w:rFonts w:hint="eastAsia"/>
          <w:bCs/>
          <w:color w:val="auto"/>
          <w:szCs w:val="32"/>
          <w:highlight w:val="none"/>
        </w:rPr>
        <w:t>第一章</w:t>
      </w:r>
      <w:r>
        <w:rPr>
          <w:bCs/>
          <w:color w:val="auto"/>
          <w:szCs w:val="32"/>
          <w:highlight w:val="none"/>
        </w:rPr>
        <w:t xml:space="preserve"> </w:t>
      </w:r>
      <w:r>
        <w:rPr>
          <w:rFonts w:hint="eastAsia"/>
          <w:bCs/>
          <w:color w:val="auto"/>
          <w:szCs w:val="32"/>
          <w:highlight w:val="none"/>
        </w:rPr>
        <w:t>投标人须知</w:t>
      </w:r>
      <w:bookmarkEnd w:id="17"/>
      <w:bookmarkEnd w:id="18"/>
      <w:bookmarkEnd w:id="19"/>
      <w:bookmarkEnd w:id="20"/>
      <w:bookmarkEnd w:id="21"/>
      <w:bookmarkEnd w:id="22"/>
      <w:bookmarkEnd w:id="23"/>
      <w:bookmarkEnd w:id="24"/>
      <w:bookmarkEnd w:id="25"/>
      <w:bookmarkEnd w:id="26"/>
      <w:bookmarkEnd w:id="27"/>
      <w:bookmarkEnd w:id="28"/>
      <w:bookmarkEnd w:id="29"/>
    </w:p>
    <w:p w14:paraId="67A97CDD">
      <w:pPr>
        <w:spacing w:beforeLines="50" w:afterLines="50" w:line="440" w:lineRule="exact"/>
        <w:jc w:val="center"/>
        <w:rPr>
          <w:b/>
          <w:bCs/>
          <w:color w:val="auto"/>
          <w:sz w:val="28"/>
          <w:szCs w:val="28"/>
          <w:highlight w:val="none"/>
        </w:rPr>
      </w:pPr>
      <w:bookmarkStart w:id="30" w:name="_Toc152042304"/>
      <w:bookmarkStart w:id="31" w:name="_Toc247085688"/>
      <w:bookmarkStart w:id="32" w:name="_Toc179632545"/>
      <w:bookmarkStart w:id="33" w:name="_Toc246996917"/>
      <w:bookmarkStart w:id="34" w:name="_Toc144974496"/>
      <w:bookmarkStart w:id="35" w:name="_Toc152045528"/>
      <w:bookmarkStart w:id="36" w:name="_Toc246996174"/>
      <w:bookmarkStart w:id="37" w:name="_Toc506107268"/>
      <w:bookmarkStart w:id="38" w:name="_Toc35424884"/>
      <w:bookmarkStart w:id="39" w:name="_Toc15058845"/>
      <w:bookmarkStart w:id="40" w:name="_Toc324404814"/>
      <w:bookmarkStart w:id="41" w:name="_Toc35425051"/>
      <w:r>
        <w:rPr>
          <w:rFonts w:hint="eastAsia"/>
          <w:b/>
          <w:bCs/>
          <w:color w:val="auto"/>
          <w:sz w:val="28"/>
          <w:szCs w:val="28"/>
          <w:highlight w:val="none"/>
        </w:rPr>
        <w:t>投标人须知前附表</w:t>
      </w:r>
      <w:bookmarkEnd w:id="30"/>
      <w:bookmarkEnd w:id="31"/>
      <w:bookmarkEnd w:id="32"/>
      <w:bookmarkEnd w:id="33"/>
      <w:bookmarkEnd w:id="34"/>
      <w:bookmarkEnd w:id="35"/>
      <w:bookmarkEnd w:id="36"/>
      <w:bookmarkEnd w:id="37"/>
      <w:bookmarkEnd w:id="38"/>
      <w:bookmarkEnd w:id="39"/>
      <w:bookmarkEnd w:id="40"/>
      <w:bookmarkEnd w:id="41"/>
    </w:p>
    <w:tbl>
      <w:tblPr>
        <w:tblStyle w:val="46"/>
        <w:tblW w:w="10527" w:type="dxa"/>
        <w:jc w:val="center"/>
        <w:tblLayout w:type="fixed"/>
        <w:tblCellMar>
          <w:top w:w="0" w:type="dxa"/>
          <w:left w:w="108" w:type="dxa"/>
          <w:bottom w:w="0" w:type="dxa"/>
          <w:right w:w="108" w:type="dxa"/>
        </w:tblCellMar>
      </w:tblPr>
      <w:tblGrid>
        <w:gridCol w:w="868"/>
        <w:gridCol w:w="910"/>
        <w:gridCol w:w="1220"/>
        <w:gridCol w:w="7529"/>
      </w:tblGrid>
      <w:tr w14:paraId="41F6AF82">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0E99C466">
            <w:pPr>
              <w:keepNext w:val="0"/>
              <w:keepLines w:val="0"/>
              <w:pageBreakBefore w:val="0"/>
              <w:kinsoku/>
              <w:overflowPunct/>
              <w:autoSpaceDE/>
              <w:autoSpaceDN/>
              <w:bidi w:val="0"/>
              <w:spacing w:line="500" w:lineRule="exact"/>
              <w:jc w:val="center"/>
              <w:textAlignment w:val="auto"/>
              <w:rPr>
                <w:rFonts w:hint="eastAsia" w:ascii="宋体" w:hAnsi="宋体" w:eastAsia="宋体" w:cs="宋体"/>
                <w:b/>
                <w:color w:val="auto"/>
                <w:sz w:val="21"/>
                <w:szCs w:val="21"/>
                <w:highlight w:val="none"/>
              </w:rPr>
            </w:pPr>
            <w:bookmarkStart w:id="42" w:name="_Toc324404815"/>
            <w:bookmarkStart w:id="43" w:name="_Toc246996918"/>
            <w:bookmarkStart w:id="44" w:name="_Toc179632546"/>
            <w:bookmarkStart w:id="45" w:name="_Toc506107269"/>
            <w:bookmarkStart w:id="46" w:name="_Toc246996175"/>
            <w:bookmarkStart w:id="47" w:name="_Toc247085689"/>
            <w:bookmarkStart w:id="48" w:name="_Toc152045529"/>
            <w:bookmarkStart w:id="49" w:name="_Toc144974497"/>
            <w:bookmarkStart w:id="50" w:name="_Toc152042305"/>
            <w:r>
              <w:rPr>
                <w:rFonts w:hint="eastAsia" w:ascii="宋体" w:hAnsi="宋体" w:eastAsia="宋体" w:cs="宋体"/>
                <w:b/>
                <w:color w:val="auto"/>
                <w:sz w:val="21"/>
                <w:szCs w:val="21"/>
                <w:highlight w:val="none"/>
              </w:rPr>
              <w:t>序号</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696B3D61">
            <w:pPr>
              <w:keepNext w:val="0"/>
              <w:keepLines w:val="0"/>
              <w:pageBreakBefore w:val="0"/>
              <w:kinsoku/>
              <w:overflowPunct/>
              <w:autoSpaceDE/>
              <w:autoSpaceDN/>
              <w:bidi w:val="0"/>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  款  名  称</w:t>
            </w:r>
          </w:p>
        </w:tc>
        <w:tc>
          <w:tcPr>
            <w:tcW w:w="7529" w:type="dxa"/>
            <w:tcBorders>
              <w:top w:val="single" w:color="auto" w:sz="4" w:space="0"/>
              <w:left w:val="single" w:color="auto" w:sz="4" w:space="0"/>
              <w:bottom w:val="single" w:color="auto" w:sz="4" w:space="0"/>
              <w:right w:val="single" w:color="auto" w:sz="4" w:space="0"/>
            </w:tcBorders>
            <w:vAlign w:val="center"/>
          </w:tcPr>
          <w:p w14:paraId="506A179E">
            <w:pPr>
              <w:keepNext w:val="0"/>
              <w:keepLines w:val="0"/>
              <w:pageBreakBefore w:val="0"/>
              <w:kinsoku/>
              <w:overflowPunct/>
              <w:autoSpaceDE/>
              <w:autoSpaceDN/>
              <w:bidi w:val="0"/>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  列  内  容</w:t>
            </w:r>
          </w:p>
        </w:tc>
      </w:tr>
      <w:tr w14:paraId="17681938">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5176F6E7">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2E3EE18A">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w:t>
            </w:r>
          </w:p>
        </w:tc>
        <w:tc>
          <w:tcPr>
            <w:tcW w:w="7529" w:type="dxa"/>
            <w:tcBorders>
              <w:top w:val="single" w:color="auto" w:sz="4" w:space="0"/>
              <w:left w:val="single" w:color="auto" w:sz="4" w:space="0"/>
              <w:bottom w:val="single" w:color="auto" w:sz="4" w:space="0"/>
              <w:right w:val="single" w:color="auto" w:sz="4" w:space="0"/>
            </w:tcBorders>
            <w:vAlign w:val="center"/>
          </w:tcPr>
          <w:p w14:paraId="2865D5AE">
            <w:pPr>
              <w:pStyle w:val="40"/>
              <w:keepNext w:val="0"/>
              <w:keepLines w:val="0"/>
              <w:pageBreakBefore w:val="0"/>
              <w:kinsoku/>
              <w:overflowPunct/>
              <w:autoSpaceDE/>
              <w:autoSpaceDN/>
              <w:bidi w:val="0"/>
              <w:spacing w:beforeAutospacing="0" w:afterAutospacing="0" w:line="500" w:lineRule="exact"/>
              <w:textAlignment w:val="auto"/>
              <w:rPr>
                <w:rFonts w:hint="eastAsia" w:ascii="宋体" w:hAnsi="宋体" w:eastAsia="宋体" w:cs="宋体"/>
                <w:color w:val="auto"/>
                <w:kern w:val="2"/>
                <w:sz w:val="21"/>
                <w:szCs w:val="21"/>
                <w:highlight w:val="none"/>
                <w:lang w:val="en-US"/>
              </w:rPr>
            </w:pPr>
            <w:r>
              <w:rPr>
                <w:rFonts w:hint="eastAsia" w:ascii="宋体" w:hAnsi="宋体" w:eastAsia="宋体" w:cs="宋体"/>
                <w:color w:val="auto"/>
                <w:sz w:val="21"/>
                <w:szCs w:val="21"/>
                <w:highlight w:val="none"/>
              </w:rPr>
              <w:t>见招标公告</w:t>
            </w:r>
          </w:p>
        </w:tc>
      </w:tr>
      <w:tr w14:paraId="2EAA92F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3EEC3BEB">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3F935B0A">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w:t>
            </w:r>
          </w:p>
        </w:tc>
        <w:tc>
          <w:tcPr>
            <w:tcW w:w="7529" w:type="dxa"/>
            <w:tcBorders>
              <w:top w:val="single" w:color="auto" w:sz="4" w:space="0"/>
              <w:left w:val="single" w:color="auto" w:sz="4" w:space="0"/>
              <w:bottom w:val="single" w:color="auto" w:sz="4" w:space="0"/>
              <w:right w:val="single" w:color="auto" w:sz="4" w:space="0"/>
            </w:tcBorders>
            <w:vAlign w:val="center"/>
          </w:tcPr>
          <w:p w14:paraId="449D411B">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见招标公告</w:t>
            </w:r>
          </w:p>
        </w:tc>
      </w:tr>
      <w:tr w14:paraId="7C82F7BD">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4266BCAB">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0AD446C1">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529" w:type="dxa"/>
            <w:tcBorders>
              <w:top w:val="single" w:color="auto" w:sz="4" w:space="0"/>
              <w:left w:val="single" w:color="auto" w:sz="4" w:space="0"/>
              <w:bottom w:val="single" w:color="auto" w:sz="4" w:space="0"/>
              <w:right w:val="single" w:color="auto" w:sz="4" w:space="0"/>
            </w:tcBorders>
            <w:vAlign w:val="center"/>
          </w:tcPr>
          <w:p w14:paraId="59A58A82">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见招标公告</w:t>
            </w:r>
          </w:p>
        </w:tc>
      </w:tr>
      <w:tr w14:paraId="3263BB88">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2C49E2F9">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0414588B">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p>
        </w:tc>
        <w:tc>
          <w:tcPr>
            <w:tcW w:w="7529" w:type="dxa"/>
            <w:tcBorders>
              <w:top w:val="single" w:color="auto" w:sz="4" w:space="0"/>
              <w:left w:val="single" w:color="auto" w:sz="4" w:space="0"/>
              <w:bottom w:val="single" w:color="auto" w:sz="4" w:space="0"/>
              <w:right w:val="single" w:color="auto" w:sz="4" w:space="0"/>
            </w:tcBorders>
            <w:vAlign w:val="center"/>
          </w:tcPr>
          <w:p w14:paraId="408FC0E1">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见招标公告</w:t>
            </w:r>
          </w:p>
        </w:tc>
      </w:tr>
      <w:tr w14:paraId="6471BDF6">
        <w:tblPrEx>
          <w:tblCellMar>
            <w:top w:w="0" w:type="dxa"/>
            <w:left w:w="108" w:type="dxa"/>
            <w:bottom w:w="0" w:type="dxa"/>
            <w:right w:w="108" w:type="dxa"/>
          </w:tblCellMar>
        </w:tblPrEx>
        <w:trPr>
          <w:trHeight w:val="55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5CE8DF53">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15E763A5">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资金来源及比例</w:t>
            </w:r>
          </w:p>
        </w:tc>
        <w:tc>
          <w:tcPr>
            <w:tcW w:w="7529" w:type="dxa"/>
            <w:tcBorders>
              <w:top w:val="single" w:color="auto" w:sz="4" w:space="0"/>
              <w:left w:val="single" w:color="auto" w:sz="4" w:space="0"/>
              <w:bottom w:val="single" w:color="auto" w:sz="4" w:space="0"/>
              <w:right w:val="single" w:color="auto" w:sz="4" w:space="0"/>
            </w:tcBorders>
            <w:vAlign w:val="center"/>
          </w:tcPr>
          <w:p w14:paraId="5329147F">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见招标公告</w:t>
            </w:r>
          </w:p>
        </w:tc>
      </w:tr>
      <w:tr w14:paraId="013B542D">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223C9261">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59D683FC">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招标范围</w:t>
            </w:r>
          </w:p>
        </w:tc>
        <w:tc>
          <w:tcPr>
            <w:tcW w:w="7529" w:type="dxa"/>
            <w:tcBorders>
              <w:top w:val="single" w:color="auto" w:sz="4" w:space="0"/>
              <w:left w:val="single" w:color="auto" w:sz="4" w:space="0"/>
              <w:bottom w:val="single" w:color="auto" w:sz="4" w:space="0"/>
              <w:right w:val="single" w:color="auto" w:sz="4" w:space="0"/>
            </w:tcBorders>
            <w:vAlign w:val="center"/>
          </w:tcPr>
          <w:p w14:paraId="19D4C494">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见招标公告</w:t>
            </w:r>
          </w:p>
        </w:tc>
      </w:tr>
      <w:tr w14:paraId="18A7360F">
        <w:tblPrEx>
          <w:tblCellMar>
            <w:top w:w="0" w:type="dxa"/>
            <w:left w:w="108" w:type="dxa"/>
            <w:bottom w:w="0" w:type="dxa"/>
            <w:right w:w="108" w:type="dxa"/>
          </w:tblCellMar>
        </w:tblPrEx>
        <w:trPr>
          <w:trHeight w:val="496"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04C2D7C1">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0AF2AEA8">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w:t>
            </w:r>
          </w:p>
        </w:tc>
        <w:tc>
          <w:tcPr>
            <w:tcW w:w="7529" w:type="dxa"/>
            <w:tcBorders>
              <w:top w:val="single" w:color="auto" w:sz="4" w:space="0"/>
              <w:left w:val="single" w:color="auto" w:sz="4" w:space="0"/>
              <w:bottom w:val="single" w:color="auto" w:sz="4" w:space="0"/>
              <w:right w:val="single" w:color="auto" w:sz="4" w:space="0"/>
            </w:tcBorders>
            <w:vAlign w:val="center"/>
          </w:tcPr>
          <w:p w14:paraId="171B2FB4">
            <w:pPr>
              <w:pStyle w:val="120"/>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见招标公告</w:t>
            </w:r>
          </w:p>
        </w:tc>
      </w:tr>
      <w:tr w14:paraId="1626F05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70BEC574">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1114CA1E">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w:t>
            </w:r>
          </w:p>
        </w:tc>
        <w:tc>
          <w:tcPr>
            <w:tcW w:w="7529" w:type="dxa"/>
            <w:tcBorders>
              <w:top w:val="single" w:color="auto" w:sz="4" w:space="0"/>
              <w:left w:val="single" w:color="auto" w:sz="4" w:space="0"/>
              <w:bottom w:val="single" w:color="auto" w:sz="4" w:space="0"/>
              <w:right w:val="single" w:color="auto" w:sz="4" w:space="0"/>
            </w:tcBorders>
            <w:vAlign w:val="center"/>
          </w:tcPr>
          <w:p w14:paraId="26BAE6AF">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自本合同签订之日起至本项目竣工结算及保修阶段（缺陷责任期）期满止。</w:t>
            </w:r>
          </w:p>
          <w:p w14:paraId="05117927">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建设期约</w:t>
            </w:r>
            <w:r>
              <w:rPr>
                <w:rFonts w:hint="eastAsia" w:ascii="宋体" w:hAnsi="宋体" w:cs="宋体"/>
                <w:bCs/>
                <w:color w:val="auto"/>
                <w:sz w:val="21"/>
                <w:szCs w:val="21"/>
                <w:highlight w:val="none"/>
                <w:u w:val="single"/>
                <w:lang w:val="en-US" w:eastAsia="zh-CN"/>
              </w:rPr>
              <w:t>310</w:t>
            </w:r>
            <w:r>
              <w:rPr>
                <w:rFonts w:hint="eastAsia" w:ascii="宋体" w:hAnsi="宋体" w:eastAsia="宋体" w:cs="宋体"/>
                <w:bCs/>
                <w:color w:val="auto"/>
                <w:sz w:val="21"/>
                <w:szCs w:val="21"/>
                <w:highlight w:val="none"/>
              </w:rPr>
              <w:t>个日历天，</w:t>
            </w:r>
            <w:r>
              <w:rPr>
                <w:rFonts w:hint="eastAsia" w:ascii="宋体" w:hAnsi="宋体" w:eastAsia="宋体" w:cs="宋体"/>
                <w:bCs/>
                <w:color w:val="auto"/>
                <w:sz w:val="21"/>
                <w:szCs w:val="21"/>
                <w:highlight w:val="none"/>
                <w:lang w:val="en-US" w:eastAsia="zh-CN"/>
              </w:rPr>
              <w:t>仅用于投标文件制作</w:t>
            </w:r>
            <w:r>
              <w:rPr>
                <w:rFonts w:hint="eastAsia" w:ascii="宋体" w:hAnsi="宋体" w:eastAsia="宋体" w:cs="宋体"/>
                <w:bCs/>
                <w:color w:val="auto"/>
                <w:sz w:val="21"/>
                <w:szCs w:val="21"/>
                <w:highlight w:val="none"/>
              </w:rPr>
              <w:t>系统里填写工期</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不作为评审标准</w:t>
            </w:r>
            <w:r>
              <w:rPr>
                <w:rFonts w:hint="eastAsia" w:ascii="宋体" w:hAnsi="宋体" w:eastAsia="宋体" w:cs="宋体"/>
                <w:bCs/>
                <w:color w:val="auto"/>
                <w:sz w:val="21"/>
                <w:szCs w:val="21"/>
                <w:highlight w:val="none"/>
              </w:rPr>
              <w:t>。</w:t>
            </w:r>
          </w:p>
        </w:tc>
      </w:tr>
      <w:tr w14:paraId="173EC818">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2431561B">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06C0FD87">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529" w:type="dxa"/>
            <w:tcBorders>
              <w:top w:val="single" w:color="auto" w:sz="4" w:space="0"/>
              <w:left w:val="single" w:color="auto" w:sz="4" w:space="0"/>
              <w:bottom w:val="single" w:color="auto" w:sz="4" w:space="0"/>
              <w:right w:val="single" w:color="auto" w:sz="4" w:space="0"/>
            </w:tcBorders>
            <w:vAlign w:val="center"/>
          </w:tcPr>
          <w:p w14:paraId="02B0112D">
            <w:pPr>
              <w:keepNext w:val="0"/>
              <w:keepLines w:val="0"/>
              <w:pageBreakBefore w:val="0"/>
              <w:kinsoku/>
              <w:overflowPunct/>
              <w:autoSpaceDE/>
              <w:autoSpaceDN/>
              <w:bidi w:val="0"/>
              <w:spacing w:line="5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按施工合同要求的质量标准进行监理。监理服务质量严格执行现行法律法规、监理规范等规定，服从国家、省、市、县（区）等相关建设行政主管部门管理要求。</w:t>
            </w:r>
          </w:p>
        </w:tc>
      </w:tr>
      <w:tr w14:paraId="495A09C3">
        <w:tblPrEx>
          <w:tblCellMar>
            <w:top w:w="0" w:type="dxa"/>
            <w:left w:w="108" w:type="dxa"/>
            <w:bottom w:w="0" w:type="dxa"/>
            <w:right w:w="108" w:type="dxa"/>
          </w:tblCellMar>
        </w:tblPrEx>
        <w:trPr>
          <w:trHeight w:val="805" w:hRule="atLeast"/>
          <w:jc w:val="center"/>
        </w:trPr>
        <w:tc>
          <w:tcPr>
            <w:tcW w:w="868" w:type="dxa"/>
            <w:vMerge w:val="restart"/>
            <w:tcBorders>
              <w:top w:val="single" w:color="auto" w:sz="4" w:space="0"/>
              <w:left w:val="single" w:color="auto" w:sz="4" w:space="0"/>
              <w:right w:val="single" w:color="auto" w:sz="4" w:space="0"/>
            </w:tcBorders>
            <w:vAlign w:val="center"/>
          </w:tcPr>
          <w:p w14:paraId="3D244459">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6987FF6F">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投标人资质条件、能力和信誉</w:t>
            </w:r>
          </w:p>
        </w:tc>
        <w:tc>
          <w:tcPr>
            <w:tcW w:w="7529" w:type="dxa"/>
            <w:tcBorders>
              <w:top w:val="single" w:color="auto" w:sz="4" w:space="0"/>
              <w:left w:val="single" w:color="auto" w:sz="4" w:space="0"/>
              <w:bottom w:val="single" w:color="auto" w:sz="4" w:space="0"/>
              <w:right w:val="single" w:color="auto" w:sz="4" w:space="0"/>
            </w:tcBorders>
            <w:vAlign w:val="center"/>
          </w:tcPr>
          <w:p w14:paraId="65C67D6A">
            <w:pPr>
              <w:pStyle w:val="45"/>
              <w:keepNext w:val="0"/>
              <w:keepLines w:val="0"/>
              <w:pageBreakBefore w:val="0"/>
              <w:kinsoku/>
              <w:overflowPunct/>
              <w:autoSpaceDE/>
              <w:autoSpaceDN/>
              <w:bidi w:val="0"/>
              <w:spacing w:line="500" w:lineRule="exact"/>
              <w:ind w:left="0" w:leftChars="0" w:firstLine="0" w:firstLineChars="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见招标公告</w:t>
            </w:r>
          </w:p>
        </w:tc>
      </w:tr>
      <w:tr w14:paraId="2DAD70F6">
        <w:tblPrEx>
          <w:tblCellMar>
            <w:top w:w="0" w:type="dxa"/>
            <w:left w:w="108" w:type="dxa"/>
            <w:bottom w:w="0" w:type="dxa"/>
            <w:right w:w="108" w:type="dxa"/>
          </w:tblCellMar>
        </w:tblPrEx>
        <w:trPr>
          <w:trHeight w:val="575" w:hRule="atLeast"/>
          <w:jc w:val="center"/>
        </w:trPr>
        <w:tc>
          <w:tcPr>
            <w:tcW w:w="868" w:type="dxa"/>
            <w:vMerge w:val="continue"/>
            <w:tcBorders>
              <w:left w:val="single" w:color="auto" w:sz="4" w:space="0"/>
              <w:bottom w:val="single" w:color="auto" w:sz="4" w:space="0"/>
              <w:right w:val="single" w:color="auto" w:sz="4" w:space="0"/>
            </w:tcBorders>
            <w:vAlign w:val="center"/>
          </w:tcPr>
          <w:p w14:paraId="00CE7248">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543F2A84">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招标文件发布时间：</w:t>
            </w:r>
          </w:p>
        </w:tc>
        <w:tc>
          <w:tcPr>
            <w:tcW w:w="7529" w:type="dxa"/>
            <w:tcBorders>
              <w:top w:val="single" w:color="auto" w:sz="4" w:space="0"/>
              <w:left w:val="single" w:color="auto" w:sz="4" w:space="0"/>
              <w:bottom w:val="single" w:color="auto" w:sz="4" w:space="0"/>
              <w:right w:val="single" w:color="auto" w:sz="4" w:space="0"/>
            </w:tcBorders>
            <w:vAlign w:val="center"/>
          </w:tcPr>
          <w:p w14:paraId="02FF149C">
            <w:pPr>
              <w:keepNext w:val="0"/>
              <w:keepLines w:val="0"/>
              <w:pageBreakBefore w:val="0"/>
              <w:kinsoku/>
              <w:overflowPunct/>
              <w:autoSpaceDE/>
              <w:autoSpaceDN/>
              <w:bidi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见招标公告</w:t>
            </w:r>
          </w:p>
        </w:tc>
      </w:tr>
      <w:tr w14:paraId="7F1DC9DC">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446A9672">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2A3B3908">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踏勘现场</w:t>
            </w:r>
          </w:p>
        </w:tc>
        <w:tc>
          <w:tcPr>
            <w:tcW w:w="7529" w:type="dxa"/>
            <w:tcBorders>
              <w:top w:val="single" w:color="auto" w:sz="4" w:space="0"/>
              <w:left w:val="single" w:color="auto" w:sz="4" w:space="0"/>
              <w:bottom w:val="single" w:color="auto" w:sz="4" w:space="0"/>
              <w:right w:val="single" w:color="auto" w:sz="4" w:space="0"/>
            </w:tcBorders>
            <w:vAlign w:val="center"/>
          </w:tcPr>
          <w:p w14:paraId="704205E7">
            <w:pPr>
              <w:pStyle w:val="16"/>
              <w:keepNext w:val="0"/>
              <w:keepLines w:val="0"/>
              <w:pageBreakBefore w:val="0"/>
              <w:kinsoku/>
              <w:overflowPunct/>
              <w:topLinePunct/>
              <w:autoSpaceDE/>
              <w:autoSpaceDN/>
              <w:bidi w:val="0"/>
              <w:spacing w:line="500" w:lineRule="exact"/>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不组织，投标人自行组织踏勘现场</w:t>
            </w:r>
          </w:p>
        </w:tc>
      </w:tr>
      <w:tr w14:paraId="3DA70E63">
        <w:tblPrEx>
          <w:tblCellMar>
            <w:top w:w="0" w:type="dxa"/>
            <w:left w:w="108" w:type="dxa"/>
            <w:bottom w:w="0" w:type="dxa"/>
            <w:right w:w="108" w:type="dxa"/>
          </w:tblCellMar>
        </w:tblPrEx>
        <w:trPr>
          <w:trHeight w:val="46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25F6AB8D">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07B36462">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投标预备会</w:t>
            </w:r>
          </w:p>
        </w:tc>
        <w:tc>
          <w:tcPr>
            <w:tcW w:w="7529" w:type="dxa"/>
            <w:tcBorders>
              <w:top w:val="single" w:color="auto" w:sz="4" w:space="0"/>
              <w:left w:val="single" w:color="auto" w:sz="4" w:space="0"/>
              <w:bottom w:val="single" w:color="auto" w:sz="4" w:space="0"/>
              <w:right w:val="single" w:color="auto" w:sz="4" w:space="0"/>
            </w:tcBorders>
            <w:vAlign w:val="center"/>
          </w:tcPr>
          <w:p w14:paraId="3C78BD01">
            <w:pPr>
              <w:pStyle w:val="16"/>
              <w:keepNext w:val="0"/>
              <w:keepLines w:val="0"/>
              <w:pageBreakBefore w:val="0"/>
              <w:kinsoku/>
              <w:overflowPunct/>
              <w:topLinePunct/>
              <w:autoSpaceDE/>
              <w:autoSpaceDN/>
              <w:bidi w:val="0"/>
              <w:spacing w:line="500" w:lineRule="exact"/>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不召开</w:t>
            </w:r>
          </w:p>
        </w:tc>
      </w:tr>
      <w:tr w14:paraId="7BDCB2D9">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0B70BFCF">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574D0735">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投标人提出问题的截止时间及方式</w:t>
            </w:r>
          </w:p>
        </w:tc>
        <w:tc>
          <w:tcPr>
            <w:tcW w:w="7529" w:type="dxa"/>
            <w:tcBorders>
              <w:top w:val="single" w:color="auto" w:sz="4" w:space="0"/>
              <w:left w:val="single" w:color="auto" w:sz="4" w:space="0"/>
              <w:bottom w:val="single" w:color="auto" w:sz="4" w:space="0"/>
              <w:right w:val="single" w:color="auto" w:sz="4" w:space="0"/>
            </w:tcBorders>
            <w:vAlign w:val="center"/>
          </w:tcPr>
          <w:p w14:paraId="7E15727B">
            <w:pPr>
              <w:keepNext w:val="0"/>
              <w:keepLines w:val="0"/>
              <w:pageBreakBefore w:val="0"/>
              <w:kinsoku/>
              <w:wordWrap w:val="0"/>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如投标人对招标文件有疑问，请于</w:t>
            </w:r>
            <w:r>
              <w:rPr>
                <w:rFonts w:hint="eastAsia" w:ascii="宋体" w:hAnsi="宋体" w:eastAsia="宋体" w:cs="宋体"/>
                <w:b/>
                <w:bCs/>
                <w:color w:val="auto"/>
                <w:kern w:val="0"/>
                <w:sz w:val="21"/>
                <w:szCs w:val="21"/>
                <w:highlight w:val="none"/>
              </w:rPr>
              <w:t>202</w:t>
            </w:r>
            <w:r>
              <w:rPr>
                <w:rFonts w:hint="eastAsia" w:ascii="宋体" w:hAnsi="宋体" w:eastAsia="宋体" w:cs="宋体"/>
                <w:b/>
                <w:bCs/>
                <w:color w:val="auto"/>
                <w:kern w:val="0"/>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31</w:t>
            </w:r>
            <w:r>
              <w:rPr>
                <w:rFonts w:hint="eastAsia" w:ascii="宋体" w:hAnsi="宋体" w:eastAsia="宋体" w:cs="宋体"/>
                <w:b/>
                <w:bCs/>
                <w:color w:val="auto"/>
                <w:sz w:val="21"/>
                <w:szCs w:val="21"/>
                <w:highlight w:val="none"/>
              </w:rPr>
              <w:t>日</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时</w:t>
            </w:r>
            <w:r>
              <w:rPr>
                <w:rFonts w:hint="eastAsia" w:ascii="宋体" w:hAnsi="宋体" w:eastAsia="宋体" w:cs="宋体"/>
                <w:color w:val="auto"/>
                <w:sz w:val="21"/>
                <w:szCs w:val="21"/>
                <w:highlight w:val="none"/>
              </w:rPr>
              <w:t>（投标截止10 日）</w:t>
            </w:r>
            <w:r>
              <w:rPr>
                <w:rFonts w:hint="eastAsia" w:ascii="宋体" w:hAnsi="宋体" w:eastAsia="宋体" w:cs="宋体"/>
                <w:color w:val="auto"/>
                <w:kern w:val="0"/>
                <w:sz w:val="21"/>
                <w:szCs w:val="21"/>
                <w:highlight w:val="none"/>
              </w:rPr>
              <w:t>前在滁州市公共资源交易中心网电子交易系统中进行异议，具体操作步骤和程序请参见服务指南&gt;交易须知&gt;在线异议、质疑和投诉操作手册。</w:t>
            </w:r>
          </w:p>
        </w:tc>
      </w:tr>
      <w:tr w14:paraId="27D745B9">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7B095FC4">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641B5AB4">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招标人澄清的时间及方式</w:t>
            </w:r>
          </w:p>
        </w:tc>
        <w:tc>
          <w:tcPr>
            <w:tcW w:w="7529" w:type="dxa"/>
            <w:tcBorders>
              <w:top w:val="single" w:color="auto" w:sz="4" w:space="0"/>
              <w:left w:val="single" w:color="auto" w:sz="4" w:space="0"/>
              <w:bottom w:val="single" w:color="auto" w:sz="4" w:space="0"/>
              <w:right w:val="single" w:color="auto" w:sz="4" w:space="0"/>
            </w:tcBorders>
            <w:vAlign w:val="center"/>
          </w:tcPr>
          <w:p w14:paraId="2E31987E">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日17时前</w:t>
            </w:r>
            <w:r>
              <w:rPr>
                <w:rFonts w:hint="eastAsia" w:ascii="宋体" w:hAnsi="宋体" w:eastAsia="宋体" w:cs="宋体"/>
                <w:color w:val="auto"/>
                <w:kern w:val="0"/>
                <w:sz w:val="21"/>
                <w:szCs w:val="21"/>
                <w:highlight w:val="none"/>
              </w:rPr>
              <w:t>在滁州市公共资源交易中心网站</w:t>
            </w:r>
            <w:r>
              <w:rPr>
                <w:rFonts w:hint="eastAsia" w:ascii="宋体" w:hAnsi="宋体" w:eastAsia="宋体" w:cs="宋体"/>
                <w:color w:val="auto"/>
                <w:sz w:val="21"/>
                <w:szCs w:val="21"/>
                <w:highlight w:val="none"/>
              </w:rPr>
              <w:t xml:space="preserve"> “答疑澄清文件”栏目予以公告</w:t>
            </w:r>
            <w:r>
              <w:rPr>
                <w:rFonts w:hint="eastAsia" w:ascii="宋体" w:hAnsi="宋体" w:eastAsia="宋体" w:cs="宋体"/>
                <w:color w:val="auto"/>
                <w:kern w:val="0"/>
                <w:sz w:val="21"/>
                <w:szCs w:val="21"/>
                <w:highlight w:val="none"/>
              </w:rPr>
              <w:t>。</w:t>
            </w:r>
          </w:p>
        </w:tc>
      </w:tr>
      <w:tr w14:paraId="384E9C1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4D2F8F49">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32B32AD3">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构成招标文件的其他材料</w:t>
            </w:r>
          </w:p>
        </w:tc>
        <w:tc>
          <w:tcPr>
            <w:tcW w:w="7529" w:type="dxa"/>
            <w:tcBorders>
              <w:top w:val="single" w:color="auto" w:sz="4" w:space="0"/>
              <w:left w:val="single" w:color="auto" w:sz="4" w:space="0"/>
              <w:bottom w:val="single" w:color="auto" w:sz="4" w:space="0"/>
              <w:right w:val="single" w:color="auto" w:sz="4" w:space="0"/>
            </w:tcBorders>
            <w:vAlign w:val="center"/>
          </w:tcPr>
          <w:p w14:paraId="1BA3309F">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本工程招标澄清答疑文件等。</w:t>
            </w:r>
          </w:p>
        </w:tc>
      </w:tr>
      <w:tr w14:paraId="08017E59">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125CF76E">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21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8D29C6">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投标人要求澄清招标文件的截止时间及方式</w:t>
            </w:r>
          </w:p>
        </w:tc>
        <w:tc>
          <w:tcPr>
            <w:tcW w:w="7529" w:type="dxa"/>
            <w:tcBorders>
              <w:top w:val="single" w:color="auto" w:sz="4" w:space="0"/>
              <w:left w:val="single" w:color="auto" w:sz="4" w:space="0"/>
              <w:bottom w:val="single" w:color="auto" w:sz="4" w:space="0"/>
              <w:right w:val="single" w:color="auto" w:sz="4" w:space="0"/>
            </w:tcBorders>
            <w:shd w:val="clear" w:color="auto" w:fill="auto"/>
            <w:vAlign w:val="center"/>
          </w:tcPr>
          <w:p w14:paraId="47EE6946">
            <w:pPr>
              <w:keepNext w:val="0"/>
              <w:keepLines w:val="0"/>
              <w:pageBreakBefore w:val="0"/>
              <w:kinsoku/>
              <w:overflowPunct/>
              <w:autoSpaceDE/>
              <w:autoSpaceDN/>
              <w:bidi w:val="0"/>
              <w:spacing w:line="5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同本表第13条</w:t>
            </w:r>
          </w:p>
        </w:tc>
      </w:tr>
      <w:tr w14:paraId="7C3AB80F">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1CA923C5">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7FE26F91">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最高投标限价（费率）</w:t>
            </w:r>
          </w:p>
        </w:tc>
        <w:tc>
          <w:tcPr>
            <w:tcW w:w="7529" w:type="dxa"/>
            <w:tcBorders>
              <w:top w:val="single" w:color="auto" w:sz="4" w:space="0"/>
              <w:left w:val="single" w:color="auto" w:sz="4" w:space="0"/>
              <w:bottom w:val="single" w:color="auto" w:sz="4" w:space="0"/>
              <w:right w:val="single" w:color="auto" w:sz="4" w:space="0"/>
            </w:tcBorders>
            <w:vAlign w:val="center"/>
          </w:tcPr>
          <w:p w14:paraId="75CADE11">
            <w:pPr>
              <w:keepNext w:val="0"/>
              <w:keepLines w:val="0"/>
              <w:pageBreakBefore w:val="0"/>
              <w:kinsoku/>
              <w:overflowPunct/>
              <w:autoSpaceDE/>
              <w:autoSpaceDN/>
              <w:bidi w:val="0"/>
              <w:spacing w:line="500" w:lineRule="exact"/>
              <w:ind w:left="31680" w:hanging="14" w:hangingChars="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本项目监理费用最高投标限价（费率）为：</w:t>
            </w:r>
            <w:r>
              <w:rPr>
                <w:rFonts w:hint="eastAsia" w:ascii="宋体" w:hAnsi="宋体" w:cs="宋体"/>
                <w:color w:val="auto"/>
                <w:sz w:val="21"/>
                <w:szCs w:val="21"/>
                <w:highlight w:val="none"/>
                <w:lang w:val="en-US" w:eastAsia="zh-CN"/>
              </w:rPr>
              <w:t>0.8</w:t>
            </w:r>
            <w:r>
              <w:rPr>
                <w:rFonts w:hint="eastAsia" w:ascii="宋体" w:hAnsi="宋体" w:eastAsia="宋体" w:cs="宋体"/>
                <w:color w:val="auto"/>
                <w:sz w:val="21"/>
                <w:szCs w:val="21"/>
                <w:highlight w:val="none"/>
              </w:rPr>
              <w:t>%。</w:t>
            </w:r>
          </w:p>
          <w:p w14:paraId="05125EA8">
            <w:pPr>
              <w:keepNext w:val="0"/>
              <w:keepLines w:val="0"/>
              <w:pageBreakBefore w:val="0"/>
              <w:kinsoku/>
              <w:overflowPunct/>
              <w:autoSpaceDE/>
              <w:autoSpaceDN/>
              <w:bidi w:val="0"/>
              <w:spacing w:line="500" w:lineRule="exact"/>
              <w:ind w:left="31680" w:hanging="14" w:hangingChars="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注：投标报价费率要求精确到小数点后第二位，如填报多位小数的，按小数点后第</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位四舍五入修正投标报价费率（如：某投标报价费率为0.785%，则修正为0.79%；某投标报价费率为0.784%，则修正为0.78%）。投标单位所报费率不得高于招标人发布的最高限价（费率），否则按无效标处理。</w:t>
            </w:r>
          </w:p>
          <w:p w14:paraId="4D0BB36C">
            <w:pPr>
              <w:keepNext w:val="0"/>
              <w:keepLines w:val="0"/>
              <w:pageBreakBefore w:val="0"/>
              <w:kinsoku/>
              <w:overflowPunct/>
              <w:autoSpaceDE/>
              <w:autoSpaceDN/>
              <w:bidi w:val="0"/>
              <w:spacing w:line="500" w:lineRule="exact"/>
              <w:ind w:left="31680" w:hanging="14" w:hangingChars="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监理</w:t>
            </w:r>
            <w:r>
              <w:rPr>
                <w:rFonts w:hint="eastAsia" w:ascii="宋体" w:hAnsi="宋体" w:cs="宋体"/>
                <w:color w:val="auto"/>
                <w:sz w:val="21"/>
                <w:szCs w:val="21"/>
                <w:highlight w:val="none"/>
                <w:lang w:val="en-US" w:eastAsia="zh-CN"/>
              </w:rPr>
              <w:t>费用</w:t>
            </w:r>
            <w:r>
              <w:rPr>
                <w:rFonts w:hint="eastAsia" w:ascii="宋体" w:hAnsi="宋体" w:eastAsia="宋体" w:cs="宋体"/>
                <w:color w:val="auto"/>
                <w:sz w:val="21"/>
                <w:szCs w:val="21"/>
                <w:highlight w:val="none"/>
                <w:lang w:val="en-US" w:eastAsia="zh-CN"/>
              </w:rPr>
              <w:t>最终支付以工程结算价为计费基数，监理费用=基本费+考评费，其中基本费=工程结算价*中标费率*85%，考评费=工程结算价*中标费率*15%*最终考核结果。</w:t>
            </w:r>
            <w:r>
              <w:rPr>
                <w:rFonts w:hint="eastAsia" w:ascii="宋体" w:hAnsi="宋体" w:eastAsia="宋体" w:cs="宋体"/>
                <w:color w:val="auto"/>
                <w:sz w:val="21"/>
                <w:szCs w:val="21"/>
                <w:highlight w:val="none"/>
              </w:rPr>
              <w:t>中标后中标费率不予调整。无论任何原因导致的工期延长，委托人均不再增加监理费用。</w:t>
            </w:r>
            <w:r>
              <w:rPr>
                <w:rFonts w:hint="eastAsia" w:ascii="宋体" w:hAnsi="宋体" w:cs="宋体"/>
                <w:color w:val="auto"/>
                <w:sz w:val="21"/>
                <w:szCs w:val="21"/>
                <w:highlight w:val="none"/>
                <w:lang w:val="en-US" w:eastAsia="zh-CN"/>
              </w:rPr>
              <w:t>无论任何原因导致的工程造价增加或减少，委托人必须按招标文件要求完成所有监理服务内容。</w:t>
            </w:r>
            <w:r>
              <w:rPr>
                <w:rFonts w:hint="eastAsia" w:ascii="宋体" w:hAnsi="宋体" w:eastAsia="宋体" w:cs="宋体"/>
                <w:color w:val="auto"/>
                <w:sz w:val="21"/>
                <w:szCs w:val="21"/>
                <w:highlight w:val="none"/>
              </w:rPr>
              <w:t>注：暂以</w:t>
            </w:r>
            <w:r>
              <w:rPr>
                <w:rFonts w:hint="eastAsia" w:ascii="宋体" w:hAnsi="宋体" w:cs="宋体"/>
                <w:color w:val="auto"/>
                <w:sz w:val="21"/>
                <w:szCs w:val="21"/>
                <w:highlight w:val="none"/>
                <w:lang w:val="en-US" w:eastAsia="zh-CN"/>
              </w:rPr>
              <w:t>2亿元</w:t>
            </w:r>
            <w:r>
              <w:rPr>
                <w:rFonts w:hint="eastAsia" w:ascii="宋体" w:hAnsi="宋体" w:eastAsia="宋体" w:cs="宋体"/>
                <w:color w:val="auto"/>
                <w:sz w:val="21"/>
                <w:szCs w:val="21"/>
                <w:highlight w:val="none"/>
              </w:rPr>
              <w:t>为计费基数计算监理费，最终支付以工程结算价为计费基数计算监理费。</w:t>
            </w:r>
          </w:p>
          <w:p w14:paraId="7052A9A8">
            <w:pPr>
              <w:pStyle w:val="45"/>
              <w:keepNext w:val="0"/>
              <w:keepLines w:val="0"/>
              <w:pageBreakBefore w:val="0"/>
              <w:kinsoku/>
              <w:overflowPunct/>
              <w:autoSpaceDE/>
              <w:autoSpaceDN/>
              <w:bidi w:val="0"/>
              <w:spacing w:line="500" w:lineRule="exact"/>
              <w:ind w:left="0" w:leftChars="0" w:firstLine="0" w:firstLineChars="0"/>
              <w:textAlignment w:val="auto"/>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3</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本项目监理费用中的考评费将在本项目审计结束后由招标人根据最终考核结果进行发放。考评内容包括质量控制、进度控制、投资控制、安全管理、合同信息管理及其他监理服务等，具体详见合同附件《月度考评表》。</w:t>
            </w:r>
          </w:p>
        </w:tc>
      </w:tr>
      <w:tr w14:paraId="1FD58BA9">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161DE46A">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1DA7E48E">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7529" w:type="dxa"/>
            <w:tcBorders>
              <w:top w:val="single" w:color="auto" w:sz="4" w:space="0"/>
              <w:left w:val="single" w:color="auto" w:sz="4" w:space="0"/>
              <w:bottom w:val="single" w:color="auto" w:sz="4" w:space="0"/>
              <w:right w:val="single" w:color="auto" w:sz="4" w:space="0"/>
            </w:tcBorders>
            <w:vAlign w:val="center"/>
          </w:tcPr>
          <w:p w14:paraId="03CECBB4">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投标有效期为</w:t>
            </w:r>
            <w:r>
              <w:rPr>
                <w:rFonts w:hint="eastAsia" w:ascii="宋体" w:hAnsi="宋体" w:eastAsia="宋体" w:cs="宋体"/>
                <w:color w:val="auto"/>
                <w:sz w:val="21"/>
                <w:szCs w:val="21"/>
                <w:highlight w:val="none"/>
                <w:u w:val="single"/>
              </w:rPr>
              <w:t xml:space="preserve"> 90</w:t>
            </w:r>
            <w:r>
              <w:rPr>
                <w:rFonts w:hint="eastAsia" w:ascii="宋体" w:hAnsi="宋体" w:eastAsia="宋体" w:cs="宋体"/>
                <w:color w:val="auto"/>
                <w:sz w:val="21"/>
                <w:szCs w:val="21"/>
                <w:highlight w:val="none"/>
              </w:rPr>
              <w:t>日历天（从投标截止之日算起）。在此期限内，凡符合本招标文件要求的投标文件均保持有效。</w:t>
            </w:r>
          </w:p>
        </w:tc>
      </w:tr>
      <w:tr w14:paraId="732989F4">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19FE11CD">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6F7D6605">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7529" w:type="dxa"/>
            <w:tcBorders>
              <w:top w:val="single" w:color="auto" w:sz="4" w:space="0"/>
              <w:left w:val="single" w:color="auto" w:sz="4" w:space="0"/>
              <w:bottom w:val="single" w:color="auto" w:sz="4" w:space="0"/>
              <w:right w:val="single" w:color="auto" w:sz="4" w:space="0"/>
            </w:tcBorders>
            <w:vAlign w:val="center"/>
          </w:tcPr>
          <w:p w14:paraId="0B6CBC81">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见招标公告</w:t>
            </w:r>
          </w:p>
        </w:tc>
      </w:tr>
      <w:tr w14:paraId="51210708">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7C891516">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3BFA4764">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7529" w:type="dxa"/>
            <w:tcBorders>
              <w:top w:val="single" w:color="auto" w:sz="4" w:space="0"/>
              <w:left w:val="single" w:color="auto" w:sz="4" w:space="0"/>
              <w:bottom w:val="single" w:color="auto" w:sz="4" w:space="0"/>
              <w:right w:val="single" w:color="auto" w:sz="4" w:space="0"/>
            </w:tcBorders>
            <w:vAlign w:val="center"/>
          </w:tcPr>
          <w:p w14:paraId="42DEF23F">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电子投标文件须按格式文件要求签字或盖章（电子签章），招标文件格式中要求“签章”部位，指电子签章或盖章后扫描上传均可。否则经评委会一致认定后，按照无效投标处理。</w:t>
            </w:r>
          </w:p>
        </w:tc>
      </w:tr>
      <w:tr w14:paraId="2E88F230">
        <w:tblPrEx>
          <w:tblCellMar>
            <w:top w:w="0" w:type="dxa"/>
            <w:left w:w="108" w:type="dxa"/>
            <w:bottom w:w="0" w:type="dxa"/>
            <w:right w:w="108" w:type="dxa"/>
          </w:tblCellMar>
        </w:tblPrEx>
        <w:trPr>
          <w:trHeight w:val="2094"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52B954BC">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5486C7FF">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7529" w:type="dxa"/>
            <w:tcBorders>
              <w:top w:val="single" w:color="auto" w:sz="4" w:space="0"/>
              <w:left w:val="single" w:color="auto" w:sz="4" w:space="0"/>
              <w:bottom w:val="single" w:color="auto" w:sz="4" w:space="0"/>
              <w:right w:val="single" w:color="auto" w:sz="4" w:space="0"/>
            </w:tcBorders>
            <w:vAlign w:val="center"/>
          </w:tcPr>
          <w:p w14:paraId="54087208">
            <w:pPr>
              <w:pStyle w:val="45"/>
              <w:keepNext w:val="0"/>
              <w:keepLines w:val="0"/>
              <w:pageBreakBefore w:val="0"/>
              <w:kinsoku/>
              <w:overflowPunct/>
              <w:autoSpaceDE/>
              <w:autoSpaceDN/>
              <w:bidi w:val="0"/>
              <w:spacing w:line="5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加密电子投标文件应在投标截止时间前通过交易中心电子交易系统上传。</w:t>
            </w:r>
          </w:p>
          <w:p w14:paraId="46403757">
            <w:pPr>
              <w:pStyle w:val="45"/>
              <w:keepNext w:val="0"/>
              <w:keepLines w:val="0"/>
              <w:pageBreakBefore w:val="0"/>
              <w:kinsoku/>
              <w:overflowPunct/>
              <w:autoSpaceDE/>
              <w:autoSpaceDN/>
              <w:bidi w:val="0"/>
              <w:spacing w:line="5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（投标人中标后须递交与网上电子投标文件完全一致的纸质版投标文件，并按要求加盖单位章；份数：正本</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份，副本</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份；中标人领取中标通知书时，一并递交给招标代理机构）。</w:t>
            </w:r>
          </w:p>
        </w:tc>
      </w:tr>
      <w:tr w14:paraId="633FAE75">
        <w:tblPrEx>
          <w:tblCellMar>
            <w:top w:w="0" w:type="dxa"/>
            <w:left w:w="108" w:type="dxa"/>
            <w:bottom w:w="0" w:type="dxa"/>
            <w:right w:w="108" w:type="dxa"/>
          </w:tblCellMar>
        </w:tblPrEx>
        <w:trPr>
          <w:trHeight w:val="510" w:hRule="atLeast"/>
          <w:jc w:val="center"/>
        </w:trPr>
        <w:tc>
          <w:tcPr>
            <w:tcW w:w="868" w:type="dxa"/>
            <w:vMerge w:val="restart"/>
            <w:tcBorders>
              <w:left w:val="single" w:color="auto" w:sz="4" w:space="0"/>
              <w:right w:val="single" w:color="auto" w:sz="4" w:space="0"/>
            </w:tcBorders>
            <w:vAlign w:val="center"/>
          </w:tcPr>
          <w:p w14:paraId="73810E76">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23026A5F">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w:t>
            </w:r>
          </w:p>
        </w:tc>
        <w:tc>
          <w:tcPr>
            <w:tcW w:w="7529" w:type="dxa"/>
            <w:tcBorders>
              <w:top w:val="single" w:color="auto" w:sz="4" w:space="0"/>
              <w:left w:val="single" w:color="auto" w:sz="4" w:space="0"/>
              <w:bottom w:val="single" w:color="auto" w:sz="4" w:space="0"/>
              <w:right w:val="single" w:color="auto" w:sz="4" w:space="0"/>
            </w:tcBorders>
            <w:vAlign w:val="center"/>
          </w:tcPr>
          <w:p w14:paraId="0A833E1A">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pacing w:val="-4"/>
                <w:kern w:val="0"/>
                <w:sz w:val="21"/>
                <w:szCs w:val="21"/>
                <w:highlight w:val="none"/>
              </w:rPr>
              <w:t>202</w:t>
            </w:r>
            <w:r>
              <w:rPr>
                <w:rFonts w:hint="eastAsia" w:ascii="宋体" w:hAnsi="宋体" w:eastAsia="宋体" w:cs="宋体"/>
                <w:b/>
                <w:color w:val="auto"/>
                <w:spacing w:val="-4"/>
                <w:kern w:val="0"/>
                <w:sz w:val="21"/>
                <w:szCs w:val="21"/>
                <w:highlight w:val="none"/>
                <w:lang w:val="en-US" w:eastAsia="zh-CN"/>
              </w:rPr>
              <w:t>5</w:t>
            </w:r>
            <w:r>
              <w:rPr>
                <w:rFonts w:hint="eastAsia" w:ascii="宋体" w:hAnsi="宋体" w:eastAsia="宋体" w:cs="宋体"/>
                <w:b/>
                <w:color w:val="auto"/>
                <w:spacing w:val="-4"/>
                <w:kern w:val="0"/>
                <w:sz w:val="21"/>
                <w:szCs w:val="21"/>
                <w:highlight w:val="none"/>
              </w:rPr>
              <w:t>年</w:t>
            </w:r>
            <w:r>
              <w:rPr>
                <w:rFonts w:hint="eastAsia" w:ascii="宋体" w:hAnsi="宋体" w:cs="宋体"/>
                <w:b/>
                <w:color w:val="auto"/>
                <w:spacing w:val="-4"/>
                <w:kern w:val="0"/>
                <w:sz w:val="21"/>
                <w:szCs w:val="21"/>
                <w:highlight w:val="none"/>
                <w:lang w:val="en-US" w:eastAsia="zh-CN"/>
              </w:rPr>
              <w:t>9</w:t>
            </w:r>
            <w:r>
              <w:rPr>
                <w:rFonts w:hint="eastAsia" w:ascii="宋体" w:hAnsi="宋体" w:eastAsia="宋体" w:cs="宋体"/>
                <w:b/>
                <w:color w:val="auto"/>
                <w:spacing w:val="-4"/>
                <w:kern w:val="0"/>
                <w:sz w:val="21"/>
                <w:szCs w:val="21"/>
                <w:highlight w:val="none"/>
              </w:rPr>
              <w:t>月</w:t>
            </w:r>
            <w:r>
              <w:rPr>
                <w:rFonts w:hint="eastAsia" w:ascii="宋体" w:hAnsi="宋体" w:cs="宋体"/>
                <w:b/>
                <w:color w:val="auto"/>
                <w:spacing w:val="-4"/>
                <w:kern w:val="0"/>
                <w:sz w:val="21"/>
                <w:szCs w:val="21"/>
                <w:highlight w:val="none"/>
                <w:lang w:val="en-US" w:eastAsia="zh-CN"/>
              </w:rPr>
              <w:t>10</w:t>
            </w:r>
            <w:r>
              <w:rPr>
                <w:rFonts w:hint="eastAsia" w:ascii="宋体" w:hAnsi="宋体" w:eastAsia="宋体" w:cs="宋体"/>
                <w:b/>
                <w:color w:val="auto"/>
                <w:spacing w:val="-4"/>
                <w:kern w:val="0"/>
                <w:sz w:val="21"/>
                <w:szCs w:val="21"/>
                <w:highlight w:val="none"/>
              </w:rPr>
              <w:t>日08时</w:t>
            </w:r>
            <w:r>
              <w:rPr>
                <w:rFonts w:hint="eastAsia" w:ascii="宋体" w:hAnsi="宋体" w:eastAsia="宋体" w:cs="宋体"/>
                <w:b/>
                <w:color w:val="auto"/>
                <w:spacing w:val="-4"/>
                <w:kern w:val="0"/>
                <w:sz w:val="21"/>
                <w:szCs w:val="21"/>
                <w:highlight w:val="none"/>
                <w:lang w:val="en-US" w:eastAsia="zh-CN"/>
              </w:rPr>
              <w:t>00</w:t>
            </w:r>
            <w:r>
              <w:rPr>
                <w:rFonts w:hint="eastAsia" w:ascii="宋体" w:hAnsi="宋体" w:eastAsia="宋体" w:cs="宋体"/>
                <w:b/>
                <w:color w:val="auto"/>
                <w:spacing w:val="-4"/>
                <w:kern w:val="0"/>
                <w:sz w:val="21"/>
                <w:szCs w:val="21"/>
                <w:highlight w:val="none"/>
              </w:rPr>
              <w:t>分（北京时间）</w:t>
            </w:r>
          </w:p>
        </w:tc>
      </w:tr>
      <w:tr w14:paraId="327DA756">
        <w:tblPrEx>
          <w:tblCellMar>
            <w:top w:w="0" w:type="dxa"/>
            <w:left w:w="108" w:type="dxa"/>
            <w:bottom w:w="0" w:type="dxa"/>
            <w:right w:w="108" w:type="dxa"/>
          </w:tblCellMar>
        </w:tblPrEx>
        <w:trPr>
          <w:jc w:val="center"/>
        </w:trPr>
        <w:tc>
          <w:tcPr>
            <w:tcW w:w="868" w:type="dxa"/>
            <w:vMerge w:val="continue"/>
            <w:tcBorders>
              <w:left w:val="single" w:color="auto" w:sz="4" w:space="0"/>
              <w:right w:val="single" w:color="auto" w:sz="4" w:space="0"/>
            </w:tcBorders>
            <w:vAlign w:val="center"/>
          </w:tcPr>
          <w:p w14:paraId="3510B26B">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11963544">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解密截止时间</w:t>
            </w:r>
          </w:p>
        </w:tc>
        <w:tc>
          <w:tcPr>
            <w:tcW w:w="7529" w:type="dxa"/>
            <w:tcBorders>
              <w:top w:val="single" w:color="auto" w:sz="4" w:space="0"/>
              <w:left w:val="single" w:color="auto" w:sz="4" w:space="0"/>
              <w:bottom w:val="single" w:color="auto" w:sz="4" w:space="0"/>
              <w:right w:val="single" w:color="auto" w:sz="4" w:space="0"/>
            </w:tcBorders>
            <w:vAlign w:val="center"/>
          </w:tcPr>
          <w:p w14:paraId="2B406CE6">
            <w:pPr>
              <w:keepNext w:val="0"/>
              <w:keepLines w:val="0"/>
              <w:pageBreakBefore w:val="0"/>
              <w:kinsoku/>
              <w:wordWrap w:val="0"/>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解密程序开始后60分钟内（以本项目网上招投标系统解密倒计时为准）。</w:t>
            </w:r>
          </w:p>
          <w:p w14:paraId="450398D0">
            <w:pPr>
              <w:keepNext w:val="0"/>
              <w:keepLines w:val="0"/>
              <w:pageBreakBefore w:val="0"/>
              <w:kinsoku/>
              <w:wordWrap w:val="0"/>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解密时间为</w:t>
            </w:r>
            <w:r>
              <w:rPr>
                <w:rFonts w:hint="eastAsia" w:ascii="宋体" w:hAnsi="宋体" w:eastAsia="宋体" w:cs="宋体"/>
                <w:b/>
                <w:color w:val="auto"/>
                <w:kern w:val="0"/>
                <w:sz w:val="21"/>
                <w:szCs w:val="21"/>
                <w:highlight w:val="none"/>
              </w:rPr>
              <w:t>202</w:t>
            </w:r>
            <w:r>
              <w:rPr>
                <w:rFonts w:hint="eastAsia" w:ascii="宋体" w:hAnsi="宋体" w:eastAsia="宋体" w:cs="宋体"/>
                <w:b/>
                <w:color w:val="auto"/>
                <w:kern w:val="0"/>
                <w:sz w:val="21"/>
                <w:szCs w:val="21"/>
                <w:highlight w:val="none"/>
                <w:lang w:val="en-US" w:eastAsia="zh-CN"/>
              </w:rPr>
              <w:t>5</w:t>
            </w:r>
            <w:r>
              <w:rPr>
                <w:rFonts w:hint="eastAsia" w:ascii="宋体" w:hAnsi="宋体" w:eastAsia="宋体" w:cs="宋体"/>
                <w:b/>
                <w:color w:val="auto"/>
                <w:kern w:val="0"/>
                <w:sz w:val="21"/>
                <w:szCs w:val="21"/>
                <w:highlight w:val="none"/>
              </w:rPr>
              <w:t>年</w:t>
            </w:r>
            <w:r>
              <w:rPr>
                <w:rFonts w:hint="eastAsia" w:ascii="宋体" w:hAnsi="宋体" w:cs="宋体"/>
                <w:b/>
                <w:color w:val="auto"/>
                <w:kern w:val="0"/>
                <w:sz w:val="21"/>
                <w:szCs w:val="21"/>
                <w:highlight w:val="none"/>
                <w:lang w:val="en-US" w:eastAsia="zh-CN"/>
              </w:rPr>
              <w:t>9</w:t>
            </w:r>
            <w:r>
              <w:rPr>
                <w:rFonts w:hint="eastAsia" w:ascii="宋体" w:hAnsi="宋体" w:eastAsia="宋体" w:cs="宋体"/>
                <w:b/>
                <w:color w:val="auto"/>
                <w:kern w:val="0"/>
                <w:sz w:val="21"/>
                <w:szCs w:val="21"/>
                <w:highlight w:val="none"/>
              </w:rPr>
              <w:t>月</w:t>
            </w:r>
            <w:r>
              <w:rPr>
                <w:rFonts w:hint="eastAsia" w:ascii="宋体" w:hAnsi="宋体" w:cs="宋体"/>
                <w:b/>
                <w:color w:val="auto"/>
                <w:kern w:val="0"/>
                <w:sz w:val="21"/>
                <w:szCs w:val="21"/>
                <w:highlight w:val="none"/>
                <w:lang w:val="en-US" w:eastAsia="zh-CN"/>
              </w:rPr>
              <w:t>10</w:t>
            </w:r>
            <w:r>
              <w:rPr>
                <w:rFonts w:hint="eastAsia" w:ascii="宋体" w:hAnsi="宋体" w:eastAsia="宋体" w:cs="宋体"/>
                <w:b/>
                <w:color w:val="auto"/>
                <w:kern w:val="0"/>
                <w:sz w:val="21"/>
                <w:szCs w:val="21"/>
                <w:highlight w:val="none"/>
              </w:rPr>
              <w:t>日8时</w:t>
            </w:r>
            <w:r>
              <w:rPr>
                <w:rFonts w:hint="eastAsia" w:ascii="宋体" w:hAnsi="宋体" w:eastAsia="宋体" w:cs="宋体"/>
                <w:b/>
                <w:color w:val="auto"/>
                <w:kern w:val="0"/>
                <w:sz w:val="21"/>
                <w:szCs w:val="21"/>
                <w:highlight w:val="none"/>
                <w:lang w:val="en-US" w:eastAsia="zh-CN"/>
              </w:rPr>
              <w:t>00</w:t>
            </w:r>
            <w:r>
              <w:rPr>
                <w:rFonts w:hint="eastAsia" w:ascii="宋体" w:hAnsi="宋体" w:eastAsia="宋体" w:cs="宋体"/>
                <w:b/>
                <w:color w:val="auto"/>
                <w:kern w:val="0"/>
                <w:sz w:val="21"/>
                <w:szCs w:val="21"/>
                <w:highlight w:val="none"/>
              </w:rPr>
              <w:t>分</w:t>
            </w:r>
            <w:r>
              <w:rPr>
                <w:rFonts w:hint="eastAsia" w:ascii="宋体" w:hAnsi="宋体" w:eastAsia="宋体" w:cs="宋体"/>
                <w:b/>
                <w:color w:val="auto"/>
                <w:sz w:val="21"/>
                <w:szCs w:val="21"/>
                <w:highlight w:val="none"/>
              </w:rPr>
              <w:t>至</w:t>
            </w:r>
            <w:bookmarkStart w:id="51" w:name="_Toc35424885"/>
            <w:r>
              <w:rPr>
                <w:rFonts w:hint="eastAsia" w:ascii="宋体" w:hAnsi="宋体" w:eastAsia="宋体" w:cs="宋体"/>
                <w:b/>
                <w:color w:val="auto"/>
                <w:kern w:val="0"/>
                <w:sz w:val="21"/>
                <w:szCs w:val="21"/>
                <w:highlight w:val="none"/>
              </w:rPr>
              <w:t>202</w:t>
            </w:r>
            <w:r>
              <w:rPr>
                <w:rFonts w:hint="eastAsia" w:ascii="宋体" w:hAnsi="宋体" w:eastAsia="宋体" w:cs="宋体"/>
                <w:b/>
                <w:color w:val="auto"/>
                <w:kern w:val="0"/>
                <w:sz w:val="21"/>
                <w:szCs w:val="21"/>
                <w:highlight w:val="none"/>
                <w:lang w:val="en-US" w:eastAsia="zh-CN"/>
              </w:rPr>
              <w:t>5</w:t>
            </w:r>
            <w:r>
              <w:rPr>
                <w:rFonts w:hint="eastAsia" w:ascii="宋体" w:hAnsi="宋体" w:eastAsia="宋体" w:cs="宋体"/>
                <w:b/>
                <w:color w:val="auto"/>
                <w:kern w:val="0"/>
                <w:sz w:val="21"/>
                <w:szCs w:val="21"/>
                <w:highlight w:val="none"/>
              </w:rPr>
              <w:t>年</w:t>
            </w:r>
            <w:r>
              <w:rPr>
                <w:rFonts w:hint="eastAsia" w:ascii="宋体" w:hAnsi="宋体" w:cs="宋体"/>
                <w:b/>
                <w:color w:val="auto"/>
                <w:kern w:val="0"/>
                <w:sz w:val="21"/>
                <w:szCs w:val="21"/>
                <w:highlight w:val="none"/>
                <w:lang w:val="en-US" w:eastAsia="zh-CN"/>
              </w:rPr>
              <w:t>9</w:t>
            </w:r>
            <w:r>
              <w:rPr>
                <w:rFonts w:hint="eastAsia" w:ascii="宋体" w:hAnsi="宋体" w:eastAsia="宋体" w:cs="宋体"/>
                <w:b/>
                <w:color w:val="auto"/>
                <w:kern w:val="0"/>
                <w:sz w:val="21"/>
                <w:szCs w:val="21"/>
                <w:highlight w:val="none"/>
              </w:rPr>
              <w:t>月</w:t>
            </w:r>
            <w:r>
              <w:rPr>
                <w:rFonts w:hint="eastAsia" w:ascii="宋体" w:hAnsi="宋体" w:cs="宋体"/>
                <w:b/>
                <w:color w:val="auto"/>
                <w:kern w:val="0"/>
                <w:sz w:val="21"/>
                <w:szCs w:val="21"/>
                <w:highlight w:val="none"/>
                <w:lang w:val="en-US" w:eastAsia="zh-CN"/>
              </w:rPr>
              <w:t>10</w:t>
            </w:r>
            <w:r>
              <w:rPr>
                <w:rFonts w:hint="eastAsia" w:ascii="宋体" w:hAnsi="宋体" w:eastAsia="宋体" w:cs="宋体"/>
                <w:b/>
                <w:color w:val="auto"/>
                <w:kern w:val="0"/>
                <w:sz w:val="21"/>
                <w:szCs w:val="21"/>
                <w:highlight w:val="none"/>
              </w:rPr>
              <w:t>日9时</w:t>
            </w:r>
            <w:r>
              <w:rPr>
                <w:rFonts w:hint="eastAsia" w:ascii="宋体" w:hAnsi="宋体" w:eastAsia="宋体" w:cs="宋体"/>
                <w:b/>
                <w:color w:val="auto"/>
                <w:kern w:val="0"/>
                <w:sz w:val="21"/>
                <w:szCs w:val="21"/>
                <w:highlight w:val="none"/>
                <w:lang w:val="en-US" w:eastAsia="zh-CN"/>
              </w:rPr>
              <w:t>00</w:t>
            </w:r>
            <w:r>
              <w:rPr>
                <w:rFonts w:hint="eastAsia" w:ascii="宋体" w:hAnsi="宋体" w:eastAsia="宋体" w:cs="宋体"/>
                <w:b/>
                <w:color w:val="auto"/>
                <w:kern w:val="0"/>
                <w:sz w:val="21"/>
                <w:szCs w:val="21"/>
                <w:highlight w:val="none"/>
              </w:rPr>
              <w:t>分</w:t>
            </w:r>
            <w:bookmarkEnd w:id="51"/>
          </w:p>
        </w:tc>
      </w:tr>
      <w:tr w14:paraId="44A68E2B">
        <w:tblPrEx>
          <w:tblCellMar>
            <w:top w:w="0" w:type="dxa"/>
            <w:left w:w="108" w:type="dxa"/>
            <w:bottom w:w="0" w:type="dxa"/>
            <w:right w:w="108" w:type="dxa"/>
          </w:tblCellMar>
        </w:tblPrEx>
        <w:trPr>
          <w:jc w:val="center"/>
        </w:trPr>
        <w:tc>
          <w:tcPr>
            <w:tcW w:w="868" w:type="dxa"/>
            <w:vMerge w:val="continue"/>
            <w:tcBorders>
              <w:left w:val="single" w:color="auto" w:sz="4" w:space="0"/>
              <w:right w:val="single" w:color="auto" w:sz="4" w:space="0"/>
            </w:tcBorders>
            <w:vAlign w:val="center"/>
          </w:tcPr>
          <w:p w14:paraId="4AAC3568">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5C2A55F7">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递交投标文件地点</w:t>
            </w:r>
          </w:p>
        </w:tc>
        <w:tc>
          <w:tcPr>
            <w:tcW w:w="7529" w:type="dxa"/>
            <w:tcBorders>
              <w:top w:val="single" w:color="auto" w:sz="4" w:space="0"/>
              <w:left w:val="single" w:color="auto" w:sz="4" w:space="0"/>
              <w:bottom w:val="single" w:color="auto" w:sz="4" w:space="0"/>
              <w:right w:val="single" w:color="auto" w:sz="4" w:space="0"/>
            </w:tcBorders>
            <w:vAlign w:val="center"/>
          </w:tcPr>
          <w:p w14:paraId="6F06E4FF">
            <w:pPr>
              <w:keepNext w:val="0"/>
              <w:keepLines w:val="0"/>
              <w:pageBreakBefore w:val="0"/>
              <w:kinsoku/>
              <w:overflowPunct/>
              <w:autoSpaceDE/>
              <w:autoSpaceDN/>
              <w:bidi w:val="0"/>
              <w:adjustRightInd w:val="0"/>
              <w:snapToGrid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加密的电子投标文件：必须在投标截止时间前网上递交。</w:t>
            </w:r>
          </w:p>
          <w:p w14:paraId="4ADDD768">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(本项目采取远程解密方式，投标人无需递交电子光盘)</w:t>
            </w:r>
          </w:p>
        </w:tc>
      </w:tr>
      <w:tr w14:paraId="378BA806">
        <w:tblPrEx>
          <w:tblCellMar>
            <w:top w:w="0" w:type="dxa"/>
            <w:left w:w="108" w:type="dxa"/>
            <w:bottom w:w="0" w:type="dxa"/>
            <w:right w:w="108" w:type="dxa"/>
          </w:tblCellMar>
        </w:tblPrEx>
        <w:trPr>
          <w:jc w:val="center"/>
        </w:trPr>
        <w:tc>
          <w:tcPr>
            <w:tcW w:w="868" w:type="dxa"/>
            <w:vMerge w:val="continue"/>
            <w:tcBorders>
              <w:left w:val="single" w:color="auto" w:sz="4" w:space="0"/>
              <w:right w:val="single" w:color="auto" w:sz="4" w:space="0"/>
            </w:tcBorders>
            <w:vAlign w:val="center"/>
          </w:tcPr>
          <w:p w14:paraId="1AC69ABC">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56064FDE">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开标时间及地点</w:t>
            </w:r>
          </w:p>
        </w:tc>
        <w:tc>
          <w:tcPr>
            <w:tcW w:w="7529" w:type="dxa"/>
            <w:tcBorders>
              <w:top w:val="single" w:color="auto" w:sz="4" w:space="0"/>
              <w:left w:val="single" w:color="auto" w:sz="4" w:space="0"/>
              <w:bottom w:val="single" w:color="auto" w:sz="4" w:space="0"/>
              <w:right w:val="single" w:color="auto" w:sz="4" w:space="0"/>
            </w:tcBorders>
            <w:vAlign w:val="center"/>
          </w:tcPr>
          <w:p w14:paraId="0E51E9ED">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开标时间：同投标截止时间</w:t>
            </w:r>
          </w:p>
          <w:p w14:paraId="39B94A2C">
            <w:pPr>
              <w:keepNext w:val="0"/>
              <w:keepLines w:val="0"/>
              <w:pageBreakBefore w:val="0"/>
              <w:kinsoku/>
              <w:overflowPunct/>
              <w:autoSpaceDE/>
              <w:autoSpaceDN/>
              <w:bidi w:val="0"/>
              <w:spacing w:line="5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开标地点：</w:t>
            </w:r>
            <w:r>
              <w:rPr>
                <w:rFonts w:hint="eastAsia" w:ascii="宋体" w:hAnsi="宋体" w:cs="宋体"/>
                <w:color w:val="auto"/>
                <w:sz w:val="21"/>
                <w:szCs w:val="21"/>
                <w:highlight w:val="none"/>
                <w:lang w:val="en-US" w:eastAsia="zh-CN"/>
              </w:rPr>
              <w:t>见招标公告</w:t>
            </w:r>
          </w:p>
        </w:tc>
      </w:tr>
      <w:tr w14:paraId="39005A18">
        <w:tblPrEx>
          <w:tblCellMar>
            <w:top w:w="0" w:type="dxa"/>
            <w:left w:w="108" w:type="dxa"/>
            <w:bottom w:w="0" w:type="dxa"/>
            <w:right w:w="108" w:type="dxa"/>
          </w:tblCellMar>
        </w:tblPrEx>
        <w:trPr>
          <w:trHeight w:val="557" w:hRule="atLeast"/>
          <w:jc w:val="center"/>
        </w:trPr>
        <w:tc>
          <w:tcPr>
            <w:tcW w:w="868" w:type="dxa"/>
            <w:vMerge w:val="continue"/>
            <w:tcBorders>
              <w:left w:val="single" w:color="auto" w:sz="4" w:space="0"/>
              <w:right w:val="single" w:color="auto" w:sz="4" w:space="0"/>
            </w:tcBorders>
            <w:vAlign w:val="center"/>
          </w:tcPr>
          <w:p w14:paraId="55F7D19A">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1B5AC1AF">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开标顺序</w:t>
            </w:r>
          </w:p>
        </w:tc>
        <w:tc>
          <w:tcPr>
            <w:tcW w:w="7529" w:type="dxa"/>
            <w:tcBorders>
              <w:top w:val="single" w:color="auto" w:sz="4" w:space="0"/>
              <w:left w:val="single" w:color="auto" w:sz="4" w:space="0"/>
              <w:bottom w:val="single" w:color="auto" w:sz="4" w:space="0"/>
              <w:right w:val="single" w:color="auto" w:sz="4" w:space="0"/>
            </w:tcBorders>
            <w:vAlign w:val="center"/>
          </w:tcPr>
          <w:p w14:paraId="61AC48EB">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开标顺序：解密电子投标文件后，由评标委员会评审。</w:t>
            </w:r>
          </w:p>
        </w:tc>
      </w:tr>
      <w:tr w14:paraId="5BD070EF">
        <w:tblPrEx>
          <w:tblCellMar>
            <w:top w:w="0" w:type="dxa"/>
            <w:left w:w="108" w:type="dxa"/>
            <w:bottom w:w="0" w:type="dxa"/>
            <w:right w:w="108" w:type="dxa"/>
          </w:tblCellMar>
        </w:tblPrEx>
        <w:trPr>
          <w:trHeight w:val="488"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7CDDB33B">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2B5C8869">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7529" w:type="dxa"/>
            <w:tcBorders>
              <w:top w:val="single" w:color="auto" w:sz="4" w:space="0"/>
              <w:left w:val="single" w:color="auto" w:sz="4" w:space="0"/>
              <w:bottom w:val="single" w:color="auto" w:sz="4" w:space="0"/>
              <w:right w:val="single" w:color="auto" w:sz="4" w:space="0"/>
            </w:tcBorders>
            <w:vAlign w:val="center"/>
          </w:tcPr>
          <w:p w14:paraId="29F64284">
            <w:pPr>
              <w:keepNext w:val="0"/>
              <w:keepLines w:val="0"/>
              <w:pageBreakBefore w:val="0"/>
              <w:kinsoku/>
              <w:wordWrap w:val="0"/>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评标委员会构成：</w:t>
            </w:r>
            <w:r>
              <w:rPr>
                <w:rFonts w:hint="eastAsia" w:ascii="宋体" w:hAnsi="宋体" w:eastAsia="宋体" w:cs="宋体"/>
                <w:b/>
                <w:bCs/>
                <w:color w:val="auto"/>
                <w:sz w:val="21"/>
                <w:szCs w:val="21"/>
                <w:highlight w:val="none"/>
                <w:u w:val="none"/>
                <w:lang w:val="en-US" w:eastAsia="zh-CN"/>
              </w:rPr>
              <w:t>5人，其中招标人代表0人，评标专家5人</w:t>
            </w:r>
          </w:p>
          <w:p w14:paraId="671A8D4C">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评标专家确定方式：专家评委由招标人在开标前从专家库中随机抽取。</w:t>
            </w:r>
          </w:p>
        </w:tc>
      </w:tr>
      <w:tr w14:paraId="62A27BC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12591E87">
            <w:pPr>
              <w:keepNext w:val="0"/>
              <w:keepLines w:val="0"/>
              <w:pageBreakBefore w:val="0"/>
              <w:kinsoku/>
              <w:overflowPunct/>
              <w:autoSpaceDE/>
              <w:autoSpaceDN/>
              <w:bidi w:val="0"/>
              <w:spacing w:line="5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2768A012">
            <w:pPr>
              <w:keepNext w:val="0"/>
              <w:keepLines w:val="0"/>
              <w:pageBreakBefore w:val="0"/>
              <w:kinsoku/>
              <w:overflowPunct/>
              <w:autoSpaceDE/>
              <w:autoSpaceDN/>
              <w:bidi w:val="0"/>
              <w:spacing w:line="5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评标委员会确定中标候选人的人数</w:t>
            </w:r>
          </w:p>
        </w:tc>
        <w:tc>
          <w:tcPr>
            <w:tcW w:w="7529" w:type="dxa"/>
            <w:tcBorders>
              <w:top w:val="single" w:color="auto" w:sz="4" w:space="0"/>
              <w:left w:val="single" w:color="auto" w:sz="4" w:space="0"/>
              <w:bottom w:val="single" w:color="auto" w:sz="4" w:space="0"/>
              <w:right w:val="single" w:color="auto" w:sz="4" w:space="0"/>
            </w:tcBorders>
            <w:vAlign w:val="center"/>
          </w:tcPr>
          <w:p w14:paraId="30BB82C1">
            <w:pPr>
              <w:keepNext w:val="0"/>
              <w:keepLines w:val="0"/>
              <w:pageBreakBefore w:val="0"/>
              <w:kinsoku/>
              <w:overflowPunct/>
              <w:autoSpaceDE/>
              <w:autoSpaceDN/>
              <w:bidi w:val="0"/>
              <w:spacing w:line="5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名，并标明排序。</w:t>
            </w:r>
          </w:p>
        </w:tc>
      </w:tr>
      <w:tr w14:paraId="10260F67">
        <w:tblPrEx>
          <w:tblCellMar>
            <w:top w:w="0" w:type="dxa"/>
            <w:left w:w="108" w:type="dxa"/>
            <w:bottom w:w="0" w:type="dxa"/>
            <w:right w:w="108" w:type="dxa"/>
          </w:tblCellMar>
        </w:tblPrEx>
        <w:trPr>
          <w:jc w:val="center"/>
        </w:trPr>
        <w:tc>
          <w:tcPr>
            <w:tcW w:w="868" w:type="dxa"/>
            <w:tcBorders>
              <w:top w:val="single" w:color="auto" w:sz="4" w:space="0"/>
              <w:left w:val="single" w:color="auto" w:sz="4" w:space="0"/>
              <w:right w:val="single" w:color="auto" w:sz="4" w:space="0"/>
            </w:tcBorders>
            <w:vAlign w:val="center"/>
          </w:tcPr>
          <w:p w14:paraId="6C9C4DFA">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2130" w:type="dxa"/>
            <w:gridSpan w:val="2"/>
            <w:tcBorders>
              <w:top w:val="single" w:color="auto" w:sz="4" w:space="0"/>
              <w:left w:val="single" w:color="auto" w:sz="4" w:space="0"/>
              <w:right w:val="single" w:color="auto" w:sz="4" w:space="0"/>
            </w:tcBorders>
            <w:vAlign w:val="center"/>
          </w:tcPr>
          <w:p w14:paraId="45997E62">
            <w:pPr>
              <w:keepNext w:val="0"/>
              <w:keepLines w:val="0"/>
              <w:pageBreakBefore w:val="0"/>
              <w:kinsoku/>
              <w:overflowPunct/>
              <w:autoSpaceDE/>
              <w:autoSpaceDN/>
              <w:bidi w:val="0"/>
              <w:adjustRightInd w:val="0"/>
              <w:snapToGrid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中标候选人公示媒介及期限</w:t>
            </w:r>
          </w:p>
        </w:tc>
        <w:tc>
          <w:tcPr>
            <w:tcW w:w="7529" w:type="dxa"/>
            <w:tcBorders>
              <w:top w:val="single" w:color="auto" w:sz="4" w:space="0"/>
              <w:left w:val="single" w:color="auto" w:sz="4" w:space="0"/>
              <w:right w:val="single" w:color="auto" w:sz="4" w:space="0"/>
            </w:tcBorders>
            <w:vAlign w:val="center"/>
          </w:tcPr>
          <w:p w14:paraId="70C08A2D">
            <w:pPr>
              <w:keepNext w:val="0"/>
              <w:keepLines w:val="0"/>
              <w:pageBreakBefore w:val="0"/>
              <w:widowControl/>
              <w:kinsoku/>
              <w:overflowPunct/>
              <w:autoSpaceDE/>
              <w:autoSpaceDN/>
              <w:bidi w:val="0"/>
              <w:adjustRightInd w:val="0"/>
              <w:snapToGrid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公示媒介：同招标公告发布媒介</w:t>
            </w:r>
          </w:p>
          <w:p w14:paraId="734CA555">
            <w:pPr>
              <w:keepNext w:val="0"/>
              <w:keepLines w:val="0"/>
              <w:pageBreakBefore w:val="0"/>
              <w:widowControl/>
              <w:kinsoku/>
              <w:overflowPunct/>
              <w:autoSpaceDE/>
              <w:autoSpaceDN/>
              <w:bidi w:val="0"/>
              <w:adjustRightInd w:val="0"/>
              <w:snapToGrid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公示期限：公示发布次日起3日（如公示第三日为休息日或节假日，则顺延至休息日或节假日后第一个工作日）</w:t>
            </w:r>
          </w:p>
        </w:tc>
      </w:tr>
      <w:tr w14:paraId="1C148BCD">
        <w:tblPrEx>
          <w:tblCellMar>
            <w:top w:w="0" w:type="dxa"/>
            <w:left w:w="108" w:type="dxa"/>
            <w:bottom w:w="0" w:type="dxa"/>
            <w:right w:w="108" w:type="dxa"/>
          </w:tblCellMar>
        </w:tblPrEx>
        <w:trPr>
          <w:jc w:val="center"/>
        </w:trPr>
        <w:tc>
          <w:tcPr>
            <w:tcW w:w="868" w:type="dxa"/>
            <w:tcBorders>
              <w:top w:val="single" w:color="auto" w:sz="4" w:space="0"/>
              <w:left w:val="single" w:color="auto" w:sz="4" w:space="0"/>
              <w:right w:val="single" w:color="auto" w:sz="4" w:space="0"/>
            </w:tcBorders>
            <w:vAlign w:val="center"/>
          </w:tcPr>
          <w:p w14:paraId="209103C1">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2130" w:type="dxa"/>
            <w:gridSpan w:val="2"/>
            <w:tcBorders>
              <w:top w:val="single" w:color="auto" w:sz="4" w:space="0"/>
              <w:left w:val="single" w:color="auto" w:sz="4" w:space="0"/>
              <w:right w:val="single" w:color="auto" w:sz="4" w:space="0"/>
            </w:tcBorders>
            <w:vAlign w:val="center"/>
          </w:tcPr>
          <w:p w14:paraId="4F5ED2E3">
            <w:pPr>
              <w:keepNext w:val="0"/>
              <w:keepLines w:val="0"/>
              <w:pageBreakBefore w:val="0"/>
              <w:kinsoku/>
              <w:overflowPunct/>
              <w:autoSpaceDE/>
              <w:autoSpaceDN/>
              <w:bidi w:val="0"/>
              <w:adjustRightInd w:val="0"/>
              <w:snapToGrid w:val="0"/>
              <w:spacing w:line="5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是否授权评标委员会确定中标人</w:t>
            </w:r>
          </w:p>
        </w:tc>
        <w:tc>
          <w:tcPr>
            <w:tcW w:w="7529" w:type="dxa"/>
            <w:tcBorders>
              <w:top w:val="single" w:color="auto" w:sz="4" w:space="0"/>
              <w:left w:val="single" w:color="auto" w:sz="4" w:space="0"/>
              <w:right w:val="single" w:color="auto" w:sz="4" w:space="0"/>
            </w:tcBorders>
            <w:vAlign w:val="center"/>
          </w:tcPr>
          <w:p w14:paraId="08EDEF71">
            <w:pPr>
              <w:keepNext w:val="0"/>
              <w:keepLines w:val="0"/>
              <w:pageBreakBefore w:val="0"/>
              <w:widowControl/>
              <w:kinsoku/>
              <w:overflowPunct/>
              <w:autoSpaceDE/>
              <w:autoSpaceDN/>
              <w:bidi w:val="0"/>
              <w:adjustRightInd w:val="0"/>
              <w:snapToGrid w:val="0"/>
              <w:spacing w:line="5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否</w:t>
            </w:r>
          </w:p>
        </w:tc>
      </w:tr>
      <w:tr w14:paraId="70779AE9">
        <w:tblPrEx>
          <w:tblCellMar>
            <w:top w:w="0" w:type="dxa"/>
            <w:left w:w="108" w:type="dxa"/>
            <w:bottom w:w="0" w:type="dxa"/>
            <w:right w:w="108" w:type="dxa"/>
          </w:tblCellMar>
        </w:tblPrEx>
        <w:trPr>
          <w:jc w:val="center"/>
        </w:trPr>
        <w:tc>
          <w:tcPr>
            <w:tcW w:w="868" w:type="dxa"/>
            <w:tcBorders>
              <w:top w:val="single" w:color="auto" w:sz="4" w:space="0"/>
              <w:left w:val="single" w:color="auto" w:sz="4" w:space="0"/>
              <w:right w:val="single" w:color="auto" w:sz="4" w:space="0"/>
            </w:tcBorders>
            <w:vAlign w:val="center"/>
          </w:tcPr>
          <w:p w14:paraId="3F1B80DE">
            <w:pPr>
              <w:keepNext w:val="0"/>
              <w:keepLines w:val="0"/>
              <w:pageBreakBefore w:val="0"/>
              <w:kinsoku/>
              <w:overflowPunct/>
              <w:autoSpaceDE/>
              <w:autoSpaceDN/>
              <w:bidi w:val="0"/>
              <w:spacing w:line="5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2130" w:type="dxa"/>
            <w:gridSpan w:val="2"/>
            <w:tcBorders>
              <w:top w:val="single" w:color="auto" w:sz="4" w:space="0"/>
              <w:left w:val="single" w:color="auto" w:sz="4" w:space="0"/>
              <w:right w:val="single" w:color="auto" w:sz="4" w:space="0"/>
            </w:tcBorders>
            <w:shd w:val="clear" w:color="auto" w:fill="auto"/>
            <w:vAlign w:val="center"/>
          </w:tcPr>
          <w:p w14:paraId="7CC0C3D3">
            <w:pPr>
              <w:keepNext w:val="0"/>
              <w:keepLines w:val="0"/>
              <w:pageBreakBefore w:val="0"/>
              <w:kinsoku/>
              <w:wordWrap/>
              <w:overflowPunct/>
              <w:autoSpaceDE/>
              <w:autoSpaceDN/>
              <w:bidi w:val="0"/>
              <w:adjustRightInd w:val="0"/>
              <w:snapToGrid w:val="0"/>
              <w:spacing w:line="5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中标通知书发出形式</w:t>
            </w:r>
          </w:p>
        </w:tc>
        <w:tc>
          <w:tcPr>
            <w:tcW w:w="7529" w:type="dxa"/>
            <w:tcBorders>
              <w:top w:val="single" w:color="auto" w:sz="4" w:space="0"/>
              <w:left w:val="single" w:color="auto" w:sz="4" w:space="0"/>
              <w:right w:val="single" w:color="auto" w:sz="4" w:space="0"/>
            </w:tcBorders>
            <w:shd w:val="clear" w:color="auto" w:fill="auto"/>
            <w:vAlign w:val="center"/>
          </w:tcPr>
          <w:p w14:paraId="3681D5B7">
            <w:pPr>
              <w:keepNext w:val="0"/>
              <w:keepLines w:val="0"/>
              <w:pageBreakBefore w:val="0"/>
              <w:widowControl/>
              <w:kinsoku/>
              <w:wordWrap/>
              <w:overflowPunct/>
              <w:autoSpaceDE/>
              <w:autoSpaceDN/>
              <w:bidi w:val="0"/>
              <w:adjustRightInd w:val="0"/>
              <w:snapToGrid w:val="0"/>
              <w:spacing w:line="5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数据电文</w:t>
            </w:r>
          </w:p>
        </w:tc>
      </w:tr>
      <w:tr w14:paraId="10B5DA8A">
        <w:tblPrEx>
          <w:tblCellMar>
            <w:top w:w="0" w:type="dxa"/>
            <w:left w:w="108" w:type="dxa"/>
            <w:bottom w:w="0" w:type="dxa"/>
            <w:right w:w="108" w:type="dxa"/>
          </w:tblCellMar>
        </w:tblPrEx>
        <w:trPr>
          <w:jc w:val="center"/>
        </w:trPr>
        <w:tc>
          <w:tcPr>
            <w:tcW w:w="868" w:type="dxa"/>
            <w:tcBorders>
              <w:top w:val="single" w:color="auto" w:sz="4" w:space="0"/>
              <w:left w:val="single" w:color="auto" w:sz="4" w:space="0"/>
              <w:right w:val="single" w:color="auto" w:sz="4" w:space="0"/>
            </w:tcBorders>
            <w:vAlign w:val="center"/>
          </w:tcPr>
          <w:p w14:paraId="76AB47E7">
            <w:pPr>
              <w:keepNext w:val="0"/>
              <w:keepLines w:val="0"/>
              <w:pageBreakBefore w:val="0"/>
              <w:kinsoku/>
              <w:overflowPunct/>
              <w:autoSpaceDE/>
              <w:autoSpaceDN/>
              <w:bidi w:val="0"/>
              <w:spacing w:line="5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28</w:t>
            </w:r>
          </w:p>
        </w:tc>
        <w:tc>
          <w:tcPr>
            <w:tcW w:w="2130" w:type="dxa"/>
            <w:gridSpan w:val="2"/>
            <w:tcBorders>
              <w:top w:val="single" w:color="auto" w:sz="4" w:space="0"/>
              <w:left w:val="single" w:color="auto" w:sz="4" w:space="0"/>
              <w:right w:val="single" w:color="auto" w:sz="4" w:space="0"/>
            </w:tcBorders>
            <w:vAlign w:val="center"/>
          </w:tcPr>
          <w:p w14:paraId="146A8E9B">
            <w:pPr>
              <w:keepNext w:val="0"/>
              <w:keepLines w:val="0"/>
              <w:pageBreakBefore w:val="0"/>
              <w:kinsoku/>
              <w:overflowPunct/>
              <w:autoSpaceDE/>
              <w:autoSpaceDN/>
              <w:bidi w:val="0"/>
              <w:adjustRightInd w:val="0"/>
              <w:snapToGrid w:val="0"/>
              <w:spacing w:line="5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中标结果公示媒介</w:t>
            </w:r>
          </w:p>
        </w:tc>
        <w:tc>
          <w:tcPr>
            <w:tcW w:w="7529" w:type="dxa"/>
            <w:tcBorders>
              <w:top w:val="single" w:color="auto" w:sz="4" w:space="0"/>
              <w:left w:val="single" w:color="auto" w:sz="4" w:space="0"/>
              <w:right w:val="single" w:color="auto" w:sz="4" w:space="0"/>
            </w:tcBorders>
            <w:vAlign w:val="center"/>
          </w:tcPr>
          <w:p w14:paraId="4FE07B4D">
            <w:pPr>
              <w:keepNext w:val="0"/>
              <w:keepLines w:val="0"/>
              <w:pageBreakBefore w:val="0"/>
              <w:widowControl/>
              <w:kinsoku/>
              <w:overflowPunct/>
              <w:autoSpaceDE/>
              <w:autoSpaceDN/>
              <w:bidi w:val="0"/>
              <w:adjustRightInd w:val="0"/>
              <w:snapToGrid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公示媒介：同招标公告发布媒介；</w:t>
            </w:r>
          </w:p>
          <w:p w14:paraId="57473026">
            <w:pPr>
              <w:keepNext w:val="0"/>
              <w:keepLines w:val="0"/>
              <w:pageBreakBefore w:val="0"/>
              <w:widowControl/>
              <w:kinsoku/>
              <w:overflowPunct/>
              <w:autoSpaceDE/>
              <w:autoSpaceDN/>
              <w:bidi w:val="0"/>
              <w:adjustRightInd w:val="0"/>
              <w:snapToGrid w:val="0"/>
              <w:spacing w:line="5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公示期限：1日</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公示期截止时间在法定休息日的顺延至首个工作日）</w:t>
            </w:r>
          </w:p>
        </w:tc>
      </w:tr>
      <w:tr w14:paraId="7ECBF5E8">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60B43886">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0B6ABC2D">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7529" w:type="dxa"/>
            <w:tcBorders>
              <w:top w:val="single" w:color="auto" w:sz="4" w:space="0"/>
              <w:left w:val="single" w:color="auto" w:sz="4" w:space="0"/>
              <w:bottom w:val="single" w:color="auto" w:sz="4" w:space="0"/>
              <w:right w:val="single" w:color="auto" w:sz="4" w:space="0"/>
            </w:tcBorders>
            <w:vAlign w:val="center"/>
          </w:tcPr>
          <w:p w14:paraId="282ED968">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要求中标人提交履约保证金。</w:t>
            </w:r>
          </w:p>
          <w:p w14:paraId="706FE6A0">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形式：支持银行转账、银行电汇、银行保函、担保机构担保、保证保险使用。</w:t>
            </w:r>
          </w:p>
          <w:p w14:paraId="177C2360">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金额：</w:t>
            </w:r>
            <w:r>
              <w:rPr>
                <w:rFonts w:hint="eastAsia" w:ascii="宋体" w:hAnsi="宋体" w:eastAsia="宋体" w:cs="宋体"/>
                <w:color w:val="auto"/>
                <w:sz w:val="21"/>
                <w:szCs w:val="21"/>
                <w:highlight w:val="none"/>
                <w:lang w:val="en-US" w:eastAsia="zh-CN"/>
              </w:rPr>
              <w:t>中标监理费</w:t>
            </w:r>
            <w:r>
              <w:rPr>
                <w:rFonts w:hint="eastAsia" w:ascii="宋体" w:hAnsi="宋体" w:eastAsia="宋体" w:cs="宋体"/>
                <w:color w:val="auto"/>
                <w:sz w:val="21"/>
                <w:szCs w:val="21"/>
                <w:highlight w:val="none"/>
              </w:rPr>
              <w:t>×2%</w:t>
            </w:r>
          </w:p>
          <w:p w14:paraId="4870E5EB">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收款单位：滁州苏滁产城开发有限公司 </w:t>
            </w:r>
          </w:p>
          <w:p w14:paraId="653451EB">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开户行：另行通知  </w:t>
            </w:r>
          </w:p>
          <w:p w14:paraId="0DF0EBF7">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银行账号：另行通知</w:t>
            </w:r>
          </w:p>
          <w:p w14:paraId="65FB76AF">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缴纳时限：签订合同前缴纳</w:t>
            </w:r>
          </w:p>
          <w:p w14:paraId="37510CA2">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履约担保退还</w:t>
            </w:r>
            <w:r>
              <w:rPr>
                <w:rFonts w:hint="eastAsia" w:ascii="宋体" w:hAnsi="宋体" w:eastAsia="宋体" w:cs="宋体"/>
                <w:color w:val="auto"/>
                <w:sz w:val="21"/>
                <w:szCs w:val="21"/>
                <w:highlight w:val="none"/>
                <w:lang w:val="en-US" w:eastAsia="zh-CN"/>
              </w:rPr>
              <w:t>时限</w:t>
            </w:r>
            <w:r>
              <w:rPr>
                <w:rFonts w:hint="eastAsia" w:ascii="宋体" w:hAnsi="宋体" w:eastAsia="宋体" w:cs="宋体"/>
                <w:color w:val="auto"/>
                <w:sz w:val="21"/>
                <w:szCs w:val="21"/>
                <w:highlight w:val="none"/>
              </w:rPr>
              <w:t>：履约保证金有效期满7日内（最迟不得超过项目竣工验收</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通过后28天）</w:t>
            </w:r>
          </w:p>
          <w:p w14:paraId="3E818B4A">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其他相关要求：</w:t>
            </w:r>
          </w:p>
          <w:p w14:paraId="652E43E1">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具体要求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满足招标人要求。</w:t>
            </w:r>
          </w:p>
          <w:p w14:paraId="4163F251">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联合体参加投标且中标的，以联合体牵头人的名义按上述要求缴纳履约担保。</w:t>
            </w:r>
          </w:p>
        </w:tc>
      </w:tr>
      <w:tr w14:paraId="7A73C376">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7F852FE6">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4F035DB6">
            <w:pPr>
              <w:keepNext w:val="0"/>
              <w:keepLines w:val="0"/>
              <w:pageBreakBefore w:val="0"/>
              <w:kinsoku/>
              <w:overflowPunct/>
              <w:autoSpaceDE/>
              <w:autoSpaceDN/>
              <w:bidi w:val="0"/>
              <w:adjustRightInd w:val="0"/>
              <w:snapToGrid w:val="0"/>
              <w:spacing w:line="5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签订合同</w:t>
            </w:r>
          </w:p>
        </w:tc>
        <w:tc>
          <w:tcPr>
            <w:tcW w:w="7529" w:type="dxa"/>
            <w:tcBorders>
              <w:top w:val="single" w:color="auto" w:sz="4" w:space="0"/>
              <w:left w:val="single" w:color="auto" w:sz="4" w:space="0"/>
              <w:bottom w:val="single" w:color="auto" w:sz="4" w:space="0"/>
              <w:right w:val="single" w:color="auto" w:sz="4" w:space="0"/>
            </w:tcBorders>
            <w:vAlign w:val="top"/>
          </w:tcPr>
          <w:p w14:paraId="7949BD9B">
            <w:pPr>
              <w:keepNext w:val="0"/>
              <w:keepLines w:val="0"/>
              <w:pageBreakBefore w:val="0"/>
              <w:kinsoku/>
              <w:overflowPunct/>
              <w:autoSpaceDE/>
              <w:autoSpaceDN/>
              <w:bidi w:val="0"/>
              <w:adjustRightInd w:val="0"/>
              <w:snapToGrid w:val="0"/>
              <w:spacing w:line="5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中标通知书发出之日起3日内，应委派代表与招标人联系并商讨书面合同签订事宜。中标人和招标人应在投标有效期内以及中标通知书发出之日起30日内，根据招标文件和中标人的投标文件订立书面合同。</w:t>
            </w:r>
          </w:p>
        </w:tc>
      </w:tr>
      <w:tr w14:paraId="54732892">
        <w:tblPrEx>
          <w:tblCellMar>
            <w:top w:w="0" w:type="dxa"/>
            <w:left w:w="108" w:type="dxa"/>
            <w:bottom w:w="0" w:type="dxa"/>
            <w:right w:w="108" w:type="dxa"/>
          </w:tblCellMar>
        </w:tblPrEx>
        <w:trPr>
          <w:trHeight w:val="475" w:hRule="atLeast"/>
          <w:jc w:val="center"/>
        </w:trPr>
        <w:tc>
          <w:tcPr>
            <w:tcW w:w="10527" w:type="dxa"/>
            <w:gridSpan w:val="4"/>
            <w:tcBorders>
              <w:top w:val="single" w:color="auto" w:sz="4" w:space="0"/>
              <w:left w:val="single" w:color="auto" w:sz="4" w:space="0"/>
              <w:bottom w:val="single" w:color="auto" w:sz="4" w:space="0"/>
              <w:right w:val="single" w:color="auto" w:sz="4" w:space="0"/>
            </w:tcBorders>
            <w:vAlign w:val="center"/>
          </w:tcPr>
          <w:p w14:paraId="30546819">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需要补充的其他内容</w:t>
            </w:r>
          </w:p>
        </w:tc>
      </w:tr>
      <w:tr w14:paraId="20DB396A">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16889234">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电子招标投标</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25C710F0">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是</w:t>
            </w:r>
            <w:r>
              <w:rPr>
                <w:rFonts w:hint="eastAsia" w:ascii="宋体" w:hAnsi="宋体" w:eastAsia="宋体" w:cs="宋体"/>
                <w:color w:val="auto"/>
                <w:sz w:val="21"/>
                <w:szCs w:val="21"/>
                <w:highlight w:val="none"/>
              </w:rPr>
              <w:t>，具体要求：按招标文件规定。</w:t>
            </w:r>
          </w:p>
        </w:tc>
      </w:tr>
      <w:tr w14:paraId="1C6EC498">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4CF62263">
            <w:pPr>
              <w:keepNext w:val="0"/>
              <w:keepLines w:val="0"/>
              <w:pageBreakBefore w:val="0"/>
              <w:kinsoku/>
              <w:wordWrap/>
              <w:overflowPunct/>
              <w:autoSpaceDE/>
              <w:autoSpaceDN/>
              <w:bidi w:val="0"/>
              <w:adjustRightInd w:val="0"/>
              <w:snapToGrid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招标代理服务费</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4670B59B">
            <w:pPr>
              <w:keepNext w:val="0"/>
              <w:keepLines w:val="0"/>
              <w:pageBreakBefore w:val="0"/>
              <w:kinsoku/>
              <w:overflowPunct/>
              <w:autoSpaceDE/>
              <w:autoSpaceDN/>
              <w:bidi w:val="0"/>
              <w:adjustRightInd w:val="0"/>
              <w:snapToGrid w:val="0"/>
              <w:spacing w:line="5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代理服务费具体金额：</w:t>
            </w:r>
            <w:r>
              <w:rPr>
                <w:rFonts w:hint="eastAsia" w:ascii="宋体" w:hAnsi="宋体" w:cs="宋体"/>
                <w:color w:val="auto"/>
                <w:kern w:val="2"/>
                <w:sz w:val="21"/>
                <w:szCs w:val="21"/>
                <w:highlight w:val="none"/>
                <w:u w:val="single"/>
                <w:lang w:val="en-US" w:eastAsia="zh-CN" w:bidi="ar-SA"/>
              </w:rPr>
              <w:t>19800</w:t>
            </w:r>
            <w:r>
              <w:rPr>
                <w:rFonts w:hint="eastAsia" w:ascii="宋体" w:hAnsi="宋体" w:eastAsia="宋体" w:cs="宋体"/>
                <w:color w:val="auto"/>
                <w:kern w:val="2"/>
                <w:sz w:val="21"/>
                <w:szCs w:val="21"/>
                <w:highlight w:val="none"/>
                <w:lang w:val="en-US" w:eastAsia="zh-CN" w:bidi="ar-SA"/>
              </w:rPr>
              <w:t>元；</w:t>
            </w:r>
          </w:p>
          <w:p w14:paraId="26EBA621">
            <w:pPr>
              <w:keepNext w:val="0"/>
              <w:keepLines w:val="0"/>
              <w:pageBreakBefore w:val="0"/>
              <w:kinsoku/>
              <w:overflowPunct/>
              <w:autoSpaceDE/>
              <w:autoSpaceDN/>
              <w:bidi w:val="0"/>
              <w:adjustRightInd w:val="0"/>
              <w:snapToGrid w:val="0"/>
              <w:spacing w:line="500" w:lineRule="exac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收费标准：</w:t>
            </w:r>
            <w:r>
              <w:rPr>
                <w:rFonts w:hint="eastAsia" w:ascii="宋体" w:hAnsi="宋体" w:eastAsia="宋体" w:cs="宋体"/>
                <w:color w:val="auto"/>
                <w:kern w:val="2"/>
                <w:sz w:val="21"/>
                <w:szCs w:val="21"/>
                <w:highlight w:val="none"/>
                <w:lang w:val="en-US" w:eastAsia="zh-CN" w:bidi="ar-SA"/>
              </w:rPr>
              <w:t>参照计价格【2002】1980号文件规定的100%</w:t>
            </w:r>
          </w:p>
          <w:p w14:paraId="6CFF9819">
            <w:pPr>
              <w:keepNext w:val="0"/>
              <w:keepLines w:val="0"/>
              <w:pageBreakBefore w:val="0"/>
              <w:kinsoku/>
              <w:overflowPunct/>
              <w:autoSpaceDE/>
              <w:autoSpaceDN/>
              <w:bidi w:val="0"/>
              <w:adjustRightInd w:val="0"/>
              <w:snapToGrid w:val="0"/>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代理服务费支付主体：中标人，本项目因故未将此费用列入最高投标限价中，</w:t>
            </w:r>
            <w:r>
              <w:rPr>
                <w:rFonts w:hint="eastAsia" w:ascii="宋体" w:hAnsi="宋体" w:eastAsia="宋体" w:cs="宋体"/>
                <w:color w:val="auto"/>
                <w:kern w:val="2"/>
                <w:sz w:val="21"/>
                <w:szCs w:val="21"/>
                <w:highlight w:val="none"/>
                <w:lang w:val="en-US" w:eastAsia="zh-CN" w:bidi="ar-SA"/>
              </w:rPr>
              <w:t>此项费用由中标人</w:t>
            </w:r>
            <w:r>
              <w:rPr>
                <w:rFonts w:hint="eastAsia" w:ascii="宋体" w:hAnsi="宋体" w:cs="宋体"/>
                <w:color w:val="auto"/>
                <w:kern w:val="2"/>
                <w:sz w:val="21"/>
                <w:szCs w:val="21"/>
                <w:highlight w:val="none"/>
                <w:lang w:val="en-US" w:eastAsia="zh-CN" w:bidi="ar-SA"/>
              </w:rPr>
              <w:t>在领取中标通知书时一次性支付给代理机构</w:t>
            </w:r>
            <w:r>
              <w:rPr>
                <w:rFonts w:hint="eastAsia" w:ascii="宋体" w:hAnsi="宋体" w:eastAsia="宋体" w:cs="宋体"/>
                <w:color w:val="auto"/>
                <w:kern w:val="2"/>
                <w:sz w:val="21"/>
                <w:szCs w:val="21"/>
                <w:highlight w:val="none"/>
                <w:lang w:val="en-US" w:eastAsia="zh-CN" w:bidi="ar-SA"/>
              </w:rPr>
              <w:t>，投标人投标报价时充分考虑并谨慎报价。</w:t>
            </w:r>
          </w:p>
        </w:tc>
      </w:tr>
      <w:tr w14:paraId="5612CBD7">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58A06CDA">
            <w:pPr>
              <w:keepNext w:val="0"/>
              <w:keepLines w:val="0"/>
              <w:pageBreakBefore w:val="0"/>
              <w:kinsoku/>
              <w:wordWrap/>
              <w:overflowPunct/>
              <w:autoSpaceDE/>
              <w:autoSpaceDN/>
              <w:bidi w:val="0"/>
              <w:adjustRightInd w:val="0"/>
              <w:snapToGrid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专家评审劳务费</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39070A31">
            <w:pPr>
              <w:keepNext w:val="0"/>
              <w:keepLines w:val="0"/>
              <w:pageBreakBefore w:val="0"/>
              <w:kinsoku/>
              <w:overflowPunct/>
              <w:autoSpaceDE/>
              <w:autoSpaceDN/>
              <w:bidi w:val="0"/>
              <w:adjustRightInd w:val="0"/>
              <w:snapToGrid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费用或支付标准：以实际发生费用为准</w:t>
            </w:r>
          </w:p>
          <w:p w14:paraId="2BB67005">
            <w:pPr>
              <w:pStyle w:val="45"/>
              <w:keepNext w:val="0"/>
              <w:keepLines w:val="0"/>
              <w:pageBreakBefore w:val="0"/>
              <w:kinsoku/>
              <w:overflowPunct/>
              <w:autoSpaceDE/>
              <w:autoSpaceDN/>
              <w:bidi w:val="0"/>
              <w:spacing w:line="500" w:lineRule="exact"/>
              <w:ind w:left="0" w:lef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支付主体：</w:t>
            </w:r>
            <w:r>
              <w:rPr>
                <w:rFonts w:hint="eastAsia"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代理机构</w:t>
            </w:r>
          </w:p>
        </w:tc>
      </w:tr>
      <w:tr w14:paraId="0F5A2EF0">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36DAE5D7">
            <w:pPr>
              <w:keepNext w:val="0"/>
              <w:keepLines w:val="0"/>
              <w:pageBreakBefore w:val="0"/>
              <w:kinsoku/>
              <w:overflowPunct/>
              <w:autoSpaceDE/>
              <w:autoSpaceDN/>
              <w:bidi w:val="0"/>
              <w:adjustRightInd w:val="0"/>
              <w:snapToGrid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077DB2ED">
            <w:pPr>
              <w:keepNext w:val="0"/>
              <w:keepLines w:val="0"/>
              <w:pageBreakBefore w:val="0"/>
              <w:kinsoku/>
              <w:overflowPunct/>
              <w:autoSpaceDE/>
              <w:autoSpaceDN/>
              <w:bidi w:val="0"/>
              <w:adjustRightInd w:val="0"/>
              <w:snapToGrid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构成本招标文件的各个组成文件应互为解释，互为说明；</w:t>
            </w:r>
          </w:p>
          <w:p w14:paraId="51E55688">
            <w:pPr>
              <w:keepNext w:val="0"/>
              <w:keepLines w:val="0"/>
              <w:pageBreakBefore w:val="0"/>
              <w:kinsoku/>
              <w:overflowPunct/>
              <w:autoSpaceDE/>
              <w:autoSpaceDN/>
              <w:bidi w:val="0"/>
              <w:adjustRightInd w:val="0"/>
              <w:snapToGrid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同一组成文件中就同一事项的规定或约定不一致的，以编排顺序在后者为准；</w:t>
            </w:r>
          </w:p>
          <w:p w14:paraId="61009FDF">
            <w:pPr>
              <w:keepNext w:val="0"/>
              <w:keepLines w:val="0"/>
              <w:pageBreakBefore w:val="0"/>
              <w:kinsoku/>
              <w:overflowPunct/>
              <w:autoSpaceDE/>
              <w:autoSpaceDN/>
              <w:bidi w:val="0"/>
              <w:adjustRightInd w:val="0"/>
              <w:snapToGrid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如有不明确或不一致，构成合同文件组成内容的，以合同文件约定内容为准，且以专用合同条款约定的合同文件优先顺序解释；</w:t>
            </w:r>
          </w:p>
          <w:p w14:paraId="44FC2825">
            <w:pPr>
              <w:keepNext w:val="0"/>
              <w:keepLines w:val="0"/>
              <w:pageBreakBefore w:val="0"/>
              <w:kinsoku/>
              <w:overflowPunct/>
              <w:autoSpaceDE/>
              <w:autoSpaceDN/>
              <w:bidi w:val="0"/>
              <w:adjustRightInd w:val="0"/>
              <w:snapToGrid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系统中提供的表格（或格式文件）与招标文件中不一致时，以招标文件中提供的为准；</w:t>
            </w:r>
          </w:p>
          <w:p w14:paraId="139697D5">
            <w:pPr>
              <w:keepNext w:val="0"/>
              <w:keepLines w:val="0"/>
              <w:pageBreakBefore w:val="0"/>
              <w:kinsoku/>
              <w:overflowPunct/>
              <w:autoSpaceDE/>
              <w:autoSpaceDN/>
              <w:bidi w:val="0"/>
              <w:adjustRightInd w:val="0"/>
              <w:snapToGrid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按本款前述规定仍不能形成结论的，由招标人负责解释。</w:t>
            </w:r>
          </w:p>
        </w:tc>
      </w:tr>
      <w:tr w14:paraId="1AE28D5F">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5E30DECD">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人员配备要求</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370175DF">
            <w:pPr>
              <w:pStyle w:val="45"/>
              <w:keepNext w:val="0"/>
              <w:keepLines w:val="0"/>
              <w:pageBreakBefore w:val="0"/>
              <w:kinsoku/>
              <w:overflowPunct/>
              <w:autoSpaceDE/>
              <w:autoSpaceDN/>
              <w:bidi w:val="0"/>
              <w:spacing w:line="500" w:lineRule="exact"/>
              <w:ind w:left="0" w:leftChars="0" w:firstLine="0" w:firstLineChars="0"/>
              <w:jc w:val="left"/>
              <w:textAlignment w:val="auto"/>
              <w:rPr>
                <w:rFonts w:hint="default"/>
                <w:color w:val="auto"/>
                <w:highlight w:val="none"/>
                <w:lang w:val="en-US"/>
              </w:rPr>
            </w:pPr>
            <w:r>
              <w:rPr>
                <w:rFonts w:hint="eastAsia"/>
                <w:color w:val="auto"/>
                <w:highlight w:val="none"/>
                <w:lang w:val="en-US" w:eastAsia="zh-CN"/>
              </w:rPr>
              <w:t>详见招标文件第五章监理内容和要求。</w:t>
            </w:r>
          </w:p>
        </w:tc>
      </w:tr>
      <w:tr w14:paraId="5ADC7245">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397C95F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人员费用考核</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21E059D3">
            <w:pPr>
              <w:pStyle w:val="4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中标监理费总价最终结合投标人员到位数量来结算。即：投标总价/服务期（月）/架构总人数=每个人员每月应得的费用，经现场考勤，少投入1人扣除1人应得费用（以委托人签字认可的考勤表为准）。中标后，如实际到岗人数不满足要求的，将按上述标准从</w:t>
            </w:r>
            <w:r>
              <w:rPr>
                <w:rFonts w:hint="eastAsia" w:ascii="宋体" w:hAnsi="宋体" w:eastAsia="宋体" w:cs="宋体"/>
                <w:color w:val="auto"/>
                <w:sz w:val="21"/>
                <w:szCs w:val="21"/>
                <w:highlight w:val="none"/>
                <w:lang w:val="en-US" w:eastAsia="zh-CN"/>
              </w:rPr>
              <w:t>当期</w:t>
            </w:r>
            <w:r>
              <w:rPr>
                <w:rFonts w:hint="eastAsia" w:ascii="宋体" w:hAnsi="宋体" w:eastAsia="宋体" w:cs="宋体"/>
                <w:color w:val="auto"/>
                <w:sz w:val="21"/>
                <w:szCs w:val="21"/>
                <w:highlight w:val="none"/>
              </w:rPr>
              <w:t>监理费用中予以扣除。（各专业监理可结合项目的实施阶段经委托人签字认可后分期到岗）</w:t>
            </w:r>
          </w:p>
        </w:tc>
      </w:tr>
      <w:tr w14:paraId="7ED69A9E">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AD7DF7">
            <w:pPr>
              <w:keepNext w:val="0"/>
              <w:keepLines w:val="0"/>
              <w:pageBreakBefore w:val="0"/>
              <w:kinsoku/>
              <w:overflowPunct/>
              <w:autoSpaceDE/>
              <w:autoSpaceDN/>
              <w:bidi w:val="0"/>
              <w:spacing w:line="5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劳资管理</w:t>
            </w:r>
          </w:p>
        </w:tc>
        <w:tc>
          <w:tcPr>
            <w:tcW w:w="87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9E165F">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劳资管理尤其是农民工工资管理是</w:t>
            </w:r>
            <w:r>
              <w:rPr>
                <w:rFonts w:hint="eastAsia" w:ascii="宋体" w:hAnsi="宋体" w:cs="宋体"/>
                <w:color w:val="auto"/>
                <w:sz w:val="21"/>
                <w:szCs w:val="21"/>
                <w:highlight w:val="none"/>
                <w:lang w:val="en-US" w:eastAsia="zh-CN"/>
              </w:rPr>
              <w:t>中标单位</w:t>
            </w:r>
            <w:r>
              <w:rPr>
                <w:rFonts w:hint="eastAsia" w:ascii="宋体" w:hAnsi="宋体" w:eastAsia="宋体" w:cs="宋体"/>
                <w:color w:val="auto"/>
                <w:sz w:val="21"/>
                <w:szCs w:val="21"/>
                <w:highlight w:val="none"/>
                <w:lang w:val="en-US" w:eastAsia="zh-CN"/>
              </w:rPr>
              <w:t xml:space="preserve">的重要服务内容之一，须严格按照有关法律法 </w:t>
            </w:r>
          </w:p>
          <w:p w14:paraId="46BD1763">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规履行管理责任并对管理质量负责，对管理不到位的无条件接受委托人的罚款等相关处理措 </w:t>
            </w:r>
          </w:p>
          <w:p w14:paraId="34FC893E">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施。 </w:t>
            </w:r>
          </w:p>
          <w:p w14:paraId="31BFBE0A">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.中标单位</w:t>
            </w:r>
            <w:r>
              <w:rPr>
                <w:rFonts w:hint="eastAsia" w:ascii="宋体" w:hAnsi="宋体" w:eastAsia="宋体" w:cs="宋体"/>
                <w:color w:val="auto"/>
                <w:sz w:val="21"/>
                <w:szCs w:val="21"/>
                <w:highlight w:val="none"/>
                <w:lang w:val="en-US" w:eastAsia="zh-CN"/>
              </w:rPr>
              <w:t xml:space="preserve">负责督促总包单位严格落实建设工程施工现场建筑工人实名制，确保建筑工人实 </w:t>
            </w:r>
          </w:p>
          <w:p w14:paraId="7AD71FBF">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名制数据录入全覆盖。 </w:t>
            </w:r>
          </w:p>
          <w:p w14:paraId="332F61AD">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2.1中标单位</w:t>
            </w:r>
            <w:r>
              <w:rPr>
                <w:rFonts w:hint="eastAsia" w:ascii="宋体" w:hAnsi="宋体" w:eastAsia="宋体" w:cs="宋体"/>
                <w:color w:val="auto"/>
                <w:sz w:val="21"/>
                <w:szCs w:val="21"/>
                <w:highlight w:val="none"/>
                <w:lang w:val="en-US" w:eastAsia="zh-CN"/>
              </w:rPr>
              <w:t xml:space="preserve">负责管理建筑工人实名制信息录入、人脸识别门禁系统安装使用、考勤数据上传的及时性和真实性、银行数据对接情况及总包单位开设专户和数据对接等工作，做好农民工工 </w:t>
            </w:r>
          </w:p>
          <w:p w14:paraId="1E3F247D">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资支付保障工作。 </w:t>
            </w:r>
          </w:p>
          <w:p w14:paraId="18A2139C">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对</w:t>
            </w:r>
            <w:r>
              <w:rPr>
                <w:rFonts w:hint="eastAsia" w:ascii="宋体" w:hAnsi="宋体" w:cs="宋体"/>
                <w:color w:val="auto"/>
                <w:sz w:val="21"/>
                <w:szCs w:val="21"/>
                <w:highlight w:val="none"/>
                <w:lang w:val="en-US" w:eastAsia="zh-CN"/>
              </w:rPr>
              <w:t>中标单位</w:t>
            </w:r>
            <w:r>
              <w:rPr>
                <w:rFonts w:hint="eastAsia" w:ascii="宋体" w:hAnsi="宋体" w:eastAsia="宋体" w:cs="宋体"/>
                <w:color w:val="auto"/>
                <w:sz w:val="21"/>
                <w:szCs w:val="21"/>
                <w:highlight w:val="none"/>
                <w:lang w:val="en-US" w:eastAsia="zh-CN"/>
              </w:rPr>
              <w:t>劳资管理履约情况按照建筑工人实名制信息录入率100%、人脸识别门禁系统覆盖率100%、考勤数据上传率100%、银行数据对接率100%的要求进行考核，考核不达标的每次处以违约金5000-50000元。</w:t>
            </w:r>
          </w:p>
          <w:p w14:paraId="560AF7E4">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.中标单位</w:t>
            </w:r>
            <w:r>
              <w:rPr>
                <w:rFonts w:hint="eastAsia" w:ascii="宋体" w:hAnsi="宋体" w:eastAsia="宋体" w:cs="宋体"/>
                <w:color w:val="auto"/>
                <w:sz w:val="21"/>
                <w:szCs w:val="21"/>
                <w:highlight w:val="none"/>
                <w:lang w:val="en-US" w:eastAsia="zh-CN"/>
              </w:rPr>
              <w:t xml:space="preserve">要定期、不定期通过项目人员花名册核查比对等方式抽查在建项目人员实名制录 </w:t>
            </w:r>
          </w:p>
          <w:p w14:paraId="20EC9595">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入情况并形成台账，对建筑工人实名制管理工作落实不力、多次整改、整改不力的施工企业 </w:t>
            </w:r>
          </w:p>
          <w:p w14:paraId="38E2AF5D">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落实管理措施，对落实管理责任不到位的</w:t>
            </w:r>
            <w:r>
              <w:rPr>
                <w:rFonts w:hint="eastAsia" w:ascii="宋体" w:hAnsi="宋体" w:cs="宋体"/>
                <w:color w:val="auto"/>
                <w:sz w:val="21"/>
                <w:szCs w:val="21"/>
                <w:highlight w:val="none"/>
                <w:lang w:val="en-US" w:eastAsia="zh-CN"/>
              </w:rPr>
              <w:t>中标单位</w:t>
            </w:r>
            <w:r>
              <w:rPr>
                <w:rFonts w:hint="eastAsia" w:ascii="宋体" w:hAnsi="宋体" w:eastAsia="宋体" w:cs="宋体"/>
                <w:color w:val="auto"/>
                <w:sz w:val="21"/>
                <w:szCs w:val="21"/>
                <w:highlight w:val="none"/>
                <w:lang w:val="en-US" w:eastAsia="zh-CN"/>
              </w:rPr>
              <w:t xml:space="preserve">每次处以违约金5000-50000元。 </w:t>
            </w:r>
          </w:p>
          <w:p w14:paraId="5663FCFD">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.中标单位</w:t>
            </w:r>
            <w:r>
              <w:rPr>
                <w:rFonts w:hint="eastAsia" w:ascii="宋体" w:hAnsi="宋体" w:eastAsia="宋体" w:cs="宋体"/>
                <w:color w:val="auto"/>
                <w:sz w:val="21"/>
                <w:szCs w:val="21"/>
                <w:highlight w:val="none"/>
                <w:lang w:val="en-US" w:eastAsia="zh-CN"/>
              </w:rPr>
              <w:t xml:space="preserve">负责做好总、分包资金逐级支付到位的监管工作，确保农民工工资得到优先保障， </w:t>
            </w:r>
          </w:p>
          <w:p w14:paraId="5BB0E24B">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对落实管理责任不到位的</w:t>
            </w:r>
            <w:r>
              <w:rPr>
                <w:rFonts w:hint="eastAsia" w:ascii="宋体" w:hAnsi="宋体" w:cs="宋体"/>
                <w:color w:val="auto"/>
                <w:sz w:val="21"/>
                <w:szCs w:val="21"/>
                <w:highlight w:val="none"/>
                <w:lang w:val="en-US" w:eastAsia="zh-CN"/>
              </w:rPr>
              <w:t>中标单位</w:t>
            </w:r>
            <w:r>
              <w:rPr>
                <w:rFonts w:hint="eastAsia" w:ascii="宋体" w:hAnsi="宋体" w:eastAsia="宋体" w:cs="宋体"/>
                <w:color w:val="auto"/>
                <w:sz w:val="21"/>
                <w:szCs w:val="21"/>
                <w:highlight w:val="none"/>
                <w:lang w:val="en-US" w:eastAsia="zh-CN"/>
              </w:rPr>
              <w:t xml:space="preserve">每次处以违约金10000-100000元。 </w:t>
            </w:r>
          </w:p>
          <w:p w14:paraId="32132475">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.中标单位</w:t>
            </w:r>
            <w:r>
              <w:rPr>
                <w:rFonts w:hint="eastAsia" w:ascii="宋体" w:hAnsi="宋体" w:eastAsia="宋体" w:cs="宋体"/>
                <w:color w:val="auto"/>
                <w:sz w:val="21"/>
                <w:szCs w:val="21"/>
                <w:highlight w:val="none"/>
                <w:lang w:val="en-US" w:eastAsia="zh-CN"/>
              </w:rPr>
              <w:t xml:space="preserve">负责做好委托人要求的劳资管理方面其他工作。 </w:t>
            </w:r>
          </w:p>
          <w:p w14:paraId="628E9D9E">
            <w:pPr>
              <w:keepNext w:val="0"/>
              <w:keepLines w:val="0"/>
              <w:pageBreakBefore w:val="0"/>
              <w:kinsoku/>
              <w:overflowPunct/>
              <w:autoSpaceDE/>
              <w:autoSpaceDN/>
              <w:bidi w:val="0"/>
              <w:spacing w:line="5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lang w:val="en-US" w:eastAsia="zh-CN"/>
              </w:rPr>
              <w:t>.中标单位</w:t>
            </w:r>
            <w:r>
              <w:rPr>
                <w:rFonts w:hint="eastAsia" w:ascii="宋体" w:hAnsi="宋体" w:eastAsia="宋体" w:cs="宋体"/>
                <w:color w:val="auto"/>
                <w:sz w:val="21"/>
                <w:szCs w:val="21"/>
                <w:highlight w:val="none"/>
                <w:lang w:val="en-US" w:eastAsia="zh-CN"/>
              </w:rPr>
              <w:t>无条件接受</w:t>
            </w:r>
            <w:r>
              <w:rPr>
                <w:rFonts w:hint="eastAsia" w:ascii="宋体" w:hAnsi="宋体" w:cs="宋体"/>
                <w:color w:val="auto"/>
                <w:sz w:val="21"/>
                <w:szCs w:val="21"/>
                <w:highlight w:val="none"/>
                <w:lang w:val="en-US" w:eastAsia="zh-CN"/>
              </w:rPr>
              <w:t>招标单位</w:t>
            </w:r>
            <w:r>
              <w:rPr>
                <w:rFonts w:hint="eastAsia" w:ascii="宋体" w:hAnsi="宋体" w:eastAsia="宋体" w:cs="宋体"/>
                <w:color w:val="auto"/>
                <w:sz w:val="21"/>
                <w:szCs w:val="21"/>
                <w:highlight w:val="none"/>
                <w:lang w:val="en-US" w:eastAsia="zh-CN"/>
              </w:rPr>
              <w:t>关于劳资管理方面的其他相关规定或通知等，规定或通知与以上要求不一致的以最新规定或通知为准</w:t>
            </w:r>
            <w:r>
              <w:rPr>
                <w:rFonts w:hint="eastAsia" w:ascii="宋体" w:hAnsi="宋体" w:cs="宋体"/>
                <w:color w:val="auto"/>
                <w:sz w:val="21"/>
                <w:szCs w:val="21"/>
                <w:highlight w:val="none"/>
                <w:lang w:val="en-US" w:eastAsia="zh-CN"/>
              </w:rPr>
              <w:t>。</w:t>
            </w:r>
          </w:p>
        </w:tc>
      </w:tr>
      <w:tr w14:paraId="4E533E8C">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0813C487">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r>
              <w:rPr>
                <w:rFonts w:hint="eastAsia" w:ascii="宋体" w:hAnsi="宋体" w:cs="宋体"/>
                <w:color w:val="auto"/>
                <w:szCs w:val="21"/>
                <w:highlight w:val="none"/>
              </w:rPr>
              <w:t>要求</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3B6BE0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cs="宋体"/>
                <w:b w:val="0"/>
                <w:bCs w:val="0"/>
                <w:color w:val="auto"/>
                <w:kern w:val="2"/>
                <w:sz w:val="21"/>
                <w:szCs w:val="21"/>
                <w:highlight w:val="none"/>
                <w:u w:val="none"/>
                <w:lang w:val="en-US" w:eastAsia="zh-CN" w:bidi="ar-SA"/>
              </w:rPr>
              <w:t>1.</w:t>
            </w:r>
            <w:r>
              <w:rPr>
                <w:rFonts w:hint="eastAsia" w:ascii="宋体" w:hAnsi="宋体" w:eastAsia="宋体" w:cs="宋体"/>
                <w:b w:val="0"/>
                <w:bCs w:val="0"/>
                <w:color w:val="auto"/>
                <w:kern w:val="2"/>
                <w:sz w:val="21"/>
                <w:szCs w:val="21"/>
                <w:highlight w:val="none"/>
                <w:u w:val="none"/>
                <w:lang w:val="en-US" w:eastAsia="zh-CN" w:bidi="ar-SA"/>
              </w:rPr>
              <w:t>非承包人原因造成工程延期的，招标人不额外支付任何监理费用。</w:t>
            </w:r>
          </w:p>
          <w:p w14:paraId="36A7A27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cs="宋体"/>
                <w:b w:val="0"/>
                <w:bCs w:val="0"/>
                <w:color w:val="auto"/>
                <w:kern w:val="2"/>
                <w:sz w:val="21"/>
                <w:szCs w:val="21"/>
                <w:highlight w:val="none"/>
                <w:u w:val="none"/>
                <w:lang w:val="en-US" w:eastAsia="zh-CN" w:bidi="ar-SA"/>
              </w:rPr>
              <w:t>2.</w:t>
            </w:r>
            <w:r>
              <w:rPr>
                <w:rFonts w:hint="eastAsia" w:ascii="宋体" w:hAnsi="宋体" w:eastAsia="宋体" w:cs="宋体"/>
                <w:b w:val="0"/>
                <w:bCs w:val="0"/>
                <w:color w:val="auto"/>
                <w:kern w:val="2"/>
                <w:sz w:val="21"/>
                <w:szCs w:val="21"/>
                <w:highlight w:val="none"/>
                <w:u w:val="none"/>
                <w:lang w:val="en-US" w:eastAsia="zh-CN" w:bidi="ar-SA"/>
              </w:rPr>
              <w:t>拟派的专业监理工程师施工现场必须按出勤要求</w:t>
            </w:r>
            <w:r>
              <w:rPr>
                <w:rFonts w:hint="eastAsia" w:ascii="宋体" w:hAnsi="宋体" w:eastAsia="宋体" w:cs="宋体"/>
                <w:b w:val="0"/>
                <w:bCs w:val="0"/>
                <w:color w:val="auto"/>
                <w:kern w:val="2"/>
                <w:sz w:val="21"/>
                <w:szCs w:val="21"/>
                <w:highlight w:val="none"/>
                <w:u w:val="none"/>
                <w:lang w:val="en-US" w:eastAsia="zh-CN" w:bidi="ar-SA"/>
              </w:rPr>
              <w:t>分别配备</w:t>
            </w:r>
            <w:r>
              <w:rPr>
                <w:rFonts w:hint="eastAsia" w:ascii="宋体" w:hAnsi="宋体" w:cs="宋体"/>
                <w:b w:val="0"/>
                <w:bCs w:val="0"/>
                <w:color w:val="auto"/>
                <w:kern w:val="2"/>
                <w:sz w:val="21"/>
                <w:szCs w:val="21"/>
                <w:highlight w:val="none"/>
                <w:u w:val="none"/>
                <w:lang w:val="en-US" w:eastAsia="zh-CN" w:bidi="ar-SA"/>
              </w:rPr>
              <w:t>除手机以外的</w:t>
            </w:r>
            <w:r>
              <w:rPr>
                <w:rFonts w:hint="eastAsia" w:ascii="宋体" w:hAnsi="宋体" w:eastAsia="宋体" w:cs="宋体"/>
                <w:b w:val="0"/>
                <w:bCs w:val="0"/>
                <w:color w:val="auto"/>
                <w:kern w:val="2"/>
                <w:sz w:val="21"/>
                <w:szCs w:val="21"/>
                <w:highlight w:val="none"/>
                <w:u w:val="none"/>
                <w:lang w:val="en-US" w:eastAsia="zh-CN" w:bidi="ar-SA"/>
              </w:rPr>
              <w:t>相关影像视频设备，对关键环节部位进行影控留档</w:t>
            </w:r>
            <w:r>
              <w:rPr>
                <w:rFonts w:hint="eastAsia" w:ascii="宋体" w:hAnsi="宋体" w:eastAsia="宋体" w:cs="宋体"/>
                <w:b w:val="0"/>
                <w:bCs w:val="0"/>
                <w:color w:val="auto"/>
                <w:kern w:val="2"/>
                <w:sz w:val="21"/>
                <w:szCs w:val="21"/>
                <w:highlight w:val="none"/>
                <w:u w:val="none"/>
                <w:lang w:val="en-US" w:eastAsia="zh-CN" w:bidi="ar-SA"/>
              </w:rPr>
              <w:t>，每个月考核一次，考核标准详见第四章合同补充条款。</w:t>
            </w:r>
          </w:p>
          <w:p w14:paraId="57C1907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cs="宋体"/>
                <w:b w:val="0"/>
                <w:bCs w:val="0"/>
                <w:color w:val="auto"/>
                <w:kern w:val="2"/>
                <w:sz w:val="21"/>
                <w:szCs w:val="21"/>
                <w:highlight w:val="none"/>
                <w:u w:val="none"/>
                <w:lang w:val="en-US" w:eastAsia="zh-CN" w:bidi="ar-SA"/>
              </w:rPr>
              <w:t>3.</w:t>
            </w:r>
            <w:r>
              <w:rPr>
                <w:rFonts w:hint="eastAsia" w:ascii="宋体" w:hAnsi="宋体" w:eastAsia="宋体" w:cs="宋体"/>
                <w:b w:val="0"/>
                <w:bCs w:val="0"/>
                <w:color w:val="auto"/>
                <w:kern w:val="2"/>
                <w:sz w:val="21"/>
                <w:szCs w:val="21"/>
                <w:highlight w:val="none"/>
                <w:u w:val="none"/>
                <w:lang w:val="en-US" w:eastAsia="zh-CN" w:bidi="ar-SA"/>
              </w:rPr>
              <w:t>因</w:t>
            </w:r>
            <w:r>
              <w:rPr>
                <w:rFonts w:hint="eastAsia" w:ascii="宋体" w:hAnsi="宋体" w:cs="宋体"/>
                <w:color w:val="auto"/>
                <w:sz w:val="21"/>
                <w:szCs w:val="21"/>
                <w:highlight w:val="none"/>
                <w:lang w:val="en-US" w:eastAsia="zh-CN"/>
              </w:rPr>
              <w:t>中标单位</w:t>
            </w:r>
            <w:r>
              <w:rPr>
                <w:rFonts w:hint="eastAsia" w:ascii="宋体" w:hAnsi="宋体" w:eastAsia="宋体" w:cs="宋体"/>
                <w:b w:val="0"/>
                <w:bCs w:val="0"/>
                <w:color w:val="auto"/>
                <w:kern w:val="2"/>
                <w:sz w:val="21"/>
                <w:szCs w:val="21"/>
                <w:highlight w:val="none"/>
                <w:u w:val="none"/>
                <w:lang w:val="en-US" w:eastAsia="zh-CN" w:bidi="ar-SA"/>
              </w:rPr>
              <w:t>没有按照相关法律法规履行职责，根据《生产安全事故报告和调查处理条例》规定，出现一般事故、较大事故、重大事故、特别重大事故，或出现国家现行对工程质量通常采用按造成损失严重程度进行分类中重大质量事故之一的，扣除所有监理费用，并追究相应责任。出现国家现行对工程质量通常采用按造成损失严重程度进行分类中严重质量事故、一般质量事故的，每次扣除总监理费用的10%-50%，并追究相应责任。</w:t>
            </w:r>
          </w:p>
        </w:tc>
      </w:tr>
      <w:tr w14:paraId="04EA9996">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14BCA9">
            <w:pPr>
              <w:keepNext w:val="0"/>
              <w:keepLines w:val="0"/>
              <w:pageBreakBefore w:val="0"/>
              <w:widowControl/>
              <w:kinsoku/>
              <w:overflowPunct/>
              <w:autoSpaceDE/>
              <w:autoSpaceDN/>
              <w:bidi w:val="0"/>
              <w:spacing w:line="500" w:lineRule="exact"/>
              <w:jc w:val="center"/>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日常履责管理</w:t>
            </w:r>
          </w:p>
        </w:tc>
        <w:tc>
          <w:tcPr>
            <w:tcW w:w="87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21E864">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一、工作纪律 </w:t>
            </w:r>
          </w:p>
          <w:p w14:paraId="179449B5">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1.工程项目开工后，应按时向建设单位提供监理规划、监理细则，总</w:t>
            </w:r>
            <w:r>
              <w:rPr>
                <w:rFonts w:hint="eastAsia" w:ascii="宋体" w:hAnsi="宋体" w:cs="宋体"/>
                <w:color w:val="auto"/>
                <w:sz w:val="21"/>
                <w:szCs w:val="21"/>
                <w:highlight w:val="none"/>
                <w:lang w:val="en-US" w:eastAsia="zh-CN"/>
              </w:rPr>
              <w:t>监理工程师</w:t>
            </w:r>
            <w:r>
              <w:rPr>
                <w:rFonts w:hint="eastAsia" w:ascii="宋体" w:hAnsi="宋体" w:eastAsia="宋体" w:cs="宋体"/>
                <w:color w:val="auto"/>
                <w:sz w:val="21"/>
                <w:szCs w:val="21"/>
                <w:highlight w:val="none"/>
                <w:lang w:val="en-US" w:eastAsia="zh-CN"/>
              </w:rPr>
              <w:t xml:space="preserve">应常驻工程现场，根据施工内容可按投标承诺安排人员进退场，进退场人员报项目组备案纳入考勤。工作期间上下班应与施工单位同步，不得无故离岗、迟到、早退、酗酒，检查中如有发现给予1000元/次处罚，工作期间酗酒的予以清退。 </w:t>
            </w:r>
          </w:p>
          <w:p w14:paraId="1A579DD6">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2.应认真审核施工图，在施工图纸交底、会审时，提出图纸中各专业存在的错、漏、碰、缺 </w:t>
            </w:r>
          </w:p>
          <w:p w14:paraId="066E9322">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等，并提出优化意见，及时协调图纸变更手续，不及时办理处以2000元/次违约金。 </w:t>
            </w:r>
          </w:p>
          <w:p w14:paraId="424733FB">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3.现场配备必要的检测设备和仪器，按职责做好见证取样、抽检工作；无设备和仪器处罚2000 </w:t>
            </w:r>
          </w:p>
          <w:p w14:paraId="41AF80E9">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元，未做好见证取样或抽检处以500元/次违约金。 </w:t>
            </w:r>
          </w:p>
          <w:p w14:paraId="121AFA71">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4.审查第三方检测方案并负责第三方检测过程中的协调和报告运用，不审查或协调不力的处以 500元/次违约金。 </w:t>
            </w:r>
          </w:p>
          <w:p w14:paraId="15B8B792">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5.定期召开监理例会，认真书写监理例会纪要并于监理例会后的</w:t>
            </w:r>
            <w:r>
              <w:rPr>
                <w:rFonts w:hint="default" w:ascii="宋体" w:hAnsi="宋体" w:cs="宋体"/>
                <w:color w:val="auto"/>
                <w:sz w:val="21"/>
                <w:szCs w:val="21"/>
                <w:highlight w:val="none"/>
                <w:lang w:val="en-US" w:eastAsia="zh-CN"/>
              </w:rPr>
              <w:t>72</w:t>
            </w:r>
            <w:r>
              <w:rPr>
                <w:rFonts w:hint="eastAsia" w:ascii="宋体" w:hAnsi="宋体" w:eastAsia="宋体" w:cs="宋体"/>
                <w:color w:val="auto"/>
                <w:sz w:val="21"/>
                <w:szCs w:val="21"/>
                <w:highlight w:val="none"/>
                <w:lang w:val="en-US" w:eastAsia="zh-CN"/>
              </w:rPr>
              <w:t xml:space="preserve">小时内下发例会纪要，不 </w:t>
            </w:r>
          </w:p>
          <w:p w14:paraId="753D3BDC">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及时传发以上资料的处以</w:t>
            </w:r>
            <w:r>
              <w:rPr>
                <w:rFonts w:hint="default"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00元/次违约金。监理日志填写内容齐全、真实、清晰、可追溯；监理月报应包括监理管理执行情况说明，质量、进度、安全控制情况评析等内容详实。每月 3 日前日常履责管理报上月监理月报至建设单位项目组审阅，日志、月报内容不详实或超期处以 500元/次违约金。 </w:t>
            </w:r>
          </w:p>
          <w:p w14:paraId="759D5E9A">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6.应公正开展监理工作，不得故意刁难施工单位，现场验收不得拖延，工程资料应及时签认， </w:t>
            </w:r>
          </w:p>
          <w:p w14:paraId="79FC542F">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一经发现违反规定，处以3000元/次违约金。 </w:t>
            </w:r>
          </w:p>
          <w:p w14:paraId="675E7667">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7.不得向施工单位推销材料、介绍队伍、索取钱物、报销费用，不得接受施工单位、供货商 </w:t>
            </w:r>
          </w:p>
          <w:p w14:paraId="0C5676B6">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的吃请或接受回扣，一经发现处以3000元</w:t>
            </w:r>
            <w:r>
              <w:rPr>
                <w:rFonts w:hint="eastAsia" w:ascii="宋体" w:hAnsi="宋体" w:cs="宋体"/>
                <w:color w:val="auto"/>
                <w:sz w:val="21"/>
                <w:szCs w:val="21"/>
                <w:highlight w:val="none"/>
                <w:lang w:val="en-US" w:eastAsia="zh-CN"/>
              </w:rPr>
              <w:t>违约金</w:t>
            </w:r>
            <w:r>
              <w:rPr>
                <w:rFonts w:hint="eastAsia" w:ascii="宋体" w:hAnsi="宋体" w:eastAsia="宋体" w:cs="宋体"/>
                <w:color w:val="auto"/>
                <w:sz w:val="21"/>
                <w:szCs w:val="21"/>
                <w:highlight w:val="none"/>
                <w:lang w:val="en-US" w:eastAsia="zh-CN"/>
              </w:rPr>
              <w:t>，</w:t>
            </w:r>
            <w:r>
              <w:rPr>
                <w:rFonts w:hint="eastAsia"/>
                <w:color w:val="auto"/>
                <w:highlight w:val="none"/>
                <w:lang w:val="en-US" w:eastAsia="zh-CN"/>
              </w:rPr>
              <w:t>无条件更换相关责任人，并按合同约定处以违约金，</w:t>
            </w:r>
            <w:r>
              <w:rPr>
                <w:rFonts w:hint="eastAsia" w:ascii="宋体" w:hAnsi="宋体" w:eastAsia="宋体" w:cs="宋体"/>
                <w:color w:val="auto"/>
                <w:sz w:val="21"/>
                <w:szCs w:val="21"/>
                <w:highlight w:val="none"/>
                <w:lang w:val="en-US" w:eastAsia="zh-CN"/>
              </w:rPr>
              <w:t xml:space="preserve">并记入“黑名单”。 </w:t>
            </w:r>
          </w:p>
          <w:p w14:paraId="34B3BDCF">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cs="宋体"/>
                <w:color w:val="auto"/>
                <w:sz w:val="21"/>
                <w:szCs w:val="21"/>
                <w:highlight w:val="none"/>
                <w:lang w:val="en-US" w:eastAsia="zh-CN"/>
              </w:rPr>
              <w:t>中标单位配备的人</w:t>
            </w:r>
            <w:r>
              <w:rPr>
                <w:rFonts w:hint="eastAsia" w:ascii="宋体" w:hAnsi="宋体" w:eastAsia="宋体" w:cs="宋体"/>
                <w:color w:val="auto"/>
                <w:sz w:val="21"/>
                <w:szCs w:val="21"/>
                <w:highlight w:val="none"/>
                <w:lang w:val="en-US" w:eastAsia="zh-CN"/>
              </w:rPr>
              <w:t>员在服务期内如果有重大失职，造成经济损失的</w:t>
            </w:r>
            <w:r>
              <w:rPr>
                <w:rFonts w:hint="eastAsia" w:ascii="宋体" w:hAnsi="宋体" w:cs="宋体"/>
                <w:color w:val="auto"/>
                <w:sz w:val="21"/>
                <w:szCs w:val="21"/>
                <w:highlight w:val="none"/>
                <w:lang w:val="en-US" w:eastAsia="zh-CN"/>
              </w:rPr>
              <w:t>，中标单位</w:t>
            </w:r>
            <w:r>
              <w:rPr>
                <w:rFonts w:hint="eastAsia" w:ascii="宋体" w:hAnsi="宋体" w:eastAsia="宋体" w:cs="宋体"/>
                <w:color w:val="auto"/>
                <w:sz w:val="21"/>
                <w:szCs w:val="21"/>
                <w:highlight w:val="none"/>
                <w:lang w:val="en-US" w:eastAsia="zh-CN"/>
              </w:rPr>
              <w:t>应予以赔偿损失。不准泄露与工程有关的技术和机密，对建设单位造成损失的按照合同有关规定执行，并记入黑名单。</w:t>
            </w:r>
          </w:p>
          <w:p w14:paraId="735EA763">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二、质量控制 </w:t>
            </w:r>
          </w:p>
          <w:p w14:paraId="0C8BBC4C">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1.审核各专业施工方案，使之符合规范及标准强制性条文的规定，并监督施工单位按批准的 </w:t>
            </w:r>
          </w:p>
          <w:p w14:paraId="59A9B078">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方案施工，发现问题应及时解决。发现审核后的施工方案有严重审查错误而不及时处理的， </w:t>
            </w:r>
          </w:p>
          <w:p w14:paraId="5C9DA455">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处以1000元/次违约金。 </w:t>
            </w:r>
          </w:p>
          <w:p w14:paraId="56467C49">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2.基础放线及挖槽时</w:t>
            </w:r>
            <w:r>
              <w:rPr>
                <w:rFonts w:hint="eastAsia" w:ascii="宋体" w:hAnsi="宋体" w:cs="宋体"/>
                <w:color w:val="auto"/>
                <w:sz w:val="21"/>
                <w:szCs w:val="21"/>
                <w:highlight w:val="none"/>
                <w:lang w:val="en-US" w:eastAsia="zh-CN"/>
              </w:rPr>
              <w:t>中标单位</w:t>
            </w:r>
            <w:r>
              <w:rPr>
                <w:rFonts w:hint="eastAsia" w:ascii="宋体" w:hAnsi="宋体" w:eastAsia="宋体" w:cs="宋体"/>
                <w:color w:val="auto"/>
                <w:sz w:val="21"/>
                <w:szCs w:val="21"/>
                <w:highlight w:val="none"/>
                <w:lang w:val="en-US" w:eastAsia="zh-CN"/>
              </w:rPr>
              <w:t xml:space="preserve">应按规划红线及甲方提供的坐标基准点、标高进行复核验线并做 </w:t>
            </w:r>
          </w:p>
          <w:p w14:paraId="569E7995">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详细记录，发现偏差应及时纠正。如在竣工验收时发现放线偏差；上部结构轴线偏差在允许 </w:t>
            </w:r>
          </w:p>
          <w:p w14:paraId="4D67F435">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范围之外，造成损失的，对</w:t>
            </w:r>
            <w:r>
              <w:rPr>
                <w:rFonts w:hint="eastAsia" w:ascii="宋体" w:hAnsi="宋体" w:cs="宋体"/>
                <w:color w:val="auto"/>
                <w:sz w:val="21"/>
                <w:szCs w:val="21"/>
                <w:highlight w:val="none"/>
                <w:lang w:val="en-US" w:eastAsia="zh-CN"/>
              </w:rPr>
              <w:t>中标单位</w:t>
            </w:r>
            <w:r>
              <w:rPr>
                <w:rFonts w:hint="eastAsia" w:ascii="宋体" w:hAnsi="宋体" w:eastAsia="宋体" w:cs="宋体"/>
                <w:color w:val="auto"/>
                <w:sz w:val="21"/>
                <w:szCs w:val="21"/>
                <w:highlight w:val="none"/>
                <w:lang w:val="en-US" w:eastAsia="zh-CN"/>
              </w:rPr>
              <w:t>处以</w:t>
            </w:r>
            <w:r>
              <w:rPr>
                <w:rFonts w:hint="eastAsia" w:ascii="宋体" w:hAnsi="宋体" w:cs="宋体"/>
                <w:color w:val="auto"/>
                <w:sz w:val="21"/>
                <w:szCs w:val="21"/>
                <w:highlight w:val="none"/>
                <w:lang w:val="en-US" w:eastAsia="zh-CN"/>
              </w:rPr>
              <w:t>监理费</w:t>
            </w:r>
            <w:r>
              <w:rPr>
                <w:rFonts w:hint="eastAsia" w:ascii="宋体" w:hAnsi="宋体" w:eastAsia="宋体" w:cs="宋体"/>
                <w:color w:val="auto"/>
                <w:sz w:val="21"/>
                <w:szCs w:val="21"/>
                <w:highlight w:val="none"/>
                <w:lang w:val="en-US" w:eastAsia="zh-CN"/>
              </w:rPr>
              <w:t xml:space="preserve">30%的罚款，并记入“黑名单”。 </w:t>
            </w:r>
          </w:p>
          <w:p w14:paraId="705E985F">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3.材料进场验收手续齐全，质量证明资料与实物核验符合设计及规范要求。由于发现不及时 </w:t>
            </w:r>
          </w:p>
          <w:p w14:paraId="49CEB586">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或发现未经批准的材料使用，</w:t>
            </w:r>
            <w:r>
              <w:rPr>
                <w:rFonts w:hint="eastAsia" w:ascii="宋体" w:hAnsi="宋体" w:cs="宋体"/>
                <w:color w:val="auto"/>
                <w:sz w:val="21"/>
                <w:szCs w:val="21"/>
                <w:highlight w:val="none"/>
                <w:lang w:val="en-US" w:eastAsia="zh-CN"/>
              </w:rPr>
              <w:t>中标单位</w:t>
            </w:r>
            <w:r>
              <w:rPr>
                <w:rFonts w:hint="eastAsia" w:ascii="宋体" w:hAnsi="宋体" w:eastAsia="宋体" w:cs="宋体"/>
                <w:color w:val="auto"/>
                <w:sz w:val="21"/>
                <w:szCs w:val="21"/>
                <w:highlight w:val="none"/>
                <w:lang w:val="en-US" w:eastAsia="zh-CN"/>
              </w:rPr>
              <w:t>不采取措施制止的，处以1000</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 xml:space="preserve">元/次违约金。 </w:t>
            </w:r>
          </w:p>
          <w:p w14:paraId="6D11DF77">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4.对现场存在的质量问题、安全隐患应及时发现并及时发出整改通知单。施工中存在质量问 </w:t>
            </w:r>
          </w:p>
          <w:p w14:paraId="2F7D87A2">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题，能够及时发现并进行处理的，及时安排处理并复查，质量问题不得隐瞒并私自处理；否 </w:t>
            </w:r>
          </w:p>
          <w:p w14:paraId="78ACF506">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则发现处以3000元/次违约金。经验收合格的工程，应不得再有质量问题。 </w:t>
            </w:r>
          </w:p>
          <w:p w14:paraId="73C93937">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中标单位</w:t>
            </w:r>
            <w:r>
              <w:rPr>
                <w:rFonts w:hint="eastAsia" w:ascii="宋体" w:hAnsi="宋体" w:eastAsia="宋体" w:cs="宋体"/>
                <w:color w:val="auto"/>
                <w:sz w:val="21"/>
                <w:szCs w:val="21"/>
                <w:highlight w:val="none"/>
                <w:lang w:val="en-US" w:eastAsia="zh-CN"/>
              </w:rPr>
              <w:t xml:space="preserve">对各种质量检验报告单、中间交工证书符合要求的及时签认；对施工单位的报验 </w:t>
            </w:r>
          </w:p>
          <w:p w14:paraId="2E421170">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的关键部位或工序要及时进行验收，凡未履行签字验收程序就进行下道施工的发现处以2000 </w:t>
            </w:r>
          </w:p>
          <w:p w14:paraId="6F385DA7">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元/次。 </w:t>
            </w:r>
          </w:p>
          <w:p w14:paraId="3FE1F2E4">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各级巡查检查中对现场管理混乱、观感质量差的处以1000元/次违约金；检查中发现未按图纸及《规范》施工，监理理应发现而未发现，视为监理失误，处以违约金1000--10000元/次；上述行为虽被监理人员发现但未采取有效措施，听之任之的，处以违约金2000--20000元。情节严重的记入“黑名单”。 </w:t>
            </w:r>
          </w:p>
          <w:p w14:paraId="685AAB38">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7.监理人员在施工阶段对关键部位和关键工序的施工质量实施全过程跟班旁站，旁站时发现 </w:t>
            </w:r>
          </w:p>
          <w:p w14:paraId="71242DD7">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问题要及时予以纠正。当发现施工出现了安全隐患、工程质量出现的缺陷可能引发工程质量 </w:t>
            </w:r>
          </w:p>
          <w:p w14:paraId="3983840C">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事故时，应口头要求暂停施工并采取录相、摄影等手段予以记录，立即向总监理工程师汇报， </w:t>
            </w:r>
          </w:p>
          <w:p w14:paraId="58187391">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由总监理工程师签发《暂停施工令》，并将所发现问题及处理过程记入监理日志。建设单位 </w:t>
            </w:r>
          </w:p>
          <w:p w14:paraId="6AB728C5">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抽查发现旁站不到位，处以1000元/次违约金。</w:t>
            </w:r>
          </w:p>
          <w:p w14:paraId="5B983910">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三、进度、投资控制 </w:t>
            </w:r>
          </w:p>
          <w:p w14:paraId="435BE5EB">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中标单位</w:t>
            </w:r>
            <w:r>
              <w:rPr>
                <w:rFonts w:hint="eastAsia" w:ascii="宋体" w:hAnsi="宋体" w:eastAsia="宋体" w:cs="宋体"/>
                <w:color w:val="auto"/>
                <w:sz w:val="21"/>
                <w:szCs w:val="21"/>
                <w:highlight w:val="none"/>
                <w:lang w:val="en-US" w:eastAsia="zh-CN"/>
              </w:rPr>
              <w:t xml:space="preserve">须配合施工进度,根据总进度计划,要求施工单位提出各分部、分项工程的季度、月度的具体计划安排,组织各专业监理工程师审查其可行性并提出意见，如不审查处以1000元/次违约金。 </w:t>
            </w:r>
          </w:p>
          <w:p w14:paraId="6E974B64">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2.为了配合施工单位按计划完成施工任务，在施工过程中，监理人员应加强过程检查，对违 </w:t>
            </w:r>
          </w:p>
          <w:p w14:paraId="7CC4F675">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反施工规范、与图纸不符、有严重错误的问题敢于指出并要求整改，必要时签发监理通知， </w:t>
            </w:r>
          </w:p>
          <w:p w14:paraId="2AB5E628">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以减少工序验收时返工。 </w:t>
            </w:r>
          </w:p>
          <w:p w14:paraId="736DFA60">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3.监理工程师审核施工方提交的已完成工程量月报,对设计变更及工地洽商等造成的工程量增减变化情况进行审查,不符合质量要求不予签认，对进度滞后提出原因分析并督促采取补救 </w:t>
            </w:r>
          </w:p>
          <w:p w14:paraId="426C9CB1">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措施，及时汇报业主方。 </w:t>
            </w:r>
          </w:p>
          <w:p w14:paraId="6C3FD559">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4.实行业主、监理、跟审和施工单位四方共同计量方式，严格控制工程量清单数量，做到及 </w:t>
            </w:r>
          </w:p>
          <w:p w14:paraId="205E4935">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时、准确、不漏计、不重计。为保证请款资料的完整性、准确性，采取进度款支付联合会审 </w:t>
            </w:r>
          </w:p>
          <w:p w14:paraId="2727A217">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逐级签认。 </w:t>
            </w:r>
          </w:p>
          <w:p w14:paraId="2BEB01C6">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四、安全文明生产、扬尘控制 </w:t>
            </w:r>
          </w:p>
          <w:p w14:paraId="258DA4EA">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中标单位</w:t>
            </w:r>
            <w:r>
              <w:rPr>
                <w:rFonts w:hint="eastAsia" w:ascii="宋体" w:hAnsi="宋体" w:eastAsia="宋体" w:cs="宋体"/>
                <w:color w:val="auto"/>
                <w:sz w:val="21"/>
                <w:szCs w:val="21"/>
                <w:highlight w:val="none"/>
                <w:lang w:val="en-US" w:eastAsia="zh-CN"/>
              </w:rPr>
              <w:t xml:space="preserve">应定期组织现场安全文明生产检查，对检查发现的问题应及时督促施工单位整改，并将整改结果上报建设单位。 </w:t>
            </w:r>
          </w:p>
          <w:p w14:paraId="1FB79225">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2.督促施工单位严格执行大气污染防治措施，做好台账，若出现防治措施不到位，被巡查、检查发现的，按相关大气污染防治规定处罚。 </w:t>
            </w:r>
          </w:p>
          <w:p w14:paraId="1D60D2E2">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3.做好日常安全监护及督促，对发现下述情况，</w:t>
            </w:r>
            <w:r>
              <w:rPr>
                <w:rFonts w:hint="eastAsia" w:ascii="宋体" w:hAnsi="宋体" w:cs="宋体"/>
                <w:color w:val="auto"/>
                <w:sz w:val="21"/>
                <w:szCs w:val="21"/>
                <w:highlight w:val="none"/>
                <w:lang w:val="en-US" w:eastAsia="zh-CN"/>
              </w:rPr>
              <w:t>中标单位</w:t>
            </w:r>
            <w:r>
              <w:rPr>
                <w:rFonts w:hint="eastAsia" w:ascii="宋体" w:hAnsi="宋体" w:eastAsia="宋体" w:cs="宋体"/>
                <w:color w:val="auto"/>
                <w:sz w:val="21"/>
                <w:szCs w:val="21"/>
                <w:highlight w:val="none"/>
                <w:lang w:val="en-US" w:eastAsia="zh-CN"/>
              </w:rPr>
              <w:t xml:space="preserve">不按照要求提出整改听之任之的， </w:t>
            </w:r>
          </w:p>
          <w:p w14:paraId="5D321556">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w:t>
            </w:r>
            <w:r>
              <w:rPr>
                <w:rFonts w:hint="eastAsia" w:ascii="宋体" w:hAnsi="宋体" w:cs="宋体"/>
                <w:color w:val="auto"/>
                <w:sz w:val="21"/>
                <w:szCs w:val="21"/>
                <w:highlight w:val="none"/>
                <w:lang w:val="en-US" w:eastAsia="zh-CN"/>
              </w:rPr>
              <w:t>中标单位</w:t>
            </w:r>
            <w:r>
              <w:rPr>
                <w:rFonts w:hint="eastAsia" w:ascii="宋体" w:hAnsi="宋体" w:eastAsia="宋体" w:cs="宋体"/>
                <w:color w:val="auto"/>
                <w:sz w:val="21"/>
                <w:szCs w:val="21"/>
                <w:highlight w:val="none"/>
                <w:lang w:val="en-US" w:eastAsia="zh-CN"/>
              </w:rPr>
              <w:t xml:space="preserve">处以1000元/项违约金。 </w:t>
            </w:r>
          </w:p>
          <w:p w14:paraId="05FE351A">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（1）工程标牌未设置，或设置位置不醒目，破损未及时修复的。 </w:t>
            </w:r>
          </w:p>
          <w:p w14:paraId="2322E290">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（2）施工单位未建立安全生产责任制，未落实安全生产的组织保证体系，安全员缺岗或不到 </w:t>
            </w:r>
          </w:p>
          <w:p w14:paraId="19426A0C">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位；施工单位安全管理台帐未及时建立或不完善，未对施工作业人员进行安全生产教育或分 </w:t>
            </w:r>
          </w:p>
          <w:p w14:paraId="2276CDC8">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部分项工程未进行安全技术交底，施工单位特种作业人员未持证上岗。 </w:t>
            </w:r>
          </w:p>
          <w:p w14:paraId="6BBB9125">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（3）施工现场消防设施未按要求配置，施工脚手架未按规范搭设、报验不及时及未能满足安 </w:t>
            </w:r>
          </w:p>
          <w:p w14:paraId="6BB752FD">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全防护要求的，现场安全帽、安全网、安全带等未按要求佩带或配置的。 </w:t>
            </w:r>
          </w:p>
          <w:p w14:paraId="79B5F3FA">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（4）施工现场扬尘、高空抛物或从高处倾倒物体、随意倾倒垃圾、损坏设施不及时修复的。 </w:t>
            </w:r>
          </w:p>
          <w:p w14:paraId="7E4E5A2A">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（5）外墙脚手架未保持整洁、美观，发生破损，钢管、扣件、栏杆颜色标识不清楚，围档及 </w:t>
            </w:r>
          </w:p>
          <w:p w14:paraId="000E81E3">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周边道路、工地出入口未保持清洁，绿化、广告、灯箱等发生破损未及时修复的。 </w:t>
            </w:r>
          </w:p>
          <w:p w14:paraId="6990C511">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（6）现场出入口、通道口、楼梯口、井道口、预留洞口、临边洞口、基坑边缘等容易发生坠 </w:t>
            </w:r>
          </w:p>
          <w:p w14:paraId="1AF6344C">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落的地方未设置安全警示标志，临边防护未及时设置，现场塔吊、架桥机、吊车及其他施工 </w:t>
            </w:r>
          </w:p>
          <w:p w14:paraId="036FDF2A">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机具未按要求配备有效的保险、限位等安全设施和装置或超过质检期违规使用的。 </w:t>
            </w:r>
          </w:p>
          <w:p w14:paraId="3D6C70ED">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（7）施工现场成品、半成品及原材料未按规定堆放的。 </w:t>
            </w:r>
          </w:p>
          <w:p w14:paraId="7E9FA1FD">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（8）施工现场用电设备、配电箱、开关箱未采用TN-S 接零保护系统，未实行三级配电、两 </w:t>
            </w:r>
          </w:p>
          <w:p w14:paraId="52276BF9">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级保护系统，施工电缆随意拖拉，未架空或埋地，接头未保护，绝缘层有破损，现场用电设 </w:t>
            </w:r>
          </w:p>
          <w:p w14:paraId="4D75D3E1">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备漏电保护装置未按要求配置或失灵的。 </w:t>
            </w:r>
          </w:p>
          <w:p w14:paraId="49CD3C28">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（9）发现生活区、职工集体宿舍、食堂违规使用电器，电线私拉乱接及未配设防火设备的。 </w:t>
            </w:r>
          </w:p>
          <w:p w14:paraId="5DC135B5">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五、合同补充条款 </w:t>
            </w:r>
          </w:p>
          <w:p w14:paraId="250173C0">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1.单位工程质量未达到施工合同约定质量标准，每出现一项扣减监理费用10000元，依次类推。 </w:t>
            </w:r>
          </w:p>
          <w:p w14:paraId="312BE09A">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2.因</w:t>
            </w:r>
            <w:r>
              <w:rPr>
                <w:rFonts w:hint="eastAsia" w:ascii="宋体" w:hAnsi="宋体" w:cs="宋体"/>
                <w:color w:val="auto"/>
                <w:sz w:val="21"/>
                <w:szCs w:val="21"/>
                <w:highlight w:val="none"/>
                <w:lang w:val="en-US" w:eastAsia="zh-CN"/>
              </w:rPr>
              <w:t>中标单位</w:t>
            </w:r>
            <w:r>
              <w:rPr>
                <w:rFonts w:hint="eastAsia" w:ascii="宋体" w:hAnsi="宋体" w:eastAsia="宋体" w:cs="宋体"/>
                <w:color w:val="auto"/>
                <w:sz w:val="21"/>
                <w:szCs w:val="21"/>
                <w:highlight w:val="none"/>
                <w:lang w:val="en-US" w:eastAsia="zh-CN"/>
              </w:rPr>
              <w:t>责任造成的工程质量返工，对</w:t>
            </w:r>
            <w:r>
              <w:rPr>
                <w:rFonts w:hint="eastAsia" w:ascii="宋体" w:hAnsi="宋体" w:cs="宋体"/>
                <w:color w:val="auto"/>
                <w:sz w:val="21"/>
                <w:szCs w:val="21"/>
                <w:highlight w:val="none"/>
                <w:lang w:val="en-US" w:eastAsia="zh-CN"/>
              </w:rPr>
              <w:t>中标单位进行违约金处理，具体金额为</w:t>
            </w:r>
            <w:r>
              <w:rPr>
                <w:rFonts w:hint="eastAsia" w:ascii="宋体" w:hAnsi="宋体" w:eastAsia="宋体" w:cs="宋体"/>
                <w:color w:val="auto"/>
                <w:sz w:val="21"/>
                <w:szCs w:val="21"/>
                <w:highlight w:val="none"/>
                <w:lang w:val="en-US" w:eastAsia="zh-CN"/>
              </w:rPr>
              <w:t xml:space="preserve">返工损失总额的10%。 </w:t>
            </w:r>
          </w:p>
          <w:p w14:paraId="7794E381">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3.如</w:t>
            </w:r>
            <w:r>
              <w:rPr>
                <w:rFonts w:hint="eastAsia" w:ascii="宋体" w:hAnsi="宋体" w:cs="宋体"/>
                <w:color w:val="auto"/>
                <w:sz w:val="21"/>
                <w:szCs w:val="21"/>
                <w:highlight w:val="none"/>
                <w:lang w:val="en-US" w:eastAsia="zh-CN"/>
              </w:rPr>
              <w:t>中标单位</w:t>
            </w:r>
            <w:r>
              <w:rPr>
                <w:rFonts w:hint="eastAsia" w:ascii="宋体" w:hAnsi="宋体" w:eastAsia="宋体" w:cs="宋体"/>
                <w:color w:val="auto"/>
                <w:sz w:val="21"/>
                <w:szCs w:val="21"/>
                <w:highlight w:val="none"/>
                <w:lang w:val="en-US" w:eastAsia="zh-CN"/>
              </w:rPr>
              <w:t>人员与施工单位串通弄虚作假，降低工程质量，将不合格材料按照合格签字的，给</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 xml:space="preserve">造成损失。视其情节轻重，扣减监理费用10000元—30000元，并追究经济法律责任。 </w:t>
            </w:r>
          </w:p>
          <w:p w14:paraId="6A0DB9C5">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4.若是监理人员与施工单位串通弄虚作假，签发不实的经济和工期签证，给</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 xml:space="preserve">造成损失。 </w:t>
            </w:r>
          </w:p>
          <w:p w14:paraId="06434FB3">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视其情节轻重，扣减监理费用10000元—20000元，并追究经济法律责任。 </w:t>
            </w:r>
          </w:p>
          <w:p w14:paraId="152DB682">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六、其他 </w:t>
            </w:r>
          </w:p>
          <w:p w14:paraId="6F153BDF">
            <w:pPr>
              <w:keepNext w:val="0"/>
              <w:keepLines w:val="0"/>
              <w:pageBreakBefore w:val="0"/>
              <w:kinsoku/>
              <w:overflowPunct/>
              <w:autoSpaceDE/>
              <w:autoSpaceDN/>
              <w:bidi w:val="0"/>
              <w:spacing w:line="5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项目组、业主代表将严格按此要求进行检查，并对</w:t>
            </w:r>
            <w:r>
              <w:rPr>
                <w:rFonts w:hint="eastAsia" w:ascii="宋体" w:hAnsi="宋体" w:cs="宋体"/>
                <w:color w:val="auto"/>
                <w:sz w:val="21"/>
                <w:szCs w:val="21"/>
                <w:highlight w:val="none"/>
                <w:lang w:val="en-US" w:eastAsia="zh-CN"/>
              </w:rPr>
              <w:t>中标</w:t>
            </w:r>
            <w:r>
              <w:rPr>
                <w:rFonts w:hint="eastAsia" w:ascii="宋体" w:hAnsi="宋体" w:eastAsia="宋体" w:cs="宋体"/>
                <w:color w:val="auto"/>
                <w:sz w:val="21"/>
                <w:szCs w:val="21"/>
                <w:highlight w:val="none"/>
                <w:lang w:val="en-US" w:eastAsia="zh-CN"/>
              </w:rPr>
              <w:t>单位进行考核。所有处罚均函告</w:t>
            </w:r>
            <w:r>
              <w:rPr>
                <w:rFonts w:hint="eastAsia" w:ascii="宋体" w:hAnsi="宋体" w:cs="宋体"/>
                <w:color w:val="auto"/>
                <w:sz w:val="21"/>
                <w:szCs w:val="21"/>
                <w:highlight w:val="none"/>
                <w:lang w:val="en-US" w:eastAsia="zh-CN"/>
              </w:rPr>
              <w:t>中标单位</w:t>
            </w:r>
            <w:r>
              <w:rPr>
                <w:rFonts w:hint="eastAsia" w:ascii="宋体" w:hAnsi="宋体" w:eastAsia="宋体" w:cs="宋体"/>
                <w:color w:val="auto"/>
                <w:sz w:val="21"/>
                <w:szCs w:val="21"/>
                <w:highlight w:val="none"/>
                <w:lang w:val="en-US" w:eastAsia="zh-CN"/>
              </w:rPr>
              <w:t>并予以公布。</w:t>
            </w:r>
          </w:p>
        </w:tc>
      </w:tr>
      <w:tr w14:paraId="55F46862">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3B8B002C">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约谈制度</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4E59E1DC">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项目公示期满，下发中标通知书前，中标人必须按照招标人的规定参加项目实施前约谈，中标人的法定代表人、企业技术负责人以及</w:t>
            </w:r>
            <w:r>
              <w:rPr>
                <w:rFonts w:hint="eastAsia" w:ascii="宋体" w:hAnsi="宋体" w:cs="宋体"/>
                <w:color w:val="auto"/>
                <w:kern w:val="2"/>
                <w:sz w:val="21"/>
                <w:szCs w:val="21"/>
                <w:highlight w:val="none"/>
                <w:lang w:val="en-US" w:eastAsia="zh-CN" w:bidi="ar-SA"/>
              </w:rPr>
              <w:t>项目负责人</w:t>
            </w:r>
            <w:r>
              <w:rPr>
                <w:rFonts w:hint="eastAsia" w:ascii="宋体" w:hAnsi="宋体" w:eastAsia="宋体" w:cs="宋体"/>
                <w:color w:val="auto"/>
                <w:kern w:val="2"/>
                <w:sz w:val="21"/>
                <w:szCs w:val="21"/>
                <w:highlight w:val="none"/>
                <w:lang w:val="en-US" w:eastAsia="zh-CN" w:bidi="ar-SA"/>
              </w:rPr>
              <w:t>必须参加约谈会议。</w:t>
            </w:r>
          </w:p>
          <w:p w14:paraId="2BDE118B">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中标人的法定代表人参加约谈的，参与会议时须提供有效身份证明和职务任命文件；企业技术负责人参加约谈的，参与会议时须提供授权委托书、有效身份证明和职务任命文件，以及社保部门出具的本单位为其缴纳的养老保险证明（证明文件两个月内有效）。</w:t>
            </w:r>
          </w:p>
        </w:tc>
      </w:tr>
      <w:tr w14:paraId="3B0ABB0E">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009712">
            <w:pPr>
              <w:keepNext w:val="0"/>
              <w:keepLines w:val="0"/>
              <w:pageBreakBefore w:val="0"/>
              <w:shd w:val="clear" w:color="auto" w:fill="auto"/>
              <w:kinsoku/>
              <w:overflowPunct/>
              <w:autoSpaceDE/>
              <w:autoSpaceDN/>
              <w:bidi w:val="0"/>
              <w:snapToGrid/>
              <w:spacing w:line="5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禁止条款</w:t>
            </w:r>
          </w:p>
        </w:tc>
        <w:tc>
          <w:tcPr>
            <w:tcW w:w="87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56D613">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不得与施工单位同吃同住；不得将罚款、差旅费及相关费用转嫁给施工单位；不得代替施工单位整理相关施工资料及相关有偿服务；不得以监理费支付等为由拒绝履行监理服务，如有发现，委托人有权立即予以清退出场，终止合同，并另行委托同等资质的</w:t>
            </w:r>
            <w:r>
              <w:rPr>
                <w:rFonts w:hint="eastAsia" w:ascii="宋体" w:hAnsi="宋体" w:cs="宋体"/>
                <w:color w:val="auto"/>
                <w:kern w:val="0"/>
                <w:sz w:val="21"/>
                <w:szCs w:val="21"/>
                <w:highlight w:val="none"/>
                <w:lang w:eastAsia="zh-CN"/>
              </w:rPr>
              <w:t>中标单位</w:t>
            </w:r>
            <w:r>
              <w:rPr>
                <w:rFonts w:hint="eastAsia" w:ascii="宋体" w:hAnsi="宋体" w:eastAsia="宋体" w:cs="宋体"/>
                <w:color w:val="auto"/>
                <w:kern w:val="0"/>
                <w:sz w:val="21"/>
                <w:szCs w:val="21"/>
                <w:highlight w:val="none"/>
              </w:rPr>
              <w:t>完善后续服务。</w:t>
            </w:r>
          </w:p>
        </w:tc>
      </w:tr>
      <w:tr w14:paraId="66248AC0">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C5F201">
            <w:pPr>
              <w:keepNext w:val="0"/>
              <w:keepLines w:val="0"/>
              <w:pageBreakBefore w:val="0"/>
              <w:kinsoku/>
              <w:overflowPunct/>
              <w:autoSpaceDE/>
              <w:autoSpaceDN/>
              <w:bidi w:val="0"/>
              <w:spacing w:line="5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重要要求</w:t>
            </w:r>
          </w:p>
        </w:tc>
        <w:tc>
          <w:tcPr>
            <w:tcW w:w="87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1FF2FD">
            <w:pPr>
              <w:keepNext w:val="0"/>
              <w:keepLines w:val="0"/>
              <w:pageBreakBefore w:val="0"/>
              <w:widowControl/>
              <w:kinsoku/>
              <w:wordWrap w:val="0"/>
              <w:overflowPunct/>
              <w:autoSpaceDE/>
              <w:autoSpaceDN/>
              <w:bidi w:val="0"/>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有下列情况之一的，招标人有权终止合同：</w:t>
            </w:r>
          </w:p>
          <w:p w14:paraId="394B2B0B">
            <w:pPr>
              <w:keepNext w:val="0"/>
              <w:keepLines w:val="0"/>
              <w:pageBreakBefore w:val="0"/>
              <w:widowControl/>
              <w:numPr>
                <w:ilvl w:val="0"/>
                <w:numId w:val="0"/>
              </w:numPr>
              <w:tabs>
                <w:tab w:val="left" w:pos="0"/>
              </w:tabs>
              <w:kinsoku/>
              <w:wordWrap w:val="0"/>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第一次监理例会，</w:t>
            </w:r>
            <w:r>
              <w:rPr>
                <w:rFonts w:hint="eastAsia" w:ascii="宋体" w:hAnsi="宋体" w:cs="宋体"/>
                <w:color w:val="auto"/>
                <w:sz w:val="21"/>
                <w:szCs w:val="21"/>
                <w:highlight w:val="none"/>
                <w:lang w:val="en-US" w:eastAsia="zh-CN"/>
              </w:rPr>
              <w:t>中标单位</w:t>
            </w:r>
            <w:r>
              <w:rPr>
                <w:rFonts w:hint="eastAsia" w:ascii="宋体" w:hAnsi="宋体" w:eastAsia="宋体" w:cs="宋体"/>
                <w:color w:val="auto"/>
                <w:sz w:val="21"/>
                <w:szCs w:val="21"/>
                <w:highlight w:val="none"/>
              </w:rPr>
              <w:t>针对投标承诺配备项目</w:t>
            </w:r>
            <w:r>
              <w:rPr>
                <w:rFonts w:hint="eastAsia" w:ascii="宋体" w:hAnsi="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rPr>
              <w:t>、专业监理工程师、监理员等关键岗位人员未全部到场参加；</w:t>
            </w:r>
          </w:p>
          <w:p w14:paraId="7CC7E8F9">
            <w:pPr>
              <w:keepNext w:val="0"/>
              <w:keepLines w:val="0"/>
              <w:pageBreakBefore w:val="0"/>
              <w:widowControl/>
              <w:kinsoku/>
              <w:wordWrap w:val="0"/>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在图纸交底会议，</w:t>
            </w:r>
            <w:r>
              <w:rPr>
                <w:rFonts w:hint="eastAsia" w:ascii="宋体" w:hAnsi="宋体" w:cs="宋体"/>
                <w:color w:val="auto"/>
                <w:sz w:val="21"/>
                <w:szCs w:val="21"/>
                <w:highlight w:val="none"/>
                <w:lang w:val="en-US" w:eastAsia="zh-CN"/>
              </w:rPr>
              <w:t>中标</w:t>
            </w:r>
            <w:r>
              <w:rPr>
                <w:rFonts w:hint="eastAsia" w:ascii="宋体" w:hAnsi="宋体" w:eastAsia="宋体" w:cs="宋体"/>
                <w:color w:val="auto"/>
                <w:sz w:val="21"/>
                <w:szCs w:val="21"/>
                <w:highlight w:val="none"/>
              </w:rPr>
              <w:t>单位针对投标承诺配备项目</w:t>
            </w:r>
            <w:r>
              <w:rPr>
                <w:rFonts w:hint="eastAsia" w:ascii="宋体" w:hAnsi="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rPr>
              <w:t>、专业监理工程师、监理员等关键岗位人员未全部到场参加；</w:t>
            </w:r>
          </w:p>
          <w:p w14:paraId="068F2153">
            <w:pPr>
              <w:keepNext w:val="0"/>
              <w:keepLines w:val="0"/>
              <w:pageBreakBefore w:val="0"/>
              <w:widowControl/>
              <w:kinsoku/>
              <w:wordWrap w:val="0"/>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rPr>
              <w:t>组织对</w:t>
            </w:r>
            <w:r>
              <w:rPr>
                <w:rFonts w:hint="eastAsia" w:ascii="宋体" w:hAnsi="宋体" w:cs="宋体"/>
                <w:color w:val="auto"/>
                <w:sz w:val="21"/>
                <w:szCs w:val="21"/>
                <w:highlight w:val="none"/>
                <w:lang w:val="en-US" w:eastAsia="zh-CN"/>
              </w:rPr>
              <w:t>项目项目负责人（总监理工程师）</w:t>
            </w:r>
            <w:r>
              <w:rPr>
                <w:rFonts w:hint="eastAsia" w:ascii="宋体" w:hAnsi="宋体" w:eastAsia="宋体" w:cs="宋体"/>
                <w:color w:val="auto"/>
                <w:sz w:val="21"/>
                <w:szCs w:val="21"/>
                <w:highlight w:val="none"/>
              </w:rPr>
              <w:t>进行业务能力考核，经考核不合格要求更换人员，且更换人员考核依然不合格的；</w:t>
            </w:r>
          </w:p>
          <w:p w14:paraId="4B9F19FC">
            <w:pPr>
              <w:keepNext w:val="0"/>
              <w:keepLines w:val="0"/>
              <w:pageBreakBefore w:val="0"/>
              <w:widowControl/>
              <w:kinsoku/>
              <w:wordWrap w:val="0"/>
              <w:overflowPunct/>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工程进度管理：未执行招标人规定，情节严重的，</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rPr>
              <w:t>有权单方解除合同，并追究经济损失。</w:t>
            </w:r>
          </w:p>
          <w:p w14:paraId="088C6BB4">
            <w:pPr>
              <w:keepNext w:val="0"/>
              <w:keepLines w:val="0"/>
              <w:pageBreakBefore w:val="0"/>
              <w:widowControl/>
              <w:kinsoku/>
              <w:wordWrap w:val="0"/>
              <w:overflowPunct/>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投标人在监理过程中要建立完整的档案资料，同时要指导、督促施工方做好施工过程中资料归档，并按建设方项目验收需求装订成册后及时提供给建设单位。其他条款执行监理合同（含补充条款）及国家、省市最新相关规定。</w:t>
            </w:r>
          </w:p>
        </w:tc>
      </w:tr>
      <w:tr w14:paraId="5C997290">
        <w:tblPrEx>
          <w:tblCellMar>
            <w:top w:w="0" w:type="dxa"/>
            <w:left w:w="108" w:type="dxa"/>
            <w:bottom w:w="0" w:type="dxa"/>
            <w:right w:w="108" w:type="dxa"/>
          </w:tblCellMar>
        </w:tblPrEx>
        <w:trPr>
          <w:trHeight w:val="2465"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72B69B5F">
            <w:pPr>
              <w:keepNext w:val="0"/>
              <w:keepLines w:val="0"/>
              <w:pageBreakBefore w:val="0"/>
              <w:widowControl/>
              <w:kinsoku/>
              <w:overflowPunct/>
              <w:autoSpaceDE/>
              <w:autoSpaceDN/>
              <w:bidi w:val="0"/>
              <w:spacing w:line="5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评标过程中的澄清、说明或补正</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69D5A675">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评标委员会通过网上开评标系统将需要澄清、说明或补正的内容以询标函的形式发送给投标人，投标人应安排专人登录网上开评标系统并保持在线状态，并确保联系方式有效，以便及时接收评标委员会可能发出的询标函。</w:t>
            </w:r>
          </w:p>
          <w:p w14:paraId="218A83B2">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因投标人未登录网上开评标系统导致无法及时接收询标函（远程网上询标）或未在规定时间内按评标委员会要求进行澄清、说明或补正内容的视同投标人放弃澄清、说明或补正内容的权利，评标委员会可按对投标人不利的解释进行判定。</w:t>
            </w:r>
          </w:p>
        </w:tc>
      </w:tr>
      <w:tr w14:paraId="401B7D98">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5E398393">
            <w:pPr>
              <w:keepNext w:val="0"/>
              <w:keepLines w:val="0"/>
              <w:pageBreakBefore w:val="0"/>
              <w:widowControl/>
              <w:kinsoku/>
              <w:overflowPunct/>
              <w:autoSpaceDE/>
              <w:autoSpaceDN/>
              <w:bidi w:val="0"/>
              <w:spacing w:line="5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05E94B18">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1.本项目投标保证金、履约保证金、工程质量保证金、农民工工资保证金均支持保函使用。以现金形式提交保证金的，应当同时退还保证金本金和银行同期存款利息。</w:t>
            </w:r>
          </w:p>
          <w:p w14:paraId="2D01A98C">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2.项目负责人必须是投标人本单位工作人员，提供虚假资料谋取中标将被依法处罚。</w:t>
            </w:r>
            <w:r>
              <w:rPr>
                <w:rFonts w:hint="eastAsia" w:ascii="宋体" w:hAnsi="宋体" w:eastAsia="宋体" w:cs="宋体"/>
                <w:color w:val="auto"/>
                <w:kern w:val="2"/>
                <w:sz w:val="21"/>
                <w:szCs w:val="21"/>
                <w:highlight w:val="none"/>
                <w:lang w:val="zh-CN" w:eastAsia="zh-CN" w:bidi="ar-SA"/>
              </w:rPr>
              <w:t>投标人对所提交的投标人或拟派项目</w:t>
            </w:r>
            <w:r>
              <w:rPr>
                <w:rFonts w:hint="eastAsia" w:ascii="宋体" w:hAnsi="宋体" w:eastAsia="宋体" w:cs="宋体"/>
                <w:color w:val="auto"/>
                <w:kern w:val="2"/>
                <w:sz w:val="21"/>
                <w:szCs w:val="21"/>
                <w:highlight w:val="none"/>
                <w:lang w:val="en-US" w:eastAsia="zh-CN" w:bidi="ar-SA"/>
              </w:rPr>
              <w:t>负责人</w:t>
            </w:r>
            <w:r>
              <w:rPr>
                <w:rFonts w:hint="eastAsia" w:ascii="宋体" w:hAnsi="宋体" w:eastAsia="宋体" w:cs="宋体"/>
                <w:color w:val="auto"/>
                <w:kern w:val="2"/>
                <w:sz w:val="21"/>
                <w:szCs w:val="21"/>
                <w:highlight w:val="none"/>
                <w:lang w:val="zh-CN" w:eastAsia="zh-CN" w:bidi="ar-SA"/>
              </w:rPr>
              <w:t>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w:t>
            </w:r>
            <w:r>
              <w:rPr>
                <w:rFonts w:hint="eastAsia" w:ascii="宋体" w:hAnsi="宋体" w:eastAsia="宋体" w:cs="宋体"/>
                <w:color w:val="auto"/>
                <w:kern w:val="2"/>
                <w:sz w:val="21"/>
                <w:szCs w:val="21"/>
                <w:highlight w:val="none"/>
                <w:lang w:val="en-US" w:eastAsia="zh-CN" w:bidi="ar-SA"/>
              </w:rPr>
              <w:t>滁州市</w:t>
            </w:r>
            <w:r>
              <w:rPr>
                <w:rFonts w:hint="eastAsia" w:ascii="宋体" w:hAnsi="宋体" w:eastAsia="宋体" w:cs="宋体"/>
                <w:color w:val="auto"/>
                <w:kern w:val="2"/>
                <w:sz w:val="21"/>
                <w:szCs w:val="21"/>
                <w:highlight w:val="none"/>
                <w:lang w:val="zh-CN" w:eastAsia="zh-CN" w:bidi="ar-SA"/>
              </w:rPr>
              <w:t>公共资源交易监督管理局）依法处理。</w:t>
            </w:r>
          </w:p>
          <w:p w14:paraId="566A44C3">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zh-CN" w:eastAsia="zh-CN" w:bidi="ar-SA"/>
              </w:rPr>
              <w:t>中标人未履行下述义务的，</w:t>
            </w:r>
            <w:r>
              <w:rPr>
                <w:rFonts w:hint="eastAsia" w:ascii="宋体" w:hAnsi="宋体" w:eastAsia="宋体" w:cs="宋体"/>
                <w:color w:val="auto"/>
                <w:kern w:val="2"/>
                <w:sz w:val="21"/>
                <w:szCs w:val="21"/>
                <w:highlight w:val="none"/>
                <w:lang w:val="en-US" w:eastAsia="zh-CN" w:bidi="ar-SA"/>
              </w:rPr>
              <w:t>滁州市</w:t>
            </w:r>
            <w:r>
              <w:rPr>
                <w:rFonts w:hint="eastAsia" w:ascii="宋体" w:hAnsi="宋体" w:eastAsia="宋体" w:cs="宋体"/>
                <w:color w:val="auto"/>
                <w:kern w:val="2"/>
                <w:sz w:val="21"/>
                <w:szCs w:val="21"/>
                <w:highlight w:val="none"/>
                <w:lang w:val="zh-CN" w:eastAsia="zh-CN" w:bidi="ar-SA"/>
              </w:rPr>
              <w:t>公共资源交易监督管理局将依法对中标人进行处理，追究相关责任：</w:t>
            </w:r>
          </w:p>
          <w:p w14:paraId="0CB3E753">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①中标人无正当理由不与招标人订立合同，在签订合同时向招标人提出附加条件，或者不按照招标文件要求提交履约保证金的，招标人有权取消中标人中标资格，并将相关违约行为报送监管部门处理；</w:t>
            </w:r>
          </w:p>
          <w:p w14:paraId="1C19E70C">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②合同签订后，中标人存在规定时间内不组织人员进场开工、不履行供货安装义务等情况，招标人有权解除合同，并追究违约责任，同时将相关违约行为报送监管部门，记不良行为记录， 实施信用惩戒。</w:t>
            </w:r>
          </w:p>
        </w:tc>
      </w:tr>
      <w:tr w14:paraId="72B5C4F7">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5C9F182D">
            <w:pPr>
              <w:keepNext w:val="0"/>
              <w:keepLines w:val="0"/>
              <w:pageBreakBefore w:val="0"/>
              <w:widowControl/>
              <w:kinsoku/>
              <w:overflowPunct/>
              <w:autoSpaceDE/>
              <w:autoSpaceDN/>
              <w:bidi w:val="0"/>
              <w:spacing w:line="500" w:lineRule="exact"/>
              <w:jc w:val="center"/>
              <w:textAlignment w:val="auto"/>
              <w:rPr>
                <w:rFonts w:hint="default" w:ascii="宋体" w:hAnsi="宋体" w:eastAsia="宋体" w:cs="宋体"/>
                <w:color w:val="auto"/>
                <w:sz w:val="21"/>
                <w:szCs w:val="21"/>
                <w:highlight w:val="none"/>
                <w:lang w:val="en-US" w:eastAsia="zh-CN"/>
              </w:rPr>
            </w:pPr>
            <w:bookmarkStart w:id="52" w:name="_Toc35425053"/>
            <w:bookmarkStart w:id="53" w:name="_Toc5813"/>
            <w:bookmarkStart w:id="54" w:name="_Toc35424887"/>
            <w:bookmarkStart w:id="55" w:name="_Toc15058846"/>
            <w:r>
              <w:rPr>
                <w:rFonts w:hint="eastAsia" w:ascii="宋体" w:hAnsi="宋体" w:cs="宋体"/>
                <w:color w:val="auto"/>
                <w:sz w:val="21"/>
                <w:szCs w:val="21"/>
                <w:highlight w:val="none"/>
                <w:lang w:val="en-US" w:eastAsia="zh-CN"/>
              </w:rPr>
              <w:t>奖励</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0B9AFF08">
            <w:pPr>
              <w:pStyle w:val="1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中新苏滁高新区超级电容智能制造基地如获得施工招标文件中规定的奖项，招标人将给予监理单位奖励</w:t>
            </w:r>
            <w:r>
              <w:rPr>
                <w:rFonts w:hint="eastAsia" w:ascii="宋体" w:hAnsi="宋体" w:cs="宋体"/>
                <w:color w:val="auto"/>
                <w:kern w:val="2"/>
                <w:sz w:val="21"/>
                <w:szCs w:val="21"/>
                <w:highlight w:val="none"/>
                <w:lang w:val="en-US" w:eastAsia="zh-CN" w:bidi="ar-SA"/>
              </w:rPr>
              <w:t>（黄山杯奖励3万元）</w:t>
            </w:r>
            <w:r>
              <w:rPr>
                <w:rFonts w:hint="eastAsia" w:ascii="宋体" w:hAnsi="宋体" w:cs="宋体"/>
                <w:color w:val="auto"/>
                <w:kern w:val="2"/>
                <w:sz w:val="21"/>
                <w:szCs w:val="21"/>
                <w:highlight w:val="none"/>
                <w:lang w:val="en-US" w:eastAsia="zh-CN" w:bidi="ar-SA"/>
              </w:rPr>
              <w:t>，该</w:t>
            </w:r>
            <w:r>
              <w:rPr>
                <w:rFonts w:hint="eastAsia" w:ascii="宋体" w:hAnsi="宋体" w:eastAsia="宋体" w:cs="宋体"/>
                <w:color w:val="auto"/>
                <w:kern w:val="2"/>
                <w:sz w:val="21"/>
                <w:szCs w:val="21"/>
                <w:highlight w:val="none"/>
                <w:lang w:val="en-US" w:eastAsia="zh-CN" w:bidi="ar-SA"/>
              </w:rPr>
              <w:t>奖励</w:t>
            </w:r>
            <w:r>
              <w:rPr>
                <w:rFonts w:hint="eastAsia" w:ascii="宋体" w:hAnsi="宋体" w:cs="宋体"/>
                <w:color w:val="auto"/>
                <w:kern w:val="2"/>
                <w:sz w:val="21"/>
                <w:szCs w:val="21"/>
                <w:highlight w:val="none"/>
                <w:lang w:val="en-US" w:eastAsia="zh-CN" w:bidi="ar-SA"/>
              </w:rPr>
              <w:t>具体</w:t>
            </w:r>
            <w:r>
              <w:rPr>
                <w:rFonts w:hint="eastAsia" w:ascii="宋体" w:hAnsi="宋体" w:eastAsia="宋体" w:cs="宋体"/>
                <w:color w:val="auto"/>
                <w:kern w:val="2"/>
                <w:sz w:val="21"/>
                <w:szCs w:val="21"/>
                <w:highlight w:val="none"/>
                <w:lang w:val="en-US" w:eastAsia="zh-CN" w:bidi="ar-SA"/>
              </w:rPr>
              <w:t>由</w:t>
            </w:r>
            <w:r>
              <w:rPr>
                <w:rFonts w:hint="eastAsia" w:ascii="宋体" w:hAnsi="宋体" w:cs="宋体"/>
                <w:color w:val="auto"/>
                <w:kern w:val="2"/>
                <w:sz w:val="21"/>
                <w:szCs w:val="21"/>
                <w:highlight w:val="none"/>
                <w:lang w:val="en-US" w:eastAsia="zh-CN" w:bidi="ar-SA"/>
              </w:rPr>
              <w:t>招</w:t>
            </w:r>
            <w:r>
              <w:rPr>
                <w:rFonts w:hint="eastAsia" w:ascii="宋体" w:hAnsi="宋体" w:eastAsia="宋体" w:cs="宋体"/>
                <w:color w:val="auto"/>
                <w:kern w:val="2"/>
                <w:sz w:val="21"/>
                <w:szCs w:val="21"/>
                <w:highlight w:val="none"/>
                <w:lang w:val="en-US" w:eastAsia="zh-CN" w:bidi="ar-SA"/>
              </w:rPr>
              <w:t>标人进行分配。</w:t>
            </w:r>
            <w:r>
              <w:rPr>
                <w:rFonts w:hint="eastAsia" w:ascii="宋体" w:hAnsi="宋体" w:cs="宋体"/>
                <w:color w:val="auto"/>
                <w:kern w:val="2"/>
                <w:sz w:val="21"/>
                <w:szCs w:val="21"/>
                <w:highlight w:val="none"/>
                <w:lang w:val="en-US" w:eastAsia="zh-CN" w:bidi="ar-SA"/>
              </w:rPr>
              <w:t>如未获得施工招标文件中规定的黄山杯奖项</w:t>
            </w:r>
            <w:r>
              <w:rPr>
                <w:rFonts w:hint="eastAsia" w:ascii="宋体" w:hAnsi="宋体" w:cs="宋体"/>
                <w:color w:val="auto"/>
                <w:kern w:val="2"/>
                <w:sz w:val="21"/>
                <w:szCs w:val="21"/>
                <w:highlight w:val="none"/>
                <w:lang w:val="en-US" w:eastAsia="zh-CN" w:bidi="ar-SA"/>
              </w:rPr>
              <w:t>，则处罚3万元</w:t>
            </w:r>
            <w:r>
              <w:rPr>
                <w:rFonts w:hint="eastAsia" w:ascii="宋体" w:hAnsi="宋体" w:eastAsia="宋体" w:cs="宋体"/>
                <w:color w:val="auto"/>
                <w:kern w:val="2"/>
                <w:sz w:val="21"/>
                <w:szCs w:val="21"/>
                <w:highlight w:val="none"/>
                <w:lang w:val="en-US" w:eastAsia="zh-CN" w:bidi="ar-SA"/>
              </w:rPr>
              <w:t>。</w:t>
            </w:r>
          </w:p>
        </w:tc>
      </w:tr>
    </w:tbl>
    <w:p w14:paraId="35308E6C">
      <w:pPr>
        <w:rPr>
          <w:rFonts w:ascii="宋体" w:cs="宋体"/>
          <w:color w:val="auto"/>
          <w:sz w:val="24"/>
          <w:highlight w:val="none"/>
        </w:rPr>
      </w:pPr>
      <w:r>
        <w:rPr>
          <w:rFonts w:ascii="宋体" w:cs="宋体"/>
          <w:color w:val="auto"/>
          <w:sz w:val="24"/>
          <w:highlight w:val="none"/>
        </w:rPr>
        <w:br w:type="page"/>
      </w:r>
    </w:p>
    <w:p w14:paraId="376B53EA">
      <w:pPr>
        <w:pStyle w:val="4"/>
        <w:pageBreakBefore w:val="0"/>
        <w:widowControl w:val="0"/>
        <w:kinsoku/>
        <w:wordWrap/>
        <w:overflowPunct/>
        <w:topLinePunct w:val="0"/>
        <w:autoSpaceDE/>
        <w:autoSpaceDN/>
        <w:bidi w:val="0"/>
        <w:spacing w:line="500" w:lineRule="exact"/>
        <w:ind w:firstLine="482"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rPr>
        <w:t>总则</w:t>
      </w:r>
      <w:bookmarkEnd w:id="42"/>
      <w:bookmarkEnd w:id="43"/>
      <w:bookmarkEnd w:id="44"/>
      <w:bookmarkEnd w:id="45"/>
      <w:bookmarkEnd w:id="46"/>
      <w:bookmarkEnd w:id="47"/>
      <w:bookmarkEnd w:id="48"/>
      <w:bookmarkEnd w:id="49"/>
      <w:bookmarkEnd w:id="50"/>
      <w:bookmarkEnd w:id="52"/>
      <w:bookmarkEnd w:id="53"/>
      <w:bookmarkEnd w:id="54"/>
      <w:bookmarkEnd w:id="55"/>
    </w:p>
    <w:p w14:paraId="2C543946">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kern w:val="44"/>
          <w:highlight w:val="none"/>
        </w:rPr>
      </w:pPr>
      <w:bookmarkStart w:id="56" w:name="_Toc152045530"/>
      <w:bookmarkStart w:id="57" w:name="_Toc152042306"/>
      <w:bookmarkStart w:id="58" w:name="_Toc296602421"/>
      <w:bookmarkStart w:id="59" w:name="_Toc4678"/>
      <w:bookmarkStart w:id="60" w:name="_Toc35425054"/>
      <w:bookmarkStart w:id="61" w:name="_Toc247085690"/>
      <w:bookmarkStart w:id="62" w:name="_Toc246996176"/>
      <w:bookmarkStart w:id="63" w:name="_Toc144974498"/>
      <w:bookmarkStart w:id="64" w:name="_Toc506107270"/>
      <w:bookmarkStart w:id="65" w:name="_Toc179632547"/>
      <w:bookmarkStart w:id="66" w:name="_Toc324404816"/>
      <w:bookmarkStart w:id="67" w:name="_Toc246996919"/>
      <w:bookmarkStart w:id="68" w:name="_Toc15058847"/>
      <w:bookmarkStart w:id="69" w:name="_Toc35424888"/>
      <w:r>
        <w:rPr>
          <w:rFonts w:ascii="宋体" w:hAnsi="宋体" w:eastAsia="宋体" w:cs="宋体"/>
          <w:color w:val="auto"/>
          <w:kern w:val="44"/>
          <w:highlight w:val="none"/>
        </w:rPr>
        <w:t xml:space="preserve">1.1 </w:t>
      </w:r>
      <w:r>
        <w:rPr>
          <w:rFonts w:hint="eastAsia" w:ascii="宋体" w:hAnsi="宋体" w:eastAsia="宋体" w:cs="宋体"/>
          <w:color w:val="auto"/>
          <w:kern w:val="44"/>
          <w:highlight w:val="none"/>
        </w:rPr>
        <w:t>项目概况</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2D28506A">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1.1.1</w:t>
      </w:r>
      <w:r>
        <w:rPr>
          <w:rFonts w:hint="eastAsia" w:ascii="宋体" w:hAnsi="宋体" w:cs="宋体"/>
          <w:color w:val="auto"/>
          <w:szCs w:val="21"/>
          <w:highlight w:val="none"/>
        </w:rPr>
        <w:t>根据《中华人民共和国招标投标法》《中华人民共和国招标投标法实施条例》等有关法律、法规和规章的规定，本招标项目已具备招标条件，现对本项目进行招标。</w:t>
      </w:r>
    </w:p>
    <w:p w14:paraId="3ED206EE">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1.1.2 </w:t>
      </w:r>
      <w:r>
        <w:rPr>
          <w:rFonts w:hint="eastAsia" w:ascii="宋体" w:hAnsi="宋体" w:cs="宋体"/>
          <w:color w:val="auto"/>
          <w:szCs w:val="21"/>
          <w:highlight w:val="none"/>
        </w:rPr>
        <w:t>本招标项目招标人：见投标人须知前附表。</w:t>
      </w:r>
    </w:p>
    <w:p w14:paraId="7420A49D">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1.1.3 </w:t>
      </w:r>
      <w:r>
        <w:rPr>
          <w:rFonts w:hint="eastAsia" w:ascii="宋体" w:hAnsi="宋体" w:cs="宋体"/>
          <w:color w:val="auto"/>
          <w:szCs w:val="21"/>
          <w:highlight w:val="none"/>
        </w:rPr>
        <w:t>本招标项目招标代理机构：见投标人须知前附表。</w:t>
      </w:r>
    </w:p>
    <w:p w14:paraId="01FFF820">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1.1.4 </w:t>
      </w:r>
      <w:r>
        <w:rPr>
          <w:rFonts w:hint="eastAsia" w:ascii="宋体" w:hAnsi="宋体" w:cs="宋体"/>
          <w:color w:val="auto"/>
          <w:szCs w:val="21"/>
          <w:highlight w:val="none"/>
        </w:rPr>
        <w:t>本招标项目名称：见投标人须知前附表。</w:t>
      </w:r>
    </w:p>
    <w:p w14:paraId="70E72665">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1.1.5 </w:t>
      </w:r>
      <w:r>
        <w:rPr>
          <w:rFonts w:hint="eastAsia" w:ascii="宋体" w:hAnsi="宋体" w:cs="宋体"/>
          <w:color w:val="auto"/>
          <w:szCs w:val="21"/>
          <w:highlight w:val="none"/>
        </w:rPr>
        <w:t>本招标项目建设地点：见投标人须知前附表。</w:t>
      </w:r>
    </w:p>
    <w:p w14:paraId="041D99F2">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70" w:name="_Toc35425055"/>
      <w:bookmarkStart w:id="71" w:name="_Toc179632548"/>
      <w:bookmarkStart w:id="72" w:name="_Toc35424889"/>
      <w:bookmarkStart w:id="73" w:name="_Toc324404817"/>
      <w:bookmarkStart w:id="74" w:name="_Toc246996920"/>
      <w:bookmarkStart w:id="75" w:name="_Toc247085691"/>
      <w:bookmarkStart w:id="76" w:name="_Toc296602422"/>
      <w:bookmarkStart w:id="77" w:name="_Toc152042307"/>
      <w:bookmarkStart w:id="78" w:name="_Toc15058848"/>
      <w:bookmarkStart w:id="79" w:name="_Toc144974499"/>
      <w:bookmarkStart w:id="80" w:name="_Toc506107271"/>
      <w:bookmarkStart w:id="81" w:name="_Toc152045531"/>
      <w:bookmarkStart w:id="82" w:name="_Toc7142"/>
      <w:bookmarkStart w:id="83" w:name="_Toc246996177"/>
      <w:r>
        <w:rPr>
          <w:rFonts w:ascii="宋体" w:hAnsi="宋体" w:eastAsia="宋体" w:cs="宋体"/>
          <w:color w:val="auto"/>
          <w:highlight w:val="none"/>
        </w:rPr>
        <w:t xml:space="preserve">1.2 </w:t>
      </w:r>
      <w:r>
        <w:rPr>
          <w:rFonts w:hint="eastAsia" w:ascii="宋体" w:hAnsi="宋体" w:eastAsia="宋体" w:cs="宋体"/>
          <w:color w:val="auto"/>
          <w:highlight w:val="none"/>
        </w:rPr>
        <w:t>资金来源和落实情况</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2BB99871">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1.2.1 </w:t>
      </w:r>
      <w:r>
        <w:rPr>
          <w:rFonts w:hint="eastAsia" w:ascii="宋体" w:hAnsi="宋体" w:cs="宋体"/>
          <w:color w:val="auto"/>
          <w:szCs w:val="21"/>
          <w:highlight w:val="none"/>
        </w:rPr>
        <w:t>本招标项目的资金来源及出资比例：见投标人须知前附表。</w:t>
      </w:r>
    </w:p>
    <w:p w14:paraId="74AEFDED">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1.2.2 </w:t>
      </w:r>
      <w:r>
        <w:rPr>
          <w:rFonts w:hint="eastAsia" w:ascii="宋体" w:hAnsi="宋体" w:cs="宋体"/>
          <w:color w:val="auto"/>
          <w:szCs w:val="21"/>
          <w:highlight w:val="none"/>
        </w:rPr>
        <w:t>本招标项目的资金落实情况：见投标人须知前附表。</w:t>
      </w:r>
    </w:p>
    <w:p w14:paraId="1542BB4C">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84" w:name="_Toc144974500"/>
      <w:bookmarkStart w:id="85" w:name="_Toc6330"/>
      <w:bookmarkStart w:id="86" w:name="_Toc246996921"/>
      <w:bookmarkStart w:id="87" w:name="_Toc35425056"/>
      <w:bookmarkStart w:id="88" w:name="_Toc506107272"/>
      <w:bookmarkStart w:id="89" w:name="_Toc35424890"/>
      <w:bookmarkStart w:id="90" w:name="_Toc296602423"/>
      <w:bookmarkStart w:id="91" w:name="_Toc246996178"/>
      <w:bookmarkStart w:id="92" w:name="_Toc179632549"/>
      <w:bookmarkStart w:id="93" w:name="_Toc152042308"/>
      <w:bookmarkStart w:id="94" w:name="_Toc324404818"/>
      <w:bookmarkStart w:id="95" w:name="_Toc152045532"/>
      <w:bookmarkStart w:id="96" w:name="_Toc15058849"/>
      <w:bookmarkStart w:id="97" w:name="_Toc247085692"/>
      <w:r>
        <w:rPr>
          <w:rFonts w:ascii="宋体" w:hAnsi="宋体" w:eastAsia="宋体" w:cs="宋体"/>
          <w:color w:val="auto"/>
          <w:highlight w:val="none"/>
        </w:rPr>
        <w:t xml:space="preserve">1.3 </w:t>
      </w:r>
      <w:r>
        <w:rPr>
          <w:rFonts w:hint="eastAsia" w:ascii="宋体" w:hAnsi="宋体" w:eastAsia="宋体" w:cs="宋体"/>
          <w:color w:val="auto"/>
          <w:highlight w:val="none"/>
        </w:rPr>
        <w:t>招标范围、服务期限、质量要求</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49EE8CAE">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1.3.1 </w:t>
      </w:r>
      <w:r>
        <w:rPr>
          <w:rFonts w:hint="eastAsia" w:ascii="宋体" w:hAnsi="宋体" w:cs="宋体"/>
          <w:color w:val="auto"/>
          <w:szCs w:val="21"/>
          <w:highlight w:val="none"/>
        </w:rPr>
        <w:t>本次招标范围：见投标人须知前附表。</w:t>
      </w:r>
    </w:p>
    <w:p w14:paraId="0793FD3D">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1.3.2 </w:t>
      </w:r>
      <w:r>
        <w:rPr>
          <w:rFonts w:hint="eastAsia" w:ascii="宋体" w:hAnsi="宋体" w:cs="宋体"/>
          <w:color w:val="auto"/>
          <w:szCs w:val="21"/>
          <w:highlight w:val="none"/>
        </w:rPr>
        <w:t>本招标项目的服务期限：见投标人须知前附表。</w:t>
      </w:r>
    </w:p>
    <w:p w14:paraId="331B554C">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1.3.3 </w:t>
      </w:r>
      <w:r>
        <w:rPr>
          <w:rFonts w:hint="eastAsia" w:ascii="宋体" w:hAnsi="宋体" w:cs="宋体"/>
          <w:color w:val="auto"/>
          <w:szCs w:val="21"/>
          <w:highlight w:val="none"/>
        </w:rPr>
        <w:t>本招标项目的质量要求：见投标人须知前附表。</w:t>
      </w:r>
    </w:p>
    <w:p w14:paraId="1DEB09DE">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98" w:name="_Toc26897"/>
      <w:bookmarkStart w:id="99" w:name="_Toc296602424"/>
      <w:bookmarkStart w:id="100" w:name="_Toc35424891"/>
      <w:bookmarkStart w:id="101" w:name="_Toc152045534"/>
      <w:bookmarkStart w:id="102" w:name="_Toc15058850"/>
      <w:bookmarkStart w:id="103" w:name="_Toc35425057"/>
      <w:bookmarkStart w:id="104" w:name="_Toc144974502"/>
      <w:bookmarkStart w:id="105" w:name="_Toc246996922"/>
      <w:bookmarkStart w:id="106" w:name="_Toc247085693"/>
      <w:bookmarkStart w:id="107" w:name="_Toc179632551"/>
      <w:bookmarkStart w:id="108" w:name="_Toc152042310"/>
      <w:bookmarkStart w:id="109" w:name="_Toc506107273"/>
      <w:bookmarkStart w:id="110" w:name="_Toc246996179"/>
      <w:bookmarkStart w:id="111" w:name="_Toc324404819"/>
      <w:r>
        <w:rPr>
          <w:rFonts w:ascii="宋体" w:hAnsi="宋体" w:eastAsia="宋体" w:cs="宋体"/>
          <w:color w:val="auto"/>
          <w:highlight w:val="none"/>
        </w:rPr>
        <w:t xml:space="preserve">1.4 </w:t>
      </w:r>
      <w:r>
        <w:rPr>
          <w:rFonts w:hint="eastAsia" w:ascii="宋体" w:hAnsi="宋体" w:eastAsia="宋体" w:cs="宋体"/>
          <w:color w:val="auto"/>
          <w:highlight w:val="none"/>
        </w:rPr>
        <w:t>投标人资格要求</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3524671A">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1.4.1 </w:t>
      </w:r>
      <w:r>
        <w:rPr>
          <w:rFonts w:hint="eastAsia" w:ascii="宋体" w:hAnsi="宋体" w:cs="宋体"/>
          <w:color w:val="auto"/>
          <w:szCs w:val="21"/>
          <w:highlight w:val="none"/>
        </w:rPr>
        <w:t>投标人应具备承担本项目的资质条件、能力和信誉。</w:t>
      </w:r>
    </w:p>
    <w:p w14:paraId="768F737D">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（1）资质条件：见投标人须知前附表；</w:t>
      </w:r>
    </w:p>
    <w:p w14:paraId="09609BD1">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（2）信誉要求：见投标人须知前附表；</w:t>
      </w:r>
    </w:p>
    <w:p w14:paraId="4D2251F3">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（3）项目</w:t>
      </w:r>
      <w:r>
        <w:rPr>
          <w:rFonts w:hint="eastAsia" w:ascii="宋体" w:hAnsi="宋体" w:cs="宋体"/>
          <w:color w:val="auto"/>
          <w:szCs w:val="21"/>
          <w:highlight w:val="none"/>
          <w:lang w:val="en-US" w:eastAsia="zh-CN"/>
        </w:rPr>
        <w:t>负责人</w:t>
      </w:r>
      <w:r>
        <w:rPr>
          <w:rFonts w:hint="eastAsia" w:ascii="宋体" w:hAnsi="宋体" w:cs="宋体"/>
          <w:color w:val="auto"/>
          <w:szCs w:val="21"/>
          <w:highlight w:val="none"/>
        </w:rPr>
        <w:t>资格：见投标人须知前附表；</w:t>
      </w:r>
    </w:p>
    <w:p w14:paraId="38C82175">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（4）其他要求：见投标人须知前附表。</w:t>
      </w:r>
    </w:p>
    <w:p w14:paraId="748A32D4">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bookmarkStart w:id="112" w:name="_Toc144974503"/>
      <w:bookmarkStart w:id="113" w:name="_Toc247085694"/>
      <w:bookmarkStart w:id="114" w:name="_Toc35425058"/>
      <w:bookmarkStart w:id="115" w:name="_Toc152042311"/>
      <w:bookmarkStart w:id="116" w:name="_Toc246996923"/>
      <w:bookmarkStart w:id="117" w:name="_Toc35424892"/>
      <w:bookmarkStart w:id="118" w:name="_Toc179632552"/>
      <w:bookmarkStart w:id="119" w:name="_Toc10179"/>
      <w:bookmarkStart w:id="120" w:name="_Toc296602425"/>
      <w:bookmarkStart w:id="121" w:name="_Toc15058851"/>
      <w:bookmarkStart w:id="122" w:name="_Toc246996180"/>
      <w:bookmarkStart w:id="123" w:name="_Toc506107274"/>
      <w:bookmarkStart w:id="124" w:name="_Toc152045535"/>
      <w:bookmarkStart w:id="125" w:name="_Toc324404820"/>
      <w:r>
        <w:rPr>
          <w:rFonts w:hint="eastAsia" w:ascii="宋体" w:hAnsi="宋体" w:eastAsia="宋体" w:cs="宋体"/>
          <w:color w:val="auto"/>
          <w:szCs w:val="21"/>
          <w:highlight w:val="none"/>
        </w:rPr>
        <w:t xml:space="preserve">1.4.2 投标人须知前附表规定接受联合体投标的，除应符合本章第1.4.1项和投标人须知前附表的要求外，还应遵守以下规定： </w:t>
      </w:r>
    </w:p>
    <w:p w14:paraId="5A9CFB5B">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（1）联合体各方应按招标文件提供的格式签订联合体协议书，明确联合体各方权利义务</w:t>
      </w:r>
      <w:r>
        <w:rPr>
          <w:rFonts w:ascii="宋体" w:hAnsi="宋体" w:eastAsia="宋体" w:cs="宋体"/>
          <w:color w:val="auto"/>
          <w:szCs w:val="21"/>
          <w:highlight w:val="none"/>
        </w:rPr>
        <w:t>，并承诺就中标项目向招标人承担连带责任</w:t>
      </w:r>
      <w:r>
        <w:rPr>
          <w:rFonts w:hint="eastAsia" w:ascii="宋体" w:hAnsi="宋体" w:eastAsia="宋体" w:cs="宋体"/>
          <w:color w:val="auto"/>
          <w:szCs w:val="21"/>
          <w:highlight w:val="none"/>
        </w:rPr>
        <w:t>；</w:t>
      </w:r>
    </w:p>
    <w:p w14:paraId="73AA1E32">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（2）联合体各方不得再以自己名义单独或参加其他联合体在同一标段中投标。</w:t>
      </w:r>
    </w:p>
    <w:p w14:paraId="05238A24">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投标人（包括联合体各成员）不得与本标段相关单位存在下列关联关系：</w:t>
      </w:r>
    </w:p>
    <w:p w14:paraId="70CC5F0A">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（1）为招标人不具有独立法人资格的附属机构（单位）；</w:t>
      </w:r>
    </w:p>
    <w:p w14:paraId="65B385C1">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（2）与招标人存在利害关系且可能影响招标公正性；</w:t>
      </w:r>
    </w:p>
    <w:p w14:paraId="73CFD90E">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（3）与本标段的其他投标人同为一个单位负责人；</w:t>
      </w:r>
    </w:p>
    <w:p w14:paraId="1C1C9C19">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（4）与本标段的其他投标人存在控股、管理关系；</w:t>
      </w:r>
    </w:p>
    <w:p w14:paraId="12DBFA31">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（5）为本标段前期准备提供设计或咨询服务的法人或其任何附属机构（单位）；</w:t>
      </w:r>
    </w:p>
    <w:p w14:paraId="33FA1197">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）为本标段的代建人；</w:t>
      </w:r>
    </w:p>
    <w:p w14:paraId="5CE883F1">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）为本标段的招标代理机构；</w:t>
      </w:r>
    </w:p>
    <w:p w14:paraId="35FD8D1E">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）与本标段的代建人或招标代理机构同为一个法定代表人；</w:t>
      </w:r>
    </w:p>
    <w:p w14:paraId="00FB73D9">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）与本标段的代建人或招标代理机构存在控股或参股关系；</w:t>
      </w:r>
    </w:p>
    <w:p w14:paraId="2E16225A">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）法律法规或投标人须知前附表规定的其他情形。</w:t>
      </w:r>
    </w:p>
    <w:p w14:paraId="50062293">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r>
        <w:rPr>
          <w:rFonts w:ascii="宋体" w:hAnsi="宋体" w:eastAsia="宋体" w:cs="宋体"/>
          <w:color w:val="auto"/>
          <w:highlight w:val="none"/>
        </w:rPr>
        <w:t xml:space="preserve">1.5 </w:t>
      </w:r>
      <w:r>
        <w:rPr>
          <w:rFonts w:hint="eastAsia" w:ascii="宋体" w:hAnsi="宋体" w:eastAsia="宋体" w:cs="宋体"/>
          <w:color w:val="auto"/>
          <w:highlight w:val="none"/>
        </w:rPr>
        <w:t>费用承担</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5A6EEE06">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投标人准备和参加投标活动发生的费用自理。</w:t>
      </w:r>
    </w:p>
    <w:p w14:paraId="3FF7FA3F">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126" w:name="_Toc506107275"/>
      <w:bookmarkStart w:id="127" w:name="_Toc179632553"/>
      <w:bookmarkStart w:id="128" w:name="_Toc247085695"/>
      <w:bookmarkStart w:id="129" w:name="_Toc324404821"/>
      <w:bookmarkStart w:id="130" w:name="_Toc296602426"/>
      <w:bookmarkStart w:id="131" w:name="_Toc4092"/>
      <w:bookmarkStart w:id="132" w:name="_Toc35425059"/>
      <w:bookmarkStart w:id="133" w:name="_Toc152042312"/>
      <w:bookmarkStart w:id="134" w:name="_Toc144974504"/>
      <w:bookmarkStart w:id="135" w:name="_Toc246996924"/>
      <w:bookmarkStart w:id="136" w:name="_Toc35424893"/>
      <w:bookmarkStart w:id="137" w:name="_Toc246996181"/>
      <w:bookmarkStart w:id="138" w:name="_Toc15058852"/>
      <w:bookmarkStart w:id="139" w:name="_Toc152045536"/>
      <w:r>
        <w:rPr>
          <w:rFonts w:ascii="宋体" w:hAnsi="宋体" w:eastAsia="宋体" w:cs="宋体"/>
          <w:color w:val="auto"/>
          <w:highlight w:val="none"/>
        </w:rPr>
        <w:t xml:space="preserve">1.6 </w:t>
      </w:r>
      <w:r>
        <w:rPr>
          <w:rFonts w:hint="eastAsia" w:ascii="宋体" w:hAnsi="宋体" w:eastAsia="宋体" w:cs="宋体"/>
          <w:color w:val="auto"/>
          <w:highlight w:val="none"/>
        </w:rPr>
        <w:t>保密</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239C8F03">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参与招标投标活动的各方应对招标文件和投标文件中的商业和技术等秘密保密，违者应对由此造成的后果承担法律责任。</w:t>
      </w:r>
      <w:r>
        <w:rPr>
          <w:rFonts w:ascii="宋体" w:hAnsi="宋体" w:cs="宋体"/>
          <w:color w:val="auto"/>
          <w:szCs w:val="21"/>
          <w:highlight w:val="none"/>
        </w:rPr>
        <w:t xml:space="preserve"> </w:t>
      </w:r>
    </w:p>
    <w:p w14:paraId="6A2A73F3">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140" w:name="_Toc144974505"/>
      <w:bookmarkStart w:id="141" w:name="_Toc15058853"/>
      <w:bookmarkStart w:id="142" w:name="_Toc296602427"/>
      <w:bookmarkStart w:id="143" w:name="_Toc179632554"/>
      <w:bookmarkStart w:id="144" w:name="_Toc246996182"/>
      <w:bookmarkStart w:id="145" w:name="_Toc324404822"/>
      <w:bookmarkStart w:id="146" w:name="_Toc152042313"/>
      <w:bookmarkStart w:id="147" w:name="_Toc4119"/>
      <w:bookmarkStart w:id="148" w:name="_Toc35424894"/>
      <w:bookmarkStart w:id="149" w:name="_Toc152045537"/>
      <w:bookmarkStart w:id="150" w:name="_Toc35425060"/>
      <w:bookmarkStart w:id="151" w:name="_Toc247085696"/>
      <w:bookmarkStart w:id="152" w:name="_Toc506107276"/>
      <w:bookmarkStart w:id="153" w:name="_Toc246996925"/>
      <w:r>
        <w:rPr>
          <w:rFonts w:ascii="宋体" w:hAnsi="宋体" w:eastAsia="宋体" w:cs="宋体"/>
          <w:color w:val="auto"/>
          <w:highlight w:val="none"/>
        </w:rPr>
        <w:t xml:space="preserve">1.7 </w:t>
      </w:r>
      <w:r>
        <w:rPr>
          <w:rFonts w:hint="eastAsia" w:ascii="宋体" w:hAnsi="宋体" w:eastAsia="宋体" w:cs="宋体"/>
          <w:color w:val="auto"/>
          <w:highlight w:val="none"/>
        </w:rPr>
        <w:t>语言</w:t>
      </w:r>
      <w:bookmarkEnd w:id="140"/>
      <w:r>
        <w:rPr>
          <w:rFonts w:hint="eastAsia" w:ascii="宋体" w:hAnsi="宋体" w:eastAsia="宋体" w:cs="宋体"/>
          <w:color w:val="auto"/>
          <w:highlight w:val="none"/>
        </w:rPr>
        <w:t>文字</w:t>
      </w:r>
      <w:bookmarkEnd w:id="141"/>
      <w:bookmarkEnd w:id="142"/>
      <w:bookmarkEnd w:id="143"/>
      <w:bookmarkEnd w:id="144"/>
      <w:bookmarkEnd w:id="145"/>
      <w:bookmarkEnd w:id="146"/>
      <w:bookmarkEnd w:id="147"/>
      <w:bookmarkEnd w:id="148"/>
      <w:bookmarkEnd w:id="149"/>
      <w:bookmarkEnd w:id="150"/>
      <w:bookmarkEnd w:id="151"/>
      <w:bookmarkEnd w:id="152"/>
      <w:bookmarkEnd w:id="153"/>
    </w:p>
    <w:p w14:paraId="3D9CA622">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bookmarkStart w:id="154" w:name="_Toc152045538"/>
      <w:bookmarkStart w:id="155" w:name="_Toc179632555"/>
      <w:bookmarkStart w:id="156" w:name="_Toc246996926"/>
      <w:bookmarkStart w:id="157" w:name="_Toc152042314"/>
      <w:bookmarkStart w:id="158" w:name="_Toc144974506"/>
      <w:bookmarkStart w:id="159" w:name="_Toc246996183"/>
      <w:bookmarkStart w:id="160" w:name="_Toc247085697"/>
      <w:r>
        <w:rPr>
          <w:rFonts w:hint="eastAsia" w:ascii="宋体" w:hAnsi="宋体" w:cs="宋体"/>
          <w:color w:val="auto"/>
          <w:szCs w:val="21"/>
          <w:highlight w:val="none"/>
        </w:rPr>
        <w:t>招标投标文件使用的语言文字为中文。专用术语使用外文的，应附有中文注释。</w:t>
      </w:r>
    </w:p>
    <w:p w14:paraId="6105A80F">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161" w:name="_Toc15058854"/>
      <w:bookmarkStart w:id="162" w:name="_Toc324404823"/>
      <w:bookmarkStart w:id="163" w:name="_Toc35424895"/>
      <w:bookmarkStart w:id="164" w:name="_Toc506107277"/>
      <w:bookmarkStart w:id="165" w:name="_Toc35425061"/>
      <w:bookmarkStart w:id="166" w:name="_Toc296602428"/>
      <w:bookmarkStart w:id="167" w:name="_Toc13408"/>
      <w:r>
        <w:rPr>
          <w:rFonts w:ascii="宋体" w:hAnsi="宋体" w:eastAsia="宋体" w:cs="宋体"/>
          <w:color w:val="auto"/>
          <w:highlight w:val="none"/>
        </w:rPr>
        <w:t xml:space="preserve">1.8 </w:t>
      </w:r>
      <w:r>
        <w:rPr>
          <w:rFonts w:hint="eastAsia" w:ascii="宋体" w:hAnsi="宋体" w:eastAsia="宋体" w:cs="宋体"/>
          <w:color w:val="auto"/>
          <w:highlight w:val="none"/>
        </w:rPr>
        <w:t>计量单位</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175E3761">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59AFB608">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168" w:name="_Toc506107278"/>
      <w:bookmarkStart w:id="169" w:name="_Toc324404824"/>
      <w:bookmarkStart w:id="170" w:name="_Toc247513962"/>
      <w:bookmarkStart w:id="171" w:name="_Toc15058855"/>
      <w:bookmarkStart w:id="172" w:name="_Toc152045539"/>
      <w:bookmarkStart w:id="173" w:name="_Toc296602429"/>
      <w:bookmarkStart w:id="174" w:name="_Toc247527563"/>
      <w:bookmarkStart w:id="175" w:name="_Toc152042315"/>
      <w:bookmarkStart w:id="176" w:name="_Toc35424896"/>
      <w:bookmarkStart w:id="177" w:name="_Toc11493"/>
      <w:bookmarkStart w:id="178" w:name="_Toc35425062"/>
      <w:bookmarkStart w:id="179" w:name="_Toc247592876"/>
      <w:bookmarkStart w:id="180" w:name="_Toc144974507"/>
      <w:r>
        <w:rPr>
          <w:rFonts w:ascii="宋体" w:hAnsi="宋体" w:eastAsia="宋体" w:cs="宋体"/>
          <w:color w:val="auto"/>
          <w:highlight w:val="none"/>
        </w:rPr>
        <w:t xml:space="preserve">1.9 </w:t>
      </w:r>
      <w:r>
        <w:rPr>
          <w:rFonts w:hint="eastAsia" w:ascii="宋体" w:hAnsi="宋体" w:eastAsia="宋体" w:cs="宋体"/>
          <w:color w:val="auto"/>
          <w:highlight w:val="none"/>
        </w:rPr>
        <w:t>踏勘现场</w:t>
      </w:r>
      <w:bookmarkEnd w:id="168"/>
      <w:bookmarkEnd w:id="169"/>
      <w:bookmarkEnd w:id="170"/>
      <w:bookmarkEnd w:id="171"/>
      <w:bookmarkEnd w:id="172"/>
      <w:bookmarkEnd w:id="173"/>
      <w:bookmarkEnd w:id="174"/>
      <w:bookmarkEnd w:id="175"/>
      <w:bookmarkEnd w:id="176"/>
      <w:bookmarkEnd w:id="177"/>
      <w:bookmarkEnd w:id="178"/>
      <w:bookmarkEnd w:id="179"/>
      <w:bookmarkEnd w:id="180"/>
    </w:p>
    <w:p w14:paraId="017A0344">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bookmarkStart w:id="181" w:name="_Toc247592877"/>
      <w:bookmarkStart w:id="182" w:name="_Toc247513963"/>
      <w:bookmarkStart w:id="183" w:name="_Toc152045540"/>
      <w:bookmarkStart w:id="184" w:name="_Toc506107279"/>
      <w:bookmarkStart w:id="185" w:name="_Toc296602430"/>
      <w:bookmarkStart w:id="186" w:name="_Toc324404825"/>
      <w:bookmarkStart w:id="187" w:name="_Toc152042316"/>
      <w:bookmarkStart w:id="188" w:name="_Toc35424897"/>
      <w:bookmarkStart w:id="189" w:name="_Toc247527564"/>
      <w:bookmarkStart w:id="190" w:name="_Toc144974508"/>
      <w:bookmarkStart w:id="191" w:name="_Toc35425063"/>
      <w:bookmarkStart w:id="192" w:name="_Toc22954"/>
      <w:bookmarkStart w:id="193" w:name="_Toc15058856"/>
      <w:r>
        <w:rPr>
          <w:rFonts w:hint="eastAsia" w:ascii="宋体" w:hAnsi="宋体" w:cs="宋体"/>
          <w:color w:val="auto"/>
          <w:szCs w:val="21"/>
          <w:highlight w:val="none"/>
        </w:rPr>
        <w:t>1.9.1</w:t>
      </w:r>
      <w:r>
        <w:rPr>
          <w:rFonts w:hint="eastAsia" w:ascii="宋体" w:hAnsi="宋体" w:eastAsia="宋体" w:cs="宋体"/>
          <w:color w:val="auto"/>
          <w:szCs w:val="21"/>
          <w:highlight w:val="none"/>
        </w:rPr>
        <w:t xml:space="preserve">前附表规定组织踏勘现场的，招标人按投标人须知前附表规定的时间、地点组织投标人踏勘项目现场。部分投标人未按时参加踏勘现场的，不影响踏勘现场的正常进行。招标人不得组织单个或部分投标人踏勘项目现场。 </w:t>
      </w:r>
    </w:p>
    <w:p w14:paraId="5CFA610F">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1.9.2 投标人踏勘现场发生的费用自理。</w:t>
      </w:r>
    </w:p>
    <w:p w14:paraId="2B5FE4F1">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1.9.3 除招标人的原因外，投标人自行负责在踏勘现场中所发生的人员伤亡和财产损失。</w:t>
      </w:r>
    </w:p>
    <w:p w14:paraId="6F640CA4">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1.9.4 招标人在踏勘现场中介绍的工程场地和相关的周边环境情况，供投标人在编制投标文件时参考，招标人不对投标人据此作出的判断和决策负责。</w:t>
      </w:r>
    </w:p>
    <w:p w14:paraId="53F0DCF8">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1.9.5无论投标人是否到施工现场实地踏勘，中标后签订合同时和履约过程中，投标人不得以不完全了解现场情况或现场情况与招标文件描述不一致等为由，提出任何形式的增加工程造价或索赔的要求。</w:t>
      </w:r>
    </w:p>
    <w:p w14:paraId="450F9491">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r>
        <w:rPr>
          <w:rFonts w:ascii="宋体" w:hAnsi="宋体" w:eastAsia="宋体" w:cs="宋体"/>
          <w:color w:val="auto"/>
          <w:highlight w:val="none"/>
        </w:rPr>
        <w:t xml:space="preserve">1.10 </w:t>
      </w:r>
      <w:r>
        <w:rPr>
          <w:rFonts w:hint="eastAsia" w:ascii="宋体" w:hAnsi="宋体" w:eastAsia="宋体" w:cs="宋体"/>
          <w:color w:val="auto"/>
          <w:highlight w:val="none"/>
        </w:rPr>
        <w:t>投标预备会</w:t>
      </w:r>
      <w:bookmarkEnd w:id="181"/>
      <w:bookmarkEnd w:id="182"/>
      <w:bookmarkEnd w:id="183"/>
      <w:bookmarkEnd w:id="184"/>
      <w:bookmarkEnd w:id="185"/>
      <w:bookmarkEnd w:id="186"/>
      <w:bookmarkEnd w:id="187"/>
      <w:bookmarkEnd w:id="188"/>
      <w:bookmarkEnd w:id="189"/>
      <w:bookmarkEnd w:id="190"/>
      <w:bookmarkEnd w:id="191"/>
      <w:bookmarkEnd w:id="192"/>
      <w:bookmarkEnd w:id="193"/>
    </w:p>
    <w:p w14:paraId="6507A1D2">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1.10.1投标人须知前附表规定召开投标预备会的，招标人按投标人须知前附表规定的时间和地点召开投标预备会，澄清投标人提出的问题。</w:t>
      </w:r>
    </w:p>
    <w:p w14:paraId="7F9874A7">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ascii="宋体" w:cs="宋体"/>
          <w:color w:val="auto"/>
          <w:szCs w:val="21"/>
          <w:highlight w:val="none"/>
        </w:rPr>
      </w:pPr>
      <w:r>
        <w:rPr>
          <w:rFonts w:hint="eastAsia" w:ascii="宋体" w:hAnsi="宋体" w:cs="宋体"/>
          <w:color w:val="auto"/>
          <w:szCs w:val="21"/>
          <w:highlight w:val="none"/>
        </w:rPr>
        <w:t>1.10.2投标人应在投标人须知前附表规定的时间前，将提出的问题送达招标人，以便招标人澄清。</w:t>
      </w:r>
    </w:p>
    <w:p w14:paraId="11E3E017">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194" w:name="_Toc296602431"/>
      <w:bookmarkStart w:id="195" w:name="_Toc15058857"/>
      <w:bookmarkStart w:id="196" w:name="_Toc35425064"/>
      <w:bookmarkStart w:id="197" w:name="_Toc506107280"/>
      <w:bookmarkStart w:id="198" w:name="_Toc35424898"/>
      <w:bookmarkStart w:id="199" w:name="_Toc32016"/>
      <w:bookmarkStart w:id="200" w:name="_Toc324404826"/>
      <w:r>
        <w:rPr>
          <w:rFonts w:ascii="宋体" w:hAnsi="宋体" w:eastAsia="宋体" w:cs="宋体"/>
          <w:color w:val="auto"/>
          <w:highlight w:val="none"/>
        </w:rPr>
        <w:t xml:space="preserve">1.11 </w:t>
      </w:r>
      <w:r>
        <w:rPr>
          <w:rFonts w:hint="eastAsia" w:ascii="宋体" w:hAnsi="宋体" w:eastAsia="宋体" w:cs="宋体"/>
          <w:color w:val="auto"/>
          <w:highlight w:val="none"/>
        </w:rPr>
        <w:t>偏离</w:t>
      </w:r>
      <w:bookmarkEnd w:id="194"/>
      <w:bookmarkEnd w:id="195"/>
      <w:bookmarkEnd w:id="196"/>
      <w:bookmarkEnd w:id="197"/>
      <w:bookmarkEnd w:id="198"/>
      <w:bookmarkEnd w:id="199"/>
      <w:bookmarkEnd w:id="200"/>
    </w:p>
    <w:p w14:paraId="2D3C6961">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Cs w:val="21"/>
          <w:highlight w:val="none"/>
        </w:rPr>
      </w:pPr>
      <w:bookmarkStart w:id="201" w:name="_Toc152042318"/>
      <w:bookmarkStart w:id="202" w:name="_Toc152045542"/>
      <w:bookmarkStart w:id="203" w:name="_Toc4012"/>
      <w:bookmarkStart w:id="204" w:name="_Toc246996187"/>
      <w:bookmarkStart w:id="205" w:name="_Toc35424899"/>
      <w:bookmarkStart w:id="206" w:name="_Toc247085701"/>
      <w:bookmarkStart w:id="207" w:name="_Toc144974510"/>
      <w:bookmarkStart w:id="208" w:name="_Toc324404827"/>
      <w:bookmarkStart w:id="209" w:name="_Toc246996930"/>
      <w:bookmarkStart w:id="210" w:name="_Toc179632560"/>
      <w:bookmarkStart w:id="211" w:name="_Toc15058858"/>
      <w:bookmarkStart w:id="212" w:name="_Toc506107281"/>
      <w:bookmarkStart w:id="213" w:name="_Toc35425065"/>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.1投标文件偏离招标文件某些要求，视为投标文件存在偏差。偏差包括重大偏差和细微偏差。</w:t>
      </w:r>
    </w:p>
    <w:p w14:paraId="66837FA3">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.2投标文件应对招标文件的实质性要求和条件作出满足性或更有利于招标人的响应，否则，视为投标文件存在重大偏差，投标人的投标将被否决。</w:t>
      </w:r>
    </w:p>
    <w:p w14:paraId="564EBCA9">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投标文件存在第</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章“评标办法”中所列任一无效投标情形的，均属于存在重大偏差。</w:t>
      </w:r>
    </w:p>
    <w:p w14:paraId="6AF35FB1">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.3投标文件中的下列偏差为细微偏差：</w:t>
      </w:r>
    </w:p>
    <w:p w14:paraId="278580B7">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（1）在按照第</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章“评标办法”的规定对投标价进行算术性错误修正及其他错误修正后，最终投标报价未超过最高投标限价（如有）或未被否决投标的情况下，出现第</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章“评标办法”规定的算术性错误和投标报价的其他错误；</w:t>
      </w:r>
    </w:p>
    <w:p w14:paraId="3362F4DB">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（2）投标文件个别文字有遗漏错误等不影响投标文件实质性内容的偏差。</w:t>
      </w:r>
    </w:p>
    <w:p w14:paraId="43553024">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.4评标委员会对投标文件中的细微偏差按如下规定处理：</w:t>
      </w:r>
    </w:p>
    <w:p w14:paraId="598DC26C">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对于本章第 1.1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.3 项（1）目所述的细微偏差，按照第</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章“评标办法”的规定予以修正并要求投标人进行澄清；</w:t>
      </w:r>
    </w:p>
    <w:p w14:paraId="11486401">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对于本章第 1.1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.3 项（2）目所述的细微偏差，可要求投标人对细微偏差进行澄清。</w:t>
      </w:r>
    </w:p>
    <w:p w14:paraId="3E00E3EC">
      <w:pPr>
        <w:pStyle w:val="4"/>
        <w:pageBreakBefore w:val="0"/>
        <w:widowControl w:val="0"/>
        <w:kinsoku/>
        <w:wordWrap/>
        <w:overflowPunct/>
        <w:topLinePunct w:val="0"/>
        <w:autoSpaceDE/>
        <w:autoSpaceDN/>
        <w:bidi w:val="0"/>
        <w:spacing w:line="500" w:lineRule="exact"/>
        <w:ind w:firstLine="482"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rPr>
        <w:t>招标文件</w:t>
      </w:r>
      <w:bookmarkEnd w:id="201"/>
      <w:bookmarkEnd w:id="202"/>
      <w:bookmarkEnd w:id="203"/>
      <w:bookmarkEnd w:id="204"/>
      <w:bookmarkEnd w:id="205"/>
      <w:bookmarkEnd w:id="206"/>
      <w:bookmarkEnd w:id="207"/>
      <w:bookmarkEnd w:id="208"/>
      <w:bookmarkEnd w:id="209"/>
      <w:bookmarkEnd w:id="210"/>
      <w:bookmarkEnd w:id="211"/>
      <w:bookmarkEnd w:id="212"/>
      <w:bookmarkEnd w:id="213"/>
    </w:p>
    <w:p w14:paraId="25D6082F">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214" w:name="_Toc15058859"/>
      <w:bookmarkStart w:id="215" w:name="_Toc296602433"/>
      <w:bookmarkStart w:id="216" w:name="_Toc152045543"/>
      <w:bookmarkStart w:id="217" w:name="_Toc247085702"/>
      <w:bookmarkStart w:id="218" w:name="_Toc246996931"/>
      <w:bookmarkStart w:id="219" w:name="_Toc144974511"/>
      <w:bookmarkStart w:id="220" w:name="_Toc152042319"/>
      <w:bookmarkStart w:id="221" w:name="_Toc35424900"/>
      <w:bookmarkStart w:id="222" w:name="_Toc506107282"/>
      <w:bookmarkStart w:id="223" w:name="_Toc246996188"/>
      <w:bookmarkStart w:id="224" w:name="_Toc324404828"/>
      <w:bookmarkStart w:id="225" w:name="_Toc35425066"/>
      <w:bookmarkStart w:id="226" w:name="_Toc179632561"/>
      <w:bookmarkStart w:id="227" w:name="_Toc13213"/>
      <w:r>
        <w:rPr>
          <w:rFonts w:ascii="宋体" w:hAnsi="宋体" w:eastAsia="宋体" w:cs="宋体"/>
          <w:color w:val="auto"/>
          <w:highlight w:val="none"/>
        </w:rPr>
        <w:t xml:space="preserve">2.1 </w:t>
      </w:r>
      <w:r>
        <w:rPr>
          <w:rFonts w:hint="eastAsia" w:ascii="宋体" w:hAnsi="宋体" w:eastAsia="宋体" w:cs="宋体"/>
          <w:color w:val="auto"/>
          <w:highlight w:val="none"/>
        </w:rPr>
        <w:t>招标文件的组成</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7632150F">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2.1.1 </w:t>
      </w:r>
      <w:r>
        <w:rPr>
          <w:rFonts w:hint="eastAsia" w:ascii="宋体" w:hAnsi="宋体" w:cs="宋体"/>
          <w:color w:val="auto"/>
          <w:szCs w:val="21"/>
          <w:highlight w:val="none"/>
        </w:rPr>
        <w:t>本招标文件包括：</w:t>
      </w:r>
    </w:p>
    <w:p w14:paraId="61D86280">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）招标公告；</w:t>
      </w:r>
    </w:p>
    <w:p w14:paraId="07CBF175">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）投标人须知；</w:t>
      </w:r>
    </w:p>
    <w:p w14:paraId="12EC44D2">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）资格审查办法</w:t>
      </w:r>
    </w:p>
    <w:p w14:paraId="688A4E8C">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）评标办法；</w:t>
      </w:r>
    </w:p>
    <w:p w14:paraId="1BA735E2">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）合同条款及格式；</w:t>
      </w:r>
    </w:p>
    <w:p w14:paraId="21B74557">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）投标文件格式；</w:t>
      </w:r>
    </w:p>
    <w:p w14:paraId="244FE13E">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）投标人须知前附表规定的其他材料。</w:t>
      </w:r>
    </w:p>
    <w:p w14:paraId="22B8B3ED">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2.1.2 </w:t>
      </w:r>
      <w:r>
        <w:rPr>
          <w:rFonts w:hint="eastAsia" w:ascii="宋体" w:hAnsi="宋体" w:cs="宋体"/>
          <w:color w:val="auto"/>
          <w:szCs w:val="21"/>
          <w:highlight w:val="none"/>
        </w:rPr>
        <w:t>根据本章第</w:t>
      </w:r>
      <w:r>
        <w:rPr>
          <w:rFonts w:ascii="宋体" w:hAnsi="宋体" w:cs="宋体"/>
          <w:color w:val="auto"/>
          <w:szCs w:val="21"/>
          <w:highlight w:val="none"/>
        </w:rPr>
        <w:t>1.10</w:t>
      </w:r>
      <w:r>
        <w:rPr>
          <w:rFonts w:hint="eastAsia" w:ascii="宋体" w:hAnsi="宋体" w:cs="宋体"/>
          <w:color w:val="auto"/>
          <w:szCs w:val="21"/>
          <w:highlight w:val="none"/>
        </w:rPr>
        <w:t>款、第</w:t>
      </w:r>
      <w:r>
        <w:rPr>
          <w:rFonts w:ascii="宋体" w:hAnsi="宋体" w:cs="宋体"/>
          <w:color w:val="auto"/>
          <w:szCs w:val="21"/>
          <w:highlight w:val="none"/>
        </w:rPr>
        <w:t>2.2</w:t>
      </w:r>
      <w:r>
        <w:rPr>
          <w:rFonts w:hint="eastAsia" w:ascii="宋体" w:hAnsi="宋体" w:cs="宋体"/>
          <w:color w:val="auto"/>
          <w:szCs w:val="21"/>
          <w:highlight w:val="none"/>
        </w:rPr>
        <w:t>款和第</w:t>
      </w:r>
      <w:r>
        <w:rPr>
          <w:rFonts w:ascii="宋体" w:hAnsi="宋体" w:cs="宋体"/>
          <w:color w:val="auto"/>
          <w:szCs w:val="21"/>
          <w:highlight w:val="none"/>
        </w:rPr>
        <w:t>2.3</w:t>
      </w:r>
      <w:r>
        <w:rPr>
          <w:rFonts w:hint="eastAsia" w:ascii="宋体" w:hAnsi="宋体" w:cs="宋体"/>
          <w:color w:val="auto"/>
          <w:szCs w:val="21"/>
          <w:highlight w:val="none"/>
        </w:rPr>
        <w:t>款对招标文件所作的澄清、修改，构成招标文件的组成部分。</w:t>
      </w:r>
    </w:p>
    <w:p w14:paraId="55E5E00A">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228" w:name="_Toc152045544"/>
      <w:bookmarkStart w:id="229" w:name="_Toc247085703"/>
      <w:bookmarkStart w:id="230" w:name="_Toc296602434"/>
      <w:bookmarkStart w:id="231" w:name="_Toc32239"/>
      <w:bookmarkStart w:id="232" w:name="_Toc15058860"/>
      <w:bookmarkStart w:id="233" w:name="_Toc246996932"/>
      <w:bookmarkStart w:id="234" w:name="_Toc324404829"/>
      <w:bookmarkStart w:id="235" w:name="_Toc35424901"/>
      <w:bookmarkStart w:id="236" w:name="_Toc144974512"/>
      <w:bookmarkStart w:id="237" w:name="_Toc179632562"/>
      <w:bookmarkStart w:id="238" w:name="_Toc506107283"/>
      <w:bookmarkStart w:id="239" w:name="_Toc35425067"/>
      <w:bookmarkStart w:id="240" w:name="_Toc246996189"/>
      <w:bookmarkStart w:id="241" w:name="_Toc152042320"/>
      <w:r>
        <w:rPr>
          <w:rFonts w:ascii="宋体" w:hAnsi="宋体" w:eastAsia="宋体" w:cs="宋体"/>
          <w:color w:val="auto"/>
          <w:highlight w:val="none"/>
        </w:rPr>
        <w:t xml:space="preserve">2.2 </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Pr>
          <w:rFonts w:hint="eastAsia" w:ascii="宋体" w:hAnsi="宋体" w:eastAsia="宋体" w:cs="宋体"/>
          <w:color w:val="auto"/>
          <w:highlight w:val="none"/>
        </w:rPr>
        <w:t>招标文件的异议</w:t>
      </w:r>
      <w:r>
        <w:rPr>
          <w:rFonts w:ascii="宋体" w:hAnsi="宋体" w:eastAsia="宋体" w:cs="宋体"/>
          <w:color w:val="auto"/>
          <w:highlight w:val="none"/>
        </w:rPr>
        <w:t xml:space="preserve"> </w:t>
      </w:r>
    </w:p>
    <w:p w14:paraId="051572EC">
      <w:pPr>
        <w:pageBreakBefore w:val="0"/>
        <w:widowControl w:val="0"/>
        <w:kinsoku/>
        <w:wordWrap/>
        <w:overflowPunct/>
        <w:topLinePunct w:val="0"/>
        <w:autoSpaceDE/>
        <w:autoSpaceDN/>
        <w:bidi w:val="0"/>
        <w:spacing w:line="500" w:lineRule="exact"/>
        <w:ind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投标人或其他利害关系人投标人应仔细阅读和检查招标文件的全部内容，对招标文件有异议的，应在投标截止时间10日前以投标人须知前附表规定的网上留言或书面形式提出。招标人将在收到异议之日起3日内作出答复；作出答复前，将暂停招标投标活动。</w:t>
      </w:r>
      <w:r>
        <w:rPr>
          <w:rFonts w:ascii="宋体" w:hAnsi="宋体" w:eastAsia="宋体" w:cs="宋体"/>
          <w:color w:val="auto"/>
          <w:szCs w:val="21"/>
          <w:highlight w:val="none"/>
        </w:rPr>
        <w:t xml:space="preserve"> </w:t>
      </w:r>
    </w:p>
    <w:p w14:paraId="6A6430DF">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242" w:name="_Toc246996190"/>
      <w:bookmarkStart w:id="243" w:name="_Toc506107284"/>
      <w:bookmarkStart w:id="244" w:name="_Toc179632563"/>
      <w:bookmarkStart w:id="245" w:name="_Toc15058861"/>
      <w:bookmarkStart w:id="246" w:name="_Toc246996933"/>
      <w:bookmarkStart w:id="247" w:name="_Toc324404830"/>
      <w:bookmarkStart w:id="248" w:name="_Toc144974513"/>
      <w:bookmarkStart w:id="249" w:name="_Toc35425068"/>
      <w:bookmarkStart w:id="250" w:name="_Toc296602435"/>
      <w:bookmarkStart w:id="251" w:name="_Toc35424902"/>
      <w:bookmarkStart w:id="252" w:name="_Toc152045545"/>
      <w:bookmarkStart w:id="253" w:name="_Toc247085704"/>
      <w:bookmarkStart w:id="254" w:name="_Toc24633"/>
      <w:bookmarkStart w:id="255" w:name="_Toc152042321"/>
      <w:r>
        <w:rPr>
          <w:rFonts w:ascii="宋体" w:hAnsi="宋体" w:eastAsia="宋体" w:cs="宋体"/>
          <w:color w:val="auto"/>
          <w:highlight w:val="none"/>
        </w:rPr>
        <w:t xml:space="preserve">2.3 </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rFonts w:hint="eastAsia" w:ascii="宋体" w:hAnsi="宋体" w:eastAsia="宋体" w:cs="宋体"/>
          <w:color w:val="auto"/>
          <w:highlight w:val="none"/>
        </w:rPr>
        <w:t>招标文件的澄清</w:t>
      </w:r>
    </w:p>
    <w:p w14:paraId="18826082">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bookmarkStart w:id="256" w:name="_Toc324404831"/>
      <w:bookmarkStart w:id="257" w:name="_Toc15058862"/>
      <w:bookmarkStart w:id="258" w:name="_Toc35425069"/>
      <w:bookmarkStart w:id="259" w:name="_Toc35424903"/>
      <w:bookmarkStart w:id="260" w:name="_Toc2696"/>
      <w:r>
        <w:rPr>
          <w:rFonts w:hint="eastAsia" w:ascii="宋体" w:hAnsi="宋体" w:eastAsia="宋体" w:cs="宋体"/>
          <w:color w:val="auto"/>
          <w:szCs w:val="21"/>
          <w:highlight w:val="none"/>
        </w:rPr>
        <w:t>招标人可以澄清招标文件，并以投标人须知前附表规定澄清的方式在滁州市公共资源交易中心网站发布。但如果修改招标文件的时间距投标截止时间不足15天，并且修改内容影响投标文件编制的，将相应延长投标截止时间。</w:t>
      </w:r>
    </w:p>
    <w:p w14:paraId="07F0AE65">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r>
        <w:rPr>
          <w:rFonts w:ascii="宋体" w:hAnsi="宋体" w:eastAsia="宋体" w:cs="宋体"/>
          <w:color w:val="auto"/>
          <w:highlight w:val="none"/>
        </w:rPr>
        <w:t>2.4</w:t>
      </w:r>
      <w:bookmarkEnd w:id="256"/>
      <w:r>
        <w:rPr>
          <w:rFonts w:hint="eastAsia" w:ascii="宋体" w:hAnsi="宋体" w:eastAsia="宋体" w:cs="宋体"/>
          <w:color w:val="auto"/>
          <w:highlight w:val="none"/>
        </w:rPr>
        <w:t>最高投标限价</w:t>
      </w:r>
      <w:bookmarkEnd w:id="257"/>
      <w:bookmarkEnd w:id="258"/>
      <w:bookmarkEnd w:id="259"/>
      <w:bookmarkEnd w:id="260"/>
    </w:p>
    <w:p w14:paraId="35A897C2">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2.4.1</w:t>
      </w:r>
      <w:r>
        <w:rPr>
          <w:rFonts w:hint="eastAsia" w:ascii="宋体" w:hAnsi="宋体" w:cs="宋体"/>
          <w:color w:val="auto"/>
          <w:szCs w:val="21"/>
          <w:highlight w:val="none"/>
        </w:rPr>
        <w:t>最高投标限价的作用和说明</w:t>
      </w:r>
    </w:p>
    <w:p w14:paraId="454F3E81">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w:t>
      </w:r>
      <w:r>
        <w:rPr>
          <w:rFonts w:hint="eastAsia" w:ascii="宋体" w:hAnsi="宋体" w:cs="宋体"/>
          <w:color w:val="auto"/>
          <w:highlight w:val="none"/>
        </w:rPr>
        <w:t>投标人的投标报价不得超过最高投标限价</w:t>
      </w:r>
      <w:r>
        <w:rPr>
          <w:rFonts w:hint="eastAsia" w:ascii="宋体" w:hAnsi="宋体" w:cs="宋体"/>
          <w:color w:val="auto"/>
          <w:szCs w:val="21"/>
          <w:highlight w:val="none"/>
        </w:rPr>
        <w:t>（费率）</w:t>
      </w:r>
      <w:r>
        <w:rPr>
          <w:rFonts w:hint="eastAsia" w:ascii="宋体" w:hAnsi="宋体" w:cs="宋体"/>
          <w:color w:val="auto"/>
          <w:highlight w:val="none"/>
        </w:rPr>
        <w:t>，最高投标限价</w:t>
      </w:r>
      <w:r>
        <w:rPr>
          <w:rFonts w:hint="eastAsia" w:ascii="宋体" w:hAnsi="宋体" w:cs="宋体"/>
          <w:color w:val="auto"/>
          <w:szCs w:val="21"/>
          <w:highlight w:val="none"/>
        </w:rPr>
        <w:t>（费率）</w:t>
      </w:r>
      <w:r>
        <w:rPr>
          <w:rFonts w:hint="eastAsia" w:ascii="宋体" w:hAnsi="宋体" w:cs="宋体"/>
          <w:color w:val="auto"/>
          <w:highlight w:val="none"/>
        </w:rPr>
        <w:t>的发布时间及方式在投标人须知前附表中载明。</w:t>
      </w:r>
    </w:p>
    <w:p w14:paraId="5490B294">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）投标人对最高投标限价（费率）有异议的，可在</w:t>
      </w:r>
      <w:r>
        <w:rPr>
          <w:rFonts w:hint="eastAsia" w:ascii="宋体" w:hAnsi="宋体" w:cs="宋体"/>
          <w:color w:val="auto"/>
          <w:highlight w:val="none"/>
        </w:rPr>
        <w:t>投标人须知前附表规定的时间内向招标人提出异议，</w:t>
      </w:r>
      <w:r>
        <w:rPr>
          <w:rFonts w:hint="eastAsia" w:ascii="宋体" w:hAnsi="宋体" w:cs="宋体"/>
          <w:color w:val="auto"/>
          <w:szCs w:val="21"/>
          <w:highlight w:val="none"/>
        </w:rPr>
        <w:t>未在规定时间内提出异议的或投标人提出异议经招标人复核后的最高投标限价（费率），视为合理有效。</w:t>
      </w:r>
    </w:p>
    <w:p w14:paraId="2DDDC517">
      <w:pPr>
        <w:pStyle w:val="4"/>
        <w:pageBreakBefore w:val="0"/>
        <w:widowControl w:val="0"/>
        <w:kinsoku/>
        <w:wordWrap/>
        <w:overflowPunct/>
        <w:topLinePunct w:val="0"/>
        <w:autoSpaceDE/>
        <w:autoSpaceDN/>
        <w:bidi w:val="0"/>
        <w:spacing w:line="500" w:lineRule="exact"/>
        <w:ind w:firstLine="482" w:firstLineChars="200"/>
        <w:textAlignment w:val="auto"/>
        <w:rPr>
          <w:rFonts w:ascii="宋体" w:hAnsi="宋体" w:eastAsia="宋体" w:cs="宋体"/>
          <w:color w:val="auto"/>
          <w:sz w:val="24"/>
          <w:szCs w:val="24"/>
          <w:highlight w:val="none"/>
        </w:rPr>
      </w:pPr>
      <w:bookmarkStart w:id="261" w:name="_Toc506107285"/>
      <w:bookmarkStart w:id="262" w:name="_Toc152045546"/>
      <w:bookmarkStart w:id="263" w:name="_Toc324404832"/>
      <w:bookmarkStart w:id="264" w:name="_Toc35425070"/>
      <w:bookmarkStart w:id="265" w:name="_Toc144974514"/>
      <w:bookmarkStart w:id="266" w:name="_Toc35424904"/>
      <w:bookmarkStart w:id="267" w:name="_Toc6464"/>
      <w:bookmarkStart w:id="268" w:name="_Toc152042322"/>
      <w:bookmarkStart w:id="269" w:name="_Toc246996934"/>
      <w:bookmarkStart w:id="270" w:name="_Toc179632564"/>
      <w:bookmarkStart w:id="271" w:name="_Toc246996191"/>
      <w:bookmarkStart w:id="272" w:name="_Toc15058863"/>
      <w:bookmarkStart w:id="273" w:name="_Toc247085705"/>
      <w:r>
        <w:rPr>
          <w:rFonts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rPr>
        <w:t>投标文件</w:t>
      </w:r>
      <w:bookmarkEnd w:id="261"/>
      <w:bookmarkEnd w:id="262"/>
      <w:bookmarkEnd w:id="263"/>
      <w:bookmarkEnd w:id="264"/>
      <w:bookmarkEnd w:id="265"/>
      <w:bookmarkEnd w:id="266"/>
      <w:bookmarkEnd w:id="267"/>
      <w:bookmarkEnd w:id="268"/>
      <w:bookmarkEnd w:id="269"/>
      <w:bookmarkEnd w:id="270"/>
      <w:bookmarkEnd w:id="271"/>
      <w:bookmarkEnd w:id="272"/>
      <w:bookmarkEnd w:id="273"/>
    </w:p>
    <w:p w14:paraId="4FC75D10">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274" w:name="_Toc35425071"/>
      <w:bookmarkStart w:id="275" w:name="_Toc179632565"/>
      <w:bookmarkStart w:id="276" w:name="_Toc157"/>
      <w:bookmarkStart w:id="277" w:name="_Toc152045547"/>
      <w:bookmarkStart w:id="278" w:name="_Toc506107286"/>
      <w:bookmarkStart w:id="279" w:name="_Toc35424905"/>
      <w:bookmarkStart w:id="280" w:name="_Toc296602437"/>
      <w:bookmarkStart w:id="281" w:name="_Toc247085706"/>
      <w:bookmarkStart w:id="282" w:name="_Toc246996935"/>
      <w:bookmarkStart w:id="283" w:name="_Toc246996192"/>
      <w:bookmarkStart w:id="284" w:name="_Toc15058864"/>
      <w:bookmarkStart w:id="285" w:name="_Toc144974515"/>
      <w:bookmarkStart w:id="286" w:name="_Toc324404833"/>
      <w:bookmarkStart w:id="287" w:name="_Toc152042323"/>
      <w:r>
        <w:rPr>
          <w:rFonts w:ascii="宋体" w:hAnsi="宋体" w:eastAsia="宋体" w:cs="宋体"/>
          <w:color w:val="auto"/>
          <w:highlight w:val="none"/>
        </w:rPr>
        <w:t xml:space="preserve">3.1 </w:t>
      </w:r>
      <w:r>
        <w:rPr>
          <w:rFonts w:hint="eastAsia" w:ascii="宋体" w:hAnsi="宋体" w:eastAsia="宋体" w:cs="宋体"/>
          <w:color w:val="auto"/>
          <w:highlight w:val="none"/>
        </w:rPr>
        <w:t>投标文件的组成</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65E60DE9">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highlight w:val="none"/>
          <w:lang w:val="en-US" w:eastAsia="zh-CN"/>
        </w:rPr>
      </w:pPr>
      <w:bookmarkStart w:id="288" w:name="_Toc152042324"/>
      <w:bookmarkStart w:id="289" w:name="_Toc152045548"/>
      <w:bookmarkStart w:id="290" w:name="_Toc179632566"/>
      <w:bookmarkStart w:id="291" w:name="_Toc35424906"/>
      <w:bookmarkStart w:id="292" w:name="_Toc144974516"/>
      <w:bookmarkStart w:id="293" w:name="_Toc246996936"/>
      <w:bookmarkStart w:id="294" w:name="_Toc6829"/>
      <w:bookmarkStart w:id="295" w:name="_Toc15058865"/>
      <w:bookmarkStart w:id="296" w:name="_Toc506107287"/>
      <w:bookmarkStart w:id="297" w:name="_Toc35425072"/>
      <w:bookmarkStart w:id="298" w:name="_Toc324404834"/>
      <w:bookmarkStart w:id="299" w:name="_Toc246996193"/>
      <w:bookmarkStart w:id="300" w:name="_Toc247085707"/>
      <w:bookmarkStart w:id="301" w:name="_Toc296602438"/>
      <w:r>
        <w:rPr>
          <w:rFonts w:hint="eastAsia" w:ascii="宋体" w:hAnsi="宋体" w:cs="宋体"/>
          <w:color w:val="auto"/>
          <w:szCs w:val="21"/>
          <w:highlight w:val="none"/>
        </w:rPr>
        <w:t>投标文件的具体组成部分及材料要求详见本招标文件第五章“投标文件格式”。</w:t>
      </w:r>
    </w:p>
    <w:p w14:paraId="19088F3C">
      <w:pPr>
        <w:pStyle w:val="4"/>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注：本项目技术标采用横向暗标评审，请投标人结合技术标评审细则和系统内容在对应模块上传技术标评审内容。</w:t>
      </w:r>
    </w:p>
    <w:p w14:paraId="20C2C495">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r>
        <w:rPr>
          <w:rFonts w:ascii="宋体" w:hAnsi="宋体" w:eastAsia="宋体" w:cs="宋体"/>
          <w:color w:val="auto"/>
          <w:highlight w:val="none"/>
        </w:rPr>
        <w:t xml:space="preserve">3.2 </w:t>
      </w:r>
      <w:r>
        <w:rPr>
          <w:rFonts w:hint="eastAsia" w:ascii="宋体" w:hAnsi="宋体" w:eastAsia="宋体" w:cs="宋体"/>
          <w:color w:val="auto"/>
          <w:highlight w:val="none"/>
        </w:rPr>
        <w:t>投标报价</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335108D2">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highlight w:val="none"/>
        </w:rPr>
      </w:pPr>
      <w:bookmarkStart w:id="302" w:name="_Toc179632567"/>
      <w:bookmarkStart w:id="303" w:name="_Toc246996937"/>
      <w:bookmarkStart w:id="304" w:name="_Toc247085708"/>
      <w:bookmarkStart w:id="305" w:name="_Toc152042325"/>
      <w:bookmarkStart w:id="306" w:name="_Toc144974517"/>
      <w:bookmarkStart w:id="307" w:name="_Toc152045549"/>
      <w:bookmarkStart w:id="308" w:name="_Toc296602439"/>
      <w:bookmarkStart w:id="309" w:name="_Toc324404835"/>
      <w:bookmarkStart w:id="310" w:name="_Toc246996194"/>
      <w:r>
        <w:rPr>
          <w:rFonts w:ascii="宋体" w:hAnsi="宋体" w:cs="宋体"/>
          <w:color w:val="auto"/>
          <w:highlight w:val="none"/>
        </w:rPr>
        <w:t xml:space="preserve">3.2.1 </w:t>
      </w:r>
      <w:r>
        <w:rPr>
          <w:rFonts w:hint="eastAsia" w:ascii="宋体" w:hAnsi="宋体" w:cs="宋体"/>
          <w:color w:val="auto"/>
          <w:highlight w:val="none"/>
        </w:rPr>
        <w:t>投标人的投标报价不得超过最高投标限价</w:t>
      </w:r>
      <w:r>
        <w:rPr>
          <w:rFonts w:hint="eastAsia" w:ascii="宋体" w:hAnsi="宋体" w:cs="宋体"/>
          <w:color w:val="auto"/>
          <w:szCs w:val="21"/>
          <w:highlight w:val="none"/>
        </w:rPr>
        <w:t>（费率）</w:t>
      </w:r>
      <w:r>
        <w:rPr>
          <w:rFonts w:hint="eastAsia" w:ascii="宋体" w:hAnsi="宋体" w:cs="宋体"/>
          <w:color w:val="auto"/>
          <w:highlight w:val="none"/>
        </w:rPr>
        <w:t>，最高投标限价</w:t>
      </w:r>
      <w:r>
        <w:rPr>
          <w:rFonts w:hint="eastAsia" w:ascii="宋体" w:hAnsi="宋体" w:cs="宋体"/>
          <w:color w:val="auto"/>
          <w:szCs w:val="21"/>
          <w:highlight w:val="none"/>
        </w:rPr>
        <w:t>（费率）</w:t>
      </w:r>
      <w:r>
        <w:rPr>
          <w:rFonts w:hint="eastAsia" w:ascii="宋体" w:hAnsi="宋体" w:cs="宋体"/>
          <w:color w:val="auto"/>
          <w:highlight w:val="none"/>
        </w:rPr>
        <w:t>的发布时间及方式在投标人须知前附表中载明。</w:t>
      </w:r>
    </w:p>
    <w:p w14:paraId="2F6CBB9B">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highlight w:val="none"/>
        </w:rPr>
      </w:pPr>
      <w:r>
        <w:rPr>
          <w:rFonts w:ascii="宋体" w:hAnsi="宋体" w:cs="宋体"/>
          <w:color w:val="auto"/>
          <w:highlight w:val="none"/>
        </w:rPr>
        <w:t>3.2.2</w:t>
      </w:r>
      <w:r>
        <w:rPr>
          <w:rFonts w:hint="eastAsia" w:ascii="宋体" w:hAnsi="宋体" w:cs="宋体"/>
          <w:color w:val="auto"/>
          <w:highlight w:val="none"/>
        </w:rPr>
        <w:t>投标报价应由法定代表人或被授权人签署。</w:t>
      </w:r>
    </w:p>
    <w:p w14:paraId="0E497A3D">
      <w:pPr>
        <w:pageBreakBefore w:val="0"/>
        <w:widowControl w:val="0"/>
        <w:kinsoku/>
        <w:wordWrap/>
        <w:overflowPunct/>
        <w:topLinePunct w:val="0"/>
        <w:autoSpaceDE/>
        <w:autoSpaceDN/>
        <w:bidi w:val="0"/>
        <w:spacing w:line="500" w:lineRule="exact"/>
        <w:ind w:left="15" w:leftChars="7" w:firstLine="420" w:firstLineChars="200"/>
        <w:jc w:val="left"/>
        <w:textAlignment w:val="auto"/>
        <w:rPr>
          <w:rFonts w:ascii="宋体" w:cs="宋体"/>
          <w:color w:val="auto"/>
          <w:highlight w:val="none"/>
        </w:rPr>
      </w:pPr>
      <w:r>
        <w:rPr>
          <w:rFonts w:ascii="宋体" w:hAnsi="宋体" w:cs="宋体"/>
          <w:color w:val="auto"/>
          <w:highlight w:val="none"/>
        </w:rPr>
        <w:t>3.2.3</w:t>
      </w:r>
      <w:r>
        <w:rPr>
          <w:rFonts w:hint="eastAsia" w:ascii="宋体" w:hAnsi="宋体" w:cs="宋体"/>
          <w:color w:val="auto"/>
          <w:highlight w:val="none"/>
        </w:rPr>
        <w:t>2投标人应充分了解本项目的总体情况以及影响投标报价的其他要素。投标人的投标报价应为项目招标范围内</w:t>
      </w:r>
      <w:r>
        <w:rPr>
          <w:rFonts w:hint="eastAsia" w:ascii="宋体" w:hAnsi="宋体" w:cs="宋体"/>
          <w:color w:val="auto"/>
          <w:highlight w:val="none"/>
          <w:lang w:val="en-US" w:eastAsia="zh-CN"/>
        </w:rPr>
        <w:t>服务</w:t>
      </w:r>
      <w:r>
        <w:rPr>
          <w:rFonts w:hint="eastAsia" w:ascii="宋体" w:hAnsi="宋体" w:cs="宋体"/>
          <w:color w:val="auto"/>
          <w:highlight w:val="none"/>
        </w:rPr>
        <w:t>单位所提供的全部服务工作内容所需的全部费用，包含所有成本、利润和税金等全部费用。</w:t>
      </w:r>
    </w:p>
    <w:p w14:paraId="78EF478F">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highlight w:val="none"/>
        </w:rPr>
        <w:t>3.2.4</w:t>
      </w:r>
      <w:r>
        <w:rPr>
          <w:rFonts w:hint="eastAsia" w:ascii="宋体" w:hAnsi="宋体" w:cs="宋体"/>
          <w:color w:val="auto"/>
          <w:highlight w:val="none"/>
        </w:rPr>
        <w:t>不论任何原因导致的工期延长，招标人均不再补偿</w:t>
      </w:r>
      <w:r>
        <w:rPr>
          <w:rFonts w:hint="eastAsia" w:ascii="宋体" w:hAnsi="宋体" w:cs="宋体"/>
          <w:color w:val="auto"/>
          <w:highlight w:val="none"/>
          <w:lang w:val="en-US" w:eastAsia="zh-CN"/>
        </w:rPr>
        <w:t>服务</w:t>
      </w:r>
      <w:r>
        <w:rPr>
          <w:rFonts w:hint="eastAsia" w:ascii="宋体" w:hAnsi="宋体" w:cs="宋体"/>
          <w:color w:val="auto"/>
          <w:highlight w:val="none"/>
        </w:rPr>
        <w:t>费用。</w:t>
      </w:r>
    </w:p>
    <w:p w14:paraId="7BD28279">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311" w:name="_Toc35425073"/>
      <w:bookmarkStart w:id="312" w:name="_Toc506107288"/>
      <w:bookmarkStart w:id="313" w:name="_Toc15058866"/>
      <w:bookmarkStart w:id="314" w:name="_Toc31735"/>
      <w:bookmarkStart w:id="315" w:name="_Toc35424907"/>
      <w:r>
        <w:rPr>
          <w:rFonts w:ascii="宋体" w:hAnsi="宋体" w:eastAsia="宋体" w:cs="宋体"/>
          <w:color w:val="auto"/>
          <w:highlight w:val="none"/>
        </w:rPr>
        <w:t xml:space="preserve">3.3 </w:t>
      </w:r>
      <w:r>
        <w:rPr>
          <w:rFonts w:hint="eastAsia" w:ascii="宋体" w:hAnsi="宋体" w:eastAsia="宋体" w:cs="宋体"/>
          <w:color w:val="auto"/>
          <w:highlight w:val="none"/>
        </w:rPr>
        <w:t>投标有效期</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38E51224">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3.3.1 </w:t>
      </w:r>
      <w:r>
        <w:rPr>
          <w:rFonts w:hint="eastAsia" w:ascii="宋体" w:hAnsi="宋体" w:cs="宋体"/>
          <w:color w:val="auto"/>
          <w:szCs w:val="21"/>
          <w:highlight w:val="none"/>
        </w:rPr>
        <w:t>除投标人须知前附表另有规定外，投标有效期为</w:t>
      </w:r>
      <w:r>
        <w:rPr>
          <w:rFonts w:ascii="宋体" w:hAnsi="宋体" w:cs="宋体"/>
          <w:color w:val="auto"/>
          <w:szCs w:val="21"/>
          <w:highlight w:val="none"/>
        </w:rPr>
        <w:t>90</w:t>
      </w:r>
      <w:r>
        <w:rPr>
          <w:rFonts w:hint="eastAsia" w:ascii="宋体" w:hAnsi="宋体" w:cs="宋体"/>
          <w:color w:val="auto"/>
          <w:szCs w:val="21"/>
          <w:highlight w:val="none"/>
        </w:rPr>
        <w:t>天。</w:t>
      </w:r>
    </w:p>
    <w:p w14:paraId="083C2363">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3.3.2</w:t>
      </w:r>
      <w:r>
        <w:rPr>
          <w:rFonts w:hint="eastAsia" w:ascii="宋体" w:hAnsi="宋体" w:cs="宋体"/>
          <w:color w:val="auto"/>
          <w:szCs w:val="21"/>
          <w:highlight w:val="none"/>
        </w:rPr>
        <w:t>在投标有效期内，投标人撤销或修改其投标文件的，应承担招标文件和法律规定的责任。</w:t>
      </w:r>
    </w:p>
    <w:p w14:paraId="349D3B96">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3.3.3</w:t>
      </w:r>
      <w:r>
        <w:rPr>
          <w:rFonts w:hint="eastAsia" w:ascii="宋体" w:hAnsi="宋体" w:cs="宋体"/>
          <w:color w:val="auto"/>
          <w:szCs w:val="21"/>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23717C77">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316" w:name="_Toc35424908"/>
      <w:bookmarkStart w:id="317" w:name="_Toc152042326"/>
      <w:bookmarkStart w:id="318" w:name="_Toc324404836"/>
      <w:bookmarkStart w:id="319" w:name="_Toc15058867"/>
      <w:bookmarkStart w:id="320" w:name="_Toc152045550"/>
      <w:bookmarkStart w:id="321" w:name="_Toc144974518"/>
      <w:bookmarkStart w:id="322" w:name="_Toc296602440"/>
      <w:bookmarkStart w:id="323" w:name="_Toc10714"/>
      <w:bookmarkStart w:id="324" w:name="_Toc35425074"/>
      <w:bookmarkStart w:id="325" w:name="_Toc179632568"/>
      <w:bookmarkStart w:id="326" w:name="_Toc246996195"/>
      <w:bookmarkStart w:id="327" w:name="_Toc246996938"/>
      <w:bookmarkStart w:id="328" w:name="_Toc247085709"/>
      <w:bookmarkStart w:id="329" w:name="_Toc506107289"/>
      <w:r>
        <w:rPr>
          <w:rFonts w:ascii="宋体" w:hAnsi="宋体" w:eastAsia="宋体" w:cs="宋体"/>
          <w:color w:val="auto"/>
          <w:highlight w:val="none"/>
        </w:rPr>
        <w:t xml:space="preserve">3.4 </w:t>
      </w:r>
      <w:r>
        <w:rPr>
          <w:rFonts w:hint="eastAsia" w:ascii="宋体" w:hAnsi="宋体" w:eastAsia="宋体" w:cs="宋体"/>
          <w:color w:val="auto"/>
          <w:highlight w:val="none"/>
        </w:rPr>
        <w:t>投标保证金</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6F462837">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3.4.1 投标人须知前附表规定递交投标保证金的，投标人在递交投标文件的同时，应按投标人须知前附表规定的金额、担保形式和第</w:t>
      </w: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章“投标文件格式”规定的或者事先经过招标人认可的保证金格式递交保证金，并作为其投标文件的组成部分。</w:t>
      </w:r>
    </w:p>
    <w:p w14:paraId="57466A25">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无论采取何种形式的投标保证金，投标保证金有效期均应与投标有效期一致（采用投标电子保函的保证期截止时间不得早于该项目投标有效期的截止时间）。招标人如果按本章第 3.3.3 项的规定延长了投标有效期，则投标保证金的有效期也相应延长。</w:t>
      </w:r>
    </w:p>
    <w:p w14:paraId="7153A823">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3.4.2 投标人不按本章第3.4.1项要求提交投标保证金的，评标委员会将否决其投标。</w:t>
      </w:r>
    </w:p>
    <w:p w14:paraId="079C4392">
      <w:pPr>
        <w:pageBreakBefore w:val="0"/>
        <w:widowControl w:val="0"/>
        <w:kinsoku/>
        <w:wordWrap/>
        <w:overflowPunct/>
        <w:topLinePunct w:val="0"/>
        <w:autoSpaceDE/>
        <w:autoSpaceDN/>
        <w:bidi w:val="0"/>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3.4.3中标投标人的投标保证金，中标通知书同步推送至交易中心服务端，银行接到退还指令后一个工作日内退还保证金到达原交纳的基本账户；中标人的投标保证金，在中标人与招标人签订合同并将公开信息推送至交易中心服务端，银行接到退还指令后一个工作日内退付保证金到达原交纳的基本账户。</w:t>
      </w:r>
    </w:p>
    <w:p w14:paraId="2EA2E8CD">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3.4.4 有下列情形之一的，投标保证金将不予退还： </w:t>
      </w:r>
    </w:p>
    <w:p w14:paraId="28831DE9">
      <w:pPr>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（1）投标截止后投标人撤销投标文件的；</w:t>
      </w:r>
    </w:p>
    <w:p w14:paraId="0610A925">
      <w:pPr>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（2）中标人无正当理由不与招标人订立合同，在签订合同时向招标人提出附加条件，或者不按照招标文件要求提交履约保证金的。</w:t>
      </w:r>
    </w:p>
    <w:p w14:paraId="0AE9AAAB">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ascii="宋体" w:cs="宋体"/>
          <w:color w:val="auto"/>
          <w:szCs w:val="21"/>
          <w:highlight w:val="none"/>
        </w:rPr>
      </w:pPr>
      <w:r>
        <w:rPr>
          <w:rFonts w:hint="eastAsia" w:ascii="宋体" w:hAnsi="宋体" w:cs="宋体"/>
          <w:color w:val="auto"/>
          <w:szCs w:val="21"/>
          <w:highlight w:val="none"/>
        </w:rPr>
        <w:t>3.4.5 投标保证金按《</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"https://www.chuzhou.gov.cn/group1/M00/12/83/CpYI8mGDiKqAD_IkAAEIAMLVghw186.doc" \t "_blank" </w:instrText>
      </w:r>
      <w:r>
        <w:rPr>
          <w:rFonts w:ascii="宋体" w:hAnsi="宋体" w:cs="宋体"/>
          <w:color w:val="auto"/>
          <w:szCs w:val="21"/>
          <w:highlight w:val="none"/>
        </w:rPr>
        <w:fldChar w:fldCharType="separate"/>
      </w:r>
      <w:r>
        <w:rPr>
          <w:rFonts w:hint="eastAsia" w:ascii="宋体" w:hAnsi="宋体" w:cs="宋体"/>
          <w:color w:val="auto"/>
          <w:szCs w:val="21"/>
          <w:highlight w:val="none"/>
        </w:rPr>
        <w:t>滁州市公共资源交易投标保证金管理规定</w:t>
      </w:r>
      <w:r>
        <w:rPr>
          <w:rFonts w:ascii="宋体" w:hAnsi="宋体" w:cs="宋体"/>
          <w:color w:val="auto"/>
          <w:szCs w:val="21"/>
          <w:highlight w:val="none"/>
        </w:rPr>
        <w:fldChar w:fldCharType="end"/>
      </w:r>
      <w:r>
        <w:rPr>
          <w:rFonts w:hint="eastAsia" w:ascii="宋体" w:hAnsi="宋体" w:cs="宋体"/>
          <w:color w:val="auto"/>
          <w:szCs w:val="21"/>
          <w:highlight w:val="none"/>
        </w:rPr>
        <w:t>》（滁公管〔2021〕7号）规定执行。</w:t>
      </w:r>
    </w:p>
    <w:p w14:paraId="29C1885F">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330" w:name="_Toc506107290"/>
      <w:bookmarkStart w:id="331" w:name="_Toc19037"/>
      <w:bookmarkStart w:id="332" w:name="_Toc35424909"/>
      <w:bookmarkStart w:id="333" w:name="_Toc35425075"/>
      <w:bookmarkStart w:id="334" w:name="_Toc324404837"/>
      <w:bookmarkStart w:id="335" w:name="_Toc296602442"/>
      <w:bookmarkStart w:id="336" w:name="_Toc15058868"/>
      <w:bookmarkStart w:id="337" w:name="_Toc247085711"/>
      <w:bookmarkStart w:id="338" w:name="_Toc152042329"/>
      <w:bookmarkStart w:id="339" w:name="_Toc246996940"/>
      <w:bookmarkStart w:id="340" w:name="_Toc144974521"/>
      <w:bookmarkStart w:id="341" w:name="_Toc246996197"/>
      <w:bookmarkStart w:id="342" w:name="_Toc179632571"/>
      <w:bookmarkStart w:id="343" w:name="_Toc152045553"/>
      <w:r>
        <w:rPr>
          <w:rFonts w:ascii="宋体" w:hAnsi="宋体" w:eastAsia="宋体" w:cs="宋体"/>
          <w:color w:val="auto"/>
          <w:highlight w:val="none"/>
        </w:rPr>
        <w:t>3.5</w:t>
      </w:r>
      <w:r>
        <w:rPr>
          <w:rFonts w:hint="eastAsia" w:ascii="宋体" w:hAnsi="宋体" w:eastAsia="宋体" w:cs="宋体"/>
          <w:color w:val="auto"/>
          <w:highlight w:val="none"/>
        </w:rPr>
        <w:t>投标文件的编制</w:t>
      </w:r>
      <w:bookmarkEnd w:id="330"/>
      <w:bookmarkEnd w:id="331"/>
      <w:bookmarkEnd w:id="332"/>
      <w:bookmarkEnd w:id="333"/>
      <w:bookmarkEnd w:id="334"/>
      <w:bookmarkEnd w:id="335"/>
      <w:bookmarkEnd w:id="336"/>
    </w:p>
    <w:p w14:paraId="6EA805E4">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3.5.1</w:t>
      </w:r>
      <w:r>
        <w:rPr>
          <w:rFonts w:hint="eastAsia" w:ascii="宋体" w:hAnsi="宋体" w:cs="宋体"/>
          <w:color w:val="auto"/>
          <w:szCs w:val="21"/>
          <w:highlight w:val="none"/>
        </w:rPr>
        <w:t>投标文件应按第五章“投标文件格式”进行编写，如有必要，可以增加附页，作为投标文件的组成部分。</w:t>
      </w:r>
    </w:p>
    <w:p w14:paraId="75E06737">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3.5.2 </w:t>
      </w:r>
      <w:r>
        <w:rPr>
          <w:rFonts w:hint="eastAsia" w:ascii="宋体" w:hAnsi="宋体" w:cs="宋体"/>
          <w:color w:val="auto"/>
          <w:szCs w:val="21"/>
          <w:highlight w:val="none"/>
        </w:rPr>
        <w:t>投标文件应当对招标文件有关服务期限、投标有效期、质量要求、技术标准和要求、招标范围等实质性内容作出响应。</w:t>
      </w:r>
    </w:p>
    <w:bookmarkEnd w:id="337"/>
    <w:bookmarkEnd w:id="338"/>
    <w:bookmarkEnd w:id="339"/>
    <w:bookmarkEnd w:id="340"/>
    <w:bookmarkEnd w:id="341"/>
    <w:bookmarkEnd w:id="342"/>
    <w:bookmarkEnd w:id="343"/>
    <w:p w14:paraId="4B38F802">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bookmarkStart w:id="344" w:name="_Toc152045555"/>
      <w:bookmarkStart w:id="345" w:name="_Toc246996199"/>
      <w:bookmarkStart w:id="346" w:name="_Toc144974523"/>
      <w:bookmarkStart w:id="347" w:name="_Toc324404838"/>
      <w:bookmarkStart w:id="348" w:name="_Toc247085713"/>
      <w:bookmarkStart w:id="349" w:name="_Toc246996942"/>
      <w:bookmarkStart w:id="350" w:name="_Toc152042331"/>
      <w:bookmarkStart w:id="351" w:name="_Toc179632573"/>
      <w:r>
        <w:rPr>
          <w:rFonts w:ascii="宋体" w:hAnsi="宋体" w:cs="宋体"/>
          <w:color w:val="auto"/>
          <w:szCs w:val="21"/>
          <w:highlight w:val="none"/>
        </w:rPr>
        <w:t>3.5.3</w:t>
      </w:r>
      <w:r>
        <w:rPr>
          <w:rFonts w:hint="eastAsia" w:ascii="宋体" w:hAnsi="宋体" w:cs="宋体"/>
          <w:color w:val="auto"/>
          <w:szCs w:val="21"/>
          <w:highlight w:val="none"/>
        </w:rPr>
        <w:t>本次投标不需要提供纸质投标文件，投标人应按照电子招标投标的要求，在投标人的电子系统中制作、签章、上传加密的电子投标文件。</w:t>
      </w:r>
    </w:p>
    <w:p w14:paraId="71A98FE8">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bookmarkStart w:id="352" w:name="_Toc506107291"/>
      <w:bookmarkStart w:id="353" w:name="_Toc19455"/>
      <w:bookmarkStart w:id="354" w:name="_Toc35424910"/>
      <w:bookmarkStart w:id="355" w:name="_Toc35425076"/>
      <w:bookmarkStart w:id="356" w:name="_Toc15058869"/>
      <w:r>
        <w:rPr>
          <w:rFonts w:hint="eastAsia" w:ascii="宋体" w:hAnsi="宋体" w:cs="宋体"/>
          <w:bCs/>
          <w:snapToGrid w:val="0"/>
          <w:color w:val="auto"/>
          <w:kern w:val="0"/>
          <w:szCs w:val="21"/>
          <w:highlight w:val="none"/>
        </w:rPr>
        <w:t>3.5.</w:t>
      </w:r>
      <w:r>
        <w:rPr>
          <w:rFonts w:hint="eastAsia" w:ascii="宋体" w:hAnsi="宋体" w:cs="宋体"/>
          <w:bCs/>
          <w:snapToGrid w:val="0"/>
          <w:color w:val="auto"/>
          <w:kern w:val="0"/>
          <w:szCs w:val="21"/>
          <w:highlight w:val="none"/>
          <w:lang w:val="en-US" w:eastAsia="zh-CN"/>
        </w:rPr>
        <w:t>4</w:t>
      </w:r>
      <w:r>
        <w:rPr>
          <w:rFonts w:hint="eastAsia" w:ascii="宋体" w:hAnsi="宋体" w:cs="宋体"/>
          <w:bCs/>
          <w:snapToGrid w:val="0"/>
          <w:color w:val="auto"/>
          <w:kern w:val="0"/>
          <w:szCs w:val="21"/>
          <w:highlight w:val="none"/>
        </w:rPr>
        <w:t>招标人有权核查投标人在投标文件中提供的资料，若在评标期间发现投标人提供了虚假资料，其投标将被否决；若在签订合同前发现作为中标候选人的投标人提供了虚假资料，招标人有权取消其中标资格；</w:t>
      </w:r>
      <w:r>
        <w:rPr>
          <w:rFonts w:hint="eastAsia" w:ascii="宋体" w:hAnsi="宋体" w:cs="宋体"/>
          <w:b/>
          <w:snapToGrid w:val="0"/>
          <w:color w:val="auto"/>
          <w:kern w:val="0"/>
          <w:szCs w:val="21"/>
          <w:highlight w:val="none"/>
        </w:rPr>
        <w:t>如果签订合同后发现中标人提供了虚假材料，招标人有权解除合同</w:t>
      </w:r>
      <w:r>
        <w:rPr>
          <w:rFonts w:hint="eastAsia" w:ascii="宋体" w:hAnsi="宋体" w:cs="宋体"/>
          <w:bCs/>
          <w:snapToGrid w:val="0"/>
          <w:color w:val="auto"/>
          <w:kern w:val="0"/>
          <w:szCs w:val="21"/>
          <w:highlight w:val="none"/>
        </w:rPr>
        <w:t>。同时招标人将投标人上述弄虚作假行为上报公共资源交易监督管理部门处理。</w:t>
      </w:r>
    </w:p>
    <w:p w14:paraId="5BD9ED55">
      <w:pPr>
        <w:pageBreakBefore w:val="0"/>
        <w:widowControl w:val="0"/>
        <w:kinsoku/>
        <w:wordWrap/>
        <w:overflowPunct/>
        <w:topLinePunct w:val="0"/>
        <w:autoSpaceDE/>
        <w:autoSpaceDN/>
        <w:bidi w:val="0"/>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3.5.</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投标文件的制作应满足以下规定：</w:t>
      </w:r>
    </w:p>
    <w:p w14:paraId="6B32B533">
      <w:pPr>
        <w:pageBreakBefore w:val="0"/>
        <w:widowControl w:val="0"/>
        <w:kinsoku/>
        <w:wordWrap/>
        <w:overflowPunct/>
        <w:topLinePunct w:val="0"/>
        <w:autoSpaceDE/>
        <w:autoSpaceDN/>
        <w:bidi w:val="0"/>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（1）投标文件由投标人使用电子交易系统提供的“投标文件制作工具”制作生成。“投标文件制作工具”可以通过电子交易系统下载。</w:t>
      </w:r>
    </w:p>
    <w:p w14:paraId="5B99311F">
      <w:pPr>
        <w:pageBreakBefore w:val="0"/>
        <w:widowControl w:val="0"/>
        <w:kinsoku/>
        <w:wordWrap/>
        <w:overflowPunct/>
        <w:topLinePunct w:val="0"/>
        <w:autoSpaceDE/>
        <w:autoSpaceDN/>
        <w:bidi w:val="0"/>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招标文件中“签章”是指签字或盖章。</w:t>
      </w:r>
      <w:r>
        <w:rPr>
          <w:rFonts w:hint="eastAsia" w:ascii="宋体" w:hAnsi="宋体" w:cs="宋体"/>
          <w:color w:val="auto"/>
          <w:szCs w:val="21"/>
          <w:highlight w:val="none"/>
        </w:rPr>
        <w:t>在第五章“投标文件格式”中要求签章处，投标人应加盖投标人单位电子印章和法定代表人的个人电子印章/电子签名章或直接上传加盖投标人单位印章和法定代表人的印章（或签字）的原件彩色扫描件。联合体投标的，除联合体协议书外， 投标文件由联合体牵头人按上述规定加盖联合体牵头人单位电子印章和法定代表人的个人电子印章/电子签名章或直接上传加盖联合体牵头人单位印章和法定代表人的印章（或签字）的原件彩色扫描件。</w:t>
      </w:r>
    </w:p>
    <w:p w14:paraId="18E9155F">
      <w:pPr>
        <w:pageBreakBefore w:val="0"/>
        <w:widowControl w:val="0"/>
        <w:kinsoku/>
        <w:wordWrap/>
        <w:overflowPunct/>
        <w:topLinePunct w:val="0"/>
        <w:autoSpaceDE/>
        <w:autoSpaceDN/>
        <w:bidi w:val="0"/>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20543074">
      <w:pPr>
        <w:pageBreakBefore w:val="0"/>
        <w:widowControl w:val="0"/>
        <w:kinsoku/>
        <w:wordWrap/>
        <w:overflowPunct/>
        <w:topLinePunct w:val="0"/>
        <w:autoSpaceDE/>
        <w:autoSpaceDN/>
        <w:bidi w:val="0"/>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（4）投标文件制作的具体方法详见“投标文件制作工具”中的帮助文档。</w:t>
      </w:r>
    </w:p>
    <w:p w14:paraId="06FC53FC">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3.5.</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因投标人自身原因而导致投标文件无法导入电子交易系统电子开标、评标系统，该投标视为无效投标，投标人自行承担由此导致的全部责任。</w:t>
      </w:r>
    </w:p>
    <w:p w14:paraId="43BFF091">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3.5.</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投标人中标后须递交与网上电子投标文件完全一致的纸质版投标文件，在领取中标通知书时，一并递交给招标代理机构。</w:t>
      </w:r>
    </w:p>
    <w:p w14:paraId="08884C0E">
      <w:pPr>
        <w:pStyle w:val="4"/>
        <w:pageBreakBefore w:val="0"/>
        <w:widowControl w:val="0"/>
        <w:kinsoku/>
        <w:wordWrap/>
        <w:overflowPunct/>
        <w:topLinePunct w:val="0"/>
        <w:autoSpaceDE/>
        <w:autoSpaceDN/>
        <w:bidi w:val="0"/>
        <w:spacing w:line="500" w:lineRule="exact"/>
        <w:ind w:firstLine="422"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3.6</w:t>
      </w:r>
      <w:r>
        <w:rPr>
          <w:rFonts w:hint="eastAsia" w:ascii="宋体" w:hAnsi="宋体" w:eastAsia="宋体" w:cs="宋体"/>
          <w:color w:val="auto"/>
          <w:highlight w:val="none"/>
        </w:rPr>
        <w:t>备选投标方案</w:t>
      </w:r>
    </w:p>
    <w:p w14:paraId="6610E28D">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 除投标人须知前附表规定允许外，投标人不得递交备选投标方案，否则其投标将被否决。</w:t>
      </w:r>
    </w:p>
    <w:p w14:paraId="7D348E6F">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1EABF1C1">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3.6.3 投标人提供两个或两个以上投标报价，或在投标文件中提供一个报价，但同时提供两个或两个以上施工组织设计的，视为提供备选方案。</w:t>
      </w:r>
    </w:p>
    <w:p w14:paraId="1A77ED06">
      <w:pPr>
        <w:pStyle w:val="4"/>
        <w:pageBreakBefore w:val="0"/>
        <w:widowControl w:val="0"/>
        <w:kinsoku/>
        <w:wordWrap/>
        <w:overflowPunct/>
        <w:topLinePunct w:val="0"/>
        <w:autoSpaceDE/>
        <w:autoSpaceDN/>
        <w:bidi w:val="0"/>
        <w:spacing w:line="500" w:lineRule="exact"/>
        <w:ind w:firstLine="482"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投标</w:t>
      </w:r>
      <w:bookmarkEnd w:id="344"/>
      <w:bookmarkEnd w:id="345"/>
      <w:bookmarkEnd w:id="346"/>
      <w:bookmarkEnd w:id="347"/>
      <w:bookmarkEnd w:id="348"/>
      <w:bookmarkEnd w:id="349"/>
      <w:bookmarkEnd w:id="350"/>
      <w:bookmarkEnd w:id="351"/>
      <w:bookmarkEnd w:id="352"/>
      <w:bookmarkEnd w:id="353"/>
      <w:bookmarkEnd w:id="354"/>
      <w:bookmarkEnd w:id="355"/>
      <w:bookmarkEnd w:id="356"/>
    </w:p>
    <w:p w14:paraId="0827A3B5">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357" w:name="_Toc15058870"/>
      <w:bookmarkStart w:id="358" w:name="_Toc35424911"/>
      <w:bookmarkStart w:id="359" w:name="_Toc35425077"/>
      <w:bookmarkStart w:id="360" w:name="_Toc78803346"/>
      <w:bookmarkStart w:id="361" w:name="_Toc14473"/>
      <w:bookmarkStart w:id="362" w:name="_Toc324404842"/>
      <w:bookmarkStart w:id="363" w:name="_Toc152042335"/>
      <w:bookmarkStart w:id="364" w:name="_Toc29639"/>
      <w:bookmarkStart w:id="365" w:name="_Toc506107295"/>
      <w:bookmarkStart w:id="366" w:name="_Toc246996946"/>
      <w:bookmarkStart w:id="367" w:name="_Toc179632577"/>
      <w:bookmarkStart w:id="368" w:name="_Toc15058874"/>
      <w:bookmarkStart w:id="369" w:name="_Toc152045559"/>
      <w:bookmarkStart w:id="370" w:name="_Toc246996203"/>
      <w:bookmarkStart w:id="371" w:name="_Toc144974527"/>
      <w:bookmarkStart w:id="372" w:name="_Toc35424915"/>
      <w:bookmarkStart w:id="373" w:name="_Toc247085717"/>
      <w:bookmarkStart w:id="374" w:name="_Toc35425081"/>
      <w:r>
        <w:rPr>
          <w:rFonts w:hint="eastAsia" w:ascii="宋体" w:hAnsi="宋体" w:eastAsia="宋体" w:cs="宋体"/>
          <w:color w:val="auto"/>
          <w:highlight w:val="none"/>
        </w:rPr>
        <w:t>4.1投标文件上传</w:t>
      </w:r>
      <w:bookmarkEnd w:id="357"/>
      <w:bookmarkEnd w:id="358"/>
      <w:bookmarkEnd w:id="359"/>
      <w:bookmarkEnd w:id="360"/>
      <w:bookmarkEnd w:id="361"/>
    </w:p>
    <w:p w14:paraId="2BEC3FCA">
      <w:pPr>
        <w:pageBreakBefore w:val="0"/>
        <w:widowControl w:val="0"/>
        <w:kinsoku/>
        <w:wordWrap/>
        <w:overflowPunct/>
        <w:topLinePunct w:val="0"/>
        <w:autoSpaceDE/>
        <w:autoSpaceDN/>
        <w:bidi w:val="0"/>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4.1.1请投标人通过系统下载投标工具制作投标文件，并利用CA数字证书进行上传投标文件，上传已加密的投标文件，务必通过此方式上传投标文件。</w:t>
      </w:r>
    </w:p>
    <w:p w14:paraId="414BD592">
      <w:pPr>
        <w:pageBreakBefore w:val="0"/>
        <w:widowControl w:val="0"/>
        <w:kinsoku/>
        <w:wordWrap/>
        <w:overflowPunct/>
        <w:topLinePunct w:val="0"/>
        <w:autoSpaceDE/>
        <w:autoSpaceDN/>
        <w:bidi w:val="0"/>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4.1.2投标人在投标文件编制、签章、上传过程中如有任何操作的疑问请及时联系技术支持，电话：0550-3801701。</w:t>
      </w:r>
    </w:p>
    <w:p w14:paraId="45533BFA">
      <w:pPr>
        <w:pStyle w:val="4"/>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color w:val="auto"/>
          <w:highlight w:val="none"/>
        </w:rPr>
      </w:pPr>
      <w:bookmarkStart w:id="375" w:name="_Toc15058871"/>
      <w:bookmarkStart w:id="376" w:name="_Toc152045556"/>
      <w:bookmarkStart w:id="377" w:name="_Toc506107292"/>
      <w:bookmarkStart w:id="378" w:name="_Toc144974524"/>
      <w:bookmarkStart w:id="379" w:name="_Toc246996943"/>
      <w:bookmarkStart w:id="380" w:name="_Toc152042332"/>
      <w:bookmarkStart w:id="381" w:name="_Toc296602444"/>
      <w:bookmarkStart w:id="382" w:name="_Toc246996200"/>
      <w:bookmarkStart w:id="383" w:name="_Toc324404839"/>
      <w:bookmarkStart w:id="384" w:name="_Toc35425078"/>
      <w:bookmarkStart w:id="385" w:name="_Toc247085714"/>
      <w:bookmarkStart w:id="386" w:name="_Toc35424912"/>
      <w:bookmarkStart w:id="387" w:name="_Toc179632574"/>
      <w:bookmarkStart w:id="388" w:name="_Toc3526"/>
      <w:r>
        <w:rPr>
          <w:rFonts w:hint="eastAsia" w:ascii="宋体" w:hAnsi="宋体" w:eastAsia="宋体" w:cs="宋体"/>
          <w:color w:val="auto"/>
          <w:highlight w:val="none"/>
        </w:rPr>
        <w:t>4.2投标文件的密封和标记</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4DF144A2">
      <w:pPr>
        <w:pageBreakBefore w:val="0"/>
        <w:widowControl w:val="0"/>
        <w:kinsoku/>
        <w:wordWrap/>
        <w:overflowPunct/>
        <w:topLinePunct w:val="0"/>
        <w:autoSpaceDE/>
        <w:autoSpaceDN/>
        <w:bidi w:val="0"/>
        <w:spacing w:line="500" w:lineRule="exact"/>
        <w:ind w:firstLine="420" w:firstLineChars="200"/>
        <w:jc w:val="left"/>
        <w:textAlignment w:val="auto"/>
        <w:rPr>
          <w:rFonts w:ascii="宋体" w:hAnsi="宋体" w:cs="宋体"/>
          <w:color w:val="auto"/>
          <w:szCs w:val="21"/>
          <w:highlight w:val="none"/>
        </w:rPr>
      </w:pPr>
      <w:bookmarkStart w:id="389" w:name="_Toc246996944"/>
      <w:bookmarkStart w:id="390" w:name="_Toc152042333"/>
      <w:bookmarkStart w:id="391" w:name="_Toc324404840"/>
      <w:bookmarkStart w:id="392" w:name="_Toc152045557"/>
      <w:bookmarkStart w:id="393" w:name="_Toc179632575"/>
      <w:bookmarkStart w:id="394" w:name="_Toc296602445"/>
      <w:bookmarkStart w:id="395" w:name="_Toc246996201"/>
      <w:bookmarkStart w:id="396" w:name="_Toc247085715"/>
      <w:bookmarkStart w:id="397" w:name="_Toc144974525"/>
      <w:r>
        <w:rPr>
          <w:rFonts w:hint="eastAsia" w:ascii="宋体" w:hAnsi="宋体" w:cs="宋体"/>
          <w:color w:val="auto"/>
          <w:szCs w:val="21"/>
          <w:highlight w:val="none"/>
        </w:rPr>
        <w:t>4.2.1投标文件应按照本章第3.5.</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项要求制作并加密，否则招标人不予接收，以投标人在投标截止时间前网上递交的电子投标文件为准。</w:t>
      </w:r>
    </w:p>
    <w:p w14:paraId="5C556539">
      <w:pPr>
        <w:pStyle w:val="4"/>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color w:val="auto"/>
          <w:highlight w:val="none"/>
        </w:rPr>
      </w:pPr>
      <w:bookmarkStart w:id="398" w:name="_Toc35425079"/>
      <w:bookmarkStart w:id="399" w:name="_Toc35424913"/>
      <w:bookmarkStart w:id="400" w:name="_Toc12275"/>
      <w:bookmarkStart w:id="401" w:name="_Toc15058872"/>
      <w:bookmarkStart w:id="402" w:name="_Toc506107293"/>
      <w:r>
        <w:rPr>
          <w:rFonts w:hint="eastAsia" w:ascii="宋体" w:hAnsi="宋体" w:eastAsia="宋体" w:cs="宋体"/>
          <w:color w:val="auto"/>
          <w:highlight w:val="none"/>
        </w:rPr>
        <w:t>4.3 投标文件的递交</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312BB4E5">
      <w:pPr>
        <w:pageBreakBefore w:val="0"/>
        <w:widowControl w:val="0"/>
        <w:kinsoku/>
        <w:wordWrap/>
        <w:overflowPunct/>
        <w:topLinePunct w:val="0"/>
        <w:autoSpaceDE/>
        <w:autoSpaceDN/>
        <w:bidi w:val="0"/>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4.3.1 投标人应在投标截止时间前将加密投标文件上传至电子交易系统。</w:t>
      </w:r>
    </w:p>
    <w:p w14:paraId="65FC4179">
      <w:pPr>
        <w:pageBreakBefore w:val="0"/>
        <w:widowControl w:val="0"/>
        <w:kinsoku/>
        <w:wordWrap/>
        <w:overflowPunct/>
        <w:topLinePunct w:val="0"/>
        <w:autoSpaceDE/>
        <w:autoSpaceDN/>
        <w:bidi w:val="0"/>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4.3.</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除投标人须知前附表另有规定外，投标人所递交的投标文件不予退还。</w:t>
      </w:r>
    </w:p>
    <w:p w14:paraId="21EE1845">
      <w:pPr>
        <w:pageBreakBefore w:val="0"/>
        <w:widowControl w:val="0"/>
        <w:kinsoku/>
        <w:wordWrap/>
        <w:overflowPunct/>
        <w:topLinePunct w:val="0"/>
        <w:autoSpaceDE/>
        <w:autoSpaceDN/>
        <w:bidi w:val="0"/>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4.3.</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 投标人应当在投标截止时间前完成投标文件的网上递交， 并可以补充、修改或者撤回投标文件。投标截止时间前未完成投标文件网上递交的，视为撤回投标文件。未按规定加密或投标截止时间后通过网上招标投标系统递交电子投标文件的的，电子交易系统应当拒收，投标无效。</w:t>
      </w:r>
    </w:p>
    <w:p w14:paraId="675DBC88">
      <w:pPr>
        <w:pStyle w:val="4"/>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color w:val="auto"/>
          <w:highlight w:val="none"/>
        </w:rPr>
      </w:pPr>
      <w:bookmarkStart w:id="403" w:name="_Toc19572"/>
      <w:bookmarkStart w:id="404" w:name="_Toc15058873"/>
      <w:bookmarkStart w:id="405" w:name="_Toc247085716"/>
      <w:bookmarkStart w:id="406" w:name="_Toc35424914"/>
      <w:bookmarkStart w:id="407" w:name="_Toc296602446"/>
      <w:bookmarkStart w:id="408" w:name="_Toc179632576"/>
      <w:bookmarkStart w:id="409" w:name="_Toc324404841"/>
      <w:bookmarkStart w:id="410" w:name="_Toc35425080"/>
      <w:bookmarkStart w:id="411" w:name="_Toc152045558"/>
      <w:bookmarkStart w:id="412" w:name="_Toc152042334"/>
      <w:bookmarkStart w:id="413" w:name="_Toc144974526"/>
      <w:bookmarkStart w:id="414" w:name="_Toc246996945"/>
      <w:bookmarkStart w:id="415" w:name="_Toc506107294"/>
      <w:bookmarkStart w:id="416" w:name="_Toc78803347"/>
      <w:bookmarkStart w:id="417" w:name="_Toc246996202"/>
      <w:r>
        <w:rPr>
          <w:rFonts w:hint="eastAsia" w:ascii="宋体" w:hAnsi="宋体" w:eastAsia="宋体" w:cs="宋体"/>
          <w:color w:val="auto"/>
          <w:highlight w:val="none"/>
        </w:rPr>
        <w:t>4.4 投标文件的修改与撤回</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4039416F">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4.4.1 在规定的投标截止时间前，投标人可以自行从网上招投标系统撤回已递交的投标文件，并可修改后重新加密上传，开标时以投标截止时间前投标人最终上传的投标文件为准。</w:t>
      </w:r>
    </w:p>
    <w:p w14:paraId="7FFC7D8A">
      <w:pPr>
        <w:pStyle w:val="4"/>
        <w:pageBreakBefore w:val="0"/>
        <w:widowControl w:val="0"/>
        <w:kinsoku/>
        <w:wordWrap/>
        <w:overflowPunct/>
        <w:topLinePunct w:val="0"/>
        <w:autoSpaceDE/>
        <w:autoSpaceDN/>
        <w:bidi w:val="0"/>
        <w:spacing w:line="500" w:lineRule="exact"/>
        <w:ind w:firstLine="482"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5. </w:t>
      </w:r>
      <w:r>
        <w:rPr>
          <w:rFonts w:hint="eastAsia" w:ascii="宋体" w:hAnsi="宋体" w:eastAsia="宋体" w:cs="宋体"/>
          <w:color w:val="auto"/>
          <w:sz w:val="24"/>
          <w:szCs w:val="24"/>
          <w:highlight w:val="none"/>
        </w:rPr>
        <w:t>开标</w:t>
      </w:r>
      <w:bookmarkEnd w:id="362"/>
      <w:bookmarkEnd w:id="363"/>
      <w:bookmarkEnd w:id="364"/>
      <w:bookmarkEnd w:id="365"/>
      <w:bookmarkEnd w:id="366"/>
      <w:bookmarkEnd w:id="367"/>
      <w:bookmarkEnd w:id="368"/>
      <w:bookmarkEnd w:id="369"/>
      <w:bookmarkEnd w:id="370"/>
      <w:bookmarkEnd w:id="371"/>
      <w:bookmarkEnd w:id="372"/>
      <w:bookmarkEnd w:id="373"/>
      <w:bookmarkEnd w:id="374"/>
    </w:p>
    <w:p w14:paraId="2EB175B7">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418" w:name="_Toc247085718"/>
      <w:bookmarkStart w:id="419" w:name="_Toc144974528"/>
      <w:bookmarkStart w:id="420" w:name="_Toc15058875"/>
      <w:bookmarkStart w:id="421" w:name="_Toc152042336"/>
      <w:bookmarkStart w:id="422" w:name="_Toc246996204"/>
      <w:bookmarkStart w:id="423" w:name="_Toc13691"/>
      <w:bookmarkStart w:id="424" w:name="_Toc506107296"/>
      <w:bookmarkStart w:id="425" w:name="_Toc179632578"/>
      <w:bookmarkStart w:id="426" w:name="_Toc152045560"/>
      <w:bookmarkStart w:id="427" w:name="_Toc35424916"/>
      <w:bookmarkStart w:id="428" w:name="_Toc246996947"/>
      <w:bookmarkStart w:id="429" w:name="_Toc35425082"/>
      <w:bookmarkStart w:id="430" w:name="_Toc324404843"/>
      <w:bookmarkStart w:id="431" w:name="_Toc296602448"/>
      <w:r>
        <w:rPr>
          <w:rFonts w:ascii="宋体" w:hAnsi="宋体" w:eastAsia="宋体" w:cs="宋体"/>
          <w:color w:val="auto"/>
          <w:highlight w:val="none"/>
        </w:rPr>
        <w:t xml:space="preserve">5.1 </w:t>
      </w:r>
      <w:r>
        <w:rPr>
          <w:rFonts w:hint="eastAsia" w:ascii="宋体" w:hAnsi="宋体" w:eastAsia="宋体" w:cs="宋体"/>
          <w:color w:val="auto"/>
          <w:highlight w:val="none"/>
        </w:rPr>
        <w:t>开标时间和地点</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3BEA1068">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bookmarkStart w:id="432" w:name="_Toc35425083"/>
      <w:bookmarkStart w:id="433" w:name="_Toc246996948"/>
      <w:bookmarkStart w:id="434" w:name="_Toc35424917"/>
      <w:bookmarkStart w:id="435" w:name="_Toc179632579"/>
      <w:bookmarkStart w:id="436" w:name="_Toc296602449"/>
      <w:bookmarkStart w:id="437" w:name="_Toc152045561"/>
      <w:bookmarkStart w:id="438" w:name="_Toc144974529"/>
      <w:bookmarkStart w:id="439" w:name="_Toc32451"/>
      <w:bookmarkStart w:id="440" w:name="_Toc506107297"/>
      <w:bookmarkStart w:id="441" w:name="_Toc15058876"/>
      <w:bookmarkStart w:id="442" w:name="_Toc247085719"/>
      <w:bookmarkStart w:id="443" w:name="_Toc246996205"/>
      <w:bookmarkStart w:id="444" w:name="_Toc152042337"/>
      <w:bookmarkStart w:id="445" w:name="_Toc324404844"/>
      <w:r>
        <w:rPr>
          <w:rFonts w:hint="eastAsia" w:ascii="宋体" w:hAnsi="宋体" w:eastAsia="宋体" w:cs="宋体"/>
          <w:color w:val="auto"/>
          <w:szCs w:val="21"/>
          <w:highlight w:val="none"/>
        </w:rPr>
        <w:t>招标人在投标人须知前附表规定的投标截止时间（开标时间）和地点通过电子交易系统公开开标。</w:t>
      </w:r>
    </w:p>
    <w:p w14:paraId="4C58BB8D">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r>
        <w:rPr>
          <w:rFonts w:ascii="宋体" w:hAnsi="宋体" w:eastAsia="宋体" w:cs="宋体"/>
          <w:color w:val="auto"/>
          <w:highlight w:val="none"/>
        </w:rPr>
        <w:t xml:space="preserve">5.2 </w:t>
      </w:r>
      <w:r>
        <w:rPr>
          <w:rFonts w:hint="eastAsia" w:ascii="宋体" w:hAnsi="宋体" w:eastAsia="宋体" w:cs="宋体"/>
          <w:color w:val="auto"/>
          <w:highlight w:val="none"/>
        </w:rPr>
        <w:t>开标程序</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6967A1C8">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主持人按下列程序进行开标：</w:t>
      </w:r>
      <w:bookmarkStart w:id="446" w:name="_Toc296602450"/>
      <w:bookmarkStart w:id="447" w:name="_Toc324404845"/>
    </w:p>
    <w:p w14:paraId="7679ABA5">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bCs/>
          <w:snapToGrid w:val="0"/>
          <w:color w:val="auto"/>
          <w:kern w:val="0"/>
          <w:szCs w:val="21"/>
          <w:highlight w:val="none"/>
        </w:rPr>
      </w:pPr>
      <w:bookmarkStart w:id="448" w:name="_Toc35424918"/>
      <w:bookmarkStart w:id="449" w:name="_Toc5999"/>
      <w:bookmarkStart w:id="450" w:name="_Toc506107298"/>
      <w:bookmarkStart w:id="451" w:name="_Toc15058883"/>
      <w:bookmarkStart w:id="452" w:name="_Toc35425084"/>
      <w:r>
        <w:rPr>
          <w:rFonts w:hint="eastAsia" w:ascii="宋体" w:hAnsi="宋体" w:cs="宋体"/>
          <w:bCs/>
          <w:snapToGrid w:val="0"/>
          <w:color w:val="auto"/>
          <w:kern w:val="0"/>
          <w:szCs w:val="21"/>
          <w:highlight w:val="none"/>
        </w:rPr>
        <w:t>（1）公布在投标截止时间前通过电子交易系统完成投标文件递交的投标人名称；</w:t>
      </w:r>
    </w:p>
    <w:p w14:paraId="0914E018">
      <w:pPr>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（2）投标人在投标截止时间后在投标人须知前附表规定的解密时间内完成投标文件的解密工作；</w:t>
      </w:r>
    </w:p>
    <w:p w14:paraId="065F6B45">
      <w:pPr>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（3）</w:t>
      </w:r>
      <w:r>
        <w:rPr>
          <w:rFonts w:hint="eastAsia" w:ascii="宋体" w:hAnsi="宋体" w:cs="宋体"/>
          <w:bCs/>
          <w:snapToGrid w:val="0"/>
          <w:color w:val="auto"/>
          <w:kern w:val="0"/>
          <w:szCs w:val="21"/>
          <w:highlight w:val="none"/>
        </w:rPr>
        <w:t>招标人或招标代理机构完成解密工作，导入并读取所有成功解密的投标文件；</w:t>
      </w:r>
    </w:p>
    <w:p w14:paraId="6B907CB3">
      <w:pPr>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（4）按投标人须知前附表规定公布投标人名称、标段名称、投标报价、质量目标、工期及其他内容；</w:t>
      </w:r>
    </w:p>
    <w:p w14:paraId="1A974319">
      <w:pPr>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（5）开标结束。</w:t>
      </w:r>
    </w:p>
    <w:p w14:paraId="4C27F837">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r>
        <w:rPr>
          <w:rFonts w:ascii="宋体" w:hAnsi="宋体" w:eastAsia="宋体" w:cs="宋体"/>
          <w:color w:val="auto"/>
          <w:highlight w:val="none"/>
        </w:rPr>
        <w:t xml:space="preserve">5.3 </w:t>
      </w:r>
      <w:r>
        <w:rPr>
          <w:rFonts w:hint="eastAsia" w:ascii="宋体" w:hAnsi="宋体" w:eastAsia="宋体" w:cs="宋体"/>
          <w:color w:val="auto"/>
          <w:highlight w:val="none"/>
        </w:rPr>
        <w:t>开标异议</w:t>
      </w:r>
      <w:bookmarkEnd w:id="446"/>
      <w:bookmarkEnd w:id="447"/>
      <w:bookmarkEnd w:id="448"/>
      <w:bookmarkEnd w:id="449"/>
      <w:bookmarkEnd w:id="450"/>
      <w:bookmarkEnd w:id="451"/>
      <w:bookmarkEnd w:id="452"/>
    </w:p>
    <w:p w14:paraId="2C0D3373">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投标人对开标有异议的，应当在开标时提出，招标人当场作出答复，并制作记录。异议与答复应通过电子交易系统进行。</w:t>
      </w:r>
    </w:p>
    <w:p w14:paraId="56719774">
      <w:pPr>
        <w:pStyle w:val="4"/>
        <w:pageBreakBefore w:val="0"/>
        <w:widowControl w:val="0"/>
        <w:kinsoku/>
        <w:wordWrap/>
        <w:overflowPunct/>
        <w:topLinePunct w:val="0"/>
        <w:autoSpaceDE/>
        <w:autoSpaceDN/>
        <w:bidi w:val="0"/>
        <w:spacing w:line="500" w:lineRule="exact"/>
        <w:ind w:firstLine="482" w:firstLineChars="200"/>
        <w:textAlignment w:val="auto"/>
        <w:rPr>
          <w:rFonts w:ascii="宋体" w:hAnsi="宋体" w:eastAsia="宋体" w:cs="宋体"/>
          <w:color w:val="auto"/>
          <w:sz w:val="24"/>
          <w:szCs w:val="24"/>
          <w:highlight w:val="none"/>
        </w:rPr>
      </w:pPr>
      <w:bookmarkStart w:id="453" w:name="_Toc20689"/>
      <w:bookmarkStart w:id="454" w:name="_Toc144974530"/>
      <w:bookmarkStart w:id="455" w:name="_Toc247085720"/>
      <w:bookmarkStart w:id="456" w:name="_Toc35424919"/>
      <w:bookmarkStart w:id="457" w:name="_Toc179632580"/>
      <w:bookmarkStart w:id="458" w:name="_Toc15058884"/>
      <w:bookmarkStart w:id="459" w:name="_Toc152045562"/>
      <w:bookmarkStart w:id="460" w:name="_Toc35425085"/>
      <w:bookmarkStart w:id="461" w:name="_Toc506107299"/>
      <w:bookmarkStart w:id="462" w:name="_Toc152042338"/>
      <w:bookmarkStart w:id="463" w:name="_Toc324404846"/>
      <w:bookmarkStart w:id="464" w:name="_Toc246996206"/>
      <w:bookmarkStart w:id="465" w:name="_Toc246996949"/>
      <w:r>
        <w:rPr>
          <w:rFonts w:ascii="宋体" w:hAnsi="宋体" w:eastAsia="宋体" w:cs="宋体"/>
          <w:color w:val="auto"/>
          <w:sz w:val="24"/>
          <w:szCs w:val="24"/>
          <w:highlight w:val="none"/>
        </w:rPr>
        <w:t xml:space="preserve">6. </w:t>
      </w:r>
      <w:r>
        <w:rPr>
          <w:rFonts w:hint="eastAsia" w:ascii="宋体" w:hAnsi="宋体" w:eastAsia="宋体" w:cs="宋体"/>
          <w:color w:val="auto"/>
          <w:sz w:val="24"/>
          <w:szCs w:val="24"/>
          <w:highlight w:val="none"/>
        </w:rPr>
        <w:t>评标</w:t>
      </w:r>
      <w:bookmarkEnd w:id="453"/>
      <w:bookmarkEnd w:id="454"/>
      <w:bookmarkEnd w:id="455"/>
      <w:bookmarkEnd w:id="456"/>
      <w:bookmarkEnd w:id="457"/>
      <w:bookmarkEnd w:id="458"/>
      <w:bookmarkEnd w:id="459"/>
      <w:bookmarkEnd w:id="460"/>
      <w:bookmarkEnd w:id="461"/>
      <w:bookmarkEnd w:id="462"/>
      <w:bookmarkEnd w:id="463"/>
      <w:bookmarkEnd w:id="464"/>
      <w:bookmarkEnd w:id="465"/>
    </w:p>
    <w:p w14:paraId="573F21C5">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466" w:name="_Toc152042339"/>
      <w:bookmarkStart w:id="467" w:name="_Toc506107300"/>
      <w:bookmarkStart w:id="468" w:name="_Toc179632581"/>
      <w:bookmarkStart w:id="469" w:name="_Toc246996207"/>
      <w:bookmarkStart w:id="470" w:name="_Toc296602452"/>
      <w:bookmarkStart w:id="471" w:name="_Toc14249"/>
      <w:bookmarkStart w:id="472" w:name="_Toc35424920"/>
      <w:bookmarkStart w:id="473" w:name="_Toc246996950"/>
      <w:bookmarkStart w:id="474" w:name="_Toc35425086"/>
      <w:bookmarkStart w:id="475" w:name="_Toc247085721"/>
      <w:bookmarkStart w:id="476" w:name="_Toc324404847"/>
      <w:bookmarkStart w:id="477" w:name="_Toc144974531"/>
      <w:bookmarkStart w:id="478" w:name="_Toc15058885"/>
      <w:bookmarkStart w:id="479" w:name="_Toc152045563"/>
      <w:r>
        <w:rPr>
          <w:rFonts w:ascii="宋体" w:hAnsi="宋体" w:eastAsia="宋体" w:cs="宋体"/>
          <w:color w:val="auto"/>
          <w:highlight w:val="none"/>
        </w:rPr>
        <w:t xml:space="preserve">6.1 </w:t>
      </w:r>
      <w:r>
        <w:rPr>
          <w:rFonts w:hint="eastAsia" w:ascii="宋体" w:hAnsi="宋体" w:eastAsia="宋体" w:cs="宋体"/>
          <w:color w:val="auto"/>
          <w:highlight w:val="none"/>
        </w:rPr>
        <w:t>评标委员会</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7C8BD7E9">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6.1.1 </w:t>
      </w:r>
      <w:r>
        <w:rPr>
          <w:rFonts w:hint="eastAsia" w:ascii="宋体" w:hAnsi="宋体" w:cs="宋体"/>
          <w:color w:val="auto"/>
          <w:szCs w:val="21"/>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028EE5CC">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6.1.2 </w:t>
      </w:r>
      <w:r>
        <w:rPr>
          <w:rFonts w:hint="eastAsia" w:ascii="宋体" w:hAnsi="宋体" w:cs="宋体"/>
          <w:color w:val="auto"/>
          <w:szCs w:val="21"/>
          <w:highlight w:val="none"/>
        </w:rPr>
        <w:t>评标委员会成员有下列情形之一的，应当回避：</w:t>
      </w:r>
    </w:p>
    <w:p w14:paraId="492DCB8B">
      <w:pPr>
        <w:pStyle w:val="45"/>
        <w:pageBreakBefore w:val="0"/>
        <w:widowControl w:val="0"/>
        <w:kinsoku/>
        <w:wordWrap/>
        <w:overflowPunct/>
        <w:topLinePunct w:val="0"/>
        <w:autoSpaceDE/>
        <w:autoSpaceDN/>
        <w:bidi w:val="0"/>
        <w:adjustRightInd w:val="0"/>
        <w:snapToGrid w:val="0"/>
        <w:spacing w:after="0" w:line="500" w:lineRule="exact"/>
        <w:ind w:left="0" w:leftChars="0"/>
        <w:textAlignment w:val="auto"/>
        <w:rPr>
          <w:rFonts w:hint="eastAsia" w:ascii="宋体" w:hAnsi="宋体" w:cs="宋体"/>
          <w:color w:val="auto"/>
          <w:szCs w:val="21"/>
          <w:highlight w:val="none"/>
        </w:rPr>
      </w:pPr>
      <w:bookmarkStart w:id="480" w:name="_Toc296602453"/>
      <w:bookmarkStart w:id="481" w:name="_Toc246996208"/>
      <w:bookmarkStart w:id="482" w:name="_Toc15058886"/>
      <w:bookmarkStart w:id="483" w:name="_Toc152045564"/>
      <w:bookmarkStart w:id="484" w:name="_Toc152042340"/>
      <w:bookmarkStart w:id="485" w:name="_Toc35424921"/>
      <w:bookmarkStart w:id="486" w:name="_Toc324404848"/>
      <w:bookmarkStart w:id="487" w:name="_Toc246996951"/>
      <w:bookmarkStart w:id="488" w:name="_Toc12948"/>
      <w:bookmarkStart w:id="489" w:name="_Toc179632582"/>
      <w:bookmarkStart w:id="490" w:name="_Toc247085722"/>
      <w:bookmarkStart w:id="491" w:name="_Toc144974532"/>
      <w:bookmarkStart w:id="492" w:name="_Toc506107301"/>
      <w:bookmarkStart w:id="493" w:name="_Toc35425087"/>
      <w:r>
        <w:rPr>
          <w:rFonts w:hint="eastAsia" w:ascii="宋体" w:hAnsi="宋体" w:cs="宋体"/>
          <w:color w:val="auto"/>
          <w:szCs w:val="21"/>
          <w:highlight w:val="none"/>
        </w:rPr>
        <w:t xml:space="preserve">（1）项目主管部门或行政监督管理部门，项目属地的公共资源交易综合管理部门、交易中心的工作人员； </w:t>
      </w:r>
    </w:p>
    <w:p w14:paraId="744E5FF2">
      <w:pPr>
        <w:pStyle w:val="45"/>
        <w:pageBreakBefore w:val="0"/>
        <w:widowControl w:val="0"/>
        <w:kinsoku/>
        <w:wordWrap/>
        <w:overflowPunct/>
        <w:topLinePunct w:val="0"/>
        <w:autoSpaceDE/>
        <w:autoSpaceDN/>
        <w:bidi w:val="0"/>
        <w:adjustRightInd w:val="0"/>
        <w:snapToGrid w:val="0"/>
        <w:spacing w:after="0" w:line="500" w:lineRule="exact"/>
        <w:ind w:left="0" w:leftChars="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（2）与竞争主体主要负责人或者授权参与交易的代理人有近亲属关系的人员； </w:t>
      </w:r>
    </w:p>
    <w:p w14:paraId="20ECDC13">
      <w:pPr>
        <w:pStyle w:val="45"/>
        <w:pageBreakBefore w:val="0"/>
        <w:widowControl w:val="0"/>
        <w:kinsoku/>
        <w:wordWrap/>
        <w:overflowPunct/>
        <w:topLinePunct w:val="0"/>
        <w:autoSpaceDE/>
        <w:autoSpaceDN/>
        <w:bidi w:val="0"/>
        <w:adjustRightInd w:val="0"/>
        <w:snapToGrid w:val="0"/>
        <w:spacing w:after="0" w:line="500" w:lineRule="exact"/>
        <w:ind w:left="0" w:leftChars="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（3）竞争主体的工作人员或者退休人员； </w:t>
      </w:r>
    </w:p>
    <w:p w14:paraId="502A18B5">
      <w:pPr>
        <w:pStyle w:val="45"/>
        <w:pageBreakBefore w:val="0"/>
        <w:widowControl w:val="0"/>
        <w:kinsoku/>
        <w:wordWrap/>
        <w:overflowPunct/>
        <w:topLinePunct w:val="0"/>
        <w:autoSpaceDE/>
        <w:autoSpaceDN/>
        <w:bidi w:val="0"/>
        <w:adjustRightInd w:val="0"/>
        <w:snapToGrid w:val="0"/>
        <w:spacing w:after="0" w:line="500" w:lineRule="exact"/>
        <w:ind w:left="0" w:leftChars="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（4）竞争主体的上级主管、控股或者被控股单位等相关利害关系的人员，或任职单位与竞争主体单位为同一法定代表人的； </w:t>
      </w:r>
    </w:p>
    <w:p w14:paraId="2F5E08FB">
      <w:pPr>
        <w:pStyle w:val="45"/>
        <w:pageBreakBefore w:val="0"/>
        <w:widowControl w:val="0"/>
        <w:kinsoku/>
        <w:wordWrap/>
        <w:overflowPunct/>
        <w:topLinePunct w:val="0"/>
        <w:autoSpaceDE/>
        <w:autoSpaceDN/>
        <w:bidi w:val="0"/>
        <w:adjustRightInd w:val="0"/>
        <w:snapToGrid w:val="0"/>
        <w:spacing w:after="0" w:line="500" w:lineRule="exact"/>
        <w:ind w:left="0" w:leftChars="0"/>
        <w:textAlignment w:val="auto"/>
        <w:rPr>
          <w:rFonts w:hint="eastAsia" w:ascii="宋体" w:hAnsi="宋体" w:cs="宋体"/>
          <w:color w:val="auto"/>
          <w:szCs w:val="21"/>
          <w:highlight w:val="none"/>
        </w:rPr>
      </w:pPr>
      <w:r>
        <w:rPr>
          <w:rFonts w:hint="eastAsia" w:ascii="宋体" w:hAnsi="宋体" w:cs="宋体"/>
          <w:color w:val="auto"/>
          <w:szCs w:val="21"/>
          <w:highlight w:val="none"/>
        </w:rPr>
        <w:t>（5）存在其他法定回避情形的。</w:t>
      </w:r>
    </w:p>
    <w:p w14:paraId="2D41B2C4">
      <w:pPr>
        <w:pStyle w:val="45"/>
        <w:pageBreakBefore w:val="0"/>
        <w:widowControl w:val="0"/>
        <w:kinsoku/>
        <w:wordWrap/>
        <w:overflowPunct/>
        <w:topLinePunct w:val="0"/>
        <w:autoSpaceDE/>
        <w:autoSpaceDN/>
        <w:bidi w:val="0"/>
        <w:adjustRightInd w:val="0"/>
        <w:snapToGrid w:val="0"/>
        <w:spacing w:after="0" w:line="500" w:lineRule="exact"/>
        <w:ind w:left="0" w:leftChars="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项目实施主体及其子公司、下属单位、上级主管部门或者控股公司的工作人员或者退休人员不得以专家身份参与本单位或者代理项目的评标评审。 </w:t>
      </w:r>
    </w:p>
    <w:p w14:paraId="795DECA9">
      <w:pPr>
        <w:pStyle w:val="45"/>
        <w:pageBreakBefore w:val="0"/>
        <w:widowControl w:val="0"/>
        <w:kinsoku/>
        <w:wordWrap/>
        <w:overflowPunct/>
        <w:topLinePunct w:val="0"/>
        <w:autoSpaceDE/>
        <w:autoSpaceDN/>
        <w:bidi w:val="0"/>
        <w:adjustRightInd w:val="0"/>
        <w:snapToGrid w:val="0"/>
        <w:spacing w:after="0" w:line="500" w:lineRule="exact"/>
        <w:ind w:left="0" w:leftChars="0"/>
        <w:textAlignment w:val="auto"/>
        <w:rPr>
          <w:rFonts w:hint="eastAsia" w:ascii="宋体" w:hAnsi="宋体" w:cs="宋体"/>
          <w:color w:val="auto"/>
          <w:szCs w:val="21"/>
          <w:highlight w:val="none"/>
        </w:rPr>
      </w:pPr>
      <w:r>
        <w:rPr>
          <w:rFonts w:hint="eastAsia" w:ascii="宋体" w:hAnsi="宋体" w:cs="宋体"/>
          <w:color w:val="auto"/>
          <w:szCs w:val="21"/>
          <w:highlight w:val="none"/>
        </w:rPr>
        <w:t>评标委员会或评审机构成员有前两款规定情形的，应当主动提出回避；已经进入的应当更换，被更换的成员评标评审意见无效。</w:t>
      </w:r>
    </w:p>
    <w:p w14:paraId="1C63D61F">
      <w:pPr>
        <w:pStyle w:val="45"/>
        <w:pageBreakBefore w:val="0"/>
        <w:widowControl w:val="0"/>
        <w:kinsoku/>
        <w:wordWrap/>
        <w:overflowPunct/>
        <w:topLinePunct w:val="0"/>
        <w:autoSpaceDE/>
        <w:autoSpaceDN/>
        <w:bidi w:val="0"/>
        <w:adjustRightInd w:val="0"/>
        <w:snapToGrid w:val="0"/>
        <w:spacing w:after="0" w:line="500" w:lineRule="exact"/>
        <w:ind w:left="0" w:leftChars="0"/>
        <w:textAlignment w:val="auto"/>
        <w:rPr>
          <w:rFonts w:hint="eastAsia"/>
          <w:color w:val="auto"/>
          <w:highlight w:val="none"/>
        </w:rPr>
      </w:pPr>
      <w:r>
        <w:rPr>
          <w:rFonts w:hint="eastAsia" w:ascii="宋体" w:hAnsi="宋体" w:cs="宋体"/>
          <w:color w:val="auto"/>
          <w:szCs w:val="21"/>
          <w:highlight w:val="none"/>
        </w:rPr>
        <w:t>6.1.3评标过程中，评标委员会成员有回避事由、擅离职守或因健康等原因不能继续评标的， 招标人有权更换。被更换的评标委员会成员作出的评审结论无效，由更换后的评标委员会成员重新进行评审。</w:t>
      </w:r>
    </w:p>
    <w:p w14:paraId="2B1E0862">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r>
        <w:rPr>
          <w:rFonts w:ascii="宋体" w:hAnsi="宋体" w:eastAsia="宋体" w:cs="宋体"/>
          <w:color w:val="auto"/>
          <w:highlight w:val="none"/>
        </w:rPr>
        <w:t xml:space="preserve">6.2 </w:t>
      </w:r>
      <w:r>
        <w:rPr>
          <w:rFonts w:hint="eastAsia" w:ascii="宋体" w:hAnsi="宋体" w:eastAsia="宋体" w:cs="宋体"/>
          <w:color w:val="auto"/>
          <w:highlight w:val="none"/>
        </w:rPr>
        <w:t>评标原则</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3B8CCC1F">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评标活动遵循公平、公正、科学和择优的原则。</w:t>
      </w:r>
    </w:p>
    <w:p w14:paraId="3E569E5C">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494" w:name="_Toc324404849"/>
      <w:bookmarkStart w:id="495" w:name="_Toc152045565"/>
      <w:bookmarkStart w:id="496" w:name="_Toc296602454"/>
      <w:bookmarkStart w:id="497" w:name="_Toc35424922"/>
      <w:bookmarkStart w:id="498" w:name="_Toc506107302"/>
      <w:bookmarkStart w:id="499" w:name="_Toc15058887"/>
      <w:bookmarkStart w:id="500" w:name="_Toc179632583"/>
      <w:bookmarkStart w:id="501" w:name="_Toc144974533"/>
      <w:bookmarkStart w:id="502" w:name="_Toc14892"/>
      <w:bookmarkStart w:id="503" w:name="_Toc35425088"/>
      <w:bookmarkStart w:id="504" w:name="_Toc247085723"/>
      <w:bookmarkStart w:id="505" w:name="_Toc152042341"/>
      <w:bookmarkStart w:id="506" w:name="_Toc246996209"/>
      <w:bookmarkStart w:id="507" w:name="_Toc246996952"/>
      <w:r>
        <w:rPr>
          <w:rFonts w:ascii="宋体" w:hAnsi="宋体" w:eastAsia="宋体" w:cs="宋体"/>
          <w:color w:val="auto"/>
          <w:highlight w:val="none"/>
        </w:rPr>
        <w:t xml:space="preserve">6.3 </w:t>
      </w:r>
      <w:r>
        <w:rPr>
          <w:rFonts w:hint="eastAsia" w:ascii="宋体" w:hAnsi="宋体" w:eastAsia="宋体" w:cs="宋体"/>
          <w:color w:val="auto"/>
          <w:highlight w:val="none"/>
        </w:rPr>
        <w:t>评标</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57899E9A">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bookmarkStart w:id="508" w:name="_Toc152045566"/>
      <w:bookmarkStart w:id="509" w:name="_Toc247085724"/>
      <w:bookmarkStart w:id="510" w:name="_Toc324404850"/>
      <w:bookmarkStart w:id="511" w:name="_Toc246996953"/>
      <w:bookmarkStart w:id="512" w:name="_Toc152042342"/>
      <w:bookmarkStart w:id="513" w:name="_Toc246996210"/>
      <w:bookmarkStart w:id="514" w:name="_Toc179632584"/>
      <w:bookmarkStart w:id="515" w:name="_Toc144974534"/>
      <w:r>
        <w:rPr>
          <w:rFonts w:hint="eastAsia" w:ascii="宋体" w:hAnsi="宋体" w:cs="宋体"/>
          <w:color w:val="auto"/>
          <w:szCs w:val="21"/>
          <w:highlight w:val="none"/>
        </w:rPr>
        <w:t>6.3.1评标委员会按照第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章“评标办法”规定的方法、评审因素、标准和程序对投标文件进行评审。第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章“评标办法”没有规定的方法、评审因素和标准，不作为评标依据。</w:t>
      </w:r>
    </w:p>
    <w:p w14:paraId="3BF4A2B5">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ascii="宋体" w:cs="宋体"/>
          <w:color w:val="auto"/>
          <w:szCs w:val="21"/>
          <w:highlight w:val="none"/>
        </w:rPr>
      </w:pPr>
      <w:r>
        <w:rPr>
          <w:rFonts w:hint="eastAsia" w:ascii="宋体" w:hAnsi="宋体" w:cs="宋体"/>
          <w:color w:val="auto"/>
          <w:szCs w:val="21"/>
          <w:highlight w:val="none"/>
        </w:rPr>
        <w:t>6.3.2评标完成后，评标委员会应向招标人提交书面评标报告和中标候选人名单。评标委员会推荐中标候选人的人数见投标人须知前附表。</w:t>
      </w:r>
    </w:p>
    <w:p w14:paraId="03F12A64">
      <w:pPr>
        <w:pStyle w:val="4"/>
        <w:pageBreakBefore w:val="0"/>
        <w:widowControl w:val="0"/>
        <w:kinsoku/>
        <w:wordWrap/>
        <w:overflowPunct/>
        <w:topLinePunct w:val="0"/>
        <w:autoSpaceDE/>
        <w:autoSpaceDN/>
        <w:bidi w:val="0"/>
        <w:spacing w:line="500" w:lineRule="exact"/>
        <w:ind w:firstLine="482" w:firstLineChars="200"/>
        <w:textAlignment w:val="auto"/>
        <w:rPr>
          <w:rFonts w:ascii="宋体" w:hAnsi="宋体" w:eastAsia="宋体" w:cs="宋体"/>
          <w:color w:val="auto"/>
          <w:sz w:val="24"/>
          <w:szCs w:val="24"/>
          <w:highlight w:val="none"/>
        </w:rPr>
      </w:pPr>
      <w:bookmarkStart w:id="516" w:name="_Toc15058888"/>
      <w:bookmarkStart w:id="517" w:name="_Toc35425089"/>
      <w:bookmarkStart w:id="518" w:name="_Toc506107303"/>
      <w:bookmarkStart w:id="519" w:name="_Toc35424923"/>
      <w:bookmarkStart w:id="520" w:name="_Toc26182"/>
      <w:r>
        <w:rPr>
          <w:rFonts w:ascii="宋体" w:hAnsi="宋体" w:eastAsia="宋体" w:cs="宋体"/>
          <w:color w:val="auto"/>
          <w:sz w:val="24"/>
          <w:szCs w:val="24"/>
          <w:highlight w:val="none"/>
        </w:rPr>
        <w:t xml:space="preserve">7. </w:t>
      </w:r>
      <w:r>
        <w:rPr>
          <w:rFonts w:hint="eastAsia" w:ascii="宋体" w:hAnsi="宋体" w:eastAsia="宋体" w:cs="宋体"/>
          <w:color w:val="auto"/>
          <w:sz w:val="24"/>
          <w:szCs w:val="24"/>
          <w:highlight w:val="none"/>
        </w:rPr>
        <w:t>合同授予</w:t>
      </w:r>
      <w:bookmarkEnd w:id="508"/>
      <w:bookmarkEnd w:id="509"/>
      <w:bookmarkEnd w:id="510"/>
      <w:bookmarkEnd w:id="511"/>
      <w:bookmarkEnd w:id="512"/>
      <w:bookmarkEnd w:id="513"/>
      <w:bookmarkEnd w:id="514"/>
      <w:bookmarkEnd w:id="515"/>
      <w:bookmarkEnd w:id="516"/>
      <w:bookmarkEnd w:id="517"/>
      <w:bookmarkEnd w:id="518"/>
      <w:bookmarkEnd w:id="519"/>
      <w:bookmarkEnd w:id="520"/>
    </w:p>
    <w:p w14:paraId="0DEBC35E">
      <w:pPr>
        <w:pStyle w:val="4"/>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color w:val="auto"/>
          <w:highlight w:val="none"/>
        </w:rPr>
      </w:pPr>
      <w:bookmarkStart w:id="521" w:name="_Toc60061472"/>
      <w:bookmarkStart w:id="522" w:name="_Toc15058890"/>
      <w:bookmarkStart w:id="523" w:name="_Toc83301726"/>
      <w:bookmarkStart w:id="524" w:name="_Toc324404852"/>
      <w:bookmarkStart w:id="525" w:name="_Toc296602457"/>
      <w:bookmarkStart w:id="526" w:name="_Toc506107305"/>
      <w:bookmarkStart w:id="527" w:name="_Toc95223374"/>
      <w:bookmarkStart w:id="528" w:name="_Toc246996212"/>
      <w:bookmarkStart w:id="529" w:name="_Toc179632586"/>
      <w:bookmarkStart w:id="530" w:name="_Toc144974536"/>
      <w:bookmarkStart w:id="531" w:name="_Toc152042344"/>
      <w:bookmarkStart w:id="532" w:name="_Toc324404853"/>
      <w:bookmarkStart w:id="533" w:name="_Toc6833"/>
      <w:bookmarkStart w:id="534" w:name="_Toc247085726"/>
      <w:bookmarkStart w:id="535" w:name="_Toc35424926"/>
      <w:bookmarkStart w:id="536" w:name="_Toc246996955"/>
      <w:bookmarkStart w:id="537" w:name="_Toc35425092"/>
      <w:bookmarkStart w:id="538" w:name="_Toc152045568"/>
      <w:bookmarkStart w:id="539" w:name="_Toc296602458"/>
      <w:r>
        <w:rPr>
          <w:rFonts w:hint="eastAsia" w:ascii="宋体" w:hAnsi="宋体" w:eastAsia="宋体" w:cs="宋体"/>
          <w:color w:val="auto"/>
          <w:highlight w:val="none"/>
        </w:rPr>
        <w:t>7.1 中标候选人公示</w:t>
      </w:r>
      <w:bookmarkEnd w:id="521"/>
      <w:bookmarkEnd w:id="522"/>
      <w:bookmarkEnd w:id="523"/>
      <w:bookmarkEnd w:id="524"/>
      <w:bookmarkEnd w:id="525"/>
      <w:bookmarkEnd w:id="526"/>
      <w:bookmarkEnd w:id="527"/>
    </w:p>
    <w:p w14:paraId="2CA25D39">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bookmarkStart w:id="540" w:name="_Toc60061473"/>
      <w:r>
        <w:rPr>
          <w:rFonts w:hint="eastAsia" w:ascii="宋体" w:hAnsi="宋体" w:cs="宋体"/>
          <w:color w:val="auto"/>
          <w:szCs w:val="21"/>
          <w:highlight w:val="none"/>
        </w:rPr>
        <w:t>招标人在收到评标报告之日起3日内，按照投标人须知前附表规定的公示媒介和期限依法公示。中标候选人，公示期不得少于3日。</w:t>
      </w:r>
    </w:p>
    <w:p w14:paraId="1B467BDA">
      <w:pPr>
        <w:pStyle w:val="4"/>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 评标结果异议</w:t>
      </w:r>
    </w:p>
    <w:p w14:paraId="13C094BF">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投标人或其他利害关系人对评标结果有异议的，应在中标候选人公示期间提出。招标人将在收到异议之日起3日内作出答复；作出答复前，将暂停招标投标活动。</w:t>
      </w:r>
    </w:p>
    <w:p w14:paraId="08E2E4C0">
      <w:pPr>
        <w:pStyle w:val="4"/>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7.3 中标候选人履约能力审查</w:t>
      </w:r>
    </w:p>
    <w:p w14:paraId="6021CB45">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中标候选人的经营、财务状况发生较大变化或者存在违法行为，招标人认为可能影响其履约能力的，应当在发出中标通知书前由原评标委员会按照招标文件规定的标准和方法审查确认。</w:t>
      </w:r>
    </w:p>
    <w:p w14:paraId="0A1D5A02">
      <w:pPr>
        <w:pStyle w:val="4"/>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7.4 业绩奖项公示</w:t>
      </w:r>
      <w:bookmarkEnd w:id="540"/>
    </w:p>
    <w:p w14:paraId="51CDA867">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招标人对中标候选人的得分业绩和奖项进行公示。</w:t>
      </w:r>
    </w:p>
    <w:p w14:paraId="2CBE33FD">
      <w:pPr>
        <w:pStyle w:val="4"/>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color w:val="auto"/>
          <w:highlight w:val="none"/>
        </w:rPr>
      </w:pPr>
      <w:bookmarkStart w:id="541" w:name="_Toc83301727"/>
      <w:bookmarkStart w:id="542" w:name="_Toc95223375"/>
      <w:bookmarkStart w:id="543" w:name="_Toc15058891"/>
      <w:bookmarkStart w:id="544" w:name="_Toc60061474"/>
      <w:bookmarkStart w:id="545" w:name="_Toc506107306"/>
      <w:r>
        <w:rPr>
          <w:rFonts w:hint="eastAsia" w:ascii="宋体" w:hAnsi="宋体" w:eastAsia="宋体" w:cs="宋体"/>
          <w:color w:val="auto"/>
          <w:highlight w:val="none"/>
        </w:rPr>
        <w:t>7.5 定标</w:t>
      </w:r>
      <w:bookmarkEnd w:id="541"/>
      <w:bookmarkEnd w:id="542"/>
    </w:p>
    <w:p w14:paraId="6EDA975B">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投标保证金不予退还，招标人可以按照评标委员会提出的中标候选人名单排序依次确定其他中标候选人为中标人，也可以重新招标。</w:t>
      </w:r>
    </w:p>
    <w:p w14:paraId="26D6CBA1">
      <w:pPr>
        <w:pStyle w:val="4"/>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color w:val="auto"/>
          <w:highlight w:val="none"/>
        </w:rPr>
      </w:pPr>
      <w:bookmarkStart w:id="546" w:name="_Toc83301728"/>
      <w:bookmarkStart w:id="547" w:name="_Toc95223376"/>
      <w:r>
        <w:rPr>
          <w:rFonts w:hint="eastAsia" w:ascii="宋体" w:hAnsi="宋体" w:eastAsia="宋体" w:cs="宋体"/>
          <w:color w:val="auto"/>
          <w:highlight w:val="none"/>
        </w:rPr>
        <w:t>7.6 中标通知</w:t>
      </w:r>
      <w:bookmarkEnd w:id="543"/>
      <w:bookmarkEnd w:id="544"/>
      <w:bookmarkEnd w:id="545"/>
      <w:bookmarkEnd w:id="546"/>
      <w:bookmarkEnd w:id="547"/>
    </w:p>
    <w:p w14:paraId="13C30953">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在本招标文件规定的投标有效期内，招标人以数据电文形式向中标人发出中标通知书，同时将中标结果通知未中标的投标人。</w:t>
      </w:r>
    </w:p>
    <w:p w14:paraId="18878950">
      <w:pPr>
        <w:pStyle w:val="4"/>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color w:val="auto"/>
          <w:highlight w:val="none"/>
        </w:rPr>
      </w:pPr>
      <w:bookmarkStart w:id="548" w:name="_Toc95223377"/>
      <w:r>
        <w:rPr>
          <w:rFonts w:hint="eastAsia" w:ascii="宋体" w:hAnsi="宋体" w:eastAsia="宋体" w:cs="宋体"/>
          <w:color w:val="auto"/>
          <w:highlight w:val="none"/>
        </w:rPr>
        <w:t>7.7 中标结果公示</w:t>
      </w:r>
      <w:bookmarkEnd w:id="548"/>
    </w:p>
    <w:p w14:paraId="22E43FE1">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招标人在确定中标人之日起3日内，按照投标人须知前附表规定的公示媒介和期限依法公示中标结果。</w:t>
      </w:r>
    </w:p>
    <w:p w14:paraId="571AF6DB">
      <w:pPr>
        <w:pStyle w:val="4"/>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color w:val="auto"/>
          <w:highlight w:val="none"/>
        </w:rPr>
      </w:pPr>
      <w:bookmarkStart w:id="549" w:name="_Toc324404854"/>
      <w:bookmarkStart w:id="550" w:name="_Toc506107307"/>
      <w:bookmarkStart w:id="551" w:name="_Toc296602459"/>
      <w:bookmarkStart w:id="552" w:name="_Toc144974537"/>
      <w:bookmarkStart w:id="553" w:name="_Toc179632587"/>
      <w:bookmarkStart w:id="554" w:name="_Toc95223378"/>
      <w:bookmarkStart w:id="555" w:name="_Toc60061476"/>
      <w:bookmarkStart w:id="556" w:name="_Toc247085727"/>
      <w:bookmarkStart w:id="557" w:name="_Toc15058892"/>
      <w:bookmarkStart w:id="558" w:name="_Toc246996213"/>
      <w:bookmarkStart w:id="559" w:name="_Toc83301730"/>
      <w:bookmarkStart w:id="560" w:name="_Toc152045569"/>
      <w:bookmarkStart w:id="561" w:name="_Toc246996956"/>
      <w:bookmarkStart w:id="562" w:name="_Toc152042345"/>
      <w:r>
        <w:rPr>
          <w:rFonts w:hint="eastAsia" w:ascii="宋体" w:hAnsi="宋体" w:eastAsia="宋体" w:cs="宋体"/>
          <w:color w:val="auto"/>
          <w:highlight w:val="none"/>
        </w:rPr>
        <w:t>7.8 履约担保</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31F74994">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7.8.1在签订合同前，中标人应按投标人须知前附表规定的担保形式和招标文件第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章“合同条款及格式”规定的或者事先经过招标人书面认可的履约担保格式向招标人提交履约担保。</w:t>
      </w:r>
      <w:r>
        <w:rPr>
          <w:rFonts w:hint="eastAsia"/>
          <w:color w:val="auto"/>
          <w:highlight w:val="none"/>
        </w:rPr>
        <w:t>联合体中标的，其履约担保应符合投标人须知前附表规定的金额、担保形式和招标文件第</w:t>
      </w:r>
      <w:r>
        <w:rPr>
          <w:rFonts w:hint="eastAsia"/>
          <w:color w:val="auto"/>
          <w:highlight w:val="none"/>
          <w:lang w:val="en-US" w:eastAsia="zh-CN"/>
        </w:rPr>
        <w:t>四</w:t>
      </w:r>
      <w:r>
        <w:rPr>
          <w:rFonts w:hint="eastAsia"/>
          <w:color w:val="auto"/>
          <w:highlight w:val="none"/>
        </w:rPr>
        <w:t>章“合同条款及格式”规定的履约担保格式要求。</w:t>
      </w:r>
    </w:p>
    <w:p w14:paraId="3BFBD92D">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7.8.2中标人不能按本章第7.8.1项要求提交履约担保的，视为放弃中标，其投标保证金不予退还，给招标人造成的损失超过投标保证金数额的，中标人还应当对超过部分予以赔偿。</w:t>
      </w:r>
    </w:p>
    <w:p w14:paraId="51057714">
      <w:pPr>
        <w:pStyle w:val="4"/>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color w:val="auto"/>
          <w:highlight w:val="none"/>
        </w:rPr>
      </w:pPr>
      <w:bookmarkStart w:id="563" w:name="_Toc179632588"/>
      <w:bookmarkStart w:id="564" w:name="_Toc144974538"/>
      <w:bookmarkStart w:id="565" w:name="_Toc152045570"/>
      <w:bookmarkStart w:id="566" w:name="_Toc152042346"/>
      <w:bookmarkStart w:id="567" w:name="_Toc296602460"/>
      <w:bookmarkStart w:id="568" w:name="_Toc95223379"/>
      <w:bookmarkStart w:id="569" w:name="_Toc247085728"/>
      <w:bookmarkStart w:id="570" w:name="_Toc83301731"/>
      <w:bookmarkStart w:id="571" w:name="_Toc246996214"/>
      <w:bookmarkStart w:id="572" w:name="_Toc324404855"/>
      <w:bookmarkStart w:id="573" w:name="_Toc15058893"/>
      <w:bookmarkStart w:id="574" w:name="_Toc60061477"/>
      <w:bookmarkStart w:id="575" w:name="_Toc246996957"/>
      <w:bookmarkStart w:id="576" w:name="_Toc506107308"/>
      <w:r>
        <w:rPr>
          <w:rFonts w:hint="eastAsia" w:ascii="宋体" w:hAnsi="宋体" w:eastAsia="宋体" w:cs="宋体"/>
          <w:color w:val="auto"/>
          <w:highlight w:val="none"/>
        </w:rPr>
        <w:t>7.9 签订合同</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132374B9">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7.9.1本招标工程的合同将授予按本须知第7.6款规定所确定的中标人。</w:t>
      </w:r>
    </w:p>
    <w:p w14:paraId="284E9ED9">
      <w:pPr>
        <w:pStyle w:val="45"/>
        <w:pageBreakBefore w:val="0"/>
        <w:widowControl w:val="0"/>
        <w:kinsoku/>
        <w:wordWrap/>
        <w:overflowPunct/>
        <w:topLinePunct w:val="0"/>
        <w:autoSpaceDE/>
        <w:autoSpaceDN/>
        <w:bidi w:val="0"/>
        <w:spacing w:line="500" w:lineRule="exact"/>
        <w:textAlignment w:val="auto"/>
        <w:rPr>
          <w:rFonts w:hint="eastAsia" w:hAnsi="宋体" w:cs="宋体"/>
          <w:b/>
          <w:bCs/>
          <w:color w:val="auto"/>
          <w:szCs w:val="21"/>
          <w:highlight w:val="none"/>
          <w:lang w:val="en-US" w:eastAsia="zh-CN"/>
        </w:rPr>
      </w:pPr>
      <w:r>
        <w:rPr>
          <w:rFonts w:hint="eastAsia" w:hAnsi="宋体" w:cs="宋体"/>
          <w:b/>
          <w:bCs/>
          <w:color w:val="auto"/>
          <w:szCs w:val="21"/>
          <w:highlight w:val="none"/>
          <w:lang w:val="en-US" w:eastAsia="zh-CN"/>
        </w:rPr>
        <w:t>拟派的项目负责人（总监理工程师）在本项目所在市行政区域外无在建，在本项目所在市行政区域内不多于两个在建项目，如有在建项目，需在建项目所属建设单位书面同意。</w:t>
      </w:r>
    </w:p>
    <w:p w14:paraId="41A29EDB">
      <w:pPr>
        <w:pStyle w:val="45"/>
        <w:pageBreakBefore w:val="0"/>
        <w:widowControl w:val="0"/>
        <w:kinsoku/>
        <w:wordWrap/>
        <w:overflowPunct/>
        <w:topLinePunct w:val="0"/>
        <w:autoSpaceDE/>
        <w:autoSpaceDN/>
        <w:bidi w:val="0"/>
        <w:spacing w:line="500" w:lineRule="exact"/>
        <w:textAlignment w:val="auto"/>
        <w:rPr>
          <w:rFonts w:hint="eastAsia"/>
          <w:color w:val="auto"/>
          <w:highlight w:val="none"/>
        </w:rPr>
      </w:pPr>
      <w:r>
        <w:rPr>
          <w:rFonts w:hint="eastAsia"/>
          <w:b/>
          <w:bCs/>
          <w:color w:val="auto"/>
          <w:highlight w:val="none"/>
        </w:rPr>
        <w:t>在建项目是指以项目负责人（总监理工程师）的身份承担其他尚未完工（以竣工或交工或完工验收报告等手续为准）的项目或已中标的项目（以发放中标通知书为准）。</w:t>
      </w:r>
    </w:p>
    <w:bookmarkEnd w:id="528"/>
    <w:bookmarkEnd w:id="529"/>
    <w:bookmarkEnd w:id="530"/>
    <w:bookmarkEnd w:id="531"/>
    <w:bookmarkEnd w:id="532"/>
    <w:bookmarkEnd w:id="533"/>
    <w:bookmarkEnd w:id="534"/>
    <w:bookmarkEnd w:id="535"/>
    <w:bookmarkEnd w:id="536"/>
    <w:bookmarkEnd w:id="537"/>
    <w:bookmarkEnd w:id="538"/>
    <w:bookmarkEnd w:id="539"/>
    <w:p w14:paraId="5A73BC8A">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bCs/>
          <w:color w:val="auto"/>
          <w:szCs w:val="21"/>
          <w:highlight w:val="none"/>
        </w:rPr>
      </w:pPr>
      <w:bookmarkStart w:id="577" w:name="_Toc324404856"/>
      <w:bookmarkStart w:id="578" w:name="_Toc15058894"/>
      <w:bookmarkStart w:id="579" w:name="_Toc506107309"/>
      <w:r>
        <w:rPr>
          <w:rFonts w:hint="eastAsia" w:ascii="宋体" w:hAnsi="宋体" w:cs="宋体"/>
          <w:bCs/>
          <w:color w:val="auto"/>
          <w:szCs w:val="21"/>
          <w:highlight w:val="none"/>
        </w:rPr>
        <w:t>7.9.2招标人和中标人应当自中标通知书发出之日起30天内，根据招标文件和中标人的投标文件订立书面合同。中标人无正当理由拒签合同的，在签订合同时向招标人提出附加条件，或不按照招标文件要求提交履约保证金的，招标人取消其中标资格，其投标保证金不予退还；给招标人造成的损失超过投标保证金数额的，中标人还应当对超过部分予以赔偿。</w:t>
      </w:r>
    </w:p>
    <w:p w14:paraId="2173792C">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7.9.3发出中标通知书后，招标人无正当理由拒签合同的，招标人向中标人退还投标保证金；给中标人造成损失的，还应当赔偿损失。</w:t>
      </w:r>
    </w:p>
    <w:p w14:paraId="5A7AB5DB">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7.9.4除法定情形外，建设工程合同履行期间项目</w:t>
      </w:r>
      <w:r>
        <w:rPr>
          <w:rFonts w:hint="eastAsia" w:ascii="宋体" w:hAnsi="宋体" w:cs="宋体"/>
          <w:bCs/>
          <w:color w:val="auto"/>
          <w:szCs w:val="21"/>
          <w:highlight w:val="none"/>
          <w:lang w:val="en-US" w:eastAsia="zh-CN"/>
        </w:rPr>
        <w:t>负责人</w:t>
      </w:r>
      <w:r>
        <w:rPr>
          <w:rFonts w:hint="eastAsia" w:ascii="宋体" w:hAnsi="宋体" w:cs="宋体"/>
          <w:bCs/>
          <w:color w:val="auto"/>
          <w:szCs w:val="21"/>
          <w:highlight w:val="none"/>
        </w:rPr>
        <w:t>不得更换。项目</w:t>
      </w:r>
      <w:r>
        <w:rPr>
          <w:rFonts w:hint="eastAsia" w:ascii="宋体" w:hAnsi="宋体" w:cs="宋体"/>
          <w:bCs/>
          <w:color w:val="auto"/>
          <w:szCs w:val="21"/>
          <w:highlight w:val="none"/>
          <w:lang w:val="en-US" w:eastAsia="zh-CN"/>
        </w:rPr>
        <w:t>负责人</w:t>
      </w:r>
      <w:r>
        <w:rPr>
          <w:rFonts w:hint="eastAsia" w:ascii="宋体" w:hAnsi="宋体" w:cs="宋体"/>
          <w:bCs/>
          <w:color w:val="auto"/>
          <w:szCs w:val="21"/>
          <w:highlight w:val="none"/>
        </w:rPr>
        <w:t>确需变更的，应根据招标文件要求，变更后的项目</w:t>
      </w:r>
      <w:r>
        <w:rPr>
          <w:rFonts w:hint="eastAsia" w:ascii="宋体" w:hAnsi="宋体" w:cs="宋体"/>
          <w:bCs/>
          <w:color w:val="auto"/>
          <w:szCs w:val="21"/>
          <w:highlight w:val="none"/>
          <w:lang w:val="en-US" w:eastAsia="zh-CN"/>
        </w:rPr>
        <w:t>负责人</w:t>
      </w:r>
      <w:r>
        <w:rPr>
          <w:rFonts w:hint="eastAsia" w:ascii="宋体" w:hAnsi="宋体" w:cs="宋体"/>
          <w:bCs/>
          <w:color w:val="auto"/>
          <w:szCs w:val="21"/>
          <w:highlight w:val="none"/>
        </w:rPr>
        <w:t>不低于投标文件中拟派项目</w:t>
      </w:r>
      <w:r>
        <w:rPr>
          <w:rFonts w:hint="eastAsia" w:ascii="宋体" w:hAnsi="宋体" w:cs="宋体"/>
          <w:bCs/>
          <w:color w:val="auto"/>
          <w:szCs w:val="21"/>
          <w:highlight w:val="none"/>
          <w:lang w:val="en-US" w:eastAsia="zh-CN"/>
        </w:rPr>
        <w:t>负责人</w:t>
      </w:r>
      <w:r>
        <w:rPr>
          <w:rFonts w:hint="eastAsia" w:ascii="宋体" w:hAnsi="宋体" w:cs="宋体"/>
          <w:bCs/>
          <w:color w:val="auto"/>
          <w:szCs w:val="21"/>
          <w:highlight w:val="none"/>
        </w:rPr>
        <w:t>的资格条件。</w:t>
      </w:r>
    </w:p>
    <w:p w14:paraId="1EA3D210">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bCs/>
          <w:snapToGrid w:val="0"/>
          <w:color w:val="auto"/>
          <w:kern w:val="0"/>
          <w:szCs w:val="21"/>
          <w:highlight w:val="none"/>
        </w:rPr>
      </w:pPr>
      <w:r>
        <w:rPr>
          <w:rFonts w:hint="eastAsia" w:ascii="宋体" w:hAnsi="宋体" w:cs="宋体"/>
          <w:color w:val="auto"/>
          <w:highlight w:val="none"/>
        </w:rPr>
        <w:t xml:space="preserve">7.9.5 </w:t>
      </w:r>
      <w:r>
        <w:rPr>
          <w:rFonts w:hint="eastAsia" w:ascii="宋体" w:hAnsi="宋体" w:cs="宋体"/>
          <w:bCs/>
          <w:snapToGrid w:val="0"/>
          <w:color w:val="auto"/>
          <w:kern w:val="0"/>
          <w:szCs w:val="21"/>
          <w:highlight w:val="none"/>
        </w:rPr>
        <w:t>联合体中标的，联合体各方应当共同与招标人签订合同，就中标项目向招标人承担连带责任。</w:t>
      </w:r>
    </w:p>
    <w:p w14:paraId="7D207583">
      <w:pPr>
        <w:pStyle w:val="4"/>
        <w:pageBreakBefore w:val="0"/>
        <w:widowControl w:val="0"/>
        <w:kinsoku/>
        <w:wordWrap/>
        <w:overflowPunct/>
        <w:topLinePunct w:val="0"/>
        <w:autoSpaceDE/>
        <w:autoSpaceDN/>
        <w:bidi w:val="0"/>
        <w:spacing w:line="500" w:lineRule="exact"/>
        <w:ind w:firstLine="482" w:firstLineChars="200"/>
        <w:textAlignment w:val="auto"/>
        <w:rPr>
          <w:rFonts w:hint="eastAsia" w:ascii="宋体" w:hAnsi="宋体" w:eastAsia="宋体" w:cs="宋体"/>
          <w:color w:val="auto"/>
          <w:sz w:val="24"/>
          <w:szCs w:val="24"/>
          <w:highlight w:val="none"/>
        </w:rPr>
      </w:pPr>
      <w:bookmarkStart w:id="580" w:name="_Toc179632589"/>
      <w:bookmarkStart w:id="581" w:name="_Toc152045571"/>
      <w:bookmarkStart w:id="582" w:name="_Toc144974539"/>
      <w:bookmarkStart w:id="583" w:name="_Toc83301732"/>
      <w:bookmarkStart w:id="584" w:name="_Toc152042347"/>
      <w:bookmarkStart w:id="585" w:name="_Toc95223381"/>
      <w:bookmarkStart w:id="586" w:name="_Toc60061478"/>
      <w:bookmarkStart w:id="587" w:name="_Toc29809"/>
      <w:bookmarkStart w:id="588" w:name="_Toc35425097"/>
      <w:bookmarkStart w:id="589" w:name="_Toc35424931"/>
      <w:r>
        <w:rPr>
          <w:rFonts w:hint="eastAsia" w:ascii="宋体" w:hAnsi="宋体" w:eastAsia="宋体" w:cs="宋体"/>
          <w:color w:val="auto"/>
          <w:sz w:val="24"/>
          <w:szCs w:val="24"/>
          <w:highlight w:val="none"/>
        </w:rPr>
        <w:t>8. 重新招标和不再招标</w:t>
      </w:r>
      <w:bookmarkEnd w:id="580"/>
      <w:bookmarkEnd w:id="581"/>
      <w:bookmarkEnd w:id="582"/>
      <w:bookmarkEnd w:id="583"/>
      <w:bookmarkEnd w:id="584"/>
      <w:bookmarkEnd w:id="585"/>
      <w:bookmarkEnd w:id="586"/>
    </w:p>
    <w:p w14:paraId="1E0941F1">
      <w:pPr>
        <w:pStyle w:val="5"/>
        <w:pageBreakBefore w:val="0"/>
        <w:widowControl w:val="0"/>
        <w:kinsoku/>
        <w:wordWrap/>
        <w:overflowPunct/>
        <w:topLinePunct w:val="0"/>
        <w:autoSpaceDE/>
        <w:autoSpaceDN/>
        <w:bidi w:val="0"/>
        <w:adjustRightInd w:val="0"/>
        <w:snapToGrid w:val="0"/>
        <w:spacing w:before="0" w:after="0" w:line="500" w:lineRule="exact"/>
        <w:ind w:firstLine="422" w:firstLineChars="200"/>
        <w:textAlignment w:val="auto"/>
        <w:rPr>
          <w:rFonts w:hint="eastAsia" w:ascii="宋体" w:hAnsi="宋体" w:eastAsia="宋体" w:cs="宋体"/>
          <w:b/>
          <w:bCs/>
          <w:color w:val="auto"/>
          <w:kern w:val="2"/>
          <w:sz w:val="21"/>
          <w:szCs w:val="32"/>
          <w:highlight w:val="none"/>
          <w:lang w:val="en-US" w:eastAsia="zh-CN" w:bidi="ar-SA"/>
        </w:rPr>
      </w:pPr>
      <w:bookmarkStart w:id="590" w:name="_Toc60061479"/>
      <w:bookmarkStart w:id="591" w:name="_Toc152045572"/>
      <w:bookmarkStart w:id="592" w:name="_Toc83301733"/>
      <w:bookmarkStart w:id="593" w:name="_Toc95223382"/>
      <w:bookmarkStart w:id="594" w:name="_Toc144974540"/>
      <w:bookmarkStart w:id="595" w:name="_Toc179632590"/>
      <w:bookmarkStart w:id="596" w:name="_Toc152042348"/>
      <w:r>
        <w:rPr>
          <w:rFonts w:hint="eastAsia" w:ascii="宋体" w:hAnsi="宋体" w:eastAsia="宋体" w:cs="宋体"/>
          <w:b/>
          <w:bCs/>
          <w:color w:val="auto"/>
          <w:kern w:val="2"/>
          <w:sz w:val="21"/>
          <w:szCs w:val="32"/>
          <w:highlight w:val="none"/>
          <w:lang w:val="en-US" w:eastAsia="zh-CN" w:bidi="ar-SA"/>
        </w:rPr>
        <w:t>8.1 重新招标</w:t>
      </w:r>
      <w:bookmarkEnd w:id="590"/>
      <w:bookmarkEnd w:id="591"/>
      <w:bookmarkEnd w:id="592"/>
      <w:bookmarkEnd w:id="593"/>
      <w:bookmarkEnd w:id="594"/>
      <w:bookmarkEnd w:id="595"/>
      <w:bookmarkEnd w:id="596"/>
    </w:p>
    <w:p w14:paraId="1FFB3033">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依法必须招标的项目有下列情形之一的，招标人将重新招标：</w:t>
      </w:r>
    </w:p>
    <w:p w14:paraId="4033850B">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（1）投标截止时间止，投标人少于3个的；</w:t>
      </w:r>
    </w:p>
    <w:p w14:paraId="696C66B9">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（2）经评标委员会评审后否决所有投标的；</w:t>
      </w:r>
    </w:p>
    <w:p w14:paraId="75B95015">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（3）中标候选人均未与招标人签订合同的；</w:t>
      </w:r>
    </w:p>
    <w:p w14:paraId="67189454">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（4）法律、法规规定的其他情形。</w:t>
      </w:r>
    </w:p>
    <w:p w14:paraId="1AE46D32">
      <w:pPr>
        <w:pStyle w:val="5"/>
        <w:pageBreakBefore w:val="0"/>
        <w:widowControl w:val="0"/>
        <w:kinsoku/>
        <w:wordWrap/>
        <w:overflowPunct/>
        <w:topLinePunct w:val="0"/>
        <w:autoSpaceDE/>
        <w:autoSpaceDN/>
        <w:bidi w:val="0"/>
        <w:adjustRightInd w:val="0"/>
        <w:snapToGrid w:val="0"/>
        <w:spacing w:before="0" w:after="0" w:line="500" w:lineRule="exact"/>
        <w:ind w:firstLine="422" w:firstLineChars="200"/>
        <w:textAlignment w:val="auto"/>
        <w:rPr>
          <w:rFonts w:hint="eastAsia" w:ascii="宋体" w:hAnsi="宋体" w:eastAsia="宋体" w:cs="宋体"/>
          <w:b/>
          <w:bCs/>
          <w:color w:val="auto"/>
          <w:kern w:val="2"/>
          <w:sz w:val="21"/>
          <w:szCs w:val="32"/>
          <w:highlight w:val="none"/>
          <w:lang w:val="en-US" w:eastAsia="zh-CN" w:bidi="ar-SA"/>
        </w:rPr>
      </w:pPr>
      <w:bookmarkStart w:id="597" w:name="_Toc144974541"/>
      <w:bookmarkStart w:id="598" w:name="_Toc95223383"/>
      <w:bookmarkStart w:id="599" w:name="_Toc83301734"/>
      <w:bookmarkStart w:id="600" w:name="_Toc152045573"/>
      <w:bookmarkStart w:id="601" w:name="_Toc179632591"/>
      <w:bookmarkStart w:id="602" w:name="_Toc152042349"/>
      <w:bookmarkStart w:id="603" w:name="_Toc60061480"/>
      <w:r>
        <w:rPr>
          <w:rFonts w:hint="eastAsia" w:ascii="宋体" w:hAnsi="宋体" w:eastAsia="宋体" w:cs="宋体"/>
          <w:b/>
          <w:bCs/>
          <w:color w:val="auto"/>
          <w:kern w:val="2"/>
          <w:sz w:val="21"/>
          <w:szCs w:val="32"/>
          <w:highlight w:val="none"/>
          <w:lang w:val="en-US" w:eastAsia="zh-CN" w:bidi="ar-SA"/>
        </w:rPr>
        <w:t>8.2 不再招标</w:t>
      </w:r>
      <w:bookmarkEnd w:id="597"/>
      <w:bookmarkEnd w:id="598"/>
      <w:bookmarkEnd w:id="599"/>
      <w:bookmarkEnd w:id="600"/>
      <w:bookmarkEnd w:id="601"/>
      <w:bookmarkEnd w:id="602"/>
      <w:bookmarkEnd w:id="603"/>
    </w:p>
    <w:p w14:paraId="5A8EE59E">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重新招标后投标人仍少于3个或者所有投标被否决的，属于必须审批或核准的工程建设项目，经原审批或核准部门批准后不再进行招标。</w:t>
      </w:r>
    </w:p>
    <w:p w14:paraId="5C6CE594">
      <w:pPr>
        <w:pStyle w:val="4"/>
        <w:pageBreakBefore w:val="0"/>
        <w:widowControl w:val="0"/>
        <w:kinsoku/>
        <w:wordWrap/>
        <w:overflowPunct/>
        <w:topLinePunct w:val="0"/>
        <w:autoSpaceDE/>
        <w:autoSpaceDN/>
        <w:bidi w:val="0"/>
        <w:spacing w:line="500" w:lineRule="exact"/>
        <w:ind w:firstLine="482" w:firstLineChars="200"/>
        <w:textAlignment w:val="auto"/>
        <w:rPr>
          <w:rFonts w:hint="eastAsia" w:ascii="宋体" w:hAnsi="宋体" w:eastAsia="宋体" w:cs="宋体"/>
          <w:color w:val="auto"/>
          <w:sz w:val="24"/>
          <w:szCs w:val="24"/>
          <w:highlight w:val="none"/>
        </w:rPr>
      </w:pPr>
      <w:bookmarkStart w:id="604" w:name="_Toc83301735"/>
      <w:bookmarkStart w:id="605" w:name="_Toc95223384"/>
      <w:bookmarkStart w:id="606" w:name="_Toc60061481"/>
      <w:r>
        <w:rPr>
          <w:rFonts w:hint="eastAsia" w:ascii="宋体" w:hAnsi="宋体" w:eastAsia="宋体" w:cs="宋体"/>
          <w:color w:val="auto"/>
          <w:sz w:val="24"/>
          <w:szCs w:val="24"/>
          <w:highlight w:val="none"/>
        </w:rPr>
        <w:t>9. 纪律和监督</w:t>
      </w:r>
      <w:bookmarkEnd w:id="604"/>
      <w:bookmarkEnd w:id="605"/>
      <w:bookmarkEnd w:id="606"/>
    </w:p>
    <w:p w14:paraId="192D98DE">
      <w:pPr>
        <w:pStyle w:val="5"/>
        <w:pageBreakBefore w:val="0"/>
        <w:widowControl w:val="0"/>
        <w:kinsoku/>
        <w:wordWrap/>
        <w:overflowPunct/>
        <w:topLinePunct w:val="0"/>
        <w:autoSpaceDE/>
        <w:autoSpaceDN/>
        <w:bidi w:val="0"/>
        <w:adjustRightInd w:val="0"/>
        <w:snapToGrid w:val="0"/>
        <w:spacing w:before="0" w:after="0" w:line="500" w:lineRule="exact"/>
        <w:ind w:firstLine="422" w:firstLineChars="200"/>
        <w:textAlignment w:val="auto"/>
        <w:rPr>
          <w:rFonts w:hint="eastAsia" w:ascii="宋体" w:hAnsi="宋体" w:eastAsia="宋体" w:cs="宋体"/>
          <w:b/>
          <w:bCs/>
          <w:color w:val="auto"/>
          <w:kern w:val="2"/>
          <w:sz w:val="21"/>
          <w:szCs w:val="32"/>
          <w:highlight w:val="none"/>
          <w:lang w:val="en-US" w:eastAsia="zh-CN" w:bidi="ar-SA"/>
        </w:rPr>
      </w:pPr>
      <w:bookmarkStart w:id="607" w:name="_Toc60061482"/>
      <w:bookmarkStart w:id="608" w:name="_Toc95223385"/>
      <w:bookmarkStart w:id="609" w:name="_Toc83301736"/>
      <w:r>
        <w:rPr>
          <w:rFonts w:hint="eastAsia" w:ascii="宋体" w:hAnsi="宋体" w:eastAsia="宋体" w:cs="宋体"/>
          <w:b/>
          <w:bCs/>
          <w:color w:val="auto"/>
          <w:kern w:val="2"/>
          <w:sz w:val="21"/>
          <w:szCs w:val="32"/>
          <w:highlight w:val="none"/>
          <w:lang w:val="en-US" w:eastAsia="zh-CN" w:bidi="ar-SA"/>
        </w:rPr>
        <w:t>9.1 对招标人的纪律要求</w:t>
      </w:r>
      <w:bookmarkEnd w:id="607"/>
      <w:bookmarkEnd w:id="608"/>
      <w:bookmarkEnd w:id="609"/>
    </w:p>
    <w:p w14:paraId="21C1B95C">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招标人不得泄漏招标投标活动中应当保密的情况和资料，不得与投标人串通损害国家利益、社会公共利益或者他人合法权益。</w:t>
      </w:r>
    </w:p>
    <w:p w14:paraId="5B037506">
      <w:pPr>
        <w:pStyle w:val="5"/>
        <w:pageBreakBefore w:val="0"/>
        <w:widowControl w:val="0"/>
        <w:kinsoku/>
        <w:wordWrap/>
        <w:overflowPunct/>
        <w:topLinePunct w:val="0"/>
        <w:autoSpaceDE/>
        <w:autoSpaceDN/>
        <w:bidi w:val="0"/>
        <w:adjustRightInd w:val="0"/>
        <w:snapToGrid w:val="0"/>
        <w:spacing w:before="0" w:after="0" w:line="500" w:lineRule="exact"/>
        <w:ind w:firstLine="422" w:firstLineChars="200"/>
        <w:textAlignment w:val="auto"/>
        <w:rPr>
          <w:rFonts w:hint="eastAsia" w:ascii="宋体" w:hAnsi="宋体" w:eastAsia="宋体" w:cs="宋体"/>
          <w:b/>
          <w:bCs/>
          <w:color w:val="auto"/>
          <w:kern w:val="2"/>
          <w:sz w:val="21"/>
          <w:szCs w:val="32"/>
          <w:highlight w:val="none"/>
          <w:lang w:val="en-US" w:eastAsia="zh-CN" w:bidi="ar-SA"/>
        </w:rPr>
      </w:pPr>
      <w:bookmarkStart w:id="610" w:name="_Toc83301737"/>
      <w:bookmarkStart w:id="611" w:name="_Toc95223386"/>
      <w:bookmarkStart w:id="612" w:name="_Toc60061483"/>
      <w:r>
        <w:rPr>
          <w:rFonts w:hint="eastAsia" w:ascii="宋体" w:hAnsi="宋体" w:eastAsia="宋体" w:cs="宋体"/>
          <w:b/>
          <w:bCs/>
          <w:color w:val="auto"/>
          <w:kern w:val="2"/>
          <w:sz w:val="21"/>
          <w:szCs w:val="32"/>
          <w:highlight w:val="none"/>
          <w:lang w:val="en-US" w:eastAsia="zh-CN" w:bidi="ar-SA"/>
        </w:rPr>
        <w:t>9.2 对投标人的纪律要求</w:t>
      </w:r>
      <w:bookmarkEnd w:id="610"/>
      <w:bookmarkEnd w:id="611"/>
      <w:bookmarkEnd w:id="612"/>
    </w:p>
    <w:p w14:paraId="7B6C9EBA">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259C2C9">
      <w:pPr>
        <w:pStyle w:val="5"/>
        <w:pageBreakBefore w:val="0"/>
        <w:widowControl w:val="0"/>
        <w:kinsoku/>
        <w:wordWrap/>
        <w:overflowPunct/>
        <w:topLinePunct w:val="0"/>
        <w:autoSpaceDE/>
        <w:autoSpaceDN/>
        <w:bidi w:val="0"/>
        <w:adjustRightInd w:val="0"/>
        <w:snapToGrid w:val="0"/>
        <w:spacing w:before="0" w:after="0" w:line="500" w:lineRule="exact"/>
        <w:ind w:firstLine="422" w:firstLineChars="200"/>
        <w:textAlignment w:val="auto"/>
        <w:rPr>
          <w:rFonts w:hint="eastAsia" w:ascii="宋体" w:hAnsi="宋体" w:eastAsia="宋体" w:cs="宋体"/>
          <w:b/>
          <w:bCs/>
          <w:color w:val="auto"/>
          <w:kern w:val="2"/>
          <w:sz w:val="21"/>
          <w:szCs w:val="32"/>
          <w:highlight w:val="none"/>
          <w:lang w:val="en-US" w:eastAsia="zh-CN" w:bidi="ar-SA"/>
        </w:rPr>
      </w:pPr>
      <w:bookmarkStart w:id="613" w:name="_Toc95223387"/>
      <w:bookmarkStart w:id="614" w:name="_Toc60061484"/>
      <w:bookmarkStart w:id="615" w:name="_Toc83301738"/>
      <w:r>
        <w:rPr>
          <w:rFonts w:hint="eastAsia" w:ascii="宋体" w:hAnsi="宋体" w:eastAsia="宋体" w:cs="宋体"/>
          <w:b/>
          <w:bCs/>
          <w:color w:val="auto"/>
          <w:kern w:val="2"/>
          <w:sz w:val="21"/>
          <w:szCs w:val="32"/>
          <w:highlight w:val="none"/>
          <w:lang w:val="en-US" w:eastAsia="zh-CN" w:bidi="ar-SA"/>
        </w:rPr>
        <w:t>9.3 对评标委员会成员的纪律要求</w:t>
      </w:r>
      <w:bookmarkEnd w:id="613"/>
      <w:bookmarkEnd w:id="614"/>
      <w:bookmarkEnd w:id="615"/>
    </w:p>
    <w:p w14:paraId="125A0BA1">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四章“评标办法”没有规定的评审因素和标准进行评标。</w:t>
      </w:r>
    </w:p>
    <w:p w14:paraId="7813D784">
      <w:pPr>
        <w:pStyle w:val="5"/>
        <w:pageBreakBefore w:val="0"/>
        <w:widowControl w:val="0"/>
        <w:kinsoku/>
        <w:wordWrap/>
        <w:overflowPunct/>
        <w:topLinePunct w:val="0"/>
        <w:autoSpaceDE/>
        <w:autoSpaceDN/>
        <w:bidi w:val="0"/>
        <w:adjustRightInd w:val="0"/>
        <w:snapToGrid w:val="0"/>
        <w:spacing w:before="0" w:after="0" w:line="500" w:lineRule="exact"/>
        <w:ind w:firstLine="422" w:firstLineChars="200"/>
        <w:textAlignment w:val="auto"/>
        <w:rPr>
          <w:rFonts w:hint="eastAsia" w:ascii="宋体" w:hAnsi="宋体" w:eastAsia="宋体" w:cs="宋体"/>
          <w:b/>
          <w:bCs/>
          <w:color w:val="auto"/>
          <w:kern w:val="2"/>
          <w:sz w:val="21"/>
          <w:szCs w:val="32"/>
          <w:highlight w:val="none"/>
          <w:lang w:val="en-US" w:eastAsia="zh-CN" w:bidi="ar-SA"/>
        </w:rPr>
      </w:pPr>
      <w:bookmarkStart w:id="616" w:name="_Toc95223388"/>
      <w:bookmarkStart w:id="617" w:name="_Toc83301739"/>
      <w:bookmarkStart w:id="618" w:name="_Toc60061485"/>
      <w:r>
        <w:rPr>
          <w:rFonts w:hint="eastAsia" w:ascii="宋体" w:hAnsi="宋体" w:eastAsia="宋体" w:cs="宋体"/>
          <w:b/>
          <w:bCs/>
          <w:color w:val="auto"/>
          <w:kern w:val="2"/>
          <w:sz w:val="21"/>
          <w:szCs w:val="32"/>
          <w:highlight w:val="none"/>
          <w:lang w:val="en-US" w:eastAsia="zh-CN" w:bidi="ar-SA"/>
        </w:rPr>
        <w:t>9.4 对与评标活动有关的工作人员的纪律要求</w:t>
      </w:r>
      <w:bookmarkEnd w:id="616"/>
      <w:bookmarkEnd w:id="617"/>
      <w:bookmarkEnd w:id="618"/>
    </w:p>
    <w:p w14:paraId="467B47CB">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E3ADA3E">
      <w:pPr>
        <w:pStyle w:val="5"/>
        <w:pageBreakBefore w:val="0"/>
        <w:widowControl w:val="0"/>
        <w:kinsoku/>
        <w:wordWrap/>
        <w:overflowPunct/>
        <w:topLinePunct w:val="0"/>
        <w:autoSpaceDE/>
        <w:autoSpaceDN/>
        <w:bidi w:val="0"/>
        <w:adjustRightInd w:val="0"/>
        <w:snapToGrid w:val="0"/>
        <w:spacing w:before="0" w:after="0" w:line="500" w:lineRule="exact"/>
        <w:ind w:firstLine="422" w:firstLineChars="200"/>
        <w:textAlignment w:val="auto"/>
        <w:rPr>
          <w:rFonts w:hint="eastAsia" w:ascii="宋体" w:hAnsi="宋体" w:eastAsia="宋体" w:cs="宋体"/>
          <w:b/>
          <w:bCs/>
          <w:color w:val="auto"/>
          <w:kern w:val="2"/>
          <w:sz w:val="21"/>
          <w:szCs w:val="32"/>
          <w:highlight w:val="none"/>
          <w:lang w:val="en-US" w:eastAsia="zh-CN" w:bidi="ar-SA"/>
        </w:rPr>
      </w:pPr>
      <w:bookmarkStart w:id="619" w:name="_Toc95223389"/>
      <w:bookmarkStart w:id="620" w:name="_Toc60061486"/>
      <w:bookmarkStart w:id="621" w:name="_Toc83301740"/>
      <w:r>
        <w:rPr>
          <w:rFonts w:hint="eastAsia" w:ascii="宋体" w:hAnsi="宋体" w:eastAsia="宋体" w:cs="宋体"/>
          <w:b/>
          <w:bCs/>
          <w:color w:val="auto"/>
          <w:kern w:val="2"/>
          <w:sz w:val="21"/>
          <w:szCs w:val="32"/>
          <w:highlight w:val="none"/>
          <w:lang w:val="en-US" w:eastAsia="zh-CN" w:bidi="ar-SA"/>
        </w:rPr>
        <w:t>9.5 投诉</w:t>
      </w:r>
      <w:bookmarkEnd w:id="619"/>
      <w:bookmarkEnd w:id="620"/>
      <w:bookmarkEnd w:id="621"/>
    </w:p>
    <w:p w14:paraId="7B2DE278">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9.5.1投标人或者其他利害关系人认为招标投标活动违反法律、法规和规章规定的，有权向相关行政监督部门投诉。投诉应当有明确的请求和必要的证明材料。</w:t>
      </w:r>
    </w:p>
    <w:p w14:paraId="59B12A44">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9.5.2投标人和其他利害关系人对招标文件、开标和评标结果事项投诉的，应当按照投标人须知的规定先向招标人提出异议。异议答复期间不计算在第9.5.1</w:t>
      </w:r>
      <w:r>
        <w:rPr>
          <w:rFonts w:hint="eastAsia"/>
          <w:color w:val="auto"/>
          <w:highlight w:val="none"/>
        </w:rPr>
        <w:t>项</w:t>
      </w:r>
      <w:r>
        <w:rPr>
          <w:rFonts w:hint="eastAsia" w:ascii="宋体" w:hAnsi="宋体" w:cs="宋体"/>
          <w:color w:val="auto"/>
          <w:szCs w:val="21"/>
          <w:highlight w:val="none"/>
        </w:rPr>
        <w:t>规定的期限内。</w:t>
      </w:r>
    </w:p>
    <w:p w14:paraId="369433BD">
      <w:pPr>
        <w:pStyle w:val="4"/>
        <w:pageBreakBefore w:val="0"/>
        <w:widowControl w:val="0"/>
        <w:kinsoku/>
        <w:wordWrap/>
        <w:overflowPunct/>
        <w:topLinePunct w:val="0"/>
        <w:autoSpaceDE/>
        <w:autoSpaceDN/>
        <w:bidi w:val="0"/>
        <w:spacing w:line="500" w:lineRule="exact"/>
        <w:ind w:firstLine="482" w:firstLineChars="200"/>
        <w:textAlignment w:val="auto"/>
        <w:rPr>
          <w:rFonts w:hint="eastAsia" w:ascii="宋体" w:hAnsi="宋体" w:eastAsia="宋体" w:cs="宋体"/>
          <w:color w:val="auto"/>
          <w:sz w:val="24"/>
          <w:szCs w:val="24"/>
          <w:highlight w:val="none"/>
        </w:rPr>
      </w:pPr>
      <w:bookmarkStart w:id="622" w:name="_Toc95223390"/>
      <w:bookmarkStart w:id="623" w:name="_Toc83301741"/>
      <w:bookmarkStart w:id="624" w:name="_Toc60061487"/>
      <w:r>
        <w:rPr>
          <w:rFonts w:hint="eastAsia" w:ascii="宋体" w:hAnsi="宋体" w:eastAsia="宋体" w:cs="宋体"/>
          <w:color w:val="auto"/>
          <w:sz w:val="24"/>
          <w:szCs w:val="24"/>
          <w:highlight w:val="none"/>
        </w:rPr>
        <w:t>10.需要补充的其他内容</w:t>
      </w:r>
      <w:bookmarkEnd w:id="622"/>
      <w:bookmarkEnd w:id="623"/>
      <w:bookmarkEnd w:id="624"/>
      <w:bookmarkStart w:id="625" w:name="_Toc60061488"/>
    </w:p>
    <w:p w14:paraId="546E4F22">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需要补充的其他内容：见投标人须知前附表。</w:t>
      </w:r>
      <w:bookmarkEnd w:id="625"/>
    </w:p>
    <w:p w14:paraId="5DFF3958">
      <w:pPr>
        <w:pStyle w:val="4"/>
        <w:spacing w:beforeLines="50" w:afterLines="50"/>
        <w:ind w:firstLine="482" w:firstLineChars="200"/>
        <w:rPr>
          <w:rFonts w:ascii="宋体" w:hAnsi="宋体" w:eastAsia="宋体" w:cs="宋体"/>
          <w:color w:val="auto"/>
          <w:sz w:val="24"/>
          <w:szCs w:val="24"/>
          <w:highlight w:val="none"/>
        </w:rPr>
      </w:pPr>
    </w:p>
    <w:bookmarkEnd w:id="577"/>
    <w:bookmarkEnd w:id="578"/>
    <w:bookmarkEnd w:id="579"/>
    <w:bookmarkEnd w:id="587"/>
    <w:bookmarkEnd w:id="588"/>
    <w:bookmarkEnd w:id="589"/>
    <w:p w14:paraId="58F1197B">
      <w:pPr>
        <w:pStyle w:val="3"/>
        <w:rPr>
          <w:color w:val="auto"/>
          <w:highlight w:val="none"/>
        </w:rPr>
      </w:pPr>
      <w:bookmarkStart w:id="626" w:name="_Toc324404864"/>
      <w:bookmarkStart w:id="627" w:name="_Toc15058902"/>
      <w:bookmarkStart w:id="628" w:name="_Toc35424939"/>
      <w:bookmarkStart w:id="629" w:name="_Toc506107317"/>
      <w:bookmarkStart w:id="630" w:name="_Toc35425105"/>
      <w:bookmarkStart w:id="631" w:name="_Toc296602475"/>
      <w:r>
        <w:rPr>
          <w:color w:val="auto"/>
          <w:highlight w:val="none"/>
        </w:rPr>
        <w:br w:type="page"/>
      </w:r>
      <w:bookmarkStart w:id="632" w:name="_Toc18840"/>
      <w:r>
        <w:rPr>
          <w:rFonts w:hint="eastAsia" w:ascii="Arial" w:hAnsi="Arial"/>
          <w:color w:val="auto"/>
          <w:kern w:val="0"/>
          <w:sz w:val="32"/>
          <w:szCs w:val="32"/>
          <w:highlight w:val="none"/>
        </w:rPr>
        <w:t>第二章</w:t>
      </w:r>
      <w:r>
        <w:rPr>
          <w:rFonts w:ascii="Arial" w:hAnsi="Arial"/>
          <w:color w:val="auto"/>
          <w:kern w:val="0"/>
          <w:sz w:val="32"/>
          <w:szCs w:val="32"/>
          <w:highlight w:val="none"/>
        </w:rPr>
        <w:t xml:space="preserve"> </w:t>
      </w:r>
      <w:r>
        <w:rPr>
          <w:rFonts w:hint="eastAsia" w:ascii="Arial" w:hAnsi="Arial"/>
          <w:color w:val="auto"/>
          <w:kern w:val="0"/>
          <w:sz w:val="32"/>
          <w:szCs w:val="32"/>
          <w:highlight w:val="none"/>
        </w:rPr>
        <w:t>资格审查</w:t>
      </w:r>
      <w:bookmarkEnd w:id="626"/>
      <w:r>
        <w:rPr>
          <w:rFonts w:hint="eastAsia" w:ascii="Arial" w:hAnsi="Arial"/>
          <w:color w:val="auto"/>
          <w:kern w:val="0"/>
          <w:sz w:val="32"/>
          <w:szCs w:val="32"/>
          <w:highlight w:val="none"/>
        </w:rPr>
        <w:t>办法</w:t>
      </w:r>
      <w:bookmarkEnd w:id="627"/>
      <w:bookmarkEnd w:id="628"/>
      <w:bookmarkEnd w:id="629"/>
      <w:bookmarkEnd w:id="630"/>
      <w:bookmarkEnd w:id="632"/>
    </w:p>
    <w:p w14:paraId="4BEDAA2F">
      <w:pPr>
        <w:spacing w:beforeLines="50" w:afterLines="50" w:line="440" w:lineRule="exact"/>
        <w:jc w:val="center"/>
        <w:rPr>
          <w:rFonts w:ascii="宋体" w:cs="宋体"/>
          <w:b/>
          <w:bCs/>
          <w:color w:val="auto"/>
          <w:sz w:val="28"/>
          <w:szCs w:val="22"/>
          <w:highlight w:val="none"/>
        </w:rPr>
      </w:pPr>
      <w:bookmarkStart w:id="633" w:name="_Toc15058903"/>
      <w:bookmarkStart w:id="634" w:name="_Toc35424940"/>
      <w:bookmarkStart w:id="635" w:name="_Toc35425106"/>
      <w:bookmarkStart w:id="636" w:name="_Toc506107318"/>
      <w:bookmarkStart w:id="637" w:name="_Toc324404865"/>
      <w:r>
        <w:rPr>
          <w:rFonts w:hint="eastAsia" w:ascii="宋体" w:hAnsi="宋体" w:cs="宋体"/>
          <w:b/>
          <w:bCs/>
          <w:color w:val="auto"/>
          <w:sz w:val="28"/>
          <w:szCs w:val="22"/>
          <w:highlight w:val="none"/>
        </w:rPr>
        <w:t>资格审查办法前附表</w:t>
      </w:r>
      <w:bookmarkEnd w:id="633"/>
      <w:bookmarkEnd w:id="634"/>
      <w:bookmarkEnd w:id="635"/>
      <w:bookmarkEnd w:id="636"/>
      <w:bookmarkEnd w:id="637"/>
    </w:p>
    <w:p w14:paraId="72783D95">
      <w:pPr>
        <w:spacing w:beforeLines="50" w:afterLines="50" w:line="440" w:lineRule="exact"/>
        <w:jc w:val="center"/>
        <w:rPr>
          <w:b/>
          <w:bCs/>
          <w:color w:val="auto"/>
          <w:sz w:val="24"/>
          <w:highlight w:val="none"/>
        </w:rPr>
      </w:pPr>
      <w:r>
        <w:rPr>
          <w:rFonts w:hint="eastAsia"/>
          <w:b/>
          <w:bCs/>
          <w:color w:val="auto"/>
          <w:sz w:val="24"/>
          <w:highlight w:val="none"/>
        </w:rPr>
        <w:t>资信证明文件评审</w:t>
      </w:r>
    </w:p>
    <w:tbl>
      <w:tblPr>
        <w:tblStyle w:val="46"/>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58"/>
        <w:gridCol w:w="6183"/>
        <w:gridCol w:w="1860"/>
      </w:tblGrid>
      <w:tr w14:paraId="4FD2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23" w:type="dxa"/>
            <w:gridSpan w:val="2"/>
            <w:vAlign w:val="center"/>
          </w:tcPr>
          <w:p w14:paraId="4DF95AB3">
            <w:pPr>
              <w:spacing w:line="440" w:lineRule="exact"/>
              <w:jc w:val="center"/>
              <w:rPr>
                <w:rFonts w:ascii="宋体" w:cs="宋体"/>
                <w:b/>
                <w:bCs/>
                <w:color w:val="auto"/>
                <w:szCs w:val="21"/>
                <w:highlight w:val="none"/>
              </w:rPr>
            </w:pPr>
            <w:r>
              <w:rPr>
                <w:rFonts w:hint="eastAsia" w:ascii="宋体" w:hAnsi="宋体" w:cs="宋体"/>
                <w:b/>
                <w:bCs/>
                <w:color w:val="auto"/>
                <w:szCs w:val="21"/>
                <w:highlight w:val="none"/>
              </w:rPr>
              <w:t>序号</w:t>
            </w:r>
          </w:p>
        </w:tc>
        <w:tc>
          <w:tcPr>
            <w:tcW w:w="6183" w:type="dxa"/>
            <w:vAlign w:val="center"/>
          </w:tcPr>
          <w:p w14:paraId="028B8103">
            <w:pPr>
              <w:spacing w:line="440" w:lineRule="exact"/>
              <w:jc w:val="center"/>
              <w:rPr>
                <w:rFonts w:ascii="宋体" w:cs="宋体"/>
                <w:b/>
                <w:bCs/>
                <w:color w:val="auto"/>
                <w:szCs w:val="21"/>
                <w:highlight w:val="none"/>
              </w:rPr>
            </w:pPr>
            <w:r>
              <w:rPr>
                <w:rFonts w:hint="eastAsia" w:ascii="宋体" w:hAnsi="宋体" w:cs="宋体"/>
                <w:b/>
                <w:bCs/>
                <w:color w:val="auto"/>
                <w:szCs w:val="21"/>
                <w:highlight w:val="none"/>
              </w:rPr>
              <w:t>审查内容</w:t>
            </w:r>
          </w:p>
        </w:tc>
        <w:tc>
          <w:tcPr>
            <w:tcW w:w="1860" w:type="dxa"/>
            <w:vAlign w:val="center"/>
          </w:tcPr>
          <w:p w14:paraId="447599F2">
            <w:pPr>
              <w:spacing w:line="440" w:lineRule="exact"/>
              <w:jc w:val="center"/>
              <w:rPr>
                <w:rFonts w:ascii="宋体" w:cs="宋体"/>
                <w:b/>
                <w:bCs/>
                <w:color w:val="auto"/>
                <w:szCs w:val="21"/>
                <w:highlight w:val="none"/>
              </w:rPr>
            </w:pPr>
            <w:r>
              <w:rPr>
                <w:rFonts w:hint="eastAsia" w:ascii="宋体" w:hAnsi="宋体" w:cs="宋体"/>
                <w:b/>
                <w:bCs/>
                <w:color w:val="auto"/>
                <w:szCs w:val="21"/>
                <w:highlight w:val="none"/>
              </w:rPr>
              <w:t>评审标准</w:t>
            </w:r>
          </w:p>
        </w:tc>
      </w:tr>
      <w:tr w14:paraId="47CB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5" w:type="dxa"/>
            <w:vMerge w:val="restart"/>
            <w:vAlign w:val="center"/>
          </w:tcPr>
          <w:p w14:paraId="00967A55">
            <w:pPr>
              <w:spacing w:line="440" w:lineRule="exact"/>
              <w:jc w:val="center"/>
              <w:rPr>
                <w:rFonts w:ascii="宋体" w:cs="宋体"/>
                <w:color w:val="auto"/>
                <w:szCs w:val="21"/>
                <w:highlight w:val="none"/>
              </w:rPr>
            </w:pPr>
            <w:r>
              <w:rPr>
                <w:rFonts w:ascii="宋体" w:hAnsi="宋体" w:cs="宋体"/>
                <w:color w:val="auto"/>
                <w:szCs w:val="21"/>
                <w:highlight w:val="none"/>
              </w:rPr>
              <w:t>1</w:t>
            </w:r>
          </w:p>
        </w:tc>
        <w:tc>
          <w:tcPr>
            <w:tcW w:w="1258" w:type="dxa"/>
            <w:vMerge w:val="restart"/>
            <w:vAlign w:val="center"/>
          </w:tcPr>
          <w:p w14:paraId="294139F2">
            <w:pPr>
              <w:spacing w:line="440" w:lineRule="exact"/>
              <w:jc w:val="center"/>
              <w:rPr>
                <w:rFonts w:ascii="宋体" w:cs="宋体"/>
                <w:b/>
                <w:bCs/>
                <w:color w:val="auto"/>
                <w:szCs w:val="21"/>
                <w:highlight w:val="none"/>
              </w:rPr>
            </w:pPr>
            <w:r>
              <w:rPr>
                <w:rFonts w:hint="eastAsia" w:ascii="宋体" w:hAnsi="宋体" w:cs="宋体"/>
                <w:b/>
                <w:bCs/>
                <w:color w:val="auto"/>
                <w:szCs w:val="21"/>
                <w:highlight w:val="none"/>
              </w:rPr>
              <w:t>审查资料</w:t>
            </w:r>
          </w:p>
        </w:tc>
        <w:tc>
          <w:tcPr>
            <w:tcW w:w="6183" w:type="dxa"/>
            <w:vAlign w:val="center"/>
          </w:tcPr>
          <w:p w14:paraId="4C3BC3E8">
            <w:pPr>
              <w:spacing w:line="440" w:lineRule="exact"/>
              <w:rPr>
                <w:rFonts w:ascii="宋体" w:cs="宋体"/>
                <w:color w:val="auto"/>
                <w:szCs w:val="21"/>
                <w:highlight w:val="none"/>
              </w:rPr>
            </w:pPr>
            <w:r>
              <w:rPr>
                <w:rFonts w:hint="eastAsia" w:ascii="宋体" w:hAnsi="宋体" w:cs="宋体"/>
                <w:color w:val="auto"/>
                <w:szCs w:val="21"/>
                <w:highlight w:val="none"/>
              </w:rPr>
              <w:t>法定代表人身份证明和本人有效身份证</w:t>
            </w:r>
            <w:r>
              <w:rPr>
                <w:rFonts w:ascii="宋体" w:hAnsi="宋体" w:cs="宋体"/>
                <w:color w:val="auto"/>
                <w:szCs w:val="21"/>
                <w:highlight w:val="none"/>
              </w:rPr>
              <w:t>(</w:t>
            </w:r>
            <w:r>
              <w:rPr>
                <w:rFonts w:hint="eastAsia" w:ascii="宋体" w:hAnsi="宋体" w:cs="宋体"/>
                <w:color w:val="auto"/>
                <w:szCs w:val="21"/>
                <w:highlight w:val="none"/>
              </w:rPr>
              <w:t>或法定代表人授权委托书和委托代理人有效身份证</w:t>
            </w:r>
            <w:r>
              <w:rPr>
                <w:rFonts w:ascii="宋体" w:hAnsi="宋体" w:cs="宋体"/>
                <w:color w:val="auto"/>
                <w:szCs w:val="21"/>
                <w:highlight w:val="none"/>
              </w:rPr>
              <w:t>)</w:t>
            </w:r>
          </w:p>
        </w:tc>
        <w:tc>
          <w:tcPr>
            <w:tcW w:w="1860" w:type="dxa"/>
            <w:vAlign w:val="center"/>
          </w:tcPr>
          <w:p w14:paraId="30859D6F">
            <w:pPr>
              <w:spacing w:line="440" w:lineRule="exact"/>
              <w:jc w:val="center"/>
              <w:rPr>
                <w:rFonts w:ascii="宋体" w:cs="宋体"/>
                <w:b/>
                <w:color w:val="auto"/>
                <w:szCs w:val="21"/>
                <w:highlight w:val="none"/>
              </w:rPr>
            </w:pPr>
            <w:r>
              <w:rPr>
                <w:rFonts w:hint="eastAsia" w:ascii="宋体" w:hAnsi="宋体" w:cs="宋体"/>
                <w:b/>
                <w:color w:val="auto"/>
                <w:szCs w:val="21"/>
                <w:highlight w:val="none"/>
              </w:rPr>
              <w:t>检验电子标书</w:t>
            </w:r>
          </w:p>
        </w:tc>
      </w:tr>
      <w:tr w14:paraId="6404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vAlign w:val="center"/>
          </w:tcPr>
          <w:p w14:paraId="270C176A">
            <w:pPr>
              <w:spacing w:line="440" w:lineRule="exact"/>
              <w:jc w:val="center"/>
              <w:rPr>
                <w:rFonts w:ascii="宋体" w:cs="宋体"/>
                <w:color w:val="auto"/>
                <w:szCs w:val="21"/>
                <w:highlight w:val="none"/>
              </w:rPr>
            </w:pPr>
          </w:p>
        </w:tc>
        <w:tc>
          <w:tcPr>
            <w:tcW w:w="1258" w:type="dxa"/>
            <w:vMerge w:val="continue"/>
            <w:vAlign w:val="center"/>
          </w:tcPr>
          <w:p w14:paraId="377C0B16">
            <w:pPr>
              <w:spacing w:line="440" w:lineRule="exact"/>
              <w:jc w:val="center"/>
              <w:rPr>
                <w:rFonts w:ascii="宋体" w:cs="宋体"/>
                <w:b/>
                <w:bCs/>
                <w:color w:val="auto"/>
                <w:szCs w:val="21"/>
                <w:highlight w:val="none"/>
              </w:rPr>
            </w:pPr>
          </w:p>
        </w:tc>
        <w:tc>
          <w:tcPr>
            <w:tcW w:w="6183" w:type="dxa"/>
            <w:vAlign w:val="center"/>
          </w:tcPr>
          <w:p w14:paraId="335DDE5D">
            <w:pPr>
              <w:spacing w:line="440" w:lineRule="exact"/>
              <w:rPr>
                <w:rFonts w:ascii="宋体" w:cs="宋体"/>
                <w:color w:val="auto"/>
                <w:szCs w:val="21"/>
                <w:highlight w:val="none"/>
              </w:rPr>
            </w:pPr>
            <w:r>
              <w:rPr>
                <w:rFonts w:hint="eastAsia" w:ascii="宋体" w:hAnsi="宋体" w:cs="宋体"/>
                <w:color w:val="auto"/>
                <w:szCs w:val="21"/>
                <w:highlight w:val="none"/>
                <w:lang w:eastAsia="zh-CN"/>
              </w:rPr>
              <w:t>诚信投标承诺书（或《公共信用信息报告（无违法违规证明版或核查版）》）（</w:t>
            </w:r>
            <w:r>
              <w:rPr>
                <w:rFonts w:hint="eastAsia" w:ascii="宋体" w:hAnsi="宋体" w:cs="宋体"/>
                <w:color w:val="auto"/>
                <w:szCs w:val="21"/>
                <w:highlight w:val="none"/>
                <w:lang w:val="en-US" w:eastAsia="zh-CN"/>
              </w:rPr>
              <w:t>格式见附件）</w:t>
            </w:r>
          </w:p>
        </w:tc>
        <w:tc>
          <w:tcPr>
            <w:tcW w:w="1860" w:type="dxa"/>
            <w:vMerge w:val="restart"/>
            <w:vAlign w:val="center"/>
          </w:tcPr>
          <w:p w14:paraId="14B1EB12">
            <w:pPr>
              <w:spacing w:line="440" w:lineRule="exact"/>
              <w:jc w:val="center"/>
              <w:rPr>
                <w:rFonts w:ascii="宋体" w:cs="宋体"/>
                <w:b/>
                <w:color w:val="auto"/>
                <w:szCs w:val="21"/>
                <w:highlight w:val="none"/>
              </w:rPr>
            </w:pPr>
            <w:r>
              <w:rPr>
                <w:rFonts w:hint="eastAsia" w:ascii="宋体" w:hAnsi="宋体" w:cs="宋体"/>
                <w:b/>
                <w:color w:val="auto"/>
                <w:szCs w:val="21"/>
                <w:highlight w:val="none"/>
              </w:rPr>
              <w:t>检验电子标书</w:t>
            </w:r>
          </w:p>
        </w:tc>
      </w:tr>
      <w:tr w14:paraId="16FA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vAlign w:val="center"/>
          </w:tcPr>
          <w:p w14:paraId="22BFF33C">
            <w:pPr>
              <w:spacing w:line="440" w:lineRule="exact"/>
              <w:jc w:val="center"/>
              <w:rPr>
                <w:rFonts w:ascii="宋体" w:cs="宋体"/>
                <w:color w:val="auto"/>
                <w:szCs w:val="21"/>
                <w:highlight w:val="none"/>
              </w:rPr>
            </w:pPr>
          </w:p>
        </w:tc>
        <w:tc>
          <w:tcPr>
            <w:tcW w:w="1258" w:type="dxa"/>
            <w:vMerge w:val="continue"/>
            <w:vAlign w:val="center"/>
          </w:tcPr>
          <w:p w14:paraId="51AF5830">
            <w:pPr>
              <w:spacing w:line="440" w:lineRule="exact"/>
              <w:jc w:val="center"/>
              <w:rPr>
                <w:rFonts w:ascii="宋体" w:cs="宋体"/>
                <w:b/>
                <w:bCs/>
                <w:color w:val="auto"/>
                <w:szCs w:val="21"/>
                <w:highlight w:val="none"/>
              </w:rPr>
            </w:pPr>
          </w:p>
        </w:tc>
        <w:tc>
          <w:tcPr>
            <w:tcW w:w="6183" w:type="dxa"/>
            <w:vAlign w:val="center"/>
          </w:tcPr>
          <w:p w14:paraId="078ECA08">
            <w:pPr>
              <w:spacing w:line="440" w:lineRule="exact"/>
              <w:rPr>
                <w:rFonts w:hint="eastAsia" w:ascii="宋体" w:eastAsia="宋体" w:cs="宋体"/>
                <w:color w:val="auto"/>
                <w:szCs w:val="21"/>
                <w:highlight w:val="none"/>
                <w:lang w:eastAsia="zh-CN"/>
              </w:rPr>
            </w:pPr>
            <w:r>
              <w:rPr>
                <w:rFonts w:hint="eastAsia" w:ascii="宋体" w:hAnsi="宋体" w:cs="宋体"/>
                <w:color w:val="auto"/>
                <w:szCs w:val="21"/>
                <w:highlight w:val="none"/>
              </w:rPr>
              <w:t>企业营业执照</w:t>
            </w:r>
          </w:p>
        </w:tc>
        <w:tc>
          <w:tcPr>
            <w:tcW w:w="1860" w:type="dxa"/>
            <w:vMerge w:val="continue"/>
            <w:vAlign w:val="center"/>
          </w:tcPr>
          <w:p w14:paraId="4FA3DC64">
            <w:pPr>
              <w:spacing w:line="440" w:lineRule="exact"/>
              <w:rPr>
                <w:rFonts w:ascii="宋体" w:cs="宋体"/>
                <w:b/>
                <w:color w:val="auto"/>
                <w:szCs w:val="21"/>
                <w:highlight w:val="none"/>
              </w:rPr>
            </w:pPr>
          </w:p>
        </w:tc>
      </w:tr>
      <w:tr w14:paraId="27DC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vAlign w:val="center"/>
          </w:tcPr>
          <w:p w14:paraId="636EEC9A">
            <w:pPr>
              <w:spacing w:line="440" w:lineRule="exact"/>
              <w:jc w:val="center"/>
              <w:rPr>
                <w:rFonts w:ascii="宋体" w:cs="宋体"/>
                <w:color w:val="auto"/>
                <w:szCs w:val="21"/>
                <w:highlight w:val="none"/>
              </w:rPr>
            </w:pPr>
          </w:p>
        </w:tc>
        <w:tc>
          <w:tcPr>
            <w:tcW w:w="1258" w:type="dxa"/>
            <w:vMerge w:val="continue"/>
            <w:vAlign w:val="center"/>
          </w:tcPr>
          <w:p w14:paraId="610A1240">
            <w:pPr>
              <w:spacing w:line="440" w:lineRule="exact"/>
              <w:jc w:val="center"/>
              <w:rPr>
                <w:rFonts w:ascii="宋体" w:cs="宋体"/>
                <w:b/>
                <w:bCs/>
                <w:color w:val="auto"/>
                <w:szCs w:val="21"/>
                <w:highlight w:val="none"/>
              </w:rPr>
            </w:pPr>
          </w:p>
        </w:tc>
        <w:tc>
          <w:tcPr>
            <w:tcW w:w="6183" w:type="dxa"/>
            <w:vAlign w:val="center"/>
          </w:tcPr>
          <w:p w14:paraId="030B3FB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企业资质证书</w:t>
            </w:r>
          </w:p>
        </w:tc>
        <w:tc>
          <w:tcPr>
            <w:tcW w:w="1860" w:type="dxa"/>
            <w:vMerge w:val="continue"/>
            <w:vAlign w:val="center"/>
          </w:tcPr>
          <w:p w14:paraId="52F13B4C">
            <w:pPr>
              <w:spacing w:line="440" w:lineRule="exact"/>
              <w:rPr>
                <w:rFonts w:ascii="宋体" w:cs="宋体"/>
                <w:b/>
                <w:color w:val="auto"/>
                <w:szCs w:val="21"/>
                <w:highlight w:val="none"/>
              </w:rPr>
            </w:pPr>
          </w:p>
        </w:tc>
      </w:tr>
      <w:tr w14:paraId="0A1D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vAlign w:val="center"/>
          </w:tcPr>
          <w:p w14:paraId="7479AB8A">
            <w:pPr>
              <w:spacing w:line="440" w:lineRule="exact"/>
              <w:jc w:val="center"/>
              <w:rPr>
                <w:rFonts w:ascii="宋体" w:cs="宋体"/>
                <w:color w:val="auto"/>
                <w:szCs w:val="21"/>
                <w:highlight w:val="none"/>
              </w:rPr>
            </w:pPr>
          </w:p>
        </w:tc>
        <w:tc>
          <w:tcPr>
            <w:tcW w:w="1258" w:type="dxa"/>
            <w:vMerge w:val="continue"/>
            <w:vAlign w:val="center"/>
          </w:tcPr>
          <w:p w14:paraId="72B908FD">
            <w:pPr>
              <w:spacing w:line="440" w:lineRule="exact"/>
              <w:jc w:val="center"/>
              <w:rPr>
                <w:rFonts w:ascii="宋体" w:cs="宋体"/>
                <w:b/>
                <w:bCs/>
                <w:color w:val="auto"/>
                <w:szCs w:val="21"/>
                <w:highlight w:val="none"/>
              </w:rPr>
            </w:pPr>
          </w:p>
        </w:tc>
        <w:tc>
          <w:tcPr>
            <w:tcW w:w="6183" w:type="dxa"/>
            <w:vAlign w:val="center"/>
          </w:tcPr>
          <w:p w14:paraId="13B2CE5F">
            <w:pPr>
              <w:spacing w:line="440" w:lineRule="exact"/>
              <w:rPr>
                <w:rFonts w:hint="default" w:ascii="宋体" w:eastAsia="宋体" w:cs="宋体"/>
                <w:color w:val="auto"/>
                <w:szCs w:val="21"/>
                <w:highlight w:val="none"/>
                <w:lang w:val="en-US" w:eastAsia="zh-CN"/>
              </w:rPr>
            </w:pPr>
            <w:r>
              <w:rPr>
                <w:rFonts w:hint="eastAsia" w:ascii="宋体" w:hAnsi="宋体" w:cs="宋体"/>
                <w:color w:val="auto"/>
                <w:highlight w:val="none"/>
              </w:rPr>
              <w:t>拟派</w:t>
            </w:r>
            <w:r>
              <w:rPr>
                <w:rFonts w:hint="eastAsia" w:ascii="宋体" w:hAnsi="宋体" w:cs="宋体"/>
                <w:color w:val="auto"/>
                <w:szCs w:val="21"/>
                <w:highlight w:val="none"/>
              </w:rPr>
              <w:t>项目</w:t>
            </w:r>
            <w:r>
              <w:rPr>
                <w:rFonts w:hint="eastAsia" w:ascii="宋体" w:hAnsi="宋体" w:cs="宋体"/>
                <w:color w:val="auto"/>
                <w:szCs w:val="21"/>
                <w:highlight w:val="none"/>
                <w:lang w:val="en-US" w:eastAsia="zh-CN"/>
              </w:rPr>
              <w:t>负责人</w:t>
            </w:r>
            <w:r>
              <w:rPr>
                <w:rFonts w:hint="eastAsia" w:ascii="宋体" w:hAnsi="宋体" w:cs="宋体"/>
                <w:color w:val="auto"/>
                <w:szCs w:val="21"/>
                <w:highlight w:val="none"/>
              </w:rPr>
              <w:t>（总监理工程师）有效</w:t>
            </w:r>
            <w:r>
              <w:rPr>
                <w:rFonts w:hint="eastAsia" w:ascii="宋体" w:hAnsi="宋体" w:cs="宋体"/>
                <w:color w:val="auto"/>
                <w:highlight w:val="none"/>
              </w:rPr>
              <w:t>身份证</w:t>
            </w:r>
            <w:r>
              <w:rPr>
                <w:rFonts w:hint="eastAsia" w:hAnsi="宋体" w:cs="宋体"/>
                <w:color w:val="auto"/>
                <w:szCs w:val="21"/>
                <w:highlight w:val="none"/>
              </w:rPr>
              <w:t>和</w:t>
            </w:r>
            <w:r>
              <w:rPr>
                <w:rFonts w:hint="eastAsia" w:ascii="宋体" w:hAnsi="宋体" w:cs="宋体"/>
                <w:color w:val="auto"/>
                <w:highlight w:val="none"/>
              </w:rPr>
              <w:t>注册证书</w:t>
            </w:r>
          </w:p>
        </w:tc>
        <w:tc>
          <w:tcPr>
            <w:tcW w:w="1860" w:type="dxa"/>
            <w:vMerge w:val="continue"/>
            <w:vAlign w:val="center"/>
          </w:tcPr>
          <w:p w14:paraId="271D6797">
            <w:pPr>
              <w:spacing w:line="440" w:lineRule="exact"/>
              <w:rPr>
                <w:rFonts w:ascii="宋体" w:cs="宋体"/>
                <w:color w:val="auto"/>
                <w:szCs w:val="21"/>
                <w:highlight w:val="none"/>
              </w:rPr>
            </w:pPr>
          </w:p>
        </w:tc>
      </w:tr>
      <w:tr w14:paraId="1FCC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vAlign w:val="center"/>
          </w:tcPr>
          <w:p w14:paraId="130A0F11">
            <w:pPr>
              <w:spacing w:line="440" w:lineRule="exact"/>
              <w:jc w:val="center"/>
              <w:rPr>
                <w:rFonts w:ascii="宋体" w:cs="宋体"/>
                <w:color w:val="auto"/>
                <w:szCs w:val="21"/>
                <w:highlight w:val="none"/>
              </w:rPr>
            </w:pPr>
          </w:p>
        </w:tc>
        <w:tc>
          <w:tcPr>
            <w:tcW w:w="1258" w:type="dxa"/>
            <w:vMerge w:val="continue"/>
            <w:vAlign w:val="center"/>
          </w:tcPr>
          <w:p w14:paraId="338E69D0">
            <w:pPr>
              <w:spacing w:line="440" w:lineRule="exact"/>
              <w:jc w:val="center"/>
              <w:rPr>
                <w:rFonts w:ascii="宋体" w:cs="宋体"/>
                <w:b/>
                <w:bCs/>
                <w:color w:val="auto"/>
                <w:szCs w:val="21"/>
                <w:highlight w:val="none"/>
              </w:rPr>
            </w:pPr>
          </w:p>
        </w:tc>
        <w:tc>
          <w:tcPr>
            <w:tcW w:w="6183" w:type="dxa"/>
            <w:vAlign w:val="center"/>
          </w:tcPr>
          <w:p w14:paraId="3EC2A25D">
            <w:pPr>
              <w:numPr>
                <w:ilvl w:val="0"/>
                <w:numId w:val="0"/>
              </w:numPr>
              <w:spacing w:line="440" w:lineRule="exact"/>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rPr>
              <w:t>拟派的</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负责人（总监理工程师）在本项目所在市行政区域外无在建，在本项目所在市行政区域内不多于两个在建项目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提供承诺函，格式见附件）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如有在建项目，需在建项目</w:t>
            </w:r>
            <w:r>
              <w:rPr>
                <w:rFonts w:hint="eastAsia" w:ascii="宋体" w:hAnsi="宋体" w:eastAsia="宋体" w:cs="宋体"/>
                <w:color w:val="auto"/>
                <w:sz w:val="21"/>
                <w:szCs w:val="21"/>
                <w:highlight w:val="none"/>
                <w:lang w:val="en-US" w:eastAsia="zh-CN"/>
              </w:rPr>
              <w:t>所属</w:t>
            </w:r>
            <w:r>
              <w:rPr>
                <w:rFonts w:hint="eastAsia" w:ascii="宋体" w:hAnsi="宋体" w:eastAsia="宋体" w:cs="宋体"/>
                <w:color w:val="auto"/>
                <w:sz w:val="21"/>
                <w:szCs w:val="21"/>
                <w:highlight w:val="none"/>
              </w:rPr>
              <w:t>建设单位书面同意</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提供建设单位出具的证明材料）</w:t>
            </w:r>
            <w:r>
              <w:rPr>
                <w:rFonts w:hint="eastAsia" w:ascii="宋体" w:hAnsi="宋体" w:cs="宋体"/>
                <w:color w:val="auto"/>
                <w:sz w:val="21"/>
                <w:szCs w:val="21"/>
                <w:highlight w:val="none"/>
                <w:lang w:eastAsia="zh-CN"/>
              </w:rPr>
              <w:t>。</w:t>
            </w:r>
          </w:p>
        </w:tc>
        <w:tc>
          <w:tcPr>
            <w:tcW w:w="1860" w:type="dxa"/>
            <w:vMerge w:val="continue"/>
            <w:vAlign w:val="center"/>
          </w:tcPr>
          <w:p w14:paraId="69F624BA">
            <w:pPr>
              <w:spacing w:line="440" w:lineRule="exact"/>
              <w:rPr>
                <w:rFonts w:ascii="宋体" w:cs="宋体"/>
                <w:color w:val="auto"/>
                <w:szCs w:val="21"/>
                <w:highlight w:val="none"/>
              </w:rPr>
            </w:pPr>
          </w:p>
        </w:tc>
      </w:tr>
      <w:tr w14:paraId="7959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vAlign w:val="center"/>
          </w:tcPr>
          <w:p w14:paraId="47831323">
            <w:pPr>
              <w:spacing w:line="440" w:lineRule="exact"/>
              <w:jc w:val="center"/>
              <w:rPr>
                <w:rFonts w:ascii="宋体" w:cs="宋体"/>
                <w:color w:val="auto"/>
                <w:szCs w:val="21"/>
                <w:highlight w:val="none"/>
              </w:rPr>
            </w:pPr>
          </w:p>
        </w:tc>
        <w:tc>
          <w:tcPr>
            <w:tcW w:w="1258" w:type="dxa"/>
            <w:vMerge w:val="continue"/>
            <w:vAlign w:val="center"/>
          </w:tcPr>
          <w:p w14:paraId="3969D0D9">
            <w:pPr>
              <w:spacing w:line="440" w:lineRule="exact"/>
              <w:jc w:val="center"/>
              <w:rPr>
                <w:rFonts w:ascii="宋体" w:cs="宋体"/>
                <w:b/>
                <w:bCs/>
                <w:color w:val="auto"/>
                <w:szCs w:val="21"/>
                <w:highlight w:val="none"/>
              </w:rPr>
            </w:pPr>
          </w:p>
        </w:tc>
        <w:tc>
          <w:tcPr>
            <w:tcW w:w="6183" w:type="dxa"/>
          </w:tcPr>
          <w:p w14:paraId="3EB7E61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投标人的法定代表人</w:t>
            </w:r>
            <w:r>
              <w:rPr>
                <w:rFonts w:ascii="宋体" w:hAnsi="宋体" w:cs="宋体"/>
                <w:color w:val="auto"/>
                <w:szCs w:val="21"/>
                <w:highlight w:val="none"/>
              </w:rPr>
              <w:t>(</w:t>
            </w:r>
            <w:r>
              <w:rPr>
                <w:rFonts w:hint="eastAsia" w:ascii="宋体" w:hAnsi="宋体" w:cs="宋体"/>
                <w:color w:val="auto"/>
                <w:szCs w:val="21"/>
                <w:highlight w:val="none"/>
              </w:rPr>
              <w:t>或委托代理人</w:t>
            </w:r>
            <w:r>
              <w:rPr>
                <w:rFonts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rPr>
              <w:t>拟任项目</w:t>
            </w:r>
            <w:r>
              <w:rPr>
                <w:rFonts w:hint="eastAsia" w:ascii="宋体" w:hAnsi="宋体" w:cs="宋体"/>
                <w:color w:val="auto"/>
                <w:szCs w:val="21"/>
                <w:highlight w:val="none"/>
                <w:lang w:val="en-US" w:eastAsia="zh-CN"/>
              </w:rPr>
              <w:t>负责人</w:t>
            </w:r>
            <w:r>
              <w:rPr>
                <w:rFonts w:hint="eastAsia" w:ascii="宋体" w:hAnsi="宋体" w:cs="宋体"/>
                <w:color w:val="auto"/>
                <w:szCs w:val="21"/>
                <w:highlight w:val="none"/>
              </w:rPr>
              <w:t>（总监理工程师）</w:t>
            </w:r>
            <w:r>
              <w:rPr>
                <w:rFonts w:hint="eastAsia" w:ascii="宋体" w:hAnsi="宋体" w:cs="宋体"/>
                <w:color w:val="auto"/>
                <w:szCs w:val="21"/>
                <w:highlight w:val="none"/>
                <w:lang w:val="en-US" w:eastAsia="zh-CN"/>
              </w:rPr>
              <w:t>及专业监理工程师</w:t>
            </w:r>
            <w:r>
              <w:rPr>
                <w:rFonts w:hint="eastAsia" w:ascii="宋体" w:hAnsi="宋体" w:cs="宋体"/>
                <w:color w:val="auto"/>
                <w:szCs w:val="21"/>
                <w:highlight w:val="none"/>
              </w:rPr>
              <w:t>须持有社保部门出具的本单位为其缴纳的投标前近</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个月连续的养老保险证明（或官网在线打印件，证明文件两个月内有效）（同一人担任不同公司法定代表人的，该法定代表人参加本项目投标时须提供本人在其他公司任法定代表人的营业执照及为其缴纳养老保险证明材料），投标人是事业单位的，暂未缴纳社保的，须由其主管部门出具证明；</w:t>
            </w:r>
          </w:p>
          <w:p w14:paraId="5BC90748">
            <w:pPr>
              <w:spacing w:line="440" w:lineRule="exact"/>
              <w:rPr>
                <w:rFonts w:hint="default" w:ascii="宋体" w:eastAsia="宋体" w:cs="宋体"/>
                <w:color w:val="auto"/>
                <w:highlight w:val="none"/>
                <w:lang w:val="en-US" w:eastAsia="zh-CN"/>
              </w:rPr>
            </w:pPr>
            <w:r>
              <w:rPr>
                <w:rFonts w:hint="eastAsia" w:ascii="宋体" w:hAnsi="宋体" w:eastAsia="宋体" w:cs="宋体"/>
                <w:b/>
                <w:bCs/>
                <w:color w:val="auto"/>
                <w:szCs w:val="21"/>
                <w:highlight w:val="none"/>
                <w:lang w:val="en-US" w:eastAsia="zh-CN"/>
              </w:rPr>
              <w:t>注：若</w:t>
            </w:r>
            <w:r>
              <w:rPr>
                <w:rFonts w:hint="eastAsia" w:ascii="宋体" w:hAnsi="宋体" w:cs="宋体"/>
                <w:b/>
                <w:bCs/>
                <w:color w:val="auto"/>
                <w:szCs w:val="21"/>
                <w:highlight w:val="none"/>
                <w:lang w:val="en-US" w:eastAsia="zh-CN"/>
              </w:rPr>
              <w:t>有</w:t>
            </w:r>
            <w:r>
              <w:rPr>
                <w:rFonts w:hint="eastAsia" w:ascii="宋体" w:hAnsi="宋体" w:eastAsia="宋体" w:cs="宋体"/>
                <w:b/>
                <w:bCs/>
                <w:color w:val="auto"/>
                <w:szCs w:val="21"/>
                <w:highlight w:val="none"/>
                <w:lang w:val="en-US" w:eastAsia="zh-CN"/>
              </w:rPr>
              <w:t>为退休人员，可</w:t>
            </w:r>
            <w:r>
              <w:rPr>
                <w:rFonts w:hint="eastAsia" w:ascii="宋体" w:hAnsi="宋体" w:cs="宋体"/>
                <w:b/>
                <w:bCs/>
                <w:color w:val="auto"/>
                <w:szCs w:val="21"/>
                <w:highlight w:val="none"/>
                <w:lang w:val="en-US" w:eastAsia="zh-CN"/>
              </w:rPr>
              <w:t>同时</w:t>
            </w:r>
            <w:r>
              <w:rPr>
                <w:rFonts w:hint="eastAsia" w:ascii="宋体" w:hAnsi="宋体" w:eastAsia="宋体" w:cs="宋体"/>
                <w:b/>
                <w:bCs/>
                <w:color w:val="auto"/>
                <w:szCs w:val="21"/>
                <w:highlight w:val="none"/>
                <w:lang w:val="en-US" w:eastAsia="zh-CN"/>
              </w:rPr>
              <w:t>用下列材料代替招标文件要求的养老保险材料;①退休证明材料；②</w:t>
            </w:r>
            <w:r>
              <w:rPr>
                <w:rFonts w:hint="eastAsia" w:ascii="宋体" w:hAnsi="宋体" w:eastAsia="宋体" w:cs="宋体"/>
                <w:b/>
                <w:bCs/>
                <w:color w:val="auto"/>
                <w:kern w:val="2"/>
                <w:sz w:val="21"/>
                <w:szCs w:val="21"/>
                <w:highlight w:val="none"/>
                <w:u w:val="none" w:color="auto"/>
                <w:lang w:val="en-US" w:eastAsia="zh-CN" w:bidi="ar-SA"/>
              </w:rPr>
              <w:t>与投标人签订的聘用（返聘）合同</w:t>
            </w:r>
            <w:r>
              <w:rPr>
                <w:rFonts w:hint="eastAsia" w:ascii="宋体" w:hAnsi="宋体" w:eastAsia="宋体" w:cs="宋体"/>
                <w:b/>
                <w:bCs/>
                <w:color w:val="auto"/>
                <w:szCs w:val="21"/>
                <w:highlight w:val="none"/>
                <w:lang w:val="en-US" w:eastAsia="zh-CN"/>
              </w:rPr>
              <w:t>；③拟派人员社保卡所在银行出具的近三个月连续的退休工资流水；④拟派人员工资卡所在银行出具的最近三个月连续的工资流水和投标单位出具的拟派人员工资表（加盖投标单位公章）</w:t>
            </w:r>
          </w:p>
        </w:tc>
        <w:tc>
          <w:tcPr>
            <w:tcW w:w="1860" w:type="dxa"/>
            <w:vMerge w:val="continue"/>
            <w:vAlign w:val="center"/>
          </w:tcPr>
          <w:p w14:paraId="5D9AB378">
            <w:pPr>
              <w:spacing w:line="440" w:lineRule="exact"/>
              <w:rPr>
                <w:rFonts w:ascii="宋体" w:cs="宋体"/>
                <w:color w:val="auto"/>
                <w:szCs w:val="21"/>
                <w:highlight w:val="none"/>
              </w:rPr>
            </w:pPr>
          </w:p>
        </w:tc>
      </w:tr>
      <w:tr w14:paraId="4944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5" w:type="dxa"/>
            <w:vMerge w:val="continue"/>
            <w:vAlign w:val="center"/>
          </w:tcPr>
          <w:p w14:paraId="2F81D838">
            <w:pPr>
              <w:spacing w:line="440" w:lineRule="exact"/>
              <w:jc w:val="center"/>
              <w:rPr>
                <w:rFonts w:ascii="宋体" w:cs="宋体"/>
                <w:color w:val="auto"/>
                <w:szCs w:val="21"/>
                <w:highlight w:val="none"/>
              </w:rPr>
            </w:pPr>
          </w:p>
        </w:tc>
        <w:tc>
          <w:tcPr>
            <w:tcW w:w="1258" w:type="dxa"/>
            <w:vMerge w:val="continue"/>
            <w:vAlign w:val="center"/>
          </w:tcPr>
          <w:p w14:paraId="11ABEF68">
            <w:pPr>
              <w:spacing w:line="440" w:lineRule="exact"/>
              <w:jc w:val="center"/>
              <w:rPr>
                <w:rFonts w:ascii="宋体" w:cs="宋体"/>
                <w:b/>
                <w:bCs/>
                <w:color w:val="auto"/>
                <w:szCs w:val="21"/>
                <w:highlight w:val="none"/>
              </w:rPr>
            </w:pPr>
          </w:p>
        </w:tc>
        <w:tc>
          <w:tcPr>
            <w:tcW w:w="6183" w:type="dxa"/>
            <w:vAlign w:val="center"/>
          </w:tcPr>
          <w:p w14:paraId="07974D34">
            <w:pPr>
              <w:pStyle w:val="45"/>
              <w:keepNext w:val="0"/>
              <w:keepLines w:val="0"/>
              <w:pageBreakBefore w:val="0"/>
              <w:numPr>
                <w:ilvl w:val="0"/>
                <w:numId w:val="0"/>
              </w:numPr>
              <w:kinsoku/>
              <w:overflowPunct/>
              <w:autoSpaceDE/>
              <w:autoSpaceDN/>
              <w:bidi w:val="0"/>
              <w:spacing w:line="500" w:lineRule="exact"/>
              <w:ind w:leftChars="0"/>
              <w:jc w:val="left"/>
              <w:textAlignment w:val="auto"/>
              <w:rPr>
                <w:rFonts w:hint="default"/>
                <w:color w:val="auto"/>
                <w:highlight w:val="none"/>
                <w:lang w:val="en-US" w:eastAsia="zh-CN"/>
              </w:rPr>
            </w:pPr>
            <w:r>
              <w:rPr>
                <w:rFonts w:hint="eastAsia" w:hAnsi="宋体" w:cs="宋体"/>
                <w:b/>
                <w:bCs/>
                <w:color w:val="auto"/>
                <w:kern w:val="2"/>
                <w:sz w:val="21"/>
                <w:szCs w:val="21"/>
                <w:highlight w:val="none"/>
                <w:lang w:val="en-US" w:eastAsia="zh-CN" w:bidi="ar-SA"/>
              </w:rPr>
              <w:t>监理</w:t>
            </w:r>
            <w:r>
              <w:rPr>
                <w:rFonts w:hint="eastAsia" w:ascii="宋体" w:hAnsi="宋体" w:eastAsia="宋体" w:cs="宋体"/>
                <w:b/>
                <w:bCs/>
                <w:color w:val="auto"/>
                <w:kern w:val="2"/>
                <w:sz w:val="21"/>
                <w:szCs w:val="21"/>
                <w:highlight w:val="none"/>
                <w:lang w:val="en-US" w:eastAsia="zh-CN" w:bidi="ar-SA"/>
              </w:rPr>
              <w:t>机构人员名单</w:t>
            </w:r>
            <w:r>
              <w:rPr>
                <w:rFonts w:hint="eastAsia" w:hAnsi="宋体" w:cs="宋体"/>
                <w:b/>
                <w:bCs/>
                <w:color w:val="auto"/>
                <w:kern w:val="2"/>
                <w:sz w:val="21"/>
                <w:szCs w:val="21"/>
                <w:highlight w:val="none"/>
                <w:lang w:val="en-US" w:eastAsia="zh-CN" w:bidi="ar-SA"/>
              </w:rPr>
              <w:t>表</w:t>
            </w:r>
            <w:r>
              <w:rPr>
                <w:rFonts w:hint="eastAsia" w:ascii="宋体" w:hAnsi="宋体" w:eastAsia="宋体" w:cs="宋体"/>
                <w:b/>
                <w:bCs/>
                <w:color w:val="auto"/>
                <w:kern w:val="2"/>
                <w:sz w:val="21"/>
                <w:szCs w:val="21"/>
                <w:highlight w:val="none"/>
                <w:lang w:val="en-US" w:eastAsia="zh-CN" w:bidi="ar-SA"/>
              </w:rPr>
              <w:t>（格式自拟，须明确岗位并体现姓名、联系方式、身份证号码</w:t>
            </w:r>
            <w:r>
              <w:rPr>
                <w:rFonts w:hint="eastAsia" w:hAnsi="宋体" w:cs="宋体"/>
                <w:b/>
                <w:bCs/>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w:t>
            </w:r>
            <w:r>
              <w:rPr>
                <w:rFonts w:hint="eastAsia" w:hAnsi="宋体" w:cs="宋体"/>
                <w:b/>
                <w:bCs/>
                <w:color w:val="auto"/>
                <w:kern w:val="2"/>
                <w:sz w:val="21"/>
                <w:szCs w:val="21"/>
                <w:highlight w:val="none"/>
                <w:lang w:val="en-US" w:eastAsia="zh-CN" w:bidi="ar-SA"/>
              </w:rPr>
              <w:t>和人员对应证书及持有社保部门出具的本单位为其缴纳的投标前近三个月连续的养老保险证明（或官网在线打印件，证明文件两个月内有效）</w:t>
            </w:r>
          </w:p>
        </w:tc>
        <w:tc>
          <w:tcPr>
            <w:tcW w:w="1860" w:type="dxa"/>
            <w:vMerge w:val="continue"/>
            <w:vAlign w:val="center"/>
          </w:tcPr>
          <w:p w14:paraId="2E4E0464">
            <w:pPr>
              <w:spacing w:line="440" w:lineRule="exact"/>
              <w:rPr>
                <w:rFonts w:ascii="宋体" w:cs="宋体"/>
                <w:color w:val="auto"/>
                <w:szCs w:val="21"/>
                <w:highlight w:val="none"/>
              </w:rPr>
            </w:pPr>
          </w:p>
        </w:tc>
      </w:tr>
      <w:tr w14:paraId="31FA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66" w:type="dxa"/>
            <w:gridSpan w:val="4"/>
            <w:vAlign w:val="center"/>
          </w:tcPr>
          <w:p w14:paraId="3970BB92">
            <w:pPr>
              <w:pStyle w:val="45"/>
              <w:keepNext w:val="0"/>
              <w:keepLines w:val="0"/>
              <w:pageBreakBefore w:val="0"/>
              <w:numPr>
                <w:ilvl w:val="0"/>
                <w:numId w:val="0"/>
              </w:numPr>
              <w:kinsoku/>
              <w:overflowPunct/>
              <w:autoSpaceDE/>
              <w:autoSpaceDN/>
              <w:bidi w:val="0"/>
              <w:spacing w:line="500" w:lineRule="exact"/>
              <w:ind w:leftChars="0"/>
              <w:jc w:val="left"/>
              <w:textAlignment w:val="auto"/>
              <w:rPr>
                <w:rFonts w:hint="eastAsia" w:hAnsi="宋体" w:cs="宋体"/>
                <w:b/>
                <w:bCs/>
                <w:color w:val="auto"/>
                <w:kern w:val="2"/>
                <w:sz w:val="21"/>
                <w:szCs w:val="21"/>
                <w:highlight w:val="none"/>
                <w:lang w:val="en-US" w:eastAsia="zh-CN" w:bidi="ar-SA"/>
              </w:rPr>
            </w:pPr>
            <w:r>
              <w:rPr>
                <w:rFonts w:hint="eastAsia" w:hAnsi="宋体" w:cs="宋体"/>
                <w:b/>
                <w:bCs/>
                <w:color w:val="auto"/>
                <w:kern w:val="2"/>
                <w:sz w:val="21"/>
                <w:szCs w:val="21"/>
                <w:highlight w:val="none"/>
                <w:lang w:val="en-US" w:eastAsia="zh-CN" w:bidi="ar-SA"/>
              </w:rPr>
              <w:t>注：1.监理机构人员中的监理员和见证员无须提供岗位证书。</w:t>
            </w:r>
          </w:p>
          <w:p w14:paraId="53F56E8C">
            <w:pPr>
              <w:pStyle w:val="45"/>
              <w:keepNext w:val="0"/>
              <w:keepLines w:val="0"/>
              <w:pageBreakBefore w:val="0"/>
              <w:numPr>
                <w:ilvl w:val="0"/>
                <w:numId w:val="0"/>
              </w:numPr>
              <w:kinsoku/>
              <w:overflowPunct/>
              <w:autoSpaceDE/>
              <w:autoSpaceDN/>
              <w:bidi w:val="0"/>
              <w:spacing w:line="500" w:lineRule="exact"/>
              <w:ind w:leftChars="0"/>
              <w:jc w:val="left"/>
              <w:textAlignment w:val="auto"/>
              <w:rPr>
                <w:rFonts w:hint="default" w:hAnsi="宋体" w:cs="宋体"/>
                <w:b/>
                <w:bCs/>
                <w:color w:val="auto"/>
                <w:kern w:val="2"/>
                <w:sz w:val="21"/>
                <w:szCs w:val="21"/>
                <w:highlight w:val="none"/>
                <w:lang w:val="en-US" w:eastAsia="zh-CN" w:bidi="ar-SA"/>
              </w:rPr>
            </w:pPr>
            <w:r>
              <w:rPr>
                <w:rFonts w:hint="eastAsia" w:hAnsi="宋体" w:cs="宋体"/>
                <w:b/>
                <w:bCs/>
                <w:color w:val="auto"/>
                <w:kern w:val="2"/>
                <w:sz w:val="21"/>
                <w:szCs w:val="21"/>
                <w:highlight w:val="none"/>
                <w:lang w:val="en-US" w:eastAsia="zh-CN" w:bidi="ar-SA"/>
              </w:rPr>
              <w:t>2.专业监理工程师</w:t>
            </w:r>
            <w:r>
              <w:rPr>
                <w:rFonts w:hint="default" w:hAnsi="宋体" w:cs="宋体"/>
                <w:b/>
                <w:bCs/>
                <w:color w:val="auto"/>
                <w:kern w:val="2"/>
                <w:sz w:val="21"/>
                <w:szCs w:val="21"/>
                <w:highlight w:val="none"/>
                <w:lang w:val="en-US" w:eastAsia="zh-CN" w:bidi="ar-SA"/>
              </w:rPr>
              <w:t>专业以注册专业(或学历专业或职称专业）为准，以学历专业（或职称专业）证明其专业的，还须提供学历证书(或职称证书）。</w:t>
            </w:r>
          </w:p>
          <w:p w14:paraId="1AE2BC8F">
            <w:pPr>
              <w:spacing w:line="440" w:lineRule="exact"/>
              <w:rPr>
                <w:rFonts w:ascii="宋体" w:cs="宋体"/>
                <w:color w:val="auto"/>
                <w:szCs w:val="21"/>
                <w:highlight w:val="none"/>
              </w:rPr>
            </w:pPr>
            <w:r>
              <w:rPr>
                <w:rFonts w:hint="eastAsia" w:hAnsi="宋体" w:cs="宋体"/>
                <w:b/>
                <w:bCs/>
                <w:color w:val="auto"/>
                <w:kern w:val="2"/>
                <w:sz w:val="21"/>
                <w:szCs w:val="21"/>
                <w:highlight w:val="none"/>
                <w:lang w:val="en-US" w:eastAsia="zh-CN" w:bidi="ar-SA"/>
              </w:rPr>
              <w:t>3.</w:t>
            </w:r>
            <w:r>
              <w:rPr>
                <w:rFonts w:hint="default" w:hAnsi="宋体" w:cs="宋体"/>
                <w:b/>
                <w:bCs/>
                <w:color w:val="auto"/>
                <w:kern w:val="2"/>
                <w:sz w:val="21"/>
                <w:szCs w:val="21"/>
                <w:highlight w:val="none"/>
                <w:lang w:val="en-US" w:eastAsia="zh-CN" w:bidi="ar-SA"/>
              </w:rPr>
              <w:t>专业监理工程师可以采用国家级注册监理工程师代替，但其专业应满足上述要求。</w:t>
            </w:r>
          </w:p>
        </w:tc>
      </w:tr>
    </w:tbl>
    <w:p w14:paraId="61B64840">
      <w:pPr>
        <w:spacing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重要提示：</w:t>
      </w:r>
    </w:p>
    <w:p w14:paraId="18893447">
      <w:pPr>
        <w:spacing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1</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资格审查材料可以选择①上传到安徽省公共资源交易市场主体库中，制作投标文件时插上CA数字证书，从安徽省公共资源交易市场主体库中挑选相关材料，或按招标文件要求上传至指定位置；若所需材料无对应栏目，则将该材料上传至“其他所需材料”里，做电子投标文件时从“其他所需材料”里获取。请各投标人自行完善安徽省公共资源交易市场主体库中的单位信息，保证信息最新且有效。②或使用国家企业信用信息公示系统和全国建筑市场监管公共服务平台接口获取营业执照、建设工程相关证书等政务数据，投标人自行核验政务数据的准确性，对引用的政务数据承担责任。</w:t>
      </w:r>
    </w:p>
    <w:p w14:paraId="402BF352">
      <w:pPr>
        <w:spacing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2</w:t>
      </w:r>
      <w:r>
        <w:rPr>
          <w:rFonts w:hint="eastAsia" w:ascii="宋体" w:hAnsi="宋体" w:cs="宋体"/>
          <w:b/>
          <w:bCs/>
          <w:color w:val="auto"/>
          <w:szCs w:val="21"/>
          <w:highlight w:val="none"/>
        </w:rPr>
        <w:t>）评标专家在检验电子标书过程中，如果由于投标人自身原因导致评标专家无法查看并检验电子标书中以上相关资料的，视为无效标处理</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即使投标人将原件携带至现场的，同样按无效标处理。</w:t>
      </w:r>
    </w:p>
    <w:p w14:paraId="24B60547">
      <w:pPr>
        <w:pStyle w:val="4"/>
        <w:spacing w:beforeLines="50" w:afterLines="50"/>
        <w:ind w:firstLine="422" w:firstLineChars="200"/>
        <w:rPr>
          <w:rFonts w:ascii="宋体" w:hAnsi="宋体" w:eastAsia="宋体" w:cs="宋体"/>
          <w:color w:val="auto"/>
          <w:highlight w:val="none"/>
        </w:rPr>
      </w:pPr>
      <w:bookmarkStart w:id="638" w:name="_Toc27127"/>
      <w:bookmarkStart w:id="639" w:name="_Toc35425107"/>
      <w:bookmarkStart w:id="640" w:name="_Toc506107319"/>
      <w:bookmarkStart w:id="641" w:name="_Toc324404866"/>
      <w:bookmarkStart w:id="642" w:name="_Toc15058904"/>
      <w:bookmarkStart w:id="643" w:name="_Toc35424941"/>
      <w:r>
        <w:rPr>
          <w:rFonts w:ascii="宋体" w:hAnsi="宋体" w:eastAsia="宋体" w:cs="宋体"/>
          <w:color w:val="auto"/>
          <w:highlight w:val="none"/>
        </w:rPr>
        <w:t>1.</w:t>
      </w:r>
      <w:r>
        <w:rPr>
          <w:rFonts w:hint="eastAsia" w:ascii="宋体" w:hAnsi="宋体" w:eastAsia="宋体" w:cs="宋体"/>
          <w:color w:val="auto"/>
          <w:highlight w:val="none"/>
        </w:rPr>
        <w:t>审查资料</w:t>
      </w:r>
      <w:bookmarkEnd w:id="638"/>
      <w:bookmarkEnd w:id="639"/>
      <w:bookmarkEnd w:id="640"/>
      <w:bookmarkEnd w:id="641"/>
      <w:bookmarkEnd w:id="642"/>
      <w:bookmarkEnd w:id="643"/>
    </w:p>
    <w:p w14:paraId="7C989525">
      <w:pPr>
        <w:spacing w:line="440" w:lineRule="exact"/>
        <w:ind w:firstLine="420" w:firstLineChars="200"/>
        <w:jc w:val="left"/>
        <w:rPr>
          <w:rFonts w:ascii="宋体" w:cs="宋体"/>
          <w:color w:val="auto"/>
          <w:szCs w:val="21"/>
          <w:highlight w:val="none"/>
        </w:rPr>
      </w:pPr>
      <w:bookmarkStart w:id="644" w:name="_Toc15058905"/>
      <w:bookmarkStart w:id="645" w:name="_Toc324404867"/>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）法定代表人身份证明和本人有效身份证</w:t>
      </w:r>
      <w:r>
        <w:rPr>
          <w:rFonts w:ascii="宋体" w:hAnsi="宋体" w:cs="宋体"/>
          <w:color w:val="auto"/>
          <w:szCs w:val="21"/>
          <w:highlight w:val="none"/>
        </w:rPr>
        <w:t>(</w:t>
      </w:r>
      <w:r>
        <w:rPr>
          <w:rFonts w:hint="eastAsia" w:ascii="宋体" w:hAnsi="宋体" w:cs="宋体"/>
          <w:color w:val="auto"/>
          <w:szCs w:val="21"/>
          <w:highlight w:val="none"/>
        </w:rPr>
        <w:t>或法定代表人授权委托书和委托代理人有效身份证</w:t>
      </w:r>
      <w:r>
        <w:rPr>
          <w:rFonts w:ascii="宋体" w:hAnsi="宋体" w:cs="宋体"/>
          <w:color w:val="auto"/>
          <w:szCs w:val="21"/>
          <w:highlight w:val="none"/>
        </w:rPr>
        <w:t>)</w:t>
      </w:r>
      <w:r>
        <w:rPr>
          <w:rFonts w:hint="eastAsia" w:ascii="宋体" w:hAnsi="宋体" w:cs="宋体"/>
          <w:color w:val="auto"/>
          <w:szCs w:val="21"/>
          <w:highlight w:val="none"/>
        </w:rPr>
        <w:t>；</w:t>
      </w:r>
    </w:p>
    <w:p w14:paraId="32B81BBA">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w:t>
      </w:r>
      <w:r>
        <w:rPr>
          <w:rFonts w:hint="eastAsia" w:ascii="宋体" w:cs="宋体"/>
          <w:color w:val="auto"/>
          <w:szCs w:val="21"/>
          <w:highlight w:val="none"/>
        </w:rPr>
        <w:t>诚信投标承诺书（或《公共信用信息报告（无违法违规证明版</w:t>
      </w:r>
      <w:r>
        <w:rPr>
          <w:rFonts w:hint="eastAsia" w:ascii="宋体" w:cs="宋体"/>
          <w:color w:val="auto"/>
          <w:szCs w:val="21"/>
          <w:highlight w:val="none"/>
          <w:lang w:val="en-US" w:eastAsia="zh-CN"/>
        </w:rPr>
        <w:t>或核查版</w:t>
      </w:r>
      <w:r>
        <w:rPr>
          <w:rFonts w:hint="eastAsia" w:asci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格式见附件）</w:t>
      </w:r>
      <w:r>
        <w:rPr>
          <w:rFonts w:hint="eastAsia" w:ascii="宋体" w:hAnsi="宋体" w:cs="宋体"/>
          <w:color w:val="auto"/>
          <w:szCs w:val="21"/>
          <w:highlight w:val="none"/>
        </w:rPr>
        <w:t>；</w:t>
      </w:r>
    </w:p>
    <w:p w14:paraId="4B03D957">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）企业营业执照；</w:t>
      </w:r>
    </w:p>
    <w:p w14:paraId="0D617214">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w:t>
      </w:r>
      <w:r>
        <w:rPr>
          <w:rFonts w:hint="eastAsia" w:ascii="宋体" w:hAnsi="宋体" w:cs="宋体"/>
          <w:color w:val="auto"/>
          <w:szCs w:val="21"/>
          <w:highlight w:val="none"/>
        </w:rPr>
        <w:t>企业资质证书</w:t>
      </w:r>
      <w:r>
        <w:rPr>
          <w:rFonts w:hint="eastAsia" w:ascii="宋体" w:hAnsi="宋体" w:cs="宋体"/>
          <w:color w:val="auto"/>
          <w:highlight w:val="none"/>
        </w:rPr>
        <w:t>；</w:t>
      </w:r>
    </w:p>
    <w:p w14:paraId="383179DD">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）拟派</w:t>
      </w:r>
      <w:r>
        <w:rPr>
          <w:rFonts w:hint="eastAsia" w:ascii="宋体" w:hAnsi="宋体" w:cs="宋体"/>
          <w:color w:val="auto"/>
          <w:szCs w:val="21"/>
          <w:highlight w:val="none"/>
        </w:rPr>
        <w:t>项目</w:t>
      </w:r>
      <w:r>
        <w:rPr>
          <w:rFonts w:hint="eastAsia" w:ascii="宋体" w:hAnsi="宋体" w:cs="宋体"/>
          <w:color w:val="auto"/>
          <w:szCs w:val="21"/>
          <w:highlight w:val="none"/>
          <w:lang w:val="en-US" w:eastAsia="zh-CN"/>
        </w:rPr>
        <w:t>负责人</w:t>
      </w:r>
      <w:r>
        <w:rPr>
          <w:rFonts w:hint="eastAsia" w:ascii="宋体" w:hAnsi="宋体" w:cs="宋体"/>
          <w:color w:val="auto"/>
          <w:szCs w:val="21"/>
          <w:highlight w:val="none"/>
        </w:rPr>
        <w:t>（总监理工程师）有效</w:t>
      </w:r>
      <w:r>
        <w:rPr>
          <w:rFonts w:hint="eastAsia" w:ascii="宋体" w:hAnsi="宋体" w:cs="宋体"/>
          <w:color w:val="auto"/>
          <w:highlight w:val="none"/>
        </w:rPr>
        <w:t>身份证</w:t>
      </w:r>
      <w:r>
        <w:rPr>
          <w:rFonts w:hint="eastAsia" w:hAnsi="宋体" w:cs="宋体"/>
          <w:color w:val="auto"/>
          <w:szCs w:val="21"/>
          <w:highlight w:val="none"/>
        </w:rPr>
        <w:t>和</w:t>
      </w:r>
      <w:r>
        <w:rPr>
          <w:rFonts w:hint="eastAsia" w:ascii="宋体" w:hAnsi="宋体" w:cs="宋体"/>
          <w:color w:val="auto"/>
          <w:highlight w:val="none"/>
        </w:rPr>
        <w:t>注册证书；</w:t>
      </w:r>
    </w:p>
    <w:p w14:paraId="3CB751F6">
      <w:pPr>
        <w:spacing w:line="440" w:lineRule="exact"/>
        <w:ind w:firstLine="420" w:firstLineChars="200"/>
        <w:jc w:val="left"/>
        <w:rPr>
          <w:rFonts w:hint="eastAsia" w:asci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eastAsia="宋体" w:cs="宋体"/>
          <w:color w:val="auto"/>
          <w:sz w:val="21"/>
          <w:szCs w:val="21"/>
          <w:highlight w:val="none"/>
        </w:rPr>
        <w:t>拟派的</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负责人（总监理工程师）在本项目所在市行政区域外无在建，在本项目所在市行政区域内不多于两个在建项目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提供承诺函，格式见附件）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如有在建项目，需在建项目</w:t>
      </w:r>
      <w:r>
        <w:rPr>
          <w:rFonts w:hint="eastAsia" w:ascii="宋体" w:hAnsi="宋体" w:eastAsia="宋体" w:cs="宋体"/>
          <w:color w:val="auto"/>
          <w:sz w:val="21"/>
          <w:szCs w:val="21"/>
          <w:highlight w:val="none"/>
          <w:lang w:val="en-US" w:eastAsia="zh-CN"/>
        </w:rPr>
        <w:t>所属</w:t>
      </w:r>
      <w:r>
        <w:rPr>
          <w:rFonts w:hint="eastAsia" w:ascii="宋体" w:hAnsi="宋体" w:eastAsia="宋体" w:cs="宋体"/>
          <w:color w:val="auto"/>
          <w:sz w:val="21"/>
          <w:szCs w:val="21"/>
          <w:highlight w:val="none"/>
        </w:rPr>
        <w:t>建设单位书面同意</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提供建设单位出具的证明材料）</w:t>
      </w:r>
      <w:r>
        <w:rPr>
          <w:rFonts w:hint="eastAsia" w:ascii="宋体" w:hAnsi="宋体" w:cs="宋体"/>
          <w:color w:val="auto"/>
          <w:szCs w:val="21"/>
          <w:highlight w:val="none"/>
          <w:lang w:eastAsia="zh-CN"/>
        </w:rPr>
        <w:t>；</w:t>
      </w:r>
    </w:p>
    <w:p w14:paraId="25C35FA6">
      <w:pPr>
        <w:spacing w:line="440" w:lineRule="exact"/>
        <w:ind w:firstLine="420" w:firstLineChars="200"/>
        <w:jc w:val="left"/>
        <w:rPr>
          <w:rFonts w:ascii="宋体" w:cs="宋体"/>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）投标人的法定代表人</w:t>
      </w:r>
      <w:r>
        <w:rPr>
          <w:rFonts w:ascii="宋体" w:hAnsi="宋体" w:cs="宋体"/>
          <w:color w:val="auto"/>
          <w:szCs w:val="21"/>
          <w:highlight w:val="none"/>
        </w:rPr>
        <w:t>(</w:t>
      </w:r>
      <w:r>
        <w:rPr>
          <w:rFonts w:hint="eastAsia" w:ascii="宋体" w:hAnsi="宋体" w:cs="宋体"/>
          <w:color w:val="auto"/>
          <w:szCs w:val="21"/>
          <w:highlight w:val="none"/>
        </w:rPr>
        <w:t>或委托代理人</w:t>
      </w:r>
      <w:r>
        <w:rPr>
          <w:rFonts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rPr>
        <w:t>拟任项目</w:t>
      </w:r>
      <w:r>
        <w:rPr>
          <w:rFonts w:hint="eastAsia" w:ascii="宋体" w:hAnsi="宋体" w:cs="宋体"/>
          <w:color w:val="auto"/>
          <w:szCs w:val="21"/>
          <w:highlight w:val="none"/>
          <w:lang w:val="en-US" w:eastAsia="zh-CN"/>
        </w:rPr>
        <w:t>负责人</w:t>
      </w:r>
      <w:r>
        <w:rPr>
          <w:rFonts w:hint="eastAsia" w:ascii="宋体" w:hAnsi="宋体" w:cs="宋体"/>
          <w:color w:val="auto"/>
          <w:szCs w:val="21"/>
          <w:highlight w:val="none"/>
        </w:rPr>
        <w:t>（总监理工程师）</w:t>
      </w:r>
      <w:r>
        <w:rPr>
          <w:rFonts w:hint="eastAsia" w:ascii="宋体" w:hAnsi="宋体" w:cs="宋体"/>
          <w:color w:val="auto"/>
          <w:szCs w:val="21"/>
          <w:highlight w:val="none"/>
          <w:lang w:val="en-US" w:eastAsia="zh-CN"/>
        </w:rPr>
        <w:t>及专业监理工程师</w:t>
      </w:r>
      <w:r>
        <w:rPr>
          <w:rFonts w:hint="eastAsia" w:ascii="宋体" w:hAnsi="宋体" w:cs="宋体"/>
          <w:color w:val="auto"/>
          <w:szCs w:val="21"/>
          <w:highlight w:val="none"/>
        </w:rPr>
        <w:t>须持有社保部门出具的本单位为其缴纳的投标前近</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个月连续的养老保险证明（或官网在线打印件，证明文件两个月内有效）（同一人担任不同公司法定代表人的，该法定代表人参加本项目投标时须提供本人在其他公司任法定代表人的营业执照及为其缴纳养老保险证明材料），投标人是事业单位的，暂未缴纳社保的，须由其主管部门出具证明；</w:t>
      </w:r>
    </w:p>
    <w:p w14:paraId="0D7E563C">
      <w:pPr>
        <w:spacing w:line="440" w:lineRule="exact"/>
        <w:ind w:firstLine="420" w:firstLineChars="200"/>
        <w:jc w:val="left"/>
        <w:rPr>
          <w:rFonts w:hint="default" w:ascii="宋体" w:hAnsi="宋体" w:eastAsia="宋体" w:cs="宋体"/>
          <w:color w:val="auto"/>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8）监理机构人员名单表（格式自拟，须明确岗位并体现姓名、联系方式、身份证号码；）和人员对应证书及持有社保部门出具的本单位为其缴纳的投标前近三个月连续的养老保险证明（或官网在线打印件，证明文件两个月内有效）</w:t>
      </w:r>
    </w:p>
    <w:p w14:paraId="619CDD14">
      <w:pPr>
        <w:spacing w:line="440" w:lineRule="exact"/>
        <w:ind w:firstLine="422" w:firstLineChars="200"/>
        <w:jc w:val="left"/>
        <w:rPr>
          <w:rFonts w:ascii="宋体" w:cs="宋体"/>
          <w:b/>
          <w:bCs/>
          <w:color w:val="auto"/>
          <w:highlight w:val="none"/>
        </w:rPr>
      </w:pPr>
      <w:r>
        <w:rPr>
          <w:rFonts w:hint="eastAsia" w:ascii="宋体" w:hAnsi="宋体" w:cs="宋体"/>
          <w:b/>
          <w:bCs/>
          <w:color w:val="auto"/>
          <w:highlight w:val="none"/>
        </w:rPr>
        <w:t>温馨提示：</w:t>
      </w:r>
      <w:bookmarkEnd w:id="644"/>
    </w:p>
    <w:p w14:paraId="58FDE307">
      <w:pPr>
        <w:spacing w:line="440" w:lineRule="exact"/>
        <w:ind w:firstLine="420" w:firstLineChars="200"/>
        <w:jc w:val="left"/>
        <w:rPr>
          <w:rFonts w:hint="eastAsia" w:ascii="宋体" w:cs="宋体"/>
          <w:b w:val="0"/>
          <w:bCs w:val="0"/>
          <w:color w:val="auto"/>
          <w:highlight w:val="none"/>
        </w:rPr>
      </w:pPr>
      <w:bookmarkStart w:id="646" w:name="_Toc58229031"/>
      <w:bookmarkStart w:id="647" w:name="_Toc15058906"/>
      <w:r>
        <w:rPr>
          <w:rFonts w:hint="eastAsia" w:ascii="宋体" w:cs="宋体"/>
          <w:b w:val="0"/>
          <w:bCs w:val="0"/>
          <w:color w:val="auto"/>
          <w:highlight w:val="none"/>
        </w:rPr>
        <w:t>（1）</w:t>
      </w:r>
      <w:bookmarkEnd w:id="646"/>
      <w:bookmarkEnd w:id="647"/>
      <w:bookmarkStart w:id="648" w:name="_Toc15058907"/>
      <w:bookmarkStart w:id="649" w:name="_Toc58229032"/>
      <w:r>
        <w:rPr>
          <w:rFonts w:hint="eastAsia" w:ascii="宋体" w:cs="宋体"/>
          <w:b w:val="0"/>
          <w:bCs w:val="0"/>
          <w:color w:val="auto"/>
          <w:highlight w:val="none"/>
        </w:rPr>
        <w:t>请各投标人自行完善安徽省公共资源交易市场主体库中的单位基本信息，保证信息最新且有效。</w:t>
      </w:r>
    </w:p>
    <w:p w14:paraId="097F67A1">
      <w:pPr>
        <w:spacing w:line="440" w:lineRule="exact"/>
        <w:ind w:firstLine="420" w:firstLineChars="200"/>
        <w:jc w:val="left"/>
        <w:rPr>
          <w:rFonts w:ascii="宋体" w:cs="宋体"/>
          <w:b w:val="0"/>
          <w:bCs w:val="0"/>
          <w:color w:val="auto"/>
          <w:highlight w:val="none"/>
        </w:rPr>
      </w:pPr>
      <w:r>
        <w:rPr>
          <w:rFonts w:hint="eastAsia" w:ascii="宋体" w:cs="宋体"/>
          <w:b w:val="0"/>
          <w:bCs w:val="0"/>
          <w:color w:val="auto"/>
          <w:highlight w:val="none"/>
        </w:rPr>
        <w:t>（2）请投标人认真准备投标文件资格审查资料,如评标专家在检验电子标书过程中，如果由于投标人自身原因导致评标专家无法查看并检验电子标书中相关资料的，视为无效标处理。即使投标人将原件携带至现场的，同样按无效标处理。</w:t>
      </w:r>
      <w:bookmarkEnd w:id="648"/>
      <w:bookmarkEnd w:id="649"/>
    </w:p>
    <w:p w14:paraId="31A8E14D">
      <w:pPr>
        <w:pStyle w:val="4"/>
        <w:spacing w:beforeLines="50" w:afterLines="50"/>
        <w:ind w:firstLine="422" w:firstLineChars="200"/>
        <w:rPr>
          <w:rFonts w:ascii="宋体" w:hAnsi="宋体" w:eastAsia="宋体" w:cs="宋体"/>
          <w:color w:val="auto"/>
          <w:highlight w:val="none"/>
        </w:rPr>
      </w:pPr>
      <w:bookmarkStart w:id="650" w:name="_Toc35424942"/>
      <w:bookmarkStart w:id="651" w:name="_Toc12549"/>
      <w:bookmarkStart w:id="652" w:name="_Toc35425108"/>
      <w:bookmarkStart w:id="653" w:name="_Toc15058909"/>
      <w:bookmarkStart w:id="654" w:name="_Toc506107320"/>
      <w:r>
        <w:rPr>
          <w:rFonts w:ascii="宋体" w:hAnsi="宋体" w:eastAsia="宋体" w:cs="宋体"/>
          <w:color w:val="auto"/>
          <w:highlight w:val="none"/>
        </w:rPr>
        <w:t>2.</w:t>
      </w:r>
      <w:r>
        <w:rPr>
          <w:rFonts w:hint="eastAsia" w:ascii="宋体" w:hAnsi="宋体" w:eastAsia="宋体" w:cs="宋体"/>
          <w:color w:val="auto"/>
          <w:highlight w:val="none"/>
        </w:rPr>
        <w:t>审查办法</w:t>
      </w:r>
      <w:bookmarkEnd w:id="645"/>
      <w:bookmarkEnd w:id="650"/>
      <w:bookmarkEnd w:id="651"/>
      <w:bookmarkEnd w:id="652"/>
      <w:bookmarkEnd w:id="653"/>
      <w:bookmarkEnd w:id="654"/>
    </w:p>
    <w:p w14:paraId="01160ECB">
      <w:pPr>
        <w:pStyle w:val="4"/>
        <w:spacing w:beforeLines="50" w:afterLines="50"/>
        <w:ind w:firstLine="420" w:firstLineChars="200"/>
        <w:rPr>
          <w:rFonts w:hint="eastAsia" w:ascii="宋体" w:hAnsi="宋体" w:eastAsia="宋体" w:cs="宋体"/>
          <w:b w:val="0"/>
          <w:bCs w:val="0"/>
          <w:color w:val="auto"/>
          <w:kern w:val="2"/>
          <w:sz w:val="21"/>
          <w:szCs w:val="21"/>
          <w:highlight w:val="none"/>
          <w:lang w:val="en-US" w:eastAsia="zh-CN" w:bidi="ar-SA"/>
        </w:rPr>
      </w:pPr>
      <w:bookmarkStart w:id="655" w:name="_Toc35425109"/>
      <w:bookmarkStart w:id="656" w:name="_Toc324404868"/>
      <w:bookmarkStart w:id="657" w:name="_Toc15058910"/>
      <w:bookmarkStart w:id="658" w:name="_Toc15626"/>
      <w:bookmarkStart w:id="659" w:name="_Toc35424943"/>
      <w:bookmarkStart w:id="660" w:name="_Toc506107321"/>
      <w:r>
        <w:rPr>
          <w:rFonts w:hint="eastAsia" w:ascii="宋体" w:hAnsi="宋体" w:eastAsia="宋体" w:cs="宋体"/>
          <w:b w:val="0"/>
          <w:bCs w:val="0"/>
          <w:color w:val="auto"/>
          <w:kern w:val="2"/>
          <w:sz w:val="21"/>
          <w:szCs w:val="21"/>
          <w:highlight w:val="none"/>
          <w:lang w:val="en-US" w:eastAsia="zh-CN" w:bidi="ar-SA"/>
        </w:rPr>
        <w:t>由资格审查委员会（评标委员会）按资格审查办法前附表中资格审查必要合格条件评审表要求对投标人审查资料进行核验。</w:t>
      </w:r>
    </w:p>
    <w:p w14:paraId="54205707">
      <w:pPr>
        <w:pStyle w:val="4"/>
        <w:spacing w:beforeLines="50" w:afterLines="50"/>
        <w:ind w:firstLine="422" w:firstLineChars="200"/>
        <w:rPr>
          <w:rFonts w:ascii="宋体" w:hAnsi="宋体" w:eastAsia="宋体" w:cs="宋体"/>
          <w:color w:val="auto"/>
          <w:highlight w:val="none"/>
        </w:rPr>
      </w:pPr>
      <w:r>
        <w:rPr>
          <w:rFonts w:ascii="宋体" w:hAnsi="宋体" w:eastAsia="宋体" w:cs="宋体"/>
          <w:color w:val="auto"/>
          <w:highlight w:val="none"/>
        </w:rPr>
        <w:t>3.</w:t>
      </w:r>
      <w:r>
        <w:rPr>
          <w:rFonts w:hint="eastAsia" w:ascii="宋体" w:hAnsi="宋体" w:eastAsia="宋体" w:cs="宋体"/>
          <w:color w:val="auto"/>
          <w:highlight w:val="none"/>
        </w:rPr>
        <w:t>资格审查委员会和审查标准</w:t>
      </w:r>
      <w:bookmarkEnd w:id="655"/>
      <w:bookmarkEnd w:id="656"/>
      <w:bookmarkEnd w:id="657"/>
      <w:bookmarkEnd w:id="658"/>
      <w:bookmarkEnd w:id="659"/>
      <w:bookmarkEnd w:id="660"/>
    </w:p>
    <w:p w14:paraId="7E00516D">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bookmarkStart w:id="661" w:name="_Toc506107322"/>
      <w:bookmarkStart w:id="662" w:name="_Toc324404869"/>
      <w:bookmarkStart w:id="663" w:name="_Toc15058911"/>
      <w:bookmarkStart w:id="664" w:name="_Toc35425110"/>
      <w:bookmarkStart w:id="665" w:name="_Toc35424944"/>
      <w:bookmarkStart w:id="666" w:name="_Toc10330"/>
      <w:r>
        <w:rPr>
          <w:rFonts w:hint="eastAsia" w:ascii="宋体" w:hAnsi="宋体" w:eastAsia="宋体" w:cs="宋体"/>
          <w:b w:val="0"/>
          <w:bCs w:val="0"/>
          <w:color w:val="auto"/>
          <w:kern w:val="2"/>
          <w:sz w:val="21"/>
          <w:szCs w:val="21"/>
          <w:highlight w:val="none"/>
          <w:lang w:val="en-US" w:eastAsia="zh-CN" w:bidi="ar-SA"/>
        </w:rPr>
        <w:t>3.1资格审查由招标人依法组建的资格审查委员会（或评标委员会）负责。审查标准见资格审查办法前附表。</w:t>
      </w:r>
    </w:p>
    <w:p w14:paraId="106C1FE7">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3.2由资格审查委员会（评标委员会）按资格审查办法前附表要求对投标人的审查资料进行核验。投标申请人有下列情形之一的，其资格审查为不合格： </w:t>
      </w:r>
    </w:p>
    <w:p w14:paraId="4D8DFDD6">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（1）未上传电子标书或电子标书经审查不合格；</w:t>
      </w:r>
    </w:p>
    <w:p w14:paraId="3386923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（2）联合体投标人没有提交联合体协议书；</w:t>
      </w:r>
    </w:p>
    <w:p w14:paraId="190A24E5">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（3）保证金不按第</w:t>
      </w:r>
      <w:r>
        <w:rPr>
          <w:rFonts w:hint="eastAsia" w:ascii="宋体" w:hAnsi="宋体" w:cs="宋体"/>
          <w:b w:val="0"/>
          <w:bCs w:val="0"/>
          <w:color w:val="auto"/>
          <w:kern w:val="2"/>
          <w:sz w:val="21"/>
          <w:szCs w:val="21"/>
          <w:highlight w:val="none"/>
          <w:lang w:val="en-US" w:eastAsia="zh-CN" w:bidi="ar-SA"/>
        </w:rPr>
        <w:t>一</w:t>
      </w:r>
      <w:r>
        <w:rPr>
          <w:rFonts w:hint="eastAsia" w:ascii="宋体" w:hAnsi="宋体" w:eastAsia="宋体" w:cs="宋体"/>
          <w:b w:val="0"/>
          <w:bCs w:val="0"/>
          <w:color w:val="auto"/>
          <w:kern w:val="2"/>
          <w:sz w:val="21"/>
          <w:szCs w:val="21"/>
          <w:highlight w:val="none"/>
          <w:lang w:val="en-US" w:eastAsia="zh-CN" w:bidi="ar-SA"/>
        </w:rPr>
        <w:t xml:space="preserve">章“投标人须知”及其前附表要求提交投标保证金的； </w:t>
      </w:r>
    </w:p>
    <w:p w14:paraId="06604FE3">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（4）投标人未办理省主体库登记入库手续的；</w:t>
      </w:r>
    </w:p>
    <w:p w14:paraId="53FACE3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（5）投标人投标 MAC 地址一致的；</w:t>
      </w:r>
    </w:p>
    <w:p w14:paraId="0C634D54">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（6）投标人申请开具电子保函 MAC 地址一致的；</w:t>
      </w:r>
    </w:p>
    <w:p w14:paraId="0C73B26B">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（7）投标人投标文件制作机器码、文件创建标识码及造价软件加密锁号信息雷同的；</w:t>
      </w:r>
    </w:p>
    <w:p w14:paraId="39392596">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（8）法律、法规规定的其他情形。</w:t>
      </w:r>
    </w:p>
    <w:p w14:paraId="7D172CE1">
      <w:pPr>
        <w:pStyle w:val="4"/>
        <w:spacing w:beforeLines="50" w:afterLines="50"/>
        <w:ind w:firstLine="422" w:firstLineChars="200"/>
        <w:rPr>
          <w:rFonts w:ascii="宋体" w:hAnsi="宋体" w:eastAsia="宋体" w:cs="宋体"/>
          <w:color w:val="auto"/>
          <w:highlight w:val="none"/>
        </w:rPr>
      </w:pPr>
      <w:r>
        <w:rPr>
          <w:rFonts w:ascii="宋体" w:hAnsi="宋体" w:eastAsia="宋体" w:cs="宋体"/>
          <w:color w:val="auto"/>
          <w:highlight w:val="none"/>
        </w:rPr>
        <w:t>4.</w:t>
      </w:r>
      <w:r>
        <w:rPr>
          <w:rFonts w:hint="eastAsia" w:ascii="宋体" w:hAnsi="宋体" w:eastAsia="宋体" w:cs="宋体"/>
          <w:color w:val="auto"/>
          <w:highlight w:val="none"/>
        </w:rPr>
        <w:t>审查结果</w:t>
      </w:r>
      <w:bookmarkEnd w:id="661"/>
      <w:bookmarkEnd w:id="662"/>
      <w:bookmarkEnd w:id="663"/>
      <w:bookmarkEnd w:id="664"/>
      <w:bookmarkEnd w:id="665"/>
      <w:bookmarkEnd w:id="666"/>
    </w:p>
    <w:p w14:paraId="2F25BEF5">
      <w:pPr>
        <w:spacing w:line="440" w:lineRule="exact"/>
        <w:ind w:firstLine="420" w:firstLineChars="200"/>
        <w:jc w:val="left"/>
        <w:rPr>
          <w:rFonts w:ascii="宋体" w:cs="宋体"/>
          <w:color w:val="auto"/>
          <w:szCs w:val="21"/>
          <w:highlight w:val="none"/>
        </w:rPr>
      </w:pPr>
      <w:r>
        <w:rPr>
          <w:rFonts w:hint="eastAsia" w:ascii="宋体" w:hAnsi="宋体" w:cs="宋体"/>
          <w:color w:val="auto"/>
          <w:highlight w:val="none"/>
        </w:rPr>
        <w:t>只有通过资格审查的投标人才能进入下一步的评标程序。</w:t>
      </w:r>
      <w:bookmarkStart w:id="667" w:name="_Toc506107323"/>
    </w:p>
    <w:p w14:paraId="2762F6AA">
      <w:pPr>
        <w:pStyle w:val="3"/>
        <w:spacing w:beforeLines="50" w:afterLines="50"/>
        <w:rPr>
          <w:color w:val="auto"/>
          <w:highlight w:val="none"/>
        </w:rPr>
      </w:pPr>
      <w:bookmarkStart w:id="668" w:name="_Toc15058912"/>
      <w:bookmarkStart w:id="669" w:name="_Toc35424945"/>
      <w:bookmarkStart w:id="670" w:name="_Toc35425111"/>
      <w:r>
        <w:rPr>
          <w:color w:val="auto"/>
          <w:highlight w:val="none"/>
        </w:rPr>
        <w:br w:type="page"/>
      </w:r>
      <w:bookmarkStart w:id="671" w:name="_Toc24443"/>
      <w:r>
        <w:rPr>
          <w:rFonts w:hint="eastAsia" w:ascii="Arial" w:hAnsi="Arial"/>
          <w:color w:val="auto"/>
          <w:kern w:val="0"/>
          <w:sz w:val="32"/>
          <w:szCs w:val="32"/>
          <w:highlight w:val="none"/>
        </w:rPr>
        <w:t>第三章</w:t>
      </w:r>
      <w:r>
        <w:rPr>
          <w:rFonts w:ascii="Arial" w:hAnsi="Arial"/>
          <w:color w:val="auto"/>
          <w:kern w:val="0"/>
          <w:sz w:val="32"/>
          <w:szCs w:val="32"/>
          <w:highlight w:val="none"/>
        </w:rPr>
        <w:t xml:space="preserve"> </w:t>
      </w:r>
      <w:r>
        <w:rPr>
          <w:rFonts w:hint="eastAsia" w:ascii="Arial" w:hAnsi="Arial"/>
          <w:color w:val="auto"/>
          <w:kern w:val="0"/>
          <w:sz w:val="32"/>
          <w:szCs w:val="32"/>
          <w:highlight w:val="none"/>
        </w:rPr>
        <w:t>评标办法</w:t>
      </w:r>
      <w:bookmarkEnd w:id="631"/>
      <w:bookmarkEnd w:id="667"/>
      <w:bookmarkEnd w:id="668"/>
      <w:bookmarkEnd w:id="669"/>
      <w:bookmarkEnd w:id="670"/>
      <w:bookmarkEnd w:id="671"/>
    </w:p>
    <w:p w14:paraId="25688E93">
      <w:pPr>
        <w:spacing w:beforeLines="50" w:afterLines="50" w:line="440" w:lineRule="exact"/>
        <w:jc w:val="center"/>
        <w:rPr>
          <w:rFonts w:hint="eastAsia" w:ascii="宋体" w:hAnsi="宋体" w:cs="宋体"/>
          <w:b/>
          <w:bCs/>
          <w:color w:val="auto"/>
          <w:sz w:val="28"/>
          <w:szCs w:val="28"/>
          <w:highlight w:val="none"/>
        </w:rPr>
      </w:pPr>
      <w:bookmarkStart w:id="672" w:name="_Toc35425112"/>
      <w:bookmarkStart w:id="673" w:name="_Toc35424946"/>
      <w:r>
        <w:rPr>
          <w:rFonts w:hint="eastAsia" w:ascii="宋体" w:hAnsi="宋体" w:cs="宋体"/>
          <w:b/>
          <w:bCs/>
          <w:color w:val="auto"/>
          <w:sz w:val="28"/>
          <w:szCs w:val="28"/>
          <w:highlight w:val="none"/>
        </w:rPr>
        <w:t>评标办法前附表</w:t>
      </w:r>
      <w:bookmarkEnd w:id="672"/>
      <w:bookmarkEnd w:id="673"/>
    </w:p>
    <w:p w14:paraId="4449EDE7">
      <w:pPr>
        <w:pStyle w:val="45"/>
        <w:spacing w:line="500" w:lineRule="exact"/>
        <w:ind w:left="0" w:leftChars="0"/>
        <w:rPr>
          <w:b/>
          <w:bCs/>
          <w:color w:val="auto"/>
          <w:highlight w:val="none"/>
        </w:rPr>
      </w:pPr>
      <w:r>
        <w:rPr>
          <w:rFonts w:hint="eastAsia"/>
          <w:color w:val="auto"/>
          <w:highlight w:val="none"/>
        </w:rPr>
        <w:t>第一阶段，评标委员会对投标人依次进行资信</w:t>
      </w:r>
      <w:r>
        <w:rPr>
          <w:rFonts w:hint="eastAsia"/>
          <w:color w:val="auto"/>
          <w:highlight w:val="none"/>
          <w:lang w:eastAsia="zh-CN"/>
        </w:rPr>
        <w:t>、</w:t>
      </w:r>
      <w:r>
        <w:rPr>
          <w:rFonts w:hint="eastAsia"/>
          <w:color w:val="auto"/>
          <w:highlight w:val="none"/>
          <w:lang w:val="en-US" w:eastAsia="zh-CN"/>
        </w:rPr>
        <w:t>技术</w:t>
      </w:r>
      <w:r>
        <w:rPr>
          <w:rFonts w:hint="eastAsia"/>
          <w:color w:val="auto"/>
          <w:highlight w:val="none"/>
        </w:rPr>
        <w:t>文件审查，对均满足要求的投标人先进行除投标报价之外的评审因素打分，汇总后的得分按照从高到低进行排序（</w:t>
      </w:r>
      <w:r>
        <w:rPr>
          <w:rFonts w:hint="eastAsia"/>
          <w:b/>
          <w:color w:val="auto"/>
          <w:highlight w:val="none"/>
        </w:rPr>
        <w:t>得分相同的并列，下一个排名顺延。如2个投标人并列第一，则第3个排名为第三名</w:t>
      </w:r>
      <w:r>
        <w:rPr>
          <w:rFonts w:hint="eastAsia"/>
          <w:color w:val="auto"/>
          <w:highlight w:val="none"/>
        </w:rPr>
        <w:t>），选择总得分排前N个的投标人进入第二阶段评标，N取值为7。</w:t>
      </w:r>
      <w:r>
        <w:rPr>
          <w:rFonts w:hint="eastAsia"/>
          <w:b/>
          <w:color w:val="auto"/>
          <w:highlight w:val="none"/>
        </w:rPr>
        <w:t>与第N个得分相同的一并进入第二阶段评标</w:t>
      </w:r>
      <w:r>
        <w:rPr>
          <w:rFonts w:hint="eastAsia"/>
          <w:color w:val="auto"/>
          <w:highlight w:val="none"/>
        </w:rPr>
        <w:t>。</w:t>
      </w:r>
      <w:r>
        <w:rPr>
          <w:rFonts w:hint="eastAsia"/>
          <w:b/>
          <w:bCs/>
          <w:color w:val="auto"/>
          <w:highlight w:val="none"/>
        </w:rPr>
        <w:t>若通过资信及技术评分的有效投标人＜7家且≥3家时，所有有效投标人均入围，评标委员会将对所有有效投标人进行商务标评审。</w:t>
      </w:r>
    </w:p>
    <w:p w14:paraId="3099844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第二阶段，投标报价评审。评标委员会仅针对进入第二阶段的投标人商务标文件进行评审，评审过程中如出现无效投标，将替补至7个投标人，剩余投标人不足替补至7个的，至少替补至3个，否则本项目流标。以进入第二阶段的有效投标报价作为评标基准价计算范围。根据投标报价评审规则计算投标报价得分。确定中标候选人排序时，招标人按照各项评审因素的总得分从高到低进行排序，得分第一的投标人为第一中标候选人。如总得分相等，以投标报价低的优先，投标报价仍相等，由评标委员会主任委员或招标人随机抽取确定排名。</w:t>
      </w:r>
    </w:p>
    <w:p w14:paraId="253CB0B4">
      <w:pPr>
        <w:numPr>
          <w:ilvl w:val="0"/>
          <w:numId w:val="0"/>
        </w:numPr>
        <w:spacing w:beforeLines="50" w:afterLines="50" w:line="440" w:lineRule="exact"/>
        <w:ind w:left="2730" w:leftChars="0"/>
        <w:jc w:val="both"/>
        <w:rPr>
          <w:color w:val="auto"/>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资信标评分细则（满分</w:t>
      </w:r>
      <w:r>
        <w:rPr>
          <w:rFonts w:hint="eastAsia" w:ascii="宋体" w:hAnsi="宋体" w:cs="宋体"/>
          <w:b/>
          <w:bCs/>
          <w:color w:val="auto"/>
          <w:sz w:val="24"/>
          <w:highlight w:val="none"/>
          <w:lang w:val="en-US" w:eastAsia="zh-CN"/>
        </w:rPr>
        <w:t>20</w:t>
      </w:r>
      <w:r>
        <w:rPr>
          <w:rFonts w:hint="eastAsia" w:ascii="宋体" w:hAnsi="宋体" w:cs="宋体"/>
          <w:b/>
          <w:bCs/>
          <w:color w:val="auto"/>
          <w:sz w:val="24"/>
          <w:highlight w:val="none"/>
        </w:rPr>
        <w:t>分）</w:t>
      </w:r>
    </w:p>
    <w:tbl>
      <w:tblPr>
        <w:tblStyle w:val="47"/>
        <w:tblW w:w="10410" w:type="dxa"/>
        <w:tblInd w:w="-4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8700"/>
      </w:tblGrid>
      <w:tr w14:paraId="245A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Align w:val="center"/>
          </w:tcPr>
          <w:p w14:paraId="6FDFED16">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评审因素</w:t>
            </w:r>
          </w:p>
        </w:tc>
        <w:tc>
          <w:tcPr>
            <w:tcW w:w="8700" w:type="dxa"/>
            <w:vAlign w:val="center"/>
          </w:tcPr>
          <w:p w14:paraId="7CDF8169">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评审标准</w:t>
            </w:r>
          </w:p>
        </w:tc>
      </w:tr>
      <w:tr w14:paraId="7A5E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Align w:val="center"/>
          </w:tcPr>
          <w:p w14:paraId="28D63733">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项目负责人（总监理工程师）</w:t>
            </w:r>
            <w:r>
              <w:rPr>
                <w:rFonts w:hint="eastAsia" w:ascii="宋体" w:hAnsi="宋体" w:eastAsia="宋体" w:cs="宋体"/>
                <w:b/>
                <w:bCs/>
                <w:color w:val="auto"/>
                <w:sz w:val="21"/>
                <w:szCs w:val="21"/>
                <w:highlight w:val="none"/>
                <w:lang w:val="en-US" w:eastAsia="zh-CN"/>
              </w:rPr>
              <w:t>业绩</w:t>
            </w:r>
          </w:p>
          <w:p w14:paraId="06B8DE21">
            <w:pPr>
              <w:keepNext w:val="0"/>
              <w:keepLines w:val="0"/>
              <w:pageBreakBefore w:val="0"/>
              <w:widowControl w:val="0"/>
              <w:kinsoku/>
              <w:wordWrap/>
              <w:overflowPunct/>
              <w:topLinePunct w:val="0"/>
              <w:bidi w:val="0"/>
              <w:snapToGrid/>
              <w:spacing w:line="440" w:lineRule="exact"/>
              <w:jc w:val="center"/>
              <w:textAlignment w:val="auto"/>
              <w:rPr>
                <w:rFonts w:hint="eastAsia"/>
                <w:color w:val="auto"/>
                <w:highlight w:val="none"/>
                <w:lang w:val="en-US" w:eastAsia="zh-CN"/>
              </w:rPr>
            </w:pPr>
            <w:r>
              <w:rPr>
                <w:rFonts w:hint="eastAsia" w:ascii="宋体" w:hAnsi="宋体" w:eastAsia="宋体" w:cs="宋体"/>
                <w:b/>
                <w:bCs/>
                <w:color w:val="auto"/>
                <w:sz w:val="21"/>
                <w:szCs w:val="21"/>
                <w:highlight w:val="none"/>
                <w:lang w:val="en-US" w:eastAsia="zh-CN"/>
              </w:rPr>
              <w:t>（5分）</w:t>
            </w:r>
          </w:p>
        </w:tc>
        <w:tc>
          <w:tcPr>
            <w:tcW w:w="8700" w:type="dxa"/>
            <w:vAlign w:val="center"/>
          </w:tcPr>
          <w:p w14:paraId="1E97BCAC">
            <w:pPr>
              <w:numPr>
                <w:ilvl w:val="0"/>
                <w:numId w:val="0"/>
              </w:numPr>
              <w:spacing w:line="500" w:lineRule="exact"/>
              <w:jc w:val="left"/>
              <w:rPr>
                <w:rFonts w:hint="default" w:ascii="宋体" w:hAnsi="宋体" w:eastAsia="宋体" w:cs="宋体"/>
                <w:color w:val="auto"/>
                <w:highlight w:val="none"/>
                <w:u w:val="none"/>
                <w:lang w:val="en-US" w:eastAsia="zh-CN"/>
              </w:rPr>
            </w:pPr>
            <w:r>
              <w:rPr>
                <w:rFonts w:hint="default" w:ascii="宋体" w:hAnsi="宋体" w:eastAsia="宋体" w:cs="宋体"/>
                <w:color w:val="auto"/>
                <w:highlight w:val="none"/>
                <w:u w:val="none"/>
                <w:lang w:val="en-US" w:eastAsia="zh-CN"/>
              </w:rPr>
              <w:t>自2020年1月1日至投标截止时间，投标人拟派项目</w:t>
            </w:r>
            <w:r>
              <w:rPr>
                <w:rFonts w:hint="eastAsia" w:ascii="宋体" w:hAnsi="宋体" w:cs="宋体"/>
                <w:color w:val="auto"/>
                <w:highlight w:val="none"/>
                <w:u w:val="none"/>
                <w:lang w:val="en-US" w:eastAsia="zh-CN"/>
              </w:rPr>
              <w:t>负责人（总监理工程师）</w:t>
            </w:r>
            <w:r>
              <w:rPr>
                <w:rFonts w:hint="default" w:ascii="宋体" w:hAnsi="宋体" w:eastAsia="宋体" w:cs="宋体"/>
                <w:color w:val="auto"/>
                <w:highlight w:val="none"/>
                <w:u w:val="none"/>
                <w:lang w:val="en-US" w:eastAsia="zh-CN"/>
              </w:rPr>
              <w:t>具有单体建筑面积1万平方米（或以上）且总建筑面积不低于6万平方</w:t>
            </w:r>
            <w:r>
              <w:rPr>
                <w:rFonts w:hint="eastAsia" w:ascii="宋体" w:hAnsi="宋体" w:cs="宋体"/>
                <w:color w:val="auto"/>
                <w:highlight w:val="none"/>
                <w:u w:val="none"/>
                <w:lang w:val="en-US" w:eastAsia="zh-CN"/>
              </w:rPr>
              <w:t>米（或</w:t>
            </w:r>
            <w:r>
              <w:rPr>
                <w:rFonts w:hint="default" w:ascii="宋体" w:hAnsi="宋体" w:eastAsia="宋体" w:cs="宋体"/>
                <w:color w:val="auto"/>
                <w:highlight w:val="none"/>
                <w:u w:val="none"/>
                <w:lang w:val="en-US" w:eastAsia="zh-CN"/>
              </w:rPr>
              <w:t>以上</w:t>
            </w:r>
            <w:r>
              <w:rPr>
                <w:rFonts w:hint="eastAsia" w:ascii="宋体" w:hAnsi="宋体" w:cs="宋体"/>
                <w:color w:val="auto"/>
                <w:highlight w:val="none"/>
                <w:u w:val="none"/>
                <w:lang w:val="en-US" w:eastAsia="zh-CN"/>
              </w:rPr>
              <w:t>）</w:t>
            </w:r>
            <w:r>
              <w:rPr>
                <w:rFonts w:hint="default" w:ascii="宋体" w:hAnsi="宋体" w:eastAsia="宋体" w:cs="宋体"/>
                <w:color w:val="auto"/>
                <w:highlight w:val="none"/>
                <w:u w:val="none"/>
                <w:lang w:val="en-US" w:eastAsia="zh-CN"/>
              </w:rPr>
              <w:t>工业厂房</w:t>
            </w:r>
            <w:r>
              <w:rPr>
                <w:rFonts w:hint="eastAsia" w:ascii="宋体" w:hAnsi="宋体" w:cs="宋体"/>
                <w:color w:val="auto"/>
                <w:highlight w:val="none"/>
                <w:u w:val="none"/>
                <w:lang w:val="en-US" w:eastAsia="zh-CN"/>
              </w:rPr>
              <w:t>监理</w:t>
            </w:r>
            <w:r>
              <w:rPr>
                <w:rFonts w:hint="default" w:ascii="宋体" w:hAnsi="宋体" w:eastAsia="宋体" w:cs="宋体"/>
                <w:color w:val="auto"/>
                <w:highlight w:val="none"/>
                <w:u w:val="none"/>
                <w:lang w:val="en-US" w:eastAsia="zh-CN"/>
              </w:rPr>
              <w:t>业绩的得</w:t>
            </w:r>
            <w:r>
              <w:rPr>
                <w:rFonts w:hint="eastAsia" w:ascii="宋体" w:hAnsi="宋体" w:cs="宋体"/>
                <w:color w:val="auto"/>
                <w:highlight w:val="none"/>
                <w:u w:val="none"/>
                <w:lang w:val="en-US" w:eastAsia="zh-CN"/>
              </w:rPr>
              <w:t>5</w:t>
            </w:r>
            <w:r>
              <w:rPr>
                <w:rFonts w:hint="default" w:ascii="宋体" w:hAnsi="宋体" w:eastAsia="宋体" w:cs="宋体"/>
                <w:color w:val="auto"/>
                <w:highlight w:val="none"/>
                <w:u w:val="none"/>
                <w:lang w:val="en-US" w:eastAsia="zh-CN"/>
              </w:rPr>
              <w:t>分。</w:t>
            </w:r>
          </w:p>
          <w:p w14:paraId="3DDD654A">
            <w:pPr>
              <w:numPr>
                <w:ilvl w:val="0"/>
                <w:numId w:val="0"/>
              </w:numPr>
              <w:spacing w:line="500" w:lineRule="exact"/>
              <w:jc w:val="left"/>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注:1.具体面积以合同内容为准；</w:t>
            </w:r>
          </w:p>
          <w:p w14:paraId="646F5A96">
            <w:pPr>
              <w:numPr>
                <w:ilvl w:val="0"/>
                <w:numId w:val="0"/>
              </w:numPr>
              <w:spacing w:line="500" w:lineRule="exact"/>
              <w:jc w:val="left"/>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2.业绩有效时间以竣工验收报告或竣工验收证书或竣工验收证明书中的竣工验收通过日期为准。</w:t>
            </w:r>
          </w:p>
          <w:p w14:paraId="71597B9C">
            <w:pPr>
              <w:numPr>
                <w:ilvl w:val="0"/>
                <w:numId w:val="0"/>
              </w:numPr>
              <w:spacing w:line="500" w:lineRule="exact"/>
              <w:jc w:val="left"/>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3.项目</w:t>
            </w:r>
            <w:r>
              <w:rPr>
                <w:rFonts w:hint="eastAsia" w:ascii="宋体" w:hAnsi="宋体" w:cs="宋体"/>
                <w:color w:val="auto"/>
                <w:highlight w:val="none"/>
                <w:u w:val="none"/>
                <w:lang w:val="en-US" w:eastAsia="zh-CN"/>
              </w:rPr>
              <w:t>负责人（总监理工程师）</w:t>
            </w:r>
            <w:r>
              <w:rPr>
                <w:rFonts w:hint="eastAsia" w:ascii="宋体" w:hAnsi="宋体" w:eastAsia="宋体" w:cs="宋体"/>
                <w:color w:val="auto"/>
                <w:highlight w:val="none"/>
                <w:u w:val="none"/>
                <w:lang w:val="en-US" w:eastAsia="zh-CN"/>
              </w:rPr>
              <w:t>发生变更的，该业绩属于变更后的项</w:t>
            </w:r>
            <w:r>
              <w:rPr>
                <w:rFonts w:hint="eastAsia" w:ascii="宋体" w:hAnsi="宋体" w:cs="宋体"/>
                <w:color w:val="auto"/>
                <w:highlight w:val="none"/>
                <w:u w:val="none"/>
                <w:lang w:val="en-US" w:eastAsia="zh-CN"/>
              </w:rPr>
              <w:t>项目负责人（总监理工程师）</w:t>
            </w:r>
            <w:r>
              <w:rPr>
                <w:rFonts w:hint="eastAsia" w:ascii="宋体" w:hAnsi="宋体" w:eastAsia="宋体" w:cs="宋体"/>
                <w:color w:val="auto"/>
                <w:highlight w:val="none"/>
                <w:u w:val="none"/>
                <w:lang w:val="en-US" w:eastAsia="zh-CN"/>
              </w:rPr>
              <w:t>。同时须提供经建设行政主管部门备案的</w:t>
            </w:r>
            <w:r>
              <w:rPr>
                <w:rFonts w:hint="eastAsia" w:ascii="宋体" w:hAnsi="宋体" w:cs="宋体"/>
                <w:color w:val="auto"/>
                <w:highlight w:val="none"/>
                <w:u w:val="none"/>
                <w:lang w:val="en-US" w:eastAsia="zh-CN"/>
              </w:rPr>
              <w:t>项目负责人（总监理工程师）</w:t>
            </w:r>
            <w:r>
              <w:rPr>
                <w:rFonts w:hint="eastAsia" w:ascii="宋体" w:hAnsi="宋体" w:eastAsia="宋体" w:cs="宋体"/>
                <w:color w:val="auto"/>
                <w:highlight w:val="none"/>
                <w:u w:val="none"/>
                <w:lang w:val="en-US" w:eastAsia="zh-CN"/>
              </w:rPr>
              <w:t>变更证明材料</w:t>
            </w:r>
            <w:r>
              <w:rPr>
                <w:rFonts w:hint="eastAsia" w:ascii="宋体" w:hAnsi="宋体" w:cs="宋体"/>
                <w:color w:val="auto"/>
                <w:highlight w:val="none"/>
                <w:u w:val="none"/>
                <w:lang w:val="en-US" w:eastAsia="zh-CN"/>
              </w:rPr>
              <w:t>（或同时提供网上变更申请截图、网站公示截图及查询链接）</w:t>
            </w:r>
            <w:r>
              <w:rPr>
                <w:rFonts w:hint="eastAsia" w:ascii="宋体" w:hAnsi="宋体" w:eastAsia="宋体" w:cs="宋体"/>
                <w:color w:val="auto"/>
                <w:highlight w:val="none"/>
                <w:u w:val="none"/>
                <w:lang w:val="en-US" w:eastAsia="zh-CN"/>
              </w:rPr>
              <w:t>扫描件扫描件。</w:t>
            </w:r>
          </w:p>
          <w:p w14:paraId="0EC53278">
            <w:pPr>
              <w:pStyle w:val="45"/>
              <w:keepNext w:val="0"/>
              <w:keepLines w:val="0"/>
              <w:pageBreakBefore w:val="0"/>
              <w:widowControl w:val="0"/>
              <w:kinsoku/>
              <w:wordWrap/>
              <w:overflowPunct/>
              <w:topLinePunct w:val="0"/>
              <w:bidi w:val="0"/>
              <w:snapToGrid/>
              <w:spacing w:line="440" w:lineRule="exact"/>
              <w:ind w:left="0" w:leftChars="0" w:firstLine="0" w:firstLineChars="0"/>
              <w:textAlignment w:val="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4.</w:t>
            </w:r>
            <w:r>
              <w:rPr>
                <w:rFonts w:hint="eastAsia" w:hAnsi="宋体" w:cs="宋体"/>
                <w:color w:val="auto"/>
                <w:highlight w:val="none"/>
                <w:u w:val="none"/>
                <w:lang w:val="en-US" w:eastAsia="zh-CN"/>
              </w:rPr>
              <w:t>项目负责人</w:t>
            </w:r>
            <w:r>
              <w:rPr>
                <w:rFonts w:hint="eastAsia" w:hAnsi="宋体" w:cs="宋体"/>
                <w:color w:val="auto"/>
                <w:highlight w:val="none"/>
                <w:u w:val="none"/>
                <w:lang w:val="en-US" w:eastAsia="zh-CN"/>
              </w:rPr>
              <w:t>（总监理工程师）</w:t>
            </w:r>
            <w:r>
              <w:rPr>
                <w:rFonts w:hint="eastAsia" w:ascii="宋体" w:hAnsi="宋体" w:eastAsia="宋体" w:cs="宋体"/>
                <w:color w:val="auto"/>
                <w:highlight w:val="none"/>
                <w:u w:val="none"/>
                <w:lang w:val="en-US" w:eastAsia="zh-CN"/>
              </w:rPr>
              <w:t>必须是以项目</w:t>
            </w:r>
            <w:r>
              <w:rPr>
                <w:rFonts w:hint="eastAsia" w:hAnsi="宋体" w:cs="宋体"/>
                <w:color w:val="auto"/>
                <w:highlight w:val="none"/>
                <w:u w:val="none"/>
                <w:lang w:val="en-US" w:eastAsia="zh-CN"/>
              </w:rPr>
              <w:t>负责人（总监理工程师）</w:t>
            </w:r>
            <w:r>
              <w:rPr>
                <w:rFonts w:hint="eastAsia" w:ascii="宋体" w:hAnsi="宋体" w:eastAsia="宋体" w:cs="宋体"/>
                <w:color w:val="auto"/>
                <w:highlight w:val="none"/>
                <w:u w:val="none"/>
                <w:lang w:val="en-US" w:eastAsia="zh-CN"/>
              </w:rPr>
              <w:t>身份参与的业绩，以其他管理人员身份参与的无效。</w:t>
            </w:r>
          </w:p>
          <w:p w14:paraId="76504A4C">
            <w:pPr>
              <w:pStyle w:val="45"/>
              <w:keepNext w:val="0"/>
              <w:keepLines w:val="0"/>
              <w:pageBreakBefore w:val="0"/>
              <w:widowControl w:val="0"/>
              <w:kinsoku/>
              <w:wordWrap/>
              <w:overflowPunct/>
              <w:topLinePunct w:val="0"/>
              <w:bidi w:val="0"/>
              <w:snapToGrid/>
              <w:spacing w:line="440" w:lineRule="exact"/>
              <w:ind w:left="0" w:leftChars="0" w:firstLine="0" w:firstLineChars="0"/>
              <w:textAlignment w:val="auto"/>
              <w:rPr>
                <w:rFonts w:hint="eastAsia" w:eastAsia="宋体"/>
                <w:color w:val="auto"/>
                <w:highlight w:val="none"/>
                <w:lang w:val="en-US" w:eastAsia="zh-CN"/>
              </w:rPr>
            </w:pPr>
            <w:r>
              <w:rPr>
                <w:rFonts w:hint="eastAsia" w:ascii="宋体" w:hAnsi="宋体" w:eastAsia="宋体" w:cs="宋体"/>
                <w:b/>
                <w:bCs/>
                <w:color w:val="auto"/>
                <w:sz w:val="21"/>
                <w:szCs w:val="21"/>
                <w:highlight w:val="none"/>
              </w:rPr>
              <w:t>【投标文件中须同时提供下列材料原件扫描件：①中标通知书</w:t>
            </w:r>
            <w:r>
              <w:rPr>
                <w:rFonts w:hint="eastAsia" w:ascii="宋体" w:hAnsi="宋体" w:cs="宋体"/>
                <w:b/>
                <w:bCs/>
                <w:color w:val="auto"/>
                <w:highlight w:val="none"/>
                <w:lang w:val="en-US" w:eastAsia="zh-CN"/>
              </w:rPr>
              <w:t>（须加盖招投标管理部门印章或公共资源交易中心见证章，无盖章的须提供公共资源交易平台官网发布的中标公示网页截图及网址链接)</w:t>
            </w:r>
            <w:r>
              <w:rPr>
                <w:rFonts w:hint="eastAsia" w:ascii="宋体" w:hAnsi="宋体" w:eastAsia="宋体" w:cs="宋体"/>
                <w:b/>
                <w:bCs/>
                <w:color w:val="auto"/>
                <w:sz w:val="21"/>
                <w:szCs w:val="21"/>
                <w:highlight w:val="none"/>
              </w:rPr>
              <w:t>；②合同；③</w:t>
            </w:r>
            <w:r>
              <w:rPr>
                <w:rFonts w:hint="eastAsia" w:ascii="宋体" w:hAnsi="宋体" w:cs="宋体"/>
                <w:b/>
                <w:bCs/>
                <w:color w:val="auto"/>
                <w:highlight w:val="none"/>
              </w:rPr>
              <w:t>竣工验收报告或竣工验收证书或竣工验收证明书</w:t>
            </w:r>
            <w:r>
              <w:rPr>
                <w:rFonts w:hint="eastAsia" w:ascii="宋体" w:hAnsi="宋体" w:eastAsia="宋体" w:cs="宋体"/>
                <w:b/>
                <w:bCs/>
                <w:color w:val="auto"/>
                <w:sz w:val="21"/>
                <w:szCs w:val="21"/>
                <w:highlight w:val="none"/>
              </w:rPr>
              <w:t>；④</w:t>
            </w:r>
            <w:r>
              <w:rPr>
                <w:rFonts w:hint="eastAsia" w:ascii="宋体" w:hAnsi="宋体" w:cs="宋体"/>
                <w:b/>
                <w:bCs/>
                <w:color w:val="auto"/>
                <w:highlight w:val="none"/>
              </w:rPr>
              <w:t>该业绩在全国建筑市场监管公共服务平台或全国公共资源交易平台(包括各省市平台，如全国公共资源交易平台（安徽省滁州市）可查)截图及网</w:t>
            </w:r>
            <w:r>
              <w:rPr>
                <w:rFonts w:hint="eastAsia" w:ascii="宋体" w:hAnsi="宋体" w:cs="宋体"/>
                <w:b/>
                <w:bCs/>
                <w:color w:val="auto"/>
                <w:highlight w:val="none"/>
                <w:u w:val="none"/>
              </w:rPr>
              <w:t>址</w:t>
            </w:r>
            <w:r>
              <w:rPr>
                <w:rFonts w:hint="eastAsia"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上述材料缺一不可，如上述材料不能够充分有效证明该工程业绩的规模、工程类型等内容，则另须提供建设单位出具的加盖建设单位公章的证明材料。】</w:t>
            </w:r>
          </w:p>
        </w:tc>
      </w:tr>
      <w:tr w14:paraId="53140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Align w:val="center"/>
          </w:tcPr>
          <w:p w14:paraId="5B381D86">
            <w:pPr>
              <w:keepNext w:val="0"/>
              <w:keepLines w:val="0"/>
              <w:pageBreakBefore w:val="0"/>
              <w:widowControl w:val="0"/>
              <w:kinsoku/>
              <w:wordWrap/>
              <w:overflowPunct/>
              <w:topLinePunct w:val="0"/>
              <w:bidi w:val="0"/>
              <w:snapToGrid/>
              <w:spacing w:line="440" w:lineRule="exact"/>
              <w:jc w:val="center"/>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企业荣誉（5分）</w:t>
            </w:r>
          </w:p>
        </w:tc>
        <w:tc>
          <w:tcPr>
            <w:tcW w:w="8700" w:type="dxa"/>
            <w:vAlign w:val="center"/>
          </w:tcPr>
          <w:p w14:paraId="40CF02E4">
            <w:pPr>
              <w:spacing w:line="500" w:lineRule="exact"/>
              <w:jc w:val="left"/>
              <w:rPr>
                <w:rFonts w:hint="default"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自202</w:t>
            </w:r>
            <w:r>
              <w:rPr>
                <w:rFonts w:hint="eastAsia" w:ascii="宋体" w:hAnsi="宋体" w:cs="宋体"/>
                <w:color w:val="auto"/>
                <w:highlight w:val="none"/>
                <w:u w:val="none"/>
                <w:lang w:val="en-US" w:eastAsia="zh-CN"/>
              </w:rPr>
              <w:t>0</w:t>
            </w:r>
            <w:r>
              <w:rPr>
                <w:rFonts w:hint="eastAsia" w:ascii="宋体" w:hAnsi="宋体" w:eastAsia="宋体" w:cs="宋体"/>
                <w:color w:val="auto"/>
                <w:highlight w:val="none"/>
                <w:u w:val="none"/>
                <w:lang w:val="en-US" w:eastAsia="zh-CN"/>
              </w:rPr>
              <w:t>年1月1日至投标截止时间，投标人承建的</w:t>
            </w:r>
            <w:r>
              <w:rPr>
                <w:rFonts w:hint="eastAsia" w:ascii="宋体" w:hAnsi="宋体" w:cs="宋体"/>
                <w:color w:val="auto"/>
                <w:highlight w:val="none"/>
                <w:u w:val="none"/>
                <w:lang w:val="en-US" w:eastAsia="zh-CN"/>
              </w:rPr>
              <w:t>工业厂房</w:t>
            </w:r>
            <w:r>
              <w:rPr>
                <w:rFonts w:hint="eastAsia" w:ascii="宋体" w:hAnsi="宋体" w:eastAsia="宋体" w:cs="宋体"/>
                <w:color w:val="auto"/>
                <w:highlight w:val="none"/>
                <w:u w:val="none"/>
                <w:lang w:val="en-US" w:eastAsia="zh-CN"/>
              </w:rPr>
              <w:t>工程获得省</w:t>
            </w:r>
            <w:r>
              <w:rPr>
                <w:rFonts w:hint="eastAsia" w:ascii="宋体" w:hAnsi="宋体" w:cs="宋体"/>
                <w:color w:val="auto"/>
                <w:highlight w:val="none"/>
                <w:u w:val="none"/>
                <w:lang w:val="en-US" w:eastAsia="zh-CN"/>
              </w:rPr>
              <w:t>级（或以上）</w:t>
            </w:r>
            <w:r>
              <w:rPr>
                <w:rFonts w:hint="eastAsia" w:ascii="宋体" w:hAnsi="宋体" w:eastAsia="宋体" w:cs="宋体"/>
                <w:color w:val="auto"/>
                <w:highlight w:val="none"/>
                <w:u w:val="none"/>
                <w:lang w:val="en-US" w:eastAsia="zh-CN"/>
              </w:rPr>
              <w:t>优质工程奖的得</w:t>
            </w:r>
            <w:r>
              <w:rPr>
                <w:rFonts w:hint="eastAsia" w:ascii="宋体" w:hAnsi="宋体" w:cs="宋体"/>
                <w:color w:val="auto"/>
                <w:highlight w:val="none"/>
                <w:u w:val="none"/>
                <w:lang w:val="en-US" w:eastAsia="zh-CN"/>
              </w:rPr>
              <w:t>5</w:t>
            </w:r>
            <w:r>
              <w:rPr>
                <w:rFonts w:hint="eastAsia" w:ascii="宋体" w:hAnsi="宋体" w:eastAsia="宋体" w:cs="宋体"/>
                <w:color w:val="auto"/>
                <w:highlight w:val="none"/>
                <w:u w:val="none"/>
                <w:lang w:val="en-US" w:eastAsia="zh-CN"/>
              </w:rPr>
              <w:t>分</w:t>
            </w:r>
            <w:r>
              <w:rPr>
                <w:rFonts w:hint="eastAsia" w:ascii="宋体" w:hAnsi="宋体" w:cs="宋体"/>
                <w:color w:val="auto"/>
                <w:highlight w:val="none"/>
                <w:u w:val="none"/>
                <w:lang w:val="en-US" w:eastAsia="zh-CN"/>
              </w:rPr>
              <w:t>；市级（地级市）优质工程奖的得3分；满分5分。</w:t>
            </w:r>
          </w:p>
          <w:p w14:paraId="226A4D79">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【须同时提供下列材料扫描件：①获奖证书或获奖的相关文件，②合同</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有效时间以证书颁发日期或获奖批文日期为准。</w:t>
            </w:r>
            <w:r>
              <w:rPr>
                <w:rFonts w:hint="eastAsia" w:ascii="宋体" w:hAnsi="宋体" w:cs="宋体"/>
                <w:b/>
                <w:bCs/>
                <w:color w:val="auto"/>
                <w:sz w:val="21"/>
                <w:szCs w:val="21"/>
                <w:highlight w:val="none"/>
                <w:lang w:val="en-US" w:eastAsia="zh-CN"/>
              </w:rPr>
              <w:t>若上述证明材料体现不出评审因素，须提供建设单位出具的加盖建设单位公章的证明材料</w:t>
            </w:r>
            <w:r>
              <w:rPr>
                <w:rFonts w:hint="eastAsia" w:ascii="宋体" w:hAnsi="宋体" w:eastAsia="宋体" w:cs="宋体"/>
                <w:b/>
                <w:bCs/>
                <w:color w:val="auto"/>
                <w:sz w:val="21"/>
                <w:szCs w:val="21"/>
                <w:highlight w:val="none"/>
                <w:lang w:val="en-US" w:eastAsia="zh-CN"/>
              </w:rPr>
              <w:t>】</w:t>
            </w:r>
          </w:p>
          <w:p w14:paraId="0B4001C1">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注：</w:t>
            </w:r>
          </w:p>
          <w:p w14:paraId="151EE012">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有效时间以证书或获奖批文日期为准。</w:t>
            </w:r>
          </w:p>
          <w:p w14:paraId="4AE662AC">
            <w:pPr>
              <w:numPr>
                <w:ilvl w:val="0"/>
                <w:numId w:val="0"/>
              </w:numPr>
              <w:spacing w:line="500" w:lineRule="exact"/>
              <w:jc w:val="left"/>
              <w:rPr>
                <w:rFonts w:hint="eastAsia"/>
                <w:color w:val="auto"/>
                <w:highlight w:val="none"/>
                <w:lang w:val="en-US"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次评标办法中省级优质工程奖指各省、直辖市、自治区所评的建设工程省级奖项，如安徽省黄山杯、北京市长城杯、上海市白玉兰杯、天津市海河杯、重庆市巴渝杯、浙江省钱江杯、江苏省扬子杯、山东省泰山杯、广东省金匠奖、山西省汾水杯、陕西省长安杯、湖北省楚天杯、湖南省芙蓉杯、福建省闽江杯、河南省中州杯、江西省杜鹃花杯、四川省天府杯、海南省绿岛杯、贵州省黄果树杯、黑龙江省龙江杯、青海省江河源杯、西藏雪莲杯、内蒙古草原杯、新疆天山杯、宁夏西夏杯、云南省优质工程、广西优质工程奖（或真武阁杯）、吉林省长白山杯、辽宁</w:t>
            </w:r>
            <w:r>
              <w:rPr>
                <w:rFonts w:hint="eastAsia" w:ascii="宋体" w:hAnsi="宋体" w:eastAsia="宋体" w:cs="宋体"/>
                <w:color w:val="auto"/>
                <w:szCs w:val="21"/>
                <w:highlight w:val="none"/>
                <w:lang w:val="en-US" w:eastAsia="zh-CN"/>
              </w:rPr>
              <w:t>省世纪杯、甘肃省飞天奖。如奖项名称变化以官方宣布为准。</w:t>
            </w:r>
          </w:p>
          <w:p w14:paraId="5560B71F">
            <w:pPr>
              <w:numPr>
                <w:ilvl w:val="0"/>
                <w:numId w:val="0"/>
              </w:numPr>
              <w:spacing w:line="500" w:lineRule="exact"/>
              <w:jc w:val="left"/>
              <w:rPr>
                <w:rFonts w:hint="default"/>
                <w:color w:val="auto"/>
                <w:highlight w:val="none"/>
                <w:lang w:val="en-US" w:eastAsia="zh-CN"/>
              </w:rPr>
            </w:pPr>
            <w:r>
              <w:rPr>
                <w:rFonts w:hint="eastAsia"/>
                <w:color w:val="auto"/>
                <w:highlight w:val="none"/>
                <w:lang w:val="en-US" w:eastAsia="zh-CN"/>
              </w:rPr>
              <w:t>3）</w:t>
            </w:r>
            <w:r>
              <w:rPr>
                <w:rFonts w:hint="eastAsia" w:ascii="宋体" w:hAnsi="宋体" w:cs="宋体"/>
                <w:color w:val="auto"/>
                <w:szCs w:val="21"/>
                <w:highlight w:val="none"/>
              </w:rPr>
              <w:t>本次评标办法中</w:t>
            </w:r>
            <w:r>
              <w:rPr>
                <w:rFonts w:hint="eastAsia" w:ascii="宋体" w:hAnsi="宋体" w:cs="宋体"/>
                <w:color w:val="auto"/>
                <w:szCs w:val="21"/>
                <w:highlight w:val="none"/>
                <w:lang w:val="en-US" w:eastAsia="zh-CN"/>
              </w:rPr>
              <w:t>国家级</w:t>
            </w:r>
            <w:r>
              <w:rPr>
                <w:rFonts w:hint="eastAsia" w:ascii="宋体" w:hAnsi="宋体" w:cs="宋体"/>
                <w:color w:val="auto"/>
                <w:szCs w:val="21"/>
                <w:highlight w:val="none"/>
              </w:rPr>
              <w:t>优质工程奖</w:t>
            </w:r>
            <w:r>
              <w:rPr>
                <w:rFonts w:hint="eastAsia" w:ascii="宋体" w:hAnsi="宋体" w:cs="宋体"/>
                <w:color w:val="auto"/>
                <w:szCs w:val="21"/>
                <w:highlight w:val="none"/>
                <w:lang w:val="en-US" w:eastAsia="zh-CN"/>
              </w:rPr>
              <w:t>指</w:t>
            </w:r>
            <w:r>
              <w:rPr>
                <w:rFonts w:hint="eastAsia"/>
                <w:color w:val="auto"/>
                <w:highlight w:val="none"/>
                <w:lang w:val="en-US" w:eastAsia="zh-CN"/>
              </w:rPr>
              <w:t>中国建设工程鲁班奖（国家优质工程）或国家优质工程奖或中国土木工程詹天佑奖或中国建筑工程钢结构金奖。</w:t>
            </w:r>
          </w:p>
        </w:tc>
      </w:tr>
      <w:tr w14:paraId="1DC8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Align w:val="center"/>
          </w:tcPr>
          <w:p w14:paraId="354FB1A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项目负责人综合能力（</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分）</w:t>
            </w:r>
          </w:p>
        </w:tc>
        <w:tc>
          <w:tcPr>
            <w:tcW w:w="8700" w:type="dxa"/>
            <w:vAlign w:val="center"/>
          </w:tcPr>
          <w:p w14:paraId="370D000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1.具有在投标单位注册的一级注册建造师或一级注册造价工程师证书的得2分，满分2分；</w:t>
            </w:r>
          </w:p>
          <w:p w14:paraId="0121772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2.具有工程类相关专业的高级工程师职称证书的得2分，满分2分；</w:t>
            </w:r>
          </w:p>
          <w:p w14:paraId="4FD65FA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3.本项满分4分。</w:t>
            </w:r>
          </w:p>
          <w:p w14:paraId="56A1237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color w:val="auto"/>
                <w:highlight w:val="none"/>
                <w:lang w:val="en-US" w:eastAsia="zh-CN"/>
              </w:rPr>
            </w:pPr>
            <w:r>
              <w:rPr>
                <w:rFonts w:hint="eastAsia" w:ascii="宋体" w:hAnsi="宋体" w:eastAsia="宋体" w:cs="宋体"/>
                <w:b/>
                <w:bCs/>
                <w:color w:val="auto"/>
                <w:sz w:val="21"/>
                <w:szCs w:val="21"/>
                <w:highlight w:val="none"/>
                <w:lang w:val="en-US" w:eastAsia="zh-CN"/>
              </w:rPr>
              <w:t>注：提供证书扫描件。</w:t>
            </w:r>
          </w:p>
        </w:tc>
      </w:tr>
      <w:tr w14:paraId="5868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Align w:val="center"/>
          </w:tcPr>
          <w:p w14:paraId="17FB35EA">
            <w:pPr>
              <w:pStyle w:val="4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监理机构人员配备</w:t>
            </w:r>
            <w:r>
              <w:rPr>
                <w:rFonts w:hint="eastAsia" w:hAnsi="宋体" w:cs="宋体"/>
                <w:b/>
                <w:bCs/>
                <w:color w:val="auto"/>
                <w:kern w:val="2"/>
                <w:sz w:val="21"/>
                <w:szCs w:val="21"/>
                <w:highlight w:val="none"/>
                <w:lang w:val="en-US" w:eastAsia="zh-CN" w:bidi="ar-SA"/>
              </w:rPr>
              <w:t>（不含项目负责人</w:t>
            </w:r>
            <w:r>
              <w:rPr>
                <w:rFonts w:hint="eastAsia" w:ascii="宋体" w:hAnsi="宋体" w:eastAsia="宋体" w:cs="宋体"/>
                <w:b/>
                <w:bCs/>
                <w:color w:val="auto"/>
                <w:kern w:val="2"/>
                <w:sz w:val="21"/>
                <w:szCs w:val="21"/>
                <w:highlight w:val="none"/>
                <w:lang w:val="en-US" w:eastAsia="zh-CN" w:bidi="ar-SA"/>
              </w:rPr>
              <w:t>（</w:t>
            </w:r>
            <w:r>
              <w:rPr>
                <w:rFonts w:hint="eastAsia" w:hAnsi="宋体" w:cs="宋体"/>
                <w:b/>
                <w:bCs/>
                <w:color w:val="auto"/>
                <w:kern w:val="2"/>
                <w:sz w:val="21"/>
                <w:szCs w:val="21"/>
                <w:highlight w:val="none"/>
                <w:lang w:val="en-US" w:eastAsia="zh-CN" w:bidi="ar-SA"/>
              </w:rPr>
              <w:t>6</w:t>
            </w:r>
            <w:r>
              <w:rPr>
                <w:rFonts w:hint="eastAsia" w:ascii="宋体" w:hAnsi="宋体" w:eastAsia="宋体" w:cs="宋体"/>
                <w:b/>
                <w:bCs/>
                <w:color w:val="auto"/>
                <w:kern w:val="2"/>
                <w:sz w:val="21"/>
                <w:szCs w:val="21"/>
                <w:highlight w:val="none"/>
                <w:lang w:val="en-US" w:eastAsia="zh-CN" w:bidi="ar-SA"/>
              </w:rPr>
              <w:t>分）</w:t>
            </w:r>
          </w:p>
        </w:tc>
        <w:tc>
          <w:tcPr>
            <w:tcW w:w="8700" w:type="dxa"/>
            <w:vAlign w:val="top"/>
          </w:tcPr>
          <w:p w14:paraId="17FAE44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除基本配备人员外，额外增加配</w:t>
            </w:r>
            <w:r>
              <w:rPr>
                <w:rFonts w:hint="eastAsia" w:ascii="宋体" w:hAnsi="宋体" w:cs="宋体"/>
                <w:color w:val="auto"/>
                <w:sz w:val="21"/>
                <w:szCs w:val="21"/>
                <w:highlight w:val="none"/>
                <w:lang w:val="en-US" w:eastAsia="zh-CN"/>
              </w:rPr>
              <w:t>备以下人员：</w:t>
            </w:r>
          </w:p>
          <w:p w14:paraId="64C50D1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1.每提供一个专业的高级职称证书得2分，满分4分，专业名称为：建筑工程、电气工程、暖通工程、给排水</w:t>
            </w:r>
            <w:r>
              <w:rPr>
                <w:rFonts w:hint="eastAsia" w:ascii="宋体" w:hAnsi="宋体" w:cs="宋体"/>
                <w:color w:val="auto"/>
                <w:sz w:val="21"/>
                <w:szCs w:val="21"/>
                <w:highlight w:val="none"/>
                <w:lang w:val="en-US" w:eastAsia="zh-CN"/>
              </w:rPr>
              <w:t>工程</w:t>
            </w:r>
            <w:r>
              <w:rPr>
                <w:rFonts w:hint="eastAsia" w:ascii="宋体" w:hAnsi="宋体" w:eastAsia="宋体" w:cs="宋体"/>
                <w:color w:val="auto"/>
                <w:sz w:val="21"/>
                <w:szCs w:val="21"/>
                <w:highlight w:val="none"/>
                <w:lang w:val="en-US" w:eastAsia="zh-CN"/>
              </w:rPr>
              <w:t>。</w:t>
            </w:r>
          </w:p>
          <w:p w14:paraId="3DD905D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2.每提供一个专业的中级职称证书得1分，满分2分，专业名称为：建筑工程、电气工程、暖通工程、给排水</w:t>
            </w:r>
            <w:r>
              <w:rPr>
                <w:rFonts w:hint="eastAsia" w:ascii="宋体" w:hAnsi="宋体" w:cs="宋体"/>
                <w:color w:val="auto"/>
                <w:sz w:val="21"/>
                <w:szCs w:val="21"/>
                <w:highlight w:val="none"/>
                <w:lang w:val="en-US" w:eastAsia="zh-CN"/>
              </w:rPr>
              <w:t>工程</w:t>
            </w:r>
            <w:r>
              <w:rPr>
                <w:rFonts w:hint="eastAsia" w:ascii="宋体" w:hAnsi="宋体" w:eastAsia="宋体" w:cs="宋体"/>
                <w:color w:val="auto"/>
                <w:sz w:val="21"/>
                <w:szCs w:val="21"/>
                <w:highlight w:val="none"/>
                <w:lang w:val="en-US" w:eastAsia="zh-CN"/>
              </w:rPr>
              <w:t>。</w:t>
            </w:r>
          </w:p>
          <w:p w14:paraId="03D2A45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3.本项满分6分。</w:t>
            </w:r>
          </w:p>
          <w:p w14:paraId="1E30189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注：</w:t>
            </w:r>
            <w:r>
              <w:rPr>
                <w:rFonts w:hint="default" w:ascii="宋体" w:hAnsi="宋体" w:eastAsia="宋体" w:cs="宋体"/>
                <w:b/>
                <w:bCs/>
                <w:color w:val="auto"/>
                <w:sz w:val="21"/>
                <w:szCs w:val="21"/>
                <w:highlight w:val="none"/>
                <w:lang w:val="en-US" w:eastAsia="zh-CN"/>
              </w:rPr>
              <w:t>①</w:t>
            </w:r>
            <w:r>
              <w:rPr>
                <w:rFonts w:hint="eastAsia" w:ascii="宋体" w:hAnsi="宋体" w:eastAsia="宋体" w:cs="宋体"/>
                <w:b/>
                <w:bCs/>
                <w:color w:val="auto"/>
                <w:sz w:val="21"/>
                <w:szCs w:val="21"/>
                <w:highlight w:val="none"/>
                <w:lang w:val="en-US" w:eastAsia="zh-CN"/>
              </w:rPr>
              <w:t>提供人员证书、职称证书</w:t>
            </w:r>
            <w:r>
              <w:rPr>
                <w:rFonts w:hint="eastAsia" w:ascii="宋体" w:hAnsi="宋体" w:eastAsia="宋体" w:cs="宋体"/>
                <w:b/>
                <w:bCs/>
                <w:color w:val="auto"/>
                <w:kern w:val="2"/>
                <w:sz w:val="21"/>
                <w:szCs w:val="21"/>
                <w:highlight w:val="none"/>
                <w:lang w:val="en-US" w:eastAsia="zh-CN" w:bidi="ar-SA"/>
              </w:rPr>
              <w:t>及投标单位为其缴纳的投标前近三个月连续的养老保险证明（养老保险证明材料具体要求同项目负责人）原件扫描件。</w:t>
            </w:r>
          </w:p>
          <w:p w14:paraId="5445534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kern w:val="2"/>
                <w:sz w:val="21"/>
                <w:szCs w:val="21"/>
                <w:highlight w:val="none"/>
                <w:lang w:val="en-US" w:eastAsia="zh-CN" w:bidi="ar-SA"/>
              </w:rPr>
            </w:pPr>
            <w:r>
              <w:rPr>
                <w:rFonts w:hint="default" w:ascii="宋体" w:hAnsi="宋体" w:eastAsia="宋体" w:cs="宋体"/>
                <w:b/>
                <w:bCs/>
                <w:color w:val="auto"/>
                <w:sz w:val="21"/>
                <w:szCs w:val="21"/>
                <w:highlight w:val="none"/>
                <w:lang w:val="en-US" w:eastAsia="zh-CN"/>
              </w:rPr>
              <w:t>②</w:t>
            </w:r>
            <w:r>
              <w:rPr>
                <w:rFonts w:hint="eastAsia" w:ascii="宋体" w:hAnsi="宋体" w:cs="宋体"/>
                <w:b/>
                <w:bCs/>
                <w:color w:val="auto"/>
                <w:sz w:val="21"/>
                <w:szCs w:val="21"/>
                <w:highlight w:val="none"/>
                <w:lang w:val="en-US" w:eastAsia="zh-CN"/>
              </w:rPr>
              <w:t>职称证书体现不出</w:t>
            </w:r>
            <w:r>
              <w:rPr>
                <w:rFonts w:hint="eastAsia" w:ascii="宋体" w:hAnsi="宋体" w:eastAsia="宋体" w:cs="宋体"/>
                <w:b/>
                <w:bCs/>
                <w:color w:val="auto"/>
                <w:sz w:val="21"/>
                <w:szCs w:val="21"/>
                <w:highlight w:val="none"/>
                <w:lang w:val="en-US" w:eastAsia="zh-CN"/>
              </w:rPr>
              <w:t>专业</w:t>
            </w:r>
            <w:r>
              <w:rPr>
                <w:rFonts w:hint="eastAsia" w:ascii="宋体" w:hAnsi="宋体" w:cs="宋体"/>
                <w:b/>
                <w:bCs/>
                <w:color w:val="auto"/>
                <w:sz w:val="21"/>
                <w:szCs w:val="21"/>
                <w:highlight w:val="none"/>
                <w:lang w:val="en-US" w:eastAsia="zh-CN"/>
              </w:rPr>
              <w:t>的</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以学历专业</w:t>
            </w:r>
            <w:r>
              <w:rPr>
                <w:rFonts w:hint="eastAsia" w:ascii="宋体" w:hAnsi="宋体" w:cs="宋体"/>
                <w:b/>
                <w:bCs/>
                <w:color w:val="auto"/>
                <w:sz w:val="21"/>
                <w:szCs w:val="21"/>
                <w:highlight w:val="none"/>
                <w:lang w:val="en-US" w:eastAsia="zh-CN"/>
              </w:rPr>
              <w:t>或注册证书专业</w:t>
            </w:r>
            <w:r>
              <w:rPr>
                <w:rFonts w:hint="eastAsia" w:ascii="宋体" w:hAnsi="宋体" w:eastAsia="宋体" w:cs="宋体"/>
                <w:b/>
                <w:bCs/>
                <w:color w:val="auto"/>
                <w:sz w:val="21"/>
                <w:szCs w:val="21"/>
                <w:highlight w:val="none"/>
                <w:lang w:val="en-US" w:eastAsia="zh-CN"/>
              </w:rPr>
              <w:t>证</w:t>
            </w:r>
            <w:r>
              <w:rPr>
                <w:rFonts w:hint="eastAsia" w:ascii="宋体" w:hAnsi="宋体" w:eastAsia="宋体" w:cs="宋体"/>
                <w:b/>
                <w:bCs/>
                <w:color w:val="auto"/>
                <w:sz w:val="21"/>
                <w:szCs w:val="21"/>
                <w:highlight w:val="none"/>
                <w:lang w:val="en-US" w:eastAsia="zh-CN"/>
              </w:rPr>
              <w:t>明其专业的，除</w:t>
            </w:r>
            <w:r>
              <w:rPr>
                <w:rFonts w:hint="eastAsia" w:ascii="宋体" w:hAnsi="宋体" w:eastAsia="宋体" w:cs="宋体"/>
                <w:b/>
                <w:bCs/>
                <w:color w:val="auto"/>
                <w:kern w:val="2"/>
                <w:sz w:val="21"/>
                <w:szCs w:val="21"/>
                <w:highlight w:val="none"/>
                <w:lang w:val="en-US" w:eastAsia="zh-CN" w:bidi="ar-SA"/>
              </w:rPr>
              <w:t>提供上述材料原件扫描件外，还须提供</w:t>
            </w:r>
            <w:r>
              <w:rPr>
                <w:rFonts w:hint="eastAsia" w:ascii="宋体" w:hAnsi="宋体" w:cs="宋体"/>
                <w:b/>
                <w:bCs/>
                <w:color w:val="auto"/>
                <w:kern w:val="2"/>
                <w:sz w:val="21"/>
                <w:szCs w:val="21"/>
                <w:highlight w:val="none"/>
                <w:lang w:val="en-US" w:eastAsia="zh-CN" w:bidi="ar-SA"/>
              </w:rPr>
              <w:t>对应</w:t>
            </w:r>
            <w:r>
              <w:rPr>
                <w:rFonts w:hint="eastAsia" w:ascii="宋体" w:hAnsi="宋体" w:eastAsia="宋体" w:cs="宋体"/>
                <w:b/>
                <w:bCs/>
                <w:color w:val="auto"/>
                <w:kern w:val="2"/>
                <w:sz w:val="21"/>
                <w:szCs w:val="21"/>
                <w:highlight w:val="none"/>
                <w:lang w:val="en-US" w:eastAsia="zh-CN" w:bidi="ar-SA"/>
              </w:rPr>
              <w:t>学历证书</w:t>
            </w:r>
            <w:r>
              <w:rPr>
                <w:rFonts w:hint="eastAsia" w:ascii="宋体" w:hAnsi="宋体" w:cs="宋体"/>
                <w:b/>
                <w:bCs/>
                <w:color w:val="auto"/>
                <w:kern w:val="2"/>
                <w:sz w:val="21"/>
                <w:szCs w:val="21"/>
                <w:highlight w:val="none"/>
                <w:lang w:val="en-US" w:eastAsia="zh-CN" w:bidi="ar-SA"/>
              </w:rPr>
              <w:t>或的对应注册证书</w:t>
            </w:r>
            <w:r>
              <w:rPr>
                <w:rFonts w:hint="eastAsia" w:ascii="宋体" w:hAnsi="宋体" w:eastAsia="宋体" w:cs="宋体"/>
                <w:b/>
                <w:bCs/>
                <w:color w:val="auto"/>
                <w:kern w:val="2"/>
                <w:sz w:val="21"/>
                <w:szCs w:val="21"/>
                <w:highlight w:val="none"/>
                <w:lang w:val="en-US" w:eastAsia="zh-CN" w:bidi="ar-SA"/>
              </w:rPr>
              <w:t>原</w:t>
            </w:r>
            <w:r>
              <w:rPr>
                <w:rFonts w:hint="eastAsia" w:ascii="宋体" w:hAnsi="宋体" w:eastAsia="宋体" w:cs="宋体"/>
                <w:b/>
                <w:bCs/>
                <w:color w:val="auto"/>
                <w:kern w:val="2"/>
                <w:sz w:val="21"/>
                <w:szCs w:val="21"/>
                <w:highlight w:val="none"/>
                <w:lang w:val="en-US" w:eastAsia="zh-CN" w:bidi="ar-SA"/>
              </w:rPr>
              <w:t>件扫描件。</w:t>
            </w:r>
          </w:p>
          <w:p w14:paraId="0B8E3D43">
            <w:pPr>
              <w:pStyle w:val="4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default" w:ascii="宋体" w:hAnsi="宋体" w:cs="宋体"/>
                <w:color w:val="auto"/>
                <w:szCs w:val="21"/>
                <w:highlight w:val="none"/>
                <w:lang w:val="en-US" w:eastAsia="zh-CN"/>
              </w:rPr>
            </w:pPr>
            <w:r>
              <w:rPr>
                <w:rFonts w:hint="default" w:ascii="宋体" w:hAnsi="宋体" w:eastAsia="宋体" w:cs="宋体"/>
                <w:b/>
                <w:bCs/>
                <w:color w:val="auto"/>
                <w:kern w:val="2"/>
                <w:sz w:val="21"/>
                <w:szCs w:val="21"/>
                <w:highlight w:val="none"/>
                <w:lang w:val="en-US" w:eastAsia="zh-CN" w:bidi="ar-SA"/>
              </w:rPr>
              <w:t>③监理机构人员配备（不含项目负责人</w:t>
            </w:r>
            <w:r>
              <w:rPr>
                <w:rFonts w:hint="eastAsia" w:hAnsi="宋体" w:cs="宋体"/>
                <w:b/>
                <w:bCs/>
                <w:color w:val="auto"/>
                <w:kern w:val="2"/>
                <w:sz w:val="21"/>
                <w:szCs w:val="21"/>
                <w:highlight w:val="none"/>
                <w:lang w:val="en-US" w:eastAsia="zh-CN" w:bidi="ar-SA"/>
              </w:rPr>
              <w:t>）</w:t>
            </w:r>
            <w:r>
              <w:rPr>
                <w:rFonts w:hint="default" w:ascii="宋体" w:hAnsi="宋体" w:eastAsia="宋体" w:cs="宋体"/>
                <w:b/>
                <w:bCs/>
                <w:color w:val="auto"/>
                <w:kern w:val="2"/>
                <w:sz w:val="21"/>
                <w:szCs w:val="21"/>
                <w:highlight w:val="none"/>
                <w:lang w:val="en-US" w:eastAsia="zh-CN" w:bidi="ar-SA"/>
              </w:rPr>
              <w:t>中一人同时具有多个专业</w:t>
            </w:r>
            <w:r>
              <w:rPr>
                <w:rFonts w:hint="eastAsia" w:hAnsi="宋体" w:cs="宋体"/>
                <w:b/>
                <w:bCs/>
                <w:color w:val="auto"/>
                <w:kern w:val="2"/>
                <w:sz w:val="21"/>
                <w:szCs w:val="21"/>
                <w:highlight w:val="none"/>
                <w:lang w:val="en-US" w:eastAsia="zh-CN" w:bidi="ar-SA"/>
              </w:rPr>
              <w:t>职称</w:t>
            </w:r>
            <w:r>
              <w:rPr>
                <w:rFonts w:hint="default" w:ascii="宋体" w:hAnsi="宋体" w:eastAsia="宋体" w:cs="宋体"/>
                <w:b/>
                <w:bCs/>
                <w:color w:val="auto"/>
                <w:kern w:val="2"/>
                <w:sz w:val="21"/>
                <w:szCs w:val="21"/>
                <w:highlight w:val="none"/>
                <w:lang w:val="en-US" w:eastAsia="zh-CN" w:bidi="ar-SA"/>
              </w:rPr>
              <w:t>证书或多人具有同一个专业</w:t>
            </w:r>
            <w:r>
              <w:rPr>
                <w:rFonts w:hint="eastAsia" w:hAnsi="宋体" w:cs="宋体"/>
                <w:b/>
                <w:bCs/>
                <w:color w:val="auto"/>
                <w:kern w:val="2"/>
                <w:sz w:val="21"/>
                <w:szCs w:val="21"/>
                <w:highlight w:val="none"/>
                <w:lang w:val="en-US" w:eastAsia="zh-CN" w:bidi="ar-SA"/>
              </w:rPr>
              <w:t>职称</w:t>
            </w:r>
            <w:r>
              <w:rPr>
                <w:rFonts w:hint="default" w:ascii="宋体" w:hAnsi="宋体" w:eastAsia="宋体" w:cs="宋体"/>
                <w:b/>
                <w:bCs/>
                <w:color w:val="auto"/>
                <w:kern w:val="2"/>
                <w:sz w:val="21"/>
                <w:szCs w:val="21"/>
                <w:highlight w:val="none"/>
                <w:lang w:val="en-US" w:eastAsia="zh-CN" w:bidi="ar-SA"/>
              </w:rPr>
              <w:t>证书的，均只按一人一个计算，不重复计分。</w:t>
            </w:r>
          </w:p>
        </w:tc>
      </w:tr>
      <w:tr w14:paraId="7EDC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10" w:type="dxa"/>
            <w:gridSpan w:val="2"/>
            <w:vAlign w:val="center"/>
          </w:tcPr>
          <w:p w14:paraId="0898347B">
            <w:pPr>
              <w:pStyle w:val="45"/>
              <w:keepNext w:val="0"/>
              <w:keepLines w:val="0"/>
              <w:pageBreakBefore w:val="0"/>
              <w:kinsoku/>
              <w:wordWrap/>
              <w:overflowPunct/>
              <w:topLinePunct w:val="0"/>
              <w:autoSpaceDE/>
              <w:autoSpaceDN/>
              <w:bidi w:val="0"/>
              <w:adjustRightInd/>
              <w:snapToGrid w:val="0"/>
              <w:spacing w:line="500" w:lineRule="exact"/>
              <w:ind w:left="0" w:leftChars="0"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投标人投标时只须提供1个评审业绩和1个评审奖项，若投标人提供业绩奖项个数超过1个评审业绩和1个评审奖项，则按照排列顺序从首个业绩和奖项开始评审至对应数量，超出部分业绩和奖项不进行评审。对应数量（1个）业绩和（1个）奖项不符合招标文件要求，不得分的，不再补充评审超出部分业绩和奖项。如：提供1个业绩和1个奖项即得满分的，按照投标文件排序评审第一业绩和第一项奖项，其余超出部分不再评审。</w:t>
            </w:r>
          </w:p>
        </w:tc>
      </w:tr>
    </w:tbl>
    <w:p w14:paraId="01DD0FAA">
      <w:pPr>
        <w:numPr>
          <w:ilvl w:val="0"/>
          <w:numId w:val="0"/>
        </w:numPr>
        <w:spacing w:beforeLines="80" w:afterLines="80" w:line="440" w:lineRule="exact"/>
        <w:jc w:val="center"/>
        <w:rPr>
          <w:color w:val="auto"/>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技术评审</w:t>
      </w:r>
    </w:p>
    <w:tbl>
      <w:tblPr>
        <w:tblStyle w:val="46"/>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111"/>
        <w:gridCol w:w="2160"/>
        <w:gridCol w:w="1140"/>
        <w:gridCol w:w="5055"/>
      </w:tblGrid>
      <w:tr w14:paraId="4834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5" w:type="dxa"/>
            <w:gridSpan w:val="2"/>
            <w:vAlign w:val="center"/>
          </w:tcPr>
          <w:p w14:paraId="3288CC9C">
            <w:pPr>
              <w:spacing w:line="440" w:lineRule="exact"/>
              <w:jc w:val="center"/>
              <w:rPr>
                <w:rFonts w:ascii="宋体" w:cs="宋体"/>
                <w:b/>
                <w:bCs/>
                <w:color w:val="auto"/>
                <w:szCs w:val="21"/>
                <w:highlight w:val="none"/>
              </w:rPr>
            </w:pPr>
            <w:r>
              <w:rPr>
                <w:rFonts w:hint="eastAsia" w:ascii="宋体" w:hAnsi="宋体" w:cs="宋体"/>
                <w:b/>
                <w:bCs/>
                <w:color w:val="auto"/>
                <w:szCs w:val="21"/>
                <w:highlight w:val="none"/>
              </w:rPr>
              <w:t>条款号</w:t>
            </w:r>
          </w:p>
        </w:tc>
        <w:tc>
          <w:tcPr>
            <w:tcW w:w="2160" w:type="dxa"/>
            <w:vAlign w:val="center"/>
          </w:tcPr>
          <w:p w14:paraId="5E5CC541">
            <w:pPr>
              <w:spacing w:line="440" w:lineRule="exact"/>
              <w:jc w:val="center"/>
              <w:rPr>
                <w:rFonts w:ascii="宋体" w:cs="宋体"/>
                <w:b/>
                <w:bCs/>
                <w:color w:val="auto"/>
                <w:szCs w:val="21"/>
                <w:highlight w:val="none"/>
              </w:rPr>
            </w:pPr>
            <w:r>
              <w:rPr>
                <w:rFonts w:hint="eastAsia" w:ascii="宋体" w:hAnsi="宋体" w:cs="宋体"/>
                <w:b/>
                <w:bCs/>
                <w:color w:val="auto"/>
                <w:szCs w:val="21"/>
                <w:highlight w:val="none"/>
              </w:rPr>
              <w:t>评审因素</w:t>
            </w:r>
          </w:p>
        </w:tc>
        <w:tc>
          <w:tcPr>
            <w:tcW w:w="6195" w:type="dxa"/>
            <w:gridSpan w:val="2"/>
            <w:vAlign w:val="center"/>
          </w:tcPr>
          <w:p w14:paraId="287B0F05">
            <w:pPr>
              <w:spacing w:line="440" w:lineRule="exact"/>
              <w:jc w:val="center"/>
              <w:rPr>
                <w:rFonts w:ascii="宋体" w:cs="宋体"/>
                <w:b/>
                <w:bCs/>
                <w:color w:val="auto"/>
                <w:szCs w:val="21"/>
                <w:highlight w:val="none"/>
              </w:rPr>
            </w:pPr>
            <w:r>
              <w:rPr>
                <w:rFonts w:hint="eastAsia" w:ascii="宋体" w:hAnsi="宋体" w:cs="宋体"/>
                <w:b/>
                <w:bCs/>
                <w:color w:val="auto"/>
                <w:szCs w:val="21"/>
                <w:highlight w:val="none"/>
              </w:rPr>
              <w:t>评审标准</w:t>
            </w:r>
          </w:p>
        </w:tc>
      </w:tr>
      <w:tr w14:paraId="1DF2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94" w:type="dxa"/>
            <w:vAlign w:val="center"/>
          </w:tcPr>
          <w:p w14:paraId="0D737DFA">
            <w:pPr>
              <w:spacing w:line="440" w:lineRule="exact"/>
              <w:jc w:val="center"/>
              <w:rPr>
                <w:rFonts w:ascii="宋体" w:cs="宋体"/>
                <w:color w:val="auto"/>
                <w:szCs w:val="21"/>
                <w:highlight w:val="none"/>
              </w:rPr>
            </w:pPr>
            <w:r>
              <w:rPr>
                <w:rFonts w:ascii="宋体" w:hAnsi="宋体" w:cs="宋体"/>
                <w:color w:val="auto"/>
                <w:szCs w:val="21"/>
                <w:highlight w:val="none"/>
              </w:rPr>
              <w:t>4.1.1</w:t>
            </w:r>
          </w:p>
        </w:tc>
        <w:tc>
          <w:tcPr>
            <w:tcW w:w="1111" w:type="dxa"/>
            <w:vAlign w:val="center"/>
          </w:tcPr>
          <w:p w14:paraId="33A07A8F">
            <w:pPr>
              <w:spacing w:line="440" w:lineRule="exact"/>
              <w:jc w:val="center"/>
              <w:rPr>
                <w:rFonts w:ascii="宋体" w:cs="宋体"/>
                <w:color w:val="auto"/>
                <w:szCs w:val="21"/>
                <w:highlight w:val="none"/>
              </w:rPr>
            </w:pPr>
            <w:r>
              <w:rPr>
                <w:rFonts w:hint="eastAsia" w:ascii="宋体" w:hAnsi="宋体" w:cs="宋体"/>
                <w:color w:val="auto"/>
                <w:szCs w:val="21"/>
                <w:highlight w:val="none"/>
              </w:rPr>
              <w:t>形式评审标准</w:t>
            </w:r>
          </w:p>
        </w:tc>
        <w:tc>
          <w:tcPr>
            <w:tcW w:w="2160" w:type="dxa"/>
            <w:vAlign w:val="center"/>
          </w:tcPr>
          <w:p w14:paraId="779BA487">
            <w:pPr>
              <w:spacing w:line="440" w:lineRule="exact"/>
              <w:jc w:val="center"/>
              <w:rPr>
                <w:rFonts w:ascii="宋体" w:cs="宋体"/>
                <w:color w:val="auto"/>
                <w:szCs w:val="21"/>
                <w:highlight w:val="none"/>
              </w:rPr>
            </w:pPr>
            <w:r>
              <w:rPr>
                <w:rFonts w:hint="eastAsia" w:ascii="宋体" w:hAnsi="宋体" w:cs="宋体"/>
                <w:color w:val="auto"/>
                <w:szCs w:val="21"/>
                <w:highlight w:val="none"/>
              </w:rPr>
              <w:t>投标文件格式</w:t>
            </w:r>
          </w:p>
        </w:tc>
        <w:tc>
          <w:tcPr>
            <w:tcW w:w="6195" w:type="dxa"/>
            <w:gridSpan w:val="2"/>
            <w:vAlign w:val="center"/>
          </w:tcPr>
          <w:p w14:paraId="07829175">
            <w:pPr>
              <w:spacing w:line="440" w:lineRule="exact"/>
              <w:jc w:val="left"/>
              <w:rPr>
                <w:rFonts w:ascii="宋体" w:cs="宋体"/>
                <w:color w:val="auto"/>
                <w:szCs w:val="21"/>
                <w:highlight w:val="none"/>
              </w:rPr>
            </w:pPr>
            <w:r>
              <w:rPr>
                <w:rFonts w:hint="eastAsia" w:ascii="宋体" w:hAnsi="宋体" w:cs="宋体"/>
                <w:color w:val="auto"/>
                <w:szCs w:val="21"/>
                <w:highlight w:val="none"/>
              </w:rPr>
              <w:t>符合第五章“投标文件格式”的要求，否则经评委会一致认定后</w:t>
            </w:r>
            <w:r>
              <w:rPr>
                <w:rFonts w:ascii="宋体" w:cs="宋体"/>
                <w:color w:val="auto"/>
                <w:szCs w:val="21"/>
                <w:highlight w:val="none"/>
              </w:rPr>
              <w:t>,</w:t>
            </w:r>
            <w:r>
              <w:rPr>
                <w:rFonts w:hint="eastAsia" w:ascii="宋体" w:hAnsi="宋体" w:cs="宋体"/>
                <w:color w:val="auto"/>
                <w:szCs w:val="21"/>
                <w:highlight w:val="none"/>
              </w:rPr>
              <w:t>按照无效投标处理。</w:t>
            </w:r>
          </w:p>
        </w:tc>
      </w:tr>
      <w:tr w14:paraId="2DB7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794" w:type="dxa"/>
            <w:vMerge w:val="restart"/>
            <w:vAlign w:val="center"/>
          </w:tcPr>
          <w:p w14:paraId="78DEFC4C">
            <w:pPr>
              <w:spacing w:line="440" w:lineRule="exact"/>
              <w:jc w:val="center"/>
              <w:rPr>
                <w:rFonts w:ascii="宋体" w:cs="宋体"/>
                <w:color w:val="auto"/>
                <w:szCs w:val="21"/>
                <w:highlight w:val="none"/>
              </w:rPr>
            </w:pPr>
            <w:r>
              <w:rPr>
                <w:rFonts w:ascii="宋体" w:hAnsi="宋体" w:cs="宋体"/>
                <w:color w:val="auto"/>
                <w:szCs w:val="21"/>
                <w:highlight w:val="none"/>
              </w:rPr>
              <w:t>4.1.2</w:t>
            </w:r>
          </w:p>
        </w:tc>
        <w:tc>
          <w:tcPr>
            <w:tcW w:w="1111" w:type="dxa"/>
            <w:vMerge w:val="restart"/>
            <w:vAlign w:val="center"/>
          </w:tcPr>
          <w:p w14:paraId="3913CAC6">
            <w:pPr>
              <w:spacing w:line="440" w:lineRule="exact"/>
              <w:rPr>
                <w:rFonts w:ascii="宋体" w:cs="宋体"/>
                <w:color w:val="auto"/>
                <w:szCs w:val="21"/>
                <w:highlight w:val="none"/>
              </w:rPr>
            </w:pPr>
            <w:r>
              <w:rPr>
                <w:rFonts w:hint="eastAsia" w:ascii="宋体" w:hAnsi="宋体" w:cs="宋体"/>
                <w:color w:val="auto"/>
                <w:szCs w:val="21"/>
                <w:highlight w:val="none"/>
              </w:rPr>
              <w:t>响应性评审标准</w:t>
            </w:r>
          </w:p>
        </w:tc>
        <w:tc>
          <w:tcPr>
            <w:tcW w:w="2160" w:type="dxa"/>
            <w:vAlign w:val="center"/>
          </w:tcPr>
          <w:p w14:paraId="2CF7BCE2">
            <w:pPr>
              <w:spacing w:line="440" w:lineRule="exact"/>
              <w:jc w:val="center"/>
              <w:rPr>
                <w:rFonts w:ascii="宋体" w:cs="宋体"/>
                <w:color w:val="auto"/>
                <w:szCs w:val="21"/>
                <w:highlight w:val="none"/>
              </w:rPr>
            </w:pPr>
            <w:r>
              <w:rPr>
                <w:rFonts w:hint="eastAsia" w:ascii="宋体" w:hAnsi="宋体" w:cs="宋体"/>
                <w:color w:val="auto"/>
                <w:szCs w:val="21"/>
                <w:highlight w:val="none"/>
              </w:rPr>
              <w:t>投标内容</w:t>
            </w:r>
          </w:p>
        </w:tc>
        <w:tc>
          <w:tcPr>
            <w:tcW w:w="6195" w:type="dxa"/>
            <w:gridSpan w:val="2"/>
            <w:vAlign w:val="center"/>
          </w:tcPr>
          <w:p w14:paraId="467ADD96">
            <w:pPr>
              <w:spacing w:line="440" w:lineRule="exact"/>
              <w:rPr>
                <w:rFonts w:hint="default" w:ascii="宋体" w:eastAsia="宋体" w:cs="宋体"/>
                <w:color w:val="auto"/>
                <w:szCs w:val="21"/>
                <w:highlight w:val="none"/>
                <w:lang w:val="en-US" w:eastAsia="zh-CN"/>
              </w:rPr>
            </w:pPr>
            <w:r>
              <w:rPr>
                <w:rFonts w:hint="eastAsia" w:ascii="宋体" w:hAnsi="宋体" w:cs="宋体"/>
                <w:color w:val="auto"/>
                <w:szCs w:val="21"/>
                <w:highlight w:val="none"/>
              </w:rPr>
              <w:t>符合</w:t>
            </w:r>
            <w:r>
              <w:rPr>
                <w:rFonts w:hint="eastAsia" w:ascii="宋体" w:hAnsi="宋体" w:cs="宋体"/>
                <w:color w:val="auto"/>
                <w:szCs w:val="21"/>
                <w:highlight w:val="none"/>
                <w:lang w:val="en-US" w:eastAsia="zh-CN"/>
              </w:rPr>
              <w:t>招标文件规定</w:t>
            </w:r>
          </w:p>
        </w:tc>
      </w:tr>
      <w:tr w14:paraId="0F51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794" w:type="dxa"/>
            <w:vMerge w:val="continue"/>
          </w:tcPr>
          <w:p w14:paraId="624B0744">
            <w:pPr>
              <w:spacing w:line="440" w:lineRule="exact"/>
              <w:rPr>
                <w:rFonts w:ascii="宋体" w:cs="宋体"/>
                <w:color w:val="auto"/>
                <w:szCs w:val="21"/>
                <w:highlight w:val="none"/>
              </w:rPr>
            </w:pPr>
          </w:p>
        </w:tc>
        <w:tc>
          <w:tcPr>
            <w:tcW w:w="1111" w:type="dxa"/>
            <w:vMerge w:val="continue"/>
          </w:tcPr>
          <w:p w14:paraId="09DB96C1">
            <w:pPr>
              <w:spacing w:line="440" w:lineRule="exact"/>
              <w:rPr>
                <w:rFonts w:ascii="宋体" w:cs="宋体"/>
                <w:color w:val="auto"/>
                <w:szCs w:val="21"/>
                <w:highlight w:val="none"/>
              </w:rPr>
            </w:pPr>
          </w:p>
        </w:tc>
        <w:tc>
          <w:tcPr>
            <w:tcW w:w="2160" w:type="dxa"/>
            <w:vAlign w:val="center"/>
          </w:tcPr>
          <w:p w14:paraId="67A03495">
            <w:pPr>
              <w:spacing w:line="440" w:lineRule="exact"/>
              <w:jc w:val="center"/>
              <w:rPr>
                <w:rFonts w:ascii="宋体" w:cs="宋体"/>
                <w:color w:val="auto"/>
                <w:szCs w:val="21"/>
                <w:highlight w:val="none"/>
              </w:rPr>
            </w:pPr>
            <w:r>
              <w:rPr>
                <w:rFonts w:hint="eastAsia" w:ascii="宋体" w:hAnsi="宋体" w:cs="宋体"/>
                <w:color w:val="auto"/>
                <w:szCs w:val="21"/>
                <w:highlight w:val="none"/>
              </w:rPr>
              <w:t>权利义务</w:t>
            </w:r>
          </w:p>
        </w:tc>
        <w:tc>
          <w:tcPr>
            <w:tcW w:w="6195" w:type="dxa"/>
            <w:gridSpan w:val="2"/>
            <w:vAlign w:val="center"/>
          </w:tcPr>
          <w:p w14:paraId="22087262">
            <w:pPr>
              <w:spacing w:line="440" w:lineRule="exact"/>
              <w:rPr>
                <w:rFonts w:ascii="宋体" w:cs="宋体"/>
                <w:color w:val="auto"/>
                <w:szCs w:val="21"/>
                <w:highlight w:val="none"/>
              </w:rPr>
            </w:pPr>
            <w:r>
              <w:rPr>
                <w:rFonts w:ascii="宋体" w:hAnsi="宋体" w:cs="宋体"/>
                <w:color w:val="auto"/>
                <w:szCs w:val="21"/>
                <w:highlight w:val="none"/>
              </w:rPr>
              <w:t>/</w:t>
            </w:r>
          </w:p>
        </w:tc>
      </w:tr>
      <w:tr w14:paraId="4C21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94" w:type="dxa"/>
            <w:vMerge w:val="continue"/>
          </w:tcPr>
          <w:p w14:paraId="6D22C603">
            <w:pPr>
              <w:spacing w:line="440" w:lineRule="exact"/>
              <w:rPr>
                <w:rFonts w:ascii="宋体" w:cs="宋体"/>
                <w:color w:val="auto"/>
                <w:szCs w:val="21"/>
                <w:highlight w:val="none"/>
              </w:rPr>
            </w:pPr>
          </w:p>
        </w:tc>
        <w:tc>
          <w:tcPr>
            <w:tcW w:w="1111" w:type="dxa"/>
            <w:vMerge w:val="continue"/>
          </w:tcPr>
          <w:p w14:paraId="5E6E27EF">
            <w:pPr>
              <w:spacing w:line="440" w:lineRule="exact"/>
              <w:rPr>
                <w:rFonts w:ascii="宋体" w:cs="宋体"/>
                <w:color w:val="auto"/>
                <w:szCs w:val="21"/>
                <w:highlight w:val="none"/>
              </w:rPr>
            </w:pPr>
          </w:p>
        </w:tc>
        <w:tc>
          <w:tcPr>
            <w:tcW w:w="2160" w:type="dxa"/>
            <w:vAlign w:val="center"/>
          </w:tcPr>
          <w:p w14:paraId="27154C42">
            <w:pPr>
              <w:spacing w:line="440" w:lineRule="exact"/>
              <w:jc w:val="center"/>
              <w:rPr>
                <w:rFonts w:ascii="宋体" w:cs="宋体"/>
                <w:color w:val="auto"/>
                <w:szCs w:val="21"/>
                <w:highlight w:val="none"/>
              </w:rPr>
            </w:pPr>
            <w:r>
              <w:rPr>
                <w:rFonts w:hint="eastAsia" w:ascii="宋体" w:hAnsi="宋体" w:cs="宋体"/>
                <w:color w:val="auto"/>
                <w:szCs w:val="21"/>
                <w:highlight w:val="none"/>
              </w:rPr>
              <w:t>技术标准和要求</w:t>
            </w:r>
          </w:p>
        </w:tc>
        <w:tc>
          <w:tcPr>
            <w:tcW w:w="6195" w:type="dxa"/>
            <w:gridSpan w:val="2"/>
          </w:tcPr>
          <w:p w14:paraId="5FAED71E">
            <w:pPr>
              <w:spacing w:line="440" w:lineRule="exact"/>
              <w:rPr>
                <w:rFonts w:ascii="宋体" w:cs="宋体"/>
                <w:color w:val="auto"/>
                <w:szCs w:val="21"/>
                <w:highlight w:val="none"/>
              </w:rPr>
            </w:pPr>
            <w:r>
              <w:rPr>
                <w:rFonts w:ascii="宋体" w:hAnsi="宋体" w:cs="宋体"/>
                <w:color w:val="auto"/>
                <w:szCs w:val="21"/>
                <w:highlight w:val="none"/>
              </w:rPr>
              <w:t>/</w:t>
            </w:r>
          </w:p>
        </w:tc>
      </w:tr>
      <w:tr w14:paraId="7878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794" w:type="dxa"/>
            <w:vMerge w:val="restart"/>
            <w:vAlign w:val="center"/>
          </w:tcPr>
          <w:p w14:paraId="36A85047">
            <w:pPr>
              <w:spacing w:line="440" w:lineRule="exact"/>
              <w:jc w:val="center"/>
              <w:rPr>
                <w:rFonts w:ascii="宋体" w:cs="宋体"/>
                <w:color w:val="auto"/>
                <w:szCs w:val="21"/>
                <w:highlight w:val="none"/>
              </w:rPr>
            </w:pPr>
            <w:r>
              <w:rPr>
                <w:rFonts w:ascii="宋体" w:hAnsi="宋体" w:cs="宋体"/>
                <w:color w:val="auto"/>
                <w:szCs w:val="21"/>
                <w:highlight w:val="none"/>
              </w:rPr>
              <w:t>4.1.3</w:t>
            </w:r>
          </w:p>
        </w:tc>
        <w:tc>
          <w:tcPr>
            <w:tcW w:w="1111" w:type="dxa"/>
            <w:vMerge w:val="restart"/>
            <w:vAlign w:val="center"/>
          </w:tcPr>
          <w:p w14:paraId="7B4FF274">
            <w:pPr>
              <w:keepNext w:val="0"/>
              <w:keepLines w:val="0"/>
              <w:pageBreakBefore w:val="0"/>
              <w:kinsoku/>
              <w:wordWrap/>
              <w:overflowPunct/>
              <w:topLinePunct w:val="0"/>
              <w:autoSpaceDE/>
              <w:autoSpaceDN/>
              <w:bidi w:val="0"/>
              <w:adjustRightInd/>
              <w:spacing w:beforeAutospacing="0" w:afterAutospacing="0"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技术标评分标准（</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14:paraId="0B075C50">
            <w:pPr>
              <w:spacing w:line="440" w:lineRule="exact"/>
              <w:jc w:val="center"/>
              <w:rPr>
                <w:rFonts w:ascii="宋体" w:cs="宋体"/>
                <w:color w:val="auto"/>
                <w:szCs w:val="21"/>
                <w:highlight w:val="none"/>
              </w:rPr>
            </w:pPr>
          </w:p>
        </w:tc>
        <w:tc>
          <w:tcPr>
            <w:tcW w:w="2160" w:type="dxa"/>
            <w:vMerge w:val="restart"/>
            <w:vAlign w:val="center"/>
          </w:tcPr>
          <w:p w14:paraId="4D344BB4">
            <w:pPr>
              <w:spacing w:line="440" w:lineRule="exact"/>
              <w:jc w:val="center"/>
              <w:rPr>
                <w:rFonts w:ascii="宋体" w:cs="宋体"/>
                <w:color w:val="auto"/>
                <w:kern w:val="0"/>
                <w:szCs w:val="21"/>
                <w:highlight w:val="none"/>
              </w:rPr>
            </w:pPr>
            <w:r>
              <w:rPr>
                <w:rFonts w:hint="eastAsia"/>
                <w:color w:val="auto"/>
                <w:highlight w:val="none"/>
              </w:rPr>
              <w:t>监理大纲包括但不限于以下内容:①工程概况；②项目监理机构组织形式，人员岗位职责；③质量控制；④进度控制；⑤造价控制；⑥安全生产；⑦合同管理、信息管理；⑧文明施工管理、组织协调⑨关键工序控制；⑩对本工程重点、难点分析</w:t>
            </w:r>
            <w:r>
              <w:rPr>
                <w:rFonts w:hint="eastAsia"/>
                <w:color w:val="auto"/>
                <w:highlight w:val="none"/>
                <w:lang w:val="en-US" w:eastAsia="zh-CN"/>
              </w:rPr>
              <w:t>及建议。</w:t>
            </w:r>
          </w:p>
        </w:tc>
        <w:tc>
          <w:tcPr>
            <w:tcW w:w="1140" w:type="dxa"/>
            <w:vAlign w:val="center"/>
          </w:tcPr>
          <w:p w14:paraId="1FFA94B2">
            <w:pPr>
              <w:pStyle w:val="40"/>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质量控制</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（0-</w:t>
            </w:r>
            <w:r>
              <w:rPr>
                <w:rFonts w:hint="eastAsia" w:cs="宋体"/>
                <w:color w:val="auto"/>
                <w:sz w:val="21"/>
                <w:szCs w:val="21"/>
                <w:highlight w:val="none"/>
                <w:lang w:val="en-US" w:eastAsia="zh-CN"/>
              </w:rPr>
              <w:t>4分</w:t>
            </w:r>
            <w:r>
              <w:rPr>
                <w:rFonts w:hint="eastAsia" w:ascii="宋体" w:hAnsi="宋体" w:eastAsia="宋体" w:cs="宋体"/>
                <w:color w:val="auto"/>
                <w:sz w:val="21"/>
                <w:szCs w:val="21"/>
                <w:highlight w:val="none"/>
                <w:lang w:val="en-US" w:eastAsia="zh-CN"/>
              </w:rPr>
              <w:t>）</w:t>
            </w:r>
          </w:p>
        </w:tc>
        <w:tc>
          <w:tcPr>
            <w:tcW w:w="5055" w:type="dxa"/>
            <w:vAlign w:val="center"/>
          </w:tcPr>
          <w:p w14:paraId="3CCB6F76">
            <w:pPr>
              <w:pStyle w:val="40"/>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ind w:left="0" w:leftChars="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质量管理体系健全、制度完善、质量控制措施可行性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对此进行横向比较、综合打分，</w:t>
            </w:r>
            <w:r>
              <w:rPr>
                <w:rFonts w:hint="eastAsia" w:cs="宋体"/>
                <w:color w:val="auto"/>
                <w:sz w:val="21"/>
                <w:szCs w:val="21"/>
                <w:highlight w:val="none"/>
                <w:lang w:val="en-US" w:eastAsia="zh-CN"/>
              </w:rPr>
              <w:t>优秀的得4分，良好的得3.6分，一般的得3.2分，合格的得2.8分，不合格或缺项不得分，本项满分4分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（核验电子标书，投标文件须能反映上述评审内容）</w:t>
            </w:r>
          </w:p>
        </w:tc>
      </w:tr>
      <w:tr w14:paraId="56C0A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4" w:type="dxa"/>
            <w:vMerge w:val="continue"/>
            <w:vAlign w:val="center"/>
          </w:tcPr>
          <w:p w14:paraId="33DA57BA">
            <w:pPr>
              <w:spacing w:line="440" w:lineRule="exact"/>
              <w:jc w:val="center"/>
              <w:rPr>
                <w:rFonts w:ascii="宋体" w:hAnsi="宋体" w:cs="宋体"/>
                <w:color w:val="auto"/>
                <w:szCs w:val="21"/>
                <w:highlight w:val="none"/>
              </w:rPr>
            </w:pPr>
          </w:p>
        </w:tc>
        <w:tc>
          <w:tcPr>
            <w:tcW w:w="1111" w:type="dxa"/>
            <w:vMerge w:val="continue"/>
            <w:vAlign w:val="center"/>
          </w:tcPr>
          <w:p w14:paraId="37E42C65">
            <w:pPr>
              <w:spacing w:line="440" w:lineRule="exact"/>
              <w:jc w:val="center"/>
              <w:rPr>
                <w:rFonts w:hint="eastAsia" w:ascii="宋体" w:hAnsi="宋体" w:cs="宋体"/>
                <w:color w:val="auto"/>
                <w:szCs w:val="21"/>
                <w:highlight w:val="none"/>
              </w:rPr>
            </w:pPr>
          </w:p>
        </w:tc>
        <w:tc>
          <w:tcPr>
            <w:tcW w:w="2160" w:type="dxa"/>
            <w:vMerge w:val="continue"/>
            <w:vAlign w:val="center"/>
          </w:tcPr>
          <w:p w14:paraId="1C4250AA">
            <w:pPr>
              <w:spacing w:line="440" w:lineRule="exact"/>
              <w:jc w:val="center"/>
              <w:rPr>
                <w:rFonts w:hint="eastAsia" w:ascii="宋体" w:hAnsi="宋体" w:cs="宋体"/>
                <w:color w:val="auto"/>
                <w:kern w:val="0"/>
                <w:szCs w:val="21"/>
                <w:highlight w:val="none"/>
              </w:rPr>
            </w:pPr>
          </w:p>
        </w:tc>
        <w:tc>
          <w:tcPr>
            <w:tcW w:w="1140" w:type="dxa"/>
            <w:vAlign w:val="center"/>
          </w:tcPr>
          <w:p w14:paraId="456195D4">
            <w:pPr>
              <w:pStyle w:val="40"/>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进度控制</w:t>
            </w:r>
          </w:p>
          <w:p w14:paraId="3D1DA054">
            <w:pPr>
              <w:pStyle w:val="40"/>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（0-</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5055" w:type="dxa"/>
            <w:vAlign w:val="center"/>
          </w:tcPr>
          <w:p w14:paraId="2FFAF094">
            <w:pPr>
              <w:pStyle w:val="40"/>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ind w:left="0" w:leftChars="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进度控制措施有效、可行</w:t>
            </w:r>
            <w:r>
              <w:rPr>
                <w:rFonts w:hint="eastAsia" w:ascii="宋体" w:hAnsi="宋体" w:eastAsia="宋体" w:cs="宋体"/>
                <w:color w:val="auto"/>
                <w:sz w:val="21"/>
                <w:szCs w:val="21"/>
                <w:highlight w:val="none"/>
                <w:lang w:eastAsia="zh-CN"/>
              </w:rPr>
              <w:t>，内容全面、科学、合理。</w:t>
            </w:r>
            <w:r>
              <w:rPr>
                <w:rFonts w:hint="eastAsia" w:ascii="宋体" w:hAnsi="宋体" w:eastAsia="宋体" w:cs="宋体"/>
                <w:color w:val="auto"/>
                <w:sz w:val="21"/>
                <w:szCs w:val="21"/>
                <w:highlight w:val="none"/>
              </w:rPr>
              <w:t>对此进行横向比较、综合打分，</w:t>
            </w:r>
            <w:r>
              <w:rPr>
                <w:rFonts w:hint="eastAsia" w:cs="宋体"/>
                <w:color w:val="auto"/>
                <w:sz w:val="21"/>
                <w:szCs w:val="21"/>
                <w:highlight w:val="none"/>
                <w:lang w:val="en-US" w:eastAsia="zh-CN"/>
              </w:rPr>
              <w:t>优秀的得</w:t>
            </w:r>
            <w:r>
              <w:rPr>
                <w:rFonts w:hint="eastAsia" w:cs="宋体"/>
                <w:color w:val="auto"/>
                <w:sz w:val="21"/>
                <w:szCs w:val="21"/>
                <w:highlight w:val="none"/>
                <w:lang w:val="en-US" w:eastAsia="zh-CN"/>
              </w:rPr>
              <w:t>4分</w:t>
            </w:r>
            <w:r>
              <w:rPr>
                <w:rFonts w:hint="eastAsia" w:cs="宋体"/>
                <w:color w:val="auto"/>
                <w:sz w:val="21"/>
                <w:szCs w:val="21"/>
                <w:highlight w:val="none"/>
                <w:lang w:val="en-US" w:eastAsia="zh-CN"/>
              </w:rPr>
              <w:t>，</w:t>
            </w:r>
            <w:r>
              <w:rPr>
                <w:rFonts w:hint="eastAsia" w:cs="宋体"/>
                <w:color w:val="auto"/>
                <w:sz w:val="21"/>
                <w:szCs w:val="21"/>
                <w:highlight w:val="none"/>
                <w:lang w:val="en-US" w:eastAsia="zh-CN"/>
              </w:rPr>
              <w:t>良好的得3.6分，一般的得3.2分，合格的得2.8分，不合格或缺项不得分，本项满分4分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（核验电子标书，投标文件须能反映上述评审内容）</w:t>
            </w:r>
          </w:p>
        </w:tc>
      </w:tr>
      <w:tr w14:paraId="5011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94" w:type="dxa"/>
            <w:vMerge w:val="continue"/>
            <w:vAlign w:val="center"/>
          </w:tcPr>
          <w:p w14:paraId="2D93F3E8">
            <w:pPr>
              <w:spacing w:line="440" w:lineRule="exact"/>
              <w:jc w:val="center"/>
              <w:rPr>
                <w:rFonts w:ascii="宋体" w:hAnsi="宋体" w:cs="宋体"/>
                <w:color w:val="auto"/>
                <w:szCs w:val="21"/>
                <w:highlight w:val="none"/>
              </w:rPr>
            </w:pPr>
          </w:p>
        </w:tc>
        <w:tc>
          <w:tcPr>
            <w:tcW w:w="1111" w:type="dxa"/>
            <w:vMerge w:val="continue"/>
            <w:vAlign w:val="center"/>
          </w:tcPr>
          <w:p w14:paraId="5BD1CA27">
            <w:pPr>
              <w:spacing w:line="440" w:lineRule="exact"/>
              <w:jc w:val="center"/>
              <w:rPr>
                <w:rFonts w:hint="eastAsia" w:ascii="宋体" w:hAnsi="宋体" w:cs="宋体"/>
                <w:color w:val="auto"/>
                <w:szCs w:val="21"/>
                <w:highlight w:val="none"/>
              </w:rPr>
            </w:pPr>
          </w:p>
        </w:tc>
        <w:tc>
          <w:tcPr>
            <w:tcW w:w="2160" w:type="dxa"/>
            <w:vMerge w:val="continue"/>
            <w:vAlign w:val="center"/>
          </w:tcPr>
          <w:p w14:paraId="352DF895">
            <w:pPr>
              <w:spacing w:line="440" w:lineRule="exact"/>
              <w:jc w:val="center"/>
              <w:rPr>
                <w:rFonts w:hint="eastAsia" w:ascii="宋体" w:hAnsi="宋体" w:cs="宋体"/>
                <w:color w:val="auto"/>
                <w:kern w:val="0"/>
                <w:szCs w:val="21"/>
                <w:highlight w:val="none"/>
              </w:rPr>
            </w:pPr>
          </w:p>
        </w:tc>
        <w:tc>
          <w:tcPr>
            <w:tcW w:w="1140" w:type="dxa"/>
            <w:vAlign w:val="center"/>
          </w:tcPr>
          <w:p w14:paraId="3F21C19B">
            <w:pPr>
              <w:pStyle w:val="40"/>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造价控制</w:t>
            </w:r>
          </w:p>
          <w:p w14:paraId="01474342">
            <w:pPr>
              <w:pStyle w:val="40"/>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（0-</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5055" w:type="dxa"/>
            <w:vAlign w:val="center"/>
          </w:tcPr>
          <w:p w14:paraId="629F0ECD">
            <w:pPr>
              <w:pStyle w:val="40"/>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ind w:left="0" w:leftChars="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造价控制价目标明确、</w:t>
            </w:r>
            <w:r>
              <w:rPr>
                <w:rFonts w:hint="eastAsia" w:ascii="宋体" w:hAnsi="宋体" w:eastAsia="宋体" w:cs="宋体"/>
                <w:color w:val="auto"/>
                <w:sz w:val="21"/>
                <w:szCs w:val="21"/>
                <w:highlight w:val="none"/>
              </w:rPr>
              <w:t>工作方案详密，内容全面、科学、合理、可行，管控措施得力。对此进行横向比较、综合打分，</w:t>
            </w:r>
            <w:r>
              <w:rPr>
                <w:rFonts w:hint="eastAsia" w:cs="宋体"/>
                <w:color w:val="auto"/>
                <w:sz w:val="21"/>
                <w:szCs w:val="21"/>
                <w:highlight w:val="none"/>
                <w:lang w:val="en-US" w:eastAsia="zh-CN"/>
              </w:rPr>
              <w:t>优秀的得3分，良好的得2.7分，一般的得2.4分，合格的得2.1分，不合格或缺项不得分，本项满分3分</w:t>
            </w:r>
            <w:r>
              <w:rPr>
                <w:rFonts w:hint="eastAsia" w:ascii="宋体" w:hAnsi="宋体" w:eastAsia="宋体" w:cs="宋体"/>
                <w:color w:val="auto"/>
                <w:sz w:val="21"/>
                <w:szCs w:val="21"/>
                <w:highlight w:val="none"/>
              </w:rPr>
              <w:t>。（核验电子标书，投标文件须能反映上述评审内容）</w:t>
            </w:r>
          </w:p>
        </w:tc>
      </w:tr>
      <w:tr w14:paraId="7260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794" w:type="dxa"/>
            <w:vMerge w:val="continue"/>
            <w:vAlign w:val="center"/>
          </w:tcPr>
          <w:p w14:paraId="00E284D6">
            <w:pPr>
              <w:spacing w:line="440" w:lineRule="exact"/>
              <w:jc w:val="center"/>
              <w:rPr>
                <w:rFonts w:ascii="宋体" w:hAnsi="宋体" w:cs="宋体"/>
                <w:color w:val="auto"/>
                <w:szCs w:val="21"/>
                <w:highlight w:val="none"/>
              </w:rPr>
            </w:pPr>
          </w:p>
        </w:tc>
        <w:tc>
          <w:tcPr>
            <w:tcW w:w="1111" w:type="dxa"/>
            <w:vMerge w:val="continue"/>
            <w:vAlign w:val="center"/>
          </w:tcPr>
          <w:p w14:paraId="2DECACA1">
            <w:pPr>
              <w:spacing w:line="440" w:lineRule="exact"/>
              <w:jc w:val="center"/>
              <w:rPr>
                <w:rFonts w:hint="eastAsia" w:ascii="宋体" w:hAnsi="宋体" w:cs="宋体"/>
                <w:color w:val="auto"/>
                <w:szCs w:val="21"/>
                <w:highlight w:val="none"/>
              </w:rPr>
            </w:pPr>
          </w:p>
        </w:tc>
        <w:tc>
          <w:tcPr>
            <w:tcW w:w="2160" w:type="dxa"/>
            <w:vMerge w:val="continue"/>
            <w:vAlign w:val="center"/>
          </w:tcPr>
          <w:p w14:paraId="76DE19F5">
            <w:pPr>
              <w:spacing w:line="440" w:lineRule="exact"/>
              <w:jc w:val="center"/>
              <w:rPr>
                <w:rFonts w:hint="eastAsia" w:ascii="宋体" w:hAnsi="宋体" w:cs="宋体"/>
                <w:color w:val="auto"/>
                <w:kern w:val="0"/>
                <w:szCs w:val="21"/>
                <w:highlight w:val="none"/>
              </w:rPr>
            </w:pPr>
          </w:p>
        </w:tc>
        <w:tc>
          <w:tcPr>
            <w:tcW w:w="1140" w:type="dxa"/>
            <w:vAlign w:val="center"/>
          </w:tcPr>
          <w:p w14:paraId="446AE547">
            <w:pPr>
              <w:pStyle w:val="40"/>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w:t>
            </w:r>
          </w:p>
          <w:p w14:paraId="258CE4DF">
            <w:pPr>
              <w:pStyle w:val="40"/>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（0-</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c>
          <w:tcPr>
            <w:tcW w:w="5055" w:type="dxa"/>
            <w:vAlign w:val="center"/>
          </w:tcPr>
          <w:p w14:paraId="4ECAE089">
            <w:pPr>
              <w:pStyle w:val="40"/>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ind w:left="0" w:leftChars="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安全措施有效、</w:t>
            </w:r>
            <w:r>
              <w:rPr>
                <w:rFonts w:hint="eastAsia" w:ascii="宋体" w:hAnsi="宋体" w:eastAsia="宋体" w:cs="宋体"/>
                <w:color w:val="auto"/>
                <w:sz w:val="21"/>
                <w:szCs w:val="21"/>
                <w:highlight w:val="none"/>
                <w:lang w:val="en-US" w:eastAsia="zh-CN"/>
              </w:rPr>
              <w:t>工作方案</w:t>
            </w:r>
            <w:r>
              <w:rPr>
                <w:rFonts w:hint="eastAsia" w:ascii="宋体" w:hAnsi="宋体" w:eastAsia="宋体" w:cs="宋体"/>
                <w:color w:val="auto"/>
                <w:sz w:val="21"/>
                <w:szCs w:val="21"/>
                <w:highlight w:val="none"/>
              </w:rPr>
              <w:t>内容全面、科学、合理、可行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对此进行横向比较、综合打分，</w:t>
            </w:r>
            <w:r>
              <w:rPr>
                <w:rFonts w:hint="eastAsia" w:cs="宋体"/>
                <w:color w:val="auto"/>
                <w:sz w:val="21"/>
                <w:szCs w:val="21"/>
                <w:highlight w:val="none"/>
                <w:lang w:val="en-US" w:eastAsia="zh-CN"/>
              </w:rPr>
              <w:t>优秀的得2分，良好的得1.8分，一般的得1.6分，合格的得1.4分，不合格或缺项不得分，本项满分2分</w:t>
            </w:r>
            <w:r>
              <w:rPr>
                <w:rFonts w:hint="eastAsia" w:ascii="宋体" w:hAnsi="宋体" w:eastAsia="宋体" w:cs="宋体"/>
                <w:color w:val="auto"/>
                <w:sz w:val="21"/>
                <w:szCs w:val="21"/>
                <w:highlight w:val="none"/>
              </w:rPr>
              <w:t>。（核验电子标书，投标文件须能反映上述评审内容）</w:t>
            </w:r>
          </w:p>
        </w:tc>
      </w:tr>
      <w:tr w14:paraId="764E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794" w:type="dxa"/>
            <w:vMerge w:val="continue"/>
            <w:vAlign w:val="center"/>
          </w:tcPr>
          <w:p w14:paraId="0BD6987F">
            <w:pPr>
              <w:spacing w:line="440" w:lineRule="exact"/>
              <w:jc w:val="center"/>
              <w:rPr>
                <w:rFonts w:ascii="宋体" w:hAnsi="宋体" w:cs="宋体"/>
                <w:color w:val="auto"/>
                <w:szCs w:val="21"/>
                <w:highlight w:val="none"/>
              </w:rPr>
            </w:pPr>
          </w:p>
        </w:tc>
        <w:tc>
          <w:tcPr>
            <w:tcW w:w="1111" w:type="dxa"/>
            <w:vMerge w:val="continue"/>
            <w:vAlign w:val="center"/>
          </w:tcPr>
          <w:p w14:paraId="6ED747FE">
            <w:pPr>
              <w:spacing w:line="440" w:lineRule="exact"/>
              <w:jc w:val="center"/>
              <w:rPr>
                <w:rFonts w:hint="eastAsia" w:ascii="宋体" w:hAnsi="宋体" w:cs="宋体"/>
                <w:color w:val="auto"/>
                <w:szCs w:val="21"/>
                <w:highlight w:val="none"/>
              </w:rPr>
            </w:pPr>
          </w:p>
        </w:tc>
        <w:tc>
          <w:tcPr>
            <w:tcW w:w="2160" w:type="dxa"/>
            <w:vMerge w:val="continue"/>
            <w:vAlign w:val="center"/>
          </w:tcPr>
          <w:p w14:paraId="1118C8B8">
            <w:pPr>
              <w:spacing w:line="440" w:lineRule="exact"/>
              <w:jc w:val="center"/>
              <w:rPr>
                <w:rFonts w:hint="eastAsia" w:ascii="宋体" w:hAnsi="宋体" w:cs="宋体"/>
                <w:color w:val="auto"/>
                <w:kern w:val="0"/>
                <w:szCs w:val="21"/>
                <w:highlight w:val="none"/>
              </w:rPr>
            </w:pPr>
          </w:p>
        </w:tc>
        <w:tc>
          <w:tcPr>
            <w:tcW w:w="1140" w:type="dxa"/>
            <w:vAlign w:val="center"/>
          </w:tcPr>
          <w:p w14:paraId="3CFE4902">
            <w:pPr>
              <w:pStyle w:val="40"/>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合同及</w:t>
            </w:r>
            <w:r>
              <w:rPr>
                <w:rFonts w:hint="eastAsia" w:ascii="宋体" w:hAnsi="宋体" w:eastAsia="宋体" w:cs="宋体"/>
                <w:color w:val="auto"/>
                <w:sz w:val="21"/>
                <w:szCs w:val="21"/>
                <w:highlight w:val="none"/>
                <w:lang w:val="en-US" w:eastAsia="zh-CN"/>
              </w:rPr>
              <w:t>信息</w:t>
            </w:r>
            <w:r>
              <w:rPr>
                <w:rFonts w:hint="eastAsia" w:ascii="宋体" w:hAnsi="宋体" w:eastAsia="宋体" w:cs="宋体"/>
                <w:color w:val="auto"/>
                <w:sz w:val="21"/>
                <w:szCs w:val="21"/>
                <w:highlight w:val="none"/>
              </w:rPr>
              <w:t>管理</w:t>
            </w:r>
            <w:r>
              <w:rPr>
                <w:rFonts w:hint="eastAsia" w:ascii="宋体" w:hAnsi="宋体" w:eastAsia="宋体" w:cs="宋体"/>
                <w:color w:val="auto"/>
                <w:sz w:val="21"/>
                <w:szCs w:val="21"/>
                <w:highlight w:val="none"/>
                <w:lang w:val="en-US" w:eastAsia="zh-CN"/>
              </w:rPr>
              <w:t>（0-</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c>
          <w:tcPr>
            <w:tcW w:w="5055" w:type="dxa"/>
            <w:vAlign w:val="center"/>
          </w:tcPr>
          <w:p w14:paraId="49A58196">
            <w:pPr>
              <w:pStyle w:val="40"/>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ind w:left="0" w:leftChars="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合同管理措施完善可行，</w:t>
            </w:r>
            <w:r>
              <w:rPr>
                <w:rFonts w:hint="eastAsia" w:ascii="宋体" w:hAnsi="宋体" w:eastAsia="宋体" w:cs="宋体"/>
                <w:color w:val="auto"/>
                <w:sz w:val="21"/>
                <w:szCs w:val="21"/>
                <w:highlight w:val="none"/>
                <w:lang w:val="en-US" w:eastAsia="zh-CN"/>
              </w:rPr>
              <w:t>工作方案</w:t>
            </w:r>
            <w:r>
              <w:rPr>
                <w:rFonts w:hint="eastAsia" w:ascii="宋体" w:hAnsi="宋体" w:eastAsia="宋体" w:cs="宋体"/>
                <w:color w:val="auto"/>
                <w:sz w:val="21"/>
                <w:szCs w:val="21"/>
                <w:highlight w:val="none"/>
              </w:rPr>
              <w:t>内容全面、科学、合理、可行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对此进行横向比较、综合打分，</w:t>
            </w:r>
            <w:r>
              <w:rPr>
                <w:rFonts w:hint="eastAsia" w:cs="宋体"/>
                <w:color w:val="auto"/>
                <w:sz w:val="21"/>
                <w:szCs w:val="21"/>
                <w:highlight w:val="none"/>
                <w:lang w:val="en-US" w:eastAsia="zh-CN"/>
              </w:rPr>
              <w:t>优秀的得2分，良好的得1.8分，一般的得1.6分，合格的得1.4分，不合格或缺项不得分，本项满分2分</w:t>
            </w:r>
            <w:r>
              <w:rPr>
                <w:rFonts w:hint="eastAsia" w:ascii="宋体" w:hAnsi="宋体" w:eastAsia="宋体" w:cs="宋体"/>
                <w:color w:val="auto"/>
                <w:sz w:val="21"/>
                <w:szCs w:val="21"/>
                <w:highlight w:val="none"/>
              </w:rPr>
              <w:t>。（核验电子标书，投标文件须能反映上述评审内容）</w:t>
            </w:r>
          </w:p>
        </w:tc>
      </w:tr>
      <w:tr w14:paraId="739D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794" w:type="dxa"/>
            <w:vMerge w:val="continue"/>
            <w:vAlign w:val="center"/>
          </w:tcPr>
          <w:p w14:paraId="7BB95B30">
            <w:pPr>
              <w:spacing w:line="440" w:lineRule="exact"/>
              <w:jc w:val="center"/>
              <w:rPr>
                <w:rFonts w:ascii="宋体" w:hAnsi="宋体" w:cs="宋体"/>
                <w:color w:val="auto"/>
                <w:szCs w:val="21"/>
                <w:highlight w:val="none"/>
              </w:rPr>
            </w:pPr>
          </w:p>
        </w:tc>
        <w:tc>
          <w:tcPr>
            <w:tcW w:w="1111" w:type="dxa"/>
            <w:vMerge w:val="continue"/>
            <w:vAlign w:val="center"/>
          </w:tcPr>
          <w:p w14:paraId="3A886049">
            <w:pPr>
              <w:spacing w:line="440" w:lineRule="exact"/>
              <w:jc w:val="center"/>
              <w:rPr>
                <w:rFonts w:hint="eastAsia" w:ascii="宋体" w:hAnsi="宋体" w:cs="宋体"/>
                <w:color w:val="auto"/>
                <w:szCs w:val="21"/>
                <w:highlight w:val="none"/>
              </w:rPr>
            </w:pPr>
          </w:p>
        </w:tc>
        <w:tc>
          <w:tcPr>
            <w:tcW w:w="2160" w:type="dxa"/>
            <w:vMerge w:val="continue"/>
            <w:vAlign w:val="center"/>
          </w:tcPr>
          <w:p w14:paraId="430F5E31">
            <w:pPr>
              <w:spacing w:line="440" w:lineRule="exact"/>
              <w:jc w:val="center"/>
              <w:rPr>
                <w:rFonts w:hint="eastAsia" w:ascii="宋体" w:hAnsi="宋体" w:cs="宋体"/>
                <w:color w:val="auto"/>
                <w:kern w:val="0"/>
                <w:szCs w:val="21"/>
                <w:highlight w:val="none"/>
              </w:rPr>
            </w:pPr>
          </w:p>
        </w:tc>
        <w:tc>
          <w:tcPr>
            <w:tcW w:w="1140" w:type="dxa"/>
            <w:vAlign w:val="center"/>
          </w:tcPr>
          <w:p w14:paraId="6100A95E">
            <w:pPr>
              <w:pStyle w:val="40"/>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文明施工管理、组织协调方法</w:t>
            </w:r>
            <w:r>
              <w:rPr>
                <w:rFonts w:hint="eastAsia" w:ascii="宋体" w:hAnsi="宋体" w:eastAsia="宋体" w:cs="宋体"/>
                <w:color w:val="auto"/>
                <w:sz w:val="21"/>
                <w:szCs w:val="21"/>
                <w:highlight w:val="none"/>
                <w:lang w:val="en-US" w:eastAsia="zh-CN"/>
              </w:rPr>
              <w:t>（0-</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tc>
        <w:tc>
          <w:tcPr>
            <w:tcW w:w="5055" w:type="dxa"/>
            <w:vAlign w:val="center"/>
          </w:tcPr>
          <w:p w14:paraId="04D476AB">
            <w:pPr>
              <w:pStyle w:val="40"/>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ind w:left="0" w:leftChars="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工作方案内容全面、科学、合理、可行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对此进行横向比较、综合打分，</w:t>
            </w:r>
            <w:r>
              <w:rPr>
                <w:rFonts w:hint="eastAsia" w:cs="宋体"/>
                <w:color w:val="auto"/>
                <w:sz w:val="21"/>
                <w:szCs w:val="21"/>
                <w:highlight w:val="none"/>
                <w:lang w:val="en-US" w:eastAsia="zh-CN"/>
              </w:rPr>
              <w:t>优秀的得1分，良好的得0.9分，一般的得0.8分，合格的得0.7分，不合格或缺项不得分，本项满分1分</w:t>
            </w:r>
            <w:r>
              <w:rPr>
                <w:rFonts w:hint="eastAsia" w:ascii="宋体" w:hAnsi="宋体" w:eastAsia="宋体" w:cs="宋体"/>
                <w:color w:val="auto"/>
                <w:sz w:val="21"/>
                <w:szCs w:val="21"/>
                <w:highlight w:val="none"/>
              </w:rPr>
              <w:t>。（核验电子标书，投标文件须能反映上述评审内容）</w:t>
            </w:r>
          </w:p>
        </w:tc>
      </w:tr>
      <w:tr w14:paraId="2182E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794" w:type="dxa"/>
            <w:vMerge w:val="continue"/>
            <w:vAlign w:val="center"/>
          </w:tcPr>
          <w:p w14:paraId="4392AC1C">
            <w:pPr>
              <w:spacing w:line="440" w:lineRule="exact"/>
              <w:jc w:val="center"/>
              <w:rPr>
                <w:rFonts w:ascii="宋体" w:hAnsi="宋体" w:cs="宋体"/>
                <w:color w:val="auto"/>
                <w:szCs w:val="21"/>
                <w:highlight w:val="none"/>
              </w:rPr>
            </w:pPr>
          </w:p>
        </w:tc>
        <w:tc>
          <w:tcPr>
            <w:tcW w:w="1111" w:type="dxa"/>
            <w:vMerge w:val="continue"/>
            <w:vAlign w:val="center"/>
          </w:tcPr>
          <w:p w14:paraId="4C2E317C">
            <w:pPr>
              <w:spacing w:line="440" w:lineRule="exact"/>
              <w:jc w:val="center"/>
              <w:rPr>
                <w:rFonts w:hint="eastAsia" w:ascii="宋体" w:hAnsi="宋体" w:cs="宋体"/>
                <w:color w:val="auto"/>
                <w:szCs w:val="21"/>
                <w:highlight w:val="none"/>
              </w:rPr>
            </w:pPr>
          </w:p>
        </w:tc>
        <w:tc>
          <w:tcPr>
            <w:tcW w:w="2160" w:type="dxa"/>
            <w:vMerge w:val="continue"/>
            <w:vAlign w:val="center"/>
          </w:tcPr>
          <w:p w14:paraId="5F3D02AC">
            <w:pPr>
              <w:spacing w:line="440" w:lineRule="exact"/>
              <w:jc w:val="center"/>
              <w:rPr>
                <w:rFonts w:hint="eastAsia" w:ascii="宋体" w:hAnsi="宋体" w:cs="宋体"/>
                <w:color w:val="auto"/>
                <w:kern w:val="0"/>
                <w:szCs w:val="21"/>
                <w:highlight w:val="none"/>
              </w:rPr>
            </w:pPr>
          </w:p>
        </w:tc>
        <w:tc>
          <w:tcPr>
            <w:tcW w:w="1140" w:type="dxa"/>
            <w:vAlign w:val="center"/>
          </w:tcPr>
          <w:p w14:paraId="27FBFCFE">
            <w:pPr>
              <w:pStyle w:val="40"/>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对本工程重点、难点分析</w:t>
            </w:r>
            <w:r>
              <w:rPr>
                <w:rFonts w:hint="eastAsia" w:ascii="宋体" w:hAnsi="宋体" w:eastAsia="宋体" w:cs="宋体"/>
                <w:color w:val="auto"/>
                <w:sz w:val="21"/>
                <w:szCs w:val="21"/>
                <w:highlight w:val="none"/>
                <w:lang w:val="en-US" w:eastAsia="zh-CN"/>
              </w:rPr>
              <w:t>及建议</w:t>
            </w:r>
            <w:r>
              <w:rPr>
                <w:rFonts w:hint="eastAsia" w:ascii="宋体" w:hAnsi="宋体" w:eastAsia="宋体" w:cs="宋体"/>
                <w:color w:val="auto"/>
                <w:sz w:val="21"/>
                <w:szCs w:val="21"/>
                <w:highlight w:val="none"/>
                <w:lang w:val="en-US" w:eastAsia="zh-CN"/>
              </w:rPr>
              <w:t>（0-</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5055" w:type="dxa"/>
            <w:vAlign w:val="center"/>
          </w:tcPr>
          <w:p w14:paraId="4F4EE1B6">
            <w:pPr>
              <w:pStyle w:val="40"/>
              <w:keepNext w:val="0"/>
              <w:keepLines w:val="0"/>
              <w:pageBreakBefore w:val="0"/>
              <w:kinsoku/>
              <w:wordWrap/>
              <w:overflowPunct/>
              <w:topLinePunct w:val="0"/>
              <w:autoSpaceDE/>
              <w:autoSpaceDN/>
              <w:bidi w:val="0"/>
              <w:adjustRightInd/>
              <w:spacing w:before="0" w:beforeLines="0" w:beforeAutospacing="0" w:after="0" w:afterLines="0" w:afterAutospacing="0" w:line="440" w:lineRule="exact"/>
              <w:ind w:left="0" w:leftChars="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重点难点分析准确、有针对性</w:t>
            </w:r>
            <w:r>
              <w:rPr>
                <w:rFonts w:hint="eastAsia" w:ascii="宋体" w:hAnsi="宋体" w:eastAsia="宋体" w:cs="宋体"/>
                <w:color w:val="auto"/>
                <w:sz w:val="21"/>
                <w:szCs w:val="21"/>
                <w:highlight w:val="none"/>
                <w:lang w:eastAsia="zh-CN"/>
              </w:rPr>
              <w:t>，建议合理，科学、可行。</w:t>
            </w:r>
            <w:r>
              <w:rPr>
                <w:rFonts w:hint="eastAsia" w:ascii="宋体" w:hAnsi="宋体" w:eastAsia="宋体" w:cs="宋体"/>
                <w:color w:val="auto"/>
                <w:sz w:val="21"/>
                <w:szCs w:val="21"/>
                <w:highlight w:val="none"/>
              </w:rPr>
              <w:t>对此进行横向比较、综合打分，</w:t>
            </w:r>
            <w:r>
              <w:rPr>
                <w:rFonts w:hint="eastAsia" w:cs="宋体"/>
                <w:color w:val="auto"/>
                <w:sz w:val="21"/>
                <w:szCs w:val="21"/>
                <w:highlight w:val="none"/>
                <w:lang w:val="en-US" w:eastAsia="zh-CN"/>
              </w:rPr>
              <w:t>优秀的得4分，良好的得3.6分，一般的得3.2分，合格的得2.8分，不合格或缺项不得分，本项满分4分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（核验电子标书，投标文件须能反映上述评审内容）</w:t>
            </w:r>
          </w:p>
        </w:tc>
      </w:tr>
    </w:tbl>
    <w:p w14:paraId="01931F94">
      <w:pPr>
        <w:pStyle w:val="45"/>
        <w:spacing w:after="0" w:line="560" w:lineRule="exact"/>
        <w:ind w:left="0" w:leftChars="0" w:firstLine="422"/>
        <w:jc w:val="left"/>
        <w:rPr>
          <w:rFonts w:hint="eastAsia" w:ascii="宋体" w:hAnsi="宋体" w:cs="宋体"/>
          <w:b/>
          <w:bCs/>
          <w:color w:val="auto"/>
          <w:highlight w:val="none"/>
        </w:rPr>
      </w:pPr>
      <w:r>
        <w:rPr>
          <w:rFonts w:hint="eastAsia" w:ascii="宋体" w:hAnsi="宋体" w:cs="宋体"/>
          <w:b/>
          <w:bCs/>
          <w:color w:val="auto"/>
          <w:highlight w:val="none"/>
        </w:rPr>
        <w:t>注：1、该项由专家评委评审打分，取所有评委评分中分别去掉一个最高和最低评分后的平均值为最终得分，保留两位小数点，第三位四舍五入。</w:t>
      </w:r>
    </w:p>
    <w:p w14:paraId="5611298B">
      <w:pPr>
        <w:pStyle w:val="45"/>
        <w:spacing w:after="0" w:line="560" w:lineRule="exact"/>
        <w:ind w:left="0" w:leftChars="0" w:firstLine="422"/>
        <w:jc w:val="left"/>
        <w:rPr>
          <w:rFonts w:hint="eastAsia" w:ascii="宋体" w:hAnsi="宋体" w:cs="宋体"/>
          <w:b/>
          <w:bCs/>
          <w:color w:val="auto"/>
          <w:highlight w:val="none"/>
        </w:rPr>
      </w:pPr>
      <w:r>
        <w:rPr>
          <w:rFonts w:hint="eastAsia" w:ascii="宋体" w:hAnsi="宋体" w:cs="宋体"/>
          <w:b/>
          <w:bCs/>
          <w:color w:val="auto"/>
          <w:highlight w:val="none"/>
        </w:rPr>
        <w:t>2、该项目技术标为暗标横向评审，暗标横向评审技术标不设目录，评审前系统自动对所有投标人的技术标及各评分点分别进行编号；投标企业制作的技术标部分不得出现可能泄露投标人单位及个人信息的文字、图片、图表（技术标部分不得签章）等有关表述，否则该评分点作零分处理。</w:t>
      </w:r>
    </w:p>
    <w:p w14:paraId="4150DB58">
      <w:pPr>
        <w:pStyle w:val="45"/>
        <w:spacing w:line="560" w:lineRule="exact"/>
        <w:ind w:left="0" w:leftChars="0" w:firstLine="413" w:firstLineChars="196"/>
        <w:jc w:val="left"/>
        <w:rPr>
          <w:rFonts w:hint="eastAsia" w:ascii="宋体" w:hAnsi="宋体" w:cs="宋体"/>
          <w:b/>
          <w:bCs/>
          <w:color w:val="auto"/>
          <w:highlight w:val="none"/>
        </w:rPr>
      </w:pPr>
      <w:r>
        <w:rPr>
          <w:rFonts w:hint="eastAsia" w:ascii="宋体" w:hAnsi="宋体" w:cs="宋体"/>
          <w:b/>
          <w:bCs/>
          <w:color w:val="auto"/>
          <w:highlight w:val="none"/>
        </w:rPr>
        <w:t>2.1 技术标暗标不设空白页。技术标投标文件封面不出现投标人、法定代表人签章内容，格式以系统设置为准。正文必须按招标文件要求的顺序进行排版；</w:t>
      </w:r>
    </w:p>
    <w:p w14:paraId="1099CDD6">
      <w:pPr>
        <w:pStyle w:val="45"/>
        <w:spacing w:after="0" w:line="560" w:lineRule="exact"/>
        <w:ind w:left="0" w:leftChars="0" w:firstLine="422"/>
        <w:jc w:val="left"/>
        <w:rPr>
          <w:rFonts w:hint="eastAsia" w:ascii="宋体" w:hAnsi="宋体" w:cs="宋体"/>
          <w:b/>
          <w:bCs/>
          <w:color w:val="auto"/>
          <w:highlight w:val="none"/>
        </w:rPr>
      </w:pPr>
      <w:r>
        <w:rPr>
          <w:rFonts w:hint="eastAsia" w:ascii="宋体" w:hAnsi="宋体" w:cs="宋体"/>
          <w:b/>
          <w:bCs/>
          <w:color w:val="auto"/>
          <w:highlight w:val="none"/>
        </w:rPr>
        <w:t>2.2技术标暗标正文文字排版统一使用中文宋体字体，文字为白底黑色，图表采用黑白灰色（不得采用彩色）；文字部分不得插入任何图表（可以用“见附图x”或“见附表x”说明）。所有附图、附表必须依次附在各章对应评分点内容的文末，计算在页数要求内；</w:t>
      </w:r>
    </w:p>
    <w:p w14:paraId="04602893">
      <w:pPr>
        <w:pStyle w:val="45"/>
        <w:spacing w:after="0" w:line="560" w:lineRule="exact"/>
        <w:ind w:left="0" w:leftChars="0" w:firstLine="422"/>
        <w:jc w:val="left"/>
        <w:rPr>
          <w:rFonts w:hint="eastAsia" w:ascii="宋体" w:hAnsi="宋体" w:cs="宋体"/>
          <w:b/>
          <w:bCs/>
          <w:color w:val="auto"/>
          <w:highlight w:val="none"/>
        </w:rPr>
      </w:pPr>
      <w:r>
        <w:rPr>
          <w:rFonts w:hint="eastAsia" w:ascii="宋体" w:hAnsi="宋体" w:cs="宋体"/>
          <w:b/>
          <w:bCs/>
          <w:color w:val="auto"/>
          <w:highlight w:val="none"/>
        </w:rPr>
        <w:t>2.3 正文采用宋体四号常规字，字符间距设为标准值，行距为单倍行距，不勾选“如果定义了文档网格，则对齐到网格”；正文统一设为左对齐，章、节标题、及段落首行缩进2个汉字，段落前后不设空行；正文版面不加页眉、页脚、边框、下划线等标志，正文页码用小五号阿拉伯数字，居中。单位符号中有上下角标要求的，必须在相应位置做角标；</w:t>
      </w:r>
    </w:p>
    <w:p w14:paraId="368FDDEB">
      <w:pPr>
        <w:spacing w:line="560" w:lineRule="exact"/>
        <w:ind w:firstLine="413" w:firstLineChars="196"/>
        <w:rPr>
          <w:rFonts w:hint="eastAsia" w:ascii="宋体" w:hAnsi="宋体" w:cs="宋体"/>
          <w:b/>
          <w:bCs/>
          <w:color w:val="auto"/>
          <w:highlight w:val="none"/>
        </w:rPr>
      </w:pPr>
      <w:r>
        <w:rPr>
          <w:rFonts w:hint="eastAsia" w:ascii="宋体" w:hAnsi="宋体" w:cs="宋体"/>
          <w:b/>
          <w:bCs/>
          <w:color w:val="auto"/>
          <w:highlight w:val="none"/>
        </w:rPr>
        <w:t>3、技术标暗标文件的格式、制作不符合上述要求的，每一分项扣</w:t>
      </w:r>
      <w:r>
        <w:rPr>
          <w:rFonts w:hint="eastAsia" w:ascii="宋体" w:hAnsi="宋体" w:cs="宋体"/>
          <w:b/>
          <w:bCs/>
          <w:color w:val="auto"/>
          <w:highlight w:val="none"/>
          <w:u w:val="single"/>
        </w:rPr>
        <w:t xml:space="preserve"> </w:t>
      </w:r>
      <w:r>
        <w:rPr>
          <w:rFonts w:hint="eastAsia" w:ascii="宋体" w:hAnsi="宋体" w:cs="宋体"/>
          <w:b/>
          <w:bCs/>
          <w:color w:val="auto"/>
          <w:highlight w:val="none"/>
          <w:u w:val="single"/>
          <w:lang w:val="en-US" w:eastAsia="zh-CN"/>
        </w:rPr>
        <w:t>0.2</w:t>
      </w:r>
      <w:r>
        <w:rPr>
          <w:rFonts w:hint="eastAsia" w:ascii="宋体" w:hAnsi="宋体" w:cs="宋体"/>
          <w:b/>
          <w:bCs/>
          <w:color w:val="auto"/>
          <w:highlight w:val="none"/>
        </w:rPr>
        <w:t>分。技术标实行暗标的，对技术标（暗标）部分不予澄清、说明或者补正。</w:t>
      </w:r>
    </w:p>
    <w:p w14:paraId="7D7C9F19">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4、招标人应根据招标项目实际，在招标文件中明确招标中施工组织设计的评审要点。其中施工组织设计评审要点主要包括：</w:t>
      </w:r>
    </w:p>
    <w:p w14:paraId="239FD0B6">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①</w:t>
      </w:r>
      <w:r>
        <w:rPr>
          <w:rFonts w:hint="eastAsia" w:ascii="宋体" w:hAnsi="宋体" w:eastAsia="宋体" w:cs="宋体"/>
          <w:color w:val="auto"/>
          <w:sz w:val="21"/>
          <w:szCs w:val="21"/>
          <w:highlight w:val="none"/>
        </w:rPr>
        <w:t>质量控制</w:t>
      </w:r>
      <w:r>
        <w:rPr>
          <w:rFonts w:hint="eastAsia" w:ascii="宋体" w:hAnsi="宋体"/>
          <w:color w:val="auto"/>
          <w:szCs w:val="21"/>
          <w:highlight w:val="none"/>
        </w:rPr>
        <w:t>（页数不多于</w:t>
      </w:r>
      <w:r>
        <w:rPr>
          <w:rFonts w:hint="eastAsia" w:ascii="宋体" w:hAnsi="宋体"/>
          <w:color w:val="auto"/>
          <w:szCs w:val="21"/>
          <w:highlight w:val="none"/>
          <w:lang w:val="en-US" w:eastAsia="zh-CN"/>
        </w:rPr>
        <w:t>10</w:t>
      </w:r>
      <w:r>
        <w:rPr>
          <w:rFonts w:hint="eastAsia" w:ascii="宋体" w:hAnsi="宋体"/>
          <w:color w:val="auto"/>
          <w:szCs w:val="21"/>
          <w:highlight w:val="none"/>
        </w:rPr>
        <w:t>页）；</w:t>
      </w:r>
    </w:p>
    <w:p w14:paraId="2FFF0746">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②</w:t>
      </w:r>
      <w:r>
        <w:rPr>
          <w:rFonts w:hint="eastAsia" w:ascii="宋体" w:hAnsi="宋体"/>
          <w:color w:val="auto"/>
          <w:szCs w:val="21"/>
          <w:highlight w:val="none"/>
          <w:lang w:val="en-US" w:eastAsia="zh-CN"/>
        </w:rPr>
        <w:t>进度</w:t>
      </w:r>
      <w:r>
        <w:rPr>
          <w:rFonts w:hint="eastAsia" w:ascii="宋体" w:hAnsi="宋体"/>
          <w:color w:val="auto"/>
          <w:szCs w:val="21"/>
          <w:highlight w:val="none"/>
        </w:rPr>
        <w:t>控制（页数不多于10页）；</w:t>
      </w:r>
    </w:p>
    <w:p w14:paraId="144EFC8D">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③造价控制（页数不多于</w:t>
      </w:r>
      <w:r>
        <w:rPr>
          <w:rFonts w:hint="eastAsia" w:ascii="宋体" w:hAnsi="宋体"/>
          <w:color w:val="auto"/>
          <w:szCs w:val="21"/>
          <w:highlight w:val="none"/>
          <w:lang w:val="en-US" w:eastAsia="zh-CN"/>
        </w:rPr>
        <w:t>10</w:t>
      </w:r>
      <w:r>
        <w:rPr>
          <w:rFonts w:hint="eastAsia" w:ascii="宋体" w:hAnsi="宋体"/>
          <w:color w:val="auto"/>
          <w:szCs w:val="21"/>
          <w:highlight w:val="none"/>
        </w:rPr>
        <w:t>页）；</w:t>
      </w:r>
    </w:p>
    <w:p w14:paraId="40D3B4D2">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④安全生产（页数不多于</w:t>
      </w:r>
      <w:r>
        <w:rPr>
          <w:rFonts w:hint="eastAsia" w:ascii="宋体" w:hAnsi="宋体"/>
          <w:color w:val="auto"/>
          <w:szCs w:val="21"/>
          <w:highlight w:val="none"/>
          <w:lang w:val="en-US" w:eastAsia="zh-CN"/>
        </w:rPr>
        <w:t>10</w:t>
      </w:r>
      <w:r>
        <w:rPr>
          <w:rFonts w:hint="eastAsia" w:ascii="宋体" w:hAnsi="宋体"/>
          <w:color w:val="auto"/>
          <w:szCs w:val="21"/>
          <w:highlight w:val="none"/>
        </w:rPr>
        <w:t>页）；</w:t>
      </w:r>
    </w:p>
    <w:p w14:paraId="051F95D1">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⑤合同及</w:t>
      </w:r>
      <w:r>
        <w:rPr>
          <w:rFonts w:hint="eastAsia" w:ascii="宋体" w:hAnsi="宋体"/>
          <w:color w:val="auto"/>
          <w:szCs w:val="21"/>
          <w:highlight w:val="none"/>
          <w:lang w:val="en-US" w:eastAsia="zh-CN"/>
        </w:rPr>
        <w:t>信息</w:t>
      </w:r>
      <w:r>
        <w:rPr>
          <w:rFonts w:hint="eastAsia" w:ascii="宋体" w:hAnsi="宋体"/>
          <w:color w:val="auto"/>
          <w:szCs w:val="21"/>
          <w:highlight w:val="none"/>
        </w:rPr>
        <w:t>管理（页数不多于</w:t>
      </w:r>
      <w:r>
        <w:rPr>
          <w:rFonts w:hint="eastAsia" w:ascii="宋体" w:hAnsi="宋体"/>
          <w:color w:val="auto"/>
          <w:szCs w:val="21"/>
          <w:highlight w:val="none"/>
          <w:lang w:val="en-US" w:eastAsia="zh-CN"/>
        </w:rPr>
        <w:t>10</w:t>
      </w:r>
      <w:r>
        <w:rPr>
          <w:rFonts w:hint="eastAsia" w:ascii="宋体" w:hAnsi="宋体"/>
          <w:color w:val="auto"/>
          <w:szCs w:val="21"/>
          <w:highlight w:val="none"/>
        </w:rPr>
        <w:t>页）；</w:t>
      </w:r>
    </w:p>
    <w:p w14:paraId="6933D7EB">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⑥文明施工管理、组织协调方法（页数不多于</w:t>
      </w:r>
      <w:r>
        <w:rPr>
          <w:rFonts w:hint="eastAsia" w:ascii="宋体" w:hAnsi="宋体"/>
          <w:color w:val="auto"/>
          <w:szCs w:val="21"/>
          <w:highlight w:val="none"/>
          <w:lang w:val="en-US" w:eastAsia="zh-CN"/>
        </w:rPr>
        <w:t>10</w:t>
      </w:r>
      <w:r>
        <w:rPr>
          <w:rFonts w:hint="eastAsia" w:ascii="宋体" w:hAnsi="宋体"/>
          <w:color w:val="auto"/>
          <w:szCs w:val="21"/>
          <w:highlight w:val="none"/>
        </w:rPr>
        <w:t>页）；</w:t>
      </w:r>
    </w:p>
    <w:p w14:paraId="1194C068">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⑦</w:t>
      </w:r>
      <w:r>
        <w:rPr>
          <w:rFonts w:hint="eastAsia" w:ascii="宋体" w:hAnsi="宋体" w:eastAsia="宋体" w:cs="宋体"/>
          <w:color w:val="auto"/>
          <w:sz w:val="21"/>
          <w:szCs w:val="21"/>
          <w:highlight w:val="none"/>
        </w:rPr>
        <w:t>对本工程重点、难点分析</w:t>
      </w:r>
      <w:r>
        <w:rPr>
          <w:rFonts w:hint="eastAsia" w:ascii="宋体" w:hAnsi="宋体" w:eastAsia="宋体" w:cs="宋体"/>
          <w:color w:val="auto"/>
          <w:sz w:val="21"/>
          <w:szCs w:val="21"/>
          <w:highlight w:val="none"/>
          <w:lang w:val="en-US" w:eastAsia="zh-CN"/>
        </w:rPr>
        <w:t>及建议</w:t>
      </w:r>
      <w:r>
        <w:rPr>
          <w:rFonts w:hint="eastAsia" w:ascii="宋体" w:hAnsi="宋体"/>
          <w:color w:val="auto"/>
          <w:szCs w:val="21"/>
          <w:highlight w:val="none"/>
        </w:rPr>
        <w:t>（页数不多于</w:t>
      </w:r>
      <w:r>
        <w:rPr>
          <w:rFonts w:hint="eastAsia" w:ascii="宋体" w:hAnsi="宋体"/>
          <w:color w:val="auto"/>
          <w:szCs w:val="21"/>
          <w:highlight w:val="none"/>
          <w:lang w:val="en-US" w:eastAsia="zh-CN"/>
        </w:rPr>
        <w:t>10</w:t>
      </w:r>
      <w:r>
        <w:rPr>
          <w:rFonts w:hint="eastAsia" w:ascii="宋体" w:hAnsi="宋体"/>
          <w:color w:val="auto"/>
          <w:szCs w:val="21"/>
          <w:highlight w:val="none"/>
        </w:rPr>
        <w:t>页）；</w:t>
      </w:r>
    </w:p>
    <w:p w14:paraId="0A3DF6FA">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具体篇幅(字数)要求及扣分标准（扣分值为0.2分）。未做要求的，投标人可根据实际需要进行编制投标文件，但不得出现泄漏投标人信息的任何表述。偏离规定标准的，评标委员会应酌情扣分。</w:t>
      </w:r>
    </w:p>
    <w:p w14:paraId="54727390">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暗标评审仅限评标环节。评标结束后，如出现质疑、投诉、举报等，经认定评标错误的，由评标委员会纠正错误或重新评分，此时不再受暗标评审约束，但在纠正错误或重新评分中发现投标企业技术标出现可能泄露投标人单位及个人信息的文字、图片、图表（技术标不得签章）等有关表述的，对应技术标评分点仍按零分处理。</w:t>
      </w:r>
    </w:p>
    <w:p w14:paraId="2E9CD873">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6、如所有投标企业技术标都出现能反映企业信息等相关内容的，该项目流标。</w:t>
      </w:r>
    </w:p>
    <w:p w14:paraId="0C436F5F">
      <w:pPr>
        <w:spacing w:beforeLines="80" w:afterLines="80" w:line="440" w:lineRule="exact"/>
        <w:jc w:val="center"/>
        <w:rPr>
          <w:rFonts w:asci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）商务标评审</w:t>
      </w:r>
    </w:p>
    <w:tbl>
      <w:tblPr>
        <w:tblStyle w:val="46"/>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615"/>
        <w:gridCol w:w="1245"/>
        <w:gridCol w:w="2158"/>
        <w:gridCol w:w="4727"/>
      </w:tblGrid>
      <w:tr w14:paraId="09EA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671" w:type="dxa"/>
            <w:gridSpan w:val="3"/>
            <w:vAlign w:val="center"/>
          </w:tcPr>
          <w:p w14:paraId="39939CA4">
            <w:pPr>
              <w:spacing w:line="440" w:lineRule="exact"/>
              <w:jc w:val="center"/>
              <w:rPr>
                <w:rFonts w:ascii="宋体" w:cs="宋体"/>
                <w:b/>
                <w:bCs/>
                <w:color w:val="auto"/>
                <w:szCs w:val="21"/>
                <w:highlight w:val="none"/>
              </w:rPr>
            </w:pPr>
            <w:r>
              <w:rPr>
                <w:rFonts w:hint="eastAsia" w:ascii="宋体" w:hAnsi="宋体" w:cs="宋体"/>
                <w:b/>
                <w:bCs/>
                <w:color w:val="auto"/>
                <w:szCs w:val="21"/>
                <w:highlight w:val="none"/>
              </w:rPr>
              <w:t>条款号</w:t>
            </w:r>
          </w:p>
        </w:tc>
        <w:tc>
          <w:tcPr>
            <w:tcW w:w="2158" w:type="dxa"/>
            <w:vAlign w:val="center"/>
          </w:tcPr>
          <w:p w14:paraId="04AE028C">
            <w:pPr>
              <w:spacing w:line="440" w:lineRule="exact"/>
              <w:jc w:val="center"/>
              <w:rPr>
                <w:rFonts w:ascii="宋体" w:cs="宋体"/>
                <w:b/>
                <w:bCs/>
                <w:color w:val="auto"/>
                <w:szCs w:val="21"/>
                <w:highlight w:val="none"/>
              </w:rPr>
            </w:pPr>
            <w:r>
              <w:rPr>
                <w:rFonts w:hint="eastAsia" w:ascii="宋体" w:hAnsi="宋体" w:cs="宋体"/>
                <w:b/>
                <w:bCs/>
                <w:color w:val="auto"/>
                <w:szCs w:val="21"/>
                <w:highlight w:val="none"/>
              </w:rPr>
              <w:t>评审因素</w:t>
            </w:r>
          </w:p>
        </w:tc>
        <w:tc>
          <w:tcPr>
            <w:tcW w:w="4727" w:type="dxa"/>
            <w:vAlign w:val="center"/>
          </w:tcPr>
          <w:p w14:paraId="028AF416">
            <w:pPr>
              <w:spacing w:line="440" w:lineRule="exact"/>
              <w:jc w:val="center"/>
              <w:rPr>
                <w:rFonts w:ascii="宋体" w:cs="宋体"/>
                <w:b/>
                <w:bCs/>
                <w:color w:val="auto"/>
                <w:szCs w:val="21"/>
                <w:highlight w:val="none"/>
              </w:rPr>
            </w:pPr>
            <w:r>
              <w:rPr>
                <w:rFonts w:hint="eastAsia" w:ascii="宋体" w:hAnsi="宋体" w:cs="宋体"/>
                <w:b/>
                <w:bCs/>
                <w:color w:val="auto"/>
                <w:szCs w:val="21"/>
                <w:highlight w:val="none"/>
              </w:rPr>
              <w:t>评审标准</w:t>
            </w:r>
          </w:p>
        </w:tc>
      </w:tr>
      <w:tr w14:paraId="730C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1" w:type="dxa"/>
            <w:vMerge w:val="restart"/>
            <w:vAlign w:val="center"/>
          </w:tcPr>
          <w:p w14:paraId="03548B29">
            <w:pPr>
              <w:spacing w:line="440" w:lineRule="exact"/>
              <w:jc w:val="center"/>
              <w:rPr>
                <w:rFonts w:ascii="宋体" w:cs="宋体"/>
                <w:color w:val="auto"/>
                <w:szCs w:val="21"/>
                <w:highlight w:val="none"/>
              </w:rPr>
            </w:pPr>
            <w:r>
              <w:rPr>
                <w:rFonts w:ascii="宋体" w:hAnsi="宋体" w:cs="宋体"/>
                <w:color w:val="auto"/>
                <w:szCs w:val="21"/>
                <w:highlight w:val="none"/>
              </w:rPr>
              <w:t>4.2.1</w:t>
            </w:r>
          </w:p>
        </w:tc>
        <w:tc>
          <w:tcPr>
            <w:tcW w:w="1860" w:type="dxa"/>
            <w:gridSpan w:val="2"/>
            <w:vMerge w:val="restart"/>
            <w:vAlign w:val="center"/>
          </w:tcPr>
          <w:p w14:paraId="3B4CF30E">
            <w:pPr>
              <w:spacing w:line="440" w:lineRule="exact"/>
              <w:jc w:val="center"/>
              <w:rPr>
                <w:rFonts w:ascii="宋体" w:cs="宋体"/>
                <w:color w:val="auto"/>
                <w:szCs w:val="21"/>
                <w:highlight w:val="none"/>
              </w:rPr>
            </w:pPr>
            <w:r>
              <w:rPr>
                <w:rFonts w:hint="eastAsia" w:ascii="宋体" w:hAnsi="宋体" w:cs="宋体"/>
                <w:color w:val="auto"/>
                <w:szCs w:val="21"/>
                <w:highlight w:val="none"/>
              </w:rPr>
              <w:t>形式评审标准</w:t>
            </w:r>
          </w:p>
        </w:tc>
        <w:tc>
          <w:tcPr>
            <w:tcW w:w="2158" w:type="dxa"/>
            <w:vAlign w:val="center"/>
          </w:tcPr>
          <w:p w14:paraId="7273D4B1">
            <w:pPr>
              <w:spacing w:line="440" w:lineRule="exact"/>
              <w:rPr>
                <w:rFonts w:ascii="宋体" w:cs="宋体"/>
                <w:color w:val="auto"/>
                <w:szCs w:val="21"/>
                <w:highlight w:val="none"/>
              </w:rPr>
            </w:pPr>
            <w:r>
              <w:rPr>
                <w:rFonts w:hint="eastAsia" w:ascii="宋体" w:hAnsi="宋体" w:cs="宋体"/>
                <w:color w:val="auto"/>
                <w:szCs w:val="21"/>
                <w:highlight w:val="none"/>
              </w:rPr>
              <w:t>投标函签字盖章</w:t>
            </w:r>
          </w:p>
        </w:tc>
        <w:tc>
          <w:tcPr>
            <w:tcW w:w="4727" w:type="dxa"/>
          </w:tcPr>
          <w:p w14:paraId="13F43D34">
            <w:pPr>
              <w:spacing w:line="440" w:lineRule="exact"/>
              <w:rPr>
                <w:rFonts w:ascii="宋体" w:cs="宋体"/>
                <w:color w:val="auto"/>
                <w:szCs w:val="21"/>
                <w:highlight w:val="none"/>
              </w:rPr>
            </w:pPr>
            <w:r>
              <w:rPr>
                <w:rFonts w:hint="eastAsia" w:ascii="宋体" w:hAnsi="宋体" w:cs="宋体"/>
                <w:color w:val="auto"/>
                <w:szCs w:val="21"/>
                <w:highlight w:val="none"/>
              </w:rPr>
              <w:t>有投标人及其法定代表人签章</w:t>
            </w:r>
          </w:p>
        </w:tc>
      </w:tr>
      <w:tr w14:paraId="516B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11" w:type="dxa"/>
            <w:vMerge w:val="continue"/>
          </w:tcPr>
          <w:p w14:paraId="248E708E">
            <w:pPr>
              <w:spacing w:line="440" w:lineRule="exact"/>
              <w:rPr>
                <w:rFonts w:ascii="宋体" w:cs="宋体"/>
                <w:color w:val="auto"/>
                <w:szCs w:val="21"/>
                <w:highlight w:val="none"/>
              </w:rPr>
            </w:pPr>
          </w:p>
        </w:tc>
        <w:tc>
          <w:tcPr>
            <w:tcW w:w="1860" w:type="dxa"/>
            <w:gridSpan w:val="2"/>
            <w:vMerge w:val="continue"/>
          </w:tcPr>
          <w:p w14:paraId="2089E7A0">
            <w:pPr>
              <w:spacing w:line="440" w:lineRule="exact"/>
              <w:rPr>
                <w:rFonts w:ascii="宋体" w:cs="宋体"/>
                <w:color w:val="auto"/>
                <w:szCs w:val="21"/>
                <w:highlight w:val="none"/>
              </w:rPr>
            </w:pPr>
          </w:p>
        </w:tc>
        <w:tc>
          <w:tcPr>
            <w:tcW w:w="2158" w:type="dxa"/>
            <w:vAlign w:val="center"/>
          </w:tcPr>
          <w:p w14:paraId="7F38212F">
            <w:pPr>
              <w:spacing w:line="440" w:lineRule="exact"/>
              <w:rPr>
                <w:rFonts w:ascii="宋体" w:cs="宋体"/>
                <w:color w:val="auto"/>
                <w:szCs w:val="21"/>
                <w:highlight w:val="none"/>
              </w:rPr>
            </w:pPr>
            <w:r>
              <w:rPr>
                <w:rFonts w:hint="eastAsia" w:ascii="宋体" w:hAnsi="宋体" w:cs="宋体"/>
                <w:color w:val="auto"/>
                <w:szCs w:val="21"/>
                <w:highlight w:val="none"/>
              </w:rPr>
              <w:t>投标文件格式</w:t>
            </w:r>
          </w:p>
        </w:tc>
        <w:tc>
          <w:tcPr>
            <w:tcW w:w="4727" w:type="dxa"/>
          </w:tcPr>
          <w:p w14:paraId="6D63155C">
            <w:pPr>
              <w:spacing w:line="440" w:lineRule="exact"/>
              <w:jc w:val="left"/>
              <w:rPr>
                <w:rFonts w:ascii="宋体" w:cs="宋体"/>
                <w:color w:val="auto"/>
                <w:szCs w:val="21"/>
                <w:highlight w:val="none"/>
              </w:rPr>
            </w:pPr>
            <w:r>
              <w:rPr>
                <w:rFonts w:hint="eastAsia" w:ascii="宋体" w:hAnsi="宋体" w:cs="宋体"/>
                <w:color w:val="auto"/>
                <w:szCs w:val="21"/>
                <w:highlight w:val="none"/>
              </w:rPr>
              <w:t>符合第五章“投标文件格式”的要求</w:t>
            </w:r>
          </w:p>
        </w:tc>
      </w:tr>
      <w:tr w14:paraId="1A30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11" w:type="dxa"/>
            <w:vMerge w:val="continue"/>
          </w:tcPr>
          <w:p w14:paraId="24C8BE31">
            <w:pPr>
              <w:spacing w:line="440" w:lineRule="exact"/>
              <w:rPr>
                <w:rFonts w:ascii="宋体" w:cs="宋体"/>
                <w:color w:val="auto"/>
                <w:szCs w:val="21"/>
                <w:highlight w:val="none"/>
              </w:rPr>
            </w:pPr>
          </w:p>
        </w:tc>
        <w:tc>
          <w:tcPr>
            <w:tcW w:w="1860" w:type="dxa"/>
            <w:gridSpan w:val="2"/>
            <w:vMerge w:val="continue"/>
          </w:tcPr>
          <w:p w14:paraId="3BBFB103">
            <w:pPr>
              <w:spacing w:line="440" w:lineRule="exact"/>
              <w:rPr>
                <w:rFonts w:ascii="宋体" w:cs="宋体"/>
                <w:color w:val="auto"/>
                <w:szCs w:val="21"/>
                <w:highlight w:val="none"/>
              </w:rPr>
            </w:pPr>
          </w:p>
        </w:tc>
        <w:tc>
          <w:tcPr>
            <w:tcW w:w="2158" w:type="dxa"/>
            <w:vAlign w:val="center"/>
          </w:tcPr>
          <w:p w14:paraId="5ADB5EED">
            <w:pPr>
              <w:spacing w:line="440" w:lineRule="exact"/>
              <w:rPr>
                <w:rFonts w:ascii="宋体" w:cs="宋体"/>
                <w:color w:val="auto"/>
                <w:szCs w:val="21"/>
                <w:highlight w:val="none"/>
              </w:rPr>
            </w:pPr>
            <w:r>
              <w:rPr>
                <w:rFonts w:hint="eastAsia" w:ascii="宋体" w:hAnsi="宋体" w:cs="宋体"/>
                <w:color w:val="auto"/>
                <w:szCs w:val="21"/>
                <w:highlight w:val="none"/>
              </w:rPr>
              <w:t>报价唯一</w:t>
            </w:r>
          </w:p>
        </w:tc>
        <w:tc>
          <w:tcPr>
            <w:tcW w:w="4727" w:type="dxa"/>
          </w:tcPr>
          <w:p w14:paraId="2F7A0308">
            <w:pPr>
              <w:spacing w:line="440" w:lineRule="exact"/>
              <w:jc w:val="left"/>
              <w:rPr>
                <w:rFonts w:ascii="宋体" w:cs="宋体"/>
                <w:color w:val="auto"/>
                <w:szCs w:val="21"/>
                <w:highlight w:val="none"/>
              </w:rPr>
            </w:pPr>
            <w:r>
              <w:rPr>
                <w:rFonts w:hint="eastAsia" w:ascii="宋体" w:hAnsi="宋体" w:cs="宋体"/>
                <w:color w:val="auto"/>
                <w:szCs w:val="21"/>
                <w:highlight w:val="none"/>
              </w:rPr>
              <w:t>只能有一个报价</w:t>
            </w:r>
          </w:p>
        </w:tc>
      </w:tr>
      <w:tr w14:paraId="7C4C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1" w:type="dxa"/>
            <w:vMerge w:val="restart"/>
            <w:vAlign w:val="center"/>
          </w:tcPr>
          <w:p w14:paraId="29C02064">
            <w:pPr>
              <w:spacing w:line="440" w:lineRule="exact"/>
              <w:jc w:val="center"/>
              <w:rPr>
                <w:rFonts w:ascii="宋体" w:cs="宋体"/>
                <w:color w:val="auto"/>
                <w:szCs w:val="21"/>
                <w:highlight w:val="none"/>
              </w:rPr>
            </w:pPr>
            <w:r>
              <w:rPr>
                <w:rFonts w:ascii="宋体" w:hAnsi="宋体" w:cs="宋体"/>
                <w:color w:val="auto"/>
                <w:szCs w:val="21"/>
                <w:highlight w:val="none"/>
              </w:rPr>
              <w:t>4.2.2</w:t>
            </w:r>
          </w:p>
        </w:tc>
        <w:tc>
          <w:tcPr>
            <w:tcW w:w="1860" w:type="dxa"/>
            <w:gridSpan w:val="2"/>
            <w:vMerge w:val="restart"/>
            <w:vAlign w:val="center"/>
          </w:tcPr>
          <w:p w14:paraId="3CD79ABB">
            <w:pPr>
              <w:spacing w:line="440" w:lineRule="exact"/>
              <w:rPr>
                <w:rFonts w:ascii="宋体" w:cs="宋体"/>
                <w:color w:val="auto"/>
                <w:szCs w:val="21"/>
                <w:highlight w:val="none"/>
              </w:rPr>
            </w:pPr>
            <w:r>
              <w:rPr>
                <w:rFonts w:hint="eastAsia" w:ascii="宋体" w:hAnsi="宋体" w:cs="宋体"/>
                <w:color w:val="auto"/>
                <w:szCs w:val="21"/>
                <w:highlight w:val="none"/>
              </w:rPr>
              <w:t>响应性评审标准</w:t>
            </w:r>
          </w:p>
          <w:p w14:paraId="04ACD8A9">
            <w:pPr>
              <w:spacing w:line="440" w:lineRule="exact"/>
              <w:jc w:val="center"/>
              <w:rPr>
                <w:rFonts w:ascii="宋体" w:cs="宋体"/>
                <w:color w:val="auto"/>
                <w:szCs w:val="21"/>
                <w:highlight w:val="none"/>
              </w:rPr>
            </w:pPr>
          </w:p>
        </w:tc>
        <w:tc>
          <w:tcPr>
            <w:tcW w:w="2158" w:type="dxa"/>
            <w:vAlign w:val="center"/>
          </w:tcPr>
          <w:p w14:paraId="45FDB04A">
            <w:pPr>
              <w:spacing w:line="440" w:lineRule="exact"/>
              <w:rPr>
                <w:rFonts w:ascii="宋体" w:cs="宋体"/>
                <w:color w:val="auto"/>
                <w:szCs w:val="21"/>
                <w:highlight w:val="none"/>
              </w:rPr>
            </w:pPr>
            <w:r>
              <w:rPr>
                <w:rFonts w:hint="eastAsia" w:ascii="宋体" w:hAnsi="宋体" w:cs="宋体"/>
                <w:color w:val="auto"/>
                <w:szCs w:val="21"/>
                <w:highlight w:val="none"/>
              </w:rPr>
              <w:t>服务期限</w:t>
            </w:r>
          </w:p>
        </w:tc>
        <w:tc>
          <w:tcPr>
            <w:tcW w:w="4727" w:type="dxa"/>
            <w:vAlign w:val="center"/>
          </w:tcPr>
          <w:p w14:paraId="23922524">
            <w:pPr>
              <w:spacing w:line="440" w:lineRule="exact"/>
              <w:rPr>
                <w:rFonts w:ascii="宋体" w:cs="宋体"/>
                <w:color w:val="auto"/>
                <w:szCs w:val="21"/>
                <w:highlight w:val="none"/>
              </w:rPr>
            </w:pPr>
            <w:r>
              <w:rPr>
                <w:rFonts w:hint="eastAsia" w:ascii="宋体" w:hAnsi="宋体" w:cs="宋体"/>
                <w:color w:val="auto"/>
                <w:szCs w:val="21"/>
                <w:highlight w:val="none"/>
              </w:rPr>
              <w:t>符合投标须知前附表规定</w:t>
            </w:r>
          </w:p>
        </w:tc>
      </w:tr>
      <w:tr w14:paraId="6D6B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11" w:type="dxa"/>
            <w:vMerge w:val="continue"/>
          </w:tcPr>
          <w:p w14:paraId="36800920">
            <w:pPr>
              <w:spacing w:line="440" w:lineRule="exact"/>
              <w:rPr>
                <w:rFonts w:ascii="宋体" w:cs="宋体"/>
                <w:color w:val="auto"/>
                <w:szCs w:val="21"/>
                <w:highlight w:val="none"/>
              </w:rPr>
            </w:pPr>
          </w:p>
        </w:tc>
        <w:tc>
          <w:tcPr>
            <w:tcW w:w="1860" w:type="dxa"/>
            <w:gridSpan w:val="2"/>
            <w:vMerge w:val="continue"/>
          </w:tcPr>
          <w:p w14:paraId="74F042BE">
            <w:pPr>
              <w:spacing w:line="440" w:lineRule="exact"/>
              <w:rPr>
                <w:rFonts w:ascii="宋体" w:cs="宋体"/>
                <w:color w:val="auto"/>
                <w:szCs w:val="21"/>
                <w:highlight w:val="none"/>
              </w:rPr>
            </w:pPr>
          </w:p>
        </w:tc>
        <w:tc>
          <w:tcPr>
            <w:tcW w:w="2158" w:type="dxa"/>
            <w:vAlign w:val="center"/>
          </w:tcPr>
          <w:p w14:paraId="41620DFC">
            <w:pPr>
              <w:spacing w:line="440" w:lineRule="exact"/>
              <w:rPr>
                <w:rFonts w:ascii="宋体" w:cs="宋体"/>
                <w:color w:val="auto"/>
                <w:szCs w:val="21"/>
                <w:highlight w:val="none"/>
              </w:rPr>
            </w:pPr>
            <w:r>
              <w:rPr>
                <w:rFonts w:hint="eastAsia" w:ascii="宋体" w:hAnsi="宋体" w:cs="宋体"/>
                <w:color w:val="auto"/>
                <w:szCs w:val="21"/>
                <w:highlight w:val="none"/>
              </w:rPr>
              <w:t>投标有效期</w:t>
            </w:r>
          </w:p>
        </w:tc>
        <w:tc>
          <w:tcPr>
            <w:tcW w:w="4727" w:type="dxa"/>
            <w:vAlign w:val="center"/>
          </w:tcPr>
          <w:p w14:paraId="1E1A0E8D">
            <w:pPr>
              <w:spacing w:line="440" w:lineRule="exact"/>
              <w:rPr>
                <w:rFonts w:ascii="宋体" w:cs="宋体"/>
                <w:color w:val="auto"/>
                <w:szCs w:val="21"/>
                <w:highlight w:val="none"/>
              </w:rPr>
            </w:pPr>
            <w:r>
              <w:rPr>
                <w:rFonts w:hint="eastAsia" w:ascii="宋体" w:hAnsi="宋体" w:cs="宋体"/>
                <w:color w:val="auto"/>
                <w:szCs w:val="21"/>
                <w:highlight w:val="none"/>
              </w:rPr>
              <w:t>符合投标须知前附表规定</w:t>
            </w:r>
          </w:p>
        </w:tc>
      </w:tr>
      <w:tr w14:paraId="187F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11" w:type="dxa"/>
            <w:vMerge w:val="continue"/>
          </w:tcPr>
          <w:p w14:paraId="560F53AE">
            <w:pPr>
              <w:spacing w:line="440" w:lineRule="exact"/>
              <w:rPr>
                <w:rFonts w:ascii="宋体" w:cs="宋体"/>
                <w:color w:val="auto"/>
                <w:szCs w:val="21"/>
                <w:highlight w:val="none"/>
              </w:rPr>
            </w:pPr>
          </w:p>
        </w:tc>
        <w:tc>
          <w:tcPr>
            <w:tcW w:w="1860" w:type="dxa"/>
            <w:gridSpan w:val="2"/>
            <w:vMerge w:val="continue"/>
          </w:tcPr>
          <w:p w14:paraId="2B98BA99">
            <w:pPr>
              <w:spacing w:line="440" w:lineRule="exact"/>
              <w:rPr>
                <w:rFonts w:ascii="宋体" w:cs="宋体"/>
                <w:color w:val="auto"/>
                <w:szCs w:val="21"/>
                <w:highlight w:val="none"/>
              </w:rPr>
            </w:pPr>
          </w:p>
        </w:tc>
        <w:tc>
          <w:tcPr>
            <w:tcW w:w="2158" w:type="dxa"/>
            <w:vAlign w:val="center"/>
          </w:tcPr>
          <w:p w14:paraId="5BB6006F">
            <w:pPr>
              <w:spacing w:line="440" w:lineRule="exact"/>
              <w:rPr>
                <w:rFonts w:ascii="宋体" w:cs="宋体"/>
                <w:color w:val="auto"/>
                <w:szCs w:val="21"/>
                <w:highlight w:val="none"/>
              </w:rPr>
            </w:pPr>
            <w:r>
              <w:rPr>
                <w:rFonts w:hint="eastAsia" w:ascii="宋体" w:hAnsi="宋体" w:cs="宋体"/>
                <w:color w:val="auto"/>
                <w:szCs w:val="21"/>
                <w:highlight w:val="none"/>
              </w:rPr>
              <w:t>工程质量</w:t>
            </w:r>
          </w:p>
        </w:tc>
        <w:tc>
          <w:tcPr>
            <w:tcW w:w="4727" w:type="dxa"/>
            <w:vAlign w:val="center"/>
          </w:tcPr>
          <w:p w14:paraId="3142BF1E">
            <w:pPr>
              <w:spacing w:line="440" w:lineRule="exact"/>
              <w:rPr>
                <w:rFonts w:ascii="宋体" w:cs="宋体"/>
                <w:color w:val="auto"/>
                <w:szCs w:val="21"/>
                <w:highlight w:val="none"/>
              </w:rPr>
            </w:pPr>
            <w:r>
              <w:rPr>
                <w:rFonts w:hint="eastAsia" w:ascii="宋体" w:hAnsi="宋体" w:cs="宋体"/>
                <w:color w:val="auto"/>
                <w:szCs w:val="21"/>
                <w:highlight w:val="none"/>
              </w:rPr>
              <w:t>符合投标须知前附表规定</w:t>
            </w:r>
          </w:p>
        </w:tc>
      </w:tr>
      <w:tr w14:paraId="39FB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11" w:type="dxa"/>
            <w:vMerge w:val="continue"/>
          </w:tcPr>
          <w:p w14:paraId="198702EC">
            <w:pPr>
              <w:spacing w:line="440" w:lineRule="exact"/>
              <w:rPr>
                <w:rFonts w:ascii="宋体" w:cs="宋体"/>
                <w:color w:val="auto"/>
                <w:szCs w:val="21"/>
                <w:highlight w:val="none"/>
              </w:rPr>
            </w:pPr>
          </w:p>
        </w:tc>
        <w:tc>
          <w:tcPr>
            <w:tcW w:w="1860" w:type="dxa"/>
            <w:gridSpan w:val="2"/>
            <w:vMerge w:val="continue"/>
          </w:tcPr>
          <w:p w14:paraId="643B3209">
            <w:pPr>
              <w:spacing w:line="440" w:lineRule="exact"/>
              <w:rPr>
                <w:rFonts w:ascii="宋体" w:cs="宋体"/>
                <w:color w:val="auto"/>
                <w:szCs w:val="21"/>
                <w:highlight w:val="none"/>
              </w:rPr>
            </w:pPr>
          </w:p>
        </w:tc>
        <w:tc>
          <w:tcPr>
            <w:tcW w:w="2158" w:type="dxa"/>
            <w:vAlign w:val="center"/>
          </w:tcPr>
          <w:p w14:paraId="706BD3FA">
            <w:pPr>
              <w:spacing w:line="440" w:lineRule="exact"/>
              <w:rPr>
                <w:rFonts w:ascii="宋体" w:cs="宋体"/>
                <w:color w:val="auto"/>
                <w:szCs w:val="21"/>
                <w:highlight w:val="none"/>
              </w:rPr>
            </w:pPr>
            <w:r>
              <w:rPr>
                <w:rFonts w:hint="eastAsia" w:ascii="宋体" w:hAnsi="宋体" w:cs="宋体"/>
                <w:color w:val="auto"/>
                <w:szCs w:val="21"/>
                <w:highlight w:val="none"/>
              </w:rPr>
              <w:t>投标文件内容</w:t>
            </w:r>
          </w:p>
        </w:tc>
        <w:tc>
          <w:tcPr>
            <w:tcW w:w="4727" w:type="dxa"/>
            <w:vAlign w:val="center"/>
          </w:tcPr>
          <w:p w14:paraId="451231FC">
            <w:pPr>
              <w:spacing w:line="440" w:lineRule="exact"/>
              <w:rPr>
                <w:rFonts w:ascii="宋体" w:cs="宋体"/>
                <w:color w:val="auto"/>
                <w:szCs w:val="21"/>
                <w:highlight w:val="none"/>
              </w:rPr>
            </w:pPr>
            <w:r>
              <w:rPr>
                <w:rFonts w:hint="eastAsia" w:ascii="宋体" w:hAnsi="宋体" w:cs="宋体"/>
                <w:color w:val="auto"/>
                <w:szCs w:val="21"/>
                <w:highlight w:val="none"/>
              </w:rPr>
              <w:t>符合投标须知前附表规定</w:t>
            </w:r>
          </w:p>
        </w:tc>
      </w:tr>
      <w:tr w14:paraId="4925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11" w:type="dxa"/>
            <w:vMerge w:val="continue"/>
          </w:tcPr>
          <w:p w14:paraId="767ABBB4">
            <w:pPr>
              <w:spacing w:line="440" w:lineRule="exact"/>
              <w:rPr>
                <w:rFonts w:ascii="宋体" w:cs="宋体"/>
                <w:color w:val="auto"/>
                <w:szCs w:val="21"/>
                <w:highlight w:val="none"/>
              </w:rPr>
            </w:pPr>
          </w:p>
        </w:tc>
        <w:tc>
          <w:tcPr>
            <w:tcW w:w="1860" w:type="dxa"/>
            <w:gridSpan w:val="2"/>
            <w:vMerge w:val="continue"/>
          </w:tcPr>
          <w:p w14:paraId="09E1ACA0">
            <w:pPr>
              <w:spacing w:line="440" w:lineRule="exact"/>
              <w:rPr>
                <w:rFonts w:ascii="宋体" w:cs="宋体"/>
                <w:color w:val="auto"/>
                <w:szCs w:val="21"/>
                <w:highlight w:val="none"/>
              </w:rPr>
            </w:pPr>
          </w:p>
        </w:tc>
        <w:tc>
          <w:tcPr>
            <w:tcW w:w="2158" w:type="dxa"/>
            <w:vAlign w:val="center"/>
          </w:tcPr>
          <w:p w14:paraId="472A973C">
            <w:pPr>
              <w:spacing w:line="440" w:lineRule="exact"/>
              <w:rPr>
                <w:rFonts w:ascii="宋体" w:cs="宋体"/>
                <w:color w:val="auto"/>
                <w:szCs w:val="21"/>
                <w:highlight w:val="none"/>
              </w:rPr>
            </w:pPr>
            <w:r>
              <w:rPr>
                <w:rFonts w:hint="eastAsia" w:ascii="宋体" w:hAnsi="宋体" w:cs="宋体"/>
                <w:color w:val="auto"/>
                <w:szCs w:val="21"/>
                <w:highlight w:val="none"/>
              </w:rPr>
              <w:t>投标报价（费率）</w:t>
            </w:r>
          </w:p>
        </w:tc>
        <w:tc>
          <w:tcPr>
            <w:tcW w:w="4727" w:type="dxa"/>
            <w:vAlign w:val="center"/>
          </w:tcPr>
          <w:p w14:paraId="29505400">
            <w:pPr>
              <w:spacing w:line="440" w:lineRule="exact"/>
              <w:rPr>
                <w:rFonts w:ascii="宋体" w:cs="宋体"/>
                <w:color w:val="auto"/>
                <w:szCs w:val="21"/>
                <w:highlight w:val="none"/>
              </w:rPr>
            </w:pPr>
            <w:r>
              <w:rPr>
                <w:rFonts w:hint="eastAsia" w:ascii="宋体" w:hAnsi="宋体" w:cs="宋体"/>
                <w:color w:val="auto"/>
                <w:szCs w:val="21"/>
                <w:highlight w:val="none"/>
              </w:rPr>
              <w:t>不高于最高投标限价（费率）</w:t>
            </w:r>
          </w:p>
        </w:tc>
      </w:tr>
      <w:tr w14:paraId="295F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426" w:type="dxa"/>
            <w:gridSpan w:val="2"/>
            <w:vAlign w:val="center"/>
          </w:tcPr>
          <w:p w14:paraId="00FF1EEE">
            <w:pPr>
              <w:spacing w:line="440" w:lineRule="exact"/>
              <w:ind w:right="252" w:rightChars="120"/>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商务分</w:t>
            </w:r>
          </w:p>
          <w:p w14:paraId="60246B0B">
            <w:pPr>
              <w:spacing w:line="440" w:lineRule="exact"/>
              <w:ind w:right="252" w:rightChars="120"/>
              <w:jc w:val="center"/>
              <w:rPr>
                <w:rFonts w:asci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60</w:t>
            </w:r>
            <w:r>
              <w:rPr>
                <w:rFonts w:hint="eastAsia" w:ascii="宋体" w:hAnsi="宋体" w:cs="宋体"/>
                <w:bCs/>
                <w:color w:val="auto"/>
                <w:szCs w:val="21"/>
                <w:highlight w:val="none"/>
              </w:rPr>
              <w:t>分）</w:t>
            </w:r>
          </w:p>
        </w:tc>
        <w:tc>
          <w:tcPr>
            <w:tcW w:w="8130" w:type="dxa"/>
            <w:gridSpan w:val="3"/>
            <w:vAlign w:val="center"/>
          </w:tcPr>
          <w:p w14:paraId="770932F1">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1投标单位所报费率不得高于招标人发布的最高限价（费率），否则按无效标处理。</w:t>
            </w:r>
          </w:p>
          <w:p w14:paraId="60A97A8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评标基准价（费率）计算方法：以</w:t>
            </w:r>
            <w:r>
              <w:rPr>
                <w:rFonts w:hint="eastAsia" w:ascii="宋体" w:hAnsi="宋体" w:eastAsia="宋体" w:cs="宋体"/>
                <w:color w:val="auto"/>
                <w:szCs w:val="21"/>
                <w:highlight w:val="none"/>
                <w:lang w:val="en-US" w:eastAsia="zh-CN"/>
              </w:rPr>
              <w:t>入围</w:t>
            </w:r>
            <w:r>
              <w:rPr>
                <w:rFonts w:hint="eastAsia" w:ascii="宋体" w:hAnsi="宋体" w:eastAsia="宋体" w:cs="宋体"/>
                <w:color w:val="auto"/>
                <w:szCs w:val="21"/>
                <w:highlight w:val="none"/>
              </w:rPr>
              <w:t>投标人的</w:t>
            </w:r>
            <w:r>
              <w:rPr>
                <w:rFonts w:hint="eastAsia" w:ascii="宋体" w:hAnsi="宋体" w:eastAsia="宋体" w:cs="宋体"/>
                <w:color w:val="auto"/>
                <w:szCs w:val="21"/>
                <w:highlight w:val="none"/>
                <w:lang w:val="en-US" w:eastAsia="zh-CN"/>
              </w:rPr>
              <w:t>有效</w:t>
            </w:r>
            <w:r>
              <w:rPr>
                <w:rFonts w:hint="eastAsia" w:ascii="宋体" w:hAnsi="宋体" w:eastAsia="宋体" w:cs="宋体"/>
                <w:color w:val="auto"/>
                <w:szCs w:val="21"/>
                <w:highlight w:val="none"/>
              </w:rPr>
              <w:t>投标报价算术平均值为 A，最高投标限价为B，则: 评标基准价=A×Q1+B×Q2，Q2=1-Q1，Q1的取值范围为10%，15%，20%；Q1值</w:t>
            </w:r>
            <w:r>
              <w:rPr>
                <w:rFonts w:hint="eastAsia" w:ascii="宋体" w:hAnsi="宋体" w:cs="宋体"/>
                <w:color w:val="auto"/>
                <w:szCs w:val="21"/>
                <w:highlight w:val="none"/>
                <w:lang w:val="en-US" w:eastAsia="zh-CN"/>
              </w:rPr>
              <w:t>线上</w:t>
            </w:r>
            <w:r>
              <w:rPr>
                <w:rFonts w:hint="eastAsia" w:ascii="宋体" w:hAnsi="宋体" w:eastAsia="宋体" w:cs="宋体"/>
                <w:color w:val="auto"/>
                <w:szCs w:val="21"/>
                <w:highlight w:val="none"/>
              </w:rPr>
              <w:t>随机抽取确定。投标报价（费率）等于评标基准价（费率）的得满分；偏离评标基准价的相应扣减得分。</w:t>
            </w:r>
          </w:p>
          <w:p w14:paraId="46482CB7">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投标报价评分标准：投标报价等于评标基准价的得满分；偏离评标基准价的，投标报价每高于评标基准价1%扣</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分，每低于评标基准价1%扣</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分，偏离不足1%的，用插入法计算。（</w:t>
            </w:r>
            <w:r>
              <w:rPr>
                <w:rFonts w:hint="eastAsia" w:ascii="宋体" w:hAnsi="宋体" w:eastAsia="宋体" w:cs="宋体"/>
                <w:color w:val="auto"/>
                <w:szCs w:val="21"/>
                <w:highlight w:val="none"/>
                <w:lang w:val="en-US" w:eastAsia="zh-CN"/>
              </w:rPr>
              <w:t>算术平均值、基准值、报价与基准值百分比及得分均</w:t>
            </w:r>
            <w:r>
              <w:rPr>
                <w:rFonts w:hint="eastAsia" w:ascii="宋体" w:hAnsi="宋体" w:eastAsia="宋体" w:cs="宋体"/>
                <w:color w:val="auto"/>
                <w:szCs w:val="21"/>
                <w:highlight w:val="none"/>
              </w:rPr>
              <w:t xml:space="preserve">保留两位小数） </w:t>
            </w:r>
          </w:p>
          <w:p w14:paraId="31CA2CC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示例：评标基准值为0.65%，投标人甲的报价为0.70%、投标人乙的报价为0.62%， 计算各投标人得分如下：</w:t>
            </w:r>
          </w:p>
          <w:p w14:paraId="7EC136BC">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计算投标人甲投标报价与评标基准值的百分比为：【（0.70%-0.65%）÷0.65%】 =7.69%，其得分=</w:t>
            </w:r>
            <w:r>
              <w:rPr>
                <w:rFonts w:hint="eastAsia" w:ascii="宋体" w:hAnsi="宋体" w:eastAsia="宋体" w:cs="宋体"/>
                <w:color w:val="auto"/>
                <w:szCs w:val="21"/>
                <w:highlight w:val="none"/>
                <w:lang w:val="en-US" w:eastAsia="zh-CN"/>
              </w:rPr>
              <w:t>满分</w:t>
            </w:r>
            <w:r>
              <w:rPr>
                <w:rFonts w:hint="eastAsia" w:ascii="宋体" w:hAnsi="宋体" w:eastAsia="宋体" w:cs="宋体"/>
                <w:color w:val="auto"/>
                <w:szCs w:val="21"/>
                <w:highlight w:val="none"/>
              </w:rPr>
              <w:t>-7.69*</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p w14:paraId="61101BD9">
            <w:pPr>
              <w:spacing w:line="440" w:lineRule="exact"/>
              <w:rPr>
                <w:color w:val="auto"/>
                <w:highlight w:val="none"/>
              </w:rPr>
            </w:pPr>
            <w:r>
              <w:rPr>
                <w:rFonts w:hint="eastAsia" w:ascii="宋体" w:hAnsi="宋体" w:eastAsia="宋体" w:cs="宋体"/>
                <w:color w:val="auto"/>
                <w:szCs w:val="21"/>
                <w:highlight w:val="none"/>
              </w:rPr>
              <w:t>计算投标人乙投标报价与评标基准值的百分比为：【（0.62%-0.65%）÷0.65%】 =-4.62%，其得分=</w:t>
            </w:r>
            <w:r>
              <w:rPr>
                <w:rFonts w:hint="eastAsia" w:ascii="宋体" w:hAnsi="宋体" w:eastAsia="宋体" w:cs="宋体"/>
                <w:color w:val="auto"/>
                <w:szCs w:val="21"/>
                <w:highlight w:val="none"/>
                <w:lang w:val="en-US" w:eastAsia="zh-CN"/>
              </w:rPr>
              <w:t>满分</w:t>
            </w:r>
            <w:r>
              <w:rPr>
                <w:rFonts w:hint="eastAsia" w:ascii="宋体" w:hAnsi="宋体" w:eastAsia="宋体" w:cs="宋体"/>
                <w:color w:val="auto"/>
                <w:szCs w:val="21"/>
                <w:highlight w:val="none"/>
              </w:rPr>
              <w:t>-4.62*</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w:t>
            </w:r>
          </w:p>
        </w:tc>
      </w:tr>
    </w:tbl>
    <w:p w14:paraId="00626BBE">
      <w:pPr>
        <w:pStyle w:val="4"/>
        <w:spacing w:beforeLines="50" w:afterLines="50"/>
        <w:ind w:firstLine="422" w:firstLineChars="200"/>
        <w:rPr>
          <w:rFonts w:ascii="宋体" w:hAnsi="宋体" w:eastAsia="宋体" w:cs="宋体"/>
          <w:color w:val="auto"/>
          <w:highlight w:val="none"/>
        </w:rPr>
      </w:pPr>
      <w:bookmarkStart w:id="674" w:name="_Toc246996232"/>
      <w:bookmarkStart w:id="675" w:name="_Toc246996975"/>
      <w:bookmarkStart w:id="676" w:name="_Toc152042366"/>
      <w:bookmarkStart w:id="677" w:name="_Toc247085747"/>
      <w:bookmarkStart w:id="678" w:name="_Toc152045589"/>
      <w:bookmarkStart w:id="679" w:name="_Toc15058913"/>
      <w:bookmarkStart w:id="680" w:name="_Toc144974556"/>
      <w:bookmarkStart w:id="681" w:name="_Toc506107324"/>
      <w:bookmarkStart w:id="682" w:name="_Toc35424947"/>
      <w:bookmarkStart w:id="683" w:name="_Toc179632607"/>
      <w:bookmarkStart w:id="684" w:name="_Toc35425113"/>
      <w:bookmarkStart w:id="685" w:name="_Toc324404872"/>
      <w:bookmarkStart w:id="686" w:name="_Toc6491"/>
      <w:r>
        <w:rPr>
          <w:rFonts w:ascii="宋体" w:hAnsi="宋体" w:eastAsia="宋体" w:cs="宋体"/>
          <w:color w:val="auto"/>
          <w:highlight w:val="none"/>
        </w:rPr>
        <w:t xml:space="preserve">1. </w:t>
      </w:r>
      <w:r>
        <w:rPr>
          <w:rFonts w:hint="eastAsia" w:ascii="宋体" w:hAnsi="宋体" w:eastAsia="宋体" w:cs="宋体"/>
          <w:color w:val="auto"/>
          <w:highlight w:val="none"/>
        </w:rPr>
        <w:t>评标方法</w:t>
      </w:r>
      <w:bookmarkEnd w:id="674"/>
      <w:bookmarkEnd w:id="675"/>
      <w:bookmarkEnd w:id="676"/>
      <w:bookmarkEnd w:id="677"/>
      <w:bookmarkEnd w:id="678"/>
      <w:bookmarkEnd w:id="679"/>
      <w:bookmarkEnd w:id="680"/>
      <w:bookmarkEnd w:id="681"/>
      <w:bookmarkEnd w:id="682"/>
      <w:bookmarkEnd w:id="683"/>
      <w:bookmarkEnd w:id="684"/>
      <w:bookmarkEnd w:id="685"/>
      <w:bookmarkEnd w:id="686"/>
    </w:p>
    <w:p w14:paraId="20770835">
      <w:pPr>
        <w:snapToGrid w:val="0"/>
        <w:spacing w:line="440" w:lineRule="exact"/>
        <w:ind w:right="252" w:rightChars="120" w:firstLine="420" w:firstLineChars="200"/>
        <w:jc w:val="left"/>
        <w:rPr>
          <w:rFonts w:ascii="宋体" w:cs="宋体"/>
          <w:color w:val="auto"/>
          <w:szCs w:val="21"/>
          <w:highlight w:val="none"/>
        </w:rPr>
      </w:pPr>
      <w:bookmarkStart w:id="687" w:name="_Toc324404873"/>
      <w:bookmarkStart w:id="688" w:name="_Toc179632608"/>
      <w:bookmarkStart w:id="689" w:name="_Toc246996233"/>
      <w:bookmarkStart w:id="690" w:name="_Toc152042367"/>
      <w:bookmarkStart w:id="691" w:name="_Toc247085748"/>
      <w:bookmarkStart w:id="692" w:name="_Toc296602478"/>
      <w:bookmarkStart w:id="693" w:name="_Toc246996976"/>
      <w:bookmarkStart w:id="694" w:name="_Toc152045590"/>
      <w:bookmarkStart w:id="695" w:name="_Toc144974557"/>
      <w:r>
        <w:rPr>
          <w:rFonts w:hint="eastAsia" w:ascii="宋体" w:hAnsi="宋体" w:cs="宋体"/>
          <w:color w:val="auto"/>
          <w:szCs w:val="21"/>
          <w:highlight w:val="none"/>
        </w:rPr>
        <w:t>本次评标采用综合评</w:t>
      </w:r>
      <w:r>
        <w:rPr>
          <w:rFonts w:hint="eastAsia" w:ascii="宋体" w:hAnsi="宋体" w:cs="宋体"/>
          <w:color w:val="auto"/>
          <w:szCs w:val="21"/>
          <w:highlight w:val="none"/>
          <w:lang w:val="en-US" w:eastAsia="zh-CN"/>
        </w:rPr>
        <w:t>估</w:t>
      </w:r>
      <w:r>
        <w:rPr>
          <w:rFonts w:hint="eastAsia" w:ascii="宋体" w:hAnsi="宋体" w:cs="宋体"/>
          <w:color w:val="auto"/>
          <w:szCs w:val="21"/>
          <w:highlight w:val="none"/>
        </w:rPr>
        <w:t>法。评标委员会对满足招标文件实质性要求的投标文件，按照本章规定的评分标准进行打分，并按总得分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资信、技术及商务得分之和</w:t>
      </w:r>
      <w:r>
        <w:rPr>
          <w:rFonts w:hint="eastAsia" w:ascii="宋体" w:hAnsi="宋体" w:cs="宋体"/>
          <w:color w:val="auto"/>
          <w:szCs w:val="21"/>
          <w:highlight w:val="none"/>
          <w:lang w:eastAsia="zh-CN"/>
        </w:rPr>
        <w:t>）</w:t>
      </w:r>
      <w:r>
        <w:rPr>
          <w:rFonts w:hint="eastAsia" w:ascii="宋体" w:hAnsi="宋体" w:cs="宋体"/>
          <w:color w:val="auto"/>
          <w:szCs w:val="21"/>
          <w:highlight w:val="none"/>
        </w:rPr>
        <w:t>由高到低顺序推荐中标候选人应当不超过</w:t>
      </w:r>
      <w:r>
        <w:rPr>
          <w:rFonts w:ascii="宋体" w:hAnsi="宋体" w:cs="宋体"/>
          <w:color w:val="auto"/>
          <w:szCs w:val="21"/>
          <w:highlight w:val="none"/>
        </w:rPr>
        <w:t>3</w:t>
      </w:r>
      <w:r>
        <w:rPr>
          <w:rFonts w:hint="eastAsia" w:ascii="宋体" w:hAnsi="宋体" w:cs="宋体"/>
          <w:color w:val="auto"/>
          <w:szCs w:val="21"/>
          <w:highlight w:val="none"/>
        </w:rPr>
        <w:t>名，并标明排序（本项目推荐</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名中标候选人），但投标报价低于其成本的除外。总评分相等时，以投标报价低的优先；若投标报价也相等，由招标人或评标委员会主任委员抽签确定。</w:t>
      </w:r>
      <w:r>
        <w:rPr>
          <w:rFonts w:ascii="宋体" w:hAnsi="宋体" w:cs="宋体"/>
          <w:color w:val="auto"/>
          <w:szCs w:val="21"/>
          <w:highlight w:val="none"/>
        </w:rPr>
        <w:t xml:space="preserve"> </w:t>
      </w:r>
    </w:p>
    <w:p w14:paraId="2951F4E2">
      <w:pPr>
        <w:snapToGrid w:val="0"/>
        <w:spacing w:line="440" w:lineRule="exact"/>
        <w:ind w:right="252" w:rightChars="120" w:firstLine="420" w:firstLineChars="200"/>
        <w:jc w:val="left"/>
        <w:rPr>
          <w:rFonts w:hint="eastAsia" w:ascii="宋体" w:hAnsi="宋体" w:cs="宋体"/>
          <w:color w:val="auto"/>
          <w:szCs w:val="21"/>
          <w:highlight w:val="none"/>
        </w:rPr>
      </w:pPr>
      <w:bookmarkStart w:id="696" w:name="_Toc35424948"/>
      <w:bookmarkStart w:id="697" w:name="_Toc35425114"/>
      <w:bookmarkStart w:id="698" w:name="_Toc11945"/>
      <w:bookmarkStart w:id="699" w:name="_Toc15058914"/>
      <w:bookmarkStart w:id="700" w:name="_Toc506107325"/>
      <w:r>
        <w:rPr>
          <w:rFonts w:hint="eastAsia" w:ascii="宋体" w:hAnsi="宋体" w:cs="宋体"/>
          <w:color w:val="auto"/>
          <w:szCs w:val="21"/>
          <w:highlight w:val="none"/>
        </w:rPr>
        <w:t>在专家评审结束后，根据评标委员会评审初步结论，由项目单位（代理机构）对预中标候选人、法定代表人及其项目</w:t>
      </w:r>
      <w:r>
        <w:rPr>
          <w:rFonts w:hint="eastAsia" w:ascii="宋体" w:hAnsi="宋体" w:cs="宋体"/>
          <w:color w:val="auto"/>
          <w:szCs w:val="21"/>
          <w:highlight w:val="none"/>
          <w:lang w:val="en-US" w:eastAsia="zh-CN"/>
        </w:rPr>
        <w:t>负责人</w:t>
      </w:r>
      <w:r>
        <w:rPr>
          <w:rFonts w:hint="eastAsia" w:ascii="宋体" w:hAnsi="宋体" w:cs="宋体"/>
          <w:color w:val="auto"/>
          <w:szCs w:val="21"/>
          <w:highlight w:val="none"/>
        </w:rPr>
        <w:t>是否存在</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rPr>
        <w:t>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值。</w:t>
      </w:r>
    </w:p>
    <w:p w14:paraId="525764A0">
      <w:pPr>
        <w:pStyle w:val="4"/>
        <w:spacing w:beforeLines="50" w:afterLines="50"/>
        <w:ind w:firstLine="422" w:firstLineChars="200"/>
        <w:rPr>
          <w:rFonts w:ascii="宋体" w:hAnsi="宋体" w:eastAsia="宋体" w:cs="宋体"/>
          <w:color w:val="auto"/>
          <w:highlight w:val="none"/>
        </w:rPr>
      </w:pPr>
      <w:r>
        <w:rPr>
          <w:rFonts w:ascii="宋体" w:hAnsi="宋体" w:eastAsia="宋体" w:cs="宋体"/>
          <w:color w:val="auto"/>
          <w:highlight w:val="none"/>
        </w:rPr>
        <w:t>2.</w:t>
      </w:r>
      <w:r>
        <w:rPr>
          <w:rFonts w:hint="eastAsia" w:ascii="宋体" w:hAnsi="宋体" w:eastAsia="宋体" w:cs="宋体"/>
          <w:color w:val="auto"/>
          <w:highlight w:val="none"/>
        </w:rPr>
        <w:t>评标委员会的职责</w:t>
      </w:r>
      <w:bookmarkEnd w:id="687"/>
      <w:bookmarkEnd w:id="696"/>
      <w:bookmarkEnd w:id="697"/>
      <w:bookmarkEnd w:id="698"/>
      <w:bookmarkEnd w:id="699"/>
      <w:bookmarkEnd w:id="700"/>
    </w:p>
    <w:p w14:paraId="2E8A5FDE">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1E97824E">
      <w:pPr>
        <w:pStyle w:val="4"/>
        <w:ind w:firstLine="420" w:firstLineChars="200"/>
        <w:rPr>
          <w:rFonts w:eastAsia="宋体"/>
          <w:color w:val="auto"/>
          <w:highlight w:val="none"/>
        </w:rPr>
      </w:pPr>
      <w:r>
        <w:rPr>
          <w:rFonts w:hint="eastAsia" w:ascii="宋体" w:hAnsi="宋体" w:eastAsia="宋体" w:cs="宋体"/>
          <w:b w:val="0"/>
          <w:bCs w:val="0"/>
          <w:color w:val="auto"/>
          <w:szCs w:val="21"/>
          <w:highlight w:val="none"/>
        </w:rPr>
        <w:t>评标委员会应加强对报价合理性审查。评标评审委员会认为投标人的报价明显低于其他通过符合性审查投标人的报价，有可能影响项目质量或者不能诚信履约的，应当要求其线上远程在开标大厅合理的时间内提供书面说明，必要时提交相关证明材料；投标人不能证明其报价合理性的，评标评审委员会应当将其作为无效投标处理。</w:t>
      </w:r>
    </w:p>
    <w:p w14:paraId="7A3FC933">
      <w:pPr>
        <w:pStyle w:val="4"/>
        <w:spacing w:beforeLines="50" w:afterLines="50"/>
        <w:ind w:firstLine="422" w:firstLineChars="200"/>
        <w:rPr>
          <w:rFonts w:ascii="宋体" w:hAnsi="宋体" w:eastAsia="宋体" w:cs="宋体"/>
          <w:color w:val="auto"/>
          <w:highlight w:val="none"/>
        </w:rPr>
      </w:pPr>
      <w:bookmarkStart w:id="701" w:name="_Toc506107326"/>
      <w:bookmarkStart w:id="702" w:name="_Toc35424949"/>
      <w:bookmarkStart w:id="703" w:name="_Toc15058915"/>
      <w:bookmarkStart w:id="704" w:name="_Toc17377"/>
      <w:bookmarkStart w:id="705" w:name="_Toc324404874"/>
      <w:bookmarkStart w:id="706" w:name="_Toc35425115"/>
      <w:r>
        <w:rPr>
          <w:rFonts w:ascii="宋体" w:hAnsi="宋体" w:eastAsia="宋体" w:cs="宋体"/>
          <w:color w:val="auto"/>
          <w:highlight w:val="none"/>
        </w:rPr>
        <w:t>3.</w:t>
      </w:r>
      <w:r>
        <w:rPr>
          <w:rFonts w:hint="eastAsia" w:ascii="宋体" w:hAnsi="宋体" w:eastAsia="宋体" w:cs="宋体"/>
          <w:color w:val="auto"/>
          <w:highlight w:val="none"/>
        </w:rPr>
        <w:t>评标程序</w:t>
      </w:r>
      <w:bookmarkEnd w:id="701"/>
      <w:bookmarkEnd w:id="702"/>
      <w:bookmarkEnd w:id="703"/>
      <w:bookmarkEnd w:id="704"/>
      <w:bookmarkEnd w:id="705"/>
      <w:bookmarkEnd w:id="706"/>
    </w:p>
    <w:p w14:paraId="6D9991F9">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评标先做准备工作，先进行资信评审，再进行商务标评审。</w:t>
      </w:r>
    </w:p>
    <w:p w14:paraId="19F62A2B">
      <w:pPr>
        <w:pStyle w:val="4"/>
        <w:ind w:firstLine="422" w:firstLineChars="200"/>
        <w:rPr>
          <w:rFonts w:ascii="宋体" w:hAnsi="宋体" w:eastAsia="宋体" w:cs="宋体"/>
          <w:color w:val="auto"/>
          <w:highlight w:val="none"/>
        </w:rPr>
      </w:pPr>
      <w:bookmarkStart w:id="707" w:name="_Toc27389"/>
      <w:bookmarkStart w:id="708" w:name="_Toc35425116"/>
      <w:bookmarkStart w:id="709" w:name="_Toc15058916"/>
      <w:bookmarkStart w:id="710" w:name="_Toc35424950"/>
      <w:r>
        <w:rPr>
          <w:rFonts w:ascii="宋体" w:hAnsi="宋体" w:eastAsia="宋体" w:cs="宋体"/>
          <w:color w:val="auto"/>
          <w:highlight w:val="none"/>
        </w:rPr>
        <w:t>3.1</w:t>
      </w:r>
      <w:r>
        <w:rPr>
          <w:rFonts w:hint="eastAsia" w:ascii="宋体" w:hAnsi="宋体" w:eastAsia="宋体" w:cs="宋体"/>
          <w:color w:val="auto"/>
          <w:highlight w:val="none"/>
        </w:rPr>
        <w:t>评标准备工作</w:t>
      </w:r>
      <w:bookmarkEnd w:id="707"/>
      <w:bookmarkEnd w:id="708"/>
      <w:bookmarkEnd w:id="709"/>
      <w:bookmarkEnd w:id="710"/>
    </w:p>
    <w:p w14:paraId="7CD3FD59">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评标委员会熟悉评标工作情况：</w:t>
      </w:r>
    </w:p>
    <w:p w14:paraId="221FB2E2">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）阅读由招标人或者其委托的工程代理机构编制的招标项目情况材料。</w:t>
      </w:r>
    </w:p>
    <w:p w14:paraId="51206BED">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）阅读、研究招标文件和相关评标资料，获取评标所需要的重要信息和数据，至少应了解和熟悉以下内容：招标项目的范围和性质，招标文件规定的主要技术要求、标准和商务条款。</w:t>
      </w:r>
    </w:p>
    <w:p w14:paraId="14357CAD">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）熟悉招标文件规定的评标标准和评标方法及在评标过程中需要考虑的相关因素。</w:t>
      </w:r>
    </w:p>
    <w:p w14:paraId="6F0C5D3F">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）核对评标工作用表。</w:t>
      </w:r>
    </w:p>
    <w:p w14:paraId="7179D55F">
      <w:pPr>
        <w:pStyle w:val="4"/>
        <w:ind w:firstLine="422" w:firstLineChars="200"/>
        <w:rPr>
          <w:rFonts w:ascii="宋体" w:hAnsi="宋体" w:eastAsia="宋体" w:cs="宋体"/>
          <w:color w:val="auto"/>
          <w:highlight w:val="none"/>
        </w:rPr>
      </w:pPr>
      <w:bookmarkStart w:id="711" w:name="_Toc15058917"/>
      <w:bookmarkStart w:id="712" w:name="_Toc35424951"/>
      <w:bookmarkStart w:id="713" w:name="_Toc1299"/>
      <w:bookmarkStart w:id="714" w:name="_Toc24650"/>
      <w:bookmarkStart w:id="715" w:name="_Toc35425117"/>
      <w:bookmarkStart w:id="716" w:name="_Toc35425120"/>
      <w:bookmarkStart w:id="717" w:name="_Toc15058919"/>
      <w:bookmarkStart w:id="718" w:name="_Toc506107327"/>
      <w:bookmarkStart w:id="719" w:name="_Toc324404875"/>
      <w:bookmarkStart w:id="720" w:name="_Toc35424954"/>
      <w:bookmarkStart w:id="721" w:name="_Toc12200"/>
      <w:r>
        <w:rPr>
          <w:rFonts w:ascii="宋体" w:hAnsi="宋体" w:eastAsia="宋体" w:cs="宋体"/>
          <w:color w:val="auto"/>
          <w:highlight w:val="none"/>
        </w:rPr>
        <w:t>3.2</w:t>
      </w:r>
      <w:r>
        <w:rPr>
          <w:rFonts w:hint="eastAsia" w:ascii="宋体" w:hAnsi="宋体" w:eastAsia="宋体" w:cs="宋体"/>
          <w:color w:val="auto"/>
          <w:highlight w:val="none"/>
        </w:rPr>
        <w:t>技术标评审</w:t>
      </w:r>
      <w:bookmarkEnd w:id="711"/>
      <w:bookmarkEnd w:id="712"/>
      <w:bookmarkEnd w:id="713"/>
      <w:bookmarkEnd w:id="714"/>
      <w:bookmarkEnd w:id="715"/>
    </w:p>
    <w:p w14:paraId="7C405F3A">
      <w:pPr>
        <w:spacing w:line="440" w:lineRule="exact"/>
        <w:ind w:firstLine="420" w:firstLineChars="200"/>
        <w:rPr>
          <w:rFonts w:ascii="宋体" w:cs="宋体"/>
          <w:color w:val="auto"/>
          <w:szCs w:val="21"/>
          <w:highlight w:val="none"/>
        </w:rPr>
      </w:pPr>
      <w:r>
        <w:rPr>
          <w:rFonts w:hint="eastAsia" w:ascii="宋体" w:hAnsi="宋体" w:cs="宋体"/>
          <w:color w:val="auto"/>
          <w:szCs w:val="21"/>
          <w:highlight w:val="none"/>
        </w:rPr>
        <w:t>详见技术标评审表。</w:t>
      </w:r>
    </w:p>
    <w:p w14:paraId="04C842C8">
      <w:pPr>
        <w:pStyle w:val="4"/>
        <w:ind w:firstLine="422" w:firstLineChars="200"/>
        <w:rPr>
          <w:rFonts w:ascii="宋体" w:hAnsi="宋体" w:eastAsia="宋体" w:cs="宋体"/>
          <w:color w:val="auto"/>
          <w:highlight w:val="none"/>
        </w:rPr>
      </w:pPr>
      <w:bookmarkStart w:id="722" w:name="_Toc17468"/>
      <w:bookmarkStart w:id="723" w:name="_Toc35424952"/>
      <w:bookmarkStart w:id="724" w:name="_Toc35425118"/>
      <w:bookmarkStart w:id="725" w:name="_Toc15058918"/>
      <w:bookmarkStart w:id="726" w:name="_Toc11990"/>
      <w:r>
        <w:rPr>
          <w:rFonts w:ascii="宋体" w:hAnsi="宋体" w:eastAsia="宋体" w:cs="宋体"/>
          <w:color w:val="auto"/>
          <w:highlight w:val="none"/>
        </w:rPr>
        <w:t>3.3</w:t>
      </w:r>
      <w:r>
        <w:rPr>
          <w:rFonts w:hint="eastAsia" w:ascii="宋体" w:hAnsi="宋体" w:eastAsia="宋体" w:cs="宋体"/>
          <w:color w:val="auto"/>
          <w:highlight w:val="none"/>
        </w:rPr>
        <w:t>商务标评审</w:t>
      </w:r>
      <w:bookmarkEnd w:id="722"/>
      <w:bookmarkEnd w:id="723"/>
      <w:bookmarkEnd w:id="724"/>
      <w:bookmarkEnd w:id="725"/>
      <w:bookmarkEnd w:id="726"/>
    </w:p>
    <w:p w14:paraId="2E0D22C0">
      <w:pPr>
        <w:spacing w:line="440" w:lineRule="exact"/>
        <w:ind w:firstLine="420" w:firstLineChars="200"/>
        <w:rPr>
          <w:rFonts w:ascii="宋体" w:cs="宋体"/>
          <w:color w:val="auto"/>
          <w:szCs w:val="21"/>
          <w:highlight w:val="none"/>
        </w:rPr>
      </w:pPr>
      <w:r>
        <w:rPr>
          <w:rFonts w:hint="eastAsia" w:ascii="宋体" w:hAnsi="宋体" w:cs="宋体"/>
          <w:color w:val="auto"/>
          <w:szCs w:val="21"/>
          <w:highlight w:val="none"/>
        </w:rPr>
        <w:t>详见商务标评审表。</w:t>
      </w:r>
    </w:p>
    <w:p w14:paraId="389E9D71">
      <w:pPr>
        <w:spacing w:line="440" w:lineRule="exact"/>
        <w:ind w:firstLine="422" w:firstLineChars="200"/>
        <w:rPr>
          <w:rFonts w:ascii="宋体" w:cs="宋体"/>
          <w:color w:val="auto"/>
          <w:szCs w:val="21"/>
          <w:highlight w:val="none"/>
        </w:rPr>
      </w:pPr>
      <w:bookmarkStart w:id="727" w:name="_Toc35424953"/>
      <w:bookmarkStart w:id="728" w:name="_Toc35425119"/>
      <w:bookmarkStart w:id="729" w:name="_Toc18087"/>
      <w:bookmarkStart w:id="730" w:name="_Toc26895"/>
      <w:r>
        <w:rPr>
          <w:rStyle w:val="66"/>
          <w:rFonts w:ascii="宋体" w:hAnsi="宋体" w:eastAsia="宋体" w:cs="宋体"/>
          <w:bCs/>
          <w:color w:val="auto"/>
          <w:sz w:val="21"/>
          <w:szCs w:val="32"/>
          <w:highlight w:val="none"/>
        </w:rPr>
        <w:t>3.4</w:t>
      </w:r>
      <w:r>
        <w:rPr>
          <w:rStyle w:val="66"/>
          <w:rFonts w:hint="eastAsia" w:ascii="宋体" w:hAnsi="宋体" w:eastAsia="宋体" w:cs="宋体"/>
          <w:bCs/>
          <w:color w:val="auto"/>
          <w:sz w:val="21"/>
          <w:szCs w:val="32"/>
          <w:highlight w:val="none"/>
        </w:rPr>
        <w:t>推荐中标候选人</w:t>
      </w:r>
      <w:bookmarkEnd w:id="727"/>
      <w:bookmarkEnd w:id="728"/>
      <w:bookmarkEnd w:id="729"/>
      <w:bookmarkEnd w:id="730"/>
      <w:r>
        <w:rPr>
          <w:rFonts w:hint="eastAsia" w:ascii="宋体" w:hAnsi="宋体" w:cs="宋体"/>
          <w:b/>
          <w:bCs/>
          <w:color w:val="auto"/>
          <w:highlight w:val="none"/>
        </w:rPr>
        <w:t>：</w:t>
      </w:r>
      <w:r>
        <w:rPr>
          <w:rFonts w:hint="eastAsia" w:ascii="宋体" w:hAnsi="宋体" w:cs="宋体"/>
          <w:color w:val="auto"/>
          <w:highlight w:val="none"/>
        </w:rPr>
        <w:t>资信评审、技术标评审、商务标评审后，推荐</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3</w:t>
      </w:r>
      <w:r>
        <w:rPr>
          <w:rFonts w:ascii="宋体" w:hAnsi="宋体" w:cs="宋体"/>
          <w:color w:val="auto"/>
          <w:highlight w:val="none"/>
          <w:u w:val="single"/>
        </w:rPr>
        <w:t xml:space="preserve"> </w:t>
      </w:r>
      <w:r>
        <w:rPr>
          <w:rFonts w:hint="eastAsia" w:ascii="宋体" w:hAnsi="宋体" w:cs="宋体"/>
          <w:color w:val="auto"/>
          <w:highlight w:val="none"/>
        </w:rPr>
        <w:t>名中标候选人，并标明排序。</w:t>
      </w:r>
    </w:p>
    <w:p w14:paraId="1F763262">
      <w:pPr>
        <w:pStyle w:val="4"/>
        <w:spacing w:beforeLines="50" w:afterLines="50"/>
        <w:ind w:firstLine="422" w:firstLineChars="200"/>
        <w:rPr>
          <w:rFonts w:ascii="宋体" w:hAnsi="宋体" w:eastAsia="宋体" w:cs="宋体"/>
          <w:color w:val="auto"/>
          <w:highlight w:val="none"/>
        </w:rPr>
      </w:pPr>
      <w:r>
        <w:rPr>
          <w:rFonts w:ascii="宋体" w:hAnsi="宋体" w:eastAsia="宋体" w:cs="宋体"/>
          <w:color w:val="auto"/>
          <w:highlight w:val="none"/>
        </w:rPr>
        <w:t>4.</w:t>
      </w:r>
      <w:r>
        <w:rPr>
          <w:rFonts w:hint="eastAsia" w:ascii="宋体" w:hAnsi="宋体" w:eastAsia="宋体" w:cs="宋体"/>
          <w:color w:val="auto"/>
          <w:highlight w:val="none"/>
        </w:rPr>
        <w:t>评审内容</w:t>
      </w:r>
      <w:bookmarkEnd w:id="716"/>
      <w:bookmarkEnd w:id="717"/>
      <w:bookmarkEnd w:id="718"/>
      <w:bookmarkEnd w:id="719"/>
      <w:bookmarkEnd w:id="720"/>
      <w:bookmarkEnd w:id="721"/>
    </w:p>
    <w:p w14:paraId="2B2BB238">
      <w:pPr>
        <w:pStyle w:val="4"/>
        <w:ind w:firstLine="422" w:firstLineChars="200"/>
        <w:rPr>
          <w:rFonts w:ascii="宋体" w:hAnsi="宋体" w:eastAsia="宋体" w:cs="宋体"/>
          <w:color w:val="auto"/>
          <w:highlight w:val="none"/>
        </w:rPr>
      </w:pPr>
      <w:bookmarkStart w:id="731" w:name="_Toc35424956"/>
      <w:bookmarkStart w:id="732" w:name="_Toc35425122"/>
      <w:bookmarkStart w:id="733" w:name="_Toc15058921"/>
      <w:bookmarkStart w:id="734" w:name="_Toc3531"/>
      <w:bookmarkStart w:id="735" w:name="_Toc324404876"/>
      <w:r>
        <w:rPr>
          <w:rFonts w:ascii="宋体" w:hAnsi="宋体" w:eastAsia="宋体" w:cs="宋体"/>
          <w:color w:val="auto"/>
          <w:highlight w:val="none"/>
        </w:rPr>
        <w:t>4.</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商务标评审</w:t>
      </w:r>
      <w:bookmarkEnd w:id="731"/>
      <w:bookmarkEnd w:id="732"/>
      <w:bookmarkEnd w:id="733"/>
      <w:bookmarkEnd w:id="734"/>
    </w:p>
    <w:p w14:paraId="1DBB6EF2">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只有通过</w:t>
      </w:r>
      <w:r>
        <w:rPr>
          <w:rFonts w:hint="eastAsia" w:ascii="宋体" w:hAnsi="宋体" w:cs="宋体"/>
          <w:color w:val="auto"/>
          <w:highlight w:val="none"/>
          <w:lang w:val="en-US" w:eastAsia="zh-CN"/>
        </w:rPr>
        <w:t>技术</w:t>
      </w:r>
      <w:r>
        <w:rPr>
          <w:rFonts w:hint="eastAsia" w:ascii="宋体" w:hAnsi="宋体" w:cs="宋体"/>
          <w:color w:val="auto"/>
          <w:highlight w:val="none"/>
        </w:rPr>
        <w:t>标评审的投标才能够进入本阶段评审。</w:t>
      </w:r>
    </w:p>
    <w:p w14:paraId="1CE1EBDA">
      <w:pPr>
        <w:spacing w:line="440" w:lineRule="exact"/>
        <w:ind w:firstLine="420" w:firstLineChars="200"/>
        <w:jc w:val="left"/>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lang w:val="en-US" w:eastAsia="zh-CN"/>
        </w:rPr>
        <w:t>1</w:t>
      </w:r>
      <w:r>
        <w:rPr>
          <w:rFonts w:ascii="宋体" w:hAnsi="宋体" w:cs="宋体"/>
          <w:color w:val="auto"/>
          <w:highlight w:val="none"/>
        </w:rPr>
        <w:t>.1</w:t>
      </w:r>
      <w:r>
        <w:rPr>
          <w:rFonts w:hint="eastAsia" w:ascii="宋体" w:hAnsi="宋体" w:cs="宋体"/>
          <w:color w:val="auto"/>
          <w:highlight w:val="none"/>
        </w:rPr>
        <w:t>形式性评审标准：见商务标评审表。</w:t>
      </w:r>
    </w:p>
    <w:p w14:paraId="64A325EC">
      <w:pPr>
        <w:spacing w:line="440" w:lineRule="exact"/>
        <w:ind w:firstLine="420" w:firstLineChars="200"/>
        <w:jc w:val="left"/>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lang w:val="en-US" w:eastAsia="zh-CN"/>
        </w:rPr>
        <w:t>1</w:t>
      </w:r>
      <w:r>
        <w:rPr>
          <w:rFonts w:ascii="宋体" w:hAnsi="宋体" w:cs="宋体"/>
          <w:color w:val="auto"/>
          <w:highlight w:val="none"/>
        </w:rPr>
        <w:t>.2</w:t>
      </w:r>
      <w:r>
        <w:rPr>
          <w:rFonts w:hint="eastAsia" w:ascii="宋体" w:hAnsi="宋体" w:cs="宋体"/>
          <w:color w:val="auto"/>
          <w:highlight w:val="none"/>
        </w:rPr>
        <w:t>响应性评审标准：见商务标评审表。</w:t>
      </w:r>
    </w:p>
    <w:p w14:paraId="0A2E503F">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评标委员会依据上述标准对投标文件进行初步评审。有一项不符合评审标准的，作无效投标处理。</w:t>
      </w:r>
    </w:p>
    <w:p w14:paraId="7EF4EF4B">
      <w:pPr>
        <w:spacing w:line="440" w:lineRule="exact"/>
        <w:ind w:firstLine="420" w:firstLineChars="200"/>
        <w:jc w:val="left"/>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lang w:val="en-US" w:eastAsia="zh-CN"/>
        </w:rPr>
        <w:t>1</w:t>
      </w:r>
      <w:r>
        <w:rPr>
          <w:rFonts w:ascii="宋体" w:hAnsi="宋体" w:cs="宋体"/>
          <w:color w:val="auto"/>
          <w:highlight w:val="none"/>
        </w:rPr>
        <w:t>.3</w:t>
      </w:r>
      <w:r>
        <w:rPr>
          <w:rFonts w:hint="eastAsia" w:ascii="宋体" w:hAnsi="宋体" w:cs="宋体"/>
          <w:color w:val="auto"/>
          <w:highlight w:val="none"/>
        </w:rPr>
        <w:t>投标报价评审</w:t>
      </w:r>
    </w:p>
    <w:p w14:paraId="056B4F58">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3FBADD9B">
      <w:pPr>
        <w:spacing w:line="440" w:lineRule="exact"/>
        <w:ind w:firstLine="420" w:firstLineChars="200"/>
        <w:jc w:val="left"/>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lang w:val="en-US" w:eastAsia="zh-CN"/>
        </w:rPr>
        <w:t>1</w:t>
      </w:r>
      <w:r>
        <w:rPr>
          <w:rFonts w:ascii="宋体" w:hAnsi="宋体" w:cs="宋体"/>
          <w:color w:val="auto"/>
          <w:highlight w:val="none"/>
        </w:rPr>
        <w:t>.4</w:t>
      </w:r>
      <w:r>
        <w:rPr>
          <w:rFonts w:hint="eastAsia" w:ascii="宋体" w:hAnsi="宋体" w:cs="宋体"/>
          <w:color w:val="auto"/>
          <w:highlight w:val="none"/>
        </w:rPr>
        <w:t>评标委员会审查投标文件，投标报价有错误的，评标委员会按以下原则对投标报价进行修正。</w:t>
      </w:r>
    </w:p>
    <w:p w14:paraId="230EDE9B">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）投标文件中的大写金额与小写金额不一致的，以大写金额为准。</w:t>
      </w:r>
    </w:p>
    <w:p w14:paraId="285605AB">
      <w:pPr>
        <w:spacing w:line="440" w:lineRule="exact"/>
        <w:ind w:firstLine="420" w:firstLineChars="200"/>
        <w:jc w:val="left"/>
        <w:rPr>
          <w:rFonts w:ascii="宋体" w:cs="宋体"/>
          <w:color w:val="auto"/>
          <w:szCs w:val="21"/>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）总价金额与依据单价计算出的结果不一致的，以单价金额为准修正总价，但单价金额小数点有明显错误的除外。</w:t>
      </w:r>
    </w:p>
    <w:p w14:paraId="401C6F05">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按上述修正错误的原则及方法调整或修正投标文件的投标报价，调整或修正的价格经投标人书面确认后具有约束力。中标价原则上以调整或修正后的价格为准，调整或修正后的价格与投标报价相比，价格低的为中标价。投标人不接受的，其投标将被拒绝。</w:t>
      </w:r>
    </w:p>
    <w:p w14:paraId="0156D5D3">
      <w:pPr>
        <w:pStyle w:val="4"/>
        <w:spacing w:beforeLines="50" w:afterLines="50"/>
        <w:ind w:firstLine="422" w:firstLineChars="200"/>
        <w:rPr>
          <w:rFonts w:ascii="宋体" w:hAnsi="宋体" w:eastAsia="宋体" w:cs="宋体"/>
          <w:color w:val="auto"/>
          <w:highlight w:val="none"/>
        </w:rPr>
      </w:pPr>
      <w:bookmarkStart w:id="736" w:name="_Toc15058922"/>
      <w:bookmarkStart w:id="737" w:name="_Toc35425123"/>
      <w:bookmarkStart w:id="738" w:name="_Toc13125"/>
      <w:bookmarkStart w:id="739" w:name="_Toc506107328"/>
      <w:bookmarkStart w:id="740" w:name="_Toc35424957"/>
      <w:r>
        <w:rPr>
          <w:rFonts w:ascii="宋体" w:hAnsi="宋体" w:eastAsia="宋体" w:cs="宋体"/>
          <w:color w:val="auto"/>
          <w:highlight w:val="none"/>
        </w:rPr>
        <w:t>5.</w:t>
      </w:r>
      <w:r>
        <w:rPr>
          <w:rFonts w:hint="eastAsia" w:ascii="宋体" w:hAnsi="宋体" w:eastAsia="宋体" w:cs="宋体"/>
          <w:color w:val="auto"/>
          <w:highlight w:val="none"/>
        </w:rPr>
        <w:t>无效投标条款</w:t>
      </w:r>
      <w:bookmarkEnd w:id="735"/>
      <w:bookmarkEnd w:id="736"/>
      <w:bookmarkEnd w:id="737"/>
      <w:bookmarkEnd w:id="738"/>
      <w:bookmarkEnd w:id="739"/>
      <w:bookmarkEnd w:id="740"/>
    </w:p>
    <w:p w14:paraId="09EE8D12">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投标人存在下列情形的的招标人将拒收投标文件：</w:t>
      </w:r>
    </w:p>
    <w:p w14:paraId="7EA05692">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）未在投标截止时间前通过网上招标投标系统递交有效电子投标文件的，开标系统不予接收，投标将被拒绝。</w:t>
      </w:r>
    </w:p>
    <w:p w14:paraId="6F8F13A0">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所有投标人应在规定时间里完成投标文件的解密工作【投标企业接到远程解密指令后，须在规定时间内解密（以网上招投标系统解密倒计时为准）。因投标人自身原因导致投标文件在规定时间内未能解密、解密失败或解密超时，投标文件无效；因代理公司原因或网上平台发生故障，导致无法按时完成投标文件解密的，经代理公司申请后可延迟解密时间】。</w:t>
      </w:r>
    </w:p>
    <w:p w14:paraId="69455461">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投标人有下列情形的，经评审后其投标作无效投标处理无效投标：</w:t>
      </w:r>
    </w:p>
    <w:p w14:paraId="40D9455D">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lang w:val="en-US" w:eastAsia="zh-CN"/>
        </w:rPr>
        <w:t>2</w:t>
      </w:r>
      <w:r>
        <w:rPr>
          <w:rFonts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商标评审</w:t>
      </w:r>
    </w:p>
    <w:p w14:paraId="65DC888B">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评标委员会依据《商务标评审表》进行形式性评审和响应性评审。有一项不符合评审标准的，做无效投标处理；</w:t>
      </w:r>
    </w:p>
    <w:p w14:paraId="62E8DAF2">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其他无效投标情况：</w:t>
      </w:r>
    </w:p>
    <w:p w14:paraId="77AF0FC2">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703CBB7D">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）按第三章《评标方法》</w:t>
      </w:r>
      <w:r>
        <w:rPr>
          <w:rFonts w:ascii="宋体" w:hAnsi="宋体" w:cs="宋体"/>
          <w:color w:val="auto"/>
          <w:szCs w:val="21"/>
          <w:highlight w:val="none"/>
        </w:rPr>
        <w:t>4.2.4</w:t>
      </w:r>
      <w:r>
        <w:rPr>
          <w:rFonts w:hint="eastAsia" w:ascii="宋体" w:hAnsi="宋体" w:cs="宋体"/>
          <w:color w:val="auto"/>
          <w:szCs w:val="21"/>
          <w:highlight w:val="none"/>
        </w:rPr>
        <w:t>条款修正错误的原则及方法调整或修正投标文件的投标报价，调整或修正的价格经投标人书面确认后具有约束力。投标人不接修正价格的，其投标将被拒绝。</w:t>
      </w:r>
    </w:p>
    <w:p w14:paraId="3769A65E">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章“投标人须知”第</w:t>
      </w:r>
      <w:r>
        <w:rPr>
          <w:rFonts w:ascii="宋体" w:hAnsi="宋体" w:cs="宋体"/>
          <w:color w:val="auto"/>
          <w:szCs w:val="21"/>
          <w:highlight w:val="none"/>
        </w:rPr>
        <w:t>1.4.2,1.4.3</w:t>
      </w:r>
      <w:r>
        <w:rPr>
          <w:rFonts w:hint="eastAsia" w:ascii="宋体" w:hAnsi="宋体" w:cs="宋体"/>
          <w:color w:val="auto"/>
          <w:szCs w:val="21"/>
          <w:highlight w:val="none"/>
        </w:rPr>
        <w:t>条规定的任何一种情形的。</w:t>
      </w:r>
    </w:p>
    <w:p w14:paraId="15D879B6">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）投标人有串通投标、弄虚作假、行贿等违法行为。</w:t>
      </w:r>
    </w:p>
    <w:p w14:paraId="0072DA13">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）投标文件没有对招标文件的实质性要求和条件作出响应。</w:t>
      </w:r>
    </w:p>
    <w:p w14:paraId="26E69DB3">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w:t>
      </w:r>
      <w:r>
        <w:rPr>
          <w:rFonts w:hint="eastAsia" w:ascii="宋体" w:hAnsi="宋体" w:eastAsia="宋体" w:cs="宋体"/>
          <w:color w:val="auto"/>
          <w:szCs w:val="21"/>
          <w:highlight w:val="none"/>
        </w:rPr>
        <w:t>未按规定的格式填写导致实质性内容不全以及实质上不响应，或者关键字迹模糊、无法辨认；经公共资源交易监督部门核准的。</w:t>
      </w:r>
    </w:p>
    <w:p w14:paraId="02114FBC">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）同一投标人提交两个以上不同的投标文件或者投标报价，但招标文件规定提交备选投标的除外。</w:t>
      </w:r>
    </w:p>
    <w:p w14:paraId="7B93A3FC">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8</w:t>
      </w:r>
      <w:r>
        <w:rPr>
          <w:rFonts w:hint="eastAsia" w:ascii="宋体" w:hAnsi="宋体" w:cs="宋体"/>
          <w:color w:val="auto"/>
          <w:szCs w:val="21"/>
          <w:highlight w:val="none"/>
        </w:rPr>
        <w:t>）投标文件中存在招标人不能接受的其他实质性条件。</w:t>
      </w:r>
    </w:p>
    <w:p w14:paraId="5D109A2A">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9</w:t>
      </w:r>
      <w:r>
        <w:rPr>
          <w:rFonts w:hint="eastAsia" w:ascii="宋体" w:hAnsi="宋体" w:cs="宋体"/>
          <w:color w:val="auto"/>
          <w:szCs w:val="21"/>
          <w:highlight w:val="none"/>
        </w:rPr>
        <w:t>）投标文件中填报的拟任项目负责人与资格审查通过的项目负责人前后不一致的。</w:t>
      </w:r>
    </w:p>
    <w:p w14:paraId="34A825B6">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10</w:t>
      </w:r>
      <w:r>
        <w:rPr>
          <w:rFonts w:hint="eastAsia" w:ascii="宋体" w:hAnsi="宋体" w:cs="宋体"/>
          <w:color w:val="auto"/>
          <w:szCs w:val="21"/>
          <w:highlight w:val="none"/>
        </w:rPr>
        <w:t>）投标人拒不按照要求对投标文件进行澄清、说明、补正的，或评标委员会根据招标文件的规定对招标文件的计算错误进行修正后，投标人不接受修正的投标报价的。</w:t>
      </w:r>
    </w:p>
    <w:p w14:paraId="1E141DC7">
      <w:pPr>
        <w:spacing w:line="440" w:lineRule="exact"/>
        <w:ind w:firstLine="420" w:firstLineChars="200"/>
        <w:jc w:val="left"/>
        <w:rPr>
          <w:rFonts w:ascii="宋体" w:hAnsi="宋体" w:cs="宋体"/>
          <w:color w:val="auto"/>
          <w:szCs w:val="21"/>
          <w:highlight w:val="none"/>
        </w:rPr>
      </w:pPr>
      <w:bookmarkStart w:id="741" w:name="_Toc35425124"/>
      <w:bookmarkStart w:id="742" w:name="_Toc324404877"/>
      <w:bookmarkStart w:id="743" w:name="_Toc27846"/>
      <w:bookmarkStart w:id="744" w:name="_Toc15058923"/>
      <w:bookmarkStart w:id="745" w:name="_Toc35424958"/>
      <w:bookmarkStart w:id="746" w:name="_Toc506107329"/>
      <w:r>
        <w:rPr>
          <w:rFonts w:hint="eastAsia" w:ascii="宋体" w:hAnsi="宋体" w:cs="宋体"/>
          <w:color w:val="auto"/>
          <w:szCs w:val="21"/>
          <w:highlight w:val="none"/>
        </w:rPr>
        <w:t>（11）投标人投标MAC地址一致。</w:t>
      </w:r>
    </w:p>
    <w:p w14:paraId="22416F0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（12）投标人申请开具电子保函MAC地址一致。</w:t>
      </w:r>
    </w:p>
    <w:p w14:paraId="487BC60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（13）投标人单方面出现其他投标人材料。</w:t>
      </w:r>
    </w:p>
    <w:p w14:paraId="0DFE63E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（14）评标时查询投标文件制作机器码、文件创建标识码及造价软件加密锁号。若存在投标文件制作机器码或创建标识码或造价软件加密锁号信息与其他投标人雷同的，投标无效。</w:t>
      </w:r>
    </w:p>
    <w:p w14:paraId="0B03EDD7">
      <w:pPr>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15）</w:t>
      </w:r>
      <w:r>
        <w:rPr>
          <w:rFonts w:hint="eastAsia"/>
          <w:bCs/>
          <w:color w:val="auto"/>
          <w:sz w:val="21"/>
          <w:szCs w:val="21"/>
          <w:highlight w:val="none"/>
          <w:shd w:val="clear" w:color="auto" w:fill="FFFFFF"/>
        </w:rPr>
        <w:t>投标人联系人或联系电话</w:t>
      </w:r>
      <w:r>
        <w:rPr>
          <w:rFonts w:hint="eastAsia"/>
          <w:bCs/>
          <w:color w:val="auto"/>
          <w:sz w:val="21"/>
          <w:szCs w:val="21"/>
          <w:highlight w:val="none"/>
          <w:shd w:val="clear" w:color="auto" w:fill="FFFFFF"/>
          <w:lang w:val="en-US" w:eastAsia="zh-CN"/>
        </w:rPr>
        <w:t>相同的</w:t>
      </w:r>
      <w:r>
        <w:rPr>
          <w:rFonts w:hint="eastAsia"/>
          <w:bCs/>
          <w:color w:val="auto"/>
          <w:sz w:val="21"/>
          <w:szCs w:val="21"/>
          <w:highlight w:val="none"/>
          <w:shd w:val="clear" w:color="auto" w:fill="FFFFFF"/>
          <w:lang w:eastAsia="zh-CN"/>
        </w:rPr>
        <w:t>。</w:t>
      </w:r>
    </w:p>
    <w:p w14:paraId="189084C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）法律、法规规定的其他情形。</w:t>
      </w:r>
    </w:p>
    <w:p w14:paraId="39020910">
      <w:pPr>
        <w:pStyle w:val="4"/>
        <w:spacing w:beforeLines="50" w:afterLines="50"/>
        <w:ind w:firstLine="422" w:firstLineChars="200"/>
        <w:rPr>
          <w:rFonts w:ascii="宋体" w:hAnsi="宋体" w:eastAsia="宋体" w:cs="宋体"/>
          <w:color w:val="auto"/>
          <w:highlight w:val="none"/>
        </w:rPr>
      </w:pPr>
      <w:r>
        <w:rPr>
          <w:rFonts w:ascii="宋体" w:hAnsi="宋体" w:eastAsia="宋体" w:cs="宋体"/>
          <w:color w:val="auto"/>
          <w:highlight w:val="none"/>
        </w:rPr>
        <w:t>6.</w:t>
      </w:r>
      <w:r>
        <w:rPr>
          <w:rFonts w:hint="eastAsia" w:ascii="宋体" w:hAnsi="宋体" w:eastAsia="宋体" w:cs="宋体"/>
          <w:color w:val="auto"/>
          <w:highlight w:val="none"/>
        </w:rPr>
        <w:t>投标文件的澄清和补正</w:t>
      </w:r>
      <w:bookmarkEnd w:id="741"/>
      <w:bookmarkEnd w:id="742"/>
      <w:bookmarkEnd w:id="743"/>
      <w:bookmarkEnd w:id="744"/>
      <w:bookmarkEnd w:id="745"/>
      <w:bookmarkEnd w:id="746"/>
    </w:p>
    <w:p w14:paraId="384B570D">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6.1</w:t>
      </w:r>
      <w:r>
        <w:rPr>
          <w:rFonts w:hint="eastAsia" w:ascii="宋体" w:hAnsi="宋体" w:cs="宋体"/>
          <w:color w:val="auto"/>
          <w:szCs w:val="21"/>
          <w:highlight w:val="none"/>
        </w:rPr>
        <w:t>在评标过程中，评标委员会可以书面形式要求投标人对所提交的投标文件中含义不明确、对同类问题表述不一致或者有明显文字和计算错误”，其他评标办法请一并修改的内容进行书面澄清或说明，或者对细微偏差进行补正。评标委员会不接受投标人主动提出的澄清、说明或补正。</w:t>
      </w:r>
    </w:p>
    <w:p w14:paraId="34DB02A9">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6.2</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14:paraId="4A020BD3">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6.3</w:t>
      </w:r>
      <w:r>
        <w:rPr>
          <w:rFonts w:hint="eastAsia" w:ascii="宋体" w:hAnsi="宋体" w:cs="宋体"/>
          <w:color w:val="auto"/>
          <w:szCs w:val="21"/>
          <w:highlight w:val="none"/>
        </w:rPr>
        <w:t>评标委员会对投标人提交的澄清、说明和补正有疑问的，可以要求投标人进一步澄清、说明或补正、直至满足评标委员会的要求。</w:t>
      </w:r>
    </w:p>
    <w:p w14:paraId="0E78B346">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按照投标文件规定进行澄清、补正后的投标报价经投标人的法定代表人或其委托代理人确认后即为该投标人的最终投标报价。投标人一旦中标，此报价即为中标价。</w:t>
      </w:r>
    </w:p>
    <w:p w14:paraId="2FF6AF96">
      <w:pPr>
        <w:pStyle w:val="4"/>
        <w:spacing w:beforeLines="50" w:afterLines="50"/>
        <w:ind w:firstLine="422" w:firstLineChars="200"/>
        <w:rPr>
          <w:rFonts w:ascii="宋体" w:hAnsi="宋体" w:eastAsia="宋体" w:cs="宋体"/>
          <w:color w:val="auto"/>
          <w:highlight w:val="none"/>
        </w:rPr>
      </w:pPr>
      <w:bookmarkStart w:id="747" w:name="_Toc506107330"/>
      <w:bookmarkStart w:id="748" w:name="_Toc35425125"/>
      <w:bookmarkStart w:id="749" w:name="_Toc324404878"/>
      <w:bookmarkStart w:id="750" w:name="_Toc13990"/>
      <w:bookmarkStart w:id="751" w:name="_Toc35424959"/>
      <w:bookmarkStart w:id="752" w:name="_Toc15058924"/>
      <w:r>
        <w:rPr>
          <w:rFonts w:ascii="宋体" w:hAnsi="宋体" w:eastAsia="宋体" w:cs="宋体"/>
          <w:color w:val="auto"/>
          <w:highlight w:val="none"/>
        </w:rPr>
        <w:t>7.</w:t>
      </w:r>
      <w:r>
        <w:rPr>
          <w:rFonts w:hint="eastAsia" w:ascii="宋体" w:hAnsi="宋体" w:eastAsia="宋体" w:cs="宋体"/>
          <w:color w:val="auto"/>
          <w:highlight w:val="none"/>
        </w:rPr>
        <w:t>评分标准</w:t>
      </w:r>
      <w:bookmarkEnd w:id="747"/>
      <w:bookmarkEnd w:id="748"/>
      <w:bookmarkEnd w:id="749"/>
      <w:bookmarkEnd w:id="750"/>
      <w:bookmarkEnd w:id="751"/>
      <w:bookmarkEnd w:id="752"/>
    </w:p>
    <w:p w14:paraId="3BF0928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cs="宋体"/>
          <w:color w:val="auto"/>
          <w:szCs w:val="21"/>
          <w:highlight w:val="none"/>
        </w:rPr>
      </w:pPr>
      <w:bookmarkStart w:id="753" w:name="_Toc324404879"/>
      <w:bookmarkStart w:id="754" w:name="_Toc35425126"/>
      <w:bookmarkStart w:id="755" w:name="_Toc506107331"/>
      <w:bookmarkStart w:id="756" w:name="_Toc35424960"/>
      <w:bookmarkStart w:id="757" w:name="_Toc15058925"/>
      <w:bookmarkStart w:id="758" w:name="_Toc22863"/>
      <w:r>
        <w:rPr>
          <w:rFonts w:hint="eastAsia" w:ascii="宋体" w:hAnsi="宋体" w:cs="宋体"/>
          <w:color w:val="auto"/>
          <w:szCs w:val="21"/>
          <w:highlight w:val="none"/>
        </w:rPr>
        <w:t>商务标评分标准：见商务标评审表。</w:t>
      </w:r>
    </w:p>
    <w:p w14:paraId="713F3444">
      <w:pPr>
        <w:pStyle w:val="45"/>
        <w:keepNext w:val="0"/>
        <w:keepLines w:val="0"/>
        <w:pageBreakBefore w:val="0"/>
        <w:widowControl w:val="0"/>
        <w:kinsoku/>
        <w:wordWrap/>
        <w:overflowPunct/>
        <w:topLinePunct w:val="0"/>
        <w:autoSpaceDE/>
        <w:autoSpaceDN/>
        <w:bidi w:val="0"/>
        <w:adjustRightInd/>
        <w:snapToGrid/>
        <w:spacing w:line="440" w:lineRule="exact"/>
        <w:ind w:left="0" w:leftChars="0" w:firstLine="31680"/>
        <w:jc w:val="left"/>
        <w:textAlignment w:val="auto"/>
        <w:rPr>
          <w:rFonts w:hint="eastAsia" w:hAnsi="宋体" w:cs="宋体"/>
          <w:color w:val="auto"/>
          <w:szCs w:val="21"/>
          <w:highlight w:val="none"/>
        </w:rPr>
      </w:pPr>
      <w:r>
        <w:rPr>
          <w:rFonts w:hint="eastAsia" w:hAnsi="宋体" w:cs="宋体"/>
          <w:color w:val="auto"/>
          <w:szCs w:val="21"/>
          <w:highlight w:val="none"/>
        </w:rPr>
        <w:t>资信评分标准：见资信评分细则。</w:t>
      </w:r>
    </w:p>
    <w:p w14:paraId="71F71D5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color w:val="auto"/>
          <w:highlight w:val="none"/>
          <w:lang w:val="en-US" w:eastAsia="zh-CN"/>
        </w:rPr>
      </w:pPr>
      <w:r>
        <w:rPr>
          <w:rFonts w:hint="eastAsia" w:hAnsi="宋体" w:cs="宋体"/>
          <w:color w:val="auto"/>
          <w:szCs w:val="21"/>
          <w:highlight w:val="none"/>
          <w:lang w:val="en-US" w:eastAsia="zh-CN"/>
        </w:rPr>
        <w:t xml:space="preserve">    技术评分标准：见技术评分细则。</w:t>
      </w:r>
    </w:p>
    <w:p w14:paraId="3A01DBB0">
      <w:pPr>
        <w:pStyle w:val="4"/>
        <w:spacing w:beforeLines="50" w:afterLines="50"/>
        <w:ind w:firstLine="422" w:firstLineChars="200"/>
        <w:rPr>
          <w:rFonts w:ascii="宋体" w:hAnsi="宋体" w:eastAsia="宋体" w:cs="宋体"/>
          <w:color w:val="auto"/>
          <w:highlight w:val="none"/>
        </w:rPr>
      </w:pPr>
      <w:r>
        <w:rPr>
          <w:rFonts w:ascii="宋体" w:hAnsi="宋体" w:eastAsia="宋体" w:cs="宋体"/>
          <w:color w:val="auto"/>
          <w:highlight w:val="none"/>
        </w:rPr>
        <w:t>8.</w:t>
      </w:r>
      <w:r>
        <w:rPr>
          <w:rFonts w:hint="eastAsia" w:ascii="宋体" w:hAnsi="宋体" w:eastAsia="宋体" w:cs="宋体"/>
          <w:color w:val="auto"/>
          <w:highlight w:val="none"/>
        </w:rPr>
        <w:t>评审结果</w:t>
      </w:r>
      <w:bookmarkEnd w:id="753"/>
      <w:bookmarkEnd w:id="754"/>
      <w:bookmarkEnd w:id="755"/>
      <w:bookmarkEnd w:id="756"/>
      <w:bookmarkEnd w:id="757"/>
      <w:bookmarkEnd w:id="758"/>
    </w:p>
    <w:p w14:paraId="3569D5AC">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8.1</w:t>
      </w:r>
      <w:r>
        <w:rPr>
          <w:rFonts w:hint="eastAsia" w:ascii="宋体" w:hAnsi="宋体" w:cs="宋体"/>
          <w:color w:val="auto"/>
          <w:szCs w:val="21"/>
          <w:highlight w:val="none"/>
        </w:rPr>
        <w:t>除投标人须知前附表授权直接确定中标人外，评标委员会按照总得分由高到低顺序推荐中标候选人。</w:t>
      </w:r>
    </w:p>
    <w:p w14:paraId="1E4AD5D3">
      <w:pPr>
        <w:spacing w:line="440" w:lineRule="exact"/>
        <w:ind w:right="-168" w:rightChars="-80" w:firstLine="420" w:firstLineChars="200"/>
        <w:jc w:val="left"/>
        <w:rPr>
          <w:rFonts w:ascii="宋体" w:cs="宋体"/>
          <w:color w:val="auto"/>
          <w:szCs w:val="21"/>
          <w:highlight w:val="none"/>
        </w:rPr>
      </w:pPr>
      <w:r>
        <w:rPr>
          <w:rFonts w:ascii="宋体" w:hAnsi="宋体" w:cs="宋体"/>
          <w:color w:val="auto"/>
          <w:szCs w:val="21"/>
          <w:highlight w:val="none"/>
        </w:rPr>
        <w:t>8.2</w:t>
      </w:r>
      <w:r>
        <w:rPr>
          <w:rFonts w:hint="eastAsia" w:ascii="宋体" w:hAnsi="宋体" w:cs="宋体"/>
          <w:color w:val="auto"/>
          <w:szCs w:val="21"/>
          <w:highlight w:val="none"/>
        </w:rPr>
        <w:t>评标委员会完成评标后，应当向招标人提交书面评标报告。评标报告应当如实记载以下内容：</w:t>
      </w:r>
    </w:p>
    <w:p w14:paraId="4A808340">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）基本情况和数据表。</w:t>
      </w:r>
    </w:p>
    <w:p w14:paraId="6E03D1CE">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）评标委员会成员名单。</w:t>
      </w:r>
    </w:p>
    <w:p w14:paraId="01A360AF">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）开标记录。</w:t>
      </w:r>
    </w:p>
    <w:p w14:paraId="5E12B426">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）符合要求的投标人一览表。</w:t>
      </w:r>
    </w:p>
    <w:p w14:paraId="4D226744">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）废标情况说明。</w:t>
      </w:r>
    </w:p>
    <w:p w14:paraId="2B48AACE">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）评标标准、评标方法或者评标因素。</w:t>
      </w:r>
    </w:p>
    <w:p w14:paraId="1725FB4F">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）经评审的价格一览表。</w:t>
      </w:r>
    </w:p>
    <w:p w14:paraId="1657168F">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8</w:t>
      </w:r>
      <w:r>
        <w:rPr>
          <w:rFonts w:hint="eastAsia" w:ascii="宋体" w:hAnsi="宋体" w:cs="宋体"/>
          <w:color w:val="auto"/>
          <w:szCs w:val="21"/>
          <w:highlight w:val="none"/>
        </w:rPr>
        <w:t>）经评审的投标人排序。</w:t>
      </w:r>
    </w:p>
    <w:p w14:paraId="01BF2CEF">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9</w:t>
      </w:r>
      <w:r>
        <w:rPr>
          <w:rFonts w:hint="eastAsia" w:ascii="宋体" w:hAnsi="宋体" w:cs="宋体"/>
          <w:color w:val="auto"/>
          <w:szCs w:val="21"/>
          <w:highlight w:val="none"/>
        </w:rPr>
        <w:t>）推荐的中标候选人名单与签订合同前要处理的事宜。</w:t>
      </w:r>
    </w:p>
    <w:p w14:paraId="12C25ED8">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10</w:t>
      </w:r>
      <w:r>
        <w:rPr>
          <w:rFonts w:hint="eastAsia" w:ascii="宋体" w:hAnsi="宋体" w:cs="宋体"/>
          <w:color w:val="auto"/>
          <w:szCs w:val="21"/>
          <w:highlight w:val="none"/>
        </w:rPr>
        <w:t>）澄清、说明、补正事项纪要。</w:t>
      </w:r>
    </w:p>
    <w:p w14:paraId="2B8AC56F">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8.3</w:t>
      </w:r>
      <w:r>
        <w:rPr>
          <w:rFonts w:hint="eastAsia" w:ascii="宋体" w:hAnsi="宋体" w:cs="宋体"/>
          <w:color w:val="auto"/>
          <w:szCs w:val="21"/>
          <w:highlight w:val="none"/>
        </w:rPr>
        <w:t>评标委员会推荐的中标候选人应当限定在</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名。</w:t>
      </w:r>
    </w:p>
    <w:p w14:paraId="4A9CAB73">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8.4</w:t>
      </w:r>
      <w:r>
        <w:rPr>
          <w:rFonts w:hint="eastAsia" w:ascii="宋体" w:hAnsi="宋体" w:cs="宋体"/>
          <w:color w:val="auto"/>
          <w:szCs w:val="21"/>
          <w:highlight w:val="none"/>
        </w:rPr>
        <w:t>招标人确定排名第一的中标候选人为中标人。第一中标候选人放弃中标、因不可抗力提出不能履行合同，或者招标文件规定应当提交履约保证金而在规定的期限内未能提交的，或者经查实其存在弄虚作假等其他违法违规行为骗取中标的，招标人将没收其投标保证金，可以确定排名第二的中标候选人</w:t>
      </w:r>
      <w:r>
        <w:rPr>
          <w:rFonts w:hint="eastAsia" w:ascii="宋体" w:hAnsi="宋体" w:cs="宋体"/>
          <w:color w:val="auto"/>
          <w:szCs w:val="21"/>
          <w:highlight w:val="none"/>
          <w:lang w:val="en-US" w:eastAsia="zh-CN"/>
        </w:rPr>
        <w:t>为中标人</w:t>
      </w:r>
      <w:r>
        <w:rPr>
          <w:rFonts w:hint="eastAsia" w:ascii="宋体" w:hAnsi="宋体" w:cs="宋体"/>
          <w:color w:val="auto"/>
          <w:szCs w:val="21"/>
          <w:highlight w:val="none"/>
        </w:rPr>
        <w:t>，以此类推，也可以依法重新组织招标。</w:t>
      </w:r>
    </w:p>
    <w:p w14:paraId="4F6A6F99">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除第一中标候选人或者中标人以外的其他投标人存在串通投标、弄虚作假、行贿情形且在评标过程中未被发现的，视为对中标结果没有造成实质性影响，招标人可以依法继续开展招标活动。</w:t>
      </w:r>
    </w:p>
    <w:p w14:paraId="588CCB1A">
      <w:pPr>
        <w:pStyle w:val="4"/>
        <w:spacing w:beforeLines="50" w:afterLines="50"/>
        <w:ind w:firstLine="422" w:firstLineChars="200"/>
        <w:rPr>
          <w:rFonts w:ascii="宋体" w:hAnsi="宋体" w:eastAsia="宋体" w:cs="宋体"/>
          <w:color w:val="auto"/>
          <w:highlight w:val="none"/>
        </w:rPr>
      </w:pPr>
      <w:bookmarkStart w:id="759" w:name="_Toc1576"/>
      <w:bookmarkStart w:id="760" w:name="_Toc35425127"/>
      <w:bookmarkStart w:id="761" w:name="_Toc324404880"/>
      <w:bookmarkStart w:id="762" w:name="_Toc506107332"/>
      <w:bookmarkStart w:id="763" w:name="_Toc35424961"/>
      <w:bookmarkStart w:id="764" w:name="_Toc15058926"/>
      <w:r>
        <w:rPr>
          <w:rFonts w:ascii="宋体" w:hAnsi="宋体" w:eastAsia="宋体" w:cs="宋体"/>
          <w:color w:val="auto"/>
          <w:highlight w:val="none"/>
        </w:rPr>
        <w:t>9.</w:t>
      </w:r>
      <w:r>
        <w:rPr>
          <w:rFonts w:hint="eastAsia" w:ascii="宋体" w:hAnsi="宋体" w:eastAsia="宋体" w:cs="宋体"/>
          <w:color w:val="auto"/>
          <w:highlight w:val="none"/>
        </w:rPr>
        <w:t>其他</w:t>
      </w:r>
      <w:bookmarkEnd w:id="759"/>
      <w:bookmarkEnd w:id="760"/>
      <w:bookmarkEnd w:id="761"/>
      <w:bookmarkEnd w:id="762"/>
      <w:bookmarkEnd w:id="763"/>
      <w:bookmarkEnd w:id="764"/>
    </w:p>
    <w:p w14:paraId="1A9AF12C">
      <w:pPr>
        <w:spacing w:line="440" w:lineRule="exact"/>
        <w:ind w:firstLine="420" w:firstLineChars="200"/>
        <w:jc w:val="left"/>
        <w:rPr>
          <w:color w:val="auto"/>
          <w:highlight w:val="none"/>
        </w:rPr>
      </w:pPr>
      <w:r>
        <w:rPr>
          <w:rFonts w:hint="eastAsia" w:ascii="宋体" w:hAnsi="宋体" w:cs="宋体"/>
          <w:color w:val="auto"/>
          <w:szCs w:val="21"/>
          <w:highlight w:val="none"/>
        </w:rPr>
        <w:t>投标人提供的与投标文件有关的各类证书、证明、文件、资料等的真实性、合法性由投标人负全责。</w:t>
      </w:r>
      <w:bookmarkEnd w:id="688"/>
      <w:bookmarkEnd w:id="689"/>
      <w:bookmarkEnd w:id="690"/>
      <w:bookmarkEnd w:id="691"/>
      <w:bookmarkEnd w:id="692"/>
      <w:bookmarkEnd w:id="693"/>
      <w:bookmarkEnd w:id="694"/>
      <w:bookmarkEnd w:id="695"/>
      <w:bookmarkStart w:id="765" w:name="_Toc15058927"/>
      <w:bookmarkStart w:id="766" w:name="_Toc35425128"/>
      <w:bookmarkStart w:id="767" w:name="_Toc506107333"/>
      <w:bookmarkStart w:id="768" w:name="_Toc35424962"/>
      <w:bookmarkStart w:id="769" w:name="_Toc144974826"/>
      <w:bookmarkStart w:id="770" w:name="_Toc152042546"/>
      <w:bookmarkStart w:id="771" w:name="_Toc179632785"/>
      <w:bookmarkStart w:id="772" w:name="_Toc152045767"/>
    </w:p>
    <w:p w14:paraId="62754F41">
      <w:pPr>
        <w:pStyle w:val="3"/>
        <w:rPr>
          <w:color w:val="auto"/>
          <w:highlight w:val="none"/>
        </w:rPr>
      </w:pPr>
      <w:r>
        <w:rPr>
          <w:color w:val="auto"/>
          <w:highlight w:val="none"/>
        </w:rPr>
        <w:br w:type="page"/>
      </w:r>
      <w:bookmarkStart w:id="773" w:name="_Toc16404"/>
      <w:r>
        <w:rPr>
          <w:rFonts w:hint="eastAsia" w:ascii="Arial" w:hAnsi="Arial"/>
          <w:color w:val="auto"/>
          <w:kern w:val="0"/>
          <w:sz w:val="32"/>
          <w:szCs w:val="32"/>
          <w:highlight w:val="none"/>
        </w:rPr>
        <w:t>第四章</w:t>
      </w:r>
      <w:r>
        <w:rPr>
          <w:rFonts w:ascii="Arial" w:hAnsi="Arial"/>
          <w:color w:val="auto"/>
          <w:kern w:val="0"/>
          <w:sz w:val="32"/>
          <w:szCs w:val="32"/>
          <w:highlight w:val="none"/>
        </w:rPr>
        <w:t xml:space="preserve"> </w:t>
      </w:r>
      <w:r>
        <w:rPr>
          <w:rFonts w:hint="eastAsia" w:ascii="Arial" w:hAnsi="Arial"/>
          <w:color w:val="auto"/>
          <w:kern w:val="0"/>
          <w:sz w:val="32"/>
          <w:szCs w:val="32"/>
          <w:highlight w:val="none"/>
        </w:rPr>
        <w:t>合同条款及格式</w:t>
      </w:r>
      <w:bookmarkEnd w:id="765"/>
      <w:bookmarkEnd w:id="766"/>
      <w:bookmarkEnd w:id="767"/>
      <w:bookmarkEnd w:id="768"/>
      <w:bookmarkEnd w:id="773"/>
    </w:p>
    <w:bookmarkEnd w:id="769"/>
    <w:bookmarkEnd w:id="770"/>
    <w:bookmarkEnd w:id="771"/>
    <w:bookmarkEnd w:id="772"/>
    <w:p w14:paraId="73787C3F">
      <w:pPr>
        <w:spacing w:line="360" w:lineRule="auto"/>
        <w:jc w:val="center"/>
        <w:rPr>
          <w:rFonts w:hint="eastAsia" w:ascii="仿宋_GB2312" w:eastAsia="仿宋_GB2312"/>
          <w:b/>
          <w:color w:val="auto"/>
          <w:sz w:val="28"/>
          <w:szCs w:val="28"/>
          <w:highlight w:val="none"/>
        </w:rPr>
      </w:pPr>
    </w:p>
    <w:p w14:paraId="33299BF0">
      <w:pPr>
        <w:spacing w:line="360" w:lineRule="auto"/>
        <w:jc w:val="center"/>
        <w:rPr>
          <w:rFonts w:hint="eastAsia" w:ascii="仿宋_GB2312" w:eastAsia="仿宋_GB2312"/>
          <w:b/>
          <w:color w:val="auto"/>
          <w:sz w:val="28"/>
          <w:szCs w:val="28"/>
          <w:highlight w:val="none"/>
        </w:rPr>
      </w:pPr>
    </w:p>
    <w:p w14:paraId="3D44F058">
      <w:pPr>
        <w:spacing w:line="360" w:lineRule="auto"/>
        <w:jc w:val="center"/>
        <w:rPr>
          <w:rFonts w:ascii="仿宋_GB2312" w:hAnsi="宋体" w:eastAsia="仿宋_GB2312"/>
          <w:b/>
          <w:bCs/>
          <w:color w:val="auto"/>
          <w:sz w:val="28"/>
          <w:szCs w:val="28"/>
          <w:highlight w:val="none"/>
        </w:rPr>
      </w:pPr>
      <w:r>
        <w:rPr>
          <w:rFonts w:hint="eastAsia" w:ascii="仿宋_GB2312" w:eastAsia="仿宋_GB2312"/>
          <w:b/>
          <w:color w:val="auto"/>
          <w:sz w:val="28"/>
          <w:szCs w:val="28"/>
          <w:highlight w:val="none"/>
        </w:rPr>
        <w:t>（ＧＦ－</w:t>
      </w:r>
      <w:r>
        <w:rPr>
          <w:rFonts w:ascii="仿宋_GB2312" w:eastAsia="仿宋_GB2312"/>
          <w:b/>
          <w:color w:val="auto"/>
          <w:sz w:val="28"/>
          <w:szCs w:val="28"/>
          <w:highlight w:val="none"/>
        </w:rPr>
        <w:t>2012</w:t>
      </w:r>
      <w:r>
        <w:rPr>
          <w:rFonts w:hint="eastAsia" w:ascii="仿宋_GB2312" w:eastAsia="仿宋_GB2312"/>
          <w:b/>
          <w:color w:val="auto"/>
          <w:sz w:val="28"/>
          <w:szCs w:val="28"/>
          <w:highlight w:val="none"/>
        </w:rPr>
        <w:t>－</w:t>
      </w:r>
      <w:r>
        <w:rPr>
          <w:rFonts w:ascii="仿宋_GB2312" w:eastAsia="仿宋_GB2312"/>
          <w:b/>
          <w:color w:val="auto"/>
          <w:sz w:val="28"/>
          <w:szCs w:val="28"/>
          <w:highlight w:val="none"/>
        </w:rPr>
        <w:t>0202</w:t>
      </w:r>
      <w:r>
        <w:rPr>
          <w:rFonts w:hint="eastAsia" w:ascii="仿宋_GB2312" w:eastAsia="仿宋_GB2312"/>
          <w:b/>
          <w:color w:val="auto"/>
          <w:sz w:val="28"/>
          <w:szCs w:val="28"/>
          <w:highlight w:val="none"/>
        </w:rPr>
        <w:t>）</w:t>
      </w:r>
    </w:p>
    <w:p w14:paraId="616D591C">
      <w:pPr>
        <w:spacing w:line="360" w:lineRule="auto"/>
        <w:jc w:val="center"/>
        <w:rPr>
          <w:rFonts w:ascii="仿宋_GB2312" w:hAnsi="宋体" w:eastAsia="仿宋_GB2312"/>
          <w:b/>
          <w:bCs/>
          <w:color w:val="auto"/>
          <w:sz w:val="28"/>
          <w:szCs w:val="28"/>
          <w:highlight w:val="none"/>
        </w:rPr>
      </w:pPr>
    </w:p>
    <w:p w14:paraId="3430984D">
      <w:pPr>
        <w:spacing w:line="360" w:lineRule="auto"/>
        <w:jc w:val="center"/>
        <w:rPr>
          <w:rFonts w:ascii="华文中宋" w:hAnsi="华文中宋" w:eastAsia="华文中宋"/>
          <w:b/>
          <w:bCs/>
          <w:color w:val="auto"/>
          <w:sz w:val="28"/>
          <w:szCs w:val="28"/>
          <w:highlight w:val="none"/>
        </w:rPr>
      </w:pPr>
    </w:p>
    <w:p w14:paraId="7C2817BA">
      <w:pPr>
        <w:spacing w:line="360" w:lineRule="auto"/>
        <w:jc w:val="center"/>
        <w:rPr>
          <w:rFonts w:ascii="华文中宋" w:hAnsi="华文中宋" w:eastAsia="华文中宋"/>
          <w:b/>
          <w:bCs/>
          <w:color w:val="auto"/>
          <w:sz w:val="28"/>
          <w:szCs w:val="28"/>
          <w:highlight w:val="none"/>
        </w:rPr>
      </w:pPr>
    </w:p>
    <w:p w14:paraId="435DB5E3">
      <w:pPr>
        <w:spacing w:line="360" w:lineRule="auto"/>
        <w:jc w:val="center"/>
        <w:rPr>
          <w:rFonts w:ascii="华文仿宋" w:hAnsi="华文仿宋" w:eastAsia="华文仿宋" w:cs="华文仿宋"/>
          <w:b/>
          <w:bCs/>
          <w:color w:val="auto"/>
          <w:sz w:val="72"/>
          <w:szCs w:val="72"/>
          <w:highlight w:val="none"/>
        </w:rPr>
      </w:pPr>
      <w:r>
        <w:rPr>
          <w:rFonts w:hint="eastAsia" w:ascii="华文仿宋" w:hAnsi="华文仿宋" w:eastAsia="华文仿宋" w:cs="华文仿宋"/>
          <w:b/>
          <w:bCs/>
          <w:color w:val="auto"/>
          <w:sz w:val="72"/>
          <w:szCs w:val="72"/>
          <w:highlight w:val="none"/>
        </w:rPr>
        <w:t>建设工程监理合同</w:t>
      </w:r>
    </w:p>
    <w:p w14:paraId="3BBD3BAF">
      <w:pPr>
        <w:spacing w:line="360" w:lineRule="auto"/>
        <w:jc w:val="center"/>
        <w:rPr>
          <w:rFonts w:ascii="华文仿宋" w:hAnsi="华文仿宋" w:eastAsia="华文仿宋" w:cs="华文仿宋"/>
          <w:b/>
          <w:bCs/>
          <w:color w:val="auto"/>
          <w:sz w:val="56"/>
          <w:szCs w:val="56"/>
          <w:highlight w:val="none"/>
        </w:rPr>
      </w:pPr>
      <w:r>
        <w:rPr>
          <w:rFonts w:hint="eastAsia" w:ascii="华文仿宋" w:hAnsi="华文仿宋" w:eastAsia="华文仿宋" w:cs="华文仿宋"/>
          <w:b/>
          <w:bCs/>
          <w:color w:val="auto"/>
          <w:sz w:val="56"/>
          <w:szCs w:val="56"/>
          <w:highlight w:val="none"/>
        </w:rPr>
        <w:t>（示范文本）</w:t>
      </w:r>
    </w:p>
    <w:p w14:paraId="7D744F16">
      <w:pPr>
        <w:spacing w:line="360" w:lineRule="auto"/>
        <w:rPr>
          <w:rFonts w:ascii="仿宋_GB2312" w:hAnsi="宋体" w:eastAsia="仿宋_GB2312"/>
          <w:b/>
          <w:bCs/>
          <w:color w:val="auto"/>
          <w:sz w:val="28"/>
          <w:szCs w:val="28"/>
          <w:highlight w:val="none"/>
        </w:rPr>
      </w:pPr>
    </w:p>
    <w:p w14:paraId="4900E6F1">
      <w:pPr>
        <w:spacing w:line="360" w:lineRule="auto"/>
        <w:jc w:val="center"/>
        <w:rPr>
          <w:rFonts w:ascii="仿宋_GB2312" w:hAnsi="宋体" w:eastAsia="仿宋_GB2312"/>
          <w:b/>
          <w:bCs/>
          <w:color w:val="auto"/>
          <w:sz w:val="28"/>
          <w:szCs w:val="28"/>
          <w:highlight w:val="none"/>
        </w:rPr>
      </w:pPr>
    </w:p>
    <w:p w14:paraId="409E4AA8">
      <w:pPr>
        <w:pStyle w:val="45"/>
        <w:ind w:left="31680" w:firstLine="31680"/>
        <w:rPr>
          <w:rFonts w:ascii="仿宋_GB2312" w:hAnsi="宋体" w:eastAsia="仿宋_GB2312"/>
          <w:b/>
          <w:bCs/>
          <w:color w:val="auto"/>
          <w:sz w:val="28"/>
          <w:szCs w:val="28"/>
          <w:highlight w:val="none"/>
        </w:rPr>
      </w:pPr>
    </w:p>
    <w:p w14:paraId="756C74C4">
      <w:pPr>
        <w:rPr>
          <w:rFonts w:ascii="仿宋_GB2312" w:hAnsi="宋体" w:eastAsia="仿宋_GB2312"/>
          <w:b/>
          <w:bCs/>
          <w:color w:val="auto"/>
          <w:sz w:val="28"/>
          <w:szCs w:val="28"/>
          <w:highlight w:val="none"/>
        </w:rPr>
      </w:pPr>
    </w:p>
    <w:p w14:paraId="4CE7AB07">
      <w:pPr>
        <w:pStyle w:val="45"/>
        <w:ind w:left="31680" w:firstLine="31680"/>
        <w:rPr>
          <w:rFonts w:ascii="仿宋_GB2312" w:hAnsi="宋体" w:eastAsia="仿宋_GB2312"/>
          <w:b/>
          <w:bCs/>
          <w:color w:val="auto"/>
          <w:sz w:val="28"/>
          <w:szCs w:val="28"/>
          <w:highlight w:val="none"/>
        </w:rPr>
      </w:pPr>
    </w:p>
    <w:p w14:paraId="499B825F">
      <w:pPr>
        <w:spacing w:line="360" w:lineRule="auto"/>
        <w:rPr>
          <w:rFonts w:ascii="仿宋_GB2312" w:hAnsi="宋体" w:eastAsia="仿宋_GB2312"/>
          <w:b/>
          <w:bCs/>
          <w:color w:val="auto"/>
          <w:sz w:val="28"/>
          <w:szCs w:val="28"/>
          <w:highlight w:val="none"/>
        </w:rPr>
      </w:pPr>
    </w:p>
    <w:p w14:paraId="557F5301">
      <w:pPr>
        <w:pStyle w:val="45"/>
        <w:rPr>
          <w:color w:val="auto"/>
          <w:highlight w:val="none"/>
        </w:rPr>
      </w:pPr>
    </w:p>
    <w:p w14:paraId="7B995A71">
      <w:pPr>
        <w:spacing w:line="360" w:lineRule="auto"/>
        <w:jc w:val="center"/>
        <w:rPr>
          <w:rFonts w:ascii="仿宋_GB2312" w:hAnsi="宋体" w:eastAsia="仿宋_GB2312"/>
          <w:b/>
          <w:bCs/>
          <w:color w:val="auto"/>
          <w:sz w:val="28"/>
          <w:szCs w:val="28"/>
          <w:highlight w:val="none"/>
        </w:rPr>
      </w:pPr>
    </w:p>
    <w:p w14:paraId="004C2877">
      <w:pPr>
        <w:spacing w:line="360" w:lineRule="auto"/>
        <w:jc w:val="center"/>
        <w:rPr>
          <w:rFonts w:ascii="华文中宋" w:hAnsi="华文中宋" w:eastAsia="华文中宋"/>
          <w:b/>
          <w:color w:val="auto"/>
          <w:sz w:val="28"/>
          <w:szCs w:val="28"/>
          <w:highlight w:val="none"/>
        </w:rPr>
      </w:pPr>
      <w:r>
        <w:rPr>
          <w:rFonts w:ascii="仿宋_GB2312" w:hAnsi="宋体" w:eastAsia="仿宋_GB2312"/>
          <w:b/>
          <w:bCs/>
          <w:color w:val="auto"/>
          <w:sz w:val="28"/>
          <w:szCs w:val="28"/>
          <w:highlight w:val="none"/>
        </w:rPr>
        <w:t xml:space="preserve">  </w:t>
      </w:r>
      <w:r>
        <w:rPr>
          <w:rFonts w:hint="eastAsia" w:ascii="华文中宋" w:hAnsi="华文中宋" w:eastAsia="华文中宋"/>
          <w:b/>
          <w:bCs/>
          <w:color w:val="auto"/>
          <w:sz w:val="28"/>
          <w:szCs w:val="28"/>
          <w:highlight w:val="none"/>
        </w:rPr>
        <w:t>住房和城乡建设部</w:t>
      </w:r>
    </w:p>
    <w:p w14:paraId="63BEF8E7">
      <w:pPr>
        <w:spacing w:line="360" w:lineRule="auto"/>
        <w:jc w:val="center"/>
        <w:rPr>
          <w:rFonts w:ascii="华文中宋" w:hAnsi="华文中宋" w:eastAsia="华文中宋"/>
          <w:b/>
          <w:color w:val="auto"/>
          <w:sz w:val="28"/>
          <w:szCs w:val="28"/>
          <w:highlight w:val="none"/>
        </w:rPr>
      </w:pPr>
      <w:r>
        <w:rPr>
          <w:rFonts w:ascii="华文中宋" w:hAnsi="华文中宋" w:eastAsia="华文中宋"/>
          <w:b/>
          <w:color w:val="auto"/>
          <w:sz w:val="28"/>
          <w:szCs w:val="28"/>
          <w:highlight w:val="none"/>
        </w:rPr>
        <w:t xml:space="preserve">                                      </w:t>
      </w:r>
      <w:r>
        <w:rPr>
          <w:rFonts w:hint="eastAsia" w:ascii="华文中宋" w:hAnsi="华文中宋" w:eastAsia="华文中宋"/>
          <w:b/>
          <w:color w:val="auto"/>
          <w:sz w:val="28"/>
          <w:szCs w:val="28"/>
          <w:highlight w:val="none"/>
        </w:rPr>
        <w:t>制定</w:t>
      </w:r>
    </w:p>
    <w:p w14:paraId="0AE86453">
      <w:pPr>
        <w:spacing w:line="360" w:lineRule="auto"/>
        <w:jc w:val="center"/>
        <w:rPr>
          <w:rFonts w:ascii="华文中宋" w:hAnsi="华文中宋" w:eastAsia="华文中宋"/>
          <w:b/>
          <w:color w:val="auto"/>
          <w:sz w:val="28"/>
          <w:szCs w:val="28"/>
          <w:highlight w:val="none"/>
        </w:rPr>
      </w:pPr>
      <w:r>
        <w:rPr>
          <w:rFonts w:ascii="华文中宋" w:hAnsi="华文中宋" w:eastAsia="华文中宋"/>
          <w:b/>
          <w:bCs/>
          <w:color w:val="auto"/>
          <w:sz w:val="28"/>
          <w:szCs w:val="28"/>
          <w:highlight w:val="none"/>
        </w:rPr>
        <w:t xml:space="preserve">   </w:t>
      </w:r>
      <w:r>
        <w:rPr>
          <w:rFonts w:hint="eastAsia" w:ascii="华文中宋" w:hAnsi="华文中宋" w:eastAsia="华文中宋"/>
          <w:b/>
          <w:bCs/>
          <w:color w:val="auto"/>
          <w:sz w:val="28"/>
          <w:szCs w:val="28"/>
          <w:highlight w:val="none"/>
        </w:rPr>
        <w:t>国家工商行政管理总局</w:t>
      </w:r>
    </w:p>
    <w:p w14:paraId="626125BA">
      <w:pPr>
        <w:spacing w:line="520" w:lineRule="exact"/>
        <w:jc w:val="center"/>
        <w:rPr>
          <w:rFonts w:ascii="宋体"/>
          <w:b/>
          <w:bCs/>
          <w:color w:val="auto"/>
          <w:sz w:val="28"/>
          <w:szCs w:val="28"/>
          <w:highlight w:val="none"/>
        </w:rPr>
      </w:pPr>
    </w:p>
    <w:p w14:paraId="78A9D306">
      <w:pPr>
        <w:pStyle w:val="45"/>
        <w:ind w:left="31680" w:firstLine="31680"/>
        <w:rPr>
          <w:color w:val="auto"/>
          <w:highlight w:val="none"/>
        </w:rPr>
      </w:pPr>
    </w:p>
    <w:p w14:paraId="15CD8CAF">
      <w:pPr>
        <w:tabs>
          <w:tab w:val="left" w:pos="3120"/>
        </w:tabs>
        <w:spacing w:beforeLines="50" w:afterLines="50" w:line="440" w:lineRule="exact"/>
        <w:jc w:val="center"/>
        <w:rPr>
          <w:rFonts w:ascii="仿宋_GB2312" w:hAnsi="宋体" w:eastAsia="仿宋_GB2312"/>
          <w:b/>
          <w:color w:val="auto"/>
          <w:sz w:val="13"/>
          <w:szCs w:val="13"/>
          <w:highlight w:val="none"/>
        </w:rPr>
      </w:pPr>
      <w:r>
        <w:rPr>
          <w:rFonts w:hint="eastAsia" w:ascii="宋体" w:hAnsi="宋体" w:cs="宋体"/>
          <w:b/>
          <w:bCs/>
          <w:color w:val="auto"/>
          <w:sz w:val="28"/>
          <w:szCs w:val="28"/>
          <w:highlight w:val="none"/>
        </w:rPr>
        <w:t>第一部分</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协议书</w:t>
      </w:r>
    </w:p>
    <w:p w14:paraId="4E864C00">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jc w:val="left"/>
        <w:textAlignment w:val="auto"/>
        <w:rPr>
          <w:rFonts w:hint="eastAsia" w:ascii="宋体" w:eastAsia="宋体" w:cs="宋体"/>
          <w:b/>
          <w:color w:val="auto"/>
          <w:szCs w:val="21"/>
          <w:highlight w:val="none"/>
          <w:lang w:val="en-US" w:eastAsia="zh-CN"/>
        </w:rPr>
      </w:pPr>
      <w:r>
        <w:rPr>
          <w:rFonts w:hint="eastAsia" w:ascii="宋体" w:hAnsi="宋体" w:cs="宋体"/>
          <w:b/>
          <w:color w:val="auto"/>
          <w:szCs w:val="21"/>
          <w:highlight w:val="none"/>
        </w:rPr>
        <w:t>委托人（全称）：</w:t>
      </w:r>
      <w:r>
        <w:rPr>
          <w:rFonts w:ascii="宋体" w:hAnsi="宋体" w:cs="宋体"/>
          <w:b/>
          <w:color w:val="auto"/>
          <w:szCs w:val="21"/>
          <w:highlight w:val="none"/>
          <w:u w:val="single"/>
        </w:rPr>
        <w:t xml:space="preserve"> </w:t>
      </w:r>
      <w:r>
        <w:rPr>
          <w:rFonts w:hint="eastAsia" w:ascii="宋体" w:hAnsi="宋体" w:cs="宋体"/>
          <w:b/>
          <w:color w:val="auto"/>
          <w:szCs w:val="21"/>
          <w:highlight w:val="none"/>
          <w:u w:val="single"/>
        </w:rPr>
        <w:t>滁州苏滁产城开发有限公司</w:t>
      </w:r>
      <w:r>
        <w:rPr>
          <w:rFonts w:hint="eastAsia" w:ascii="宋体" w:hAnsi="宋体" w:cs="宋体"/>
          <w:b/>
          <w:color w:val="auto"/>
          <w:szCs w:val="21"/>
          <w:highlight w:val="none"/>
          <w:u w:val="single"/>
          <w:lang w:val="en-US" w:eastAsia="zh-CN"/>
        </w:rPr>
        <w:t xml:space="preserve">   </w:t>
      </w:r>
    </w:p>
    <w:p w14:paraId="62926283">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jc w:val="left"/>
        <w:textAlignment w:val="auto"/>
        <w:rPr>
          <w:rFonts w:hint="eastAsia" w:ascii="宋体" w:eastAsia="宋体" w:cs="宋体"/>
          <w:color w:val="auto"/>
          <w:szCs w:val="21"/>
          <w:highlight w:val="none"/>
          <w:lang w:val="en-US" w:eastAsia="zh-CN"/>
        </w:rPr>
      </w:pPr>
      <w:r>
        <w:rPr>
          <w:rFonts w:hint="eastAsia" w:ascii="宋体" w:hAnsi="宋体" w:cs="宋体"/>
          <w:b/>
          <w:color w:val="auto"/>
          <w:szCs w:val="21"/>
          <w:highlight w:val="none"/>
          <w:lang w:val="en-US" w:eastAsia="zh-CN"/>
        </w:rPr>
        <w:t>受托人</w:t>
      </w:r>
      <w:r>
        <w:rPr>
          <w:rFonts w:hint="eastAsia" w:ascii="宋体" w:hAnsi="宋体" w:cs="宋体"/>
          <w:b/>
          <w:color w:val="auto"/>
          <w:szCs w:val="21"/>
          <w:highlight w:val="none"/>
        </w:rPr>
        <w:t>（全称）：</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p>
    <w:p w14:paraId="5EE44D9C">
      <w:pPr>
        <w:adjustRightInd w:val="0"/>
        <w:snapToGrid w:val="0"/>
        <w:spacing w:line="440" w:lineRule="exact"/>
        <w:ind w:firstLine="420" w:firstLineChars="200"/>
        <w:jc w:val="left"/>
        <w:rPr>
          <w:rFonts w:ascii="宋体" w:cs="宋体"/>
          <w:color w:val="auto"/>
          <w:szCs w:val="21"/>
          <w:highlight w:val="none"/>
          <w:u w:val="single"/>
        </w:rPr>
      </w:pPr>
      <w:r>
        <w:rPr>
          <w:rFonts w:hint="eastAsia" w:ascii="宋体" w:hAnsi="宋体" w:cs="宋体"/>
          <w:color w:val="auto"/>
          <w:szCs w:val="21"/>
          <w:highlight w:val="none"/>
        </w:rPr>
        <w:t>根据《中华人民共和国</w:t>
      </w:r>
      <w:r>
        <w:rPr>
          <w:rFonts w:hint="eastAsia" w:ascii="宋体" w:hAnsi="宋体" w:cs="宋体"/>
          <w:color w:val="auto"/>
          <w:szCs w:val="21"/>
          <w:highlight w:val="none"/>
          <w:lang w:val="en-US" w:eastAsia="zh-CN"/>
        </w:rPr>
        <w:t>民法典</w:t>
      </w:r>
      <w:r>
        <w:rPr>
          <w:rFonts w:hint="eastAsia" w:ascii="宋体" w:hAnsi="宋体" w:cs="宋体"/>
          <w:color w:val="auto"/>
          <w:szCs w:val="21"/>
          <w:highlight w:val="none"/>
        </w:rPr>
        <w:t>》、《中华人民共和国建筑法》及其他有关法律、法规，遵循平等、自愿、公平和诚信的原则，双方就下述工程委托监理与相关服务事项协商一致，订立本合同。</w:t>
      </w:r>
    </w:p>
    <w:p w14:paraId="2756DD0F">
      <w:pPr>
        <w:pStyle w:val="23"/>
        <w:spacing w:beforeLines="30" w:afterLines="30"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一、工程概况</w:t>
      </w:r>
    </w:p>
    <w:p w14:paraId="42111810">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工程名称：</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39B74AC9">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工程地点：</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16AAF342">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3. </w:t>
      </w:r>
      <w:r>
        <w:rPr>
          <w:rFonts w:hint="eastAsia" w:ascii="宋体" w:hAnsi="宋体" w:cs="宋体"/>
          <w:color w:val="auto"/>
          <w:szCs w:val="21"/>
          <w:highlight w:val="none"/>
        </w:rPr>
        <w:t>工程规模：</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665EC6AA">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4. </w:t>
      </w:r>
      <w:r>
        <w:rPr>
          <w:rFonts w:hint="eastAsia" w:ascii="宋体" w:hAnsi="宋体" w:cs="宋体"/>
          <w:color w:val="auto"/>
          <w:szCs w:val="21"/>
          <w:highlight w:val="none"/>
        </w:rPr>
        <w:t>工程</w:t>
      </w:r>
      <w:r>
        <w:rPr>
          <w:rFonts w:hint="eastAsia" w:ascii="宋体" w:hAnsi="宋体" w:cs="宋体"/>
          <w:color w:val="auto"/>
          <w:kern w:val="0"/>
          <w:szCs w:val="21"/>
          <w:highlight w:val="none"/>
        </w:rPr>
        <w:t>概算投资额或建筑安装工程费</w:t>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53902378">
      <w:pPr>
        <w:pStyle w:val="23"/>
        <w:spacing w:beforeLines="30" w:afterLines="30"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二、词语限定</w:t>
      </w:r>
    </w:p>
    <w:p w14:paraId="4A70691F">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协议书中相关词语的含义与通用条件中的定义与解释相同。</w:t>
      </w:r>
    </w:p>
    <w:p w14:paraId="0BF84017">
      <w:pPr>
        <w:pStyle w:val="23"/>
        <w:spacing w:beforeLines="30" w:afterLines="30"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三、组成本合同的文件</w:t>
      </w:r>
    </w:p>
    <w:p w14:paraId="3BE85BED">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协议书；</w:t>
      </w:r>
    </w:p>
    <w:p w14:paraId="5074A055">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中标通知书（适用于招标工程）或委托书（适用于非招标工程）；</w:t>
      </w:r>
    </w:p>
    <w:p w14:paraId="1F6D16AA">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3. </w:t>
      </w:r>
      <w:r>
        <w:rPr>
          <w:rFonts w:hint="eastAsia" w:ascii="宋体" w:hAnsi="宋体" w:cs="宋体"/>
          <w:color w:val="auto"/>
          <w:szCs w:val="21"/>
          <w:highlight w:val="none"/>
        </w:rPr>
        <w:t>投标文件（适用于招标工程）或监理与相关服务建议书（适用于非招标工程）；</w:t>
      </w:r>
    </w:p>
    <w:p w14:paraId="7E6C41F4">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4. </w:t>
      </w:r>
      <w:r>
        <w:rPr>
          <w:rFonts w:hint="eastAsia" w:ascii="宋体" w:hAnsi="宋体" w:cs="宋体"/>
          <w:color w:val="auto"/>
          <w:szCs w:val="21"/>
          <w:highlight w:val="none"/>
        </w:rPr>
        <w:t>专用条件；</w:t>
      </w:r>
    </w:p>
    <w:p w14:paraId="436EDE27">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5. </w:t>
      </w:r>
      <w:r>
        <w:rPr>
          <w:rFonts w:hint="eastAsia" w:ascii="宋体" w:hAnsi="宋体" w:cs="宋体"/>
          <w:color w:val="auto"/>
          <w:szCs w:val="21"/>
          <w:highlight w:val="none"/>
        </w:rPr>
        <w:t>通用条件；</w:t>
      </w:r>
    </w:p>
    <w:p w14:paraId="70F2A72D">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6. </w:t>
      </w:r>
      <w:r>
        <w:rPr>
          <w:rFonts w:hint="eastAsia" w:ascii="宋体" w:hAnsi="宋体" w:cs="宋体"/>
          <w:color w:val="auto"/>
          <w:szCs w:val="21"/>
          <w:highlight w:val="none"/>
        </w:rPr>
        <w:t>附录，即：</w:t>
      </w:r>
    </w:p>
    <w:p w14:paraId="7FF9B7F4">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附录</w:t>
      </w:r>
      <w:r>
        <w:rPr>
          <w:rFonts w:ascii="宋体" w:hAnsi="宋体" w:cs="宋体"/>
          <w:color w:val="auto"/>
          <w:szCs w:val="21"/>
          <w:highlight w:val="none"/>
        </w:rPr>
        <w:t xml:space="preserve">A  </w:t>
      </w:r>
      <w:r>
        <w:rPr>
          <w:rFonts w:hint="eastAsia" w:ascii="宋体" w:hAnsi="宋体" w:cs="宋体"/>
          <w:color w:val="auto"/>
          <w:szCs w:val="21"/>
          <w:highlight w:val="none"/>
        </w:rPr>
        <w:t>相关服务的范围和内容</w:t>
      </w:r>
    </w:p>
    <w:p w14:paraId="6F957BB7">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附录</w:t>
      </w:r>
      <w:r>
        <w:rPr>
          <w:rFonts w:ascii="宋体" w:hAnsi="宋体" w:cs="宋体"/>
          <w:color w:val="auto"/>
          <w:szCs w:val="21"/>
          <w:highlight w:val="none"/>
        </w:rPr>
        <w:t xml:space="preserve">B  </w:t>
      </w:r>
      <w:r>
        <w:rPr>
          <w:rFonts w:hint="eastAsia" w:ascii="宋体" w:hAnsi="宋体" w:cs="宋体"/>
          <w:color w:val="auto"/>
          <w:szCs w:val="21"/>
          <w:highlight w:val="none"/>
        </w:rPr>
        <w:t>委托人派遣的人员和提供的</w:t>
      </w:r>
      <w:r>
        <w:rPr>
          <w:rFonts w:hint="eastAsia" w:ascii="宋体" w:hAnsi="宋体" w:cs="宋体"/>
          <w:bCs/>
          <w:color w:val="auto"/>
          <w:szCs w:val="21"/>
          <w:highlight w:val="none"/>
        </w:rPr>
        <w:t>房屋、资料</w:t>
      </w:r>
      <w:r>
        <w:rPr>
          <w:rFonts w:hint="eastAsia" w:ascii="宋体" w:hAnsi="宋体" w:cs="宋体"/>
          <w:color w:val="auto"/>
          <w:szCs w:val="21"/>
          <w:highlight w:val="none"/>
        </w:rPr>
        <w:t>、设备</w:t>
      </w:r>
    </w:p>
    <w:p w14:paraId="5C34D3CB">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本合同签订后，双方依法签订的补充协议也是本合同文件的组成部分。</w:t>
      </w:r>
    </w:p>
    <w:p w14:paraId="78F3DCC1">
      <w:pPr>
        <w:pStyle w:val="23"/>
        <w:spacing w:beforeLines="30" w:afterLines="30" w:line="440" w:lineRule="exact"/>
        <w:ind w:firstLine="422" w:firstLineChars="200"/>
        <w:jc w:val="left"/>
        <w:rPr>
          <w:rFonts w:hint="eastAsia" w:ascii="宋体" w:eastAsia="宋体" w:cs="宋体"/>
          <w:b/>
          <w:bCs/>
          <w:color w:val="auto"/>
          <w:szCs w:val="21"/>
          <w:highlight w:val="none"/>
          <w:lang w:eastAsia="zh-CN"/>
        </w:rPr>
      </w:pPr>
      <w:r>
        <w:rPr>
          <w:rFonts w:hint="eastAsia" w:ascii="宋体" w:hAnsi="宋体" w:cs="宋体"/>
          <w:b/>
          <w:bCs/>
          <w:color w:val="auto"/>
          <w:szCs w:val="21"/>
          <w:highlight w:val="none"/>
        </w:rPr>
        <w:t>四、</w:t>
      </w:r>
      <w:r>
        <w:rPr>
          <w:rFonts w:hint="eastAsia" w:ascii="宋体" w:hAnsi="宋体" w:cs="宋体"/>
          <w:b/>
          <w:bCs/>
          <w:color w:val="auto"/>
          <w:szCs w:val="21"/>
          <w:highlight w:val="none"/>
          <w:lang w:val="en-US" w:eastAsia="zh-CN"/>
        </w:rPr>
        <w:t>负责人</w:t>
      </w:r>
    </w:p>
    <w:p w14:paraId="0618976B">
      <w:pPr>
        <w:adjustRightInd w:val="0"/>
        <w:snapToGrid w:val="0"/>
        <w:spacing w:line="440" w:lineRule="exact"/>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rPr>
        <w:t>负责人（总监理工程师）师姓名：</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，身份证号码：</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，注册号：</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5FC5A1FD">
      <w:pPr>
        <w:pStyle w:val="23"/>
        <w:spacing w:beforeLines="30" w:afterLines="30"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五、签约酬金</w:t>
      </w:r>
    </w:p>
    <w:p w14:paraId="1672D1A7">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bCs/>
          <w:color w:val="auto"/>
          <w:szCs w:val="21"/>
          <w:highlight w:val="none"/>
        </w:rPr>
        <w:t>签约酬金（大写）：</w:t>
      </w:r>
      <w:r>
        <w:rPr>
          <w:rFonts w:ascii="宋体" w:hAnsi="宋体" w:cs="宋体"/>
          <w:b/>
          <w:bCs/>
          <w:color w:val="auto"/>
          <w:szCs w:val="21"/>
          <w:highlight w:val="none"/>
          <w:u w:val="single"/>
        </w:rPr>
        <w:t xml:space="preserve">               </w:t>
      </w:r>
      <w:r>
        <w:rPr>
          <w:rFonts w:hint="eastAsia" w:ascii="宋体" w:hAnsi="宋体" w:cs="宋体"/>
          <w:b/>
          <w:bCs/>
          <w:color w:val="auto"/>
          <w:szCs w:val="21"/>
          <w:highlight w:val="none"/>
        </w:rPr>
        <w:t>（</w:t>
      </w:r>
      <w:r>
        <w:rPr>
          <w:rFonts w:ascii="宋体" w:cs="宋体"/>
          <w:b/>
          <w:bCs/>
          <w:color w:val="auto"/>
          <w:szCs w:val="21"/>
          <w:highlight w:val="none"/>
        </w:rPr>
        <w:t>¥</w:t>
      </w:r>
      <w:r>
        <w:rPr>
          <w:rFonts w:ascii="宋体" w:hAnsi="宋体" w:cs="宋体"/>
          <w:b/>
          <w:bCs/>
          <w:color w:val="auto"/>
          <w:szCs w:val="21"/>
          <w:highlight w:val="none"/>
          <w:u w:val="single"/>
        </w:rPr>
        <w:t xml:space="preserve">        </w:t>
      </w:r>
      <w:r>
        <w:rPr>
          <w:rFonts w:hint="eastAsia" w:ascii="宋体" w:hAnsi="宋体" w:cs="宋体"/>
          <w:b/>
          <w:bCs/>
          <w:color w:val="auto"/>
          <w:szCs w:val="21"/>
          <w:highlight w:val="none"/>
        </w:rPr>
        <w:t>。监理费率为</w:t>
      </w:r>
      <w:r>
        <w:rPr>
          <w:rFonts w:ascii="宋体" w:hAnsi="宋体" w:cs="宋体"/>
          <w:b/>
          <w:bCs/>
          <w:color w:val="auto"/>
          <w:szCs w:val="21"/>
          <w:highlight w:val="none"/>
          <w:u w:val="single"/>
        </w:rPr>
        <w:t xml:space="preserve">    </w:t>
      </w:r>
      <w:r>
        <w:rPr>
          <w:rFonts w:ascii="宋体" w:hAnsi="宋体" w:cs="宋体"/>
          <w:b/>
          <w:bCs/>
          <w:color w:val="auto"/>
          <w:szCs w:val="21"/>
          <w:highlight w:val="none"/>
        </w:rPr>
        <w:t>%</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lang w:val="en-US" w:eastAsia="zh-CN"/>
        </w:rPr>
        <w:t>本项目</w:t>
      </w:r>
      <w:r>
        <w:rPr>
          <w:rFonts w:hint="eastAsia" w:ascii="宋体" w:hAnsi="宋体" w:eastAsia="宋体" w:cs="宋体"/>
          <w:b/>
          <w:bCs/>
          <w:color w:val="auto"/>
          <w:szCs w:val="21"/>
          <w:highlight w:val="none"/>
        </w:rPr>
        <w:t>监理</w:t>
      </w:r>
      <w:r>
        <w:rPr>
          <w:rFonts w:hint="eastAsia" w:ascii="宋体" w:hAnsi="宋体" w:eastAsia="宋体" w:cs="宋体"/>
          <w:b/>
          <w:bCs/>
          <w:color w:val="auto"/>
          <w:szCs w:val="21"/>
          <w:highlight w:val="none"/>
          <w:lang w:val="en-US" w:eastAsia="zh-CN"/>
        </w:rPr>
        <w:t>费用最终支付以工程</w:t>
      </w:r>
      <w:r>
        <w:rPr>
          <w:rFonts w:hint="eastAsia" w:ascii="宋体" w:hAnsi="宋体" w:cs="宋体"/>
          <w:b/>
          <w:bCs/>
          <w:color w:val="auto"/>
          <w:szCs w:val="21"/>
          <w:highlight w:val="none"/>
          <w:lang w:val="en-US" w:eastAsia="zh-CN"/>
        </w:rPr>
        <w:t>结算价</w:t>
      </w:r>
      <w:r>
        <w:rPr>
          <w:rFonts w:hint="eastAsia" w:ascii="宋体" w:hAnsi="宋体" w:eastAsia="宋体" w:cs="宋体"/>
          <w:b/>
          <w:bCs/>
          <w:color w:val="auto"/>
          <w:szCs w:val="21"/>
          <w:highlight w:val="none"/>
          <w:lang w:val="en-US" w:eastAsia="zh-CN"/>
        </w:rPr>
        <w:t>为计费基数，监理费用=基本费+考评费，其中基本费=工程</w:t>
      </w:r>
      <w:r>
        <w:rPr>
          <w:rFonts w:hint="eastAsia" w:ascii="宋体" w:hAnsi="宋体" w:cs="宋体"/>
          <w:b/>
          <w:bCs/>
          <w:color w:val="auto"/>
          <w:szCs w:val="21"/>
          <w:highlight w:val="none"/>
          <w:lang w:val="en-US" w:eastAsia="zh-CN"/>
        </w:rPr>
        <w:t>结算价</w:t>
      </w:r>
      <w:r>
        <w:rPr>
          <w:rFonts w:hint="eastAsia" w:ascii="宋体" w:hAnsi="宋体" w:eastAsia="宋体" w:cs="宋体"/>
          <w:b/>
          <w:bCs/>
          <w:color w:val="auto"/>
          <w:szCs w:val="21"/>
          <w:highlight w:val="none"/>
          <w:lang w:val="en-US" w:eastAsia="zh-CN"/>
        </w:rPr>
        <w:t>*中标费率*85%，考评费=工程</w:t>
      </w:r>
      <w:r>
        <w:rPr>
          <w:rFonts w:hint="eastAsia" w:ascii="宋体" w:hAnsi="宋体" w:cs="宋体"/>
          <w:b/>
          <w:bCs/>
          <w:color w:val="auto"/>
          <w:szCs w:val="21"/>
          <w:highlight w:val="none"/>
          <w:lang w:val="en-US" w:eastAsia="zh-CN"/>
        </w:rPr>
        <w:t>结算价</w:t>
      </w:r>
      <w:r>
        <w:rPr>
          <w:rFonts w:hint="eastAsia" w:ascii="宋体" w:hAnsi="宋体" w:eastAsia="宋体" w:cs="宋体"/>
          <w:b/>
          <w:bCs/>
          <w:color w:val="auto"/>
          <w:szCs w:val="21"/>
          <w:highlight w:val="none"/>
          <w:lang w:val="en-US" w:eastAsia="zh-CN"/>
        </w:rPr>
        <w:t>*中标费率*15%*最终考核结果</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rPr>
        <w:t>中标后中标费率不予调整。无论任何原因导致的工期延长，委托人均不再增加监理费用。</w:t>
      </w:r>
      <w:r>
        <w:rPr>
          <w:rFonts w:hint="eastAsia" w:ascii="宋体" w:hAnsi="宋体" w:cs="宋体"/>
          <w:b/>
          <w:bCs/>
          <w:color w:val="auto"/>
          <w:szCs w:val="21"/>
          <w:highlight w:val="none"/>
          <w:lang w:val="en-US" w:eastAsia="zh-CN"/>
        </w:rPr>
        <w:t>无论任何原因导致的工程造价增加或减少，委托人必须按招标文件要求完成所有监理服务内容。</w:t>
      </w:r>
    </w:p>
    <w:p w14:paraId="2D7B01DB">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cs="宋体"/>
          <w:b/>
          <w:color w:val="auto"/>
          <w:szCs w:val="21"/>
          <w:highlight w:val="none"/>
          <w:lang w:val="en-US" w:eastAsia="zh-CN"/>
        </w:rPr>
        <w:t>1.</w:t>
      </w:r>
      <w:r>
        <w:rPr>
          <w:rFonts w:hint="eastAsia" w:ascii="宋体" w:hAnsi="宋体" w:cs="宋体"/>
          <w:b/>
          <w:bCs/>
          <w:color w:val="auto"/>
          <w:szCs w:val="21"/>
          <w:highlight w:val="none"/>
        </w:rPr>
        <w:t>暂以</w:t>
      </w:r>
      <w:r>
        <w:rPr>
          <w:rFonts w:hint="eastAsia" w:ascii="宋体" w:hAnsi="宋体" w:cs="宋体"/>
          <w:b/>
          <w:bCs/>
          <w:color w:val="auto"/>
          <w:szCs w:val="21"/>
          <w:highlight w:val="none"/>
          <w:lang w:val="en-US" w:eastAsia="zh-CN"/>
        </w:rPr>
        <w:t>2.0亿元</w:t>
      </w:r>
      <w:r>
        <w:rPr>
          <w:rFonts w:hint="eastAsia" w:ascii="宋体" w:hAnsi="宋体" w:cs="宋体"/>
          <w:b/>
          <w:bCs/>
          <w:color w:val="auto"/>
          <w:szCs w:val="21"/>
          <w:highlight w:val="none"/>
        </w:rPr>
        <w:t>为计费基数计算监理费，最终支付以工程</w:t>
      </w:r>
      <w:r>
        <w:rPr>
          <w:rFonts w:hint="eastAsia" w:ascii="宋体" w:hAnsi="宋体" w:cs="宋体"/>
          <w:b/>
          <w:bCs/>
          <w:color w:val="auto"/>
          <w:szCs w:val="21"/>
          <w:highlight w:val="none"/>
          <w:lang w:eastAsia="zh-CN"/>
        </w:rPr>
        <w:t>结算价</w:t>
      </w:r>
      <w:r>
        <w:rPr>
          <w:rFonts w:hint="eastAsia" w:ascii="宋体" w:hAnsi="宋体" w:cs="宋体"/>
          <w:b/>
          <w:bCs/>
          <w:color w:val="auto"/>
          <w:szCs w:val="21"/>
          <w:highlight w:val="none"/>
        </w:rPr>
        <w:t>为计费基数计算监理费。</w:t>
      </w:r>
    </w:p>
    <w:p w14:paraId="0C9FD887">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包括：</w:t>
      </w:r>
    </w:p>
    <w:p w14:paraId="60742C9F">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监理酬金：</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073CFB86">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相关服务酬金：</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47679F84">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其中：</w:t>
      </w:r>
    </w:p>
    <w:p w14:paraId="6EC8AE36">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）勘察阶段服务</w:t>
      </w:r>
      <w:r>
        <w:rPr>
          <w:rFonts w:hint="eastAsia" w:ascii="宋体" w:hAnsi="宋体" w:cs="宋体"/>
          <w:color w:val="auto"/>
          <w:szCs w:val="21"/>
          <w:highlight w:val="none"/>
        </w:rPr>
        <w:t>酬金：</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1F43E6C2">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）设计阶段服务</w:t>
      </w:r>
      <w:r>
        <w:rPr>
          <w:rFonts w:hint="eastAsia" w:ascii="宋体" w:hAnsi="宋体" w:cs="宋体"/>
          <w:color w:val="auto"/>
          <w:szCs w:val="21"/>
          <w:highlight w:val="none"/>
        </w:rPr>
        <w:t>酬金：</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77A80DE3">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）保修阶段服务</w:t>
      </w:r>
      <w:r>
        <w:rPr>
          <w:rFonts w:hint="eastAsia" w:ascii="宋体" w:hAnsi="宋体" w:cs="宋体"/>
          <w:color w:val="auto"/>
          <w:szCs w:val="21"/>
          <w:highlight w:val="none"/>
        </w:rPr>
        <w:t>酬金：</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046C32A5">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w:t>
      </w:r>
      <w:r>
        <w:rPr>
          <w:rFonts w:hint="eastAsia" w:ascii="宋体" w:hAnsi="宋体" w:cs="宋体"/>
          <w:color w:val="auto"/>
          <w:szCs w:val="21"/>
          <w:highlight w:val="none"/>
        </w:rPr>
        <w:t>其他相关服务酬金：</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719315BF">
      <w:pPr>
        <w:pStyle w:val="23"/>
        <w:spacing w:beforeLines="30" w:afterLines="30"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六、期限</w:t>
      </w:r>
    </w:p>
    <w:p w14:paraId="5579F053">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kern w:val="0"/>
          <w:szCs w:val="21"/>
          <w:highlight w:val="none"/>
        </w:rPr>
        <w:t xml:space="preserve">1. </w:t>
      </w:r>
      <w:r>
        <w:rPr>
          <w:rFonts w:hint="eastAsia" w:ascii="宋体" w:hAnsi="宋体" w:cs="宋体"/>
          <w:color w:val="auto"/>
          <w:szCs w:val="21"/>
          <w:highlight w:val="none"/>
        </w:rPr>
        <w:t>监理期限：自本合同签订之日起至本项目竣工结算及保修阶段（缺陷责任期）期满止。</w:t>
      </w:r>
    </w:p>
    <w:p w14:paraId="526FA64D">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kern w:val="0"/>
          <w:szCs w:val="21"/>
          <w:highlight w:val="none"/>
        </w:rPr>
        <w:t xml:space="preserve">2. </w:t>
      </w:r>
      <w:r>
        <w:rPr>
          <w:rFonts w:hint="eastAsia" w:ascii="宋体" w:hAnsi="宋体" w:cs="宋体"/>
          <w:color w:val="auto"/>
          <w:szCs w:val="21"/>
          <w:highlight w:val="none"/>
        </w:rPr>
        <w:t>相关服务期限：</w:t>
      </w:r>
    </w:p>
    <w:p w14:paraId="10B815FA">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）勘察阶段</w:t>
      </w:r>
      <w:r>
        <w:rPr>
          <w:rFonts w:hint="eastAsia" w:ascii="宋体" w:hAnsi="宋体" w:cs="宋体"/>
          <w:color w:val="auto"/>
          <w:szCs w:val="21"/>
          <w:highlight w:val="none"/>
        </w:rPr>
        <w:t>服务期限自</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日始，至</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日止。</w:t>
      </w:r>
    </w:p>
    <w:p w14:paraId="04F69D80">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）设计阶段</w:t>
      </w:r>
      <w:r>
        <w:rPr>
          <w:rFonts w:hint="eastAsia" w:ascii="宋体" w:hAnsi="宋体" w:cs="宋体"/>
          <w:color w:val="auto"/>
          <w:szCs w:val="21"/>
          <w:highlight w:val="none"/>
        </w:rPr>
        <w:t>服务期限自</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日始，至</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日止。</w:t>
      </w:r>
    </w:p>
    <w:p w14:paraId="74DE78AD">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）保修阶段</w:t>
      </w:r>
      <w:r>
        <w:rPr>
          <w:rFonts w:hint="eastAsia" w:ascii="宋体" w:hAnsi="宋体" w:cs="宋体"/>
          <w:color w:val="auto"/>
          <w:szCs w:val="21"/>
          <w:highlight w:val="none"/>
        </w:rPr>
        <w:t>服务期限自</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日始，至</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日止。</w:t>
      </w:r>
    </w:p>
    <w:p w14:paraId="551F8552">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w:t>
      </w:r>
      <w:r>
        <w:rPr>
          <w:rFonts w:hint="eastAsia" w:ascii="宋体" w:hAnsi="宋体" w:cs="宋体"/>
          <w:color w:val="auto"/>
          <w:szCs w:val="21"/>
          <w:highlight w:val="none"/>
        </w:rPr>
        <w:t>其他相关服务期限自</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日始，至</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日止。</w:t>
      </w:r>
    </w:p>
    <w:p w14:paraId="7C4A0B6D">
      <w:pPr>
        <w:pStyle w:val="23"/>
        <w:spacing w:beforeLines="30" w:afterLines="30"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七、双方承诺</w:t>
      </w:r>
    </w:p>
    <w:p w14:paraId="1D68F86A">
      <w:pPr>
        <w:pStyle w:val="23"/>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lang w:val="en-US" w:eastAsia="zh-CN"/>
        </w:rPr>
        <w:t>受托人</w:t>
      </w:r>
      <w:r>
        <w:rPr>
          <w:rFonts w:hint="eastAsia" w:ascii="宋体" w:hAnsi="宋体" w:cs="宋体"/>
          <w:color w:val="auto"/>
          <w:szCs w:val="21"/>
          <w:highlight w:val="none"/>
        </w:rPr>
        <w:t>向委托人承诺，按照本合同约定提供监理</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相关服务。</w:t>
      </w:r>
    </w:p>
    <w:p w14:paraId="25DC488E">
      <w:pPr>
        <w:pStyle w:val="23"/>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委托人向</w:t>
      </w:r>
      <w:r>
        <w:rPr>
          <w:rFonts w:hint="eastAsia" w:ascii="宋体" w:hAnsi="宋体" w:cs="宋体"/>
          <w:color w:val="auto"/>
          <w:szCs w:val="21"/>
          <w:highlight w:val="none"/>
          <w:lang w:val="en-US" w:eastAsia="zh-CN"/>
        </w:rPr>
        <w:t>受托人</w:t>
      </w:r>
      <w:r>
        <w:rPr>
          <w:rFonts w:hint="eastAsia" w:ascii="宋体" w:hAnsi="宋体" w:cs="宋体"/>
          <w:color w:val="auto"/>
          <w:szCs w:val="21"/>
          <w:highlight w:val="none"/>
        </w:rPr>
        <w:t>承诺，按照本合同约定派遣相应的人员，提供房屋、资料、设备，并按本合同约定支付酬金。</w:t>
      </w:r>
    </w:p>
    <w:p w14:paraId="78CAB145">
      <w:pPr>
        <w:pStyle w:val="23"/>
        <w:spacing w:beforeLines="30" w:afterLines="30"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八、合同订立</w:t>
      </w:r>
    </w:p>
    <w:p w14:paraId="7737D682">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订立时间：</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133DFFE7">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订立地点：</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1F2F4730">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3. </w:t>
      </w:r>
      <w:r>
        <w:rPr>
          <w:rFonts w:hint="eastAsia" w:ascii="宋体" w:hAnsi="宋体" w:cs="宋体"/>
          <w:color w:val="auto"/>
          <w:szCs w:val="21"/>
          <w:highlight w:val="none"/>
        </w:rPr>
        <w:t>本合同一式</w:t>
      </w:r>
      <w:r>
        <w:rPr>
          <w:rFonts w:ascii="宋体" w:hAnsi="宋体" w:cs="宋体"/>
          <w:color w:val="auto"/>
          <w:szCs w:val="21"/>
          <w:highlight w:val="none"/>
          <w:u w:val="single"/>
        </w:rPr>
        <w:t xml:space="preserve">    </w:t>
      </w:r>
      <w:r>
        <w:rPr>
          <w:rFonts w:hint="eastAsia" w:ascii="宋体" w:hAnsi="宋体" w:cs="宋体"/>
          <w:color w:val="auto"/>
          <w:szCs w:val="21"/>
          <w:highlight w:val="none"/>
        </w:rPr>
        <w:t>份，具有同等法律效力，双方各执</w:t>
      </w:r>
      <w:r>
        <w:rPr>
          <w:rFonts w:ascii="宋体" w:hAnsi="宋体" w:cs="宋体"/>
          <w:color w:val="auto"/>
          <w:szCs w:val="21"/>
          <w:highlight w:val="none"/>
          <w:u w:val="single"/>
        </w:rPr>
        <w:t xml:space="preserve">    </w:t>
      </w:r>
      <w:r>
        <w:rPr>
          <w:rFonts w:hint="eastAsia" w:ascii="宋体" w:hAnsi="宋体" w:cs="宋体"/>
          <w:color w:val="auto"/>
          <w:szCs w:val="21"/>
          <w:highlight w:val="none"/>
        </w:rPr>
        <w:t>份。</w:t>
      </w:r>
    </w:p>
    <w:p w14:paraId="6C5C4431">
      <w:pPr>
        <w:adjustRightInd w:val="0"/>
        <w:snapToGrid w:val="0"/>
        <w:spacing w:line="440" w:lineRule="exact"/>
        <w:ind w:firstLine="420" w:firstLineChars="200"/>
        <w:jc w:val="left"/>
        <w:rPr>
          <w:rFonts w:ascii="宋体" w:cs="宋体"/>
          <w:color w:val="auto"/>
          <w:szCs w:val="21"/>
          <w:highlight w:val="none"/>
        </w:rPr>
      </w:pPr>
    </w:p>
    <w:p w14:paraId="6D74A70F">
      <w:pPr>
        <w:adjustRightInd w:val="0"/>
        <w:snapToGrid w:val="0"/>
        <w:spacing w:line="440" w:lineRule="exact"/>
        <w:ind w:firstLine="420" w:firstLineChars="200"/>
        <w:jc w:val="left"/>
        <w:rPr>
          <w:rFonts w:ascii="宋体" w:cs="宋体"/>
          <w:color w:val="auto"/>
          <w:szCs w:val="21"/>
          <w:highlight w:val="none"/>
        </w:rPr>
      </w:pPr>
    </w:p>
    <w:p w14:paraId="7D685A00">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委托人：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（盖章）</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b/>
          <w:color w:val="auto"/>
          <w:szCs w:val="21"/>
          <w:highlight w:val="none"/>
          <w:lang w:val="en-US" w:eastAsia="zh-CN"/>
        </w:rPr>
        <w:t>受托人</w:t>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（盖章）</w:t>
      </w:r>
      <w:r>
        <w:rPr>
          <w:rFonts w:ascii="宋体" w:hAnsi="宋体" w:cs="宋体"/>
          <w:color w:val="auto"/>
          <w:szCs w:val="21"/>
          <w:highlight w:val="none"/>
          <w:u w:val="single"/>
        </w:rPr>
        <w:t xml:space="preserve">    </w:t>
      </w:r>
    </w:p>
    <w:p w14:paraId="12C44B6B">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住所：</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住所：</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p>
    <w:p w14:paraId="375A3E6F">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邮政编码：</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邮政编码：</w:t>
      </w:r>
      <w:r>
        <w:rPr>
          <w:rFonts w:ascii="宋体" w:hAnsi="宋体" w:cs="宋体"/>
          <w:color w:val="auto"/>
          <w:szCs w:val="21"/>
          <w:highlight w:val="none"/>
          <w:u w:val="single"/>
        </w:rPr>
        <w:t xml:space="preserve">                  </w:t>
      </w:r>
    </w:p>
    <w:p w14:paraId="2A6BAFC7">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法定代表人或其授权</w:t>
      </w:r>
      <w:r>
        <w:rPr>
          <w:rFonts w:ascii="宋体" w:hAnsi="宋体" w:cs="宋体"/>
          <w:color w:val="auto"/>
          <w:szCs w:val="21"/>
          <w:highlight w:val="none"/>
        </w:rPr>
        <w:t xml:space="preserve">                             </w:t>
      </w:r>
      <w:r>
        <w:rPr>
          <w:rFonts w:hint="eastAsia" w:ascii="宋体" w:hAnsi="宋体" w:cs="宋体"/>
          <w:color w:val="auto"/>
          <w:szCs w:val="21"/>
          <w:highlight w:val="none"/>
        </w:rPr>
        <w:t>法定代表人或其授权</w:t>
      </w:r>
    </w:p>
    <w:p w14:paraId="3BB1418F">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的代理人：</w:t>
      </w:r>
      <w:r>
        <w:rPr>
          <w:rFonts w:hint="eastAsia" w:ascii="宋体" w:hAnsi="宋体" w:cs="宋体"/>
          <w:color w:val="auto"/>
          <w:szCs w:val="21"/>
          <w:highlight w:val="none"/>
          <w:u w:val="single"/>
        </w:rPr>
        <w:t>（签字）</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的代理人：</w:t>
      </w:r>
      <w:r>
        <w:rPr>
          <w:rFonts w:hint="eastAsia" w:ascii="宋体" w:hAnsi="宋体" w:cs="宋体"/>
          <w:color w:val="auto"/>
          <w:szCs w:val="21"/>
          <w:highlight w:val="none"/>
          <w:u w:val="single"/>
        </w:rPr>
        <w:t>（签字）</w:t>
      </w:r>
      <w:r>
        <w:rPr>
          <w:rFonts w:ascii="宋体" w:hAnsi="宋体" w:cs="宋体"/>
          <w:color w:val="auto"/>
          <w:szCs w:val="21"/>
          <w:highlight w:val="none"/>
          <w:u w:val="single"/>
        </w:rPr>
        <w:t xml:space="preserve">          </w:t>
      </w:r>
    </w:p>
    <w:p w14:paraId="254E88F8">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开户银行：</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开户银行：</w:t>
      </w:r>
      <w:r>
        <w:rPr>
          <w:rFonts w:ascii="宋体" w:hAnsi="宋体" w:cs="宋体"/>
          <w:color w:val="auto"/>
          <w:szCs w:val="21"/>
          <w:highlight w:val="none"/>
          <w:u w:val="single"/>
        </w:rPr>
        <w:t xml:space="preserve">                  </w:t>
      </w:r>
    </w:p>
    <w:p w14:paraId="4DCA2494">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账号：</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账号：</w:t>
      </w:r>
      <w:r>
        <w:rPr>
          <w:rFonts w:ascii="宋体" w:hAnsi="宋体" w:cs="宋体"/>
          <w:color w:val="auto"/>
          <w:szCs w:val="21"/>
          <w:highlight w:val="none"/>
          <w:u w:val="single"/>
        </w:rPr>
        <w:t xml:space="preserve">                       </w:t>
      </w:r>
    </w:p>
    <w:p w14:paraId="040050B4">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电话：</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电话：</w:t>
      </w:r>
      <w:r>
        <w:rPr>
          <w:rFonts w:ascii="宋体" w:hAnsi="宋体" w:cs="宋体"/>
          <w:color w:val="auto"/>
          <w:szCs w:val="21"/>
          <w:highlight w:val="none"/>
          <w:u w:val="single"/>
        </w:rPr>
        <w:t xml:space="preserve">                       </w:t>
      </w:r>
    </w:p>
    <w:p w14:paraId="5B9CBE21">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传真：</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传真：</w:t>
      </w:r>
      <w:r>
        <w:rPr>
          <w:rFonts w:ascii="宋体" w:hAnsi="宋体" w:cs="宋体"/>
          <w:color w:val="auto"/>
          <w:szCs w:val="21"/>
          <w:highlight w:val="none"/>
          <w:u w:val="single"/>
        </w:rPr>
        <w:t xml:space="preserve">                       </w:t>
      </w:r>
    </w:p>
    <w:p w14:paraId="265B25A4">
      <w:pPr>
        <w:adjustRightInd w:val="0"/>
        <w:snapToGrid w:val="0"/>
        <w:spacing w:line="440" w:lineRule="exact"/>
        <w:ind w:firstLine="420" w:firstLineChars="200"/>
        <w:jc w:val="left"/>
        <w:rPr>
          <w:rFonts w:ascii="宋体" w:cs="宋体"/>
          <w:color w:val="auto"/>
          <w:szCs w:val="21"/>
          <w:highlight w:val="none"/>
          <w:u w:val="single"/>
        </w:rPr>
      </w:pPr>
      <w:r>
        <w:rPr>
          <w:rFonts w:hint="eastAsia" w:ascii="宋体" w:hAnsi="宋体" w:cs="宋体"/>
          <w:color w:val="auto"/>
          <w:szCs w:val="21"/>
          <w:highlight w:val="none"/>
        </w:rPr>
        <w:t>电子邮箱：</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电子邮箱：</w:t>
      </w:r>
      <w:r>
        <w:rPr>
          <w:rFonts w:ascii="宋体" w:hAnsi="宋体" w:cs="宋体"/>
          <w:color w:val="auto"/>
          <w:szCs w:val="21"/>
          <w:highlight w:val="none"/>
          <w:u w:val="single"/>
        </w:rPr>
        <w:t xml:space="preserve">                  </w:t>
      </w:r>
    </w:p>
    <w:p w14:paraId="455F2B32">
      <w:pPr>
        <w:tabs>
          <w:tab w:val="left" w:pos="3120"/>
        </w:tabs>
        <w:spacing w:beforeLines="50" w:afterLines="50" w:line="440" w:lineRule="exact"/>
        <w:jc w:val="center"/>
        <w:rPr>
          <w:rFonts w:hint="eastAsia" w:ascii="宋体" w:hAnsi="宋体" w:cs="宋体"/>
          <w:b/>
          <w:bCs/>
          <w:color w:val="auto"/>
          <w:sz w:val="28"/>
          <w:szCs w:val="28"/>
          <w:highlight w:val="none"/>
        </w:rPr>
      </w:pPr>
    </w:p>
    <w:p w14:paraId="2AD1D8A6">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F60D9D9">
      <w:pPr>
        <w:tabs>
          <w:tab w:val="left" w:pos="3120"/>
        </w:tabs>
        <w:spacing w:beforeLines="50" w:afterLines="50" w:line="440" w:lineRule="exact"/>
        <w:jc w:val="center"/>
        <w:rPr>
          <w:rFonts w:ascii="宋体" w:cs="宋体"/>
          <w:b/>
          <w:color w:val="auto"/>
          <w:szCs w:val="21"/>
          <w:highlight w:val="none"/>
        </w:rPr>
      </w:pPr>
      <w:r>
        <w:rPr>
          <w:rFonts w:hint="eastAsia" w:ascii="宋体" w:hAnsi="宋体" w:cs="宋体"/>
          <w:b/>
          <w:bCs/>
          <w:color w:val="auto"/>
          <w:sz w:val="28"/>
          <w:szCs w:val="28"/>
          <w:highlight w:val="none"/>
        </w:rPr>
        <w:t>第二部分</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通用条件</w:t>
      </w:r>
    </w:p>
    <w:p w14:paraId="025106DC">
      <w:pPr>
        <w:spacing w:line="440" w:lineRule="exact"/>
        <w:ind w:firstLine="562" w:firstLineChars="200"/>
        <w:jc w:val="center"/>
        <w:rPr>
          <w:rFonts w:ascii="宋体" w:cs="宋体"/>
          <w:b/>
          <w:color w:val="auto"/>
          <w:sz w:val="28"/>
          <w:highlight w:val="none"/>
        </w:rPr>
      </w:pPr>
      <w:r>
        <w:rPr>
          <w:rFonts w:hint="eastAsia" w:ascii="宋体" w:hAnsi="宋体" w:cs="宋体"/>
          <w:b/>
          <w:color w:val="auto"/>
          <w:sz w:val="28"/>
          <w:highlight w:val="none"/>
        </w:rPr>
        <w:t>见建设工程委托监理合同（ＧＦ－</w:t>
      </w:r>
      <w:r>
        <w:rPr>
          <w:rFonts w:ascii="宋体" w:hAnsi="宋体" w:cs="宋体"/>
          <w:b/>
          <w:color w:val="auto"/>
          <w:sz w:val="28"/>
          <w:highlight w:val="none"/>
        </w:rPr>
        <w:t>2012</w:t>
      </w:r>
      <w:r>
        <w:rPr>
          <w:rFonts w:hint="eastAsia" w:ascii="宋体" w:hAnsi="宋体" w:cs="宋体"/>
          <w:b/>
          <w:color w:val="auto"/>
          <w:sz w:val="28"/>
          <w:highlight w:val="none"/>
        </w:rPr>
        <w:t>－</w:t>
      </w:r>
      <w:r>
        <w:rPr>
          <w:rFonts w:ascii="宋体" w:hAnsi="宋体" w:cs="宋体"/>
          <w:b/>
          <w:color w:val="auto"/>
          <w:sz w:val="28"/>
          <w:highlight w:val="none"/>
        </w:rPr>
        <w:t>0202</w:t>
      </w:r>
      <w:r>
        <w:rPr>
          <w:rFonts w:hint="eastAsia" w:ascii="宋体" w:hAnsi="宋体" w:cs="宋体"/>
          <w:b/>
          <w:color w:val="auto"/>
          <w:sz w:val="28"/>
          <w:highlight w:val="none"/>
        </w:rPr>
        <w:t>示范文本）</w:t>
      </w:r>
    </w:p>
    <w:p w14:paraId="3CE86898">
      <w:pPr>
        <w:tabs>
          <w:tab w:val="left" w:pos="3120"/>
        </w:tabs>
        <w:spacing w:beforeLines="50" w:afterLines="50" w:line="440" w:lineRule="exact"/>
        <w:jc w:val="center"/>
        <w:rPr>
          <w:rFonts w:hint="default" w:asci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第三部分</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lang w:val="en-US" w:eastAsia="zh-CN"/>
        </w:rPr>
        <w:t xml:space="preserve">  </w:t>
      </w:r>
    </w:p>
    <w:p w14:paraId="1B3ED54E">
      <w:pPr>
        <w:adjustRightInd w:val="0"/>
        <w:snapToGrid w:val="0"/>
        <w:spacing w:line="440" w:lineRule="exact"/>
        <w:ind w:firstLine="422" w:firstLineChars="200"/>
        <w:jc w:val="left"/>
        <w:rPr>
          <w:rFonts w:ascii="宋体" w:cs="宋体"/>
          <w:b/>
          <w:color w:val="auto"/>
          <w:szCs w:val="21"/>
          <w:highlight w:val="none"/>
        </w:rPr>
      </w:pPr>
      <w:r>
        <w:rPr>
          <w:rFonts w:ascii="宋体" w:hAnsi="宋体" w:cs="宋体"/>
          <w:b/>
          <w:color w:val="auto"/>
          <w:szCs w:val="21"/>
          <w:highlight w:val="none"/>
        </w:rPr>
        <w:t xml:space="preserve">1. </w:t>
      </w:r>
      <w:r>
        <w:rPr>
          <w:rFonts w:hint="eastAsia" w:ascii="宋体" w:hAnsi="宋体" w:cs="宋体"/>
          <w:b/>
          <w:color w:val="auto"/>
          <w:szCs w:val="21"/>
          <w:highlight w:val="none"/>
        </w:rPr>
        <w:t>定义与解释</w:t>
      </w:r>
    </w:p>
    <w:p w14:paraId="15C9EEEA">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1.2  </w:t>
      </w:r>
      <w:r>
        <w:rPr>
          <w:rFonts w:hint="eastAsia" w:ascii="宋体" w:hAnsi="宋体" w:cs="宋体"/>
          <w:color w:val="auto"/>
          <w:szCs w:val="21"/>
          <w:highlight w:val="none"/>
        </w:rPr>
        <w:t>解释</w:t>
      </w:r>
    </w:p>
    <w:p w14:paraId="3A2A96C6">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1.2.1 </w:t>
      </w:r>
      <w:r>
        <w:rPr>
          <w:rFonts w:hint="eastAsia" w:ascii="宋体" w:hAnsi="宋体" w:cs="宋体"/>
          <w:color w:val="auto"/>
          <w:szCs w:val="21"/>
          <w:highlight w:val="none"/>
        </w:rPr>
        <w:t>本合同文件除使用中文外，还可用</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14:paraId="5F1C33EF">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1.2.2 </w:t>
      </w:r>
      <w:r>
        <w:rPr>
          <w:rFonts w:hint="eastAsia" w:ascii="宋体" w:hAnsi="宋体" w:cs="宋体"/>
          <w:color w:val="auto"/>
          <w:szCs w:val="21"/>
          <w:highlight w:val="none"/>
        </w:rPr>
        <w:t>约定本合同文件的解释顺序为：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执行通用条件</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03C46ADE">
      <w:pPr>
        <w:adjustRightInd w:val="0"/>
        <w:snapToGrid w:val="0"/>
        <w:spacing w:line="440" w:lineRule="exact"/>
        <w:ind w:firstLine="422" w:firstLineChars="200"/>
        <w:jc w:val="left"/>
        <w:rPr>
          <w:rFonts w:ascii="宋体" w:cs="宋体"/>
          <w:b/>
          <w:color w:val="auto"/>
          <w:szCs w:val="21"/>
          <w:highlight w:val="none"/>
        </w:rPr>
      </w:pPr>
      <w:r>
        <w:rPr>
          <w:rFonts w:ascii="宋体" w:hAnsi="宋体" w:cs="宋体"/>
          <w:b/>
          <w:color w:val="auto"/>
          <w:szCs w:val="21"/>
          <w:highlight w:val="none"/>
        </w:rPr>
        <w:t xml:space="preserve">2. </w:t>
      </w:r>
      <w:r>
        <w:rPr>
          <w:rFonts w:hint="eastAsia" w:ascii="宋体" w:hAnsi="宋体" w:cs="宋体"/>
          <w:b/>
          <w:color w:val="auto"/>
          <w:szCs w:val="21"/>
          <w:highlight w:val="none"/>
          <w:lang w:val="en-US" w:eastAsia="zh-CN"/>
        </w:rPr>
        <w:t>受托人</w:t>
      </w:r>
      <w:r>
        <w:rPr>
          <w:rFonts w:hint="eastAsia" w:ascii="宋体" w:hAnsi="宋体" w:cs="宋体"/>
          <w:b/>
          <w:color w:val="auto"/>
          <w:szCs w:val="21"/>
          <w:highlight w:val="none"/>
        </w:rPr>
        <w:t>义务</w:t>
      </w:r>
    </w:p>
    <w:p w14:paraId="79052F78">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2.1 </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范围和</w:t>
      </w:r>
      <w:r>
        <w:rPr>
          <w:rFonts w:hint="eastAsia" w:ascii="宋体" w:hAnsi="宋体" w:cs="宋体"/>
          <w:bCs/>
          <w:color w:val="auto"/>
          <w:szCs w:val="21"/>
          <w:highlight w:val="none"/>
        </w:rPr>
        <w:t>内容</w:t>
      </w:r>
    </w:p>
    <w:p w14:paraId="46415886">
      <w:pPr>
        <w:adjustRightInd w:val="0"/>
        <w:snapToGrid w:val="0"/>
        <w:spacing w:line="440" w:lineRule="exact"/>
        <w:ind w:firstLine="420" w:firstLineChars="200"/>
        <w:jc w:val="left"/>
        <w:rPr>
          <w:rFonts w:hint="eastAsia" w:ascii="宋体" w:hAnsi="宋体" w:cs="宋体"/>
          <w:color w:val="auto"/>
          <w:szCs w:val="21"/>
          <w:highlight w:val="none"/>
          <w:u w:val="single"/>
          <w:lang w:val="en-US" w:eastAsia="zh-CN"/>
        </w:rPr>
      </w:pPr>
      <w:r>
        <w:rPr>
          <w:rFonts w:ascii="宋体" w:hAnsi="宋体" w:cs="宋体"/>
          <w:color w:val="auto"/>
          <w:szCs w:val="21"/>
          <w:highlight w:val="none"/>
        </w:rPr>
        <w:t xml:space="preserve">2.1.1 </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范围包括：</w:t>
      </w:r>
      <w:r>
        <w:rPr>
          <w:rFonts w:hint="eastAsia" w:ascii="宋体" w:hAnsi="宋体" w:cs="宋体"/>
          <w:color w:val="auto"/>
          <w:szCs w:val="21"/>
          <w:highlight w:val="none"/>
          <w:u w:val="single"/>
          <w:lang w:val="en-US" w:eastAsia="zh-CN"/>
        </w:rPr>
        <w:t>包括但不限于施工准备阶段、施工阶段、工程收尾阶段（包括但不限于竣工验收、整改、工程移交、工程结算等）及工程质量保修阶段的质量控制、进度控制、投资控制、职业健康安全及环境监督管理、合同管理、信息管理、组织协调、工程创优等所有方面进行全面控制和管</w:t>
      </w:r>
      <w:r>
        <w:rPr>
          <w:rFonts w:hint="eastAsia" w:ascii="宋体" w:hAnsi="宋体" w:cs="宋体"/>
          <w:color w:val="auto"/>
          <w:szCs w:val="21"/>
          <w:highlight w:val="none"/>
          <w:u w:val="single"/>
          <w:lang w:val="en-US" w:eastAsia="zh-CN"/>
        </w:rPr>
        <w:t>理的工程建设期内的所有监理服务。</w:t>
      </w:r>
    </w:p>
    <w:p w14:paraId="7B9C0272">
      <w:pPr>
        <w:pStyle w:val="17"/>
        <w:spacing w:line="440" w:lineRule="exact"/>
        <w:ind w:firstLine="420" w:firstLineChars="200"/>
        <w:jc w:val="left"/>
        <w:rPr>
          <w:rFonts w:hint="default" w:ascii="宋体" w:eastAsia="宋体" w:cs="宋体"/>
          <w:b/>
          <w:bCs/>
          <w:color w:val="auto"/>
          <w:szCs w:val="21"/>
          <w:highlight w:val="none"/>
          <w:lang w:val="en-US" w:eastAsia="zh-CN"/>
        </w:rPr>
      </w:pPr>
      <w:r>
        <w:rPr>
          <w:rFonts w:ascii="宋体" w:hAnsi="宋体" w:cs="宋体"/>
          <w:color w:val="auto"/>
          <w:szCs w:val="21"/>
          <w:highlight w:val="none"/>
        </w:rPr>
        <w:t xml:space="preserve">2.1.2 </w:t>
      </w:r>
      <w:r>
        <w:rPr>
          <w:rFonts w:hint="eastAsia" w:ascii="宋体" w:hAnsi="宋体" w:cs="宋体"/>
          <w:color w:val="auto"/>
          <w:szCs w:val="21"/>
          <w:highlight w:val="none"/>
          <w:lang w:val="en-US" w:eastAsia="zh-CN"/>
        </w:rPr>
        <w:t>监理</w:t>
      </w:r>
      <w:r>
        <w:rPr>
          <w:rFonts w:hint="eastAsia" w:ascii="宋体" w:hAnsi="宋体" w:cs="宋体"/>
          <w:color w:val="auto"/>
          <w:szCs w:val="21"/>
          <w:highlight w:val="none"/>
        </w:rPr>
        <w:t>工作内容还包括：</w:t>
      </w:r>
      <w:r>
        <w:rPr>
          <w:rFonts w:hint="eastAsia" w:ascii="宋体" w:hAnsi="宋体" w:cs="宋体"/>
          <w:color w:val="auto"/>
          <w:szCs w:val="21"/>
          <w:highlight w:val="none"/>
          <w:u w:val="single"/>
        </w:rPr>
        <w:t>（</w:t>
      </w:r>
      <w:r>
        <w:rPr>
          <w:rFonts w:ascii="宋体" w:hAnsi="宋体" w:cs="宋体"/>
          <w:color w:val="auto"/>
          <w:szCs w:val="21"/>
          <w:highlight w:val="none"/>
          <w:u w:val="single"/>
        </w:rPr>
        <w:t>1</w:t>
      </w:r>
      <w:r>
        <w:rPr>
          <w:rFonts w:hint="eastAsia" w:ascii="宋体" w:hAnsi="宋体" w:cs="宋体"/>
          <w:color w:val="auto"/>
          <w:szCs w:val="21"/>
          <w:highlight w:val="none"/>
          <w:u w:val="single"/>
        </w:rPr>
        <w:t>）收到工程设计文件后编制监理规划，并在第一次工地会议</w:t>
      </w:r>
      <w:r>
        <w:rPr>
          <w:rFonts w:ascii="宋体" w:hAnsi="宋体" w:cs="宋体"/>
          <w:color w:val="auto"/>
          <w:szCs w:val="21"/>
          <w:highlight w:val="none"/>
          <w:u w:val="single"/>
        </w:rPr>
        <w:t>7</w:t>
      </w:r>
      <w:r>
        <w:rPr>
          <w:rFonts w:hint="eastAsia" w:ascii="宋体" w:hAnsi="宋体" w:cs="宋体"/>
          <w:color w:val="auto"/>
          <w:szCs w:val="21"/>
          <w:highlight w:val="none"/>
          <w:u w:val="single"/>
        </w:rPr>
        <w:t>天前报委托人。根据有关规定和监理工作需要，编制监理实施细则；（</w:t>
      </w:r>
      <w:r>
        <w:rPr>
          <w:rFonts w:ascii="宋体" w:hAnsi="宋体" w:cs="宋体"/>
          <w:color w:val="auto"/>
          <w:szCs w:val="21"/>
          <w:highlight w:val="none"/>
          <w:u w:val="single"/>
        </w:rPr>
        <w:t>2</w:t>
      </w:r>
      <w:r>
        <w:rPr>
          <w:rFonts w:hint="eastAsia" w:ascii="宋体" w:hAnsi="宋体" w:cs="宋体"/>
          <w:color w:val="auto"/>
          <w:szCs w:val="21"/>
          <w:highlight w:val="none"/>
          <w:u w:val="single"/>
        </w:rPr>
        <w:t>）熟悉工程设计文件，并参加由委托人主持的图纸会审和设计交底会议；（</w:t>
      </w:r>
      <w:r>
        <w:rPr>
          <w:rFonts w:ascii="宋体" w:hAnsi="宋体" w:cs="宋体"/>
          <w:color w:val="auto"/>
          <w:szCs w:val="21"/>
          <w:highlight w:val="none"/>
          <w:u w:val="single"/>
        </w:rPr>
        <w:t>3</w:t>
      </w:r>
      <w:r>
        <w:rPr>
          <w:rFonts w:hint="eastAsia" w:ascii="宋体" w:hAnsi="宋体" w:cs="宋体"/>
          <w:color w:val="auto"/>
          <w:szCs w:val="21"/>
          <w:highlight w:val="none"/>
          <w:u w:val="single"/>
        </w:rPr>
        <w:t>）参加由委托人主持的第一次工地会议；主持监理例会并根据工程需要主持或参加专题会议；（</w:t>
      </w:r>
      <w:r>
        <w:rPr>
          <w:rFonts w:ascii="宋体" w:hAnsi="宋体" w:cs="宋体"/>
          <w:color w:val="auto"/>
          <w:szCs w:val="21"/>
          <w:highlight w:val="none"/>
          <w:u w:val="single"/>
        </w:rPr>
        <w:t>4</w:t>
      </w:r>
      <w:r>
        <w:rPr>
          <w:rFonts w:hint="eastAsia" w:ascii="宋体" w:hAnsi="宋体" w:cs="宋体"/>
          <w:color w:val="auto"/>
          <w:szCs w:val="21"/>
          <w:highlight w:val="none"/>
          <w:u w:val="single"/>
        </w:rPr>
        <w:t>）审查施工承包人提交的施工组织设计，重点审查其中的质量安全技术措施、专项施工方案与工程建设强制性标准的符合性；（</w:t>
      </w:r>
      <w:r>
        <w:rPr>
          <w:rFonts w:ascii="宋体" w:hAnsi="宋体" w:cs="宋体"/>
          <w:color w:val="auto"/>
          <w:szCs w:val="21"/>
          <w:highlight w:val="none"/>
          <w:u w:val="single"/>
        </w:rPr>
        <w:t>5</w:t>
      </w:r>
      <w:r>
        <w:rPr>
          <w:rFonts w:hint="eastAsia" w:ascii="宋体" w:hAnsi="宋体" w:cs="宋体"/>
          <w:color w:val="auto"/>
          <w:szCs w:val="21"/>
          <w:highlight w:val="none"/>
          <w:u w:val="single"/>
        </w:rPr>
        <w:t>）检查施工承包人工程质量、安全生产管理制度及组织机构和人员资格；</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s="宋体"/>
          <w:color w:val="auto"/>
          <w:szCs w:val="21"/>
          <w:highlight w:val="none"/>
          <w:u w:val="single"/>
        </w:rPr>
        <w:t>6</w:t>
      </w:r>
      <w:r>
        <w:rPr>
          <w:rFonts w:hint="eastAsia" w:ascii="宋体" w:hAnsi="宋体" w:cs="宋体"/>
          <w:color w:val="auto"/>
          <w:szCs w:val="21"/>
          <w:highlight w:val="none"/>
          <w:u w:val="single"/>
        </w:rPr>
        <w:t>）检查施工承包人专职安全生产管理人员的配备情况；（</w:t>
      </w:r>
      <w:r>
        <w:rPr>
          <w:rFonts w:ascii="宋体" w:hAnsi="宋体" w:cs="宋体"/>
          <w:color w:val="auto"/>
          <w:szCs w:val="21"/>
          <w:highlight w:val="none"/>
          <w:u w:val="single"/>
        </w:rPr>
        <w:t>7</w:t>
      </w:r>
      <w:r>
        <w:rPr>
          <w:rFonts w:hint="eastAsia" w:ascii="宋体" w:hAnsi="宋体" w:cs="宋体"/>
          <w:color w:val="auto"/>
          <w:szCs w:val="21"/>
          <w:highlight w:val="none"/>
          <w:u w:val="single"/>
        </w:rPr>
        <w:t>）审查施工承包人提交的施工进度计划，核查承包人对施工进度计划的调整；（</w:t>
      </w:r>
      <w:r>
        <w:rPr>
          <w:rFonts w:ascii="宋体" w:hAnsi="宋体" w:cs="宋体"/>
          <w:color w:val="auto"/>
          <w:szCs w:val="21"/>
          <w:highlight w:val="none"/>
          <w:u w:val="single"/>
        </w:rPr>
        <w:t>9</w:t>
      </w:r>
      <w:r>
        <w:rPr>
          <w:rFonts w:hint="eastAsia" w:ascii="宋体" w:hAnsi="宋体" w:cs="宋体"/>
          <w:color w:val="auto"/>
          <w:szCs w:val="21"/>
          <w:highlight w:val="none"/>
          <w:u w:val="single"/>
        </w:rPr>
        <w:t>）审核施工分包人资质条件；（</w:t>
      </w:r>
      <w:r>
        <w:rPr>
          <w:rFonts w:ascii="宋体" w:hAnsi="宋体" w:cs="宋体"/>
          <w:color w:val="auto"/>
          <w:szCs w:val="21"/>
          <w:highlight w:val="none"/>
          <w:u w:val="single"/>
        </w:rPr>
        <w:t>10</w:t>
      </w:r>
      <w:r>
        <w:rPr>
          <w:rFonts w:hint="eastAsia" w:ascii="宋体" w:hAnsi="宋体" w:cs="宋体"/>
          <w:color w:val="auto"/>
          <w:szCs w:val="21"/>
          <w:highlight w:val="none"/>
          <w:u w:val="single"/>
        </w:rPr>
        <w:t>）查验施工承包人的施工测量放线成果；（</w:t>
      </w:r>
      <w:r>
        <w:rPr>
          <w:rFonts w:ascii="宋体" w:hAnsi="宋体" w:cs="宋体"/>
          <w:color w:val="auto"/>
          <w:szCs w:val="21"/>
          <w:highlight w:val="none"/>
          <w:u w:val="single"/>
        </w:rPr>
        <w:t>11</w:t>
      </w:r>
      <w:r>
        <w:rPr>
          <w:rFonts w:hint="eastAsia" w:ascii="宋体" w:hAnsi="宋体" w:cs="宋体"/>
          <w:color w:val="auto"/>
          <w:szCs w:val="21"/>
          <w:highlight w:val="none"/>
          <w:u w:val="single"/>
        </w:rPr>
        <w:t>）审查工程开工条件，对条件具备的签发开工令；（</w:t>
      </w:r>
      <w:r>
        <w:rPr>
          <w:rFonts w:ascii="宋体" w:hAnsi="宋体" w:cs="宋体"/>
          <w:color w:val="auto"/>
          <w:szCs w:val="21"/>
          <w:highlight w:val="none"/>
          <w:u w:val="single"/>
        </w:rPr>
        <w:t>12</w:t>
      </w:r>
      <w:r>
        <w:rPr>
          <w:rFonts w:hint="eastAsia" w:ascii="宋体" w:hAnsi="宋体" w:cs="宋体"/>
          <w:color w:val="auto"/>
          <w:szCs w:val="21"/>
          <w:highlight w:val="none"/>
          <w:u w:val="single"/>
        </w:rPr>
        <w:t>）审查施工承包人报送的工程材料、构配件、设备质量证明文件的有效性和符合性，并按规定对用于工程的材料采取平行检验或见证取样方式进行抽检；（</w:t>
      </w:r>
      <w:r>
        <w:rPr>
          <w:rFonts w:ascii="宋体" w:hAnsi="宋体" w:cs="宋体"/>
          <w:color w:val="auto"/>
          <w:szCs w:val="21"/>
          <w:highlight w:val="none"/>
          <w:u w:val="single"/>
        </w:rPr>
        <w:t>13</w:t>
      </w:r>
      <w:r>
        <w:rPr>
          <w:rFonts w:hint="eastAsia" w:ascii="宋体" w:hAnsi="宋体" w:cs="宋体"/>
          <w:color w:val="auto"/>
          <w:szCs w:val="21"/>
          <w:highlight w:val="none"/>
          <w:u w:val="single"/>
        </w:rPr>
        <w:t>）审核施工承包人提交的工程款支付申请，签发或出具工程款支付证书，并报委托人审核、批准；（</w:t>
      </w:r>
      <w:r>
        <w:rPr>
          <w:rFonts w:ascii="宋体" w:hAnsi="宋体" w:cs="宋体"/>
          <w:color w:val="auto"/>
          <w:szCs w:val="21"/>
          <w:highlight w:val="none"/>
          <w:u w:val="single"/>
        </w:rPr>
        <w:t>14</w:t>
      </w:r>
      <w:r>
        <w:rPr>
          <w:rFonts w:hint="eastAsia" w:ascii="宋体" w:hAnsi="宋体" w:cs="宋体"/>
          <w:color w:val="auto"/>
          <w:szCs w:val="21"/>
          <w:highlight w:val="none"/>
          <w:u w:val="single"/>
        </w:rPr>
        <w:t>）在巡视、旁站和检验过程中，发现工程质量、施工安全存在事故隐患的，要求施工承包人整改并报委托人；（</w:t>
      </w:r>
      <w:r>
        <w:rPr>
          <w:rFonts w:ascii="宋体" w:hAnsi="宋体" w:cs="宋体"/>
          <w:color w:val="auto"/>
          <w:szCs w:val="21"/>
          <w:highlight w:val="none"/>
          <w:u w:val="single"/>
        </w:rPr>
        <w:t>15</w:t>
      </w:r>
      <w:r>
        <w:rPr>
          <w:rFonts w:hint="eastAsia" w:ascii="宋体" w:hAnsi="宋体" w:cs="宋体"/>
          <w:color w:val="auto"/>
          <w:szCs w:val="21"/>
          <w:highlight w:val="none"/>
          <w:u w:val="single"/>
        </w:rPr>
        <w:t>）经委托人同意，签发工程暂停令和复工令；（</w:t>
      </w:r>
      <w:r>
        <w:rPr>
          <w:rFonts w:ascii="宋体" w:hAnsi="宋体" w:cs="宋体"/>
          <w:color w:val="auto"/>
          <w:szCs w:val="21"/>
          <w:highlight w:val="none"/>
          <w:u w:val="single"/>
        </w:rPr>
        <w:t>16</w:t>
      </w:r>
      <w:r>
        <w:rPr>
          <w:rFonts w:hint="eastAsia" w:ascii="宋体" w:hAnsi="宋体" w:cs="宋体"/>
          <w:color w:val="auto"/>
          <w:szCs w:val="21"/>
          <w:highlight w:val="none"/>
          <w:u w:val="single"/>
        </w:rPr>
        <w:t>）审查施工承包人提交的采用新材料、新工艺、新技术、新设备的论证材料及相关验收标准；（</w:t>
      </w:r>
      <w:r>
        <w:rPr>
          <w:rFonts w:ascii="宋体" w:hAnsi="宋体" w:cs="宋体"/>
          <w:color w:val="auto"/>
          <w:szCs w:val="21"/>
          <w:highlight w:val="none"/>
          <w:u w:val="single"/>
        </w:rPr>
        <w:t>17</w:t>
      </w:r>
      <w:r>
        <w:rPr>
          <w:rFonts w:hint="eastAsia" w:ascii="宋体" w:hAnsi="宋体" w:cs="宋体"/>
          <w:color w:val="auto"/>
          <w:szCs w:val="21"/>
          <w:highlight w:val="none"/>
          <w:u w:val="single"/>
        </w:rPr>
        <w:t>）验收隐蔽工程、分部分项工程；（</w:t>
      </w:r>
      <w:r>
        <w:rPr>
          <w:rFonts w:ascii="宋体" w:hAnsi="宋体" w:cs="宋体"/>
          <w:color w:val="auto"/>
          <w:szCs w:val="21"/>
          <w:highlight w:val="none"/>
          <w:u w:val="single"/>
        </w:rPr>
        <w:t>18</w:t>
      </w:r>
      <w:r>
        <w:rPr>
          <w:rFonts w:hint="eastAsia" w:ascii="宋体" w:hAnsi="宋体" w:cs="宋体"/>
          <w:color w:val="auto"/>
          <w:szCs w:val="21"/>
          <w:highlight w:val="none"/>
          <w:u w:val="single"/>
        </w:rPr>
        <w:t>）审查施工承包人提交的工程变更申请，协调处理施工进度调整、费用索赔、合同争议等事项；（</w:t>
      </w:r>
      <w:r>
        <w:rPr>
          <w:rFonts w:ascii="宋体" w:hAnsi="宋体" w:cs="宋体"/>
          <w:color w:val="auto"/>
          <w:szCs w:val="21"/>
          <w:highlight w:val="none"/>
          <w:u w:val="single"/>
        </w:rPr>
        <w:t>19</w:t>
      </w:r>
      <w:r>
        <w:rPr>
          <w:rFonts w:hint="eastAsia" w:ascii="宋体" w:hAnsi="宋体" w:cs="宋体"/>
          <w:color w:val="auto"/>
          <w:szCs w:val="21"/>
          <w:highlight w:val="none"/>
          <w:u w:val="single"/>
        </w:rPr>
        <w:t>）审查施工承包人提交的竣工验收申请，编写工程质量评估报告；（</w:t>
      </w:r>
      <w:r>
        <w:rPr>
          <w:rFonts w:ascii="宋体" w:hAnsi="宋体" w:cs="宋体"/>
          <w:color w:val="auto"/>
          <w:szCs w:val="21"/>
          <w:highlight w:val="none"/>
          <w:u w:val="single"/>
        </w:rPr>
        <w:t>20</w:t>
      </w:r>
      <w:r>
        <w:rPr>
          <w:rFonts w:hint="eastAsia" w:ascii="宋体" w:hAnsi="宋体" w:cs="宋体"/>
          <w:color w:val="auto"/>
          <w:szCs w:val="21"/>
          <w:highlight w:val="none"/>
          <w:u w:val="single"/>
        </w:rPr>
        <w:t>）参加工程竣工验收，签署竣工验收意见；（</w:t>
      </w:r>
      <w:r>
        <w:rPr>
          <w:rFonts w:ascii="宋体" w:hAnsi="宋体" w:cs="宋体"/>
          <w:color w:val="auto"/>
          <w:szCs w:val="21"/>
          <w:highlight w:val="none"/>
          <w:u w:val="single"/>
        </w:rPr>
        <w:t>21</w:t>
      </w:r>
      <w:r>
        <w:rPr>
          <w:rFonts w:hint="eastAsia" w:ascii="宋体" w:hAnsi="宋体" w:cs="宋体"/>
          <w:color w:val="auto"/>
          <w:szCs w:val="21"/>
          <w:highlight w:val="none"/>
          <w:u w:val="single"/>
        </w:rPr>
        <w:t>）审查施工承包人提交的竣工结算申请并报委托人；（</w:t>
      </w:r>
      <w:r>
        <w:rPr>
          <w:rFonts w:ascii="宋体" w:hAnsi="宋体" w:cs="宋体"/>
          <w:color w:val="auto"/>
          <w:szCs w:val="21"/>
          <w:highlight w:val="none"/>
          <w:u w:val="single"/>
        </w:rPr>
        <w:t>22</w:t>
      </w:r>
      <w:r>
        <w:rPr>
          <w:rFonts w:hint="eastAsia" w:ascii="宋体" w:hAnsi="宋体" w:cs="宋体"/>
          <w:color w:val="auto"/>
          <w:szCs w:val="21"/>
          <w:highlight w:val="none"/>
          <w:u w:val="single"/>
        </w:rPr>
        <w:t>）编制、整理工程监理归档文件并报委托人</w:t>
      </w:r>
      <w:r>
        <w:rPr>
          <w:rFonts w:hint="eastAsia" w:ascii="宋体" w:hAnsi="宋体" w:cs="宋体"/>
          <w:color w:val="auto"/>
          <w:szCs w:val="21"/>
          <w:highlight w:val="none"/>
          <w:u w:val="single"/>
          <w:lang w:eastAsia="zh-CN"/>
        </w:rPr>
        <w:t>；</w:t>
      </w:r>
    </w:p>
    <w:p w14:paraId="430A2349">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2.2 </w:t>
      </w:r>
      <w:r>
        <w:rPr>
          <w:rFonts w:hint="eastAsia" w:ascii="宋体" w:hAnsi="宋体" w:cs="宋体"/>
          <w:color w:val="auto"/>
          <w:szCs w:val="21"/>
          <w:highlight w:val="none"/>
        </w:rPr>
        <w:t>监理</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相关服务依据</w:t>
      </w:r>
    </w:p>
    <w:p w14:paraId="5EF31F8B">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2.2.1 </w:t>
      </w:r>
      <w:r>
        <w:rPr>
          <w:rFonts w:hint="eastAsia" w:ascii="宋体" w:hAnsi="宋体" w:cs="宋体"/>
          <w:color w:val="auto"/>
          <w:szCs w:val="21"/>
          <w:highlight w:val="none"/>
        </w:rPr>
        <w:t>依据包括：</w:t>
      </w:r>
      <w:r>
        <w:rPr>
          <w:rFonts w:hint="eastAsia" w:ascii="宋体" w:hAnsi="宋体" w:cs="宋体"/>
          <w:color w:val="auto"/>
          <w:szCs w:val="21"/>
          <w:highlight w:val="none"/>
          <w:u w:val="single"/>
        </w:rPr>
        <w:t>（</w:t>
      </w:r>
      <w:r>
        <w:rPr>
          <w:rFonts w:ascii="宋体" w:hAnsi="宋体" w:cs="宋体"/>
          <w:color w:val="auto"/>
          <w:szCs w:val="21"/>
          <w:highlight w:val="none"/>
          <w:u w:val="single"/>
        </w:rPr>
        <w:t>1</w:t>
      </w:r>
      <w:r>
        <w:rPr>
          <w:rFonts w:hint="eastAsia" w:ascii="宋体" w:hAnsi="宋体" w:cs="宋体"/>
          <w:color w:val="auto"/>
          <w:szCs w:val="21"/>
          <w:highlight w:val="none"/>
          <w:u w:val="single"/>
        </w:rPr>
        <w:t>）适用的法律、行政法规及部门规章；（</w:t>
      </w:r>
      <w:r>
        <w:rPr>
          <w:rFonts w:ascii="宋体" w:hAnsi="宋体" w:cs="宋体"/>
          <w:color w:val="auto"/>
          <w:szCs w:val="21"/>
          <w:highlight w:val="none"/>
          <w:u w:val="single"/>
        </w:rPr>
        <w:t>2</w:t>
      </w:r>
      <w:r>
        <w:rPr>
          <w:rFonts w:hint="eastAsia" w:ascii="宋体" w:hAnsi="宋体" w:cs="宋体"/>
          <w:color w:val="auto"/>
          <w:szCs w:val="21"/>
          <w:highlight w:val="none"/>
          <w:u w:val="single"/>
        </w:rPr>
        <w:t>）与工程有关的标准；（</w:t>
      </w:r>
      <w:r>
        <w:rPr>
          <w:rFonts w:ascii="宋体" w:hAnsi="宋体" w:cs="宋体"/>
          <w:color w:val="auto"/>
          <w:szCs w:val="21"/>
          <w:highlight w:val="none"/>
          <w:u w:val="single"/>
        </w:rPr>
        <w:t>3</w:t>
      </w:r>
      <w:r>
        <w:rPr>
          <w:rFonts w:hint="eastAsia" w:ascii="宋体" w:hAnsi="宋体" w:cs="宋体"/>
          <w:color w:val="auto"/>
          <w:szCs w:val="21"/>
          <w:highlight w:val="none"/>
          <w:u w:val="single"/>
        </w:rPr>
        <w:t>）工程设计及有关文件；（</w:t>
      </w:r>
      <w:r>
        <w:rPr>
          <w:rFonts w:ascii="宋体" w:hAnsi="宋体" w:cs="宋体"/>
          <w:color w:val="auto"/>
          <w:szCs w:val="21"/>
          <w:highlight w:val="none"/>
          <w:u w:val="single"/>
        </w:rPr>
        <w:t>4</w:t>
      </w:r>
      <w:r>
        <w:rPr>
          <w:rFonts w:hint="eastAsia" w:ascii="宋体" w:hAnsi="宋体" w:cs="宋体"/>
          <w:color w:val="auto"/>
          <w:szCs w:val="21"/>
          <w:highlight w:val="none"/>
          <w:u w:val="single"/>
        </w:rPr>
        <w:t>）本合同及委托人与第三方签订的与实施工程有关的其他合同。</w:t>
      </w:r>
    </w:p>
    <w:p w14:paraId="3B294956">
      <w:pPr>
        <w:adjustRightInd w:val="0"/>
        <w:snapToGrid w:val="0"/>
        <w:spacing w:line="440" w:lineRule="exact"/>
        <w:ind w:firstLine="420" w:firstLineChars="200"/>
        <w:jc w:val="left"/>
        <w:rPr>
          <w:rFonts w:ascii="宋体" w:cs="宋体"/>
          <w:dstrike/>
          <w:color w:val="auto"/>
          <w:szCs w:val="21"/>
          <w:highlight w:val="none"/>
        </w:rPr>
      </w:pPr>
      <w:r>
        <w:rPr>
          <w:rFonts w:ascii="宋体" w:hAnsi="宋体" w:cs="宋体"/>
          <w:color w:val="auto"/>
          <w:szCs w:val="21"/>
          <w:highlight w:val="none"/>
        </w:rPr>
        <w:t xml:space="preserve">2.2.2 </w:t>
      </w:r>
      <w:r>
        <w:rPr>
          <w:rFonts w:hint="eastAsia" w:ascii="宋体" w:hAnsi="宋体" w:cs="宋体"/>
          <w:color w:val="auto"/>
          <w:szCs w:val="21"/>
          <w:highlight w:val="none"/>
        </w:rPr>
        <w:t>相关服务依据包括：</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346C250B">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2.3</w:t>
      </w:r>
      <w:r>
        <w:rPr>
          <w:rFonts w:hint="eastAsia" w:ascii="宋体" w:hAnsi="宋体" w:cs="宋体"/>
          <w:color w:val="auto"/>
          <w:kern w:val="0"/>
          <w:szCs w:val="21"/>
          <w:highlight w:val="none"/>
        </w:rPr>
        <w:t>项目机构和人员</w:t>
      </w:r>
    </w:p>
    <w:p w14:paraId="7C46A262">
      <w:pPr>
        <w:keepNext w:val="0"/>
        <w:keepLines w:val="0"/>
        <w:pageBreakBefore w:val="0"/>
        <w:kinsoku/>
        <w:overflowPunct/>
        <w:autoSpaceDE/>
        <w:autoSpaceDN/>
        <w:bidi w:val="0"/>
        <w:spacing w:line="500" w:lineRule="exact"/>
        <w:ind w:firstLine="420" w:firstLineChars="200"/>
        <w:textAlignment w:val="auto"/>
        <w:rPr>
          <w:rFonts w:hint="eastAsia" w:ascii="宋体" w:hAnsi="宋体" w:eastAsia="宋体" w:cs="宋体"/>
          <w:color w:val="auto"/>
          <w:sz w:val="21"/>
          <w:szCs w:val="21"/>
          <w:highlight w:val="none"/>
          <w:u w:val="single"/>
        </w:rPr>
      </w:pPr>
      <w:r>
        <w:rPr>
          <w:rFonts w:ascii="宋体" w:hAnsi="宋体" w:cs="宋体"/>
          <w:color w:val="auto"/>
          <w:szCs w:val="21"/>
          <w:highlight w:val="none"/>
        </w:rPr>
        <w:t xml:space="preserve">2.3.4 </w:t>
      </w:r>
      <w:r>
        <w:rPr>
          <w:rFonts w:hint="eastAsia" w:ascii="宋体" w:hAnsi="宋体" w:cs="宋体"/>
          <w:color w:val="auto"/>
          <w:kern w:val="0"/>
          <w:szCs w:val="21"/>
          <w:highlight w:val="none"/>
        </w:rPr>
        <w:t>更换监理人员的其他情形：</w:t>
      </w:r>
      <w:r>
        <w:rPr>
          <w:rFonts w:hint="eastAsia" w:ascii="宋体" w:hAnsi="宋体" w:cs="宋体"/>
          <w:color w:val="auto"/>
          <w:kern w:val="0"/>
          <w:szCs w:val="21"/>
          <w:highlight w:val="none"/>
          <w:u w:val="single"/>
        </w:rPr>
        <w:t>工程开工进场后</w:t>
      </w:r>
      <w:r>
        <w:rPr>
          <w:rFonts w:hint="eastAsia" w:ascii="宋体" w:hAnsi="宋体" w:cs="宋体"/>
          <w:b/>
          <w:bCs/>
          <w:color w:val="auto"/>
          <w:kern w:val="0"/>
          <w:szCs w:val="21"/>
          <w:highlight w:val="none"/>
          <w:u w:val="single"/>
        </w:rPr>
        <w:t>（根据施工实际需要安排，按照经批准的人员进场）</w:t>
      </w:r>
      <w:r>
        <w:rPr>
          <w:rFonts w:hint="eastAsia" w:ascii="宋体" w:hAnsi="宋体" w:cs="宋体"/>
          <w:bCs/>
          <w:color w:val="auto"/>
          <w:szCs w:val="21"/>
          <w:highlight w:val="none"/>
          <w:u w:val="single"/>
        </w:rPr>
        <w:t>，</w:t>
      </w:r>
      <w:r>
        <w:rPr>
          <w:rFonts w:hint="eastAsia" w:ascii="宋体" w:hAnsi="宋体" w:cs="宋体"/>
          <w:bCs/>
          <w:color w:val="auto"/>
          <w:sz w:val="21"/>
          <w:szCs w:val="21"/>
          <w:highlight w:val="none"/>
          <w:u w:val="single"/>
          <w:lang w:val="en-US" w:eastAsia="zh-CN"/>
        </w:rPr>
        <w:t>受托人</w:t>
      </w:r>
      <w:r>
        <w:rPr>
          <w:rFonts w:hint="eastAsia" w:ascii="宋体" w:hAnsi="宋体" w:eastAsia="宋体" w:cs="宋体"/>
          <w:bCs/>
          <w:color w:val="auto"/>
          <w:sz w:val="21"/>
          <w:szCs w:val="21"/>
          <w:highlight w:val="none"/>
          <w:u w:val="single"/>
        </w:rPr>
        <w:t>必须按招标文件要求和投标承诺配备</w:t>
      </w:r>
      <w:r>
        <w:rPr>
          <w:rFonts w:hint="eastAsia" w:ascii="宋体" w:hAnsi="宋体" w:cs="宋体"/>
          <w:color w:val="auto"/>
          <w:sz w:val="21"/>
          <w:szCs w:val="21"/>
          <w:highlight w:val="none"/>
          <w:u w:val="single"/>
          <w:lang w:val="en-US" w:eastAsia="zh-CN"/>
        </w:rPr>
        <w:t>总监理工程师</w:t>
      </w:r>
      <w:r>
        <w:rPr>
          <w:rFonts w:hint="eastAsia" w:ascii="宋体" w:hAnsi="宋体" w:eastAsia="宋体" w:cs="宋体"/>
          <w:bCs/>
          <w:color w:val="auto"/>
          <w:sz w:val="21"/>
          <w:szCs w:val="21"/>
          <w:highlight w:val="none"/>
          <w:u w:val="single"/>
        </w:rPr>
        <w:t>、专业监理工程师、监理员等监理部关键岗位人员。未经发包人同意，不得更换上述人员</w:t>
      </w:r>
      <w:r>
        <w:rPr>
          <w:rFonts w:hint="eastAsia" w:ascii="宋体" w:hAnsi="宋体" w:eastAsia="宋体" w:cs="宋体"/>
          <w:color w:val="auto"/>
          <w:sz w:val="21"/>
          <w:szCs w:val="21"/>
          <w:highlight w:val="none"/>
          <w:u w:val="single"/>
        </w:rPr>
        <w:t>。确需变更的应提前7日向发包人提出书面申请。委托人因</w:t>
      </w:r>
      <w:r>
        <w:rPr>
          <w:rFonts w:hint="eastAsia" w:ascii="宋体" w:hAnsi="宋体" w:eastAsia="宋体" w:cs="宋体"/>
          <w:color w:val="auto"/>
          <w:sz w:val="21"/>
          <w:szCs w:val="21"/>
          <w:highlight w:val="none"/>
          <w:u w:val="single"/>
          <w:lang w:val="en-US" w:eastAsia="zh-CN"/>
        </w:rPr>
        <w:t>受托人</w:t>
      </w:r>
      <w:r>
        <w:rPr>
          <w:rFonts w:hint="eastAsia" w:ascii="宋体" w:hAnsi="宋体" w:eastAsia="宋体" w:cs="宋体"/>
          <w:color w:val="auto"/>
          <w:sz w:val="21"/>
          <w:szCs w:val="21"/>
          <w:highlight w:val="none"/>
          <w:u w:val="single"/>
        </w:rPr>
        <w:t>所派人员管理能力不善未能满足相关服务而要求更换人员的，</w:t>
      </w:r>
      <w:r>
        <w:rPr>
          <w:rFonts w:hint="eastAsia" w:ascii="宋体" w:hAnsi="宋体" w:eastAsia="宋体" w:cs="宋体"/>
          <w:color w:val="auto"/>
          <w:sz w:val="21"/>
          <w:szCs w:val="21"/>
          <w:highlight w:val="none"/>
          <w:u w:val="single"/>
          <w:lang w:val="en-US" w:eastAsia="zh-CN"/>
        </w:rPr>
        <w:t>受托人</w:t>
      </w:r>
      <w:r>
        <w:rPr>
          <w:rFonts w:hint="eastAsia" w:ascii="宋体" w:hAnsi="宋体" w:eastAsia="宋体" w:cs="宋体"/>
          <w:color w:val="auto"/>
          <w:sz w:val="21"/>
          <w:szCs w:val="21"/>
          <w:highlight w:val="none"/>
          <w:u w:val="single"/>
        </w:rPr>
        <w:t>必须无条件更换，同时委托人将处予</w:t>
      </w:r>
      <w:r>
        <w:rPr>
          <w:rFonts w:hint="eastAsia" w:ascii="宋体" w:hAnsi="宋体" w:eastAsia="宋体" w:cs="宋体"/>
          <w:color w:val="auto"/>
          <w:sz w:val="21"/>
          <w:szCs w:val="21"/>
          <w:highlight w:val="none"/>
          <w:u w:val="single"/>
          <w:lang w:val="en-US" w:eastAsia="zh-CN"/>
        </w:rPr>
        <w:t>受托人</w:t>
      </w:r>
      <w:r>
        <w:rPr>
          <w:rFonts w:hint="eastAsia" w:ascii="宋体" w:hAnsi="宋体" w:eastAsia="宋体" w:cs="宋体"/>
          <w:color w:val="auto"/>
          <w:sz w:val="21"/>
          <w:szCs w:val="21"/>
          <w:highlight w:val="none"/>
          <w:u w:val="single"/>
        </w:rPr>
        <w:t>一定的违约金。违约金标准如下：a、更换总监理工程师将处以每人</w:t>
      </w:r>
      <w:r>
        <w:rPr>
          <w:rFonts w:hint="eastAsia" w:ascii="宋体" w:hAnsi="宋体" w:eastAsia="宋体" w:cs="宋体"/>
          <w:color w:val="auto"/>
          <w:sz w:val="21"/>
          <w:szCs w:val="21"/>
          <w:highlight w:val="none"/>
          <w:u w:val="single"/>
        </w:rPr>
        <w:t>每次</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rPr>
        <w:t>万元</w:t>
      </w:r>
      <w:r>
        <w:rPr>
          <w:rFonts w:hint="eastAsia" w:ascii="宋体" w:hAnsi="宋体" w:eastAsia="宋体" w:cs="宋体"/>
          <w:color w:val="auto"/>
          <w:sz w:val="21"/>
          <w:szCs w:val="21"/>
          <w:highlight w:val="none"/>
          <w:u w:val="single"/>
        </w:rPr>
        <w:t>作为违约金且委托人有权终止合同；b、更换专业监理工程师的将处以每人每次10万元作为违约金，更换2人（含2人）以上的，委托人有权终止合同，并没收履约保证金。c、更换其他监理人员的将处以每人每次5万元作为违约金，更换2人（含2人）以上的，委托人有权终止合同，并没收履约保证金。</w:t>
      </w:r>
    </w:p>
    <w:p w14:paraId="111174CB">
      <w:pPr>
        <w:keepNext w:val="0"/>
        <w:keepLines w:val="0"/>
        <w:pageBreakBefore w:val="0"/>
        <w:kinsoku/>
        <w:overflowPunct/>
        <w:autoSpaceDE/>
        <w:autoSpaceDN/>
        <w:bidi w:val="0"/>
        <w:spacing w:line="50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val="en-US" w:eastAsia="zh-CN"/>
        </w:rPr>
        <w:t>总监理工程师</w:t>
      </w:r>
      <w:r>
        <w:rPr>
          <w:rFonts w:hint="eastAsia" w:ascii="宋体" w:hAnsi="宋体" w:eastAsia="宋体" w:cs="宋体"/>
          <w:color w:val="auto"/>
          <w:sz w:val="21"/>
          <w:szCs w:val="21"/>
          <w:highlight w:val="none"/>
          <w:u w:val="single"/>
        </w:rPr>
        <w:t>变更必须经委托人批准，总监除亡故、重大疾病、出国、辞职等原因外，原则上不得变更。其中</w:t>
      </w:r>
      <w:r>
        <w:rPr>
          <w:rFonts w:hint="default" w:ascii="宋体" w:hAnsi="宋体" w:eastAsia="宋体" w:cs="宋体"/>
          <w:color w:val="auto"/>
          <w:sz w:val="21"/>
          <w:szCs w:val="21"/>
          <w:highlight w:val="none"/>
          <w:u w:val="single"/>
        </w:rPr>
        <w:t>①</w:t>
      </w:r>
      <w:r>
        <w:rPr>
          <w:rFonts w:hint="eastAsia" w:ascii="宋体" w:hAnsi="宋体" w:eastAsia="宋体" w:cs="宋体"/>
          <w:color w:val="auto"/>
          <w:sz w:val="21"/>
          <w:szCs w:val="21"/>
          <w:highlight w:val="none"/>
          <w:u w:val="single"/>
        </w:rPr>
        <w:t>亡故的需提供公安部门开具的死亡证明</w:t>
      </w:r>
      <w:r>
        <w:rPr>
          <w:rFonts w:hint="eastAsia" w:ascii="宋体" w:hAnsi="宋体" w:eastAsia="宋体" w:cs="宋体"/>
          <w:color w:val="auto"/>
          <w:sz w:val="21"/>
          <w:szCs w:val="21"/>
          <w:highlight w:val="none"/>
          <w:u w:val="single"/>
          <w:lang w:eastAsia="zh-CN"/>
        </w:rPr>
        <w:t>；</w:t>
      </w:r>
      <w:r>
        <w:rPr>
          <w:rFonts w:hint="default" w:ascii="宋体" w:hAnsi="宋体" w:eastAsia="宋体" w:cs="宋体"/>
          <w:color w:val="auto"/>
          <w:sz w:val="21"/>
          <w:szCs w:val="21"/>
          <w:highlight w:val="none"/>
          <w:u w:val="single"/>
          <w:lang w:eastAsia="zh-CN"/>
        </w:rPr>
        <w:t>②</w:t>
      </w:r>
      <w:r>
        <w:rPr>
          <w:rFonts w:hint="eastAsia" w:ascii="宋体" w:hAnsi="宋体" w:eastAsia="宋体" w:cs="宋体"/>
          <w:color w:val="auto"/>
          <w:sz w:val="21"/>
          <w:szCs w:val="21"/>
          <w:highlight w:val="none"/>
          <w:u w:val="single"/>
        </w:rPr>
        <w:t>重大疾病的需提供三甲及以上医院证明</w:t>
      </w:r>
      <w:r>
        <w:rPr>
          <w:rFonts w:hint="eastAsia" w:ascii="宋体" w:hAnsi="宋体" w:cs="宋体"/>
          <w:color w:val="auto"/>
          <w:sz w:val="21"/>
          <w:szCs w:val="21"/>
          <w:highlight w:val="none"/>
          <w:u w:val="single"/>
          <w:lang w:eastAsia="zh-CN"/>
        </w:rPr>
        <w:t>；</w:t>
      </w:r>
      <w:r>
        <w:rPr>
          <w:rFonts w:hint="default" w:ascii="宋体" w:hAnsi="宋体" w:eastAsia="宋体" w:cs="宋体"/>
          <w:color w:val="auto"/>
          <w:sz w:val="21"/>
          <w:szCs w:val="21"/>
          <w:highlight w:val="none"/>
          <w:u w:val="single"/>
          <w:lang w:eastAsia="zh-CN"/>
        </w:rPr>
        <w:t>③</w:t>
      </w:r>
      <w:r>
        <w:rPr>
          <w:rFonts w:hint="eastAsia" w:ascii="宋体" w:hAnsi="宋体" w:eastAsia="宋体" w:cs="宋体"/>
          <w:color w:val="auto"/>
          <w:sz w:val="21"/>
          <w:szCs w:val="21"/>
          <w:highlight w:val="none"/>
          <w:u w:val="single"/>
        </w:rPr>
        <w:t>出国、辞职等原因提出变更的，需提供相关证明</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上述</w:t>
      </w:r>
      <w:r>
        <w:rPr>
          <w:rFonts w:hint="default" w:ascii="宋体" w:hAnsi="宋体" w:eastAsia="宋体" w:cs="宋体"/>
          <w:color w:val="auto"/>
          <w:sz w:val="21"/>
          <w:szCs w:val="21"/>
          <w:highlight w:val="none"/>
          <w:u w:val="single"/>
          <w:lang w:eastAsia="zh-CN"/>
        </w:rPr>
        <w:t>②</w:t>
      </w:r>
      <w:r>
        <w:rPr>
          <w:rFonts w:hint="eastAsia" w:ascii="宋体" w:hAnsi="宋体" w:cs="宋体"/>
          <w:color w:val="auto"/>
          <w:sz w:val="21"/>
          <w:szCs w:val="21"/>
          <w:highlight w:val="none"/>
          <w:u w:val="single"/>
          <w:lang w:val="en-US" w:eastAsia="zh-CN"/>
        </w:rPr>
        <w:t>和</w:t>
      </w:r>
      <w:r>
        <w:rPr>
          <w:rFonts w:hint="default" w:ascii="宋体" w:hAnsi="宋体" w:eastAsia="宋体" w:cs="宋体"/>
          <w:color w:val="auto"/>
          <w:sz w:val="21"/>
          <w:szCs w:val="21"/>
          <w:highlight w:val="none"/>
          <w:u w:val="single"/>
          <w:lang w:eastAsia="zh-CN"/>
        </w:rPr>
        <w:t>③</w:t>
      </w:r>
      <w:r>
        <w:rPr>
          <w:rFonts w:hint="eastAsia" w:ascii="宋体" w:hAnsi="宋体" w:cs="宋体"/>
          <w:color w:val="auto"/>
          <w:sz w:val="21"/>
          <w:szCs w:val="21"/>
          <w:highlight w:val="none"/>
          <w:u w:val="single"/>
          <w:lang w:val="en-US" w:eastAsia="zh-CN"/>
        </w:rPr>
        <w:t>变更除需提供相关证明外，均</w:t>
      </w:r>
      <w:r>
        <w:rPr>
          <w:rFonts w:hint="eastAsia" w:ascii="宋体" w:hAnsi="宋体" w:eastAsia="宋体" w:cs="宋体"/>
          <w:color w:val="auto"/>
          <w:sz w:val="21"/>
          <w:szCs w:val="21"/>
          <w:highlight w:val="none"/>
          <w:u w:val="single"/>
        </w:rPr>
        <w:t>须缴</w:t>
      </w:r>
      <w:r>
        <w:rPr>
          <w:rFonts w:hint="eastAsia" w:ascii="宋体" w:hAnsi="宋体" w:eastAsia="宋体" w:cs="宋体"/>
          <w:color w:val="auto"/>
          <w:sz w:val="21"/>
          <w:szCs w:val="21"/>
          <w:highlight w:val="none"/>
          <w:u w:val="single"/>
        </w:rPr>
        <w:t>纳</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rPr>
        <w:t>万元违约</w:t>
      </w:r>
      <w:r>
        <w:rPr>
          <w:rFonts w:hint="eastAsia" w:ascii="宋体" w:hAnsi="宋体" w:eastAsia="宋体" w:cs="宋体"/>
          <w:color w:val="auto"/>
          <w:sz w:val="21"/>
          <w:szCs w:val="21"/>
          <w:highlight w:val="none"/>
          <w:u w:val="single"/>
        </w:rPr>
        <w:t>金</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否则不得变更。更换后的</w:t>
      </w:r>
      <w:r>
        <w:rPr>
          <w:rFonts w:hint="eastAsia" w:ascii="宋体" w:hAnsi="宋体" w:cs="宋体"/>
          <w:color w:val="auto"/>
          <w:sz w:val="21"/>
          <w:szCs w:val="21"/>
          <w:highlight w:val="none"/>
          <w:u w:val="single"/>
          <w:lang w:val="en-US" w:eastAsia="zh-CN"/>
        </w:rPr>
        <w:t>总监理工程师</w:t>
      </w:r>
      <w:r>
        <w:rPr>
          <w:rFonts w:hint="eastAsia" w:ascii="宋体" w:hAnsi="宋体" w:eastAsia="宋体" w:cs="宋体"/>
          <w:color w:val="auto"/>
          <w:sz w:val="21"/>
          <w:szCs w:val="21"/>
          <w:highlight w:val="none"/>
          <w:u w:val="single"/>
        </w:rPr>
        <w:t>的资格、业绩等不得低于更换前的要求。</w:t>
      </w:r>
    </w:p>
    <w:p w14:paraId="3D42B06B">
      <w:pPr>
        <w:keepNext w:val="0"/>
        <w:keepLines w:val="0"/>
        <w:pageBreakBefore w:val="0"/>
        <w:kinsoku/>
        <w:overflowPunct/>
        <w:autoSpaceDE/>
        <w:autoSpaceDN/>
        <w:bidi w:val="0"/>
        <w:spacing w:line="500" w:lineRule="exact"/>
        <w:ind w:firstLine="420" w:firstLineChars="200"/>
        <w:textAlignment w:val="auto"/>
        <w:rPr>
          <w:rFonts w:hint="eastAsia" w:ascii="宋体" w:hAnsi="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专业监理工程师</w:t>
      </w:r>
      <w:r>
        <w:rPr>
          <w:rFonts w:hint="eastAsia" w:ascii="宋体" w:hAnsi="宋体" w:eastAsia="宋体" w:cs="宋体"/>
          <w:color w:val="auto"/>
          <w:sz w:val="21"/>
          <w:szCs w:val="21"/>
          <w:highlight w:val="none"/>
          <w:u w:val="single"/>
        </w:rPr>
        <w:t>变更必须经委托人批准，</w:t>
      </w:r>
      <w:r>
        <w:rPr>
          <w:rFonts w:hint="eastAsia" w:ascii="宋体" w:hAnsi="宋体" w:cs="宋体"/>
          <w:color w:val="auto"/>
          <w:sz w:val="21"/>
          <w:szCs w:val="21"/>
          <w:highlight w:val="none"/>
          <w:u w:val="single"/>
          <w:lang w:val="en-US" w:eastAsia="zh-CN"/>
        </w:rPr>
        <w:t>专业监理工程师</w:t>
      </w:r>
      <w:r>
        <w:rPr>
          <w:rFonts w:hint="eastAsia" w:ascii="宋体" w:hAnsi="宋体" w:eastAsia="宋体" w:cs="宋体"/>
          <w:color w:val="auto"/>
          <w:sz w:val="21"/>
          <w:szCs w:val="21"/>
          <w:highlight w:val="none"/>
          <w:u w:val="single"/>
        </w:rPr>
        <w:t>除亡故、重大疾病、出国、辞职等原因外，原则上不得变更。其中</w:t>
      </w:r>
      <w:r>
        <w:rPr>
          <w:rFonts w:hint="default" w:ascii="宋体" w:hAnsi="宋体" w:eastAsia="宋体" w:cs="宋体"/>
          <w:color w:val="auto"/>
          <w:sz w:val="21"/>
          <w:szCs w:val="21"/>
          <w:highlight w:val="none"/>
          <w:u w:val="single"/>
        </w:rPr>
        <w:t>①</w:t>
      </w:r>
      <w:r>
        <w:rPr>
          <w:rFonts w:hint="eastAsia" w:ascii="宋体" w:hAnsi="宋体" w:eastAsia="宋体" w:cs="宋体"/>
          <w:color w:val="auto"/>
          <w:sz w:val="21"/>
          <w:szCs w:val="21"/>
          <w:highlight w:val="none"/>
          <w:u w:val="single"/>
        </w:rPr>
        <w:t>亡故的需提供公安部门开具的死亡证明</w:t>
      </w:r>
      <w:r>
        <w:rPr>
          <w:rFonts w:hint="eastAsia" w:ascii="宋体" w:hAnsi="宋体" w:eastAsia="宋体" w:cs="宋体"/>
          <w:color w:val="auto"/>
          <w:sz w:val="21"/>
          <w:szCs w:val="21"/>
          <w:highlight w:val="none"/>
          <w:u w:val="single"/>
          <w:lang w:eastAsia="zh-CN"/>
        </w:rPr>
        <w:t>；</w:t>
      </w:r>
      <w:r>
        <w:rPr>
          <w:rFonts w:hint="default" w:ascii="宋体" w:hAnsi="宋体" w:eastAsia="宋体" w:cs="宋体"/>
          <w:color w:val="auto"/>
          <w:sz w:val="21"/>
          <w:szCs w:val="21"/>
          <w:highlight w:val="none"/>
          <w:u w:val="single"/>
          <w:lang w:eastAsia="zh-CN"/>
        </w:rPr>
        <w:t>②</w:t>
      </w:r>
      <w:r>
        <w:rPr>
          <w:rFonts w:hint="eastAsia" w:ascii="宋体" w:hAnsi="宋体" w:eastAsia="宋体" w:cs="宋体"/>
          <w:color w:val="auto"/>
          <w:sz w:val="21"/>
          <w:szCs w:val="21"/>
          <w:highlight w:val="none"/>
          <w:u w:val="single"/>
        </w:rPr>
        <w:t>重大疾病的需提供三甲及以上医院证明</w:t>
      </w:r>
      <w:r>
        <w:rPr>
          <w:rFonts w:hint="eastAsia" w:ascii="宋体" w:hAnsi="宋体" w:cs="宋体"/>
          <w:color w:val="auto"/>
          <w:sz w:val="21"/>
          <w:szCs w:val="21"/>
          <w:highlight w:val="none"/>
          <w:u w:val="single"/>
          <w:lang w:eastAsia="zh-CN"/>
        </w:rPr>
        <w:t>；</w:t>
      </w:r>
      <w:r>
        <w:rPr>
          <w:rFonts w:hint="default" w:ascii="宋体" w:hAnsi="宋体" w:eastAsia="宋体" w:cs="宋体"/>
          <w:color w:val="auto"/>
          <w:sz w:val="21"/>
          <w:szCs w:val="21"/>
          <w:highlight w:val="none"/>
          <w:u w:val="single"/>
          <w:lang w:eastAsia="zh-CN"/>
        </w:rPr>
        <w:t>③</w:t>
      </w:r>
      <w:r>
        <w:rPr>
          <w:rFonts w:hint="eastAsia" w:ascii="宋体" w:hAnsi="宋体" w:eastAsia="宋体" w:cs="宋体"/>
          <w:color w:val="auto"/>
          <w:sz w:val="21"/>
          <w:szCs w:val="21"/>
          <w:highlight w:val="none"/>
          <w:u w:val="single"/>
        </w:rPr>
        <w:t>出国、辞职等原因提出变更的，需提供相关证明</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上述</w:t>
      </w:r>
      <w:r>
        <w:rPr>
          <w:rFonts w:hint="default" w:ascii="宋体" w:hAnsi="宋体" w:eastAsia="宋体" w:cs="宋体"/>
          <w:color w:val="auto"/>
          <w:sz w:val="21"/>
          <w:szCs w:val="21"/>
          <w:highlight w:val="none"/>
          <w:u w:val="single"/>
          <w:lang w:eastAsia="zh-CN"/>
        </w:rPr>
        <w:t>②</w:t>
      </w:r>
      <w:r>
        <w:rPr>
          <w:rFonts w:hint="eastAsia" w:ascii="宋体" w:hAnsi="宋体" w:cs="宋体"/>
          <w:color w:val="auto"/>
          <w:sz w:val="21"/>
          <w:szCs w:val="21"/>
          <w:highlight w:val="none"/>
          <w:u w:val="single"/>
          <w:lang w:val="en-US" w:eastAsia="zh-CN"/>
        </w:rPr>
        <w:t>和</w:t>
      </w:r>
      <w:r>
        <w:rPr>
          <w:rFonts w:hint="default" w:ascii="宋体" w:hAnsi="宋体" w:eastAsia="宋体" w:cs="宋体"/>
          <w:color w:val="auto"/>
          <w:sz w:val="21"/>
          <w:szCs w:val="21"/>
          <w:highlight w:val="none"/>
          <w:u w:val="single"/>
          <w:lang w:eastAsia="zh-CN"/>
        </w:rPr>
        <w:t>③</w:t>
      </w:r>
      <w:r>
        <w:rPr>
          <w:rFonts w:hint="eastAsia" w:ascii="宋体" w:hAnsi="宋体" w:cs="宋体"/>
          <w:color w:val="auto"/>
          <w:sz w:val="21"/>
          <w:szCs w:val="21"/>
          <w:highlight w:val="none"/>
          <w:u w:val="single"/>
          <w:lang w:val="en-US" w:eastAsia="zh-CN"/>
        </w:rPr>
        <w:t>变更除需提供相关证明外，均</w:t>
      </w:r>
      <w:r>
        <w:rPr>
          <w:rFonts w:hint="eastAsia" w:ascii="宋体" w:hAnsi="宋体" w:eastAsia="宋体" w:cs="宋体"/>
          <w:color w:val="auto"/>
          <w:sz w:val="21"/>
          <w:szCs w:val="21"/>
          <w:highlight w:val="none"/>
          <w:u w:val="single"/>
        </w:rPr>
        <w:t>须缴纳</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万元违约金</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否则不得变更。更换后的</w:t>
      </w:r>
      <w:r>
        <w:rPr>
          <w:rFonts w:hint="eastAsia" w:ascii="宋体" w:hAnsi="宋体" w:cs="宋体"/>
          <w:color w:val="auto"/>
          <w:sz w:val="21"/>
          <w:szCs w:val="21"/>
          <w:highlight w:val="none"/>
          <w:u w:val="single"/>
          <w:lang w:val="en-US" w:eastAsia="zh-CN"/>
        </w:rPr>
        <w:t>专业监理工程师的资格、业绩等不得低于更换前的要求。</w:t>
      </w:r>
    </w:p>
    <w:p w14:paraId="7ECCE9C4">
      <w:pPr>
        <w:keepNext w:val="0"/>
        <w:keepLines w:val="0"/>
        <w:pageBreakBefore w:val="0"/>
        <w:kinsoku/>
        <w:overflowPunct/>
        <w:autoSpaceDE/>
        <w:autoSpaceDN/>
        <w:bidi w:val="0"/>
        <w:spacing w:line="500" w:lineRule="exact"/>
        <w:ind w:firstLine="420" w:firstLineChars="200"/>
        <w:textAlignment w:val="auto"/>
        <w:rPr>
          <w:rFonts w:ascii="宋体" w:cs="宋体"/>
          <w:b w:val="0"/>
          <w:bCs w:val="0"/>
          <w:color w:val="auto"/>
          <w:szCs w:val="21"/>
          <w:highlight w:val="none"/>
          <w:u w:val="single"/>
        </w:rPr>
      </w:pPr>
      <w:r>
        <w:rPr>
          <w:rFonts w:hint="eastAsia" w:ascii="宋体" w:hAnsi="宋体" w:eastAsia="宋体" w:cs="宋体"/>
          <w:color w:val="auto"/>
          <w:sz w:val="21"/>
          <w:szCs w:val="21"/>
          <w:highlight w:val="none"/>
          <w:u w:val="single"/>
        </w:rPr>
        <w:t>更换其</w:t>
      </w:r>
      <w:r>
        <w:rPr>
          <w:rFonts w:hint="eastAsia" w:ascii="宋体" w:hAnsi="宋体" w:eastAsia="宋体" w:cs="宋体"/>
          <w:b w:val="0"/>
          <w:bCs w:val="0"/>
          <w:color w:val="auto"/>
          <w:sz w:val="21"/>
          <w:szCs w:val="21"/>
          <w:highlight w:val="none"/>
          <w:u w:val="single"/>
        </w:rPr>
        <w:t>他监理人员，未经发包人同意，不得更换。确需变更的应提前7日向发包人提出书面申请</w:t>
      </w:r>
      <w:r>
        <w:rPr>
          <w:rFonts w:hint="eastAsia" w:ascii="宋体" w:hAnsi="宋体" w:eastAsia="宋体" w:cs="宋体"/>
          <w:b w:val="0"/>
          <w:bCs w:val="0"/>
          <w:color w:val="auto"/>
          <w:sz w:val="21"/>
          <w:szCs w:val="21"/>
          <w:highlight w:val="none"/>
          <w:u w:val="single"/>
          <w:lang w:eastAsia="zh-CN"/>
        </w:rPr>
        <w:t>，</w:t>
      </w:r>
      <w:r>
        <w:rPr>
          <w:rFonts w:hint="eastAsia" w:ascii="宋体" w:hAnsi="宋体" w:eastAsia="宋体" w:cs="宋体"/>
          <w:b w:val="0"/>
          <w:bCs w:val="0"/>
          <w:color w:val="auto"/>
          <w:sz w:val="21"/>
          <w:szCs w:val="21"/>
          <w:highlight w:val="none"/>
          <w:u w:val="single"/>
        </w:rPr>
        <w:t>同时对</w:t>
      </w:r>
      <w:r>
        <w:rPr>
          <w:rFonts w:hint="eastAsia" w:ascii="宋体" w:hAnsi="宋体" w:cs="宋体"/>
          <w:b w:val="0"/>
          <w:bCs w:val="0"/>
          <w:color w:val="auto"/>
          <w:szCs w:val="21"/>
          <w:highlight w:val="none"/>
          <w:lang w:val="en-US" w:eastAsia="zh-CN"/>
        </w:rPr>
        <w:t>受托人</w:t>
      </w:r>
      <w:r>
        <w:rPr>
          <w:rFonts w:hint="eastAsia" w:ascii="宋体" w:hAnsi="宋体" w:eastAsia="宋体" w:cs="宋体"/>
          <w:b w:val="0"/>
          <w:bCs w:val="0"/>
          <w:color w:val="auto"/>
          <w:sz w:val="21"/>
          <w:szCs w:val="21"/>
          <w:highlight w:val="none"/>
          <w:u w:val="single"/>
        </w:rPr>
        <w:t>将予以违约金处理</w:t>
      </w:r>
      <w:r>
        <w:rPr>
          <w:rFonts w:hint="eastAsia" w:ascii="宋体" w:hAnsi="宋体" w:cs="宋体"/>
          <w:b w:val="0"/>
          <w:bCs w:val="0"/>
          <w:color w:val="auto"/>
          <w:sz w:val="21"/>
          <w:szCs w:val="21"/>
          <w:highlight w:val="none"/>
          <w:u w:val="single"/>
          <w:lang w:eastAsia="zh-CN"/>
        </w:rPr>
        <w:t>。</w:t>
      </w:r>
      <w:r>
        <w:rPr>
          <w:rFonts w:hint="eastAsia" w:ascii="宋体" w:hAnsi="宋体" w:eastAsia="宋体" w:cs="宋体"/>
          <w:b w:val="0"/>
          <w:bCs w:val="0"/>
          <w:color w:val="auto"/>
          <w:sz w:val="21"/>
          <w:szCs w:val="21"/>
          <w:highlight w:val="none"/>
          <w:u w:val="single"/>
        </w:rPr>
        <w:t>委托人因</w:t>
      </w:r>
      <w:r>
        <w:rPr>
          <w:rFonts w:hint="eastAsia" w:ascii="宋体" w:hAnsi="宋体" w:eastAsia="宋体" w:cs="宋体"/>
          <w:b w:val="0"/>
          <w:bCs w:val="0"/>
          <w:color w:val="auto"/>
          <w:sz w:val="21"/>
          <w:szCs w:val="21"/>
          <w:highlight w:val="none"/>
          <w:u w:val="single"/>
          <w:lang w:val="en-US" w:eastAsia="zh-CN"/>
        </w:rPr>
        <w:t>受托人</w:t>
      </w:r>
      <w:r>
        <w:rPr>
          <w:rFonts w:hint="eastAsia" w:ascii="宋体" w:hAnsi="宋体" w:eastAsia="宋体" w:cs="宋体"/>
          <w:b w:val="0"/>
          <w:bCs w:val="0"/>
          <w:color w:val="auto"/>
          <w:sz w:val="21"/>
          <w:szCs w:val="21"/>
          <w:highlight w:val="none"/>
          <w:u w:val="single"/>
        </w:rPr>
        <w:t>所派人员管理能力不善未能满足相关服务而要求更换人员的，</w:t>
      </w:r>
      <w:r>
        <w:rPr>
          <w:rFonts w:hint="eastAsia" w:ascii="宋体" w:hAnsi="宋体" w:eastAsia="宋体" w:cs="宋体"/>
          <w:b w:val="0"/>
          <w:bCs w:val="0"/>
          <w:color w:val="auto"/>
          <w:sz w:val="21"/>
          <w:szCs w:val="21"/>
          <w:highlight w:val="none"/>
          <w:u w:val="single"/>
          <w:lang w:val="en-US" w:eastAsia="zh-CN"/>
        </w:rPr>
        <w:t>受托人</w:t>
      </w:r>
      <w:r>
        <w:rPr>
          <w:rFonts w:hint="eastAsia" w:ascii="宋体" w:hAnsi="宋体" w:eastAsia="宋体" w:cs="宋体"/>
          <w:b w:val="0"/>
          <w:bCs w:val="0"/>
          <w:color w:val="auto"/>
          <w:sz w:val="21"/>
          <w:szCs w:val="21"/>
          <w:highlight w:val="none"/>
          <w:u w:val="single"/>
        </w:rPr>
        <w:t>必须无条件更换，同时委托人将处予</w:t>
      </w:r>
      <w:r>
        <w:rPr>
          <w:rFonts w:hint="eastAsia" w:ascii="宋体" w:hAnsi="宋体" w:eastAsia="宋体" w:cs="宋体"/>
          <w:b w:val="0"/>
          <w:bCs w:val="0"/>
          <w:color w:val="auto"/>
          <w:sz w:val="21"/>
          <w:szCs w:val="21"/>
          <w:highlight w:val="none"/>
          <w:u w:val="single"/>
          <w:lang w:val="en-US" w:eastAsia="zh-CN"/>
        </w:rPr>
        <w:t>受托人</w:t>
      </w:r>
      <w:r>
        <w:rPr>
          <w:rFonts w:hint="eastAsia" w:ascii="宋体" w:hAnsi="宋体" w:eastAsia="宋体" w:cs="宋体"/>
          <w:b w:val="0"/>
          <w:bCs w:val="0"/>
          <w:color w:val="auto"/>
          <w:sz w:val="21"/>
          <w:szCs w:val="21"/>
          <w:highlight w:val="none"/>
          <w:u w:val="single"/>
        </w:rPr>
        <w:t>一定的违约金。</w:t>
      </w:r>
    </w:p>
    <w:p w14:paraId="3883841D">
      <w:pPr>
        <w:spacing w:line="440" w:lineRule="exact"/>
        <w:ind w:firstLine="420" w:firstLineChars="200"/>
        <w:jc w:val="left"/>
        <w:rPr>
          <w:rFonts w:ascii="宋体" w:cs="宋体"/>
          <w:b w:val="0"/>
          <w:bCs w:val="0"/>
          <w:color w:val="auto"/>
          <w:szCs w:val="21"/>
          <w:highlight w:val="none"/>
        </w:rPr>
      </w:pPr>
      <w:r>
        <w:rPr>
          <w:rFonts w:ascii="宋体" w:hAnsi="宋体" w:cs="宋体"/>
          <w:b w:val="0"/>
          <w:bCs w:val="0"/>
          <w:color w:val="auto"/>
          <w:szCs w:val="21"/>
          <w:highlight w:val="none"/>
        </w:rPr>
        <w:t xml:space="preserve">2.4 </w:t>
      </w:r>
      <w:r>
        <w:rPr>
          <w:rFonts w:hint="eastAsia" w:ascii="宋体" w:hAnsi="宋体" w:cs="宋体"/>
          <w:b w:val="0"/>
          <w:bCs w:val="0"/>
          <w:color w:val="auto"/>
          <w:kern w:val="0"/>
          <w:szCs w:val="21"/>
          <w:highlight w:val="none"/>
        </w:rPr>
        <w:t>履行职责</w:t>
      </w:r>
    </w:p>
    <w:p w14:paraId="3CAAE925">
      <w:pPr>
        <w:adjustRightInd w:val="0"/>
        <w:snapToGrid w:val="0"/>
        <w:spacing w:line="440" w:lineRule="exact"/>
        <w:ind w:firstLine="420" w:firstLineChars="200"/>
        <w:jc w:val="left"/>
        <w:rPr>
          <w:rFonts w:ascii="宋体" w:cs="宋体"/>
          <w:b w:val="0"/>
          <w:bCs w:val="0"/>
          <w:color w:val="auto"/>
          <w:szCs w:val="21"/>
          <w:highlight w:val="none"/>
        </w:rPr>
      </w:pPr>
      <w:r>
        <w:rPr>
          <w:rFonts w:ascii="宋体" w:hAnsi="宋体" w:cs="宋体"/>
          <w:b w:val="0"/>
          <w:bCs w:val="0"/>
          <w:color w:val="auto"/>
          <w:szCs w:val="21"/>
          <w:highlight w:val="none"/>
        </w:rPr>
        <w:t xml:space="preserve">2.4.3 </w:t>
      </w:r>
      <w:r>
        <w:rPr>
          <w:rFonts w:hint="eastAsia" w:ascii="宋体" w:hAnsi="宋体" w:cs="宋体"/>
          <w:b w:val="0"/>
          <w:bCs w:val="0"/>
          <w:color w:val="auto"/>
          <w:szCs w:val="21"/>
          <w:highlight w:val="none"/>
        </w:rPr>
        <w:t>对</w:t>
      </w:r>
      <w:r>
        <w:rPr>
          <w:rFonts w:hint="eastAsia" w:ascii="宋体" w:hAnsi="宋体" w:cs="宋体"/>
          <w:b w:val="0"/>
          <w:bCs w:val="0"/>
          <w:color w:val="auto"/>
          <w:szCs w:val="21"/>
          <w:highlight w:val="none"/>
          <w:lang w:val="en-US" w:eastAsia="zh-CN"/>
        </w:rPr>
        <w:t>受托人</w:t>
      </w:r>
      <w:r>
        <w:rPr>
          <w:rFonts w:hint="eastAsia" w:ascii="宋体" w:hAnsi="宋体" w:cs="宋体"/>
          <w:b w:val="0"/>
          <w:bCs w:val="0"/>
          <w:color w:val="auto"/>
          <w:szCs w:val="21"/>
          <w:highlight w:val="none"/>
        </w:rPr>
        <w:t>的授权范围：</w:t>
      </w:r>
      <w:r>
        <w:rPr>
          <w:rFonts w:hint="eastAsia" w:ascii="宋体" w:hAnsi="宋体" w:cs="宋体"/>
          <w:b w:val="0"/>
          <w:bCs w:val="0"/>
          <w:color w:val="auto"/>
          <w:szCs w:val="21"/>
          <w:highlight w:val="none"/>
          <w:u w:val="single"/>
        </w:rPr>
        <w:t>发布开工令、停工令、复工令权；工程质量的监督权；工程上使用的材料和施工质量检验权、确认权；工程施工进度、安全的检查、监督权、发包人授权的处罚权；工程款支付的审核权；向承包人提出施工组织设计和技术方案的建议权；发包人和承包人间的组织协调的主持权；撤换不合格的工程建设分包单位和注册建造师及有关人员的建议权；分包单位资质及能力的审查权；等等</w:t>
      </w:r>
      <w:r>
        <w:rPr>
          <w:rFonts w:hint="eastAsia" w:ascii="宋体" w:hAnsi="宋体" w:cs="宋体"/>
          <w:b w:val="0"/>
          <w:bCs w:val="0"/>
          <w:color w:val="auto"/>
          <w:szCs w:val="21"/>
          <w:highlight w:val="none"/>
        </w:rPr>
        <w:t>。</w:t>
      </w:r>
    </w:p>
    <w:p w14:paraId="0F79FDC9">
      <w:pPr>
        <w:pStyle w:val="23"/>
        <w:spacing w:line="440" w:lineRule="exact"/>
        <w:ind w:firstLine="420" w:firstLineChars="200"/>
        <w:jc w:val="left"/>
        <w:rPr>
          <w:rFonts w:ascii="宋体" w:cs="宋体"/>
          <w:b w:val="0"/>
          <w:bCs w:val="0"/>
          <w:color w:val="auto"/>
          <w:szCs w:val="21"/>
          <w:highlight w:val="none"/>
        </w:rPr>
      </w:pPr>
      <w:r>
        <w:rPr>
          <w:rFonts w:hint="eastAsia" w:ascii="宋体" w:hAnsi="宋体" w:cs="宋体"/>
          <w:b w:val="0"/>
          <w:bCs w:val="0"/>
          <w:color w:val="auto"/>
          <w:szCs w:val="21"/>
          <w:highlight w:val="none"/>
        </w:rPr>
        <w:t>在涉及工程延期或金额变更</w:t>
      </w:r>
      <w:r>
        <w:rPr>
          <w:rFonts w:hint="eastAsia" w:ascii="宋体" w:hAnsi="宋体" w:cs="宋体"/>
          <w:b w:val="0"/>
          <w:bCs w:val="0"/>
          <w:color w:val="auto"/>
          <w:szCs w:val="21"/>
          <w:highlight w:val="none"/>
          <w:lang w:val="en-US" w:eastAsia="zh-CN"/>
        </w:rPr>
        <w:t>的，受托人均</w:t>
      </w:r>
      <w:r>
        <w:rPr>
          <w:rFonts w:hint="eastAsia" w:ascii="宋体" w:hAnsi="宋体" w:cs="宋体"/>
          <w:b w:val="0"/>
          <w:bCs w:val="0"/>
          <w:color w:val="auto"/>
          <w:szCs w:val="21"/>
          <w:highlight w:val="none"/>
        </w:rPr>
        <w:t>需请示</w:t>
      </w:r>
      <w:r>
        <w:rPr>
          <w:rFonts w:hint="eastAsia" w:ascii="宋体" w:hAnsi="宋体" w:cs="宋体"/>
          <w:b w:val="0"/>
          <w:bCs w:val="0"/>
          <w:color w:val="auto"/>
          <w:szCs w:val="21"/>
          <w:highlight w:val="none"/>
          <w:lang w:val="en-US" w:eastAsia="zh-CN"/>
        </w:rPr>
        <w:t>建设单位，金批准后</w:t>
      </w:r>
      <w:r>
        <w:rPr>
          <w:rFonts w:hint="eastAsia" w:ascii="宋体" w:hAnsi="宋体" w:cs="宋体"/>
          <w:b w:val="0"/>
          <w:bCs w:val="0"/>
          <w:color w:val="auto"/>
          <w:szCs w:val="21"/>
          <w:highlight w:val="none"/>
        </w:rPr>
        <w:t>可向承包人发布变更通知。</w:t>
      </w:r>
    </w:p>
    <w:p w14:paraId="12AFAB04">
      <w:pPr>
        <w:adjustRightInd w:val="0"/>
        <w:snapToGrid w:val="0"/>
        <w:spacing w:line="440" w:lineRule="exact"/>
        <w:ind w:firstLine="420" w:firstLineChars="200"/>
        <w:jc w:val="left"/>
        <w:rPr>
          <w:rFonts w:hint="eastAsia" w:ascii="宋体" w:hAnsi="宋体" w:cs="宋体"/>
          <w:b w:val="0"/>
          <w:bCs w:val="0"/>
          <w:color w:val="auto"/>
          <w:szCs w:val="21"/>
          <w:highlight w:val="none"/>
          <w:u w:val="single"/>
          <w:lang w:val="en-US" w:eastAsia="zh-CN"/>
        </w:rPr>
      </w:pPr>
      <w:r>
        <w:rPr>
          <w:rFonts w:ascii="宋体" w:hAnsi="宋体" w:cs="宋体"/>
          <w:b w:val="0"/>
          <w:bCs w:val="0"/>
          <w:color w:val="auto"/>
          <w:kern w:val="0"/>
          <w:szCs w:val="21"/>
          <w:highlight w:val="none"/>
        </w:rPr>
        <w:t xml:space="preserve">2.4.4 </w:t>
      </w:r>
      <w:r>
        <w:rPr>
          <w:rFonts w:hint="eastAsia" w:ascii="宋体" w:hAnsi="宋体" w:cs="宋体"/>
          <w:b w:val="0"/>
          <w:bCs w:val="0"/>
          <w:color w:val="auto"/>
          <w:szCs w:val="21"/>
          <w:highlight w:val="none"/>
          <w:lang w:val="en-US" w:eastAsia="zh-CN"/>
        </w:rPr>
        <w:t>受托人</w:t>
      </w:r>
      <w:r>
        <w:rPr>
          <w:rFonts w:hint="eastAsia" w:ascii="宋体" w:hAnsi="宋体" w:cs="宋体"/>
          <w:b w:val="0"/>
          <w:bCs w:val="0"/>
          <w:color w:val="auto"/>
          <w:kern w:val="0"/>
          <w:szCs w:val="21"/>
          <w:highlight w:val="none"/>
        </w:rPr>
        <w:t>有权要求承包人调换其人员</w:t>
      </w:r>
      <w:r>
        <w:rPr>
          <w:rFonts w:hint="eastAsia" w:ascii="宋体" w:hAnsi="宋体" w:cs="宋体"/>
          <w:b w:val="0"/>
          <w:bCs w:val="0"/>
          <w:color w:val="auto"/>
          <w:szCs w:val="21"/>
          <w:highlight w:val="none"/>
        </w:rPr>
        <w:t>的限制条件：</w:t>
      </w:r>
      <w:r>
        <w:rPr>
          <w:rFonts w:hint="eastAsia" w:ascii="宋体" w:hAnsi="宋体" w:cs="宋体"/>
          <w:b w:val="0"/>
          <w:bCs w:val="0"/>
          <w:color w:val="auto"/>
          <w:szCs w:val="21"/>
          <w:highlight w:val="none"/>
          <w:u w:val="single"/>
          <w:lang w:val="en-US" w:eastAsia="zh-CN"/>
        </w:rPr>
        <w:t>均须建设单位书面同意。</w:t>
      </w:r>
    </w:p>
    <w:p w14:paraId="58E20DF9">
      <w:pPr>
        <w:adjustRightInd w:val="0"/>
        <w:snapToGrid w:val="0"/>
        <w:spacing w:line="440" w:lineRule="exact"/>
        <w:ind w:firstLine="420" w:firstLineChars="200"/>
        <w:jc w:val="left"/>
        <w:rPr>
          <w:rFonts w:ascii="宋体" w:cs="宋体"/>
          <w:b w:val="0"/>
          <w:bCs w:val="0"/>
          <w:color w:val="auto"/>
          <w:szCs w:val="21"/>
          <w:highlight w:val="none"/>
        </w:rPr>
      </w:pPr>
      <w:r>
        <w:rPr>
          <w:rFonts w:ascii="宋体" w:hAnsi="宋体" w:cs="宋体"/>
          <w:b w:val="0"/>
          <w:bCs w:val="0"/>
          <w:color w:val="auto"/>
          <w:kern w:val="0"/>
          <w:szCs w:val="21"/>
          <w:highlight w:val="none"/>
        </w:rPr>
        <w:t xml:space="preserve">2.5 </w:t>
      </w:r>
      <w:r>
        <w:rPr>
          <w:rFonts w:hint="eastAsia" w:ascii="宋体" w:hAnsi="宋体" w:cs="宋体"/>
          <w:b w:val="0"/>
          <w:bCs w:val="0"/>
          <w:color w:val="auto"/>
          <w:szCs w:val="21"/>
          <w:highlight w:val="none"/>
        </w:rPr>
        <w:t>提交</w:t>
      </w:r>
      <w:r>
        <w:rPr>
          <w:rFonts w:hint="eastAsia" w:ascii="宋体" w:hAnsi="宋体" w:cs="宋体"/>
          <w:b w:val="0"/>
          <w:bCs w:val="0"/>
          <w:color w:val="auto"/>
          <w:kern w:val="0"/>
          <w:szCs w:val="21"/>
          <w:highlight w:val="none"/>
        </w:rPr>
        <w:t>报告</w:t>
      </w:r>
    </w:p>
    <w:p w14:paraId="74482A66">
      <w:pPr>
        <w:adjustRightInd w:val="0"/>
        <w:snapToGrid w:val="0"/>
        <w:spacing w:line="440" w:lineRule="exact"/>
        <w:ind w:firstLine="420" w:firstLineChars="200"/>
        <w:jc w:val="left"/>
        <w:rPr>
          <w:rFonts w:ascii="宋体" w:cs="宋体"/>
          <w:b w:val="0"/>
          <w:bCs w:val="0"/>
          <w:color w:val="auto"/>
          <w:szCs w:val="21"/>
          <w:highlight w:val="none"/>
          <w:u w:val="single"/>
        </w:rPr>
      </w:pPr>
      <w:r>
        <w:rPr>
          <w:rFonts w:hint="eastAsia" w:ascii="宋体" w:hAnsi="宋体" w:cs="宋体"/>
          <w:b w:val="0"/>
          <w:bCs w:val="0"/>
          <w:color w:val="auto"/>
          <w:szCs w:val="21"/>
          <w:highlight w:val="none"/>
          <w:lang w:val="en-US" w:eastAsia="zh-CN"/>
        </w:rPr>
        <w:t>受托人</w:t>
      </w:r>
      <w:r>
        <w:rPr>
          <w:rFonts w:hint="eastAsia" w:ascii="宋体" w:hAnsi="宋体" w:cs="宋体"/>
          <w:b w:val="0"/>
          <w:bCs w:val="0"/>
          <w:color w:val="auto"/>
          <w:szCs w:val="21"/>
          <w:highlight w:val="none"/>
        </w:rPr>
        <w:t>应提交报告的种类</w:t>
      </w:r>
      <w:r>
        <w:rPr>
          <w:rFonts w:ascii="宋体" w:hAnsi="宋体" w:cs="宋体"/>
          <w:b w:val="0"/>
          <w:bCs w:val="0"/>
          <w:color w:val="auto"/>
          <w:szCs w:val="21"/>
          <w:highlight w:val="none"/>
        </w:rPr>
        <w:t>(</w:t>
      </w:r>
      <w:r>
        <w:rPr>
          <w:rFonts w:hint="eastAsia" w:ascii="宋体" w:hAnsi="宋体" w:cs="宋体"/>
          <w:b w:val="0"/>
          <w:bCs w:val="0"/>
          <w:color w:val="auto"/>
          <w:kern w:val="0"/>
          <w:szCs w:val="21"/>
          <w:highlight w:val="none"/>
        </w:rPr>
        <w:t>包括监理规划、监理月报及约定的专项报告</w:t>
      </w:r>
      <w:r>
        <w:rPr>
          <w:rFonts w:ascii="宋体" w:hAnsi="宋体" w:cs="宋体"/>
          <w:b w:val="0"/>
          <w:bCs w:val="0"/>
          <w:color w:val="auto"/>
          <w:kern w:val="0"/>
          <w:szCs w:val="21"/>
          <w:highlight w:val="none"/>
        </w:rPr>
        <w:t>)</w:t>
      </w:r>
      <w:r>
        <w:rPr>
          <w:rFonts w:hint="eastAsia" w:ascii="宋体" w:hAnsi="宋体" w:cs="宋体"/>
          <w:b w:val="0"/>
          <w:bCs w:val="0"/>
          <w:color w:val="auto"/>
          <w:szCs w:val="21"/>
          <w:highlight w:val="none"/>
        </w:rPr>
        <w:t>、时间和份数</w:t>
      </w:r>
      <w:r>
        <w:rPr>
          <w:rFonts w:hint="eastAsia" w:ascii="宋体" w:hAnsi="宋体" w:cs="宋体"/>
          <w:b w:val="0"/>
          <w:bCs w:val="0"/>
          <w:color w:val="auto"/>
          <w:kern w:val="0"/>
          <w:szCs w:val="21"/>
          <w:highlight w:val="none"/>
        </w:rPr>
        <w:t>：</w:t>
      </w:r>
      <w:r>
        <w:rPr>
          <w:rFonts w:ascii="宋体" w:hAnsi="宋体" w:cs="宋体"/>
          <w:b w:val="0"/>
          <w:bCs w:val="0"/>
          <w:color w:val="auto"/>
          <w:szCs w:val="21"/>
          <w:highlight w:val="none"/>
          <w:u w:val="single"/>
        </w:rPr>
        <w:t xml:space="preserve"> </w:t>
      </w:r>
      <w:r>
        <w:rPr>
          <w:rFonts w:hint="eastAsia" w:ascii="宋体" w:hAnsi="宋体" w:cs="宋体"/>
          <w:b w:val="0"/>
          <w:bCs w:val="0"/>
          <w:color w:val="auto"/>
          <w:szCs w:val="21"/>
          <w:highlight w:val="none"/>
          <w:u w:val="single"/>
          <w:lang w:val="en-US" w:eastAsia="zh-CN"/>
        </w:rPr>
        <w:t>满足建设单位需求</w:t>
      </w:r>
      <w:r>
        <w:rPr>
          <w:rFonts w:ascii="宋体" w:hAnsi="宋体" w:cs="宋体"/>
          <w:b w:val="0"/>
          <w:bCs w:val="0"/>
          <w:color w:val="auto"/>
          <w:szCs w:val="21"/>
          <w:highlight w:val="none"/>
          <w:u w:val="single"/>
        </w:rPr>
        <w:t xml:space="preserve"> </w:t>
      </w:r>
      <w:r>
        <w:rPr>
          <w:rFonts w:hint="eastAsia" w:ascii="宋体" w:hAnsi="宋体" w:cs="宋体"/>
          <w:b w:val="0"/>
          <w:bCs w:val="0"/>
          <w:color w:val="auto"/>
          <w:szCs w:val="21"/>
          <w:highlight w:val="none"/>
          <w:u w:val="single"/>
        </w:rPr>
        <w:t>。</w:t>
      </w:r>
    </w:p>
    <w:p w14:paraId="52312551">
      <w:pPr>
        <w:spacing w:line="440" w:lineRule="exact"/>
        <w:ind w:firstLine="420" w:firstLineChars="200"/>
        <w:jc w:val="left"/>
        <w:rPr>
          <w:rFonts w:ascii="宋体" w:cs="宋体"/>
          <w:b w:val="0"/>
          <w:bCs w:val="0"/>
          <w:color w:val="auto"/>
          <w:kern w:val="0"/>
          <w:szCs w:val="21"/>
          <w:highlight w:val="none"/>
        </w:rPr>
      </w:pPr>
      <w:r>
        <w:rPr>
          <w:rFonts w:ascii="宋体" w:hAnsi="宋体" w:cs="宋体"/>
          <w:b w:val="0"/>
          <w:bCs w:val="0"/>
          <w:color w:val="auto"/>
          <w:kern w:val="0"/>
          <w:szCs w:val="21"/>
          <w:highlight w:val="none"/>
        </w:rPr>
        <w:t xml:space="preserve"> 2.7 </w:t>
      </w:r>
      <w:r>
        <w:rPr>
          <w:rFonts w:hint="eastAsia" w:ascii="宋体" w:hAnsi="宋体" w:cs="宋体"/>
          <w:b w:val="0"/>
          <w:bCs w:val="0"/>
          <w:color w:val="auto"/>
          <w:kern w:val="0"/>
          <w:szCs w:val="21"/>
          <w:highlight w:val="none"/>
        </w:rPr>
        <w:t>使用委托人的财产</w:t>
      </w:r>
    </w:p>
    <w:p w14:paraId="55FDCE29">
      <w:pPr>
        <w:spacing w:line="440" w:lineRule="exact"/>
        <w:ind w:firstLine="420" w:firstLineChars="200"/>
        <w:jc w:val="left"/>
        <w:rPr>
          <w:rFonts w:ascii="宋体" w:cs="宋体"/>
          <w:color w:val="auto"/>
          <w:kern w:val="0"/>
          <w:szCs w:val="21"/>
          <w:highlight w:val="none"/>
        </w:rPr>
      </w:pPr>
      <w:r>
        <w:rPr>
          <w:rFonts w:hint="eastAsia" w:ascii="宋体" w:hAnsi="宋体" w:cs="宋体"/>
          <w:color w:val="auto"/>
          <w:szCs w:val="21"/>
          <w:highlight w:val="none"/>
        </w:rPr>
        <w:t>附录</w:t>
      </w:r>
      <w:r>
        <w:rPr>
          <w:rFonts w:ascii="宋体" w:hAnsi="宋体" w:cs="宋体"/>
          <w:color w:val="auto"/>
          <w:szCs w:val="21"/>
          <w:highlight w:val="none"/>
        </w:rPr>
        <w:t>B</w:t>
      </w:r>
      <w:r>
        <w:rPr>
          <w:rFonts w:hint="eastAsia" w:ascii="宋体" w:hAnsi="宋体" w:cs="宋体"/>
          <w:color w:val="auto"/>
          <w:szCs w:val="21"/>
          <w:highlight w:val="none"/>
        </w:rPr>
        <w:t>中由委托人无偿提供的房屋、设备的所有权属于：</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委托人的财产</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73C3EA97">
      <w:pPr>
        <w:adjustRightInd w:val="0"/>
        <w:snapToGrid w:val="0"/>
        <w:spacing w:line="440" w:lineRule="exact"/>
        <w:ind w:firstLine="422" w:firstLineChars="200"/>
        <w:jc w:val="left"/>
        <w:rPr>
          <w:rFonts w:ascii="宋体" w:cs="宋体"/>
          <w:color w:val="auto"/>
          <w:szCs w:val="21"/>
          <w:highlight w:val="none"/>
          <w:u w:val="single"/>
        </w:rPr>
      </w:pPr>
      <w:r>
        <w:rPr>
          <w:rFonts w:hint="eastAsia" w:ascii="宋体" w:hAnsi="宋体" w:cs="宋体"/>
          <w:b/>
          <w:color w:val="auto"/>
          <w:szCs w:val="21"/>
          <w:highlight w:val="none"/>
          <w:lang w:val="en-US" w:eastAsia="zh-CN"/>
        </w:rPr>
        <w:t>受托人</w:t>
      </w:r>
      <w:r>
        <w:rPr>
          <w:rFonts w:hint="eastAsia" w:ascii="宋体" w:hAnsi="宋体" w:cs="宋体"/>
          <w:color w:val="auto"/>
          <w:szCs w:val="21"/>
          <w:highlight w:val="none"/>
        </w:rPr>
        <w:t>应在本合同终止后</w:t>
      </w:r>
      <w:r>
        <w:rPr>
          <w:rFonts w:ascii="宋体" w:hAnsi="宋体" w:cs="宋体"/>
          <w:color w:val="auto"/>
          <w:szCs w:val="21"/>
          <w:highlight w:val="none"/>
          <w:u w:val="single"/>
        </w:rPr>
        <w:t xml:space="preserve">    </w:t>
      </w:r>
      <w:r>
        <w:rPr>
          <w:rFonts w:hint="eastAsia" w:ascii="宋体" w:hAnsi="宋体" w:cs="宋体"/>
          <w:color w:val="auto"/>
          <w:szCs w:val="21"/>
          <w:highlight w:val="none"/>
        </w:rPr>
        <w:t>天内移交委托人无偿提供的房屋、设备，移交的时间和方式为：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满足委托人需求</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s="宋体"/>
          <w:color w:val="auto"/>
          <w:szCs w:val="21"/>
          <w:highlight w:val="none"/>
          <w:u w:val="single"/>
        </w:rPr>
        <w:t xml:space="preserve"> </w:t>
      </w:r>
    </w:p>
    <w:p w14:paraId="0957AA6A">
      <w:pPr>
        <w:adjustRightInd w:val="0"/>
        <w:snapToGrid w:val="0"/>
        <w:spacing w:line="440" w:lineRule="exact"/>
        <w:ind w:firstLine="422" w:firstLineChars="200"/>
        <w:jc w:val="left"/>
        <w:rPr>
          <w:rFonts w:ascii="宋体" w:cs="宋体"/>
          <w:b/>
          <w:color w:val="auto"/>
          <w:szCs w:val="21"/>
          <w:highlight w:val="none"/>
        </w:rPr>
      </w:pPr>
      <w:r>
        <w:rPr>
          <w:rFonts w:ascii="宋体" w:hAnsi="宋体" w:cs="宋体"/>
          <w:b/>
          <w:color w:val="auto"/>
          <w:kern w:val="0"/>
          <w:szCs w:val="21"/>
          <w:highlight w:val="none"/>
        </w:rPr>
        <w:t xml:space="preserve">3. </w:t>
      </w:r>
      <w:r>
        <w:rPr>
          <w:rFonts w:hint="eastAsia" w:ascii="宋体" w:hAnsi="宋体" w:cs="宋体"/>
          <w:b/>
          <w:color w:val="auto"/>
          <w:kern w:val="0"/>
          <w:szCs w:val="21"/>
          <w:highlight w:val="none"/>
        </w:rPr>
        <w:t>委托人义务</w:t>
      </w:r>
      <w:r>
        <w:rPr>
          <w:rFonts w:ascii="宋体" w:hAnsi="宋体" w:cs="宋体"/>
          <w:b/>
          <w:color w:val="auto"/>
          <w:kern w:val="0"/>
          <w:szCs w:val="21"/>
          <w:highlight w:val="none"/>
        </w:rPr>
        <w:t xml:space="preserve">  </w:t>
      </w:r>
    </w:p>
    <w:p w14:paraId="64952B9C">
      <w:pPr>
        <w:snapToGrid w:val="0"/>
        <w:spacing w:line="440" w:lineRule="exact"/>
        <w:ind w:firstLine="420" w:firstLineChars="200"/>
        <w:jc w:val="left"/>
        <w:rPr>
          <w:rFonts w:ascii="宋体" w:cs="宋体"/>
          <w:color w:val="auto"/>
          <w:szCs w:val="21"/>
          <w:highlight w:val="none"/>
        </w:rPr>
      </w:pPr>
      <w:r>
        <w:rPr>
          <w:rFonts w:ascii="宋体" w:hAnsi="宋体" w:cs="宋体"/>
          <w:color w:val="auto"/>
          <w:kern w:val="0"/>
          <w:szCs w:val="21"/>
          <w:highlight w:val="none"/>
        </w:rPr>
        <w:t xml:space="preserve">3.4 </w:t>
      </w:r>
      <w:r>
        <w:rPr>
          <w:rFonts w:hint="eastAsia" w:ascii="宋体" w:hAnsi="宋体" w:cs="宋体"/>
          <w:color w:val="auto"/>
          <w:kern w:val="0"/>
          <w:szCs w:val="21"/>
          <w:highlight w:val="none"/>
        </w:rPr>
        <w:t>委托人代表</w:t>
      </w:r>
    </w:p>
    <w:p w14:paraId="757A0C72">
      <w:pPr>
        <w:adjustRightInd w:val="0"/>
        <w:snapToGrid w:val="0"/>
        <w:spacing w:line="440" w:lineRule="exact"/>
        <w:ind w:firstLine="420" w:firstLineChars="200"/>
        <w:jc w:val="left"/>
        <w:rPr>
          <w:rFonts w:ascii="宋体" w:cs="宋体"/>
          <w:color w:val="auto"/>
          <w:szCs w:val="21"/>
          <w:highlight w:val="none"/>
          <w:u w:val="single"/>
        </w:rPr>
      </w:pPr>
      <w:r>
        <w:rPr>
          <w:rFonts w:hint="eastAsia" w:ascii="宋体" w:hAnsi="宋体" w:cs="宋体"/>
          <w:color w:val="auto"/>
          <w:szCs w:val="21"/>
          <w:highlight w:val="none"/>
        </w:rPr>
        <w:t>委托人代表为：</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6FB183A3">
      <w:pPr>
        <w:adjustRightInd w:val="0"/>
        <w:snapToGrid w:val="0"/>
        <w:spacing w:line="440" w:lineRule="exact"/>
        <w:ind w:firstLine="420" w:firstLineChars="200"/>
        <w:jc w:val="left"/>
        <w:rPr>
          <w:rFonts w:ascii="宋体" w:cs="宋体"/>
          <w:color w:val="auto"/>
          <w:kern w:val="0"/>
          <w:szCs w:val="21"/>
          <w:highlight w:val="none"/>
        </w:rPr>
      </w:pPr>
      <w:r>
        <w:rPr>
          <w:rFonts w:ascii="宋体" w:hAnsi="宋体" w:cs="宋体"/>
          <w:color w:val="auto"/>
          <w:kern w:val="0"/>
          <w:szCs w:val="21"/>
          <w:highlight w:val="none"/>
        </w:rPr>
        <w:t xml:space="preserve">3.6 </w:t>
      </w:r>
      <w:r>
        <w:rPr>
          <w:rFonts w:hint="eastAsia" w:ascii="宋体" w:hAnsi="宋体" w:cs="宋体"/>
          <w:color w:val="auto"/>
          <w:kern w:val="0"/>
          <w:szCs w:val="21"/>
          <w:highlight w:val="none"/>
        </w:rPr>
        <w:t>答复</w:t>
      </w:r>
    </w:p>
    <w:p w14:paraId="6939FD93">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委托人同意在</w:t>
      </w:r>
      <w:r>
        <w:rPr>
          <w:rFonts w:ascii="宋体" w:hAnsi="宋体" w:cs="宋体"/>
          <w:color w:val="auto"/>
          <w:szCs w:val="21"/>
          <w:highlight w:val="none"/>
          <w:u w:val="single"/>
        </w:rPr>
        <w:t xml:space="preserve">   3   </w:t>
      </w:r>
      <w:r>
        <w:rPr>
          <w:rFonts w:hint="eastAsia" w:ascii="宋体" w:hAnsi="宋体" w:cs="宋体"/>
          <w:color w:val="auto"/>
          <w:szCs w:val="21"/>
          <w:highlight w:val="none"/>
        </w:rPr>
        <w:t>天内，对</w:t>
      </w:r>
      <w:r>
        <w:rPr>
          <w:rFonts w:hint="eastAsia" w:ascii="宋体" w:hAnsi="宋体" w:cs="宋体"/>
          <w:b/>
          <w:color w:val="auto"/>
          <w:szCs w:val="21"/>
          <w:highlight w:val="none"/>
          <w:lang w:val="en-US" w:eastAsia="zh-CN"/>
        </w:rPr>
        <w:t>受托人</w:t>
      </w:r>
      <w:r>
        <w:rPr>
          <w:rFonts w:hint="eastAsia" w:ascii="宋体" w:hAnsi="宋体" w:cs="宋体"/>
          <w:color w:val="auto"/>
          <w:szCs w:val="21"/>
          <w:highlight w:val="none"/>
        </w:rPr>
        <w:t>书面提交并要求做出决定的事宜给予书面答复。</w:t>
      </w:r>
    </w:p>
    <w:p w14:paraId="5C445BFC">
      <w:pPr>
        <w:snapToGrid w:val="0"/>
        <w:spacing w:line="440" w:lineRule="exact"/>
        <w:ind w:firstLine="422" w:firstLineChars="200"/>
        <w:jc w:val="left"/>
        <w:rPr>
          <w:rFonts w:ascii="宋体" w:cs="宋体"/>
          <w:b/>
          <w:bCs/>
          <w:color w:val="auto"/>
          <w:szCs w:val="21"/>
          <w:highlight w:val="none"/>
        </w:rPr>
      </w:pPr>
      <w:r>
        <w:rPr>
          <w:rFonts w:ascii="宋体" w:hAnsi="宋体" w:cs="宋体"/>
          <w:b/>
          <w:bCs/>
          <w:color w:val="auto"/>
          <w:szCs w:val="21"/>
          <w:highlight w:val="none"/>
        </w:rPr>
        <w:t xml:space="preserve">4. </w:t>
      </w:r>
      <w:r>
        <w:rPr>
          <w:rFonts w:hint="eastAsia" w:ascii="宋体" w:hAnsi="宋体" w:cs="宋体"/>
          <w:b/>
          <w:bCs/>
          <w:color w:val="auto"/>
          <w:szCs w:val="21"/>
          <w:highlight w:val="none"/>
        </w:rPr>
        <w:t>违约责任</w:t>
      </w:r>
    </w:p>
    <w:p w14:paraId="3B5CBF8F">
      <w:pPr>
        <w:spacing w:line="440" w:lineRule="exact"/>
        <w:ind w:firstLine="420" w:firstLineChars="200"/>
        <w:jc w:val="left"/>
        <w:rPr>
          <w:rFonts w:ascii="宋体" w:cs="宋体"/>
          <w:color w:val="auto"/>
          <w:kern w:val="0"/>
          <w:szCs w:val="21"/>
          <w:highlight w:val="none"/>
        </w:rPr>
      </w:pPr>
      <w:r>
        <w:rPr>
          <w:rFonts w:ascii="宋体" w:hAnsi="宋体" w:cs="宋体"/>
          <w:color w:val="auto"/>
          <w:kern w:val="0"/>
          <w:szCs w:val="21"/>
          <w:highlight w:val="none"/>
        </w:rPr>
        <w:t xml:space="preserve">4.1 </w:t>
      </w:r>
      <w:r>
        <w:rPr>
          <w:rFonts w:hint="eastAsia" w:ascii="宋体" w:hAnsi="宋体" w:cs="宋体"/>
          <w:b/>
          <w:color w:val="auto"/>
          <w:szCs w:val="21"/>
          <w:highlight w:val="none"/>
          <w:lang w:val="en-US" w:eastAsia="zh-CN"/>
        </w:rPr>
        <w:t>受托人</w:t>
      </w:r>
      <w:r>
        <w:rPr>
          <w:rFonts w:hint="eastAsia" w:ascii="宋体" w:hAnsi="宋体" w:cs="宋体"/>
          <w:color w:val="auto"/>
          <w:kern w:val="0"/>
          <w:szCs w:val="21"/>
          <w:highlight w:val="none"/>
        </w:rPr>
        <w:t>的违约责任</w:t>
      </w:r>
    </w:p>
    <w:p w14:paraId="1E04AA7C">
      <w:pPr>
        <w:adjustRightInd w:val="0"/>
        <w:snapToGrid w:val="0"/>
        <w:spacing w:line="440" w:lineRule="exact"/>
        <w:ind w:firstLine="420" w:firstLineChars="200"/>
        <w:jc w:val="left"/>
        <w:rPr>
          <w:rFonts w:ascii="宋体" w:cs="宋体"/>
          <w:color w:val="auto"/>
          <w:kern w:val="0"/>
          <w:szCs w:val="21"/>
          <w:highlight w:val="none"/>
        </w:rPr>
      </w:pPr>
      <w:r>
        <w:rPr>
          <w:rFonts w:ascii="宋体" w:hAnsi="宋体" w:cs="宋体"/>
          <w:color w:val="auto"/>
          <w:kern w:val="0"/>
          <w:szCs w:val="21"/>
          <w:highlight w:val="none"/>
        </w:rPr>
        <w:t>4.1.1</w:t>
      </w:r>
      <w:r>
        <w:rPr>
          <w:rFonts w:hint="eastAsia" w:ascii="宋体" w:hAnsi="宋体" w:cs="宋体"/>
          <w:b/>
          <w:color w:val="auto"/>
          <w:szCs w:val="21"/>
          <w:highlight w:val="none"/>
          <w:lang w:val="en-US" w:eastAsia="zh-CN"/>
        </w:rPr>
        <w:t>受托人</w:t>
      </w:r>
      <w:r>
        <w:rPr>
          <w:rFonts w:hint="eastAsia" w:ascii="宋体" w:hAnsi="宋体" w:cs="宋体"/>
          <w:color w:val="auto"/>
          <w:kern w:val="0"/>
          <w:szCs w:val="21"/>
          <w:highlight w:val="none"/>
        </w:rPr>
        <w:t>赔偿金额按下列方法确定：</w:t>
      </w:r>
    </w:p>
    <w:p w14:paraId="285A950C">
      <w:pPr>
        <w:adjustRightInd w:val="0"/>
        <w:snapToGrid w:val="0"/>
        <w:spacing w:line="440" w:lineRule="exact"/>
        <w:ind w:firstLine="420" w:firstLineChars="200"/>
        <w:jc w:val="left"/>
        <w:rPr>
          <w:rFonts w:ascii="宋体" w:cs="宋体"/>
          <w:color w:val="auto"/>
          <w:kern w:val="0"/>
          <w:szCs w:val="21"/>
          <w:highlight w:val="none"/>
        </w:rPr>
      </w:pPr>
      <w:r>
        <w:rPr>
          <w:rFonts w:hint="eastAsia" w:ascii="宋体" w:hAnsi="宋体" w:cs="宋体"/>
          <w:color w:val="auto"/>
          <w:szCs w:val="21"/>
          <w:highlight w:val="none"/>
        </w:rPr>
        <w:t>赔偿金＝直接经济损失×正常工作酬金÷工程概算</w:t>
      </w:r>
      <w:r>
        <w:rPr>
          <w:rFonts w:hint="eastAsia" w:ascii="宋体" w:hAnsi="宋体" w:cs="宋体"/>
          <w:color w:val="auto"/>
          <w:kern w:val="0"/>
          <w:szCs w:val="21"/>
          <w:highlight w:val="none"/>
        </w:rPr>
        <w:t>投资额（或建筑安装工程费）</w:t>
      </w:r>
    </w:p>
    <w:p w14:paraId="74744695">
      <w:pPr>
        <w:snapToGrid w:val="0"/>
        <w:spacing w:line="440" w:lineRule="exact"/>
        <w:ind w:firstLine="420" w:firstLineChars="200"/>
        <w:jc w:val="left"/>
        <w:rPr>
          <w:rFonts w:ascii="宋体" w:cs="宋体"/>
          <w:color w:val="auto"/>
          <w:kern w:val="0"/>
          <w:szCs w:val="21"/>
          <w:highlight w:val="none"/>
        </w:rPr>
      </w:pPr>
      <w:r>
        <w:rPr>
          <w:rFonts w:ascii="宋体" w:hAnsi="宋体" w:cs="宋体"/>
          <w:color w:val="auto"/>
          <w:kern w:val="0"/>
          <w:szCs w:val="21"/>
          <w:highlight w:val="none"/>
        </w:rPr>
        <w:t xml:space="preserve">4.2 </w:t>
      </w:r>
      <w:r>
        <w:rPr>
          <w:rFonts w:hint="eastAsia" w:ascii="宋体" w:hAnsi="宋体" w:cs="宋体"/>
          <w:color w:val="auto"/>
          <w:kern w:val="0"/>
          <w:szCs w:val="21"/>
          <w:highlight w:val="none"/>
        </w:rPr>
        <w:t>委托人的违约责任</w:t>
      </w:r>
    </w:p>
    <w:p w14:paraId="0855E138">
      <w:pPr>
        <w:spacing w:line="440" w:lineRule="exact"/>
        <w:ind w:firstLine="420" w:firstLineChars="200"/>
        <w:jc w:val="left"/>
        <w:rPr>
          <w:rFonts w:ascii="宋体" w:cs="宋体"/>
          <w:color w:val="auto"/>
          <w:kern w:val="0"/>
          <w:szCs w:val="21"/>
          <w:highlight w:val="none"/>
          <w:u w:val="single"/>
        </w:rPr>
      </w:pPr>
      <w:r>
        <w:rPr>
          <w:rFonts w:ascii="宋体" w:hAnsi="宋体" w:cs="宋体"/>
          <w:color w:val="auto"/>
          <w:szCs w:val="21"/>
          <w:highlight w:val="none"/>
        </w:rPr>
        <w:t xml:space="preserve">4.2.3 </w:t>
      </w:r>
      <w:r>
        <w:rPr>
          <w:rFonts w:hint="eastAsia" w:ascii="宋体" w:hAnsi="宋体" w:cs="宋体"/>
          <w:color w:val="auto"/>
          <w:szCs w:val="21"/>
          <w:highlight w:val="none"/>
        </w:rPr>
        <w:t>委托人</w:t>
      </w:r>
      <w:r>
        <w:rPr>
          <w:rFonts w:hint="eastAsia" w:ascii="宋体" w:hAnsi="宋体" w:cs="宋体"/>
          <w:color w:val="auto"/>
          <w:kern w:val="0"/>
          <w:szCs w:val="21"/>
          <w:highlight w:val="none"/>
        </w:rPr>
        <w:t>逾期付款利息按下列方法确定：</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无</w:t>
      </w:r>
      <w:r>
        <w:rPr>
          <w:rFonts w:ascii="宋体" w:hAnsi="宋体" w:cs="宋体"/>
          <w:color w:val="auto"/>
          <w:kern w:val="0"/>
          <w:szCs w:val="21"/>
          <w:highlight w:val="none"/>
          <w:u w:val="single"/>
        </w:rPr>
        <w:t xml:space="preserve">    </w:t>
      </w:r>
    </w:p>
    <w:p w14:paraId="2249D838">
      <w:pPr>
        <w:snapToGrid w:val="0"/>
        <w:spacing w:line="440" w:lineRule="exact"/>
        <w:ind w:firstLine="422" w:firstLineChars="200"/>
        <w:jc w:val="left"/>
        <w:rPr>
          <w:rFonts w:ascii="宋体" w:cs="宋体"/>
          <w:b/>
          <w:color w:val="auto"/>
          <w:szCs w:val="21"/>
          <w:highlight w:val="none"/>
        </w:rPr>
      </w:pPr>
      <w:r>
        <w:rPr>
          <w:rFonts w:ascii="宋体" w:hAnsi="宋体" w:cs="宋体"/>
          <w:b/>
          <w:bCs/>
          <w:color w:val="auto"/>
          <w:szCs w:val="21"/>
          <w:highlight w:val="none"/>
        </w:rPr>
        <w:t xml:space="preserve">5. </w:t>
      </w:r>
      <w:r>
        <w:rPr>
          <w:rFonts w:hint="eastAsia" w:ascii="宋体" w:hAnsi="宋体" w:cs="宋体"/>
          <w:b/>
          <w:bCs/>
          <w:color w:val="auto"/>
          <w:szCs w:val="21"/>
          <w:highlight w:val="none"/>
        </w:rPr>
        <w:t>支付</w:t>
      </w:r>
    </w:p>
    <w:p w14:paraId="3DE3AC4D">
      <w:pPr>
        <w:snapToGrid w:val="0"/>
        <w:spacing w:line="440" w:lineRule="exact"/>
        <w:ind w:firstLine="420" w:firstLineChars="200"/>
        <w:jc w:val="left"/>
        <w:rPr>
          <w:rFonts w:hint="eastAsia" w:ascii="宋体" w:hAnsi="宋体" w:cs="宋体"/>
          <w:b/>
          <w:bCs/>
          <w:color w:val="auto"/>
          <w:szCs w:val="21"/>
          <w:highlight w:val="none"/>
        </w:rPr>
      </w:pPr>
      <w:r>
        <w:rPr>
          <w:rFonts w:ascii="宋体" w:hAnsi="宋体" w:cs="宋体"/>
          <w:color w:val="auto"/>
          <w:szCs w:val="21"/>
          <w:highlight w:val="none"/>
        </w:rPr>
        <w:t xml:space="preserve">5.1 </w:t>
      </w:r>
      <w:r>
        <w:rPr>
          <w:rFonts w:hint="eastAsia" w:ascii="宋体" w:hAnsi="宋体" w:cs="宋体"/>
          <w:bCs/>
          <w:color w:val="auto"/>
          <w:szCs w:val="21"/>
          <w:highlight w:val="none"/>
        </w:rPr>
        <w:t>支付货币（</w:t>
      </w:r>
      <w:r>
        <w:rPr>
          <w:rFonts w:hint="eastAsia" w:ascii="宋体" w:hAnsi="宋体" w:cs="宋体"/>
          <w:color w:val="auto"/>
          <w:szCs w:val="21"/>
          <w:highlight w:val="none"/>
        </w:rPr>
        <w:t>币种为人民币</w:t>
      </w:r>
      <w:r>
        <w:rPr>
          <w:rFonts w:hint="eastAsia" w:ascii="宋体" w:hAnsi="宋体" w:cs="宋体"/>
          <w:bCs/>
          <w:color w:val="auto"/>
          <w:szCs w:val="21"/>
          <w:highlight w:val="none"/>
        </w:rPr>
        <w:t>）</w:t>
      </w:r>
      <w:r>
        <w:rPr>
          <w:rFonts w:hint="eastAsia" w:ascii="宋体" w:hAnsi="宋体" w:cs="宋体"/>
          <w:color w:val="auto"/>
          <w:szCs w:val="21"/>
          <w:highlight w:val="none"/>
        </w:rPr>
        <w:t>：</w:t>
      </w:r>
      <w:r>
        <w:rPr>
          <w:rFonts w:hint="eastAsia" w:ascii="宋体" w:hAnsi="宋体" w:cs="宋体"/>
          <w:b/>
          <w:bCs/>
          <w:color w:val="auto"/>
          <w:kern w:val="0"/>
          <w:szCs w:val="21"/>
          <w:highlight w:val="none"/>
          <w:u w:val="single"/>
          <w:lang w:val="en-US" w:eastAsia="zh-CN"/>
        </w:rPr>
        <w:t>本项目监理费用最终支付以工程结算价为计费基数，监理费用=监理基本费+监理考评费，其中监理基本费=工程结算价*中标费率*85%，监理考评费=工程结算价*中标费率*15%*最终考核结果</w:t>
      </w:r>
      <w:r>
        <w:rPr>
          <w:rFonts w:hint="eastAsia" w:ascii="宋体" w:hAnsi="宋体" w:cs="宋体"/>
          <w:b/>
          <w:bCs/>
          <w:color w:val="auto"/>
          <w:kern w:val="0"/>
          <w:szCs w:val="21"/>
          <w:highlight w:val="none"/>
          <w:u w:val="single"/>
        </w:rPr>
        <w:t>。无论任何原因导致的工期延长，委托人均不再增加监理费用</w:t>
      </w:r>
      <w:r>
        <w:rPr>
          <w:rFonts w:hint="eastAsia" w:ascii="宋体" w:hAnsi="宋体" w:cs="宋体"/>
          <w:b/>
          <w:bCs/>
          <w:color w:val="auto"/>
          <w:szCs w:val="21"/>
          <w:highlight w:val="none"/>
        </w:rPr>
        <w:t>。</w:t>
      </w:r>
    </w:p>
    <w:p w14:paraId="281EFD82">
      <w:pPr>
        <w:snapToGrid w:val="0"/>
        <w:spacing w:line="440" w:lineRule="exact"/>
        <w:ind w:firstLine="420" w:firstLineChars="200"/>
        <w:jc w:val="left"/>
        <w:rPr>
          <w:rFonts w:ascii="宋体" w:cs="宋体"/>
          <w:color w:val="auto"/>
          <w:kern w:val="0"/>
          <w:szCs w:val="21"/>
          <w:highlight w:val="none"/>
        </w:rPr>
      </w:pPr>
      <w:r>
        <w:rPr>
          <w:rFonts w:ascii="宋体" w:hAnsi="宋体" w:cs="宋体"/>
          <w:color w:val="auto"/>
          <w:kern w:val="0"/>
          <w:szCs w:val="21"/>
          <w:highlight w:val="none"/>
        </w:rPr>
        <w:t xml:space="preserve">5.2 </w:t>
      </w:r>
      <w:r>
        <w:rPr>
          <w:rFonts w:hint="eastAsia" w:ascii="宋体" w:hAnsi="宋体" w:cs="宋体"/>
          <w:color w:val="auto"/>
          <w:kern w:val="0"/>
          <w:szCs w:val="21"/>
          <w:highlight w:val="none"/>
        </w:rPr>
        <w:t>支付酬金</w:t>
      </w:r>
    </w:p>
    <w:p w14:paraId="70FC7B84">
      <w:pPr>
        <w:keepNext w:val="0"/>
        <w:keepLines w:val="0"/>
        <w:pageBreakBefore w:val="0"/>
        <w:widowControl w:val="0"/>
        <w:kinsoku/>
        <w:wordWrap/>
        <w:overflowPunct/>
        <w:topLinePunct w:val="0"/>
        <w:autoSpaceDE/>
        <w:autoSpaceDN/>
        <w:bidi w:val="0"/>
        <w:snapToGrid w:val="0"/>
        <w:spacing w:line="500" w:lineRule="exact"/>
        <w:ind w:firstLine="422" w:firstLineChars="200"/>
        <w:jc w:val="left"/>
        <w:textAlignment w:val="auto"/>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5.2.1根据施工请款资料，每月按照实际完成合格工程量的85%支付监理基本费（即</w:t>
      </w:r>
      <w:r>
        <w:rPr>
          <w:rFonts w:hint="eastAsia" w:ascii="宋体" w:hAnsi="宋体" w:cs="宋体"/>
          <w:b/>
          <w:color w:val="auto"/>
          <w:szCs w:val="21"/>
          <w:highlight w:val="none"/>
          <w:lang w:val="en-US" w:eastAsia="zh-CN"/>
        </w:rPr>
        <w:t>每月</w:t>
      </w:r>
      <w:r>
        <w:rPr>
          <w:rFonts w:hint="eastAsia" w:ascii="宋体" w:hAnsi="宋体" w:cs="宋体"/>
          <w:b/>
          <w:color w:val="auto"/>
          <w:szCs w:val="21"/>
          <w:highlight w:val="none"/>
          <w:lang w:val="en-US" w:eastAsia="zh-CN"/>
        </w:rPr>
        <w:t>已完成合格工程量*85%*中标费率*85%）；竣工验收合格后付至监理范围内全部工程量的90%监理基本费（即监理范围内全部工程量*90%*中标费率*85%）；施工结算、资料归档及审计结束后付至结算总价的98%监理基本费（即结算价*98%*中标费率*85%）和监理考评费（根据监理最终考核结果进行发放，</w:t>
      </w:r>
      <w:r>
        <w:rPr>
          <w:rFonts w:hint="eastAsia" w:ascii="宋体" w:hAnsi="宋体" w:cs="宋体"/>
          <w:b/>
          <w:color w:val="auto"/>
          <w:szCs w:val="21"/>
          <w:highlight w:val="none"/>
          <w:lang w:val="en-US" w:eastAsia="zh-CN"/>
        </w:rPr>
        <w:t>即结算价*中标费率*15%*最终考核结果</w:t>
      </w:r>
      <w:r>
        <w:rPr>
          <w:rFonts w:hint="eastAsia" w:ascii="宋体" w:hAnsi="宋体" w:cs="宋体"/>
          <w:b/>
          <w:color w:val="auto"/>
          <w:szCs w:val="21"/>
          <w:highlight w:val="none"/>
          <w:lang w:val="en-US" w:eastAsia="zh-CN"/>
        </w:rPr>
        <w:t>），监理基本费的余款（即结算价*2%*中标费率*85%）待工程缺陷责任期（缺陷责任期两年，从竣工验收合格之日起计算）满后一次性付清。监理单位必须按时按规定提供发票。</w:t>
      </w:r>
    </w:p>
    <w:p w14:paraId="736934BB">
      <w:pPr>
        <w:keepNext w:val="0"/>
        <w:keepLines w:val="0"/>
        <w:pageBreakBefore w:val="0"/>
        <w:widowControl w:val="0"/>
        <w:kinsoku/>
        <w:wordWrap/>
        <w:overflowPunct/>
        <w:topLinePunct w:val="0"/>
        <w:autoSpaceDE/>
        <w:autoSpaceDN/>
        <w:bidi w:val="0"/>
        <w:snapToGrid w:val="0"/>
        <w:spacing w:line="500" w:lineRule="exact"/>
        <w:ind w:firstLine="422" w:firstLineChars="200"/>
        <w:jc w:val="left"/>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注：项目在付清结算价款前须获得相关奖项证明,否则在结算价款中先行予以暂扣未取得黄山杯的违约金3万元，后续获得相关奖项证明后，与奖励金额一并发放。</w:t>
      </w:r>
    </w:p>
    <w:p w14:paraId="307F099E">
      <w:pPr>
        <w:widowControl/>
        <w:adjustRightInd w:val="0"/>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5.2.2</w:t>
      </w:r>
      <w:r>
        <w:rPr>
          <w:rFonts w:hint="eastAsia" w:ascii="宋体" w:hAnsi="宋体" w:cs="宋体"/>
          <w:b/>
          <w:color w:val="auto"/>
          <w:szCs w:val="21"/>
          <w:highlight w:val="none"/>
        </w:rPr>
        <w:t>经委托人考核后根据考核评分结果，并办理结算后支付最终考评费用。考核标准如下：</w:t>
      </w:r>
    </w:p>
    <w:p w14:paraId="3F47D197">
      <w:pPr>
        <w:widowControl/>
        <w:adjustRightInd w:val="0"/>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（1）考核期内考核平均评分在90</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不含）</w:t>
      </w:r>
      <w:r>
        <w:rPr>
          <w:rFonts w:hint="eastAsia" w:ascii="宋体" w:hAnsi="宋体" w:cs="宋体"/>
          <w:b/>
          <w:color w:val="auto"/>
          <w:szCs w:val="21"/>
          <w:highlight w:val="none"/>
        </w:rPr>
        <w:t>-100分为“优秀”，考评费按100%支付；</w:t>
      </w:r>
    </w:p>
    <w:p w14:paraId="086EAE20">
      <w:pPr>
        <w:widowControl/>
        <w:adjustRightInd w:val="0"/>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（2）考核期内考核平均评分在80</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不含）</w:t>
      </w:r>
      <w:r>
        <w:rPr>
          <w:rFonts w:hint="eastAsia" w:ascii="宋体" w:hAnsi="宋体" w:cs="宋体"/>
          <w:b/>
          <w:color w:val="auto"/>
          <w:szCs w:val="21"/>
          <w:highlight w:val="none"/>
        </w:rPr>
        <w:t>-90</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含）</w:t>
      </w:r>
      <w:r>
        <w:rPr>
          <w:rFonts w:hint="eastAsia" w:ascii="宋体" w:hAnsi="宋体" w:cs="宋体"/>
          <w:b/>
          <w:color w:val="auto"/>
          <w:szCs w:val="21"/>
          <w:highlight w:val="none"/>
        </w:rPr>
        <w:t>分为“良好”，考评费按80%支付；</w:t>
      </w:r>
    </w:p>
    <w:p w14:paraId="68A6A34E">
      <w:pPr>
        <w:widowControl/>
        <w:adjustRightInd w:val="0"/>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（3）考核期内考核平均评分在70</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不含）</w:t>
      </w:r>
      <w:r>
        <w:rPr>
          <w:rFonts w:hint="eastAsia" w:ascii="宋体" w:hAnsi="宋体" w:cs="宋体"/>
          <w:b/>
          <w:color w:val="auto"/>
          <w:szCs w:val="21"/>
          <w:highlight w:val="none"/>
        </w:rPr>
        <w:t>-80</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含）</w:t>
      </w:r>
      <w:r>
        <w:rPr>
          <w:rFonts w:hint="eastAsia" w:ascii="宋体" w:hAnsi="宋体" w:cs="宋体"/>
          <w:b/>
          <w:color w:val="auto"/>
          <w:szCs w:val="21"/>
          <w:highlight w:val="none"/>
        </w:rPr>
        <w:t>分为“合格”，考评费按60%支付；</w:t>
      </w:r>
    </w:p>
    <w:p w14:paraId="689CC6B3">
      <w:pPr>
        <w:widowControl/>
        <w:adjustRightInd w:val="0"/>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（4）考核期内考核平均评分在70分</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含）</w:t>
      </w:r>
      <w:r>
        <w:rPr>
          <w:rFonts w:hint="eastAsia" w:ascii="宋体" w:hAnsi="宋体" w:cs="宋体"/>
          <w:b/>
          <w:color w:val="auto"/>
          <w:szCs w:val="21"/>
          <w:highlight w:val="none"/>
        </w:rPr>
        <w:t>以下为“不合格”，考评费原则不予支付；</w:t>
      </w:r>
    </w:p>
    <w:p w14:paraId="028314EC">
      <w:pPr>
        <w:widowControl/>
        <w:adjustRightInd w:val="0"/>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考核期内考核平均分</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考核期内所有</w:t>
      </w:r>
      <w:r>
        <w:rPr>
          <w:rFonts w:hint="eastAsia" w:ascii="宋体" w:hAnsi="宋体" w:cs="宋体"/>
          <w:b/>
          <w:color w:val="auto"/>
          <w:szCs w:val="21"/>
          <w:highlight w:val="none"/>
        </w:rPr>
        <w:t>月度考核</w:t>
      </w:r>
      <w:r>
        <w:rPr>
          <w:rFonts w:hint="eastAsia" w:ascii="宋体" w:hAnsi="宋体" w:cs="宋体"/>
          <w:b/>
          <w:color w:val="auto"/>
          <w:szCs w:val="21"/>
          <w:highlight w:val="none"/>
          <w:lang w:val="en-US" w:eastAsia="zh-CN"/>
        </w:rPr>
        <w:t>的</w:t>
      </w:r>
      <w:r>
        <w:rPr>
          <w:rFonts w:hint="eastAsia" w:ascii="宋体" w:hAnsi="宋体" w:cs="宋体"/>
          <w:b/>
          <w:color w:val="auto"/>
          <w:szCs w:val="21"/>
          <w:highlight w:val="none"/>
        </w:rPr>
        <w:t>平均分）</w:t>
      </w:r>
    </w:p>
    <w:p w14:paraId="10D8F8F6">
      <w:pPr>
        <w:widowControl/>
        <w:adjustRightInd w:val="0"/>
        <w:spacing w:line="440" w:lineRule="exact"/>
        <w:ind w:firstLine="422" w:firstLineChars="200"/>
        <w:jc w:val="left"/>
        <w:rPr>
          <w:rFonts w:ascii="宋体" w:hAnsi="宋体" w:cs="宋体"/>
          <w:b/>
          <w:bCs w:val="0"/>
          <w:color w:val="auto"/>
          <w:szCs w:val="21"/>
          <w:highlight w:val="none"/>
        </w:rPr>
      </w:pPr>
      <w:r>
        <w:rPr>
          <w:rFonts w:hint="eastAsia" w:ascii="宋体" w:hAnsi="宋体" w:cs="宋体"/>
          <w:b/>
          <w:color w:val="auto"/>
          <w:szCs w:val="21"/>
          <w:highlight w:val="none"/>
          <w:lang w:val="en-US" w:eastAsia="zh-CN"/>
        </w:rPr>
        <w:t>5.2.3依据考核结果，支付监理考评费用</w:t>
      </w:r>
      <w:r>
        <w:rPr>
          <w:rFonts w:hint="eastAsia" w:ascii="宋体" w:hAnsi="宋体" w:cs="宋体"/>
          <w:b/>
          <w:bCs w:val="0"/>
          <w:color w:val="auto"/>
          <w:szCs w:val="21"/>
          <w:highlight w:val="none"/>
          <w:lang w:val="en-US" w:eastAsia="zh-CN"/>
        </w:rPr>
        <w:t>，</w:t>
      </w:r>
      <w:r>
        <w:rPr>
          <w:rFonts w:hint="eastAsia" w:ascii="宋体" w:hAnsi="宋体" w:cs="宋体"/>
          <w:b/>
          <w:color w:val="auto"/>
          <w:szCs w:val="21"/>
          <w:highlight w:val="none"/>
          <w:lang w:val="en-US" w:eastAsia="zh-CN"/>
        </w:rPr>
        <w:t>受托人均</w:t>
      </w:r>
      <w:r>
        <w:rPr>
          <w:rFonts w:hint="eastAsia" w:ascii="宋体" w:hAnsi="宋体" w:cs="宋体"/>
          <w:b/>
          <w:bCs w:val="0"/>
          <w:color w:val="auto"/>
          <w:szCs w:val="21"/>
          <w:highlight w:val="none"/>
          <w:lang w:val="en-US" w:eastAsia="zh-CN"/>
        </w:rPr>
        <w:t>不</w:t>
      </w:r>
      <w:r>
        <w:rPr>
          <w:rFonts w:hint="eastAsia" w:ascii="宋体" w:hAnsi="宋体" w:cs="宋体"/>
          <w:b/>
          <w:color w:val="auto"/>
          <w:szCs w:val="21"/>
          <w:highlight w:val="none"/>
          <w:lang w:val="en-US" w:eastAsia="zh-CN"/>
        </w:rPr>
        <w:t>得提出异议。考核标准详见附件《监理月度考评表》。</w:t>
      </w:r>
    </w:p>
    <w:p w14:paraId="03CD73C4">
      <w:pPr>
        <w:snapToGrid w:val="0"/>
        <w:spacing w:line="440" w:lineRule="exact"/>
        <w:ind w:firstLine="422" w:firstLineChars="200"/>
        <w:jc w:val="left"/>
        <w:rPr>
          <w:rFonts w:hint="eastAsia" w:ascii="宋体" w:hAnsi="宋体" w:cs="宋体"/>
          <w:b/>
          <w:bCs w:val="0"/>
          <w:color w:val="auto"/>
          <w:szCs w:val="21"/>
          <w:highlight w:val="none"/>
          <w:lang w:val="en-US" w:eastAsia="zh-CN"/>
        </w:rPr>
      </w:pPr>
      <w:r>
        <w:rPr>
          <w:rFonts w:hint="eastAsia" w:ascii="宋体" w:hAnsi="宋体" w:cs="宋体"/>
          <w:b/>
          <w:bCs w:val="0"/>
          <w:color w:val="auto"/>
          <w:szCs w:val="21"/>
          <w:highlight w:val="none"/>
          <w:lang w:val="en-US" w:eastAsia="zh-CN"/>
        </w:rPr>
        <w:t>5.3奖励</w:t>
      </w:r>
    </w:p>
    <w:p w14:paraId="20D67B97">
      <w:pPr>
        <w:snapToGrid w:val="0"/>
        <w:spacing w:line="440" w:lineRule="exact"/>
        <w:ind w:firstLine="420" w:firstLineChars="200"/>
        <w:jc w:val="left"/>
        <w:rPr>
          <w:rFonts w:hint="eastAsia" w:ascii="宋体" w:hAnsi="宋体" w:cs="宋体"/>
          <w:b/>
          <w:bCs w:val="0"/>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5.3.1中新苏滁高新区超级电容智能制造基地如获得施工招标文件中规定的奖项，招标人将给予监理单位奖励</w:t>
      </w:r>
      <w:r>
        <w:rPr>
          <w:rFonts w:hint="eastAsia" w:ascii="宋体" w:hAnsi="宋体" w:eastAsia="宋体" w:cs="宋体"/>
          <w:color w:val="auto"/>
          <w:kern w:val="2"/>
          <w:sz w:val="21"/>
          <w:szCs w:val="21"/>
          <w:highlight w:val="none"/>
          <w:lang w:val="en-US" w:eastAsia="zh-CN" w:bidi="ar-SA"/>
        </w:rPr>
        <w:t>（黄山杯奖励</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万元）</w:t>
      </w:r>
      <w:r>
        <w:rPr>
          <w:rFonts w:hint="eastAsia" w:ascii="宋体" w:hAnsi="宋体" w:eastAsia="宋体" w:cs="宋体"/>
          <w:color w:val="auto"/>
          <w:kern w:val="2"/>
          <w:sz w:val="21"/>
          <w:szCs w:val="21"/>
          <w:highlight w:val="none"/>
          <w:lang w:val="en-US" w:eastAsia="zh-CN" w:bidi="ar-SA"/>
        </w:rPr>
        <w:t>，该奖励具体由招标人进行分配。如未获得施工招标文件中规定的黄山杯奖项，</w:t>
      </w:r>
      <w:r>
        <w:rPr>
          <w:rFonts w:hint="eastAsia" w:ascii="宋体" w:hAnsi="宋体" w:eastAsia="宋体" w:cs="宋体"/>
          <w:color w:val="auto"/>
          <w:kern w:val="2"/>
          <w:sz w:val="21"/>
          <w:szCs w:val="21"/>
          <w:highlight w:val="none"/>
          <w:lang w:val="en-US" w:eastAsia="zh-CN" w:bidi="ar-SA"/>
        </w:rPr>
        <w:t>则处罚</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万元。</w:t>
      </w:r>
    </w:p>
    <w:p w14:paraId="5997F370">
      <w:pPr>
        <w:snapToGrid w:val="0"/>
        <w:spacing w:line="440" w:lineRule="exact"/>
        <w:ind w:firstLine="422" w:firstLineChars="200"/>
        <w:jc w:val="left"/>
        <w:rPr>
          <w:rFonts w:ascii="宋体" w:cs="宋体"/>
          <w:b/>
          <w:bCs/>
          <w:color w:val="auto"/>
          <w:szCs w:val="21"/>
          <w:highlight w:val="none"/>
        </w:rPr>
      </w:pPr>
      <w:r>
        <w:rPr>
          <w:rFonts w:ascii="宋体" w:hAnsi="宋体" w:cs="宋体"/>
          <w:b/>
          <w:bCs w:val="0"/>
          <w:color w:val="auto"/>
          <w:szCs w:val="21"/>
          <w:highlight w:val="none"/>
        </w:rPr>
        <w:t xml:space="preserve">6. </w:t>
      </w:r>
      <w:r>
        <w:rPr>
          <w:rFonts w:hint="eastAsia" w:ascii="宋体" w:hAnsi="宋体" w:cs="宋体"/>
          <w:b/>
          <w:bCs w:val="0"/>
          <w:color w:val="auto"/>
          <w:szCs w:val="21"/>
          <w:highlight w:val="none"/>
        </w:rPr>
        <w:t>合</w:t>
      </w:r>
      <w:r>
        <w:rPr>
          <w:rFonts w:hint="eastAsia" w:ascii="宋体" w:hAnsi="宋体" w:cs="宋体"/>
          <w:b/>
          <w:bCs/>
          <w:color w:val="auto"/>
          <w:szCs w:val="21"/>
          <w:highlight w:val="none"/>
        </w:rPr>
        <w:t>同生效、变更、暂停、解除与终止</w:t>
      </w:r>
    </w:p>
    <w:p w14:paraId="04B67AAD">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6.1 </w:t>
      </w:r>
      <w:r>
        <w:rPr>
          <w:rFonts w:hint="eastAsia" w:ascii="宋体" w:hAnsi="宋体" w:cs="宋体"/>
          <w:color w:val="auto"/>
          <w:szCs w:val="21"/>
          <w:highlight w:val="none"/>
        </w:rPr>
        <w:t>生效</w:t>
      </w:r>
    </w:p>
    <w:p w14:paraId="56F1E661">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本合同生效条件：</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委托人和</w:t>
      </w:r>
      <w:r>
        <w:rPr>
          <w:rFonts w:hint="eastAsia" w:ascii="宋体" w:hAnsi="宋体" w:eastAsia="宋体" w:cs="宋体"/>
          <w:color w:val="auto"/>
          <w:szCs w:val="21"/>
          <w:highlight w:val="none"/>
          <w:u w:val="single"/>
          <w:lang w:val="en-US" w:eastAsia="zh-CN"/>
        </w:rPr>
        <w:t>受托人</w:t>
      </w:r>
      <w:r>
        <w:rPr>
          <w:rFonts w:hint="eastAsia" w:ascii="宋体" w:hAnsi="宋体" w:eastAsia="宋体" w:cs="宋体"/>
          <w:color w:val="auto"/>
          <w:szCs w:val="21"/>
          <w:highlight w:val="none"/>
          <w:u w:val="single"/>
        </w:rPr>
        <w:t>的法定代</w:t>
      </w:r>
      <w:r>
        <w:rPr>
          <w:rFonts w:hint="eastAsia" w:ascii="宋体" w:hAnsi="宋体" w:cs="宋体"/>
          <w:color w:val="auto"/>
          <w:szCs w:val="21"/>
          <w:highlight w:val="none"/>
          <w:u w:val="single"/>
        </w:rPr>
        <w:t>表人或其授权代理人在协议书上签字并盖单位章后本合同生效</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5E86E440">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6.2 </w:t>
      </w:r>
      <w:r>
        <w:rPr>
          <w:rFonts w:hint="eastAsia" w:ascii="宋体" w:hAnsi="宋体" w:cs="宋体"/>
          <w:color w:val="auto"/>
          <w:szCs w:val="21"/>
          <w:highlight w:val="none"/>
        </w:rPr>
        <w:t>变更</w:t>
      </w:r>
    </w:p>
    <w:p w14:paraId="5CBD3331">
      <w:pPr>
        <w:adjustRightInd w:val="0"/>
        <w:snapToGrid w:val="0"/>
        <w:spacing w:line="440" w:lineRule="exact"/>
        <w:ind w:firstLine="420" w:firstLineChars="200"/>
        <w:rPr>
          <w:rFonts w:ascii="宋体" w:cs="宋体"/>
          <w:color w:val="auto"/>
          <w:szCs w:val="21"/>
          <w:highlight w:val="none"/>
        </w:rPr>
      </w:pPr>
      <w:r>
        <w:rPr>
          <w:rFonts w:ascii="宋体" w:hAnsi="宋体" w:cs="宋体"/>
          <w:color w:val="auto"/>
          <w:szCs w:val="21"/>
          <w:highlight w:val="none"/>
        </w:rPr>
        <w:t xml:space="preserve">6.2.2 </w:t>
      </w:r>
      <w:r>
        <w:rPr>
          <w:rFonts w:hint="eastAsia" w:ascii="宋体" w:hAnsi="宋体" w:cs="宋体"/>
          <w:color w:val="auto"/>
          <w:szCs w:val="21"/>
          <w:highlight w:val="none"/>
        </w:rPr>
        <w:t>除不可抗力外，</w:t>
      </w:r>
      <w:r>
        <w:rPr>
          <w:rFonts w:ascii="宋体" w:hAnsi="宋体" w:cs="宋体"/>
          <w:color w:val="auto"/>
          <w:szCs w:val="21"/>
          <w:highlight w:val="none"/>
        </w:rPr>
        <w:t xml:space="preserve"> </w:t>
      </w:r>
      <w:r>
        <w:rPr>
          <w:rFonts w:hint="eastAsia" w:ascii="宋体" w:hAnsi="宋体" w:cs="宋体"/>
          <w:color w:val="auto"/>
          <w:szCs w:val="21"/>
          <w:highlight w:val="none"/>
        </w:rPr>
        <w:t>因非</w:t>
      </w:r>
      <w:r>
        <w:rPr>
          <w:rFonts w:hint="eastAsia" w:ascii="宋体" w:hAnsi="宋体" w:cs="宋体"/>
          <w:b/>
          <w:color w:val="auto"/>
          <w:szCs w:val="21"/>
          <w:highlight w:val="none"/>
          <w:lang w:val="en-US" w:eastAsia="zh-CN"/>
        </w:rPr>
        <w:t>受托人</w:t>
      </w:r>
      <w:r>
        <w:rPr>
          <w:rFonts w:hint="eastAsia" w:ascii="宋体" w:hAnsi="宋体" w:cs="宋体"/>
          <w:color w:val="auto"/>
          <w:szCs w:val="21"/>
          <w:highlight w:val="none"/>
        </w:rPr>
        <w:t>原因导致本合同期限延长时，附加工作酬金按下列方法确定：</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无</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s="宋体"/>
          <w:color w:val="auto"/>
          <w:szCs w:val="21"/>
          <w:highlight w:val="none"/>
          <w:u w:val="single"/>
        </w:rPr>
        <w:t xml:space="preserve">  </w:t>
      </w:r>
    </w:p>
    <w:p w14:paraId="0C6C8ED6">
      <w:pPr>
        <w:snapToGrid w:val="0"/>
        <w:spacing w:line="440" w:lineRule="exact"/>
        <w:ind w:firstLine="420" w:firstLineChars="200"/>
        <w:rPr>
          <w:rFonts w:ascii="宋体" w:cs="宋体"/>
          <w:color w:val="auto"/>
          <w:szCs w:val="21"/>
          <w:highlight w:val="none"/>
          <w:u w:val="single"/>
        </w:rPr>
      </w:pPr>
      <w:r>
        <w:rPr>
          <w:rFonts w:ascii="宋体" w:hAnsi="宋体" w:cs="宋体"/>
          <w:color w:val="auto"/>
          <w:szCs w:val="21"/>
          <w:highlight w:val="none"/>
        </w:rPr>
        <w:t>6.2.3</w:t>
      </w:r>
      <w:r>
        <w:rPr>
          <w:rFonts w:hint="eastAsia" w:ascii="宋体" w:hAnsi="宋体" w:cs="宋体"/>
          <w:color w:val="auto"/>
          <w:szCs w:val="21"/>
          <w:highlight w:val="none"/>
        </w:rPr>
        <w:t>附加工作酬金按下列方法确定：</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无</w:t>
      </w:r>
      <w:r>
        <w:rPr>
          <w:rFonts w:ascii="宋体" w:hAnsi="宋体" w:cs="宋体"/>
          <w:color w:val="auto"/>
          <w:szCs w:val="21"/>
          <w:highlight w:val="none"/>
          <w:u w:val="single"/>
        </w:rPr>
        <w:t xml:space="preserve">             </w:t>
      </w:r>
    </w:p>
    <w:p w14:paraId="00066B19">
      <w:pPr>
        <w:adjustRightInd w:val="0"/>
        <w:snapToGrid w:val="0"/>
        <w:spacing w:line="440" w:lineRule="exact"/>
        <w:ind w:firstLine="420" w:firstLineChars="200"/>
        <w:rPr>
          <w:rFonts w:ascii="宋体" w:cs="宋体"/>
          <w:color w:val="auto"/>
          <w:szCs w:val="21"/>
          <w:highlight w:val="none"/>
        </w:rPr>
      </w:pPr>
      <w:r>
        <w:rPr>
          <w:rFonts w:ascii="宋体" w:hAnsi="宋体" w:cs="宋体"/>
          <w:color w:val="auto"/>
          <w:szCs w:val="21"/>
          <w:highlight w:val="none"/>
        </w:rPr>
        <w:t xml:space="preserve">6.2.5 </w:t>
      </w:r>
      <w:r>
        <w:rPr>
          <w:rFonts w:hint="eastAsia" w:ascii="宋体" w:hAnsi="宋体" w:cs="宋体"/>
          <w:color w:val="auto"/>
          <w:szCs w:val="21"/>
          <w:highlight w:val="none"/>
        </w:rPr>
        <w:t>正常工作酬金增加额按下列方法确定：</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无</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4E2E40FB">
      <w:pPr>
        <w:snapToGrid w:val="0"/>
        <w:spacing w:line="440" w:lineRule="exact"/>
        <w:ind w:firstLine="420" w:firstLineChars="200"/>
        <w:rPr>
          <w:rFonts w:ascii="宋体" w:cs="宋体"/>
          <w:color w:val="auto"/>
          <w:szCs w:val="21"/>
          <w:highlight w:val="none"/>
        </w:rPr>
      </w:pPr>
      <w:r>
        <w:rPr>
          <w:rFonts w:ascii="宋体" w:hAnsi="宋体" w:cs="宋体"/>
          <w:color w:val="auto"/>
          <w:szCs w:val="21"/>
          <w:highlight w:val="none"/>
        </w:rPr>
        <w:t xml:space="preserve">6.2.6 </w:t>
      </w:r>
      <w:r>
        <w:rPr>
          <w:rFonts w:hint="eastAsia" w:ascii="宋体" w:hAnsi="宋体" w:cs="宋体"/>
          <w:color w:val="auto"/>
          <w:szCs w:val="21"/>
          <w:highlight w:val="none"/>
        </w:rPr>
        <w:t>因工程规模、监理范围的变</w:t>
      </w:r>
      <w:r>
        <w:rPr>
          <w:rFonts w:hint="eastAsia" w:ascii="宋体" w:hAnsi="宋体" w:cs="宋体"/>
          <w:b w:val="0"/>
          <w:bCs w:val="0"/>
          <w:color w:val="auto"/>
          <w:szCs w:val="21"/>
          <w:highlight w:val="none"/>
        </w:rPr>
        <w:t>化导致</w:t>
      </w:r>
      <w:r>
        <w:rPr>
          <w:rFonts w:hint="eastAsia" w:ascii="宋体" w:hAnsi="宋体" w:cs="宋体"/>
          <w:b w:val="0"/>
          <w:bCs w:val="0"/>
          <w:color w:val="auto"/>
          <w:szCs w:val="21"/>
          <w:highlight w:val="none"/>
          <w:lang w:val="en-US" w:eastAsia="zh-CN"/>
        </w:rPr>
        <w:t>受托人</w:t>
      </w:r>
      <w:r>
        <w:rPr>
          <w:rFonts w:hint="eastAsia" w:ascii="宋体" w:hAnsi="宋体" w:cs="宋体"/>
          <w:b w:val="0"/>
          <w:bCs w:val="0"/>
          <w:color w:val="auto"/>
          <w:szCs w:val="21"/>
          <w:highlight w:val="none"/>
        </w:rPr>
        <w:t>的正常</w:t>
      </w:r>
      <w:r>
        <w:rPr>
          <w:rFonts w:hint="eastAsia" w:ascii="宋体" w:hAnsi="宋体" w:cs="宋体"/>
          <w:color w:val="auto"/>
          <w:szCs w:val="21"/>
          <w:highlight w:val="none"/>
        </w:rPr>
        <w:t>工作量减少时，按减少工作量的比例从协议书约定的正常工作酬金中扣减相同比例的酬金。</w:t>
      </w:r>
    </w:p>
    <w:p w14:paraId="02EFC65C">
      <w:pPr>
        <w:snapToGrid w:val="0"/>
        <w:spacing w:line="440" w:lineRule="exact"/>
        <w:ind w:firstLine="422" w:firstLineChars="200"/>
        <w:jc w:val="left"/>
        <w:rPr>
          <w:rFonts w:ascii="宋体" w:cs="宋体"/>
          <w:b/>
          <w:color w:val="auto"/>
          <w:szCs w:val="21"/>
          <w:highlight w:val="none"/>
        </w:rPr>
      </w:pPr>
      <w:r>
        <w:rPr>
          <w:rFonts w:ascii="宋体" w:hAnsi="宋体" w:cs="宋体"/>
          <w:b/>
          <w:bCs/>
          <w:color w:val="auto"/>
          <w:szCs w:val="21"/>
          <w:highlight w:val="none"/>
        </w:rPr>
        <w:t xml:space="preserve">7. </w:t>
      </w:r>
      <w:r>
        <w:rPr>
          <w:rFonts w:hint="eastAsia" w:ascii="宋体" w:hAnsi="宋体" w:cs="宋体"/>
          <w:b/>
          <w:bCs/>
          <w:color w:val="auto"/>
          <w:szCs w:val="21"/>
          <w:highlight w:val="none"/>
        </w:rPr>
        <w:t>争议解决</w:t>
      </w:r>
    </w:p>
    <w:p w14:paraId="73068BE7">
      <w:pPr>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7.2 </w:t>
      </w:r>
      <w:r>
        <w:rPr>
          <w:rFonts w:hint="eastAsia" w:ascii="宋体" w:hAnsi="宋体" w:cs="宋体"/>
          <w:bCs/>
          <w:color w:val="auto"/>
          <w:szCs w:val="21"/>
          <w:highlight w:val="none"/>
        </w:rPr>
        <w:t>调解</w:t>
      </w:r>
    </w:p>
    <w:p w14:paraId="4924FF60">
      <w:pPr>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本合同争议进行调解时，可提交</w:t>
      </w:r>
      <w:r>
        <w:rPr>
          <w:rFonts w:ascii="宋体" w:hAnsi="宋体" w:cs="宋体"/>
          <w:color w:val="auto"/>
          <w:szCs w:val="21"/>
          <w:highlight w:val="none"/>
          <w:u w:val="single"/>
        </w:rPr>
        <w:t xml:space="preserve">        </w:t>
      </w:r>
      <w:r>
        <w:rPr>
          <w:rFonts w:hint="eastAsia" w:ascii="宋体" w:hAnsi="宋体" w:cs="宋体"/>
          <w:color w:val="auto"/>
          <w:szCs w:val="21"/>
          <w:highlight w:val="none"/>
        </w:rPr>
        <w:t>进行调解。</w:t>
      </w:r>
    </w:p>
    <w:p w14:paraId="77F06BB0">
      <w:pPr>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7.3 </w:t>
      </w:r>
      <w:r>
        <w:rPr>
          <w:rFonts w:hint="eastAsia" w:ascii="宋体" w:hAnsi="宋体" w:cs="宋体"/>
          <w:bCs/>
          <w:color w:val="auto"/>
          <w:szCs w:val="21"/>
          <w:highlight w:val="none"/>
        </w:rPr>
        <w:t>仲裁或诉讼</w:t>
      </w:r>
    </w:p>
    <w:p w14:paraId="1CFE9E52">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合同争议的最终解决方式为下列第</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lang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种方式：</w:t>
      </w:r>
    </w:p>
    <w:p w14:paraId="5A97464E">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）提请</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滁州</w:t>
      </w:r>
      <w:r>
        <w:rPr>
          <w:rFonts w:ascii="宋体" w:hAnsi="宋体" w:cs="宋体"/>
          <w:color w:val="auto"/>
          <w:szCs w:val="21"/>
          <w:highlight w:val="none"/>
          <w:u w:val="single"/>
        </w:rPr>
        <w:t xml:space="preserve">   </w:t>
      </w:r>
      <w:r>
        <w:rPr>
          <w:rFonts w:hint="eastAsia" w:ascii="宋体" w:hAnsi="宋体" w:cs="宋体"/>
          <w:color w:val="auto"/>
          <w:szCs w:val="21"/>
          <w:highlight w:val="none"/>
        </w:rPr>
        <w:t>仲裁委员会进行仲裁。</w:t>
      </w:r>
    </w:p>
    <w:p w14:paraId="435CAFE2">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）向</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项目所在地南谯人民法院</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提起诉讼。</w:t>
      </w:r>
    </w:p>
    <w:p w14:paraId="364EF039">
      <w:pPr>
        <w:adjustRightInd w:val="0"/>
        <w:snapToGrid w:val="0"/>
        <w:spacing w:line="440" w:lineRule="exact"/>
        <w:ind w:firstLine="422" w:firstLineChars="200"/>
        <w:jc w:val="left"/>
        <w:rPr>
          <w:rFonts w:ascii="宋体" w:cs="宋体"/>
          <w:b/>
          <w:bCs/>
          <w:color w:val="auto"/>
          <w:szCs w:val="21"/>
          <w:highlight w:val="none"/>
        </w:rPr>
      </w:pPr>
      <w:r>
        <w:rPr>
          <w:rFonts w:ascii="宋体" w:hAnsi="宋体" w:cs="宋体"/>
          <w:b/>
          <w:bCs/>
          <w:color w:val="auto"/>
          <w:szCs w:val="21"/>
          <w:highlight w:val="none"/>
        </w:rPr>
        <w:t xml:space="preserve">8. </w:t>
      </w:r>
      <w:r>
        <w:rPr>
          <w:rFonts w:hint="eastAsia" w:ascii="宋体" w:hAnsi="宋体" w:cs="宋体"/>
          <w:b/>
          <w:bCs/>
          <w:color w:val="auto"/>
          <w:szCs w:val="21"/>
          <w:highlight w:val="none"/>
        </w:rPr>
        <w:t>其他</w:t>
      </w:r>
    </w:p>
    <w:p w14:paraId="1395CB5A">
      <w:pPr>
        <w:adjustRightInd w:val="0"/>
        <w:snapToGrid w:val="0"/>
        <w:spacing w:line="440" w:lineRule="exact"/>
        <w:ind w:firstLine="420" w:firstLineChars="200"/>
        <w:jc w:val="left"/>
        <w:rPr>
          <w:rFonts w:ascii="宋体" w:cs="宋体"/>
          <w:bCs/>
          <w:color w:val="auto"/>
          <w:szCs w:val="21"/>
          <w:highlight w:val="none"/>
        </w:rPr>
      </w:pPr>
      <w:r>
        <w:rPr>
          <w:rFonts w:ascii="宋体" w:hAnsi="宋体" w:cs="宋体"/>
          <w:bCs/>
          <w:color w:val="auto"/>
          <w:szCs w:val="21"/>
          <w:highlight w:val="none"/>
        </w:rPr>
        <w:t xml:space="preserve">8.2 </w:t>
      </w:r>
      <w:r>
        <w:rPr>
          <w:rFonts w:hint="eastAsia" w:ascii="宋体" w:hAnsi="宋体" w:cs="宋体"/>
          <w:bCs/>
          <w:color w:val="auto"/>
          <w:szCs w:val="21"/>
          <w:highlight w:val="none"/>
        </w:rPr>
        <w:t>检测费用</w:t>
      </w:r>
    </w:p>
    <w:p w14:paraId="0A93FCC7">
      <w:pPr>
        <w:adjustRightInd w:val="0"/>
        <w:snapToGrid w:val="0"/>
        <w:spacing w:line="440" w:lineRule="exact"/>
        <w:ind w:firstLine="420" w:firstLineChars="200"/>
        <w:jc w:val="left"/>
        <w:rPr>
          <w:rFonts w:ascii="宋体" w:cs="宋体"/>
          <w:bCs/>
          <w:color w:val="auto"/>
          <w:szCs w:val="21"/>
          <w:highlight w:val="none"/>
        </w:rPr>
      </w:pPr>
      <w:r>
        <w:rPr>
          <w:rFonts w:hint="eastAsia" w:ascii="宋体" w:hAnsi="宋体" w:cs="宋体"/>
          <w:bCs/>
          <w:color w:val="auto"/>
          <w:szCs w:val="21"/>
          <w:highlight w:val="none"/>
        </w:rPr>
        <w:t>委托人应在检测工作完成后</w:t>
      </w:r>
      <w:r>
        <w:rPr>
          <w:rFonts w:ascii="宋体" w:hAnsi="宋体" w:cs="宋体"/>
          <w:color w:val="auto"/>
          <w:szCs w:val="21"/>
          <w:highlight w:val="none"/>
          <w:u w:val="single"/>
        </w:rPr>
        <w:t xml:space="preserve">  /   </w:t>
      </w:r>
      <w:r>
        <w:rPr>
          <w:rFonts w:hint="eastAsia" w:ascii="宋体" w:hAnsi="宋体" w:cs="宋体"/>
          <w:bCs/>
          <w:color w:val="auto"/>
          <w:szCs w:val="21"/>
          <w:highlight w:val="none"/>
        </w:rPr>
        <w:t>天内支付检测费用。</w:t>
      </w:r>
    </w:p>
    <w:p w14:paraId="30B88283">
      <w:pPr>
        <w:adjustRightInd w:val="0"/>
        <w:snapToGrid w:val="0"/>
        <w:spacing w:line="440" w:lineRule="exact"/>
        <w:ind w:firstLine="420" w:firstLineChars="200"/>
        <w:jc w:val="left"/>
        <w:rPr>
          <w:rFonts w:ascii="宋体" w:cs="宋体"/>
          <w:bCs/>
          <w:color w:val="auto"/>
          <w:szCs w:val="21"/>
          <w:highlight w:val="none"/>
        </w:rPr>
      </w:pPr>
      <w:r>
        <w:rPr>
          <w:rFonts w:ascii="宋体" w:hAnsi="宋体" w:cs="宋体"/>
          <w:bCs/>
          <w:color w:val="auto"/>
          <w:szCs w:val="21"/>
          <w:highlight w:val="none"/>
        </w:rPr>
        <w:t xml:space="preserve">8.3 </w:t>
      </w:r>
      <w:r>
        <w:rPr>
          <w:rFonts w:hint="eastAsia" w:ascii="宋体" w:hAnsi="宋体" w:cs="宋体"/>
          <w:bCs/>
          <w:color w:val="auto"/>
          <w:szCs w:val="21"/>
          <w:highlight w:val="none"/>
        </w:rPr>
        <w:t>咨询费用</w:t>
      </w:r>
    </w:p>
    <w:p w14:paraId="210983F3">
      <w:pPr>
        <w:adjustRightInd w:val="0"/>
        <w:snapToGrid w:val="0"/>
        <w:spacing w:line="440" w:lineRule="exact"/>
        <w:ind w:firstLine="420" w:firstLineChars="200"/>
        <w:jc w:val="left"/>
        <w:rPr>
          <w:rFonts w:ascii="宋体" w:cs="宋体"/>
          <w:bCs/>
          <w:color w:val="auto"/>
          <w:szCs w:val="21"/>
          <w:highlight w:val="none"/>
        </w:rPr>
      </w:pPr>
      <w:r>
        <w:rPr>
          <w:rFonts w:hint="eastAsia" w:ascii="宋体" w:hAnsi="宋体" w:cs="宋体"/>
          <w:bCs/>
          <w:color w:val="auto"/>
          <w:szCs w:val="21"/>
          <w:highlight w:val="none"/>
        </w:rPr>
        <w:t>委托人应在咨询工作完成后</w:t>
      </w:r>
      <w:r>
        <w:rPr>
          <w:rFonts w:ascii="宋体" w:hAnsi="宋体" w:cs="宋体"/>
          <w:color w:val="auto"/>
          <w:szCs w:val="21"/>
          <w:highlight w:val="none"/>
          <w:u w:val="single"/>
        </w:rPr>
        <w:t xml:space="preserve">  /   </w:t>
      </w:r>
      <w:r>
        <w:rPr>
          <w:rFonts w:hint="eastAsia" w:ascii="宋体" w:hAnsi="宋体" w:cs="宋体"/>
          <w:bCs/>
          <w:color w:val="auto"/>
          <w:szCs w:val="21"/>
          <w:highlight w:val="none"/>
        </w:rPr>
        <w:t>天内支付咨询费用。</w:t>
      </w:r>
    </w:p>
    <w:p w14:paraId="3E02B861">
      <w:pPr>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8.4 </w:t>
      </w:r>
      <w:r>
        <w:rPr>
          <w:rFonts w:hint="eastAsia" w:ascii="宋体" w:hAnsi="宋体" w:cs="宋体"/>
          <w:color w:val="auto"/>
          <w:szCs w:val="21"/>
          <w:highlight w:val="none"/>
        </w:rPr>
        <w:t>奖励</w:t>
      </w:r>
    </w:p>
    <w:p w14:paraId="75C2DAC5">
      <w:pPr>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合理化建议的奖励金额按下列方法确定为：</w:t>
      </w:r>
    </w:p>
    <w:p w14:paraId="29EC44FA">
      <w:pPr>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奖励金额＝工程投资节省额×奖励金额的比率；</w:t>
      </w:r>
    </w:p>
    <w:p w14:paraId="4FDB2C6D">
      <w:pPr>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奖励金额的比率为</w:t>
      </w:r>
      <w:r>
        <w:rPr>
          <w:rFonts w:ascii="宋体" w:hAnsi="宋体" w:cs="宋体"/>
          <w:color w:val="auto"/>
          <w:szCs w:val="21"/>
          <w:highlight w:val="none"/>
          <w:u w:val="single"/>
        </w:rPr>
        <w:t xml:space="preserve">   /    </w:t>
      </w:r>
      <w:r>
        <w:rPr>
          <w:rFonts w:ascii="宋体" w:hAnsi="宋体" w:cs="宋体"/>
          <w:color w:val="auto"/>
          <w:szCs w:val="21"/>
          <w:highlight w:val="none"/>
        </w:rPr>
        <w:t>%</w:t>
      </w:r>
      <w:r>
        <w:rPr>
          <w:rFonts w:hint="eastAsia" w:ascii="宋体" w:hAnsi="宋体" w:cs="宋体"/>
          <w:color w:val="auto"/>
          <w:szCs w:val="21"/>
          <w:highlight w:val="none"/>
        </w:rPr>
        <w:t>。</w:t>
      </w:r>
    </w:p>
    <w:p w14:paraId="62635F24">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8.5 </w:t>
      </w:r>
      <w:r>
        <w:rPr>
          <w:rFonts w:hint="eastAsia" w:ascii="宋体" w:hAnsi="宋体" w:cs="宋体"/>
          <w:color w:val="auto"/>
          <w:szCs w:val="21"/>
          <w:highlight w:val="none"/>
        </w:rPr>
        <w:t>保密</w:t>
      </w:r>
    </w:p>
    <w:p w14:paraId="6649A1FB">
      <w:pPr>
        <w:adjustRightInd w:val="0"/>
        <w:snapToGrid w:val="0"/>
        <w:spacing w:line="440" w:lineRule="exact"/>
        <w:ind w:firstLine="420" w:firstLineChars="200"/>
        <w:jc w:val="left"/>
        <w:rPr>
          <w:rFonts w:ascii="宋体" w:cs="宋体"/>
          <w:color w:val="auto"/>
          <w:szCs w:val="21"/>
          <w:highlight w:val="none"/>
          <w:u w:val="single"/>
        </w:rPr>
      </w:pPr>
      <w:r>
        <w:rPr>
          <w:rFonts w:hint="eastAsia" w:ascii="宋体" w:hAnsi="宋体" w:cs="宋体"/>
          <w:color w:val="auto"/>
          <w:szCs w:val="21"/>
          <w:highlight w:val="none"/>
        </w:rPr>
        <w:t>委托人申明的保密事项和期限：</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14:paraId="07ED3833">
      <w:pPr>
        <w:adjustRightInd w:val="0"/>
        <w:snapToGrid w:val="0"/>
        <w:spacing w:line="440" w:lineRule="exact"/>
        <w:ind w:firstLine="420" w:firstLineChars="200"/>
        <w:jc w:val="left"/>
        <w:rPr>
          <w:rFonts w:ascii="宋体" w:cs="宋体"/>
          <w:b w:val="0"/>
          <w:bCs/>
          <w:color w:val="auto"/>
          <w:szCs w:val="21"/>
          <w:highlight w:val="none"/>
          <w:u w:val="single"/>
        </w:rPr>
      </w:pPr>
      <w:r>
        <w:rPr>
          <w:rFonts w:hint="eastAsia" w:ascii="宋体" w:hAnsi="宋体" w:cs="宋体"/>
          <w:b w:val="0"/>
          <w:bCs/>
          <w:color w:val="auto"/>
          <w:szCs w:val="21"/>
          <w:highlight w:val="none"/>
          <w:lang w:val="en-US" w:eastAsia="zh-CN"/>
        </w:rPr>
        <w:t>受托人</w:t>
      </w:r>
      <w:r>
        <w:rPr>
          <w:rFonts w:hint="eastAsia" w:ascii="宋体" w:hAnsi="宋体" w:cs="宋体"/>
          <w:b w:val="0"/>
          <w:bCs/>
          <w:color w:val="auto"/>
          <w:szCs w:val="21"/>
          <w:highlight w:val="none"/>
        </w:rPr>
        <w:t>申明的保密事项和期限：</w:t>
      </w:r>
      <w:r>
        <w:rPr>
          <w:rFonts w:ascii="宋体" w:hAnsi="宋体" w:cs="宋体"/>
          <w:b w:val="0"/>
          <w:bCs/>
          <w:color w:val="auto"/>
          <w:szCs w:val="21"/>
          <w:highlight w:val="none"/>
          <w:u w:val="single"/>
        </w:rPr>
        <w:t xml:space="preserve">        /                </w:t>
      </w:r>
      <w:r>
        <w:rPr>
          <w:rFonts w:hint="eastAsia" w:ascii="宋体" w:hAnsi="宋体" w:cs="宋体"/>
          <w:b w:val="0"/>
          <w:bCs/>
          <w:color w:val="auto"/>
          <w:szCs w:val="21"/>
          <w:highlight w:val="none"/>
        </w:rPr>
        <w:t>。</w:t>
      </w:r>
    </w:p>
    <w:p w14:paraId="310DDA4F">
      <w:pPr>
        <w:adjustRightInd w:val="0"/>
        <w:snapToGrid w:val="0"/>
        <w:spacing w:line="440" w:lineRule="exact"/>
        <w:ind w:firstLine="420" w:firstLineChars="200"/>
        <w:jc w:val="left"/>
        <w:rPr>
          <w:rFonts w:ascii="宋体" w:cs="宋体"/>
          <w:b w:val="0"/>
          <w:bCs/>
          <w:color w:val="auto"/>
          <w:szCs w:val="21"/>
          <w:highlight w:val="none"/>
          <w:u w:val="single"/>
        </w:rPr>
      </w:pPr>
      <w:r>
        <w:rPr>
          <w:rFonts w:hint="eastAsia" w:ascii="宋体" w:hAnsi="宋体" w:cs="宋体"/>
          <w:b w:val="0"/>
          <w:bCs/>
          <w:color w:val="auto"/>
          <w:szCs w:val="21"/>
          <w:highlight w:val="none"/>
        </w:rPr>
        <w:t>第三方申明的保密事项和期限：</w:t>
      </w:r>
      <w:r>
        <w:rPr>
          <w:rFonts w:ascii="宋体" w:hAnsi="宋体" w:cs="宋体"/>
          <w:b w:val="0"/>
          <w:bCs/>
          <w:color w:val="auto"/>
          <w:szCs w:val="21"/>
          <w:highlight w:val="none"/>
          <w:u w:val="single"/>
        </w:rPr>
        <w:t xml:space="preserve">        /                </w:t>
      </w:r>
      <w:r>
        <w:rPr>
          <w:rFonts w:hint="eastAsia" w:ascii="宋体" w:hAnsi="宋体" w:cs="宋体"/>
          <w:b w:val="0"/>
          <w:bCs/>
          <w:color w:val="auto"/>
          <w:szCs w:val="21"/>
          <w:highlight w:val="none"/>
        </w:rPr>
        <w:t>。</w:t>
      </w:r>
    </w:p>
    <w:p w14:paraId="0AC78565">
      <w:pPr>
        <w:snapToGrid w:val="0"/>
        <w:spacing w:line="440" w:lineRule="exact"/>
        <w:ind w:firstLine="420" w:firstLineChars="200"/>
        <w:jc w:val="left"/>
        <w:rPr>
          <w:rFonts w:ascii="宋体" w:cs="宋体"/>
          <w:b w:val="0"/>
          <w:bCs/>
          <w:color w:val="auto"/>
          <w:szCs w:val="21"/>
          <w:highlight w:val="none"/>
        </w:rPr>
      </w:pPr>
      <w:r>
        <w:rPr>
          <w:rFonts w:ascii="宋体" w:hAnsi="宋体" w:cs="宋体"/>
          <w:b w:val="0"/>
          <w:bCs/>
          <w:color w:val="auto"/>
          <w:szCs w:val="21"/>
          <w:highlight w:val="none"/>
        </w:rPr>
        <w:t>8.6</w:t>
      </w:r>
      <w:r>
        <w:rPr>
          <w:rFonts w:hint="eastAsia" w:ascii="宋体" w:hAnsi="宋体" w:cs="宋体"/>
          <w:b w:val="0"/>
          <w:bCs/>
          <w:color w:val="auto"/>
          <w:szCs w:val="21"/>
          <w:highlight w:val="none"/>
        </w:rPr>
        <w:t>著作权</w:t>
      </w:r>
    </w:p>
    <w:p w14:paraId="1ECB601F">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b w:val="0"/>
          <w:bCs/>
          <w:color w:val="auto"/>
          <w:szCs w:val="21"/>
          <w:highlight w:val="none"/>
          <w:lang w:val="en-US" w:eastAsia="zh-CN"/>
        </w:rPr>
        <w:t>受托人</w:t>
      </w:r>
      <w:r>
        <w:rPr>
          <w:rFonts w:hint="eastAsia" w:ascii="宋体" w:hAnsi="宋体" w:cs="宋体"/>
          <w:b w:val="0"/>
          <w:bCs/>
          <w:color w:val="auto"/>
          <w:szCs w:val="21"/>
          <w:highlight w:val="none"/>
        </w:rPr>
        <w:t>在</w:t>
      </w:r>
      <w:r>
        <w:rPr>
          <w:rFonts w:hint="eastAsia" w:ascii="宋体" w:hAnsi="宋体" w:cs="宋体"/>
          <w:color w:val="auto"/>
          <w:szCs w:val="21"/>
          <w:highlight w:val="none"/>
        </w:rPr>
        <w:t>本合同履行期间及本合同终止后两年内出版涉及本工程的有关监理与相关服务的资料的限制条件：</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14:paraId="1F38E625">
      <w:pPr>
        <w:spacing w:line="440" w:lineRule="exact"/>
        <w:ind w:firstLine="420" w:firstLineChars="200"/>
        <w:jc w:val="left"/>
        <w:rPr>
          <w:rFonts w:ascii="宋体" w:cs="宋体"/>
          <w:bCs/>
          <w:color w:val="auto"/>
          <w:szCs w:val="21"/>
          <w:highlight w:val="none"/>
        </w:rPr>
      </w:pPr>
      <w:r>
        <w:rPr>
          <w:rFonts w:ascii="宋体" w:hAnsi="宋体" w:cs="宋体"/>
          <w:bCs/>
          <w:color w:val="auto"/>
          <w:szCs w:val="21"/>
          <w:highlight w:val="none"/>
        </w:rPr>
        <w:t xml:space="preserve">9. </w:t>
      </w:r>
      <w:r>
        <w:rPr>
          <w:rFonts w:hint="eastAsia" w:ascii="宋体" w:hAnsi="宋体" w:cs="宋体"/>
          <w:bCs/>
          <w:color w:val="auto"/>
          <w:szCs w:val="21"/>
          <w:highlight w:val="none"/>
        </w:rPr>
        <w:t>补充条款：</w:t>
      </w:r>
    </w:p>
    <w:p w14:paraId="4B1DDA0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cs="宋体"/>
          <w:bCs/>
          <w:color w:val="auto"/>
          <w:szCs w:val="21"/>
          <w:highlight w:val="none"/>
        </w:rPr>
      </w:pPr>
      <w:r>
        <w:rPr>
          <w:rFonts w:ascii="宋体" w:hAnsi="宋体" w:cs="宋体"/>
          <w:bCs/>
          <w:color w:val="auto"/>
          <w:szCs w:val="21"/>
          <w:highlight w:val="none"/>
        </w:rPr>
        <w:t>9.1</w:t>
      </w:r>
      <w:r>
        <w:rPr>
          <w:rFonts w:hint="eastAsia" w:ascii="宋体" w:hAnsi="宋体" w:eastAsia="宋体" w:cs="宋体"/>
          <w:color w:val="auto"/>
          <w:sz w:val="21"/>
          <w:szCs w:val="21"/>
          <w:highlight w:val="none"/>
        </w:rPr>
        <w:t>人员配备要求</w:t>
      </w:r>
    </w:p>
    <w:p w14:paraId="099FEEB9">
      <w:pPr>
        <w:pStyle w:val="45"/>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hAnsi="宋体" w:cs="宋体"/>
          <w:color w:val="auto"/>
          <w:kern w:val="2"/>
          <w:sz w:val="21"/>
          <w:szCs w:val="21"/>
          <w:highlight w:val="none"/>
          <w:lang w:val="en-US" w:eastAsia="zh-CN" w:bidi="ar-SA"/>
        </w:rPr>
        <w:t>9.1.1</w:t>
      </w:r>
      <w:r>
        <w:rPr>
          <w:rFonts w:hint="eastAsia" w:ascii="宋体" w:hAnsi="宋体" w:eastAsia="宋体" w:cs="宋体"/>
          <w:color w:val="auto"/>
          <w:kern w:val="2"/>
          <w:sz w:val="21"/>
          <w:szCs w:val="21"/>
          <w:highlight w:val="none"/>
          <w:lang w:val="en-US" w:eastAsia="zh-CN" w:bidi="ar-SA"/>
        </w:rPr>
        <w:t>监理人员配备：总监理工程师1人（具有在投标单位注册的房屋建筑工程专业国家级注册监理工程师证书），专业监理工程师不少于</w:t>
      </w:r>
      <w:r>
        <w:rPr>
          <w:rFonts w:hint="eastAsia"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人（具有国家监理工程师注册证书或省建设厅或省监理协会颁发的监理工程师岗位证书人员，建筑工程类专业不得少于</w:t>
      </w:r>
      <w:r>
        <w:rPr>
          <w:rFonts w:hint="eastAsia"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人、机电安装工程类专业不得少于</w:t>
      </w:r>
      <w:r>
        <w:rPr>
          <w:rFonts w:hint="eastAsia"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人</w:t>
      </w:r>
      <w:r>
        <w:rPr>
          <w:rFonts w:hint="eastAsia" w:ascii="宋体" w:hAnsi="宋体" w:eastAsia="宋体" w:cs="宋体"/>
          <w:color w:val="auto"/>
          <w:kern w:val="2"/>
          <w:sz w:val="21"/>
          <w:szCs w:val="21"/>
          <w:highlight w:val="none"/>
          <w:lang w:val="en-US" w:eastAsia="zh-CN" w:bidi="ar-SA"/>
        </w:rPr>
        <w:t>），监理员不少于</w:t>
      </w:r>
      <w:r>
        <w:rPr>
          <w:rFonts w:hint="eastAsia"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人，见证员不少于1人（可兼任）。中标单位须单独设立监理部，产生所有费用由投标人自行承担。</w:t>
      </w:r>
    </w:p>
    <w:p w14:paraId="394F3F67">
      <w:pPr>
        <w:pStyle w:val="4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left"/>
        <w:textAlignment w:val="auto"/>
        <w:rPr>
          <w:rFonts w:hint="default" w:ascii="宋体" w:hAnsi="宋体" w:eastAsia="宋体" w:cs="宋体"/>
          <w:color w:val="auto"/>
          <w:kern w:val="2"/>
          <w:sz w:val="21"/>
          <w:szCs w:val="21"/>
          <w:highlight w:val="none"/>
          <w:lang w:val="en-US" w:eastAsia="zh-CN" w:bidi="ar-SA"/>
        </w:rPr>
      </w:pPr>
      <w:r>
        <w:rPr>
          <w:rFonts w:hint="eastAsia" w:hAnsi="宋体" w:cs="宋体"/>
          <w:color w:val="auto"/>
          <w:kern w:val="2"/>
          <w:sz w:val="21"/>
          <w:szCs w:val="21"/>
          <w:highlight w:val="none"/>
          <w:lang w:val="en-US" w:eastAsia="zh-CN" w:bidi="ar-SA"/>
        </w:rPr>
        <w:t>9.1.2</w:t>
      </w:r>
      <w:r>
        <w:rPr>
          <w:rFonts w:hint="eastAsia" w:ascii="宋体" w:hAnsi="宋体" w:eastAsia="宋体" w:cs="宋体"/>
          <w:color w:val="auto"/>
          <w:kern w:val="2"/>
          <w:sz w:val="21"/>
          <w:szCs w:val="21"/>
          <w:highlight w:val="none"/>
          <w:lang w:val="en-US" w:eastAsia="zh-CN" w:bidi="ar-SA"/>
        </w:rPr>
        <w:t>中标后人员配备须满足上述文件要求，否则提请建设行政主管部门和招投标监督管理部门进行处罚。进场人员必须与投标文件所配置的监理人员一致且齐全。若进场人员与投标文件所配置的监理人员不一致或不齐全的，招标人约谈法定代表人，并在15日内配齐人员，未在此期限内配齐人员的，将按10000元/人·天进行违约处理，30天之内仍未整改完成，招标人有权单方解除合同。</w:t>
      </w:r>
    </w:p>
    <w:p w14:paraId="0CBA990F">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9.1.3</w:t>
      </w:r>
      <w:r>
        <w:rPr>
          <w:rFonts w:hint="eastAsia" w:ascii="宋体" w:hAnsi="宋体" w:eastAsia="宋体" w:cs="宋体"/>
          <w:color w:val="auto"/>
          <w:kern w:val="2"/>
          <w:sz w:val="21"/>
          <w:szCs w:val="21"/>
          <w:highlight w:val="none"/>
          <w:lang w:val="en-US" w:eastAsia="zh-CN" w:bidi="ar-SA"/>
        </w:rPr>
        <w:t>工程开工进场后（根据施工实际需要安排，按照经批准的人员进场），监理单位必须按招标文件要求和投标承诺配备项目总监理工程师、专业监理工程师、监理员等监理部关键岗位人员。未经发包人同意，不得更换上述人员。确需变更的应提前7日向发包人提出书面申请。委托人因受托人所派人员管理能力不善未能满足相关服务而要求更换人员的，受托人必须无条件更换，同时委托人将处予受托人一定的违约金。违约金标准如下：</w:t>
      </w:r>
    </w:p>
    <w:p w14:paraId="0AE04860">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a、更换总监理工程师将处以每人每</w:t>
      </w:r>
      <w:r>
        <w:rPr>
          <w:rFonts w:hint="eastAsia" w:ascii="宋体" w:hAnsi="宋体" w:eastAsia="宋体" w:cs="宋体"/>
          <w:color w:val="auto"/>
          <w:kern w:val="2"/>
          <w:sz w:val="21"/>
          <w:szCs w:val="21"/>
          <w:highlight w:val="none"/>
          <w:lang w:val="en-US" w:eastAsia="zh-CN" w:bidi="ar-SA"/>
        </w:rPr>
        <w:t>次</w:t>
      </w:r>
      <w:r>
        <w:rPr>
          <w:rFonts w:hint="eastAsia" w:ascii="宋体" w:hAnsi="宋体" w:cs="宋体"/>
          <w:color w:val="auto"/>
          <w:kern w:val="2"/>
          <w:sz w:val="21"/>
          <w:szCs w:val="21"/>
          <w:highlight w:val="none"/>
          <w:lang w:val="en-US" w:eastAsia="zh-CN" w:bidi="ar-SA"/>
        </w:rPr>
        <w:t>20</w:t>
      </w:r>
      <w:r>
        <w:rPr>
          <w:rFonts w:hint="eastAsia" w:ascii="宋体" w:hAnsi="宋体" w:eastAsia="宋体" w:cs="宋体"/>
          <w:color w:val="auto"/>
          <w:kern w:val="2"/>
          <w:sz w:val="21"/>
          <w:szCs w:val="21"/>
          <w:highlight w:val="none"/>
          <w:lang w:val="en-US" w:eastAsia="zh-CN" w:bidi="ar-SA"/>
        </w:rPr>
        <w:t>万元</w:t>
      </w:r>
      <w:r>
        <w:rPr>
          <w:rFonts w:hint="eastAsia" w:ascii="宋体" w:hAnsi="宋体" w:eastAsia="宋体" w:cs="宋体"/>
          <w:color w:val="auto"/>
          <w:kern w:val="2"/>
          <w:sz w:val="21"/>
          <w:szCs w:val="21"/>
          <w:highlight w:val="none"/>
          <w:lang w:val="en-US" w:eastAsia="zh-CN" w:bidi="ar-SA"/>
        </w:rPr>
        <w:t>作为违约金且委托人有权终止合同；</w:t>
      </w:r>
    </w:p>
    <w:p w14:paraId="1371CDBD">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b、更换专业监理工程师的将处以每人每次10万元作为违约金，更换2人（含2人）以上的，委托人有权终止合同，并没收履约保证金。</w:t>
      </w:r>
    </w:p>
    <w:p w14:paraId="6A58234F">
      <w:pPr>
        <w:pStyle w:val="45"/>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c、更换其他监理人员的将处以每人每次5万元作为违约金，更换2人（含2人）以上的，委托人有权终止合同，并没收履约保证金。</w:t>
      </w:r>
    </w:p>
    <w:p w14:paraId="0CE3DE32">
      <w:pPr>
        <w:pStyle w:val="45"/>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d、未经委托人同意擅自更换总监理工程师或专业监理工程师或监理合同中确定的监理人员与监理人员不同的，委托人予以违约金</w:t>
      </w:r>
      <w:r>
        <w:rPr>
          <w:rFonts w:hint="eastAsia"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0</w:t>
      </w:r>
      <w:r>
        <w:rPr>
          <w:rFonts w:hint="eastAsia" w:ascii="宋体" w:hAnsi="宋体" w:eastAsia="宋体" w:cs="宋体"/>
          <w:color w:val="auto"/>
          <w:kern w:val="2"/>
          <w:sz w:val="21"/>
          <w:szCs w:val="21"/>
          <w:highlight w:val="none"/>
          <w:lang w:val="en-US" w:eastAsia="zh-CN" w:bidi="ar-SA"/>
        </w:rPr>
        <w:t>万元违约金/人.次，直至解除合同，并追究由此给</w:t>
      </w:r>
      <w:r>
        <w:rPr>
          <w:rFonts w:hint="eastAsia" w:hAnsi="宋体" w:cs="宋体"/>
          <w:color w:val="auto"/>
          <w:kern w:val="2"/>
          <w:sz w:val="21"/>
          <w:szCs w:val="21"/>
          <w:highlight w:val="none"/>
          <w:lang w:val="en-US" w:eastAsia="zh-CN" w:bidi="ar-SA"/>
        </w:rPr>
        <w:t>委托人</w:t>
      </w:r>
      <w:r>
        <w:rPr>
          <w:rFonts w:hint="eastAsia" w:ascii="宋体" w:hAnsi="宋体" w:eastAsia="宋体" w:cs="宋体"/>
          <w:color w:val="auto"/>
          <w:kern w:val="2"/>
          <w:sz w:val="21"/>
          <w:szCs w:val="21"/>
          <w:highlight w:val="none"/>
          <w:lang w:val="en-US" w:eastAsia="zh-CN" w:bidi="ar-SA"/>
        </w:rPr>
        <w:t>和相关人带来的一切损失。并上报建设行政主管部门，将该企业列入黑名单。</w:t>
      </w:r>
    </w:p>
    <w:p w14:paraId="33F641A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9.1.4</w:t>
      </w:r>
      <w:r>
        <w:rPr>
          <w:rFonts w:hint="eastAsia" w:ascii="宋体" w:hAnsi="宋体" w:eastAsia="宋体" w:cs="宋体"/>
          <w:color w:val="auto"/>
          <w:kern w:val="2"/>
          <w:sz w:val="21"/>
          <w:szCs w:val="21"/>
          <w:highlight w:val="none"/>
          <w:lang w:val="en-US" w:eastAsia="zh-CN" w:bidi="ar-SA"/>
        </w:rPr>
        <w:t>总监理工程师变更必须经委托人批准，总监除亡故、重大疾病、出国、辞职等原因外，原则上不得变更。其中</w:t>
      </w:r>
      <w:r>
        <w:rPr>
          <w:rFonts w:hint="default" w:ascii="宋体" w:hAnsi="宋体" w:eastAsia="宋体" w:cs="宋体"/>
          <w:color w:val="auto"/>
          <w:kern w:val="2"/>
          <w:sz w:val="21"/>
          <w:szCs w:val="21"/>
          <w:highlight w:val="none"/>
          <w:lang w:val="en-US" w:eastAsia="zh-CN" w:bidi="ar-SA"/>
        </w:rPr>
        <w:t>①</w:t>
      </w:r>
      <w:r>
        <w:rPr>
          <w:rFonts w:hint="eastAsia" w:ascii="宋体" w:hAnsi="宋体" w:eastAsia="宋体" w:cs="宋体"/>
          <w:color w:val="auto"/>
          <w:kern w:val="2"/>
          <w:sz w:val="21"/>
          <w:szCs w:val="21"/>
          <w:highlight w:val="none"/>
          <w:lang w:val="en-US" w:eastAsia="zh-CN" w:bidi="ar-SA"/>
        </w:rPr>
        <w:t>亡故的需提供公安部门开具的死亡证明；</w:t>
      </w:r>
      <w:r>
        <w:rPr>
          <w:rFonts w:hint="default" w:ascii="宋体" w:hAnsi="宋体" w:eastAsia="宋体" w:cs="宋体"/>
          <w:color w:val="auto"/>
          <w:kern w:val="2"/>
          <w:sz w:val="21"/>
          <w:szCs w:val="21"/>
          <w:highlight w:val="none"/>
          <w:lang w:val="en-US" w:eastAsia="zh-CN" w:bidi="ar-SA"/>
        </w:rPr>
        <w:t>②</w:t>
      </w:r>
      <w:r>
        <w:rPr>
          <w:rFonts w:hint="eastAsia" w:ascii="宋体" w:hAnsi="宋体" w:eastAsia="宋体" w:cs="宋体"/>
          <w:color w:val="auto"/>
          <w:kern w:val="2"/>
          <w:sz w:val="21"/>
          <w:szCs w:val="21"/>
          <w:highlight w:val="none"/>
          <w:lang w:val="en-US" w:eastAsia="zh-CN" w:bidi="ar-SA"/>
        </w:rPr>
        <w:t>重大疾病的需提供三甲及以上医院证明；</w:t>
      </w:r>
      <w:r>
        <w:rPr>
          <w:rFonts w:hint="default" w:ascii="宋体" w:hAnsi="宋体" w:eastAsia="宋体" w:cs="宋体"/>
          <w:color w:val="auto"/>
          <w:kern w:val="2"/>
          <w:sz w:val="21"/>
          <w:szCs w:val="21"/>
          <w:highlight w:val="none"/>
          <w:lang w:val="en-US" w:eastAsia="zh-CN" w:bidi="ar-SA"/>
        </w:rPr>
        <w:t>③</w:t>
      </w:r>
      <w:r>
        <w:rPr>
          <w:rFonts w:hint="eastAsia" w:ascii="宋体" w:hAnsi="宋体" w:eastAsia="宋体" w:cs="宋体"/>
          <w:color w:val="auto"/>
          <w:kern w:val="2"/>
          <w:sz w:val="21"/>
          <w:szCs w:val="21"/>
          <w:highlight w:val="none"/>
          <w:lang w:val="en-US" w:eastAsia="zh-CN" w:bidi="ar-SA"/>
        </w:rPr>
        <w:t>出国、辞职等原因提出变更的，需提供相关证明；上述</w:t>
      </w:r>
      <w:r>
        <w:rPr>
          <w:rFonts w:hint="default" w:ascii="宋体" w:hAnsi="宋体" w:eastAsia="宋体" w:cs="宋体"/>
          <w:color w:val="auto"/>
          <w:kern w:val="2"/>
          <w:sz w:val="21"/>
          <w:szCs w:val="21"/>
          <w:highlight w:val="none"/>
          <w:lang w:val="en-US" w:eastAsia="zh-CN" w:bidi="ar-SA"/>
        </w:rPr>
        <w:t>②</w:t>
      </w:r>
      <w:r>
        <w:rPr>
          <w:rFonts w:hint="eastAsia" w:ascii="宋体" w:hAnsi="宋体" w:eastAsia="宋体" w:cs="宋体"/>
          <w:color w:val="auto"/>
          <w:kern w:val="2"/>
          <w:sz w:val="21"/>
          <w:szCs w:val="21"/>
          <w:highlight w:val="none"/>
          <w:lang w:val="en-US" w:eastAsia="zh-CN" w:bidi="ar-SA"/>
        </w:rPr>
        <w:t>和</w:t>
      </w:r>
      <w:r>
        <w:rPr>
          <w:rFonts w:hint="default" w:ascii="宋体" w:hAnsi="宋体" w:eastAsia="宋体" w:cs="宋体"/>
          <w:color w:val="auto"/>
          <w:kern w:val="2"/>
          <w:sz w:val="21"/>
          <w:szCs w:val="21"/>
          <w:highlight w:val="none"/>
          <w:lang w:val="en-US" w:eastAsia="zh-CN" w:bidi="ar-SA"/>
        </w:rPr>
        <w:t>③</w:t>
      </w:r>
      <w:r>
        <w:rPr>
          <w:rFonts w:hint="eastAsia" w:ascii="宋体" w:hAnsi="宋体" w:eastAsia="宋体" w:cs="宋体"/>
          <w:color w:val="auto"/>
          <w:kern w:val="2"/>
          <w:sz w:val="21"/>
          <w:szCs w:val="21"/>
          <w:highlight w:val="none"/>
          <w:lang w:val="en-US" w:eastAsia="zh-CN" w:bidi="ar-SA"/>
        </w:rPr>
        <w:t>变更除需提供相关证明外，均须缴纳</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0</w:t>
      </w:r>
      <w:r>
        <w:rPr>
          <w:rFonts w:hint="eastAsia" w:ascii="宋体" w:hAnsi="宋体" w:eastAsia="宋体" w:cs="宋体"/>
          <w:color w:val="auto"/>
          <w:kern w:val="2"/>
          <w:sz w:val="21"/>
          <w:szCs w:val="21"/>
          <w:highlight w:val="none"/>
          <w:lang w:val="en-US" w:eastAsia="zh-CN" w:bidi="ar-SA"/>
        </w:rPr>
        <w:t>万元违约金，否则不得变更。更换后的总监理工程师的资格、业绩等不得低于更换前的要求。</w:t>
      </w:r>
    </w:p>
    <w:p w14:paraId="3AD68D5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9.1.5</w:t>
      </w:r>
      <w:r>
        <w:rPr>
          <w:rFonts w:hint="eastAsia" w:ascii="宋体" w:hAnsi="宋体" w:eastAsia="宋体" w:cs="宋体"/>
          <w:color w:val="auto"/>
          <w:kern w:val="2"/>
          <w:sz w:val="21"/>
          <w:szCs w:val="21"/>
          <w:highlight w:val="none"/>
          <w:lang w:val="en-US" w:eastAsia="zh-CN" w:bidi="ar-SA"/>
        </w:rPr>
        <w:t>专业监理工程师变更必须经委托人批准，专业监理工程师除亡故、重大疾病、出国、辞职等原因外，原则上不得变更。其中</w:t>
      </w:r>
      <w:r>
        <w:rPr>
          <w:rFonts w:hint="default" w:ascii="宋体" w:hAnsi="宋体" w:eastAsia="宋体" w:cs="宋体"/>
          <w:color w:val="auto"/>
          <w:kern w:val="2"/>
          <w:sz w:val="21"/>
          <w:szCs w:val="21"/>
          <w:highlight w:val="none"/>
          <w:lang w:val="en-US" w:eastAsia="zh-CN" w:bidi="ar-SA"/>
        </w:rPr>
        <w:t>①</w:t>
      </w:r>
      <w:r>
        <w:rPr>
          <w:rFonts w:hint="eastAsia" w:ascii="宋体" w:hAnsi="宋体" w:eastAsia="宋体" w:cs="宋体"/>
          <w:color w:val="auto"/>
          <w:kern w:val="2"/>
          <w:sz w:val="21"/>
          <w:szCs w:val="21"/>
          <w:highlight w:val="none"/>
          <w:lang w:val="en-US" w:eastAsia="zh-CN" w:bidi="ar-SA"/>
        </w:rPr>
        <w:t>亡故的需提供公安部门开具的死亡证明；</w:t>
      </w:r>
      <w:r>
        <w:rPr>
          <w:rFonts w:hint="default" w:ascii="宋体" w:hAnsi="宋体" w:eastAsia="宋体" w:cs="宋体"/>
          <w:color w:val="auto"/>
          <w:kern w:val="2"/>
          <w:sz w:val="21"/>
          <w:szCs w:val="21"/>
          <w:highlight w:val="none"/>
          <w:lang w:val="en-US" w:eastAsia="zh-CN" w:bidi="ar-SA"/>
        </w:rPr>
        <w:t>②</w:t>
      </w:r>
      <w:r>
        <w:rPr>
          <w:rFonts w:hint="eastAsia" w:ascii="宋体" w:hAnsi="宋体" w:eastAsia="宋体" w:cs="宋体"/>
          <w:color w:val="auto"/>
          <w:kern w:val="2"/>
          <w:sz w:val="21"/>
          <w:szCs w:val="21"/>
          <w:highlight w:val="none"/>
          <w:lang w:val="en-US" w:eastAsia="zh-CN" w:bidi="ar-SA"/>
        </w:rPr>
        <w:t>重大疾病的需提供三甲及以上医院证明；</w:t>
      </w:r>
      <w:r>
        <w:rPr>
          <w:rFonts w:hint="default" w:ascii="宋体" w:hAnsi="宋体" w:eastAsia="宋体" w:cs="宋体"/>
          <w:color w:val="auto"/>
          <w:kern w:val="2"/>
          <w:sz w:val="21"/>
          <w:szCs w:val="21"/>
          <w:highlight w:val="none"/>
          <w:lang w:val="en-US" w:eastAsia="zh-CN" w:bidi="ar-SA"/>
        </w:rPr>
        <w:t>③</w:t>
      </w:r>
      <w:r>
        <w:rPr>
          <w:rFonts w:hint="eastAsia" w:ascii="宋体" w:hAnsi="宋体" w:eastAsia="宋体" w:cs="宋体"/>
          <w:color w:val="auto"/>
          <w:kern w:val="2"/>
          <w:sz w:val="21"/>
          <w:szCs w:val="21"/>
          <w:highlight w:val="none"/>
          <w:lang w:val="en-US" w:eastAsia="zh-CN" w:bidi="ar-SA"/>
        </w:rPr>
        <w:t>出国、辞职等原因提出变更的，需提供相关证明；上述</w:t>
      </w:r>
      <w:r>
        <w:rPr>
          <w:rFonts w:hint="default" w:ascii="宋体" w:hAnsi="宋体" w:eastAsia="宋体" w:cs="宋体"/>
          <w:color w:val="auto"/>
          <w:kern w:val="2"/>
          <w:sz w:val="21"/>
          <w:szCs w:val="21"/>
          <w:highlight w:val="none"/>
          <w:lang w:val="en-US" w:eastAsia="zh-CN" w:bidi="ar-SA"/>
        </w:rPr>
        <w:t>②</w:t>
      </w:r>
      <w:r>
        <w:rPr>
          <w:rFonts w:hint="eastAsia" w:ascii="宋体" w:hAnsi="宋体" w:eastAsia="宋体" w:cs="宋体"/>
          <w:color w:val="auto"/>
          <w:kern w:val="2"/>
          <w:sz w:val="21"/>
          <w:szCs w:val="21"/>
          <w:highlight w:val="none"/>
          <w:lang w:val="en-US" w:eastAsia="zh-CN" w:bidi="ar-SA"/>
        </w:rPr>
        <w:t>和</w:t>
      </w:r>
      <w:r>
        <w:rPr>
          <w:rFonts w:hint="default" w:ascii="宋体" w:hAnsi="宋体" w:eastAsia="宋体" w:cs="宋体"/>
          <w:color w:val="auto"/>
          <w:kern w:val="2"/>
          <w:sz w:val="21"/>
          <w:szCs w:val="21"/>
          <w:highlight w:val="none"/>
          <w:lang w:val="en-US" w:eastAsia="zh-CN" w:bidi="ar-SA"/>
        </w:rPr>
        <w:t>③</w:t>
      </w:r>
      <w:r>
        <w:rPr>
          <w:rFonts w:hint="eastAsia" w:ascii="宋体" w:hAnsi="宋体" w:eastAsia="宋体" w:cs="宋体"/>
          <w:color w:val="auto"/>
          <w:kern w:val="2"/>
          <w:sz w:val="21"/>
          <w:szCs w:val="21"/>
          <w:highlight w:val="none"/>
          <w:lang w:val="en-US" w:eastAsia="zh-CN" w:bidi="ar-SA"/>
        </w:rPr>
        <w:t>变更除需提供相关证明外，均须缴纳10万元违约金，否则不得变更。更换后的专业监理工程师的资格、业绩等不得低于更换前的要求。</w:t>
      </w:r>
    </w:p>
    <w:p w14:paraId="5FED98C4">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9.1.6</w:t>
      </w:r>
      <w:r>
        <w:rPr>
          <w:rFonts w:hint="eastAsia" w:ascii="宋体" w:hAnsi="宋体" w:eastAsia="宋体" w:cs="宋体"/>
          <w:color w:val="auto"/>
          <w:kern w:val="2"/>
          <w:sz w:val="21"/>
          <w:szCs w:val="21"/>
          <w:highlight w:val="none"/>
          <w:lang w:val="en-US" w:eastAsia="zh-CN" w:bidi="ar-SA"/>
        </w:rPr>
        <w:t>更换其他监理人员，未经发包人同意，不得更换。确需变更的应提前7日向发包人提出书面申请，同时对受托人将予以违约金处理。委托人因监受托人所派人员管理能力不善未能满足相关服务而要求更换人员的，监理人必须无条件更换，同时委托人将处予受托人一定的违约金。违约金标准详见第四章合同补充条款相关要求。</w:t>
      </w:r>
    </w:p>
    <w:p w14:paraId="2DA2C434">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9.1.7</w:t>
      </w:r>
      <w:r>
        <w:rPr>
          <w:rFonts w:hint="eastAsia" w:ascii="宋体" w:hAnsi="宋体" w:eastAsia="宋体" w:cs="宋体"/>
          <w:color w:val="auto"/>
          <w:kern w:val="2"/>
          <w:sz w:val="21"/>
          <w:szCs w:val="21"/>
          <w:highlight w:val="none"/>
          <w:lang w:val="en-US" w:eastAsia="zh-CN" w:bidi="ar-SA"/>
        </w:rPr>
        <w:t>拟派的总监理工程师在合同工期内每月在岗时间不得少于26天且每天在岗时间不得少于8小时，每缺少一天（含在岗不足8小时）将处以5000 元/人/次违约金；专业监理工程师和监理员在合同工期内每月在岗时间不得少于28天且每天在岗时间不得少于8小时，专业监理工程师每缺少一天（含在岗不足8小时）将处以3000元/人/次违约金，其他人员每缺少一天（含在岗不足8小时）将处以2000元/人/次违约金。</w:t>
      </w:r>
    </w:p>
    <w:p w14:paraId="142B79C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9.2</w:t>
      </w:r>
      <w:r>
        <w:rPr>
          <w:rFonts w:hint="eastAsia" w:ascii="宋体" w:hAnsi="宋体" w:eastAsia="宋体" w:cs="宋体"/>
          <w:color w:val="auto"/>
          <w:kern w:val="2"/>
          <w:sz w:val="21"/>
          <w:szCs w:val="21"/>
          <w:highlight w:val="none"/>
          <w:lang w:val="en-US" w:eastAsia="zh-CN" w:bidi="ar-SA"/>
        </w:rPr>
        <w:t>其他要求</w:t>
      </w:r>
    </w:p>
    <w:p w14:paraId="1DFA5F63">
      <w:pPr>
        <w:pStyle w:val="45"/>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hAnsi="宋体" w:cs="宋体"/>
          <w:color w:val="auto"/>
          <w:kern w:val="2"/>
          <w:sz w:val="21"/>
          <w:szCs w:val="21"/>
          <w:highlight w:val="none"/>
          <w:lang w:val="en-US" w:eastAsia="zh-CN" w:bidi="ar-SA"/>
        </w:rPr>
        <w:t>9.2.1</w:t>
      </w:r>
      <w:r>
        <w:rPr>
          <w:rFonts w:hint="eastAsia" w:ascii="宋体" w:hAnsi="宋体" w:eastAsia="宋体" w:cs="宋体"/>
          <w:color w:val="auto"/>
          <w:kern w:val="2"/>
          <w:sz w:val="21"/>
          <w:szCs w:val="21"/>
          <w:highlight w:val="none"/>
          <w:lang w:val="en-US" w:eastAsia="zh-CN" w:bidi="ar-SA"/>
        </w:rPr>
        <w:t>拟组建的监理人</w:t>
      </w:r>
      <w:r>
        <w:rPr>
          <w:rFonts w:hint="eastAsia" w:hAnsi="宋体" w:cs="宋体"/>
          <w:color w:val="auto"/>
          <w:kern w:val="2"/>
          <w:sz w:val="21"/>
          <w:szCs w:val="21"/>
          <w:highlight w:val="none"/>
          <w:lang w:val="en-US" w:eastAsia="zh-CN" w:bidi="ar-SA"/>
        </w:rPr>
        <w:t>机构</w:t>
      </w:r>
      <w:r>
        <w:rPr>
          <w:rFonts w:hint="eastAsia" w:ascii="宋体" w:hAnsi="宋体" w:eastAsia="宋体" w:cs="宋体"/>
          <w:color w:val="auto"/>
          <w:kern w:val="2"/>
          <w:sz w:val="21"/>
          <w:szCs w:val="21"/>
          <w:highlight w:val="none"/>
          <w:lang w:val="en-US" w:eastAsia="zh-CN" w:bidi="ar-SA"/>
        </w:rPr>
        <w:t>员年龄均不得超过60周岁，其中</w:t>
      </w:r>
      <w:r>
        <w:rPr>
          <w:rFonts w:hint="eastAsia" w:hAnsi="宋体" w:cs="宋体"/>
          <w:color w:val="auto"/>
          <w:kern w:val="2"/>
          <w:sz w:val="21"/>
          <w:szCs w:val="21"/>
          <w:highlight w:val="none"/>
          <w:lang w:val="en-US" w:eastAsia="zh-CN" w:bidi="ar-SA"/>
        </w:rPr>
        <w:t>项目</w:t>
      </w:r>
      <w:r>
        <w:rPr>
          <w:rFonts w:hint="eastAsia" w:ascii="宋体" w:hAnsi="宋体" w:eastAsia="宋体" w:cs="宋体"/>
          <w:color w:val="auto"/>
          <w:kern w:val="2"/>
          <w:sz w:val="21"/>
          <w:szCs w:val="21"/>
          <w:highlight w:val="none"/>
          <w:lang w:val="en-US" w:eastAsia="zh-CN" w:bidi="ar-SA"/>
        </w:rPr>
        <w:t>负责人（总监理工程师）的国家级注册监理工程师证书在投标单位注册且在有效期内的可延至65周岁。投标人须确保</w:t>
      </w:r>
      <w:r>
        <w:rPr>
          <w:rFonts w:hint="eastAsia" w:hAnsi="宋体" w:cs="宋体"/>
          <w:color w:val="auto"/>
          <w:kern w:val="2"/>
          <w:sz w:val="21"/>
          <w:szCs w:val="21"/>
          <w:highlight w:val="none"/>
          <w:lang w:val="en-US" w:eastAsia="zh-CN" w:bidi="ar-SA"/>
        </w:rPr>
        <w:t>项目</w:t>
      </w:r>
      <w:r>
        <w:rPr>
          <w:rFonts w:hint="eastAsia" w:ascii="宋体" w:hAnsi="宋体" w:eastAsia="宋体" w:cs="宋体"/>
          <w:color w:val="auto"/>
          <w:kern w:val="2"/>
          <w:sz w:val="21"/>
          <w:szCs w:val="21"/>
          <w:highlight w:val="none"/>
          <w:lang w:val="en-US" w:eastAsia="zh-CN" w:bidi="ar-SA"/>
        </w:rPr>
        <w:t>负责人的国家注册监理工程师证书在项目整体服务周期内均有效。否则除以</w:t>
      </w:r>
      <w:r>
        <w:rPr>
          <w:rFonts w:hint="eastAsia"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0</w:t>
      </w:r>
      <w:r>
        <w:rPr>
          <w:rFonts w:hint="eastAsia" w:ascii="宋体" w:hAnsi="宋体" w:eastAsia="宋体" w:cs="宋体"/>
          <w:color w:val="auto"/>
          <w:kern w:val="2"/>
          <w:sz w:val="21"/>
          <w:szCs w:val="21"/>
          <w:highlight w:val="none"/>
          <w:lang w:val="en-US" w:eastAsia="zh-CN" w:bidi="ar-SA"/>
        </w:rPr>
        <w:t>万元/人违约金。</w:t>
      </w:r>
    </w:p>
    <w:p w14:paraId="633D0A9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9.2.2</w:t>
      </w:r>
      <w:r>
        <w:rPr>
          <w:rFonts w:hint="eastAsia" w:ascii="宋体" w:hAnsi="宋体" w:eastAsia="宋体" w:cs="宋体"/>
          <w:color w:val="auto"/>
          <w:kern w:val="2"/>
          <w:sz w:val="21"/>
          <w:szCs w:val="21"/>
          <w:highlight w:val="none"/>
          <w:lang w:val="en-US" w:eastAsia="zh-CN" w:bidi="ar-SA"/>
        </w:rPr>
        <w:t>中标单位进场前，须在规定时间内向招标人提供投标文件所配置的所有监理</w:t>
      </w:r>
      <w:r>
        <w:rPr>
          <w:rFonts w:hint="eastAsia" w:ascii="宋体" w:hAnsi="宋体" w:cs="宋体"/>
          <w:color w:val="auto"/>
          <w:kern w:val="2"/>
          <w:sz w:val="21"/>
          <w:szCs w:val="21"/>
          <w:highlight w:val="none"/>
          <w:lang w:val="en-US" w:eastAsia="zh-CN" w:bidi="ar-SA"/>
        </w:rPr>
        <w:t>机构</w:t>
      </w:r>
      <w:r>
        <w:rPr>
          <w:rFonts w:hint="eastAsia" w:ascii="宋体" w:hAnsi="宋体" w:eastAsia="宋体" w:cs="宋体"/>
          <w:color w:val="auto"/>
          <w:kern w:val="2"/>
          <w:sz w:val="21"/>
          <w:szCs w:val="21"/>
          <w:highlight w:val="none"/>
          <w:lang w:val="en-US" w:eastAsia="zh-CN" w:bidi="ar-SA"/>
        </w:rPr>
        <w:t>人员的证书（已下文明确取消的证书，须提供相关证明材料）及投标单位为其缴纳的投标前近三个月的社保材料原件进行现场审核。未在规定时间内提供或所提供的人员不满足要求的，且情节严重的，提请建设行政主管部门和招投标监督管理部门进行处罚。</w:t>
      </w:r>
    </w:p>
    <w:p w14:paraId="48141D17">
      <w:pPr>
        <w:spacing w:line="440" w:lineRule="exact"/>
        <w:ind w:firstLine="420" w:firstLineChars="200"/>
        <w:jc w:val="left"/>
        <w:rPr>
          <w:rFonts w:ascii="宋体" w:cs="宋体"/>
          <w:b w:val="0"/>
          <w:bCs/>
          <w:color w:val="auto"/>
          <w:szCs w:val="21"/>
          <w:highlight w:val="none"/>
        </w:rPr>
      </w:pPr>
      <w:r>
        <w:rPr>
          <w:rFonts w:ascii="宋体" w:hAnsi="宋体" w:cs="宋体"/>
          <w:bCs/>
          <w:color w:val="auto"/>
          <w:szCs w:val="21"/>
          <w:highlight w:val="none"/>
        </w:rPr>
        <w:t>9.</w:t>
      </w:r>
      <w:r>
        <w:rPr>
          <w:rFonts w:hint="eastAsia" w:ascii="宋体" w:hAnsi="宋体" w:cs="宋体"/>
          <w:bCs/>
          <w:color w:val="auto"/>
          <w:szCs w:val="21"/>
          <w:highlight w:val="none"/>
          <w:lang w:val="en-US" w:eastAsia="zh-CN"/>
        </w:rPr>
        <w:t>3</w:t>
      </w:r>
      <w:r>
        <w:rPr>
          <w:rFonts w:hint="eastAsia" w:ascii="宋体" w:hAnsi="宋体" w:cs="宋体"/>
          <w:b w:val="0"/>
          <w:bCs/>
          <w:color w:val="auto"/>
          <w:szCs w:val="21"/>
          <w:highlight w:val="none"/>
        </w:rPr>
        <w:t>质量管理</w:t>
      </w:r>
    </w:p>
    <w:p w14:paraId="1DAEF194">
      <w:pPr>
        <w:spacing w:line="440" w:lineRule="exact"/>
        <w:ind w:firstLine="420" w:firstLineChars="200"/>
        <w:jc w:val="left"/>
        <w:rPr>
          <w:rFonts w:hint="eastAsia" w:ascii="宋体" w:hAnsi="Times New Roman" w:eastAsia="宋体" w:cs="Times New Roman"/>
          <w:b w:val="0"/>
          <w:bCs/>
          <w:color w:val="auto"/>
          <w:kern w:val="2"/>
          <w:sz w:val="21"/>
          <w:szCs w:val="20"/>
          <w:highlight w:val="none"/>
          <w:lang w:val="en-US" w:eastAsia="zh-CN" w:bidi="ar-SA"/>
        </w:rPr>
      </w:pPr>
      <w:r>
        <w:rPr>
          <w:rFonts w:hint="eastAsia" w:ascii="宋体" w:hAnsi="Times New Roman" w:eastAsia="宋体" w:cs="Times New Roman"/>
          <w:b w:val="0"/>
          <w:bCs/>
          <w:color w:val="auto"/>
          <w:kern w:val="2"/>
          <w:sz w:val="21"/>
          <w:szCs w:val="20"/>
          <w:highlight w:val="none"/>
          <w:lang w:val="en-US" w:eastAsia="zh-CN" w:bidi="ar-SA"/>
        </w:rPr>
        <w:t>9.</w:t>
      </w:r>
      <w:r>
        <w:rPr>
          <w:rFonts w:hint="eastAsia" w:ascii="宋体" w:cs="Times New Roman"/>
          <w:b w:val="0"/>
          <w:bCs/>
          <w:color w:val="auto"/>
          <w:kern w:val="2"/>
          <w:sz w:val="21"/>
          <w:szCs w:val="20"/>
          <w:highlight w:val="none"/>
          <w:lang w:val="en-US" w:eastAsia="zh-CN" w:bidi="ar-SA"/>
        </w:rPr>
        <w:t>3</w:t>
      </w:r>
      <w:r>
        <w:rPr>
          <w:rFonts w:hint="eastAsia" w:ascii="宋体" w:hAnsi="Times New Roman" w:eastAsia="宋体" w:cs="Times New Roman"/>
          <w:b w:val="0"/>
          <w:bCs/>
          <w:color w:val="auto"/>
          <w:kern w:val="2"/>
          <w:sz w:val="21"/>
          <w:szCs w:val="20"/>
          <w:highlight w:val="none"/>
          <w:lang w:val="en-US" w:eastAsia="zh-CN" w:bidi="ar-SA"/>
        </w:rPr>
        <w:t>.1</w:t>
      </w:r>
      <w:r>
        <w:rPr>
          <w:rFonts w:hint="eastAsia" w:ascii="宋体" w:hAnsi="宋体" w:cs="宋体"/>
          <w:b w:val="0"/>
          <w:bCs/>
          <w:color w:val="auto"/>
          <w:szCs w:val="21"/>
          <w:highlight w:val="none"/>
          <w:lang w:val="en-US" w:eastAsia="zh-CN"/>
        </w:rPr>
        <w:t>受托人</w:t>
      </w:r>
      <w:r>
        <w:rPr>
          <w:rFonts w:hint="eastAsia" w:ascii="宋体" w:hAnsi="Times New Roman" w:eastAsia="宋体" w:cs="Times New Roman"/>
          <w:b w:val="0"/>
          <w:bCs/>
          <w:color w:val="auto"/>
          <w:kern w:val="2"/>
          <w:sz w:val="21"/>
          <w:szCs w:val="20"/>
          <w:highlight w:val="none"/>
          <w:lang w:val="en-US" w:eastAsia="zh-CN" w:bidi="ar-SA"/>
        </w:rPr>
        <w:t>应当依照法律、法规以及有关技术标准、设计文件和建设工程承包合同，代表建设单位对施工质量实施监理，并对施工质量承担监理责任。</w:t>
      </w:r>
    </w:p>
    <w:p w14:paraId="7DD83D2F">
      <w:pPr>
        <w:spacing w:line="440" w:lineRule="exact"/>
        <w:ind w:firstLine="420" w:firstLineChars="200"/>
        <w:jc w:val="left"/>
        <w:rPr>
          <w:rFonts w:hint="eastAsia" w:ascii="宋体" w:hAnsi="Times New Roman" w:eastAsia="宋体" w:cs="Times New Roman"/>
          <w:b w:val="0"/>
          <w:bCs/>
          <w:color w:val="auto"/>
          <w:kern w:val="2"/>
          <w:sz w:val="21"/>
          <w:szCs w:val="20"/>
          <w:highlight w:val="none"/>
          <w:lang w:val="en-US" w:eastAsia="zh-CN" w:bidi="ar-SA"/>
        </w:rPr>
      </w:pPr>
      <w:r>
        <w:rPr>
          <w:rFonts w:hint="eastAsia" w:ascii="宋体" w:hAnsi="Times New Roman" w:eastAsia="宋体" w:cs="Times New Roman"/>
          <w:b w:val="0"/>
          <w:bCs/>
          <w:color w:val="auto"/>
          <w:kern w:val="2"/>
          <w:sz w:val="21"/>
          <w:szCs w:val="20"/>
          <w:highlight w:val="none"/>
          <w:lang w:val="en-US" w:eastAsia="zh-CN" w:bidi="ar-SA"/>
        </w:rPr>
        <w:t>9.</w:t>
      </w:r>
      <w:r>
        <w:rPr>
          <w:rFonts w:hint="eastAsia" w:ascii="宋体" w:cs="Times New Roman"/>
          <w:b w:val="0"/>
          <w:bCs/>
          <w:color w:val="auto"/>
          <w:kern w:val="2"/>
          <w:sz w:val="21"/>
          <w:szCs w:val="20"/>
          <w:highlight w:val="none"/>
          <w:lang w:val="en-US" w:eastAsia="zh-CN" w:bidi="ar-SA"/>
        </w:rPr>
        <w:t>3</w:t>
      </w:r>
      <w:r>
        <w:rPr>
          <w:rFonts w:hint="eastAsia" w:ascii="宋体" w:hAnsi="Times New Roman" w:eastAsia="宋体" w:cs="Times New Roman"/>
          <w:b w:val="0"/>
          <w:bCs/>
          <w:color w:val="auto"/>
          <w:kern w:val="2"/>
          <w:sz w:val="21"/>
          <w:szCs w:val="20"/>
          <w:highlight w:val="none"/>
          <w:lang w:val="en-US" w:eastAsia="zh-CN" w:bidi="ar-SA"/>
        </w:rPr>
        <w:t>.2</w:t>
      </w:r>
      <w:r>
        <w:rPr>
          <w:rFonts w:hint="eastAsia" w:ascii="宋体" w:hAnsi="宋体" w:cs="宋体"/>
          <w:b w:val="0"/>
          <w:bCs/>
          <w:color w:val="auto"/>
          <w:szCs w:val="21"/>
          <w:highlight w:val="none"/>
          <w:lang w:val="en-US" w:eastAsia="zh-CN"/>
        </w:rPr>
        <w:t>受托人</w:t>
      </w:r>
      <w:r>
        <w:rPr>
          <w:rFonts w:hint="eastAsia" w:ascii="宋体" w:hAnsi="Times New Roman" w:eastAsia="宋体" w:cs="Times New Roman"/>
          <w:b w:val="0"/>
          <w:bCs/>
          <w:color w:val="auto"/>
          <w:kern w:val="2"/>
          <w:sz w:val="21"/>
          <w:szCs w:val="20"/>
          <w:highlight w:val="none"/>
          <w:lang w:val="en-US" w:eastAsia="zh-CN" w:bidi="ar-SA"/>
        </w:rPr>
        <w:t>必须严格按照施工图和国家现行施工、验收规范和工程质量检验评定标准及技术要求，按施工企业投标承诺质量标准采取旁站、巡视和平行检验等形式，对本工程实施全过程监理。</w:t>
      </w:r>
    </w:p>
    <w:p w14:paraId="5965B281">
      <w:pPr>
        <w:spacing w:line="440" w:lineRule="exact"/>
        <w:ind w:firstLine="420" w:firstLineChars="200"/>
        <w:jc w:val="left"/>
        <w:rPr>
          <w:rFonts w:hint="eastAsia" w:ascii="宋体" w:hAnsi="Times New Roman" w:eastAsia="宋体" w:cs="Times New Roman"/>
          <w:b w:val="0"/>
          <w:bCs/>
          <w:color w:val="auto"/>
          <w:kern w:val="2"/>
          <w:sz w:val="21"/>
          <w:szCs w:val="20"/>
          <w:highlight w:val="none"/>
          <w:lang w:val="en-US" w:eastAsia="zh-CN" w:bidi="ar-SA"/>
        </w:rPr>
      </w:pPr>
      <w:r>
        <w:rPr>
          <w:rFonts w:hint="eastAsia" w:ascii="宋体" w:hAnsi="Times New Roman" w:eastAsia="宋体" w:cs="Times New Roman"/>
          <w:b w:val="0"/>
          <w:bCs/>
          <w:color w:val="auto"/>
          <w:kern w:val="2"/>
          <w:sz w:val="21"/>
          <w:szCs w:val="20"/>
          <w:highlight w:val="none"/>
          <w:lang w:val="en-US" w:eastAsia="zh-CN" w:bidi="ar-SA"/>
        </w:rPr>
        <w:t>9.</w:t>
      </w:r>
      <w:r>
        <w:rPr>
          <w:rFonts w:hint="eastAsia" w:ascii="宋体" w:cs="Times New Roman"/>
          <w:b w:val="0"/>
          <w:bCs/>
          <w:color w:val="auto"/>
          <w:kern w:val="2"/>
          <w:sz w:val="21"/>
          <w:szCs w:val="20"/>
          <w:highlight w:val="none"/>
          <w:lang w:val="en-US" w:eastAsia="zh-CN" w:bidi="ar-SA"/>
        </w:rPr>
        <w:t>3</w:t>
      </w:r>
      <w:r>
        <w:rPr>
          <w:rFonts w:hint="eastAsia" w:ascii="宋体" w:hAnsi="Times New Roman" w:eastAsia="宋体" w:cs="Times New Roman"/>
          <w:b w:val="0"/>
          <w:bCs/>
          <w:color w:val="auto"/>
          <w:kern w:val="2"/>
          <w:sz w:val="21"/>
          <w:szCs w:val="20"/>
          <w:highlight w:val="none"/>
          <w:lang w:val="en-US" w:eastAsia="zh-CN" w:bidi="ar-SA"/>
        </w:rPr>
        <w:t>.3工程监理单位与被监理工程的施工承包单位以及建筑材料、建筑构配件和设备供应单位有隶属关系或者其他利害关系承担该项建设工程的监理业务的，由行政部门责令改正，处1万元以上3万元以下的罚款，降低资质等级或者吊销资质证书,有违法所得的予以没收。</w:t>
      </w:r>
    </w:p>
    <w:p w14:paraId="22EA0FC7">
      <w:pPr>
        <w:spacing w:line="440" w:lineRule="exact"/>
        <w:ind w:firstLine="420" w:firstLineChars="200"/>
        <w:jc w:val="left"/>
        <w:rPr>
          <w:rFonts w:hint="eastAsia" w:ascii="宋体" w:hAnsi="Times New Roman" w:eastAsia="宋体" w:cs="Times New Roman"/>
          <w:b w:val="0"/>
          <w:bCs/>
          <w:color w:val="auto"/>
          <w:kern w:val="2"/>
          <w:sz w:val="21"/>
          <w:szCs w:val="20"/>
          <w:highlight w:val="none"/>
          <w:lang w:val="en-US" w:eastAsia="zh-CN" w:bidi="ar-SA"/>
        </w:rPr>
      </w:pPr>
      <w:r>
        <w:rPr>
          <w:rFonts w:hint="eastAsia" w:ascii="宋体" w:hAnsi="Times New Roman" w:eastAsia="宋体" w:cs="Times New Roman"/>
          <w:b w:val="0"/>
          <w:bCs/>
          <w:color w:val="auto"/>
          <w:kern w:val="2"/>
          <w:sz w:val="21"/>
          <w:szCs w:val="20"/>
          <w:highlight w:val="none"/>
          <w:lang w:val="en-US" w:eastAsia="zh-CN" w:bidi="ar-SA"/>
        </w:rPr>
        <w:t>9.</w:t>
      </w:r>
      <w:r>
        <w:rPr>
          <w:rFonts w:hint="eastAsia" w:ascii="宋体" w:cs="Times New Roman"/>
          <w:b w:val="0"/>
          <w:bCs/>
          <w:color w:val="auto"/>
          <w:kern w:val="2"/>
          <w:sz w:val="21"/>
          <w:szCs w:val="20"/>
          <w:highlight w:val="none"/>
          <w:lang w:val="en-US" w:eastAsia="zh-CN" w:bidi="ar-SA"/>
        </w:rPr>
        <w:t>3</w:t>
      </w:r>
      <w:r>
        <w:rPr>
          <w:rFonts w:hint="eastAsia" w:ascii="宋体" w:hAnsi="Times New Roman" w:eastAsia="宋体" w:cs="Times New Roman"/>
          <w:b w:val="0"/>
          <w:bCs/>
          <w:color w:val="auto"/>
          <w:kern w:val="2"/>
          <w:sz w:val="21"/>
          <w:szCs w:val="20"/>
          <w:highlight w:val="none"/>
          <w:lang w:val="en-US" w:eastAsia="zh-CN" w:bidi="ar-SA"/>
        </w:rPr>
        <w:t>.4对于不符合设计要求和合同约定及国家质量标准的材料、构配件、设备以及不符合规范和质量标准的工序、分部分项工程和不安全施工作业，</w:t>
      </w:r>
      <w:r>
        <w:rPr>
          <w:rFonts w:hint="eastAsia" w:ascii="宋体" w:hAnsi="宋体" w:cs="宋体"/>
          <w:b w:val="0"/>
          <w:bCs/>
          <w:color w:val="auto"/>
          <w:szCs w:val="21"/>
          <w:highlight w:val="none"/>
          <w:lang w:val="en-US" w:eastAsia="zh-CN"/>
        </w:rPr>
        <w:t>受托人</w:t>
      </w:r>
      <w:r>
        <w:rPr>
          <w:rFonts w:hint="eastAsia" w:ascii="宋体" w:hAnsi="Times New Roman" w:eastAsia="宋体" w:cs="Times New Roman"/>
          <w:b w:val="0"/>
          <w:bCs/>
          <w:color w:val="auto"/>
          <w:kern w:val="2"/>
          <w:sz w:val="21"/>
          <w:szCs w:val="20"/>
          <w:highlight w:val="none"/>
          <w:lang w:val="en-US" w:eastAsia="zh-CN" w:bidi="ar-SA"/>
        </w:rPr>
        <w:t>立刻要求承包人停止使用、停工整改及返工，否则</w:t>
      </w:r>
      <w:r>
        <w:rPr>
          <w:rFonts w:hint="eastAsia" w:ascii="宋体" w:hAnsi="宋体" w:cs="宋体"/>
          <w:b w:val="0"/>
          <w:bCs/>
          <w:color w:val="auto"/>
          <w:szCs w:val="21"/>
          <w:highlight w:val="none"/>
          <w:lang w:val="en-US" w:eastAsia="zh-CN"/>
        </w:rPr>
        <w:t>受托人</w:t>
      </w:r>
      <w:r>
        <w:rPr>
          <w:rFonts w:hint="eastAsia" w:ascii="宋体" w:hAnsi="Times New Roman" w:eastAsia="宋体" w:cs="Times New Roman"/>
          <w:b w:val="0"/>
          <w:bCs/>
          <w:color w:val="auto"/>
          <w:kern w:val="2"/>
          <w:sz w:val="21"/>
          <w:szCs w:val="20"/>
          <w:highlight w:val="none"/>
          <w:lang w:val="en-US" w:eastAsia="zh-CN" w:bidi="ar-SA"/>
        </w:rPr>
        <w:t>承担连带责任。</w:t>
      </w:r>
    </w:p>
    <w:p w14:paraId="65748840">
      <w:pPr>
        <w:spacing w:line="440" w:lineRule="exact"/>
        <w:ind w:firstLine="420" w:firstLineChars="200"/>
        <w:jc w:val="left"/>
        <w:rPr>
          <w:rFonts w:hint="eastAsia" w:ascii="宋体" w:hAnsi="Times New Roman" w:eastAsia="宋体" w:cs="Times New Roman"/>
          <w:b w:val="0"/>
          <w:bCs/>
          <w:color w:val="auto"/>
          <w:kern w:val="2"/>
          <w:sz w:val="21"/>
          <w:szCs w:val="20"/>
          <w:highlight w:val="none"/>
          <w:lang w:val="en-US" w:eastAsia="zh-CN" w:bidi="ar-SA"/>
        </w:rPr>
      </w:pPr>
      <w:r>
        <w:rPr>
          <w:rFonts w:hint="eastAsia" w:ascii="宋体" w:hAnsi="Times New Roman" w:eastAsia="宋体" w:cs="Times New Roman"/>
          <w:b w:val="0"/>
          <w:bCs/>
          <w:color w:val="auto"/>
          <w:kern w:val="2"/>
          <w:sz w:val="21"/>
          <w:szCs w:val="20"/>
          <w:highlight w:val="none"/>
          <w:lang w:val="en-US" w:eastAsia="zh-CN" w:bidi="ar-SA"/>
        </w:rPr>
        <w:t>9.</w:t>
      </w:r>
      <w:r>
        <w:rPr>
          <w:rFonts w:hint="eastAsia" w:ascii="宋体" w:cs="Times New Roman"/>
          <w:b w:val="0"/>
          <w:bCs/>
          <w:color w:val="auto"/>
          <w:kern w:val="2"/>
          <w:sz w:val="21"/>
          <w:szCs w:val="20"/>
          <w:highlight w:val="none"/>
          <w:lang w:val="en-US" w:eastAsia="zh-CN" w:bidi="ar-SA"/>
        </w:rPr>
        <w:t>3</w:t>
      </w:r>
      <w:r>
        <w:rPr>
          <w:rFonts w:hint="eastAsia" w:ascii="宋体" w:hAnsi="Times New Roman" w:eastAsia="宋体" w:cs="Times New Roman"/>
          <w:b w:val="0"/>
          <w:bCs/>
          <w:color w:val="auto"/>
          <w:kern w:val="2"/>
          <w:sz w:val="21"/>
          <w:szCs w:val="20"/>
          <w:highlight w:val="none"/>
          <w:lang w:val="en-US" w:eastAsia="zh-CN" w:bidi="ar-SA"/>
        </w:rPr>
        <w:t>.5工程施工质量的报验工作由</w:t>
      </w:r>
      <w:r>
        <w:rPr>
          <w:rFonts w:hint="eastAsia" w:ascii="宋体" w:hAnsi="宋体" w:cs="宋体"/>
          <w:b w:val="0"/>
          <w:bCs/>
          <w:color w:val="auto"/>
          <w:szCs w:val="21"/>
          <w:highlight w:val="none"/>
          <w:lang w:val="en-US" w:eastAsia="zh-CN"/>
        </w:rPr>
        <w:t>受托人</w:t>
      </w:r>
      <w:r>
        <w:rPr>
          <w:rFonts w:hint="eastAsia" w:ascii="宋体" w:hAnsi="Times New Roman" w:eastAsia="宋体" w:cs="Times New Roman"/>
          <w:b w:val="0"/>
          <w:bCs/>
          <w:color w:val="auto"/>
          <w:kern w:val="2"/>
          <w:sz w:val="21"/>
          <w:szCs w:val="20"/>
          <w:highlight w:val="none"/>
          <w:lang w:val="en-US" w:eastAsia="zh-CN" w:bidi="ar-SA"/>
        </w:rPr>
        <w:t>监督承包人完成。遇有质量问题，必须按质量承包等级要求返工纠</w:t>
      </w:r>
      <w:bookmarkStart w:id="774" w:name="page40"/>
      <w:bookmarkEnd w:id="774"/>
      <w:r>
        <w:rPr>
          <w:rFonts w:hint="eastAsia" w:ascii="宋体" w:hAnsi="Times New Roman" w:eastAsia="宋体" w:cs="Times New Roman"/>
          <w:b w:val="0"/>
          <w:bCs/>
          <w:color w:val="auto"/>
          <w:kern w:val="2"/>
          <w:sz w:val="21"/>
          <w:szCs w:val="20"/>
          <w:highlight w:val="none"/>
          <w:lang w:val="en-US" w:eastAsia="zh-CN" w:bidi="ar-SA"/>
        </w:rPr>
        <w:t>正或停工处理，未纠正而造成损失由</w:t>
      </w:r>
      <w:r>
        <w:rPr>
          <w:rFonts w:hint="eastAsia" w:ascii="宋体" w:hAnsi="宋体" w:cs="宋体"/>
          <w:b w:val="0"/>
          <w:bCs/>
          <w:color w:val="auto"/>
          <w:szCs w:val="21"/>
          <w:highlight w:val="none"/>
          <w:lang w:val="en-US" w:eastAsia="zh-CN"/>
        </w:rPr>
        <w:t>受托人</w:t>
      </w:r>
      <w:r>
        <w:rPr>
          <w:rFonts w:hint="eastAsia" w:ascii="宋体" w:hAnsi="Times New Roman" w:eastAsia="宋体" w:cs="Times New Roman"/>
          <w:b w:val="0"/>
          <w:bCs/>
          <w:color w:val="auto"/>
          <w:kern w:val="2"/>
          <w:sz w:val="21"/>
          <w:szCs w:val="20"/>
          <w:highlight w:val="none"/>
          <w:lang w:val="en-US" w:eastAsia="zh-CN" w:bidi="ar-SA"/>
        </w:rPr>
        <w:t>承担连带责任。</w:t>
      </w:r>
    </w:p>
    <w:p w14:paraId="3CC48276">
      <w:pPr>
        <w:spacing w:line="440" w:lineRule="exact"/>
        <w:ind w:firstLine="420" w:firstLineChars="200"/>
        <w:jc w:val="left"/>
        <w:rPr>
          <w:rFonts w:hint="eastAsia" w:ascii="宋体" w:hAnsi="Times New Roman" w:eastAsia="宋体" w:cs="Times New Roman"/>
          <w:b w:val="0"/>
          <w:bCs/>
          <w:color w:val="auto"/>
          <w:kern w:val="2"/>
          <w:sz w:val="21"/>
          <w:szCs w:val="20"/>
          <w:highlight w:val="none"/>
          <w:lang w:val="en-US" w:eastAsia="zh-CN" w:bidi="ar-SA"/>
        </w:rPr>
      </w:pPr>
      <w:r>
        <w:rPr>
          <w:rFonts w:hint="eastAsia" w:ascii="宋体" w:hAnsi="Times New Roman" w:eastAsia="宋体" w:cs="Times New Roman"/>
          <w:b w:val="0"/>
          <w:bCs/>
          <w:color w:val="auto"/>
          <w:kern w:val="2"/>
          <w:sz w:val="21"/>
          <w:szCs w:val="20"/>
          <w:highlight w:val="none"/>
          <w:lang w:val="en-US" w:eastAsia="zh-CN" w:bidi="ar-SA"/>
        </w:rPr>
        <w:t>9.</w:t>
      </w:r>
      <w:r>
        <w:rPr>
          <w:rFonts w:hint="eastAsia" w:ascii="宋体" w:cs="Times New Roman"/>
          <w:b w:val="0"/>
          <w:bCs/>
          <w:color w:val="auto"/>
          <w:kern w:val="2"/>
          <w:sz w:val="21"/>
          <w:szCs w:val="20"/>
          <w:highlight w:val="none"/>
          <w:lang w:val="en-US" w:eastAsia="zh-CN" w:bidi="ar-SA"/>
        </w:rPr>
        <w:t>3</w:t>
      </w:r>
      <w:r>
        <w:rPr>
          <w:rFonts w:hint="eastAsia" w:ascii="宋体" w:hAnsi="Times New Roman" w:eastAsia="宋体" w:cs="Times New Roman"/>
          <w:b w:val="0"/>
          <w:bCs/>
          <w:color w:val="auto"/>
          <w:kern w:val="2"/>
          <w:sz w:val="21"/>
          <w:szCs w:val="20"/>
          <w:highlight w:val="none"/>
          <w:lang w:val="en-US" w:eastAsia="zh-CN" w:bidi="ar-SA"/>
        </w:rPr>
        <w:t>.6委托人在工程施工期间，不定期地组织有关部门对工程质量进行抽查，如发现已施工完成的工程中，材料、质量未达到质量标准且未被监理人员发现并纠正，视为监理失误，委托人将予以监理费的10%作为违约金处理。业主代表对发现的监理渎职现象，对</w:t>
      </w:r>
      <w:r>
        <w:rPr>
          <w:rFonts w:hint="eastAsia" w:ascii="宋体" w:hAnsi="宋体" w:cs="宋体"/>
          <w:b w:val="0"/>
          <w:bCs/>
          <w:color w:val="auto"/>
          <w:szCs w:val="21"/>
          <w:highlight w:val="none"/>
          <w:lang w:val="en-US" w:eastAsia="zh-CN"/>
        </w:rPr>
        <w:t>受托人</w:t>
      </w:r>
      <w:r>
        <w:rPr>
          <w:rFonts w:hint="eastAsia" w:ascii="宋体" w:hAnsi="Times New Roman" w:eastAsia="宋体" w:cs="Times New Roman"/>
          <w:b w:val="0"/>
          <w:bCs/>
          <w:color w:val="auto"/>
          <w:kern w:val="2"/>
          <w:sz w:val="21"/>
          <w:szCs w:val="20"/>
          <w:highlight w:val="none"/>
          <w:lang w:val="en-US" w:eastAsia="zh-CN" w:bidi="ar-SA"/>
        </w:rPr>
        <w:t>将予以5000元/次～10000元/次的违约金，有重大损失的，按照有关规定移交司法部门处理。</w:t>
      </w:r>
    </w:p>
    <w:p w14:paraId="6731F426">
      <w:pPr>
        <w:spacing w:line="440" w:lineRule="exact"/>
        <w:ind w:firstLine="420" w:firstLineChars="200"/>
        <w:jc w:val="left"/>
        <w:rPr>
          <w:rFonts w:hint="eastAsia" w:ascii="宋体" w:hAnsi="Times New Roman" w:eastAsia="宋体" w:cs="Times New Roman"/>
          <w:b w:val="0"/>
          <w:bCs/>
          <w:color w:val="auto"/>
          <w:kern w:val="2"/>
          <w:sz w:val="21"/>
          <w:szCs w:val="20"/>
          <w:highlight w:val="none"/>
          <w:lang w:val="en-US" w:eastAsia="zh-CN" w:bidi="ar-SA"/>
        </w:rPr>
      </w:pPr>
      <w:r>
        <w:rPr>
          <w:rFonts w:hint="eastAsia" w:ascii="宋体" w:hAnsi="Times New Roman" w:eastAsia="宋体" w:cs="Times New Roman"/>
          <w:b w:val="0"/>
          <w:bCs/>
          <w:color w:val="auto"/>
          <w:kern w:val="2"/>
          <w:sz w:val="21"/>
          <w:szCs w:val="20"/>
          <w:highlight w:val="none"/>
          <w:lang w:val="en-US" w:eastAsia="zh-CN" w:bidi="ar-SA"/>
        </w:rPr>
        <w:t>9.</w:t>
      </w:r>
      <w:r>
        <w:rPr>
          <w:rFonts w:hint="eastAsia" w:ascii="宋体" w:cs="Times New Roman"/>
          <w:b w:val="0"/>
          <w:bCs/>
          <w:color w:val="auto"/>
          <w:kern w:val="2"/>
          <w:sz w:val="21"/>
          <w:szCs w:val="20"/>
          <w:highlight w:val="none"/>
          <w:lang w:val="en-US" w:eastAsia="zh-CN" w:bidi="ar-SA"/>
        </w:rPr>
        <w:t>3</w:t>
      </w:r>
      <w:r>
        <w:rPr>
          <w:rFonts w:hint="eastAsia" w:ascii="宋体" w:hAnsi="Times New Roman" w:eastAsia="宋体" w:cs="Times New Roman"/>
          <w:b w:val="0"/>
          <w:bCs/>
          <w:color w:val="auto"/>
          <w:kern w:val="2"/>
          <w:sz w:val="21"/>
          <w:szCs w:val="20"/>
          <w:highlight w:val="none"/>
          <w:lang w:val="en-US" w:eastAsia="zh-CN" w:bidi="ar-SA"/>
        </w:rPr>
        <w:t>.7凡由于</w:t>
      </w:r>
      <w:r>
        <w:rPr>
          <w:rFonts w:hint="eastAsia" w:ascii="宋体" w:hAnsi="宋体" w:cs="宋体"/>
          <w:b w:val="0"/>
          <w:bCs/>
          <w:color w:val="auto"/>
          <w:szCs w:val="21"/>
          <w:highlight w:val="none"/>
          <w:lang w:val="en-US" w:eastAsia="zh-CN"/>
        </w:rPr>
        <w:t>受托人</w:t>
      </w:r>
      <w:r>
        <w:rPr>
          <w:rFonts w:hint="eastAsia" w:ascii="宋体" w:hAnsi="Times New Roman" w:eastAsia="宋体" w:cs="Times New Roman"/>
          <w:b w:val="0"/>
          <w:bCs/>
          <w:color w:val="auto"/>
          <w:kern w:val="2"/>
          <w:sz w:val="21"/>
          <w:szCs w:val="20"/>
          <w:highlight w:val="none"/>
          <w:lang w:val="en-US" w:eastAsia="zh-CN" w:bidi="ar-SA"/>
        </w:rPr>
        <w:t>责任而影响工程造价、工期和质量的，造成的质量问题、工期滞后和经济损失由</w:t>
      </w:r>
      <w:r>
        <w:rPr>
          <w:rFonts w:hint="eastAsia" w:ascii="宋体" w:hAnsi="宋体" w:cs="宋体"/>
          <w:b w:val="0"/>
          <w:bCs/>
          <w:color w:val="auto"/>
          <w:szCs w:val="21"/>
          <w:highlight w:val="none"/>
          <w:lang w:val="en-US" w:eastAsia="zh-CN"/>
        </w:rPr>
        <w:t>受托人</w:t>
      </w:r>
      <w:r>
        <w:rPr>
          <w:rFonts w:hint="eastAsia" w:ascii="宋体" w:hAnsi="Times New Roman" w:eastAsia="宋体" w:cs="Times New Roman"/>
          <w:b w:val="0"/>
          <w:bCs/>
          <w:color w:val="auto"/>
          <w:kern w:val="2"/>
          <w:sz w:val="21"/>
          <w:szCs w:val="20"/>
          <w:highlight w:val="none"/>
          <w:lang w:val="en-US" w:eastAsia="zh-CN" w:bidi="ar-SA"/>
        </w:rPr>
        <w:t>承担。有权从工程施工监理费用中扣减并追偿损失费用。</w:t>
      </w:r>
    </w:p>
    <w:p w14:paraId="05569F72">
      <w:pPr>
        <w:spacing w:line="440" w:lineRule="exact"/>
        <w:ind w:firstLine="420" w:firstLineChars="200"/>
        <w:jc w:val="left"/>
        <w:rPr>
          <w:rFonts w:hint="eastAsia" w:ascii="宋体" w:hAnsi="Times New Roman" w:eastAsia="宋体" w:cs="Times New Roman"/>
          <w:b w:val="0"/>
          <w:bCs/>
          <w:color w:val="auto"/>
          <w:kern w:val="2"/>
          <w:sz w:val="21"/>
          <w:szCs w:val="20"/>
          <w:highlight w:val="none"/>
          <w:lang w:val="en-US" w:eastAsia="zh-CN" w:bidi="ar-SA"/>
        </w:rPr>
      </w:pPr>
      <w:r>
        <w:rPr>
          <w:rFonts w:hint="eastAsia" w:ascii="宋体" w:hAnsi="Times New Roman" w:eastAsia="宋体" w:cs="Times New Roman"/>
          <w:b w:val="0"/>
          <w:bCs/>
          <w:color w:val="auto"/>
          <w:kern w:val="2"/>
          <w:sz w:val="21"/>
          <w:szCs w:val="20"/>
          <w:highlight w:val="none"/>
          <w:lang w:val="en-US" w:eastAsia="zh-CN" w:bidi="ar-SA"/>
        </w:rPr>
        <w:t>9.</w:t>
      </w:r>
      <w:r>
        <w:rPr>
          <w:rFonts w:hint="eastAsia" w:ascii="宋体" w:cs="Times New Roman"/>
          <w:b w:val="0"/>
          <w:bCs/>
          <w:color w:val="auto"/>
          <w:kern w:val="2"/>
          <w:sz w:val="21"/>
          <w:szCs w:val="20"/>
          <w:highlight w:val="none"/>
          <w:lang w:val="en-US" w:eastAsia="zh-CN" w:bidi="ar-SA"/>
        </w:rPr>
        <w:t>3</w:t>
      </w:r>
      <w:r>
        <w:rPr>
          <w:rFonts w:hint="eastAsia" w:ascii="宋体" w:hAnsi="Times New Roman" w:eastAsia="宋体" w:cs="Times New Roman"/>
          <w:b w:val="0"/>
          <w:bCs/>
          <w:color w:val="auto"/>
          <w:kern w:val="2"/>
          <w:sz w:val="21"/>
          <w:szCs w:val="20"/>
          <w:highlight w:val="none"/>
          <w:lang w:val="en-US" w:eastAsia="zh-CN" w:bidi="ar-SA"/>
        </w:rPr>
        <w:t>.8隐蔽工程隐蔽前由</w:t>
      </w:r>
      <w:r>
        <w:rPr>
          <w:rFonts w:hint="eastAsia" w:ascii="宋体" w:hAnsi="宋体" w:cs="宋体"/>
          <w:b w:val="0"/>
          <w:bCs/>
          <w:color w:val="auto"/>
          <w:szCs w:val="21"/>
          <w:highlight w:val="none"/>
          <w:lang w:val="en-US" w:eastAsia="zh-CN"/>
        </w:rPr>
        <w:t>受托人</w:t>
      </w:r>
      <w:r>
        <w:rPr>
          <w:rFonts w:hint="eastAsia" w:ascii="宋体" w:hAnsi="Times New Roman" w:eastAsia="宋体" w:cs="Times New Roman"/>
          <w:b w:val="0"/>
          <w:bCs/>
          <w:color w:val="auto"/>
          <w:kern w:val="2"/>
          <w:sz w:val="21"/>
          <w:szCs w:val="20"/>
          <w:highlight w:val="none"/>
          <w:lang w:val="en-US" w:eastAsia="zh-CN" w:bidi="ar-SA"/>
        </w:rPr>
        <w:t>监督承包人进行自检，自检合格书面通知委托人验收，委托人及</w:t>
      </w:r>
      <w:r>
        <w:rPr>
          <w:rFonts w:hint="eastAsia" w:ascii="宋体" w:hAnsi="宋体" w:cs="宋体"/>
          <w:b w:val="0"/>
          <w:bCs/>
          <w:color w:val="auto"/>
          <w:szCs w:val="21"/>
          <w:highlight w:val="none"/>
          <w:lang w:val="en-US" w:eastAsia="zh-CN"/>
        </w:rPr>
        <w:t>受托人</w:t>
      </w:r>
      <w:r>
        <w:rPr>
          <w:rFonts w:hint="eastAsia" w:ascii="宋体" w:hAnsi="Times New Roman" w:eastAsia="宋体" w:cs="Times New Roman"/>
          <w:b w:val="0"/>
          <w:bCs/>
          <w:color w:val="auto"/>
          <w:kern w:val="2"/>
          <w:sz w:val="21"/>
          <w:szCs w:val="20"/>
          <w:highlight w:val="none"/>
          <w:lang w:val="en-US" w:eastAsia="zh-CN" w:bidi="ar-SA"/>
        </w:rPr>
        <w:t>按监理大纲到现场进行验收，经委托人及</w:t>
      </w:r>
      <w:r>
        <w:rPr>
          <w:rFonts w:hint="eastAsia" w:ascii="宋体" w:hAnsi="宋体" w:cs="宋体"/>
          <w:b w:val="0"/>
          <w:bCs/>
          <w:color w:val="auto"/>
          <w:szCs w:val="21"/>
          <w:highlight w:val="none"/>
          <w:lang w:val="en-US" w:eastAsia="zh-CN"/>
        </w:rPr>
        <w:t>受托人</w:t>
      </w:r>
      <w:r>
        <w:rPr>
          <w:rFonts w:hint="eastAsia" w:ascii="宋体" w:hAnsi="Times New Roman" w:eastAsia="宋体" w:cs="Times New Roman"/>
          <w:b w:val="0"/>
          <w:bCs/>
          <w:color w:val="auto"/>
          <w:kern w:val="2"/>
          <w:sz w:val="21"/>
          <w:szCs w:val="20"/>
          <w:highlight w:val="none"/>
          <w:lang w:val="en-US" w:eastAsia="zh-CN" w:bidi="ar-SA"/>
        </w:rPr>
        <w:t>确认合格并办理签证后方可隐蔽；验收不合格，</w:t>
      </w:r>
      <w:r>
        <w:rPr>
          <w:rFonts w:hint="eastAsia" w:ascii="宋体" w:hAnsi="宋体" w:cs="宋体"/>
          <w:b w:val="0"/>
          <w:bCs/>
          <w:color w:val="auto"/>
          <w:szCs w:val="21"/>
          <w:highlight w:val="none"/>
          <w:lang w:val="en-US" w:eastAsia="zh-CN"/>
        </w:rPr>
        <w:t>受托人</w:t>
      </w:r>
      <w:r>
        <w:rPr>
          <w:rFonts w:hint="eastAsia" w:ascii="宋体" w:hAnsi="Times New Roman" w:eastAsia="宋体" w:cs="Times New Roman"/>
          <w:b w:val="0"/>
          <w:bCs/>
          <w:color w:val="auto"/>
          <w:kern w:val="2"/>
          <w:sz w:val="21"/>
          <w:szCs w:val="20"/>
          <w:highlight w:val="none"/>
          <w:lang w:val="en-US" w:eastAsia="zh-CN" w:bidi="ar-SA"/>
        </w:rPr>
        <w:t>要监督承包人在限定时间内修改后重新验收。</w:t>
      </w:r>
    </w:p>
    <w:p w14:paraId="3E184BAF">
      <w:pPr>
        <w:spacing w:line="440" w:lineRule="exact"/>
        <w:ind w:firstLine="420" w:firstLineChars="200"/>
        <w:jc w:val="left"/>
        <w:rPr>
          <w:rFonts w:hint="eastAsia" w:ascii="宋体" w:hAnsi="Times New Roman" w:eastAsia="宋体" w:cs="Times New Roman"/>
          <w:b w:val="0"/>
          <w:bCs/>
          <w:color w:val="auto"/>
          <w:kern w:val="2"/>
          <w:sz w:val="21"/>
          <w:szCs w:val="20"/>
          <w:highlight w:val="none"/>
          <w:lang w:val="en-US" w:eastAsia="zh-CN" w:bidi="ar-SA"/>
        </w:rPr>
      </w:pPr>
      <w:r>
        <w:rPr>
          <w:rFonts w:hint="eastAsia" w:ascii="宋体" w:hAnsi="Times New Roman" w:eastAsia="宋体" w:cs="Times New Roman"/>
          <w:b w:val="0"/>
          <w:bCs/>
          <w:color w:val="auto"/>
          <w:kern w:val="2"/>
          <w:sz w:val="21"/>
          <w:szCs w:val="20"/>
          <w:highlight w:val="none"/>
          <w:lang w:val="en-US" w:eastAsia="zh-CN" w:bidi="ar-SA"/>
        </w:rPr>
        <w:t>9.</w:t>
      </w:r>
      <w:r>
        <w:rPr>
          <w:rFonts w:hint="eastAsia" w:ascii="宋体" w:cs="Times New Roman"/>
          <w:b w:val="0"/>
          <w:bCs/>
          <w:color w:val="auto"/>
          <w:kern w:val="2"/>
          <w:sz w:val="21"/>
          <w:szCs w:val="20"/>
          <w:highlight w:val="none"/>
          <w:lang w:val="en-US" w:eastAsia="zh-CN" w:bidi="ar-SA"/>
        </w:rPr>
        <w:t>3</w:t>
      </w:r>
      <w:r>
        <w:rPr>
          <w:rFonts w:hint="eastAsia" w:ascii="宋体" w:hAnsi="Times New Roman" w:eastAsia="宋体" w:cs="Times New Roman"/>
          <w:b w:val="0"/>
          <w:bCs/>
          <w:color w:val="auto"/>
          <w:kern w:val="2"/>
          <w:sz w:val="21"/>
          <w:szCs w:val="20"/>
          <w:highlight w:val="none"/>
          <w:lang w:val="en-US" w:eastAsia="zh-CN" w:bidi="ar-SA"/>
        </w:rPr>
        <w:t>.9拟派的专业监理工程师施工现场必须按出勤要求</w:t>
      </w:r>
      <w:r>
        <w:rPr>
          <w:rFonts w:hint="eastAsia" w:ascii="宋体" w:hAnsi="宋体" w:eastAsia="宋体" w:cs="宋体"/>
          <w:b w:val="0"/>
          <w:bCs w:val="0"/>
          <w:color w:val="auto"/>
          <w:kern w:val="2"/>
          <w:sz w:val="21"/>
          <w:szCs w:val="21"/>
          <w:highlight w:val="none"/>
          <w:u w:val="none"/>
          <w:lang w:val="en-US" w:eastAsia="zh-CN" w:bidi="ar-SA"/>
        </w:rPr>
        <w:t>分别配备</w:t>
      </w:r>
      <w:r>
        <w:rPr>
          <w:rFonts w:hint="eastAsia" w:ascii="宋体" w:hAnsi="宋体" w:cs="宋体"/>
          <w:b w:val="0"/>
          <w:bCs w:val="0"/>
          <w:color w:val="auto"/>
          <w:kern w:val="2"/>
          <w:sz w:val="21"/>
          <w:szCs w:val="21"/>
          <w:highlight w:val="none"/>
          <w:u w:val="none"/>
          <w:lang w:val="en-US" w:eastAsia="zh-CN" w:bidi="ar-SA"/>
        </w:rPr>
        <w:t>除手机以外</w:t>
      </w:r>
      <w:r>
        <w:rPr>
          <w:rFonts w:hint="eastAsia" w:ascii="宋体" w:hAnsi="宋体" w:eastAsia="宋体" w:cs="宋体"/>
          <w:b w:val="0"/>
          <w:bCs w:val="0"/>
          <w:color w:val="auto"/>
          <w:kern w:val="2"/>
          <w:sz w:val="21"/>
          <w:szCs w:val="21"/>
          <w:highlight w:val="none"/>
          <w:u w:val="none"/>
          <w:lang w:val="en-US" w:eastAsia="zh-CN" w:bidi="ar-SA"/>
        </w:rPr>
        <w:t>相关影像视频设备，对关键环节部位进行影控留档</w:t>
      </w:r>
      <w:r>
        <w:rPr>
          <w:rFonts w:hint="eastAsia" w:ascii="宋体" w:hAnsi="Times New Roman" w:eastAsia="宋体" w:cs="Times New Roman"/>
          <w:b w:val="0"/>
          <w:bCs/>
          <w:color w:val="auto"/>
          <w:kern w:val="2"/>
          <w:sz w:val="21"/>
          <w:szCs w:val="20"/>
          <w:highlight w:val="none"/>
          <w:lang w:val="en-US" w:eastAsia="zh-CN" w:bidi="ar-SA"/>
        </w:rPr>
        <w:t>，每个月考核一次，每发现一名人员一次未佩带的予以500元/次违约金，三次以上未佩带的，将予以2000元/次的违约金。</w:t>
      </w:r>
    </w:p>
    <w:p w14:paraId="1D0CA476">
      <w:pPr>
        <w:spacing w:line="440" w:lineRule="exact"/>
        <w:ind w:firstLine="420" w:firstLineChars="200"/>
        <w:jc w:val="left"/>
        <w:rPr>
          <w:rFonts w:hint="eastAsia" w:ascii="宋体" w:hAnsi="Times New Roman" w:eastAsia="宋体" w:cs="Times New Roman"/>
          <w:b w:val="0"/>
          <w:bCs/>
          <w:color w:val="auto"/>
          <w:kern w:val="2"/>
          <w:sz w:val="21"/>
          <w:szCs w:val="20"/>
          <w:highlight w:val="none"/>
          <w:lang w:val="en-US" w:eastAsia="zh-CN" w:bidi="ar-SA"/>
        </w:rPr>
      </w:pPr>
      <w:r>
        <w:rPr>
          <w:rFonts w:hint="eastAsia" w:ascii="宋体" w:hAnsi="Times New Roman" w:eastAsia="宋体" w:cs="Times New Roman"/>
          <w:b w:val="0"/>
          <w:bCs/>
          <w:color w:val="auto"/>
          <w:kern w:val="2"/>
          <w:sz w:val="21"/>
          <w:szCs w:val="20"/>
          <w:highlight w:val="none"/>
          <w:lang w:val="en-US" w:eastAsia="zh-CN" w:bidi="ar-SA"/>
        </w:rPr>
        <w:t>9.</w:t>
      </w:r>
      <w:r>
        <w:rPr>
          <w:rFonts w:hint="eastAsia" w:ascii="宋体" w:cs="Times New Roman"/>
          <w:b w:val="0"/>
          <w:bCs/>
          <w:color w:val="auto"/>
          <w:kern w:val="2"/>
          <w:sz w:val="21"/>
          <w:szCs w:val="20"/>
          <w:highlight w:val="none"/>
          <w:lang w:val="en-US" w:eastAsia="zh-CN" w:bidi="ar-SA"/>
        </w:rPr>
        <w:t>3</w:t>
      </w:r>
      <w:r>
        <w:rPr>
          <w:rFonts w:hint="eastAsia" w:ascii="宋体" w:hAnsi="Times New Roman" w:eastAsia="宋体" w:cs="Times New Roman"/>
          <w:b w:val="0"/>
          <w:bCs/>
          <w:color w:val="auto"/>
          <w:kern w:val="2"/>
          <w:sz w:val="21"/>
          <w:szCs w:val="20"/>
          <w:highlight w:val="none"/>
          <w:lang w:val="en-US" w:eastAsia="zh-CN" w:bidi="ar-SA"/>
        </w:rPr>
        <w:t>.10</w:t>
      </w:r>
      <w:r>
        <w:rPr>
          <w:rFonts w:hint="eastAsia" w:ascii="宋体" w:hAnsi="宋体" w:cs="宋体"/>
          <w:b w:val="0"/>
          <w:bCs/>
          <w:color w:val="auto"/>
          <w:szCs w:val="21"/>
          <w:highlight w:val="none"/>
          <w:lang w:val="en-US" w:eastAsia="zh-CN"/>
        </w:rPr>
        <w:t>受托人</w:t>
      </w:r>
      <w:r>
        <w:rPr>
          <w:rFonts w:hint="eastAsia" w:ascii="宋体" w:hAnsi="Times New Roman" w:eastAsia="宋体" w:cs="Times New Roman"/>
          <w:b w:val="0"/>
          <w:bCs/>
          <w:color w:val="auto"/>
          <w:kern w:val="2"/>
          <w:sz w:val="21"/>
          <w:szCs w:val="20"/>
          <w:highlight w:val="none"/>
          <w:lang w:val="en-US" w:eastAsia="zh-CN" w:bidi="ar-SA"/>
        </w:rPr>
        <w:t>监督承包人负责工程的成品保护，认真做好记录，在办理工程中间交接的同时，向委托人提供交接清单。</w:t>
      </w:r>
    </w:p>
    <w:p w14:paraId="03E57A3E">
      <w:pPr>
        <w:spacing w:line="440" w:lineRule="exact"/>
        <w:ind w:firstLine="420" w:firstLineChars="200"/>
        <w:jc w:val="left"/>
        <w:rPr>
          <w:rFonts w:hint="eastAsia" w:ascii="宋体" w:hAnsi="Times New Roman" w:eastAsia="宋体" w:cs="Times New Roman"/>
          <w:b w:val="0"/>
          <w:bCs/>
          <w:color w:val="auto"/>
          <w:kern w:val="2"/>
          <w:sz w:val="21"/>
          <w:szCs w:val="20"/>
          <w:highlight w:val="none"/>
          <w:lang w:val="en-US" w:eastAsia="zh-CN" w:bidi="ar-SA"/>
        </w:rPr>
      </w:pPr>
      <w:r>
        <w:rPr>
          <w:rFonts w:hint="eastAsia" w:ascii="宋体" w:hAnsi="Times New Roman" w:eastAsia="宋体" w:cs="Times New Roman"/>
          <w:b w:val="0"/>
          <w:bCs/>
          <w:color w:val="auto"/>
          <w:kern w:val="2"/>
          <w:sz w:val="21"/>
          <w:szCs w:val="20"/>
          <w:highlight w:val="none"/>
          <w:lang w:val="en-US" w:eastAsia="zh-CN" w:bidi="ar-SA"/>
        </w:rPr>
        <w:t>9.</w:t>
      </w:r>
      <w:r>
        <w:rPr>
          <w:rFonts w:hint="eastAsia" w:ascii="宋体" w:cs="Times New Roman"/>
          <w:b w:val="0"/>
          <w:bCs/>
          <w:color w:val="auto"/>
          <w:kern w:val="2"/>
          <w:sz w:val="21"/>
          <w:szCs w:val="20"/>
          <w:highlight w:val="none"/>
          <w:lang w:val="en-US" w:eastAsia="zh-CN" w:bidi="ar-SA"/>
        </w:rPr>
        <w:t>3</w:t>
      </w:r>
      <w:r>
        <w:rPr>
          <w:rFonts w:hint="eastAsia" w:ascii="宋体" w:hAnsi="Times New Roman" w:eastAsia="宋体" w:cs="Times New Roman"/>
          <w:b w:val="0"/>
          <w:bCs/>
          <w:color w:val="auto"/>
          <w:kern w:val="2"/>
          <w:sz w:val="21"/>
          <w:szCs w:val="20"/>
          <w:highlight w:val="none"/>
          <w:lang w:val="en-US" w:eastAsia="zh-CN" w:bidi="ar-SA"/>
        </w:rPr>
        <w:t>.11监</w:t>
      </w:r>
      <w:r>
        <w:rPr>
          <w:rFonts w:hint="eastAsia" w:ascii="宋体" w:hAnsi="宋体" w:cs="宋体"/>
          <w:b w:val="0"/>
          <w:bCs/>
          <w:color w:val="auto"/>
          <w:szCs w:val="21"/>
          <w:highlight w:val="none"/>
          <w:lang w:val="en-US" w:eastAsia="zh-CN"/>
        </w:rPr>
        <w:t>受托人</w:t>
      </w:r>
      <w:r>
        <w:rPr>
          <w:rFonts w:hint="eastAsia" w:ascii="宋体" w:hAnsi="Times New Roman" w:eastAsia="宋体" w:cs="Times New Roman"/>
          <w:b w:val="0"/>
          <w:bCs/>
          <w:color w:val="auto"/>
          <w:kern w:val="2"/>
          <w:sz w:val="21"/>
          <w:szCs w:val="20"/>
          <w:highlight w:val="none"/>
          <w:lang w:val="en-US" w:eastAsia="zh-CN" w:bidi="ar-SA"/>
        </w:rPr>
        <w:t>的工作人员因调动工作、退休等原因离开该单位后，被发现在该单位工作期间违反国家有关建设工程质量管理规定的，造成重大工程质量事故的，仍应追究法律责任。</w:t>
      </w:r>
    </w:p>
    <w:p w14:paraId="692FE96E">
      <w:pPr>
        <w:spacing w:line="440" w:lineRule="exact"/>
        <w:ind w:firstLine="420" w:firstLineChars="200"/>
        <w:jc w:val="left"/>
        <w:rPr>
          <w:rFonts w:hint="eastAsia" w:ascii="宋体" w:hAnsi="Times New Roman" w:eastAsia="宋体" w:cs="Times New Roman"/>
          <w:b w:val="0"/>
          <w:bCs/>
          <w:color w:val="auto"/>
          <w:kern w:val="2"/>
          <w:sz w:val="21"/>
          <w:szCs w:val="20"/>
          <w:highlight w:val="none"/>
          <w:lang w:val="en-US" w:eastAsia="zh-CN" w:bidi="ar-SA"/>
        </w:rPr>
      </w:pPr>
      <w:r>
        <w:rPr>
          <w:rFonts w:hint="eastAsia" w:ascii="宋体" w:hAnsi="Times New Roman" w:eastAsia="宋体" w:cs="Times New Roman"/>
          <w:b w:val="0"/>
          <w:bCs/>
          <w:color w:val="auto"/>
          <w:kern w:val="2"/>
          <w:sz w:val="21"/>
          <w:szCs w:val="20"/>
          <w:highlight w:val="none"/>
          <w:lang w:val="en-US" w:eastAsia="zh-CN" w:bidi="ar-SA"/>
        </w:rPr>
        <w:t>9.</w:t>
      </w:r>
      <w:r>
        <w:rPr>
          <w:rFonts w:hint="eastAsia" w:ascii="宋体" w:cs="Times New Roman"/>
          <w:b w:val="0"/>
          <w:bCs/>
          <w:color w:val="auto"/>
          <w:kern w:val="2"/>
          <w:sz w:val="21"/>
          <w:szCs w:val="20"/>
          <w:highlight w:val="none"/>
          <w:lang w:val="en-US" w:eastAsia="zh-CN" w:bidi="ar-SA"/>
        </w:rPr>
        <w:t>4</w:t>
      </w:r>
      <w:r>
        <w:rPr>
          <w:rFonts w:hint="eastAsia" w:ascii="宋体" w:hAnsi="Times New Roman" w:eastAsia="宋体" w:cs="Times New Roman"/>
          <w:b w:val="0"/>
          <w:bCs/>
          <w:color w:val="auto"/>
          <w:kern w:val="2"/>
          <w:sz w:val="21"/>
          <w:szCs w:val="20"/>
          <w:highlight w:val="none"/>
          <w:lang w:val="en-US" w:eastAsia="zh-CN" w:bidi="ar-SA"/>
        </w:rPr>
        <w:t>安全管理</w:t>
      </w:r>
    </w:p>
    <w:p w14:paraId="059B61BE">
      <w:pPr>
        <w:spacing w:line="440" w:lineRule="exact"/>
        <w:ind w:firstLine="420" w:firstLineChars="200"/>
        <w:jc w:val="left"/>
        <w:rPr>
          <w:rFonts w:hint="eastAsia" w:ascii="宋体" w:hAnsi="Times New Roman" w:eastAsia="宋体" w:cs="Times New Roman"/>
          <w:b w:val="0"/>
          <w:bCs/>
          <w:color w:val="auto"/>
          <w:kern w:val="2"/>
          <w:sz w:val="21"/>
          <w:szCs w:val="20"/>
          <w:highlight w:val="none"/>
          <w:lang w:val="en-US" w:eastAsia="zh-CN" w:bidi="ar-SA"/>
        </w:rPr>
      </w:pPr>
      <w:r>
        <w:rPr>
          <w:rFonts w:hint="eastAsia" w:ascii="宋体" w:hAnsi="Times New Roman" w:eastAsia="宋体" w:cs="Times New Roman"/>
          <w:b w:val="0"/>
          <w:bCs/>
          <w:color w:val="auto"/>
          <w:kern w:val="2"/>
          <w:sz w:val="21"/>
          <w:szCs w:val="20"/>
          <w:highlight w:val="none"/>
          <w:lang w:val="en-US" w:eastAsia="zh-CN" w:bidi="ar-SA"/>
        </w:rPr>
        <w:t>9.</w:t>
      </w:r>
      <w:r>
        <w:rPr>
          <w:rFonts w:hint="eastAsia" w:ascii="宋体" w:cs="Times New Roman"/>
          <w:b w:val="0"/>
          <w:bCs/>
          <w:color w:val="auto"/>
          <w:kern w:val="2"/>
          <w:sz w:val="21"/>
          <w:szCs w:val="20"/>
          <w:highlight w:val="none"/>
          <w:lang w:val="en-US" w:eastAsia="zh-CN" w:bidi="ar-SA"/>
        </w:rPr>
        <w:t>4</w:t>
      </w:r>
      <w:r>
        <w:rPr>
          <w:rFonts w:hint="eastAsia" w:ascii="宋体" w:hAnsi="Times New Roman" w:eastAsia="宋体" w:cs="Times New Roman"/>
          <w:b w:val="0"/>
          <w:bCs/>
          <w:color w:val="auto"/>
          <w:kern w:val="2"/>
          <w:sz w:val="21"/>
          <w:szCs w:val="20"/>
          <w:highlight w:val="none"/>
          <w:lang w:val="en-US" w:eastAsia="zh-CN" w:bidi="ar-SA"/>
        </w:rPr>
        <w:t>.1</w:t>
      </w:r>
      <w:r>
        <w:rPr>
          <w:rFonts w:hint="eastAsia" w:ascii="宋体" w:hAnsi="宋体" w:cs="宋体"/>
          <w:b w:val="0"/>
          <w:bCs/>
          <w:color w:val="auto"/>
          <w:szCs w:val="21"/>
          <w:highlight w:val="none"/>
          <w:lang w:val="en-US" w:eastAsia="zh-CN"/>
        </w:rPr>
        <w:t>受托人</w:t>
      </w:r>
      <w:r>
        <w:rPr>
          <w:rFonts w:hint="eastAsia" w:ascii="宋体" w:hAnsi="Times New Roman" w:eastAsia="宋体" w:cs="Times New Roman"/>
          <w:b w:val="0"/>
          <w:bCs/>
          <w:color w:val="auto"/>
          <w:kern w:val="2"/>
          <w:sz w:val="21"/>
          <w:szCs w:val="20"/>
          <w:highlight w:val="none"/>
          <w:lang w:val="en-US" w:eastAsia="zh-CN" w:bidi="ar-SA"/>
        </w:rPr>
        <w:t>负责施工区域或受施工影响的区域的安全监督，配备专职的安全监理员每日巡查，每周上报安全监督处理意见或处罚意见，并督促施工单位组织落实，业主单位巡查发现安全隐患的，但监理单位未反馈，未上报的，业主单位有权给予5000元/次违约金；如产生较大安全事故或造成不良社会影响的，需承担由于监理措施不力造成的经济损失和责任，每出现一次给予</w:t>
      </w:r>
      <w:r>
        <w:rPr>
          <w:rFonts w:hint="eastAsia" w:ascii="宋体" w:hAnsi="宋体" w:cs="宋体"/>
          <w:b w:val="0"/>
          <w:bCs/>
          <w:color w:val="auto"/>
          <w:szCs w:val="21"/>
          <w:highlight w:val="none"/>
          <w:lang w:val="en-US" w:eastAsia="zh-CN"/>
        </w:rPr>
        <w:t>受托人</w:t>
      </w:r>
      <w:r>
        <w:rPr>
          <w:rFonts w:hint="eastAsia" w:ascii="宋体" w:hAnsi="Times New Roman" w:eastAsia="宋体" w:cs="Times New Roman"/>
          <w:b w:val="0"/>
          <w:bCs/>
          <w:color w:val="auto"/>
          <w:kern w:val="2"/>
          <w:sz w:val="21"/>
          <w:szCs w:val="20"/>
          <w:highlight w:val="none"/>
          <w:lang w:val="en-US" w:eastAsia="zh-CN" w:bidi="ar-SA"/>
        </w:rPr>
        <w:t>5万元至10万元违约金，直接从监理费用中扣除。</w:t>
      </w:r>
    </w:p>
    <w:p w14:paraId="0FA362AB">
      <w:pPr>
        <w:spacing w:line="440" w:lineRule="exact"/>
        <w:ind w:firstLine="420" w:firstLineChars="200"/>
        <w:jc w:val="left"/>
        <w:rPr>
          <w:rFonts w:hint="eastAsia" w:ascii="宋体" w:hAnsi="Times New Roman" w:eastAsia="宋体" w:cs="Times New Roman"/>
          <w:b w:val="0"/>
          <w:bCs/>
          <w:color w:val="auto"/>
          <w:kern w:val="2"/>
          <w:sz w:val="21"/>
          <w:szCs w:val="20"/>
          <w:highlight w:val="none"/>
          <w:lang w:val="en-US" w:eastAsia="zh-CN" w:bidi="ar-SA"/>
        </w:rPr>
      </w:pPr>
      <w:r>
        <w:rPr>
          <w:rFonts w:hint="eastAsia" w:ascii="宋体" w:hAnsi="Times New Roman" w:eastAsia="宋体" w:cs="Times New Roman"/>
          <w:b w:val="0"/>
          <w:bCs/>
          <w:color w:val="auto"/>
          <w:kern w:val="2"/>
          <w:sz w:val="21"/>
          <w:szCs w:val="20"/>
          <w:highlight w:val="none"/>
          <w:lang w:val="en-US" w:eastAsia="zh-CN" w:bidi="ar-SA"/>
        </w:rPr>
        <w:t>9.</w:t>
      </w:r>
      <w:r>
        <w:rPr>
          <w:rFonts w:hint="eastAsia" w:ascii="宋体" w:cs="Times New Roman"/>
          <w:b w:val="0"/>
          <w:bCs/>
          <w:color w:val="auto"/>
          <w:kern w:val="2"/>
          <w:sz w:val="21"/>
          <w:szCs w:val="20"/>
          <w:highlight w:val="none"/>
          <w:lang w:val="en-US" w:eastAsia="zh-CN" w:bidi="ar-SA"/>
        </w:rPr>
        <w:t>4</w:t>
      </w:r>
      <w:r>
        <w:rPr>
          <w:rFonts w:hint="eastAsia" w:ascii="宋体" w:hAnsi="Times New Roman" w:eastAsia="宋体" w:cs="Times New Roman"/>
          <w:b w:val="0"/>
          <w:bCs/>
          <w:color w:val="auto"/>
          <w:kern w:val="2"/>
          <w:sz w:val="21"/>
          <w:szCs w:val="20"/>
          <w:highlight w:val="none"/>
          <w:lang w:val="en-US" w:eastAsia="zh-CN" w:bidi="ar-SA"/>
        </w:rPr>
        <w:t>.2发生重大工程质量事故隐藏不报、谎报或者拖延报告期限的，给予</w:t>
      </w:r>
      <w:r>
        <w:rPr>
          <w:rFonts w:hint="eastAsia" w:ascii="宋体" w:hAnsi="宋体" w:cs="宋体"/>
          <w:b w:val="0"/>
          <w:bCs/>
          <w:color w:val="auto"/>
          <w:szCs w:val="21"/>
          <w:highlight w:val="none"/>
          <w:lang w:val="en-US" w:eastAsia="zh-CN"/>
        </w:rPr>
        <w:t>受托人</w:t>
      </w:r>
      <w:r>
        <w:rPr>
          <w:rFonts w:hint="eastAsia" w:ascii="宋体" w:hAnsi="Times New Roman" w:eastAsia="宋体" w:cs="Times New Roman"/>
          <w:b w:val="0"/>
          <w:bCs/>
          <w:color w:val="auto"/>
          <w:kern w:val="2"/>
          <w:sz w:val="21"/>
          <w:szCs w:val="20"/>
          <w:highlight w:val="none"/>
          <w:lang w:val="en-US" w:eastAsia="zh-CN" w:bidi="ar-SA"/>
        </w:rPr>
        <w:t>处以3-5万元的违约金，对直接负责的监理人员依法给予刑事处分，情节严重的将吊销执业资格证书。</w:t>
      </w:r>
    </w:p>
    <w:p w14:paraId="20D60DF7">
      <w:pPr>
        <w:spacing w:line="440" w:lineRule="exact"/>
        <w:ind w:firstLine="420" w:firstLineChars="200"/>
        <w:jc w:val="left"/>
        <w:rPr>
          <w:rFonts w:hint="eastAsia" w:ascii="宋体" w:hAnsi="Times New Roman" w:eastAsia="宋体" w:cs="Times New Roman"/>
          <w:b w:val="0"/>
          <w:bCs/>
          <w:color w:val="auto"/>
          <w:kern w:val="2"/>
          <w:sz w:val="21"/>
          <w:szCs w:val="20"/>
          <w:highlight w:val="none"/>
          <w:lang w:val="en-US" w:eastAsia="zh-CN" w:bidi="ar-SA"/>
        </w:rPr>
      </w:pPr>
      <w:r>
        <w:rPr>
          <w:rFonts w:hint="eastAsia" w:ascii="宋体" w:hAnsi="Times New Roman" w:eastAsia="宋体" w:cs="Times New Roman"/>
          <w:b w:val="0"/>
          <w:bCs/>
          <w:color w:val="auto"/>
          <w:kern w:val="2"/>
          <w:sz w:val="21"/>
          <w:szCs w:val="20"/>
          <w:highlight w:val="none"/>
          <w:lang w:val="en-US" w:eastAsia="zh-CN" w:bidi="ar-SA"/>
        </w:rPr>
        <w:t>9.</w:t>
      </w:r>
      <w:r>
        <w:rPr>
          <w:rFonts w:hint="eastAsia" w:ascii="宋体" w:cs="Times New Roman"/>
          <w:b w:val="0"/>
          <w:bCs/>
          <w:color w:val="auto"/>
          <w:kern w:val="2"/>
          <w:sz w:val="21"/>
          <w:szCs w:val="20"/>
          <w:highlight w:val="none"/>
          <w:lang w:val="en-US" w:eastAsia="zh-CN" w:bidi="ar-SA"/>
        </w:rPr>
        <w:t>4</w:t>
      </w:r>
      <w:r>
        <w:rPr>
          <w:rFonts w:hint="eastAsia" w:ascii="宋体" w:hAnsi="Times New Roman" w:eastAsia="宋体" w:cs="Times New Roman"/>
          <w:b w:val="0"/>
          <w:bCs/>
          <w:color w:val="auto"/>
          <w:kern w:val="2"/>
          <w:sz w:val="21"/>
          <w:szCs w:val="20"/>
          <w:highlight w:val="none"/>
          <w:lang w:val="en-US" w:eastAsia="zh-CN" w:bidi="ar-SA"/>
        </w:rPr>
        <w:t>.3因</w:t>
      </w:r>
      <w:r>
        <w:rPr>
          <w:rFonts w:hint="eastAsia" w:ascii="宋体" w:hAnsi="宋体" w:cs="宋体"/>
          <w:b w:val="0"/>
          <w:bCs/>
          <w:color w:val="auto"/>
          <w:szCs w:val="21"/>
          <w:highlight w:val="none"/>
          <w:lang w:val="en-US" w:eastAsia="zh-CN"/>
        </w:rPr>
        <w:t>受托人</w:t>
      </w:r>
      <w:r>
        <w:rPr>
          <w:rFonts w:hint="eastAsia" w:ascii="宋体" w:hAnsi="Times New Roman" w:eastAsia="宋体" w:cs="Times New Roman"/>
          <w:b w:val="0"/>
          <w:bCs/>
          <w:color w:val="auto"/>
          <w:kern w:val="2"/>
          <w:sz w:val="21"/>
          <w:szCs w:val="20"/>
          <w:highlight w:val="none"/>
          <w:lang w:val="en-US" w:eastAsia="zh-CN" w:bidi="ar-SA"/>
        </w:rPr>
        <w:t>没有按照相关法律法规履行职责，根据《生产安全事故报告和调查处理条例》规定，出现一般事故、较大事故、重大事故、特别重大事故，或出现国家现行对工程质量通常采用按造成损失严重程度进行分类中重大质量事故之一的，扣除所有监理费用，并追究相应责任。出现国家现行对工程质量通常采用按造成损失严重程度进行分类中严重质量事故、一般质量事故的，每次扣除总监理费用的10%-50%，并追究相应责任。</w:t>
      </w:r>
    </w:p>
    <w:p w14:paraId="51C61DC4">
      <w:pPr>
        <w:spacing w:line="440" w:lineRule="exact"/>
        <w:ind w:firstLine="420" w:firstLineChars="200"/>
        <w:jc w:val="left"/>
        <w:rPr>
          <w:rFonts w:hint="eastAsia" w:ascii="宋体" w:hAnsi="Times New Roman" w:eastAsia="宋体" w:cs="Times New Roman"/>
          <w:b w:val="0"/>
          <w:bCs/>
          <w:color w:val="auto"/>
          <w:kern w:val="2"/>
          <w:sz w:val="21"/>
          <w:szCs w:val="20"/>
          <w:highlight w:val="none"/>
          <w:lang w:val="en-US" w:eastAsia="zh-CN" w:bidi="ar-SA"/>
        </w:rPr>
      </w:pPr>
      <w:r>
        <w:rPr>
          <w:rFonts w:hint="eastAsia" w:ascii="宋体" w:hAnsi="Times New Roman" w:eastAsia="宋体" w:cs="Times New Roman"/>
          <w:b w:val="0"/>
          <w:bCs/>
          <w:color w:val="auto"/>
          <w:kern w:val="2"/>
          <w:sz w:val="21"/>
          <w:szCs w:val="20"/>
          <w:highlight w:val="none"/>
          <w:lang w:val="en-US" w:eastAsia="zh-CN" w:bidi="ar-SA"/>
        </w:rPr>
        <w:t>9.</w:t>
      </w:r>
      <w:r>
        <w:rPr>
          <w:rFonts w:hint="eastAsia" w:ascii="宋体" w:cs="Times New Roman"/>
          <w:b w:val="0"/>
          <w:bCs/>
          <w:color w:val="auto"/>
          <w:kern w:val="2"/>
          <w:sz w:val="21"/>
          <w:szCs w:val="20"/>
          <w:highlight w:val="none"/>
          <w:lang w:val="en-US" w:eastAsia="zh-CN" w:bidi="ar-SA"/>
        </w:rPr>
        <w:t>4</w:t>
      </w:r>
      <w:r>
        <w:rPr>
          <w:rFonts w:hint="eastAsia" w:ascii="宋体" w:hAnsi="Times New Roman" w:eastAsia="宋体" w:cs="Times New Roman"/>
          <w:b w:val="0"/>
          <w:bCs/>
          <w:color w:val="auto"/>
          <w:kern w:val="2"/>
          <w:sz w:val="21"/>
          <w:szCs w:val="20"/>
          <w:highlight w:val="none"/>
          <w:lang w:val="en-US" w:eastAsia="zh-CN" w:bidi="ar-SA"/>
        </w:rPr>
        <w:t>.3 安全文明和扬尘治理管理：</w:t>
      </w:r>
      <w:r>
        <w:rPr>
          <w:rFonts w:hint="eastAsia" w:ascii="宋体" w:hAnsi="宋体" w:cs="宋体"/>
          <w:b w:val="0"/>
          <w:bCs/>
          <w:color w:val="auto"/>
          <w:szCs w:val="21"/>
          <w:highlight w:val="none"/>
          <w:lang w:val="en-US" w:eastAsia="zh-CN"/>
        </w:rPr>
        <w:t>受托人</w:t>
      </w:r>
      <w:r>
        <w:rPr>
          <w:rFonts w:hint="eastAsia" w:ascii="宋体" w:hAnsi="Times New Roman" w:eastAsia="宋体" w:cs="Times New Roman"/>
          <w:b w:val="0"/>
          <w:bCs/>
          <w:color w:val="auto"/>
          <w:kern w:val="2"/>
          <w:sz w:val="21"/>
          <w:szCs w:val="20"/>
          <w:highlight w:val="none"/>
          <w:lang w:val="en-US" w:eastAsia="zh-CN" w:bidi="ar-SA"/>
        </w:rPr>
        <w:t>需强化施工现场的安全文明和扬尘治理管理监督工作，按照国家、省、市有关规定切实履行监理职责。对施工单位违反规定或经检查达不到规定和要求，</w:t>
      </w:r>
      <w:r>
        <w:rPr>
          <w:rFonts w:hint="eastAsia" w:ascii="宋体" w:hAnsi="宋体" w:cs="宋体"/>
          <w:b w:val="0"/>
          <w:bCs/>
          <w:color w:val="auto"/>
          <w:szCs w:val="21"/>
          <w:highlight w:val="none"/>
          <w:lang w:val="en-US" w:eastAsia="zh-CN"/>
        </w:rPr>
        <w:t>受托人</w:t>
      </w:r>
      <w:r>
        <w:rPr>
          <w:rFonts w:hint="eastAsia" w:ascii="宋体" w:hAnsi="Times New Roman" w:eastAsia="宋体" w:cs="Times New Roman"/>
          <w:b w:val="0"/>
          <w:bCs/>
          <w:color w:val="auto"/>
          <w:kern w:val="2"/>
          <w:sz w:val="21"/>
          <w:szCs w:val="20"/>
          <w:highlight w:val="none"/>
          <w:lang w:val="en-US" w:eastAsia="zh-CN" w:bidi="ar-SA"/>
        </w:rPr>
        <w:t>又未及时发现并要求整改或整改监督不力的，</w:t>
      </w:r>
      <w:r>
        <w:rPr>
          <w:rFonts w:hint="eastAsia" w:ascii="宋体" w:hAnsi="宋体" w:cs="宋体"/>
          <w:b w:val="0"/>
          <w:bCs/>
          <w:color w:val="auto"/>
          <w:szCs w:val="21"/>
          <w:highlight w:val="none"/>
          <w:lang w:val="en-US" w:eastAsia="zh-CN"/>
        </w:rPr>
        <w:t>受托人</w:t>
      </w:r>
      <w:r>
        <w:rPr>
          <w:rFonts w:hint="eastAsia" w:ascii="宋体" w:hAnsi="Times New Roman" w:eastAsia="宋体" w:cs="Times New Roman"/>
          <w:b w:val="0"/>
          <w:bCs/>
          <w:color w:val="auto"/>
          <w:kern w:val="2"/>
          <w:sz w:val="21"/>
          <w:szCs w:val="20"/>
          <w:highlight w:val="none"/>
          <w:lang w:val="en-US" w:eastAsia="zh-CN" w:bidi="ar-SA"/>
        </w:rPr>
        <w:t>负连带责任，处以</w:t>
      </w:r>
      <w:r>
        <w:rPr>
          <w:rFonts w:hint="eastAsia" w:ascii="宋体" w:hAnsi="宋体" w:cs="宋体"/>
          <w:b w:val="0"/>
          <w:bCs/>
          <w:color w:val="auto"/>
          <w:szCs w:val="21"/>
          <w:highlight w:val="none"/>
          <w:lang w:val="en-US" w:eastAsia="zh-CN"/>
        </w:rPr>
        <w:t>受托人</w:t>
      </w:r>
      <w:r>
        <w:rPr>
          <w:rFonts w:hint="eastAsia" w:ascii="宋体" w:hAnsi="Times New Roman" w:eastAsia="宋体" w:cs="Times New Roman"/>
          <w:b w:val="0"/>
          <w:bCs/>
          <w:color w:val="auto"/>
          <w:kern w:val="2"/>
          <w:sz w:val="21"/>
          <w:szCs w:val="20"/>
          <w:highlight w:val="none"/>
          <w:lang w:val="en-US" w:eastAsia="zh-CN" w:bidi="ar-SA"/>
        </w:rPr>
        <w:t xml:space="preserve"> 5000 元/次的违约金。</w:t>
      </w:r>
    </w:p>
    <w:p w14:paraId="3E5F1529">
      <w:pPr>
        <w:spacing w:line="440" w:lineRule="exact"/>
        <w:ind w:firstLine="420" w:firstLineChars="200"/>
        <w:jc w:val="left"/>
        <w:rPr>
          <w:rFonts w:hint="eastAsia" w:ascii="宋体" w:hAnsi="Times New Roman" w:eastAsia="宋体" w:cs="Times New Roman"/>
          <w:b w:val="0"/>
          <w:bCs/>
          <w:color w:val="auto"/>
          <w:kern w:val="2"/>
          <w:sz w:val="21"/>
          <w:szCs w:val="20"/>
          <w:highlight w:val="none"/>
          <w:lang w:val="en-US" w:eastAsia="zh-CN" w:bidi="ar-SA"/>
        </w:rPr>
      </w:pPr>
      <w:r>
        <w:rPr>
          <w:rFonts w:hint="eastAsia" w:ascii="宋体" w:hAnsi="Times New Roman" w:eastAsia="宋体" w:cs="Times New Roman"/>
          <w:b w:val="0"/>
          <w:bCs/>
          <w:color w:val="auto"/>
          <w:kern w:val="2"/>
          <w:sz w:val="21"/>
          <w:szCs w:val="20"/>
          <w:highlight w:val="none"/>
          <w:lang w:val="en-US" w:eastAsia="zh-CN" w:bidi="ar-SA"/>
        </w:rPr>
        <w:t>9.</w:t>
      </w:r>
      <w:r>
        <w:rPr>
          <w:rFonts w:hint="eastAsia" w:ascii="宋体" w:cs="Times New Roman"/>
          <w:b w:val="0"/>
          <w:bCs/>
          <w:color w:val="auto"/>
          <w:kern w:val="2"/>
          <w:sz w:val="21"/>
          <w:szCs w:val="20"/>
          <w:highlight w:val="none"/>
          <w:lang w:val="en-US" w:eastAsia="zh-CN" w:bidi="ar-SA"/>
        </w:rPr>
        <w:t>5.</w:t>
      </w:r>
      <w:r>
        <w:rPr>
          <w:rFonts w:hint="eastAsia" w:ascii="宋体" w:hAnsi="Times New Roman" w:eastAsia="宋体" w:cs="Times New Roman"/>
          <w:b w:val="0"/>
          <w:bCs/>
          <w:color w:val="auto"/>
          <w:kern w:val="2"/>
          <w:sz w:val="21"/>
          <w:szCs w:val="20"/>
          <w:highlight w:val="none"/>
          <w:lang w:val="en-US" w:eastAsia="zh-CN" w:bidi="ar-SA"/>
        </w:rPr>
        <w:t>其他规定</w:t>
      </w:r>
    </w:p>
    <w:p w14:paraId="76BB6ADB">
      <w:pPr>
        <w:spacing w:line="440" w:lineRule="exact"/>
        <w:ind w:firstLine="420" w:firstLineChars="200"/>
        <w:jc w:val="left"/>
        <w:rPr>
          <w:rFonts w:hint="eastAsia" w:ascii="宋体" w:hAnsi="Times New Roman" w:eastAsia="宋体" w:cs="Times New Roman"/>
          <w:b w:val="0"/>
          <w:bCs/>
          <w:color w:val="auto"/>
          <w:kern w:val="2"/>
          <w:sz w:val="21"/>
          <w:szCs w:val="20"/>
          <w:highlight w:val="none"/>
          <w:lang w:val="en-US" w:eastAsia="zh-CN" w:bidi="ar-SA"/>
        </w:rPr>
      </w:pPr>
      <w:r>
        <w:rPr>
          <w:rFonts w:hint="eastAsia" w:ascii="宋体" w:hAnsi="Times New Roman" w:eastAsia="宋体" w:cs="Times New Roman"/>
          <w:b w:val="0"/>
          <w:bCs/>
          <w:color w:val="auto"/>
          <w:kern w:val="2"/>
          <w:sz w:val="21"/>
          <w:szCs w:val="20"/>
          <w:highlight w:val="none"/>
          <w:lang w:val="en-US" w:eastAsia="zh-CN" w:bidi="ar-SA"/>
        </w:rPr>
        <w:t>9.</w:t>
      </w:r>
      <w:r>
        <w:rPr>
          <w:rFonts w:hint="eastAsia" w:ascii="宋体" w:cs="Times New Roman"/>
          <w:b w:val="0"/>
          <w:bCs/>
          <w:color w:val="auto"/>
          <w:kern w:val="2"/>
          <w:sz w:val="21"/>
          <w:szCs w:val="20"/>
          <w:highlight w:val="none"/>
          <w:lang w:val="en-US" w:eastAsia="zh-CN" w:bidi="ar-SA"/>
        </w:rPr>
        <w:t>5</w:t>
      </w:r>
      <w:r>
        <w:rPr>
          <w:rFonts w:hint="eastAsia" w:ascii="宋体" w:hAnsi="Times New Roman" w:eastAsia="宋体" w:cs="Times New Roman"/>
          <w:b w:val="0"/>
          <w:bCs/>
          <w:color w:val="auto"/>
          <w:kern w:val="2"/>
          <w:sz w:val="21"/>
          <w:szCs w:val="20"/>
          <w:highlight w:val="none"/>
          <w:lang w:val="en-US" w:eastAsia="zh-CN" w:bidi="ar-SA"/>
        </w:rPr>
        <w:t>.1执行城建办【2008】014 号和 039 号文件相关规定。</w:t>
      </w:r>
    </w:p>
    <w:p w14:paraId="1E62BD88">
      <w:pPr>
        <w:spacing w:line="440" w:lineRule="exact"/>
        <w:ind w:firstLine="420" w:firstLineChars="200"/>
        <w:jc w:val="left"/>
        <w:rPr>
          <w:rFonts w:hint="eastAsia" w:ascii="宋体" w:hAnsi="Times New Roman" w:eastAsia="宋体" w:cs="Times New Roman"/>
          <w:b w:val="0"/>
          <w:bCs/>
          <w:color w:val="auto"/>
          <w:kern w:val="2"/>
          <w:sz w:val="21"/>
          <w:szCs w:val="20"/>
          <w:highlight w:val="none"/>
          <w:lang w:val="en-US" w:eastAsia="zh-CN" w:bidi="ar-SA"/>
        </w:rPr>
      </w:pPr>
      <w:r>
        <w:rPr>
          <w:rFonts w:hint="eastAsia" w:ascii="宋体" w:hAnsi="Times New Roman" w:eastAsia="宋体" w:cs="Times New Roman"/>
          <w:b w:val="0"/>
          <w:bCs/>
          <w:color w:val="auto"/>
          <w:kern w:val="2"/>
          <w:sz w:val="21"/>
          <w:szCs w:val="20"/>
          <w:highlight w:val="none"/>
          <w:lang w:val="en-US" w:eastAsia="zh-CN" w:bidi="ar-SA"/>
        </w:rPr>
        <w:t>9.</w:t>
      </w:r>
      <w:r>
        <w:rPr>
          <w:rFonts w:hint="eastAsia" w:ascii="宋体" w:cs="Times New Roman"/>
          <w:b w:val="0"/>
          <w:bCs/>
          <w:color w:val="auto"/>
          <w:kern w:val="2"/>
          <w:sz w:val="21"/>
          <w:szCs w:val="20"/>
          <w:highlight w:val="none"/>
          <w:lang w:val="en-US" w:eastAsia="zh-CN" w:bidi="ar-SA"/>
        </w:rPr>
        <w:t>5</w:t>
      </w:r>
      <w:r>
        <w:rPr>
          <w:rFonts w:hint="eastAsia" w:ascii="宋体" w:hAnsi="Times New Roman" w:eastAsia="宋体" w:cs="Times New Roman"/>
          <w:b w:val="0"/>
          <w:bCs/>
          <w:color w:val="auto"/>
          <w:kern w:val="2"/>
          <w:sz w:val="21"/>
          <w:szCs w:val="20"/>
          <w:highlight w:val="none"/>
          <w:lang w:val="en-US" w:eastAsia="zh-CN" w:bidi="ar-SA"/>
        </w:rPr>
        <w:t>.2监理单位有义务配合业主代表处理市长热线等投诉问题。</w:t>
      </w:r>
    </w:p>
    <w:p w14:paraId="26C031F9">
      <w:pPr>
        <w:spacing w:line="440" w:lineRule="exact"/>
        <w:ind w:firstLine="420" w:firstLineChars="200"/>
        <w:jc w:val="left"/>
        <w:rPr>
          <w:rFonts w:hint="eastAsia" w:ascii="宋体" w:hAnsi="Times New Roman" w:eastAsia="宋体" w:cs="Times New Roman"/>
          <w:b w:val="0"/>
          <w:bCs/>
          <w:color w:val="auto"/>
          <w:kern w:val="2"/>
          <w:sz w:val="21"/>
          <w:szCs w:val="20"/>
          <w:highlight w:val="none"/>
          <w:lang w:val="en-US" w:eastAsia="zh-CN" w:bidi="ar-SA"/>
        </w:rPr>
      </w:pPr>
      <w:r>
        <w:rPr>
          <w:rFonts w:hint="eastAsia" w:ascii="宋体" w:hAnsi="Times New Roman" w:eastAsia="宋体" w:cs="Times New Roman"/>
          <w:b w:val="0"/>
          <w:bCs/>
          <w:color w:val="auto"/>
          <w:kern w:val="2"/>
          <w:sz w:val="21"/>
          <w:szCs w:val="20"/>
          <w:highlight w:val="none"/>
          <w:lang w:val="en-US" w:eastAsia="zh-CN" w:bidi="ar-SA"/>
        </w:rPr>
        <w:t>9.</w:t>
      </w:r>
      <w:r>
        <w:rPr>
          <w:rFonts w:hint="eastAsia" w:ascii="宋体" w:cs="Times New Roman"/>
          <w:b w:val="0"/>
          <w:bCs/>
          <w:color w:val="auto"/>
          <w:kern w:val="2"/>
          <w:sz w:val="21"/>
          <w:szCs w:val="20"/>
          <w:highlight w:val="none"/>
          <w:lang w:val="en-US" w:eastAsia="zh-CN" w:bidi="ar-SA"/>
        </w:rPr>
        <w:t>5</w:t>
      </w:r>
      <w:r>
        <w:rPr>
          <w:rFonts w:hint="eastAsia" w:ascii="宋体" w:hAnsi="Times New Roman" w:eastAsia="宋体" w:cs="Times New Roman"/>
          <w:b w:val="0"/>
          <w:bCs/>
          <w:color w:val="auto"/>
          <w:kern w:val="2"/>
          <w:sz w:val="21"/>
          <w:szCs w:val="20"/>
          <w:highlight w:val="none"/>
          <w:lang w:val="en-US" w:eastAsia="zh-CN" w:bidi="ar-SA"/>
        </w:rPr>
        <w:t>.3监理对承包方请款必须严格按照请款程序审核把关，发现不按规定给予请款资料确认的，每次处违约金 3000元。</w:t>
      </w:r>
    </w:p>
    <w:p w14:paraId="6BB6DB67">
      <w:pPr>
        <w:spacing w:line="440" w:lineRule="exact"/>
        <w:ind w:firstLine="420" w:firstLineChars="200"/>
        <w:jc w:val="left"/>
        <w:rPr>
          <w:rFonts w:hint="eastAsia" w:ascii="宋体" w:hAnsi="Times New Roman" w:eastAsia="宋体" w:cs="Times New Roman"/>
          <w:b w:val="0"/>
          <w:bCs/>
          <w:color w:val="auto"/>
          <w:kern w:val="2"/>
          <w:sz w:val="21"/>
          <w:szCs w:val="20"/>
          <w:highlight w:val="none"/>
          <w:lang w:val="en-US" w:eastAsia="zh-CN" w:bidi="ar-SA"/>
        </w:rPr>
      </w:pPr>
      <w:bookmarkStart w:id="775" w:name="page41"/>
      <w:bookmarkEnd w:id="775"/>
      <w:r>
        <w:rPr>
          <w:rFonts w:hint="eastAsia" w:ascii="宋体" w:hAnsi="Times New Roman" w:eastAsia="宋体" w:cs="Times New Roman"/>
          <w:b w:val="0"/>
          <w:bCs/>
          <w:color w:val="auto"/>
          <w:kern w:val="2"/>
          <w:sz w:val="21"/>
          <w:szCs w:val="20"/>
          <w:highlight w:val="none"/>
          <w:lang w:val="en-US" w:eastAsia="zh-CN" w:bidi="ar-SA"/>
        </w:rPr>
        <w:t>9.</w:t>
      </w:r>
      <w:r>
        <w:rPr>
          <w:rFonts w:hint="eastAsia" w:ascii="宋体" w:cs="Times New Roman"/>
          <w:b w:val="0"/>
          <w:bCs/>
          <w:color w:val="auto"/>
          <w:kern w:val="2"/>
          <w:sz w:val="21"/>
          <w:szCs w:val="20"/>
          <w:highlight w:val="none"/>
          <w:lang w:val="en-US" w:eastAsia="zh-CN" w:bidi="ar-SA"/>
        </w:rPr>
        <w:t>5</w:t>
      </w:r>
      <w:r>
        <w:rPr>
          <w:rFonts w:hint="eastAsia" w:ascii="宋体" w:hAnsi="Times New Roman" w:eastAsia="宋体" w:cs="Times New Roman"/>
          <w:b w:val="0"/>
          <w:bCs/>
          <w:color w:val="auto"/>
          <w:kern w:val="2"/>
          <w:sz w:val="21"/>
          <w:szCs w:val="20"/>
          <w:highlight w:val="none"/>
          <w:lang w:val="en-US" w:eastAsia="zh-CN" w:bidi="ar-SA"/>
        </w:rPr>
        <w:t>.4总监理工程师必须参加委托人组织的各项工程例会，每缺席一次按500元处以违约金，确有特殊情况且已向业主代表申请并确认的除外。对未按业主要求按时履行前期手续的每次处违约金3000元。</w:t>
      </w:r>
    </w:p>
    <w:p w14:paraId="38028C9B">
      <w:pPr>
        <w:spacing w:line="440" w:lineRule="exact"/>
        <w:ind w:firstLine="420" w:firstLineChars="200"/>
        <w:jc w:val="left"/>
        <w:rPr>
          <w:rFonts w:hint="eastAsia" w:ascii="宋体" w:hAnsi="Times New Roman" w:eastAsia="宋体" w:cs="Times New Roman"/>
          <w:color w:val="auto"/>
          <w:kern w:val="2"/>
          <w:sz w:val="21"/>
          <w:szCs w:val="20"/>
          <w:highlight w:val="none"/>
          <w:lang w:val="en-US" w:eastAsia="zh-CN" w:bidi="ar-SA"/>
        </w:rPr>
      </w:pPr>
      <w:r>
        <w:rPr>
          <w:rFonts w:hint="eastAsia" w:ascii="宋体" w:hAnsi="Times New Roman" w:eastAsia="宋体" w:cs="Times New Roman"/>
          <w:b w:val="0"/>
          <w:bCs/>
          <w:color w:val="auto"/>
          <w:kern w:val="2"/>
          <w:sz w:val="21"/>
          <w:szCs w:val="20"/>
          <w:highlight w:val="none"/>
          <w:lang w:val="en-US" w:eastAsia="zh-CN" w:bidi="ar-SA"/>
        </w:rPr>
        <w:t>9.</w:t>
      </w:r>
      <w:r>
        <w:rPr>
          <w:rFonts w:hint="eastAsia" w:ascii="宋体" w:cs="Times New Roman"/>
          <w:b w:val="0"/>
          <w:bCs/>
          <w:color w:val="auto"/>
          <w:kern w:val="2"/>
          <w:sz w:val="21"/>
          <w:szCs w:val="20"/>
          <w:highlight w:val="none"/>
          <w:lang w:val="en-US" w:eastAsia="zh-CN" w:bidi="ar-SA"/>
        </w:rPr>
        <w:t>5</w:t>
      </w:r>
      <w:r>
        <w:rPr>
          <w:rFonts w:hint="eastAsia" w:ascii="宋体" w:hAnsi="Times New Roman" w:eastAsia="宋体" w:cs="Times New Roman"/>
          <w:b w:val="0"/>
          <w:bCs/>
          <w:color w:val="auto"/>
          <w:kern w:val="2"/>
          <w:sz w:val="21"/>
          <w:szCs w:val="20"/>
          <w:highlight w:val="none"/>
          <w:lang w:val="en-US" w:eastAsia="zh-CN" w:bidi="ar-SA"/>
        </w:rPr>
        <w:t xml:space="preserve">.5 </w:t>
      </w:r>
      <w:r>
        <w:rPr>
          <w:rFonts w:hint="eastAsia" w:ascii="宋体" w:hAnsi="宋体" w:cs="宋体"/>
          <w:b w:val="0"/>
          <w:bCs/>
          <w:color w:val="auto"/>
          <w:szCs w:val="21"/>
          <w:highlight w:val="none"/>
          <w:lang w:val="en-US" w:eastAsia="zh-CN"/>
        </w:rPr>
        <w:t>受托人</w:t>
      </w:r>
      <w:r>
        <w:rPr>
          <w:rFonts w:hint="eastAsia" w:ascii="宋体" w:hAnsi="Times New Roman" w:eastAsia="宋体" w:cs="Times New Roman"/>
          <w:b w:val="0"/>
          <w:bCs/>
          <w:color w:val="auto"/>
          <w:kern w:val="2"/>
          <w:sz w:val="21"/>
          <w:szCs w:val="20"/>
          <w:highlight w:val="none"/>
          <w:lang w:val="en-US" w:eastAsia="zh-CN" w:bidi="ar-SA"/>
        </w:rPr>
        <w:t>未按要</w:t>
      </w:r>
      <w:r>
        <w:rPr>
          <w:rFonts w:hint="eastAsia" w:ascii="宋体" w:hAnsi="Times New Roman" w:eastAsia="宋体" w:cs="Times New Roman"/>
          <w:color w:val="auto"/>
          <w:kern w:val="2"/>
          <w:sz w:val="21"/>
          <w:szCs w:val="20"/>
          <w:highlight w:val="none"/>
          <w:lang w:val="en-US" w:eastAsia="zh-CN" w:bidi="ar-SA"/>
        </w:rPr>
        <w:t>求健全日志、台帐、会议纪录，安全资料不完整，处以500元/次的违约金；未按有关规定编制，与工程进度同步，发现资料出具不及时、与工程实体不相符的，处以500元/次的违约金；工程资料不完善，伪造资料报告或伪造检验结论的，予以通报批评，并处以5000-10000元/次的违约金。</w:t>
      </w:r>
    </w:p>
    <w:p w14:paraId="2C94A195">
      <w:pPr>
        <w:spacing w:line="440" w:lineRule="exact"/>
        <w:ind w:firstLine="420" w:firstLineChars="200"/>
        <w:jc w:val="left"/>
        <w:rPr>
          <w:rFonts w:hint="eastAsia" w:ascii="宋体" w:hAnsi="Times New Roman" w:eastAsia="宋体" w:cs="Times New Roman"/>
          <w:b w:val="0"/>
          <w:bCs w:val="0"/>
          <w:color w:val="auto"/>
          <w:kern w:val="2"/>
          <w:sz w:val="21"/>
          <w:szCs w:val="20"/>
          <w:highlight w:val="none"/>
          <w:lang w:val="en-US" w:eastAsia="zh-CN" w:bidi="ar-SA"/>
        </w:rPr>
      </w:pPr>
      <w:r>
        <w:rPr>
          <w:rFonts w:hint="eastAsia" w:ascii="宋体" w:hAnsi="Times New Roman" w:eastAsia="宋体" w:cs="Times New Roman"/>
          <w:color w:val="auto"/>
          <w:kern w:val="2"/>
          <w:sz w:val="21"/>
          <w:szCs w:val="20"/>
          <w:highlight w:val="none"/>
          <w:lang w:val="en-US" w:eastAsia="zh-CN" w:bidi="ar-SA"/>
        </w:rPr>
        <w:t>9</w:t>
      </w:r>
      <w:r>
        <w:rPr>
          <w:rFonts w:hint="eastAsia" w:ascii="宋体" w:hAnsi="Times New Roman" w:eastAsia="宋体" w:cs="Times New Roman"/>
          <w:b w:val="0"/>
          <w:bCs w:val="0"/>
          <w:color w:val="auto"/>
          <w:kern w:val="2"/>
          <w:sz w:val="21"/>
          <w:szCs w:val="20"/>
          <w:highlight w:val="none"/>
          <w:lang w:val="en-US" w:eastAsia="zh-CN" w:bidi="ar-SA"/>
        </w:rPr>
        <w:t>.</w:t>
      </w:r>
      <w:r>
        <w:rPr>
          <w:rFonts w:hint="eastAsia" w:ascii="宋体" w:cs="Times New Roman"/>
          <w:b w:val="0"/>
          <w:bCs w:val="0"/>
          <w:color w:val="auto"/>
          <w:kern w:val="2"/>
          <w:sz w:val="21"/>
          <w:szCs w:val="20"/>
          <w:highlight w:val="none"/>
          <w:lang w:val="en-US" w:eastAsia="zh-CN" w:bidi="ar-SA"/>
        </w:rPr>
        <w:t>5</w:t>
      </w:r>
      <w:r>
        <w:rPr>
          <w:rFonts w:hint="eastAsia" w:ascii="宋体" w:hAnsi="Times New Roman" w:eastAsia="宋体" w:cs="Times New Roman"/>
          <w:b w:val="0"/>
          <w:bCs w:val="0"/>
          <w:color w:val="auto"/>
          <w:kern w:val="2"/>
          <w:sz w:val="21"/>
          <w:szCs w:val="20"/>
          <w:highlight w:val="none"/>
          <w:lang w:val="en-US" w:eastAsia="zh-CN" w:bidi="ar-SA"/>
        </w:rPr>
        <w:t>.6业主单位发现监理机构和人员渎职行为证据确凿的，对直接责任</w:t>
      </w:r>
      <w:r>
        <w:rPr>
          <w:rFonts w:hint="eastAsia" w:ascii="宋体" w:hAnsi="宋体" w:cs="宋体"/>
          <w:b w:val="0"/>
          <w:bCs w:val="0"/>
          <w:color w:val="auto"/>
          <w:szCs w:val="21"/>
          <w:highlight w:val="none"/>
          <w:lang w:val="en-US" w:eastAsia="zh-CN"/>
        </w:rPr>
        <w:t>受托人</w:t>
      </w:r>
      <w:r>
        <w:rPr>
          <w:rFonts w:hint="eastAsia" w:ascii="宋体" w:hAnsi="Times New Roman" w:eastAsia="宋体" w:cs="Times New Roman"/>
          <w:b w:val="0"/>
          <w:bCs w:val="0"/>
          <w:color w:val="auto"/>
          <w:kern w:val="2"/>
          <w:sz w:val="21"/>
          <w:szCs w:val="20"/>
          <w:highlight w:val="none"/>
          <w:lang w:val="en-US" w:eastAsia="zh-CN" w:bidi="ar-SA"/>
        </w:rPr>
        <w:t>员处以1000－2000元/次的违约金，对监理企业处以5000－10000元/次的违约金。造成重大损失的，业主单位除按相关规定索赔外，报建设行政主管部门立案查处，触犯法律的，移交司法机关处理。</w:t>
      </w:r>
    </w:p>
    <w:p w14:paraId="27219502">
      <w:pPr>
        <w:spacing w:line="440" w:lineRule="exact"/>
        <w:ind w:firstLine="420" w:firstLineChars="200"/>
        <w:jc w:val="left"/>
        <w:rPr>
          <w:rFonts w:hint="eastAsia" w:ascii="宋体" w:hAnsi="Times New Roman" w:eastAsia="宋体" w:cs="Times New Roman"/>
          <w:b w:val="0"/>
          <w:bCs w:val="0"/>
          <w:color w:val="auto"/>
          <w:kern w:val="2"/>
          <w:sz w:val="21"/>
          <w:szCs w:val="20"/>
          <w:highlight w:val="none"/>
          <w:lang w:val="en-US" w:eastAsia="zh-CN" w:bidi="ar-SA"/>
        </w:rPr>
      </w:pPr>
      <w:r>
        <w:rPr>
          <w:rFonts w:hint="eastAsia" w:ascii="宋体" w:hAnsi="Times New Roman" w:eastAsia="宋体" w:cs="Times New Roman"/>
          <w:b w:val="0"/>
          <w:bCs w:val="0"/>
          <w:color w:val="auto"/>
          <w:kern w:val="2"/>
          <w:sz w:val="21"/>
          <w:szCs w:val="20"/>
          <w:highlight w:val="none"/>
          <w:lang w:val="en-US" w:eastAsia="zh-CN" w:bidi="ar-SA"/>
        </w:rPr>
        <w:t>9.</w:t>
      </w:r>
      <w:r>
        <w:rPr>
          <w:rFonts w:hint="eastAsia" w:ascii="宋体" w:cs="Times New Roman"/>
          <w:b w:val="0"/>
          <w:bCs w:val="0"/>
          <w:color w:val="auto"/>
          <w:kern w:val="2"/>
          <w:sz w:val="21"/>
          <w:szCs w:val="20"/>
          <w:highlight w:val="none"/>
          <w:lang w:val="en-US" w:eastAsia="zh-CN" w:bidi="ar-SA"/>
        </w:rPr>
        <w:t>5.</w:t>
      </w:r>
      <w:r>
        <w:rPr>
          <w:rFonts w:hint="eastAsia" w:ascii="宋体" w:hAnsi="Times New Roman" w:eastAsia="宋体" w:cs="Times New Roman"/>
          <w:b w:val="0"/>
          <w:bCs w:val="0"/>
          <w:color w:val="auto"/>
          <w:kern w:val="2"/>
          <w:sz w:val="21"/>
          <w:szCs w:val="20"/>
          <w:highlight w:val="none"/>
          <w:lang w:val="en-US" w:eastAsia="zh-CN" w:bidi="ar-SA"/>
        </w:rPr>
        <w:t xml:space="preserve">7 </w:t>
      </w:r>
      <w:r>
        <w:rPr>
          <w:rFonts w:hint="eastAsia" w:ascii="宋体" w:hAnsi="宋体" w:cs="宋体"/>
          <w:b w:val="0"/>
          <w:bCs w:val="0"/>
          <w:color w:val="auto"/>
          <w:szCs w:val="21"/>
          <w:highlight w:val="none"/>
          <w:lang w:val="en-US" w:eastAsia="zh-CN"/>
        </w:rPr>
        <w:t>受托人</w:t>
      </w:r>
      <w:r>
        <w:rPr>
          <w:rFonts w:hint="eastAsia" w:ascii="宋体" w:hAnsi="Times New Roman" w:eastAsia="宋体" w:cs="Times New Roman"/>
          <w:b w:val="0"/>
          <w:bCs w:val="0"/>
          <w:color w:val="auto"/>
          <w:kern w:val="2"/>
          <w:sz w:val="21"/>
          <w:szCs w:val="20"/>
          <w:highlight w:val="none"/>
          <w:lang w:val="en-US" w:eastAsia="zh-CN" w:bidi="ar-SA"/>
        </w:rPr>
        <w:t>自行解决餐食问题，不得与承包方一起就餐（或动用承包方人力、物力），必须做到独立就餐，费用自理，一经发现，业主有权给予1000元/次的违约金处理。</w:t>
      </w:r>
    </w:p>
    <w:p w14:paraId="5DA05BBF">
      <w:pPr>
        <w:spacing w:line="440" w:lineRule="exact"/>
        <w:ind w:firstLine="420" w:firstLineChars="200"/>
        <w:jc w:val="left"/>
        <w:rPr>
          <w:rFonts w:hint="eastAsia" w:ascii="宋体" w:hAnsi="Times New Roman" w:eastAsia="宋体" w:cs="Times New Roman"/>
          <w:b w:val="0"/>
          <w:bCs w:val="0"/>
          <w:color w:val="auto"/>
          <w:kern w:val="2"/>
          <w:sz w:val="21"/>
          <w:szCs w:val="20"/>
          <w:highlight w:val="none"/>
          <w:lang w:val="en-US" w:eastAsia="zh-CN" w:bidi="ar-SA"/>
        </w:rPr>
      </w:pPr>
      <w:r>
        <w:rPr>
          <w:rFonts w:hint="eastAsia" w:ascii="宋体" w:hAnsi="Times New Roman" w:eastAsia="宋体" w:cs="Times New Roman"/>
          <w:b w:val="0"/>
          <w:bCs w:val="0"/>
          <w:color w:val="auto"/>
          <w:kern w:val="2"/>
          <w:sz w:val="21"/>
          <w:szCs w:val="20"/>
          <w:highlight w:val="none"/>
          <w:lang w:val="en-US" w:eastAsia="zh-CN" w:bidi="ar-SA"/>
        </w:rPr>
        <w:t>9.</w:t>
      </w:r>
      <w:r>
        <w:rPr>
          <w:rFonts w:hint="eastAsia" w:ascii="宋体" w:cs="Times New Roman"/>
          <w:b w:val="0"/>
          <w:bCs w:val="0"/>
          <w:color w:val="auto"/>
          <w:kern w:val="2"/>
          <w:sz w:val="21"/>
          <w:szCs w:val="20"/>
          <w:highlight w:val="none"/>
          <w:lang w:val="en-US" w:eastAsia="zh-CN" w:bidi="ar-SA"/>
        </w:rPr>
        <w:t>5.</w:t>
      </w:r>
      <w:r>
        <w:rPr>
          <w:rFonts w:hint="eastAsia" w:ascii="宋体" w:hAnsi="Times New Roman" w:eastAsia="宋体" w:cs="Times New Roman"/>
          <w:b w:val="0"/>
          <w:bCs w:val="0"/>
          <w:color w:val="auto"/>
          <w:kern w:val="2"/>
          <w:sz w:val="21"/>
          <w:szCs w:val="20"/>
          <w:highlight w:val="none"/>
          <w:lang w:val="en-US" w:eastAsia="zh-CN" w:bidi="ar-SA"/>
        </w:rPr>
        <w:t>8</w:t>
      </w:r>
      <w:r>
        <w:rPr>
          <w:rFonts w:hint="eastAsia" w:ascii="宋体" w:hAnsi="宋体" w:cs="宋体"/>
          <w:b w:val="0"/>
          <w:bCs w:val="0"/>
          <w:color w:val="auto"/>
          <w:szCs w:val="21"/>
          <w:highlight w:val="none"/>
          <w:lang w:val="en-US" w:eastAsia="zh-CN"/>
        </w:rPr>
        <w:t>受托人</w:t>
      </w:r>
      <w:r>
        <w:rPr>
          <w:rFonts w:hint="eastAsia" w:ascii="宋体" w:hAnsi="Times New Roman" w:eastAsia="宋体" w:cs="Times New Roman"/>
          <w:b w:val="0"/>
          <w:bCs w:val="0"/>
          <w:color w:val="auto"/>
          <w:kern w:val="2"/>
          <w:sz w:val="21"/>
          <w:szCs w:val="20"/>
          <w:highlight w:val="none"/>
          <w:lang w:val="en-US" w:eastAsia="zh-CN" w:bidi="ar-SA"/>
        </w:rPr>
        <w:t>应对承包方日常工作人员作考勤工作，每月报送至业主处，此项纳入考核内容，未报送或报送虚假考勤内容、无法反应真实考勤情况的，业主有权给予3000元违约金处理。</w:t>
      </w:r>
    </w:p>
    <w:p w14:paraId="08EEF3FC">
      <w:pPr>
        <w:spacing w:line="440" w:lineRule="exact"/>
        <w:ind w:firstLine="420" w:firstLineChars="200"/>
        <w:jc w:val="left"/>
        <w:rPr>
          <w:rFonts w:hint="eastAsia" w:ascii="宋体" w:hAnsi="Times New Roman" w:eastAsia="宋体" w:cs="Times New Roman"/>
          <w:b w:val="0"/>
          <w:bCs w:val="0"/>
          <w:color w:val="auto"/>
          <w:kern w:val="2"/>
          <w:sz w:val="21"/>
          <w:szCs w:val="20"/>
          <w:highlight w:val="none"/>
          <w:lang w:val="en-US" w:eastAsia="zh-CN" w:bidi="ar-SA"/>
        </w:rPr>
      </w:pPr>
      <w:r>
        <w:rPr>
          <w:rFonts w:hint="eastAsia" w:ascii="宋体" w:hAnsi="宋体" w:cs="宋体"/>
          <w:b w:val="0"/>
          <w:bCs w:val="0"/>
          <w:color w:val="auto"/>
          <w:szCs w:val="21"/>
          <w:highlight w:val="none"/>
          <w:lang w:val="en-US" w:eastAsia="zh-CN"/>
        </w:rPr>
        <w:t>受托人</w:t>
      </w:r>
      <w:r>
        <w:rPr>
          <w:rFonts w:hint="eastAsia" w:ascii="宋体" w:hAnsi="Times New Roman" w:eastAsia="宋体" w:cs="Times New Roman"/>
          <w:b w:val="0"/>
          <w:bCs w:val="0"/>
          <w:color w:val="auto"/>
          <w:kern w:val="2"/>
          <w:sz w:val="21"/>
          <w:szCs w:val="20"/>
          <w:highlight w:val="none"/>
          <w:lang w:val="en-US" w:eastAsia="zh-CN" w:bidi="ar-SA"/>
        </w:rPr>
        <w:t>每月按时报送监理日志至业主处，必须如实反应施工现场情况，未报送的或发现资料虚假与工程实际施工现场情况不一样的，业主有权给予3000元违约金处理。</w:t>
      </w:r>
    </w:p>
    <w:p w14:paraId="065E584F">
      <w:pPr>
        <w:spacing w:line="440" w:lineRule="exact"/>
        <w:ind w:firstLine="420" w:firstLineChars="200"/>
        <w:jc w:val="left"/>
        <w:rPr>
          <w:rFonts w:hint="eastAsia" w:ascii="宋体" w:hAnsi="Times New Roman" w:eastAsia="宋体" w:cs="Times New Roman"/>
          <w:b w:val="0"/>
          <w:bCs w:val="0"/>
          <w:color w:val="auto"/>
          <w:kern w:val="2"/>
          <w:sz w:val="21"/>
          <w:szCs w:val="20"/>
          <w:highlight w:val="none"/>
          <w:lang w:val="en-US" w:eastAsia="zh-CN" w:bidi="ar-SA"/>
        </w:rPr>
      </w:pPr>
      <w:r>
        <w:rPr>
          <w:rFonts w:hint="eastAsia" w:ascii="宋体" w:hAnsi="Times New Roman" w:eastAsia="宋体" w:cs="Times New Roman"/>
          <w:b w:val="0"/>
          <w:bCs w:val="0"/>
          <w:color w:val="auto"/>
          <w:kern w:val="2"/>
          <w:sz w:val="21"/>
          <w:szCs w:val="20"/>
          <w:highlight w:val="none"/>
          <w:lang w:val="en-US" w:eastAsia="zh-CN" w:bidi="ar-SA"/>
        </w:rPr>
        <w:t>9.</w:t>
      </w:r>
      <w:r>
        <w:rPr>
          <w:rFonts w:hint="eastAsia" w:ascii="宋体" w:cs="Times New Roman"/>
          <w:b w:val="0"/>
          <w:bCs w:val="0"/>
          <w:color w:val="auto"/>
          <w:kern w:val="2"/>
          <w:sz w:val="21"/>
          <w:szCs w:val="20"/>
          <w:highlight w:val="none"/>
          <w:lang w:val="en-US" w:eastAsia="zh-CN" w:bidi="ar-SA"/>
        </w:rPr>
        <w:t>5.</w:t>
      </w:r>
      <w:r>
        <w:rPr>
          <w:rFonts w:hint="eastAsia" w:ascii="宋体" w:hAnsi="Times New Roman" w:eastAsia="宋体" w:cs="Times New Roman"/>
          <w:b w:val="0"/>
          <w:bCs w:val="0"/>
          <w:color w:val="auto"/>
          <w:kern w:val="2"/>
          <w:sz w:val="21"/>
          <w:szCs w:val="20"/>
          <w:highlight w:val="none"/>
          <w:lang w:val="en-US" w:eastAsia="zh-CN" w:bidi="ar-SA"/>
        </w:rPr>
        <w:t>9专职监理员等其他相关人员未持证上岗，处500元/人次的违约金处理并责令改正。</w:t>
      </w:r>
    </w:p>
    <w:p w14:paraId="498CB735">
      <w:pPr>
        <w:spacing w:line="440" w:lineRule="exact"/>
        <w:ind w:firstLine="420" w:firstLineChars="200"/>
        <w:jc w:val="left"/>
        <w:rPr>
          <w:rFonts w:hint="eastAsia" w:ascii="宋体" w:hAnsi="Times New Roman" w:eastAsia="宋体" w:cs="Times New Roman"/>
          <w:b w:val="0"/>
          <w:bCs w:val="0"/>
          <w:color w:val="auto"/>
          <w:kern w:val="2"/>
          <w:sz w:val="21"/>
          <w:szCs w:val="20"/>
          <w:highlight w:val="none"/>
          <w:lang w:val="en-US" w:eastAsia="zh-CN" w:bidi="ar-SA"/>
        </w:rPr>
      </w:pPr>
      <w:r>
        <w:rPr>
          <w:rFonts w:hint="eastAsia" w:ascii="宋体" w:hAnsi="Times New Roman" w:eastAsia="宋体" w:cs="Times New Roman"/>
          <w:b w:val="0"/>
          <w:bCs w:val="0"/>
          <w:color w:val="auto"/>
          <w:kern w:val="2"/>
          <w:sz w:val="21"/>
          <w:szCs w:val="20"/>
          <w:highlight w:val="none"/>
          <w:lang w:val="en-US" w:eastAsia="zh-CN" w:bidi="ar-SA"/>
        </w:rPr>
        <w:t>9.</w:t>
      </w:r>
      <w:r>
        <w:rPr>
          <w:rFonts w:hint="eastAsia" w:ascii="宋体" w:cs="Times New Roman"/>
          <w:b w:val="0"/>
          <w:bCs w:val="0"/>
          <w:color w:val="auto"/>
          <w:kern w:val="2"/>
          <w:sz w:val="21"/>
          <w:szCs w:val="20"/>
          <w:highlight w:val="none"/>
          <w:lang w:val="en-US" w:eastAsia="zh-CN" w:bidi="ar-SA"/>
        </w:rPr>
        <w:t>5.</w:t>
      </w:r>
      <w:r>
        <w:rPr>
          <w:rFonts w:hint="eastAsia" w:ascii="宋体" w:hAnsi="Times New Roman" w:eastAsia="宋体" w:cs="Times New Roman"/>
          <w:b w:val="0"/>
          <w:bCs w:val="0"/>
          <w:color w:val="auto"/>
          <w:kern w:val="2"/>
          <w:sz w:val="21"/>
          <w:szCs w:val="20"/>
          <w:highlight w:val="none"/>
          <w:lang w:val="en-US" w:eastAsia="zh-CN" w:bidi="ar-SA"/>
        </w:rPr>
        <w:t>10</w:t>
      </w:r>
      <w:r>
        <w:rPr>
          <w:rFonts w:hint="eastAsia" w:ascii="宋体" w:hAnsi="宋体" w:cs="宋体"/>
          <w:b w:val="0"/>
          <w:bCs w:val="0"/>
          <w:color w:val="auto"/>
          <w:szCs w:val="21"/>
          <w:highlight w:val="none"/>
          <w:lang w:val="en-US" w:eastAsia="zh-CN"/>
        </w:rPr>
        <w:t>受托人</w:t>
      </w:r>
      <w:r>
        <w:rPr>
          <w:rFonts w:hint="eastAsia" w:ascii="宋体" w:hAnsi="Times New Roman" w:eastAsia="宋体" w:cs="Times New Roman"/>
          <w:b w:val="0"/>
          <w:bCs w:val="0"/>
          <w:color w:val="auto"/>
          <w:kern w:val="2"/>
          <w:sz w:val="21"/>
          <w:szCs w:val="20"/>
          <w:highlight w:val="none"/>
          <w:lang w:val="en-US" w:eastAsia="zh-CN" w:bidi="ar-SA"/>
        </w:rPr>
        <w:t>必须做好其项目部职工宿舍及承包人民工宿舍安全检查工作。</w:t>
      </w:r>
    </w:p>
    <w:p w14:paraId="5596FCEC">
      <w:pPr>
        <w:spacing w:line="440" w:lineRule="exact"/>
        <w:ind w:firstLine="420" w:firstLineChars="200"/>
        <w:jc w:val="left"/>
        <w:rPr>
          <w:rFonts w:hint="eastAsia" w:ascii="宋体" w:hAnsi="Times New Roman" w:eastAsia="宋体" w:cs="Times New Roman"/>
          <w:b w:val="0"/>
          <w:bCs w:val="0"/>
          <w:color w:val="auto"/>
          <w:kern w:val="2"/>
          <w:sz w:val="21"/>
          <w:szCs w:val="20"/>
          <w:highlight w:val="none"/>
          <w:lang w:val="en-US" w:eastAsia="zh-CN" w:bidi="ar-SA"/>
        </w:rPr>
      </w:pPr>
      <w:r>
        <w:rPr>
          <w:rFonts w:hint="eastAsia" w:ascii="宋体" w:hAnsi="Times New Roman" w:eastAsia="宋体" w:cs="Times New Roman"/>
          <w:b w:val="0"/>
          <w:bCs w:val="0"/>
          <w:color w:val="auto"/>
          <w:kern w:val="2"/>
          <w:sz w:val="21"/>
          <w:szCs w:val="20"/>
          <w:highlight w:val="none"/>
          <w:lang w:val="en-US" w:eastAsia="zh-CN" w:bidi="ar-SA"/>
        </w:rPr>
        <w:t>9</w:t>
      </w:r>
      <w:r>
        <w:rPr>
          <w:rFonts w:hint="eastAsia" w:ascii="宋体" w:cs="Times New Roman"/>
          <w:b w:val="0"/>
          <w:bCs w:val="0"/>
          <w:color w:val="auto"/>
          <w:kern w:val="2"/>
          <w:sz w:val="21"/>
          <w:szCs w:val="20"/>
          <w:highlight w:val="none"/>
          <w:lang w:val="en-US" w:eastAsia="zh-CN" w:bidi="ar-SA"/>
        </w:rPr>
        <w:t>.5.</w:t>
      </w:r>
      <w:r>
        <w:rPr>
          <w:rFonts w:hint="eastAsia" w:ascii="宋体" w:hAnsi="Times New Roman" w:eastAsia="宋体" w:cs="Times New Roman"/>
          <w:b w:val="0"/>
          <w:bCs w:val="0"/>
          <w:color w:val="auto"/>
          <w:kern w:val="2"/>
          <w:sz w:val="21"/>
          <w:szCs w:val="20"/>
          <w:highlight w:val="none"/>
          <w:lang w:val="en-US" w:eastAsia="zh-CN" w:bidi="ar-SA"/>
        </w:rPr>
        <w:t>11监理人员在责任期内的所有保险由</w:t>
      </w:r>
      <w:r>
        <w:rPr>
          <w:rFonts w:hint="eastAsia" w:ascii="宋体" w:hAnsi="宋体" w:cs="宋体"/>
          <w:b w:val="0"/>
          <w:bCs w:val="0"/>
          <w:color w:val="auto"/>
          <w:szCs w:val="21"/>
          <w:highlight w:val="none"/>
          <w:lang w:val="en-US" w:eastAsia="zh-CN"/>
        </w:rPr>
        <w:t>受托人</w:t>
      </w:r>
      <w:r>
        <w:rPr>
          <w:rFonts w:hint="eastAsia" w:ascii="宋体" w:hAnsi="Times New Roman" w:eastAsia="宋体" w:cs="Times New Roman"/>
          <w:b w:val="0"/>
          <w:bCs w:val="0"/>
          <w:color w:val="auto"/>
          <w:kern w:val="2"/>
          <w:sz w:val="21"/>
          <w:szCs w:val="20"/>
          <w:highlight w:val="none"/>
          <w:lang w:val="en-US" w:eastAsia="zh-CN" w:bidi="ar-SA"/>
        </w:rPr>
        <w:t>承担，委托人概不负责。</w:t>
      </w:r>
    </w:p>
    <w:p w14:paraId="39ED9C0C">
      <w:pPr>
        <w:spacing w:line="440" w:lineRule="exact"/>
        <w:ind w:firstLine="420" w:firstLineChars="200"/>
        <w:jc w:val="left"/>
        <w:rPr>
          <w:rFonts w:hint="eastAsia" w:ascii="宋体" w:hAnsi="Times New Roman" w:eastAsia="宋体" w:cs="Times New Roman"/>
          <w:b w:val="0"/>
          <w:bCs w:val="0"/>
          <w:color w:val="auto"/>
          <w:kern w:val="2"/>
          <w:sz w:val="21"/>
          <w:szCs w:val="20"/>
          <w:highlight w:val="none"/>
          <w:lang w:val="en-US" w:eastAsia="zh-CN" w:bidi="ar-SA"/>
        </w:rPr>
      </w:pPr>
      <w:r>
        <w:rPr>
          <w:rFonts w:hint="eastAsia" w:ascii="宋体" w:hAnsi="Times New Roman" w:eastAsia="宋体" w:cs="Times New Roman"/>
          <w:b w:val="0"/>
          <w:bCs w:val="0"/>
          <w:color w:val="auto"/>
          <w:kern w:val="2"/>
          <w:sz w:val="21"/>
          <w:szCs w:val="20"/>
          <w:highlight w:val="none"/>
          <w:lang w:val="en-US" w:eastAsia="zh-CN" w:bidi="ar-SA"/>
        </w:rPr>
        <w:t>9.</w:t>
      </w:r>
      <w:r>
        <w:rPr>
          <w:rFonts w:hint="eastAsia" w:ascii="宋体" w:cs="Times New Roman"/>
          <w:b w:val="0"/>
          <w:bCs w:val="0"/>
          <w:color w:val="auto"/>
          <w:kern w:val="2"/>
          <w:sz w:val="21"/>
          <w:szCs w:val="20"/>
          <w:highlight w:val="none"/>
          <w:lang w:val="en-US" w:eastAsia="zh-CN" w:bidi="ar-SA"/>
        </w:rPr>
        <w:t>5.</w:t>
      </w:r>
      <w:r>
        <w:rPr>
          <w:rFonts w:hint="eastAsia" w:ascii="宋体" w:hAnsi="Times New Roman" w:eastAsia="宋体" w:cs="Times New Roman"/>
          <w:b w:val="0"/>
          <w:bCs w:val="0"/>
          <w:color w:val="auto"/>
          <w:kern w:val="2"/>
          <w:sz w:val="21"/>
          <w:szCs w:val="20"/>
          <w:highlight w:val="none"/>
          <w:lang w:val="en-US" w:eastAsia="zh-CN" w:bidi="ar-SA"/>
        </w:rPr>
        <w:t>12履约保证金：详见投标须知前附表</w:t>
      </w:r>
    </w:p>
    <w:p w14:paraId="494EDEEE">
      <w:pPr>
        <w:spacing w:line="440" w:lineRule="exact"/>
        <w:ind w:firstLine="420" w:firstLineChars="200"/>
        <w:jc w:val="left"/>
        <w:rPr>
          <w:rFonts w:hint="default" w:ascii="宋体" w:hAnsi="Times New Roman" w:eastAsia="宋体" w:cs="Times New Roman"/>
          <w:b w:val="0"/>
          <w:bCs w:val="0"/>
          <w:color w:val="auto"/>
          <w:kern w:val="2"/>
          <w:sz w:val="21"/>
          <w:szCs w:val="20"/>
          <w:highlight w:val="none"/>
          <w:lang w:val="en-US" w:eastAsia="zh-CN" w:bidi="ar-SA"/>
        </w:rPr>
      </w:pPr>
      <w:r>
        <w:rPr>
          <w:rFonts w:hint="eastAsia" w:ascii="宋体" w:hAnsi="Times New Roman" w:eastAsia="宋体" w:cs="Times New Roman"/>
          <w:b w:val="0"/>
          <w:bCs w:val="0"/>
          <w:color w:val="auto"/>
          <w:kern w:val="2"/>
          <w:sz w:val="21"/>
          <w:szCs w:val="20"/>
          <w:highlight w:val="none"/>
          <w:lang w:val="en-US" w:eastAsia="zh-CN" w:bidi="ar-SA"/>
        </w:rPr>
        <w:t>9.</w:t>
      </w:r>
      <w:r>
        <w:rPr>
          <w:rFonts w:hint="eastAsia" w:ascii="宋体" w:cs="Times New Roman"/>
          <w:b w:val="0"/>
          <w:bCs w:val="0"/>
          <w:color w:val="auto"/>
          <w:kern w:val="2"/>
          <w:sz w:val="21"/>
          <w:szCs w:val="20"/>
          <w:highlight w:val="none"/>
          <w:lang w:val="en-US" w:eastAsia="zh-CN" w:bidi="ar-SA"/>
        </w:rPr>
        <w:t>6.</w:t>
      </w:r>
      <w:r>
        <w:rPr>
          <w:rFonts w:hint="eastAsia" w:ascii="宋体" w:hAnsi="Times New Roman" w:eastAsia="宋体" w:cs="Times New Roman"/>
          <w:b w:val="0"/>
          <w:bCs w:val="0"/>
          <w:color w:val="auto"/>
          <w:kern w:val="2"/>
          <w:sz w:val="21"/>
          <w:szCs w:val="20"/>
          <w:highlight w:val="none"/>
          <w:lang w:val="en-US" w:eastAsia="zh-CN" w:bidi="ar-SA"/>
        </w:rPr>
        <w:t>劳资管理</w:t>
      </w:r>
    </w:p>
    <w:p w14:paraId="2E3B0F36">
      <w:pPr>
        <w:spacing w:line="440" w:lineRule="exact"/>
        <w:ind w:firstLine="420" w:firstLineChars="200"/>
        <w:jc w:val="left"/>
        <w:rPr>
          <w:rFonts w:hint="eastAsia" w:ascii="宋体" w:hAnsi="Times New Roman" w:eastAsia="宋体" w:cs="Times New Roman"/>
          <w:b w:val="0"/>
          <w:bCs w:val="0"/>
          <w:color w:val="auto"/>
          <w:kern w:val="2"/>
          <w:sz w:val="21"/>
          <w:szCs w:val="20"/>
          <w:highlight w:val="none"/>
          <w:lang w:val="en-US" w:eastAsia="zh-CN" w:bidi="ar-SA"/>
        </w:rPr>
      </w:pPr>
      <w:r>
        <w:rPr>
          <w:rFonts w:hint="eastAsia" w:ascii="宋体" w:hAnsi="Times New Roman" w:eastAsia="宋体" w:cs="Times New Roman"/>
          <w:b w:val="0"/>
          <w:bCs w:val="0"/>
          <w:color w:val="auto"/>
          <w:kern w:val="2"/>
          <w:sz w:val="21"/>
          <w:szCs w:val="20"/>
          <w:highlight w:val="none"/>
          <w:lang w:val="en-US" w:eastAsia="zh-CN" w:bidi="ar-SA"/>
        </w:rPr>
        <w:t>9.</w:t>
      </w:r>
      <w:r>
        <w:rPr>
          <w:rFonts w:hint="eastAsia" w:ascii="宋体" w:cs="Times New Roman"/>
          <w:b w:val="0"/>
          <w:bCs w:val="0"/>
          <w:color w:val="auto"/>
          <w:kern w:val="2"/>
          <w:sz w:val="21"/>
          <w:szCs w:val="20"/>
          <w:highlight w:val="none"/>
          <w:lang w:val="en-US" w:eastAsia="zh-CN" w:bidi="ar-SA"/>
        </w:rPr>
        <w:t>6</w:t>
      </w:r>
      <w:r>
        <w:rPr>
          <w:rFonts w:hint="eastAsia" w:ascii="宋体" w:hAnsi="Times New Roman" w:eastAsia="宋体" w:cs="Times New Roman"/>
          <w:b w:val="0"/>
          <w:bCs w:val="0"/>
          <w:color w:val="auto"/>
          <w:kern w:val="2"/>
          <w:sz w:val="21"/>
          <w:szCs w:val="20"/>
          <w:highlight w:val="none"/>
          <w:lang w:val="en-US" w:eastAsia="zh-CN" w:bidi="ar-SA"/>
        </w:rPr>
        <w:t>.1劳资管理尤其是农民工工资管理是</w:t>
      </w:r>
      <w:r>
        <w:rPr>
          <w:rFonts w:hint="eastAsia" w:ascii="宋体" w:hAnsi="宋体" w:cs="宋体"/>
          <w:b w:val="0"/>
          <w:bCs w:val="0"/>
          <w:color w:val="auto"/>
          <w:szCs w:val="21"/>
          <w:highlight w:val="none"/>
          <w:lang w:val="en-US" w:eastAsia="zh-CN"/>
        </w:rPr>
        <w:t>受托人</w:t>
      </w:r>
      <w:r>
        <w:rPr>
          <w:rFonts w:hint="eastAsia" w:ascii="宋体" w:hAnsi="Times New Roman" w:eastAsia="宋体" w:cs="Times New Roman"/>
          <w:b w:val="0"/>
          <w:bCs w:val="0"/>
          <w:color w:val="auto"/>
          <w:kern w:val="2"/>
          <w:sz w:val="21"/>
          <w:szCs w:val="20"/>
          <w:highlight w:val="none"/>
          <w:lang w:val="en-US" w:eastAsia="zh-CN" w:bidi="ar-SA"/>
        </w:rPr>
        <w:t xml:space="preserve">的重要服务内容之一，须严格按照有关法律法 </w:t>
      </w:r>
    </w:p>
    <w:p w14:paraId="7EE7D113">
      <w:pPr>
        <w:spacing w:line="440" w:lineRule="exact"/>
        <w:ind w:firstLine="420" w:firstLineChars="200"/>
        <w:jc w:val="left"/>
        <w:rPr>
          <w:rFonts w:hint="eastAsia" w:ascii="宋体" w:hAnsi="Times New Roman" w:eastAsia="宋体" w:cs="Times New Roman"/>
          <w:b w:val="0"/>
          <w:bCs w:val="0"/>
          <w:color w:val="auto"/>
          <w:kern w:val="2"/>
          <w:sz w:val="21"/>
          <w:szCs w:val="20"/>
          <w:highlight w:val="none"/>
          <w:lang w:val="en-US" w:eastAsia="zh-CN" w:bidi="ar-SA"/>
        </w:rPr>
      </w:pPr>
      <w:r>
        <w:rPr>
          <w:rFonts w:hint="eastAsia" w:ascii="宋体" w:hAnsi="Times New Roman" w:eastAsia="宋体" w:cs="Times New Roman"/>
          <w:b w:val="0"/>
          <w:bCs w:val="0"/>
          <w:color w:val="auto"/>
          <w:kern w:val="2"/>
          <w:sz w:val="21"/>
          <w:szCs w:val="20"/>
          <w:highlight w:val="none"/>
          <w:lang w:val="en-US" w:eastAsia="zh-CN" w:bidi="ar-SA"/>
        </w:rPr>
        <w:t xml:space="preserve">规履行管理责任并对管理质量负责，对管理不到位的无条件接受委托人的罚款等相关处理措 </w:t>
      </w:r>
    </w:p>
    <w:p w14:paraId="163CE22A">
      <w:pPr>
        <w:spacing w:line="440" w:lineRule="exact"/>
        <w:ind w:firstLine="420" w:firstLineChars="200"/>
        <w:jc w:val="left"/>
        <w:rPr>
          <w:rFonts w:hint="eastAsia" w:ascii="宋体" w:hAnsi="Times New Roman" w:eastAsia="宋体" w:cs="Times New Roman"/>
          <w:b w:val="0"/>
          <w:bCs w:val="0"/>
          <w:color w:val="auto"/>
          <w:kern w:val="2"/>
          <w:sz w:val="21"/>
          <w:szCs w:val="20"/>
          <w:highlight w:val="none"/>
          <w:lang w:val="en-US" w:eastAsia="zh-CN" w:bidi="ar-SA"/>
        </w:rPr>
      </w:pPr>
      <w:r>
        <w:rPr>
          <w:rFonts w:hint="eastAsia" w:ascii="宋体" w:hAnsi="Times New Roman" w:eastAsia="宋体" w:cs="Times New Roman"/>
          <w:b w:val="0"/>
          <w:bCs w:val="0"/>
          <w:color w:val="auto"/>
          <w:kern w:val="2"/>
          <w:sz w:val="21"/>
          <w:szCs w:val="20"/>
          <w:highlight w:val="none"/>
          <w:lang w:val="en-US" w:eastAsia="zh-CN" w:bidi="ar-SA"/>
        </w:rPr>
        <w:t xml:space="preserve">施。 </w:t>
      </w:r>
    </w:p>
    <w:p w14:paraId="5EB2777A">
      <w:pPr>
        <w:spacing w:line="440" w:lineRule="exact"/>
        <w:ind w:firstLine="420" w:firstLineChars="200"/>
        <w:jc w:val="left"/>
        <w:rPr>
          <w:rFonts w:hint="eastAsia" w:ascii="宋体" w:hAnsi="Times New Roman" w:eastAsia="宋体" w:cs="Times New Roman"/>
          <w:b w:val="0"/>
          <w:bCs w:val="0"/>
          <w:color w:val="auto"/>
          <w:kern w:val="2"/>
          <w:sz w:val="21"/>
          <w:szCs w:val="20"/>
          <w:highlight w:val="none"/>
          <w:lang w:val="en-US" w:eastAsia="zh-CN" w:bidi="ar-SA"/>
        </w:rPr>
      </w:pPr>
      <w:r>
        <w:rPr>
          <w:rFonts w:hint="eastAsia" w:ascii="宋体" w:hAnsi="Times New Roman" w:eastAsia="宋体" w:cs="Times New Roman"/>
          <w:b w:val="0"/>
          <w:bCs w:val="0"/>
          <w:color w:val="auto"/>
          <w:kern w:val="2"/>
          <w:sz w:val="21"/>
          <w:szCs w:val="20"/>
          <w:highlight w:val="none"/>
          <w:lang w:val="en-US" w:eastAsia="zh-CN" w:bidi="ar-SA"/>
        </w:rPr>
        <w:t>9.</w:t>
      </w:r>
      <w:r>
        <w:rPr>
          <w:rFonts w:hint="eastAsia" w:ascii="宋体" w:cs="Times New Roman"/>
          <w:b w:val="0"/>
          <w:bCs w:val="0"/>
          <w:color w:val="auto"/>
          <w:kern w:val="2"/>
          <w:sz w:val="21"/>
          <w:szCs w:val="20"/>
          <w:highlight w:val="none"/>
          <w:lang w:val="en-US" w:eastAsia="zh-CN" w:bidi="ar-SA"/>
        </w:rPr>
        <w:t>6</w:t>
      </w:r>
      <w:r>
        <w:rPr>
          <w:rFonts w:hint="eastAsia" w:ascii="宋体" w:hAnsi="Times New Roman" w:eastAsia="宋体" w:cs="Times New Roman"/>
          <w:b w:val="0"/>
          <w:bCs w:val="0"/>
          <w:color w:val="auto"/>
          <w:kern w:val="2"/>
          <w:sz w:val="21"/>
          <w:szCs w:val="20"/>
          <w:highlight w:val="none"/>
          <w:lang w:val="en-US" w:eastAsia="zh-CN" w:bidi="ar-SA"/>
        </w:rPr>
        <w:t>.2</w:t>
      </w:r>
      <w:r>
        <w:rPr>
          <w:rFonts w:hint="eastAsia" w:ascii="宋体" w:hAnsi="宋体" w:cs="宋体"/>
          <w:b w:val="0"/>
          <w:bCs w:val="0"/>
          <w:color w:val="auto"/>
          <w:szCs w:val="21"/>
          <w:highlight w:val="none"/>
          <w:lang w:val="en-US" w:eastAsia="zh-CN"/>
        </w:rPr>
        <w:t>受托人</w:t>
      </w:r>
      <w:r>
        <w:rPr>
          <w:rFonts w:hint="eastAsia" w:ascii="宋体" w:hAnsi="Times New Roman" w:eastAsia="宋体" w:cs="Times New Roman"/>
          <w:b w:val="0"/>
          <w:bCs w:val="0"/>
          <w:color w:val="auto"/>
          <w:kern w:val="2"/>
          <w:sz w:val="21"/>
          <w:szCs w:val="20"/>
          <w:highlight w:val="none"/>
          <w:lang w:val="en-US" w:eastAsia="zh-CN" w:bidi="ar-SA"/>
        </w:rPr>
        <w:t xml:space="preserve">负责督促总包单位严格落实建设工程施工现场建筑工人实名制，确保建筑工人实 </w:t>
      </w:r>
    </w:p>
    <w:p w14:paraId="232DB565">
      <w:pPr>
        <w:spacing w:line="440" w:lineRule="exact"/>
        <w:ind w:firstLine="420" w:firstLineChars="200"/>
        <w:jc w:val="left"/>
        <w:rPr>
          <w:rFonts w:hint="eastAsia" w:ascii="宋体" w:hAnsi="Times New Roman" w:eastAsia="宋体" w:cs="Times New Roman"/>
          <w:b w:val="0"/>
          <w:bCs w:val="0"/>
          <w:color w:val="auto"/>
          <w:kern w:val="2"/>
          <w:sz w:val="21"/>
          <w:szCs w:val="20"/>
          <w:highlight w:val="none"/>
          <w:lang w:val="en-US" w:eastAsia="zh-CN" w:bidi="ar-SA"/>
        </w:rPr>
      </w:pPr>
      <w:r>
        <w:rPr>
          <w:rFonts w:hint="eastAsia" w:ascii="宋体" w:hAnsi="Times New Roman" w:eastAsia="宋体" w:cs="Times New Roman"/>
          <w:b w:val="0"/>
          <w:bCs w:val="0"/>
          <w:color w:val="auto"/>
          <w:kern w:val="2"/>
          <w:sz w:val="21"/>
          <w:szCs w:val="20"/>
          <w:highlight w:val="none"/>
          <w:lang w:val="en-US" w:eastAsia="zh-CN" w:bidi="ar-SA"/>
        </w:rPr>
        <w:t xml:space="preserve">名制数据录入全覆盖。 </w:t>
      </w:r>
    </w:p>
    <w:p w14:paraId="12B03C41">
      <w:pPr>
        <w:spacing w:line="440" w:lineRule="exact"/>
        <w:ind w:firstLine="420" w:firstLineChars="200"/>
        <w:jc w:val="left"/>
        <w:rPr>
          <w:rFonts w:hint="eastAsia" w:ascii="宋体" w:hAnsi="Times New Roman" w:eastAsia="宋体" w:cs="Times New Roman"/>
          <w:b w:val="0"/>
          <w:bCs w:val="0"/>
          <w:color w:val="auto"/>
          <w:kern w:val="2"/>
          <w:sz w:val="21"/>
          <w:szCs w:val="20"/>
          <w:highlight w:val="none"/>
          <w:lang w:val="en-US" w:eastAsia="zh-CN" w:bidi="ar-SA"/>
        </w:rPr>
      </w:pPr>
      <w:r>
        <w:rPr>
          <w:rFonts w:hint="eastAsia" w:ascii="宋体" w:hAnsi="Times New Roman" w:eastAsia="宋体" w:cs="Times New Roman"/>
          <w:b w:val="0"/>
          <w:bCs w:val="0"/>
          <w:color w:val="auto"/>
          <w:kern w:val="2"/>
          <w:sz w:val="21"/>
          <w:szCs w:val="20"/>
          <w:highlight w:val="none"/>
          <w:lang w:val="en-US" w:eastAsia="zh-CN" w:bidi="ar-SA"/>
        </w:rPr>
        <w:t>9.</w:t>
      </w:r>
      <w:r>
        <w:rPr>
          <w:rFonts w:hint="eastAsia" w:ascii="宋体" w:cs="Times New Roman"/>
          <w:b w:val="0"/>
          <w:bCs w:val="0"/>
          <w:color w:val="auto"/>
          <w:kern w:val="2"/>
          <w:sz w:val="21"/>
          <w:szCs w:val="20"/>
          <w:highlight w:val="none"/>
          <w:lang w:val="en-US" w:eastAsia="zh-CN" w:bidi="ar-SA"/>
        </w:rPr>
        <w:t>6</w:t>
      </w:r>
      <w:r>
        <w:rPr>
          <w:rFonts w:hint="eastAsia" w:ascii="宋体" w:hAnsi="Times New Roman" w:eastAsia="宋体" w:cs="Times New Roman"/>
          <w:b w:val="0"/>
          <w:bCs w:val="0"/>
          <w:color w:val="auto"/>
          <w:kern w:val="2"/>
          <w:sz w:val="21"/>
          <w:szCs w:val="20"/>
          <w:highlight w:val="none"/>
          <w:lang w:val="en-US" w:eastAsia="zh-CN" w:bidi="ar-SA"/>
        </w:rPr>
        <w:t>.3</w:t>
      </w:r>
      <w:r>
        <w:rPr>
          <w:rFonts w:hint="eastAsia" w:ascii="宋体" w:hAnsi="宋体" w:cs="宋体"/>
          <w:b w:val="0"/>
          <w:bCs w:val="0"/>
          <w:color w:val="auto"/>
          <w:szCs w:val="21"/>
          <w:highlight w:val="none"/>
          <w:lang w:val="en-US" w:eastAsia="zh-CN"/>
        </w:rPr>
        <w:t>受托人</w:t>
      </w:r>
      <w:r>
        <w:rPr>
          <w:rFonts w:hint="eastAsia" w:ascii="宋体" w:hAnsi="Times New Roman" w:eastAsia="宋体" w:cs="Times New Roman"/>
          <w:b w:val="0"/>
          <w:bCs w:val="0"/>
          <w:color w:val="auto"/>
          <w:kern w:val="2"/>
          <w:sz w:val="21"/>
          <w:szCs w:val="20"/>
          <w:highlight w:val="none"/>
          <w:lang w:val="en-US" w:eastAsia="zh-CN" w:bidi="ar-SA"/>
        </w:rPr>
        <w:t xml:space="preserve">负责管理建筑工人实名制信息录入、人脸识别门禁系统安装使用、考勤数据上传的及时性和真实性、银行数据对接情况及总包单位开设专户和数据对接等工作，做好农民工工 </w:t>
      </w:r>
    </w:p>
    <w:p w14:paraId="13940E8D">
      <w:pPr>
        <w:spacing w:line="440" w:lineRule="exact"/>
        <w:ind w:firstLine="420" w:firstLineChars="200"/>
        <w:jc w:val="left"/>
        <w:rPr>
          <w:rFonts w:hint="eastAsia" w:ascii="宋体" w:hAnsi="Times New Roman" w:eastAsia="宋体" w:cs="Times New Roman"/>
          <w:b w:val="0"/>
          <w:bCs w:val="0"/>
          <w:color w:val="auto"/>
          <w:kern w:val="2"/>
          <w:sz w:val="21"/>
          <w:szCs w:val="20"/>
          <w:highlight w:val="none"/>
          <w:lang w:val="en-US" w:eastAsia="zh-CN" w:bidi="ar-SA"/>
        </w:rPr>
      </w:pPr>
      <w:r>
        <w:rPr>
          <w:rFonts w:hint="eastAsia" w:ascii="宋体" w:hAnsi="Times New Roman" w:eastAsia="宋体" w:cs="Times New Roman"/>
          <w:b w:val="0"/>
          <w:bCs w:val="0"/>
          <w:color w:val="auto"/>
          <w:kern w:val="2"/>
          <w:sz w:val="21"/>
          <w:szCs w:val="20"/>
          <w:highlight w:val="none"/>
          <w:lang w:val="en-US" w:eastAsia="zh-CN" w:bidi="ar-SA"/>
        </w:rPr>
        <w:t xml:space="preserve">资支付保障工作。 </w:t>
      </w:r>
    </w:p>
    <w:p w14:paraId="36A8C4BD">
      <w:pPr>
        <w:spacing w:line="440" w:lineRule="exact"/>
        <w:ind w:firstLine="420" w:firstLineChars="200"/>
        <w:jc w:val="left"/>
        <w:rPr>
          <w:rFonts w:hint="eastAsia" w:ascii="宋体" w:hAnsi="Times New Roman" w:eastAsia="宋体" w:cs="Times New Roman"/>
          <w:b w:val="0"/>
          <w:bCs w:val="0"/>
          <w:color w:val="auto"/>
          <w:kern w:val="2"/>
          <w:sz w:val="21"/>
          <w:szCs w:val="20"/>
          <w:highlight w:val="none"/>
          <w:lang w:val="en-US" w:eastAsia="zh-CN" w:bidi="ar-SA"/>
        </w:rPr>
      </w:pPr>
      <w:r>
        <w:rPr>
          <w:rFonts w:hint="eastAsia" w:ascii="宋体" w:hAnsi="Times New Roman" w:eastAsia="宋体" w:cs="Times New Roman"/>
          <w:b w:val="0"/>
          <w:bCs w:val="0"/>
          <w:color w:val="auto"/>
          <w:kern w:val="2"/>
          <w:sz w:val="21"/>
          <w:szCs w:val="20"/>
          <w:highlight w:val="none"/>
          <w:lang w:val="en-US" w:eastAsia="zh-CN" w:bidi="ar-SA"/>
        </w:rPr>
        <w:t>9.</w:t>
      </w:r>
      <w:r>
        <w:rPr>
          <w:rFonts w:hint="eastAsia" w:ascii="宋体" w:cs="Times New Roman"/>
          <w:b w:val="0"/>
          <w:bCs w:val="0"/>
          <w:color w:val="auto"/>
          <w:kern w:val="2"/>
          <w:sz w:val="21"/>
          <w:szCs w:val="20"/>
          <w:highlight w:val="none"/>
          <w:lang w:val="en-US" w:eastAsia="zh-CN" w:bidi="ar-SA"/>
        </w:rPr>
        <w:t>6</w:t>
      </w:r>
      <w:r>
        <w:rPr>
          <w:rFonts w:hint="eastAsia" w:ascii="宋体" w:hAnsi="Times New Roman" w:eastAsia="宋体" w:cs="Times New Roman"/>
          <w:b w:val="0"/>
          <w:bCs w:val="0"/>
          <w:color w:val="auto"/>
          <w:kern w:val="2"/>
          <w:sz w:val="21"/>
          <w:szCs w:val="20"/>
          <w:highlight w:val="none"/>
          <w:lang w:val="en-US" w:eastAsia="zh-CN" w:bidi="ar-SA"/>
        </w:rPr>
        <w:t>.4对</w:t>
      </w:r>
      <w:r>
        <w:rPr>
          <w:rFonts w:hint="eastAsia" w:ascii="宋体" w:hAnsi="宋体" w:cs="宋体"/>
          <w:b w:val="0"/>
          <w:bCs w:val="0"/>
          <w:color w:val="auto"/>
          <w:szCs w:val="21"/>
          <w:highlight w:val="none"/>
          <w:lang w:val="en-US" w:eastAsia="zh-CN"/>
        </w:rPr>
        <w:t>受托人</w:t>
      </w:r>
      <w:r>
        <w:rPr>
          <w:rFonts w:hint="eastAsia" w:ascii="宋体" w:hAnsi="Times New Roman" w:eastAsia="宋体" w:cs="Times New Roman"/>
          <w:b w:val="0"/>
          <w:bCs w:val="0"/>
          <w:color w:val="auto"/>
          <w:kern w:val="2"/>
          <w:sz w:val="21"/>
          <w:szCs w:val="20"/>
          <w:highlight w:val="none"/>
          <w:lang w:val="en-US" w:eastAsia="zh-CN" w:bidi="ar-SA"/>
        </w:rPr>
        <w:t>劳资管理履约情况按照建筑工人实名制信息录入率100%、人脸识别门禁系统覆盖率100%、考勤数据上传率100%、银行数据对接率100%的要求进行考核，考核不达标的每次处以违约金5000-50000元。</w:t>
      </w:r>
    </w:p>
    <w:p w14:paraId="1654C77B">
      <w:pPr>
        <w:spacing w:line="440" w:lineRule="exact"/>
        <w:ind w:firstLine="420" w:firstLineChars="200"/>
        <w:jc w:val="left"/>
        <w:rPr>
          <w:rFonts w:hint="eastAsia" w:ascii="宋体" w:hAnsi="Times New Roman" w:eastAsia="宋体" w:cs="Times New Roman"/>
          <w:b w:val="0"/>
          <w:bCs w:val="0"/>
          <w:color w:val="auto"/>
          <w:kern w:val="2"/>
          <w:sz w:val="21"/>
          <w:szCs w:val="20"/>
          <w:highlight w:val="none"/>
          <w:lang w:val="en-US" w:eastAsia="zh-CN" w:bidi="ar-SA"/>
        </w:rPr>
      </w:pPr>
      <w:r>
        <w:rPr>
          <w:rFonts w:hint="eastAsia" w:ascii="宋体" w:hAnsi="Times New Roman" w:eastAsia="宋体" w:cs="Times New Roman"/>
          <w:b w:val="0"/>
          <w:bCs w:val="0"/>
          <w:color w:val="auto"/>
          <w:kern w:val="2"/>
          <w:sz w:val="21"/>
          <w:szCs w:val="20"/>
          <w:highlight w:val="none"/>
          <w:lang w:val="en-US" w:eastAsia="zh-CN" w:bidi="ar-SA"/>
        </w:rPr>
        <w:t>9.</w:t>
      </w:r>
      <w:r>
        <w:rPr>
          <w:rFonts w:hint="eastAsia" w:ascii="宋体" w:cs="Times New Roman"/>
          <w:b w:val="0"/>
          <w:bCs w:val="0"/>
          <w:color w:val="auto"/>
          <w:kern w:val="2"/>
          <w:sz w:val="21"/>
          <w:szCs w:val="20"/>
          <w:highlight w:val="none"/>
          <w:lang w:val="en-US" w:eastAsia="zh-CN" w:bidi="ar-SA"/>
        </w:rPr>
        <w:t>6</w:t>
      </w:r>
      <w:r>
        <w:rPr>
          <w:rFonts w:hint="eastAsia" w:ascii="宋体" w:hAnsi="Times New Roman" w:eastAsia="宋体" w:cs="Times New Roman"/>
          <w:b w:val="0"/>
          <w:bCs w:val="0"/>
          <w:color w:val="auto"/>
          <w:kern w:val="2"/>
          <w:sz w:val="21"/>
          <w:szCs w:val="20"/>
          <w:highlight w:val="none"/>
          <w:lang w:val="en-US" w:eastAsia="zh-CN" w:bidi="ar-SA"/>
        </w:rPr>
        <w:t>.5</w:t>
      </w:r>
      <w:r>
        <w:rPr>
          <w:rFonts w:hint="eastAsia" w:ascii="宋体" w:hAnsi="宋体" w:cs="宋体"/>
          <w:b w:val="0"/>
          <w:bCs w:val="0"/>
          <w:color w:val="auto"/>
          <w:szCs w:val="21"/>
          <w:highlight w:val="none"/>
          <w:lang w:val="en-US" w:eastAsia="zh-CN"/>
        </w:rPr>
        <w:t>受托人</w:t>
      </w:r>
      <w:r>
        <w:rPr>
          <w:rFonts w:hint="eastAsia" w:ascii="宋体" w:hAnsi="Times New Roman" w:eastAsia="宋体" w:cs="Times New Roman"/>
          <w:b w:val="0"/>
          <w:bCs w:val="0"/>
          <w:color w:val="auto"/>
          <w:kern w:val="2"/>
          <w:sz w:val="21"/>
          <w:szCs w:val="20"/>
          <w:highlight w:val="none"/>
          <w:lang w:val="en-US" w:eastAsia="zh-CN" w:bidi="ar-SA"/>
        </w:rPr>
        <w:t xml:space="preserve">要定期、不定期通过项目人员花名册核查比对等方式抽查在建项目人员实名制录 </w:t>
      </w:r>
    </w:p>
    <w:p w14:paraId="11FC64AD">
      <w:pPr>
        <w:spacing w:line="440" w:lineRule="exact"/>
        <w:ind w:firstLine="420" w:firstLineChars="200"/>
        <w:jc w:val="left"/>
        <w:rPr>
          <w:rFonts w:hint="eastAsia" w:ascii="宋体" w:hAnsi="Times New Roman" w:eastAsia="宋体" w:cs="Times New Roman"/>
          <w:b w:val="0"/>
          <w:bCs w:val="0"/>
          <w:color w:val="auto"/>
          <w:kern w:val="2"/>
          <w:sz w:val="21"/>
          <w:szCs w:val="20"/>
          <w:highlight w:val="none"/>
          <w:lang w:val="en-US" w:eastAsia="zh-CN" w:bidi="ar-SA"/>
        </w:rPr>
      </w:pPr>
      <w:r>
        <w:rPr>
          <w:rFonts w:hint="eastAsia" w:ascii="宋体" w:hAnsi="Times New Roman" w:eastAsia="宋体" w:cs="Times New Roman"/>
          <w:b w:val="0"/>
          <w:bCs w:val="0"/>
          <w:color w:val="auto"/>
          <w:kern w:val="2"/>
          <w:sz w:val="21"/>
          <w:szCs w:val="20"/>
          <w:highlight w:val="none"/>
          <w:lang w:val="en-US" w:eastAsia="zh-CN" w:bidi="ar-SA"/>
        </w:rPr>
        <w:t xml:space="preserve">入情况并形成台账，对建筑工人实名制管理工作落实不力、多次整改、整改不力的施工企业 </w:t>
      </w:r>
    </w:p>
    <w:p w14:paraId="1754004D">
      <w:pPr>
        <w:spacing w:line="440" w:lineRule="exact"/>
        <w:ind w:firstLine="420" w:firstLineChars="200"/>
        <w:jc w:val="left"/>
        <w:rPr>
          <w:rFonts w:hint="eastAsia" w:ascii="宋体" w:hAnsi="Times New Roman" w:eastAsia="宋体" w:cs="Times New Roman"/>
          <w:b w:val="0"/>
          <w:bCs w:val="0"/>
          <w:color w:val="auto"/>
          <w:kern w:val="2"/>
          <w:sz w:val="21"/>
          <w:szCs w:val="20"/>
          <w:highlight w:val="none"/>
          <w:lang w:val="en-US" w:eastAsia="zh-CN" w:bidi="ar-SA"/>
        </w:rPr>
      </w:pPr>
      <w:r>
        <w:rPr>
          <w:rFonts w:hint="eastAsia" w:ascii="宋体" w:hAnsi="Times New Roman" w:eastAsia="宋体" w:cs="Times New Roman"/>
          <w:b w:val="0"/>
          <w:bCs w:val="0"/>
          <w:color w:val="auto"/>
          <w:kern w:val="2"/>
          <w:sz w:val="21"/>
          <w:szCs w:val="20"/>
          <w:highlight w:val="none"/>
          <w:lang w:val="en-US" w:eastAsia="zh-CN" w:bidi="ar-SA"/>
        </w:rPr>
        <w:t>落实管理措施，对落实管理责任不到位的</w:t>
      </w:r>
      <w:r>
        <w:rPr>
          <w:rFonts w:hint="eastAsia" w:ascii="宋体" w:hAnsi="宋体" w:cs="宋体"/>
          <w:b w:val="0"/>
          <w:bCs w:val="0"/>
          <w:color w:val="auto"/>
          <w:szCs w:val="21"/>
          <w:highlight w:val="none"/>
          <w:lang w:val="en-US" w:eastAsia="zh-CN"/>
        </w:rPr>
        <w:t>受托人</w:t>
      </w:r>
      <w:r>
        <w:rPr>
          <w:rFonts w:hint="eastAsia" w:ascii="宋体" w:hAnsi="Times New Roman" w:eastAsia="宋体" w:cs="Times New Roman"/>
          <w:b w:val="0"/>
          <w:bCs w:val="0"/>
          <w:color w:val="auto"/>
          <w:kern w:val="2"/>
          <w:sz w:val="21"/>
          <w:szCs w:val="20"/>
          <w:highlight w:val="none"/>
          <w:lang w:val="en-US" w:eastAsia="zh-CN" w:bidi="ar-SA"/>
        </w:rPr>
        <w:t xml:space="preserve">每次处以违约金5000-50000元。 </w:t>
      </w:r>
    </w:p>
    <w:p w14:paraId="0746BFB8">
      <w:pPr>
        <w:spacing w:line="440" w:lineRule="exact"/>
        <w:ind w:firstLine="420" w:firstLineChars="200"/>
        <w:jc w:val="left"/>
        <w:rPr>
          <w:rFonts w:hint="eastAsia" w:ascii="宋体" w:hAnsi="Times New Roman" w:eastAsia="宋体" w:cs="Times New Roman"/>
          <w:b w:val="0"/>
          <w:bCs w:val="0"/>
          <w:color w:val="auto"/>
          <w:kern w:val="2"/>
          <w:sz w:val="21"/>
          <w:szCs w:val="20"/>
          <w:highlight w:val="none"/>
          <w:lang w:val="en-US" w:eastAsia="zh-CN" w:bidi="ar-SA"/>
        </w:rPr>
      </w:pPr>
      <w:r>
        <w:rPr>
          <w:rFonts w:hint="eastAsia" w:ascii="宋体" w:hAnsi="Times New Roman" w:eastAsia="宋体" w:cs="Times New Roman"/>
          <w:b w:val="0"/>
          <w:bCs w:val="0"/>
          <w:color w:val="auto"/>
          <w:kern w:val="2"/>
          <w:sz w:val="21"/>
          <w:szCs w:val="20"/>
          <w:highlight w:val="none"/>
          <w:lang w:val="en-US" w:eastAsia="zh-CN" w:bidi="ar-SA"/>
        </w:rPr>
        <w:t>9.</w:t>
      </w:r>
      <w:r>
        <w:rPr>
          <w:rFonts w:hint="eastAsia" w:ascii="宋体" w:cs="Times New Roman"/>
          <w:b w:val="0"/>
          <w:bCs w:val="0"/>
          <w:color w:val="auto"/>
          <w:kern w:val="2"/>
          <w:sz w:val="21"/>
          <w:szCs w:val="20"/>
          <w:highlight w:val="none"/>
          <w:lang w:val="en-US" w:eastAsia="zh-CN" w:bidi="ar-SA"/>
        </w:rPr>
        <w:t>6</w:t>
      </w:r>
      <w:r>
        <w:rPr>
          <w:rFonts w:hint="eastAsia" w:ascii="宋体" w:hAnsi="Times New Roman" w:eastAsia="宋体" w:cs="Times New Roman"/>
          <w:b w:val="0"/>
          <w:bCs w:val="0"/>
          <w:color w:val="auto"/>
          <w:kern w:val="2"/>
          <w:sz w:val="21"/>
          <w:szCs w:val="20"/>
          <w:highlight w:val="none"/>
          <w:lang w:val="en-US" w:eastAsia="zh-CN" w:bidi="ar-SA"/>
        </w:rPr>
        <w:t>.6</w:t>
      </w:r>
      <w:r>
        <w:rPr>
          <w:rFonts w:hint="eastAsia" w:ascii="宋体" w:hAnsi="宋体" w:cs="宋体"/>
          <w:b w:val="0"/>
          <w:bCs w:val="0"/>
          <w:color w:val="auto"/>
          <w:szCs w:val="21"/>
          <w:highlight w:val="none"/>
          <w:lang w:val="en-US" w:eastAsia="zh-CN"/>
        </w:rPr>
        <w:t>受托人</w:t>
      </w:r>
      <w:r>
        <w:rPr>
          <w:rFonts w:hint="eastAsia" w:ascii="宋体" w:hAnsi="Times New Roman" w:eastAsia="宋体" w:cs="Times New Roman"/>
          <w:b w:val="0"/>
          <w:bCs w:val="0"/>
          <w:color w:val="auto"/>
          <w:kern w:val="2"/>
          <w:sz w:val="21"/>
          <w:szCs w:val="20"/>
          <w:highlight w:val="none"/>
          <w:lang w:val="en-US" w:eastAsia="zh-CN" w:bidi="ar-SA"/>
        </w:rPr>
        <w:t xml:space="preserve">负责做好总、分包资金逐级支付到位的监管工作，确保农民工工资得到优先保障， </w:t>
      </w:r>
    </w:p>
    <w:p w14:paraId="33DC8391">
      <w:pPr>
        <w:spacing w:line="440" w:lineRule="exact"/>
        <w:ind w:firstLine="420" w:firstLineChars="200"/>
        <w:jc w:val="left"/>
        <w:rPr>
          <w:rFonts w:hint="eastAsia" w:ascii="宋体" w:hAnsi="Times New Roman" w:eastAsia="宋体" w:cs="Times New Roman"/>
          <w:b w:val="0"/>
          <w:bCs w:val="0"/>
          <w:color w:val="auto"/>
          <w:kern w:val="2"/>
          <w:sz w:val="21"/>
          <w:szCs w:val="20"/>
          <w:highlight w:val="none"/>
          <w:lang w:val="en-US" w:eastAsia="zh-CN" w:bidi="ar-SA"/>
        </w:rPr>
      </w:pPr>
      <w:r>
        <w:rPr>
          <w:rFonts w:hint="eastAsia" w:ascii="宋体" w:hAnsi="Times New Roman" w:eastAsia="宋体" w:cs="Times New Roman"/>
          <w:b w:val="0"/>
          <w:bCs w:val="0"/>
          <w:color w:val="auto"/>
          <w:kern w:val="2"/>
          <w:sz w:val="21"/>
          <w:szCs w:val="20"/>
          <w:highlight w:val="none"/>
          <w:lang w:val="en-US" w:eastAsia="zh-CN" w:bidi="ar-SA"/>
        </w:rPr>
        <w:t xml:space="preserve">对落实管理责任不到位的监理人每次处以违约金10000-100000元。 </w:t>
      </w:r>
    </w:p>
    <w:p w14:paraId="17C98FD0">
      <w:pPr>
        <w:spacing w:line="440" w:lineRule="exact"/>
        <w:ind w:firstLine="420" w:firstLineChars="200"/>
        <w:jc w:val="left"/>
        <w:rPr>
          <w:rFonts w:hint="eastAsia" w:ascii="宋体" w:hAnsi="Times New Roman" w:eastAsia="宋体" w:cs="Times New Roman"/>
          <w:b w:val="0"/>
          <w:bCs w:val="0"/>
          <w:color w:val="auto"/>
          <w:kern w:val="2"/>
          <w:sz w:val="21"/>
          <w:szCs w:val="20"/>
          <w:highlight w:val="none"/>
          <w:lang w:val="en-US" w:eastAsia="zh-CN" w:bidi="ar-SA"/>
        </w:rPr>
      </w:pPr>
      <w:r>
        <w:rPr>
          <w:rFonts w:hint="eastAsia" w:ascii="宋体" w:hAnsi="Times New Roman" w:eastAsia="宋体" w:cs="Times New Roman"/>
          <w:b w:val="0"/>
          <w:bCs w:val="0"/>
          <w:color w:val="auto"/>
          <w:kern w:val="2"/>
          <w:sz w:val="21"/>
          <w:szCs w:val="20"/>
          <w:highlight w:val="none"/>
          <w:lang w:val="en-US" w:eastAsia="zh-CN" w:bidi="ar-SA"/>
        </w:rPr>
        <w:t>9.</w:t>
      </w:r>
      <w:r>
        <w:rPr>
          <w:rFonts w:hint="eastAsia" w:ascii="宋体" w:cs="Times New Roman"/>
          <w:b w:val="0"/>
          <w:bCs w:val="0"/>
          <w:color w:val="auto"/>
          <w:kern w:val="2"/>
          <w:sz w:val="21"/>
          <w:szCs w:val="20"/>
          <w:highlight w:val="none"/>
          <w:lang w:val="en-US" w:eastAsia="zh-CN" w:bidi="ar-SA"/>
        </w:rPr>
        <w:t>6</w:t>
      </w:r>
      <w:r>
        <w:rPr>
          <w:rFonts w:hint="eastAsia" w:ascii="宋体" w:hAnsi="Times New Roman" w:eastAsia="宋体" w:cs="Times New Roman"/>
          <w:b w:val="0"/>
          <w:bCs w:val="0"/>
          <w:color w:val="auto"/>
          <w:kern w:val="2"/>
          <w:sz w:val="21"/>
          <w:szCs w:val="20"/>
          <w:highlight w:val="none"/>
          <w:lang w:val="en-US" w:eastAsia="zh-CN" w:bidi="ar-SA"/>
        </w:rPr>
        <w:t>.7</w:t>
      </w:r>
      <w:r>
        <w:rPr>
          <w:rFonts w:hint="eastAsia" w:ascii="宋体" w:hAnsi="宋体" w:cs="宋体"/>
          <w:b w:val="0"/>
          <w:bCs w:val="0"/>
          <w:color w:val="auto"/>
          <w:szCs w:val="21"/>
          <w:highlight w:val="none"/>
          <w:lang w:val="en-US" w:eastAsia="zh-CN"/>
        </w:rPr>
        <w:t>受托人</w:t>
      </w:r>
      <w:r>
        <w:rPr>
          <w:rFonts w:hint="eastAsia" w:ascii="宋体" w:hAnsi="Times New Roman" w:eastAsia="宋体" w:cs="Times New Roman"/>
          <w:b w:val="0"/>
          <w:bCs w:val="0"/>
          <w:color w:val="auto"/>
          <w:kern w:val="2"/>
          <w:sz w:val="21"/>
          <w:szCs w:val="20"/>
          <w:highlight w:val="none"/>
          <w:lang w:val="en-US" w:eastAsia="zh-CN" w:bidi="ar-SA"/>
        </w:rPr>
        <w:t xml:space="preserve">负责做好委托人要求的劳资管理方面其他工作。 </w:t>
      </w:r>
    </w:p>
    <w:p w14:paraId="47B8E0A1">
      <w:pPr>
        <w:spacing w:line="440" w:lineRule="exact"/>
        <w:ind w:firstLine="420" w:firstLineChars="200"/>
        <w:jc w:val="left"/>
        <w:rPr>
          <w:rFonts w:hint="eastAsia" w:ascii="宋体" w:hAnsi="Times New Roman" w:eastAsia="宋体" w:cs="Times New Roman"/>
          <w:b w:val="0"/>
          <w:bCs w:val="0"/>
          <w:color w:val="auto"/>
          <w:kern w:val="2"/>
          <w:sz w:val="21"/>
          <w:szCs w:val="20"/>
          <w:highlight w:val="none"/>
          <w:lang w:val="en-US" w:eastAsia="zh-CN" w:bidi="ar-SA"/>
        </w:rPr>
      </w:pPr>
      <w:r>
        <w:rPr>
          <w:rFonts w:hint="eastAsia" w:ascii="宋体" w:hAnsi="Times New Roman" w:eastAsia="宋体" w:cs="Times New Roman"/>
          <w:b w:val="0"/>
          <w:bCs w:val="0"/>
          <w:color w:val="auto"/>
          <w:kern w:val="2"/>
          <w:sz w:val="21"/>
          <w:szCs w:val="20"/>
          <w:highlight w:val="none"/>
          <w:lang w:val="en-US" w:eastAsia="zh-CN" w:bidi="ar-SA"/>
        </w:rPr>
        <w:t>9.</w:t>
      </w:r>
      <w:r>
        <w:rPr>
          <w:rFonts w:hint="eastAsia" w:ascii="宋体" w:cs="Times New Roman"/>
          <w:b w:val="0"/>
          <w:bCs w:val="0"/>
          <w:color w:val="auto"/>
          <w:kern w:val="2"/>
          <w:sz w:val="21"/>
          <w:szCs w:val="20"/>
          <w:highlight w:val="none"/>
          <w:lang w:val="en-US" w:eastAsia="zh-CN" w:bidi="ar-SA"/>
        </w:rPr>
        <w:t>6</w:t>
      </w:r>
      <w:r>
        <w:rPr>
          <w:rFonts w:hint="eastAsia" w:ascii="宋体" w:hAnsi="Times New Roman" w:eastAsia="宋体" w:cs="Times New Roman"/>
          <w:b w:val="0"/>
          <w:bCs w:val="0"/>
          <w:color w:val="auto"/>
          <w:kern w:val="2"/>
          <w:sz w:val="21"/>
          <w:szCs w:val="20"/>
          <w:highlight w:val="none"/>
          <w:lang w:val="en-US" w:eastAsia="zh-CN" w:bidi="ar-SA"/>
        </w:rPr>
        <w:t>.8</w:t>
      </w:r>
      <w:r>
        <w:rPr>
          <w:rFonts w:hint="eastAsia" w:ascii="宋体" w:hAnsi="宋体" w:cs="宋体"/>
          <w:b w:val="0"/>
          <w:bCs w:val="0"/>
          <w:color w:val="auto"/>
          <w:szCs w:val="21"/>
          <w:highlight w:val="none"/>
          <w:lang w:val="en-US" w:eastAsia="zh-CN"/>
        </w:rPr>
        <w:t>受托人</w:t>
      </w:r>
      <w:r>
        <w:rPr>
          <w:rFonts w:hint="eastAsia" w:ascii="宋体" w:hAnsi="Times New Roman" w:eastAsia="宋体" w:cs="Times New Roman"/>
          <w:b w:val="0"/>
          <w:bCs w:val="0"/>
          <w:color w:val="auto"/>
          <w:kern w:val="2"/>
          <w:sz w:val="21"/>
          <w:szCs w:val="20"/>
          <w:highlight w:val="none"/>
          <w:lang w:val="en-US" w:eastAsia="zh-CN" w:bidi="ar-SA"/>
        </w:rPr>
        <w:t>无条件接受招标单位关于劳资管理方面的其他相关规定或通知等，规定或通知与以上要求不一致的以最新规定或通知为准。</w:t>
      </w:r>
    </w:p>
    <w:p w14:paraId="3125F733">
      <w:pPr>
        <w:spacing w:line="440" w:lineRule="exact"/>
        <w:ind w:firstLine="420" w:firstLineChars="200"/>
        <w:jc w:val="left"/>
        <w:rPr>
          <w:rFonts w:hint="eastAsia" w:ascii="宋体" w:hAnsi="Times New Roman" w:eastAsia="宋体" w:cs="Times New Roman"/>
          <w:color w:val="auto"/>
          <w:kern w:val="2"/>
          <w:sz w:val="21"/>
          <w:szCs w:val="20"/>
          <w:highlight w:val="none"/>
          <w:lang w:val="en-US" w:eastAsia="zh-CN" w:bidi="ar-SA"/>
        </w:rPr>
      </w:pPr>
      <w:r>
        <w:rPr>
          <w:rFonts w:hint="eastAsia" w:ascii="宋体" w:hAnsi="Times New Roman" w:eastAsia="宋体" w:cs="Times New Roman"/>
          <w:b w:val="0"/>
          <w:bCs w:val="0"/>
          <w:color w:val="auto"/>
          <w:kern w:val="2"/>
          <w:sz w:val="21"/>
          <w:szCs w:val="20"/>
          <w:highlight w:val="none"/>
          <w:lang w:val="en-US" w:eastAsia="zh-CN" w:bidi="ar-SA"/>
        </w:rPr>
        <w:t>9.</w:t>
      </w:r>
      <w:r>
        <w:rPr>
          <w:rFonts w:hint="eastAsia" w:ascii="宋体" w:cs="Times New Roman"/>
          <w:b w:val="0"/>
          <w:bCs w:val="0"/>
          <w:color w:val="auto"/>
          <w:kern w:val="2"/>
          <w:sz w:val="21"/>
          <w:szCs w:val="20"/>
          <w:highlight w:val="none"/>
          <w:lang w:val="en-US" w:eastAsia="zh-CN" w:bidi="ar-SA"/>
        </w:rPr>
        <w:t>7</w:t>
      </w:r>
      <w:r>
        <w:rPr>
          <w:rFonts w:hint="eastAsia" w:ascii="宋体" w:hAnsi="Times New Roman" w:eastAsia="宋体" w:cs="Times New Roman"/>
          <w:b w:val="0"/>
          <w:bCs w:val="0"/>
          <w:color w:val="auto"/>
          <w:kern w:val="2"/>
          <w:sz w:val="21"/>
          <w:szCs w:val="20"/>
          <w:highlight w:val="none"/>
          <w:lang w:val="en-US" w:eastAsia="zh-CN" w:bidi="ar-SA"/>
        </w:rPr>
        <w:t>不得与施工单位同吃同住；不得将罚款、差旅费及相关费用转嫁给施工单位；不得代替施工单位整理相关施工资料及相关有偿服务；不得以监理费支付等为由拒绝履行监理服务，如有发现，委托人有权立即予以清退出场，终止合</w:t>
      </w:r>
      <w:r>
        <w:rPr>
          <w:rFonts w:hint="eastAsia" w:ascii="宋体" w:hAnsi="Times New Roman" w:eastAsia="宋体" w:cs="Times New Roman"/>
          <w:color w:val="auto"/>
          <w:kern w:val="2"/>
          <w:sz w:val="21"/>
          <w:szCs w:val="20"/>
          <w:highlight w:val="none"/>
          <w:lang w:val="en-US" w:eastAsia="zh-CN" w:bidi="ar-SA"/>
        </w:rPr>
        <w:t>同，并另行委托同等资质的监理单位完善后续服务。</w:t>
      </w:r>
    </w:p>
    <w:p w14:paraId="3EFD85B2">
      <w:pPr>
        <w:spacing w:line="440" w:lineRule="exact"/>
        <w:ind w:firstLine="420" w:firstLineChars="200"/>
        <w:jc w:val="left"/>
        <w:rPr>
          <w:rFonts w:hint="eastAsia" w:ascii="宋体" w:hAnsi="Times New Roman" w:eastAsia="宋体" w:cs="Times New Roman"/>
          <w:color w:val="auto"/>
          <w:kern w:val="2"/>
          <w:sz w:val="21"/>
          <w:szCs w:val="20"/>
          <w:highlight w:val="none"/>
          <w:lang w:val="en-US" w:eastAsia="zh-CN" w:bidi="ar-SA"/>
        </w:rPr>
      </w:pPr>
      <w:r>
        <w:rPr>
          <w:rFonts w:hint="eastAsia" w:ascii="宋体" w:hAnsi="Times New Roman" w:eastAsia="宋体" w:cs="Times New Roman"/>
          <w:color w:val="auto"/>
          <w:kern w:val="2"/>
          <w:sz w:val="21"/>
          <w:szCs w:val="20"/>
          <w:highlight w:val="none"/>
          <w:lang w:val="en-US" w:eastAsia="zh-CN" w:bidi="ar-SA"/>
        </w:rPr>
        <w:t>9.</w:t>
      </w:r>
      <w:r>
        <w:rPr>
          <w:rFonts w:hint="eastAsia" w:ascii="宋体" w:cs="Times New Roman"/>
          <w:color w:val="auto"/>
          <w:kern w:val="2"/>
          <w:sz w:val="21"/>
          <w:szCs w:val="20"/>
          <w:highlight w:val="none"/>
          <w:lang w:val="en-US" w:eastAsia="zh-CN" w:bidi="ar-SA"/>
        </w:rPr>
        <w:t>8</w:t>
      </w:r>
      <w:r>
        <w:rPr>
          <w:rFonts w:hint="eastAsia" w:ascii="宋体" w:hAnsi="Times New Roman" w:eastAsia="宋体" w:cs="Times New Roman"/>
          <w:color w:val="auto"/>
          <w:kern w:val="2"/>
          <w:sz w:val="21"/>
          <w:szCs w:val="20"/>
          <w:highlight w:val="none"/>
          <w:lang w:val="en-US" w:eastAsia="zh-CN" w:bidi="ar-SA"/>
        </w:rPr>
        <w:t>本条款中所有违约金方式直接从监理费用中直接扣除。</w:t>
      </w:r>
    </w:p>
    <w:p w14:paraId="298FD281">
      <w:pPr>
        <w:spacing w:line="440" w:lineRule="exact"/>
        <w:ind w:firstLine="420" w:firstLineChars="200"/>
        <w:jc w:val="left"/>
        <w:rPr>
          <w:rFonts w:hint="eastAsia" w:ascii="宋体" w:hAnsi="Times New Roman" w:eastAsia="宋体" w:cs="Times New Roman"/>
          <w:color w:val="auto"/>
          <w:kern w:val="2"/>
          <w:sz w:val="21"/>
          <w:szCs w:val="20"/>
          <w:highlight w:val="none"/>
          <w:lang w:val="en-US" w:eastAsia="zh-CN" w:bidi="ar-SA"/>
        </w:rPr>
      </w:pPr>
      <w:r>
        <w:rPr>
          <w:rFonts w:hint="eastAsia" w:ascii="宋体" w:hAnsi="Times New Roman" w:eastAsia="宋体" w:cs="Times New Roman"/>
          <w:color w:val="auto"/>
          <w:kern w:val="2"/>
          <w:sz w:val="21"/>
          <w:szCs w:val="20"/>
          <w:highlight w:val="none"/>
          <w:lang w:val="en-US" w:eastAsia="zh-CN" w:bidi="ar-SA"/>
        </w:rPr>
        <w:t>9.</w:t>
      </w:r>
      <w:r>
        <w:rPr>
          <w:rFonts w:hint="eastAsia" w:ascii="宋体" w:cs="Times New Roman"/>
          <w:color w:val="auto"/>
          <w:kern w:val="2"/>
          <w:sz w:val="21"/>
          <w:szCs w:val="20"/>
          <w:highlight w:val="none"/>
          <w:lang w:val="en-US" w:eastAsia="zh-CN" w:bidi="ar-SA"/>
        </w:rPr>
        <w:t>9</w:t>
      </w:r>
      <w:r>
        <w:rPr>
          <w:rFonts w:hint="eastAsia" w:ascii="宋体" w:hAnsi="Times New Roman" w:eastAsia="宋体" w:cs="Times New Roman"/>
          <w:color w:val="auto"/>
          <w:kern w:val="2"/>
          <w:sz w:val="21"/>
          <w:szCs w:val="20"/>
          <w:highlight w:val="none"/>
          <w:lang w:val="en-US" w:eastAsia="zh-CN" w:bidi="ar-SA"/>
        </w:rPr>
        <w:t>本补充条款是专用条款的一部分，其解释顺序优先于专用条款的其他条款，配合委托人从立项至图纸设计图审等工作至工程开工配合业主协调开展前期相关工作。委托人在办理施工许可手续时，需对《建设工程委托监理合同》原件在行政服务中心建委窗口进行备案。具体要求按建管《2011》75 号文件执行。</w:t>
      </w:r>
    </w:p>
    <w:p w14:paraId="0362EB8F">
      <w:pPr>
        <w:spacing w:line="440" w:lineRule="exact"/>
        <w:ind w:firstLine="420" w:firstLineChars="200"/>
        <w:jc w:val="left"/>
        <w:rPr>
          <w:rFonts w:hint="eastAsia" w:ascii="宋体" w:hAnsi="Times New Roman" w:eastAsia="宋体" w:cs="Times New Roman"/>
          <w:color w:val="auto"/>
          <w:kern w:val="2"/>
          <w:sz w:val="21"/>
          <w:szCs w:val="20"/>
          <w:highlight w:val="none"/>
          <w:lang w:val="en-US" w:eastAsia="zh-CN" w:bidi="ar-SA"/>
        </w:rPr>
      </w:pPr>
      <w:r>
        <w:rPr>
          <w:rFonts w:hint="eastAsia" w:ascii="宋体" w:hAnsi="Times New Roman" w:eastAsia="宋体" w:cs="Times New Roman"/>
          <w:color w:val="auto"/>
          <w:kern w:val="2"/>
          <w:sz w:val="21"/>
          <w:szCs w:val="20"/>
          <w:highlight w:val="none"/>
          <w:lang w:val="en-US" w:eastAsia="zh-CN" w:bidi="ar-SA"/>
        </w:rPr>
        <w:t>9.</w:t>
      </w:r>
      <w:r>
        <w:rPr>
          <w:rFonts w:hint="eastAsia" w:ascii="宋体" w:cs="Times New Roman"/>
          <w:color w:val="auto"/>
          <w:kern w:val="2"/>
          <w:sz w:val="21"/>
          <w:szCs w:val="20"/>
          <w:highlight w:val="none"/>
          <w:lang w:val="en-US" w:eastAsia="zh-CN" w:bidi="ar-SA"/>
        </w:rPr>
        <w:t>10</w:t>
      </w:r>
      <w:r>
        <w:rPr>
          <w:rFonts w:hint="eastAsia" w:ascii="宋体" w:hAnsi="Times New Roman" w:eastAsia="宋体" w:cs="Times New Roman"/>
          <w:color w:val="auto"/>
          <w:kern w:val="2"/>
          <w:sz w:val="21"/>
          <w:szCs w:val="20"/>
          <w:highlight w:val="none"/>
          <w:lang w:val="en-US" w:eastAsia="zh-CN" w:bidi="ar-SA"/>
        </w:rPr>
        <w:t>严格执行＜关于印发《关于加强重点工程监理行为管理的实施办法（暂行）》的通知＞建管【2011】75号文件规定。</w:t>
      </w:r>
    </w:p>
    <w:p w14:paraId="12E6DFA2">
      <w:pPr>
        <w:spacing w:line="440" w:lineRule="exact"/>
        <w:ind w:firstLine="420" w:firstLineChars="200"/>
        <w:jc w:val="left"/>
        <w:rPr>
          <w:rFonts w:hint="eastAsia" w:ascii="宋体" w:hAnsi="Times New Roman" w:eastAsia="宋体" w:cs="Times New Roman"/>
          <w:color w:val="auto"/>
          <w:kern w:val="2"/>
          <w:sz w:val="21"/>
          <w:szCs w:val="20"/>
          <w:highlight w:val="none"/>
          <w:lang w:val="en-US" w:eastAsia="zh-CN" w:bidi="ar-SA"/>
        </w:rPr>
      </w:pPr>
      <w:r>
        <w:rPr>
          <w:rFonts w:hint="eastAsia" w:ascii="宋体" w:hAnsi="Times New Roman" w:eastAsia="宋体" w:cs="Times New Roman"/>
          <w:color w:val="auto"/>
          <w:kern w:val="2"/>
          <w:sz w:val="21"/>
          <w:szCs w:val="20"/>
          <w:highlight w:val="none"/>
          <w:lang w:val="en-US" w:eastAsia="zh-CN" w:bidi="ar-SA"/>
        </w:rPr>
        <w:t>9.</w:t>
      </w:r>
      <w:r>
        <w:rPr>
          <w:rFonts w:hint="eastAsia" w:ascii="宋体" w:cs="Times New Roman"/>
          <w:color w:val="auto"/>
          <w:kern w:val="2"/>
          <w:sz w:val="21"/>
          <w:szCs w:val="20"/>
          <w:highlight w:val="none"/>
          <w:lang w:val="en-US" w:eastAsia="zh-CN" w:bidi="ar-SA"/>
        </w:rPr>
        <w:t>11</w:t>
      </w:r>
      <w:r>
        <w:rPr>
          <w:rFonts w:hint="eastAsia" w:ascii="宋体" w:hAnsi="Times New Roman" w:eastAsia="宋体" w:cs="Times New Roman"/>
          <w:color w:val="auto"/>
          <w:kern w:val="2"/>
          <w:sz w:val="21"/>
          <w:szCs w:val="20"/>
          <w:highlight w:val="none"/>
          <w:lang w:val="en-US" w:eastAsia="zh-CN" w:bidi="ar-SA"/>
        </w:rPr>
        <w:t>项目监督</w:t>
      </w:r>
    </w:p>
    <w:p w14:paraId="3565C8A2">
      <w:pPr>
        <w:spacing w:line="440" w:lineRule="exact"/>
        <w:ind w:firstLine="420" w:firstLineChars="200"/>
        <w:jc w:val="left"/>
        <w:rPr>
          <w:rFonts w:hint="eastAsia" w:ascii="宋体" w:hAnsi="Times New Roman" w:eastAsia="宋体" w:cs="Times New Roman"/>
          <w:color w:val="auto"/>
          <w:kern w:val="2"/>
          <w:sz w:val="21"/>
          <w:szCs w:val="20"/>
          <w:highlight w:val="none"/>
          <w:lang w:val="en-US" w:eastAsia="zh-CN" w:bidi="ar-SA"/>
        </w:rPr>
      </w:pPr>
      <w:r>
        <w:rPr>
          <w:rFonts w:hint="eastAsia" w:ascii="宋体" w:hAnsi="Times New Roman" w:eastAsia="宋体" w:cs="Times New Roman"/>
          <w:color w:val="auto"/>
          <w:kern w:val="2"/>
          <w:sz w:val="21"/>
          <w:szCs w:val="20"/>
          <w:highlight w:val="none"/>
          <w:lang w:val="en-US" w:eastAsia="zh-CN" w:bidi="ar-SA"/>
        </w:rPr>
        <w:t>9.</w:t>
      </w:r>
      <w:r>
        <w:rPr>
          <w:rFonts w:hint="eastAsia" w:ascii="宋体" w:cs="Times New Roman"/>
          <w:color w:val="auto"/>
          <w:kern w:val="2"/>
          <w:sz w:val="21"/>
          <w:szCs w:val="20"/>
          <w:highlight w:val="none"/>
          <w:lang w:val="en-US" w:eastAsia="zh-CN" w:bidi="ar-SA"/>
        </w:rPr>
        <w:t>11</w:t>
      </w:r>
      <w:r>
        <w:rPr>
          <w:rFonts w:hint="eastAsia" w:ascii="宋体" w:hAnsi="Times New Roman" w:eastAsia="宋体" w:cs="Times New Roman"/>
          <w:color w:val="auto"/>
          <w:kern w:val="2"/>
          <w:sz w:val="21"/>
          <w:szCs w:val="20"/>
          <w:highlight w:val="none"/>
          <w:lang w:val="en-US" w:eastAsia="zh-CN" w:bidi="ar-SA"/>
        </w:rPr>
        <w:t>.1委托人应就工程质量、工期、安全、造价控制等内容与监理企业制定相关的补充协议，作为监理合同的一部分，明确监理责任以及违约处罚。</w:t>
      </w:r>
    </w:p>
    <w:p w14:paraId="38A3109F">
      <w:pPr>
        <w:spacing w:line="440" w:lineRule="exact"/>
        <w:ind w:firstLine="420" w:firstLineChars="200"/>
        <w:jc w:val="left"/>
        <w:rPr>
          <w:rFonts w:hint="eastAsia" w:ascii="宋体" w:hAnsi="Times New Roman" w:eastAsia="宋体" w:cs="Times New Roman"/>
          <w:b w:val="0"/>
          <w:bCs w:val="0"/>
          <w:color w:val="auto"/>
          <w:kern w:val="2"/>
          <w:sz w:val="21"/>
          <w:szCs w:val="20"/>
          <w:highlight w:val="none"/>
          <w:lang w:val="en-US" w:eastAsia="zh-CN" w:bidi="ar-SA"/>
        </w:rPr>
      </w:pPr>
      <w:r>
        <w:rPr>
          <w:rFonts w:hint="eastAsia" w:ascii="宋体" w:hAnsi="Times New Roman" w:eastAsia="宋体" w:cs="Times New Roman"/>
          <w:b w:val="0"/>
          <w:bCs w:val="0"/>
          <w:color w:val="auto"/>
          <w:kern w:val="2"/>
          <w:sz w:val="21"/>
          <w:szCs w:val="20"/>
          <w:highlight w:val="none"/>
          <w:lang w:val="en-US" w:eastAsia="zh-CN" w:bidi="ar-SA"/>
        </w:rPr>
        <w:t>9.</w:t>
      </w:r>
      <w:r>
        <w:rPr>
          <w:rFonts w:hint="eastAsia" w:ascii="宋体" w:cs="Times New Roman"/>
          <w:b w:val="0"/>
          <w:bCs w:val="0"/>
          <w:color w:val="auto"/>
          <w:kern w:val="2"/>
          <w:sz w:val="21"/>
          <w:szCs w:val="20"/>
          <w:highlight w:val="none"/>
          <w:lang w:val="en-US" w:eastAsia="zh-CN" w:bidi="ar-SA"/>
        </w:rPr>
        <w:t>11</w:t>
      </w:r>
      <w:r>
        <w:rPr>
          <w:rFonts w:hint="eastAsia" w:ascii="宋体" w:hAnsi="Times New Roman" w:eastAsia="宋体" w:cs="Times New Roman"/>
          <w:b w:val="0"/>
          <w:bCs w:val="0"/>
          <w:color w:val="auto"/>
          <w:kern w:val="2"/>
          <w:sz w:val="21"/>
          <w:szCs w:val="20"/>
          <w:highlight w:val="none"/>
          <w:lang w:val="en-US" w:eastAsia="zh-CN" w:bidi="ar-SA"/>
        </w:rPr>
        <w:t>.2建设行政主管部门组织各类不定期检查时，应将现场</w:t>
      </w:r>
      <w:r>
        <w:rPr>
          <w:rFonts w:hint="eastAsia" w:ascii="宋体" w:hAnsi="宋体" w:eastAsia="宋体" w:cs="宋体"/>
          <w:b w:val="0"/>
          <w:bCs w:val="0"/>
          <w:color w:val="auto"/>
          <w:sz w:val="21"/>
          <w:szCs w:val="21"/>
          <w:highlight w:val="none"/>
          <w:lang w:val="en-US" w:eastAsia="zh-CN"/>
        </w:rPr>
        <w:t>监理</w:t>
      </w:r>
      <w:r>
        <w:rPr>
          <w:rFonts w:hint="eastAsia" w:ascii="宋体" w:hAnsi="Times New Roman" w:eastAsia="宋体" w:cs="Times New Roman"/>
          <w:b w:val="0"/>
          <w:bCs w:val="0"/>
          <w:color w:val="auto"/>
          <w:kern w:val="2"/>
          <w:sz w:val="21"/>
          <w:szCs w:val="20"/>
          <w:highlight w:val="none"/>
          <w:lang w:val="en-US" w:eastAsia="zh-CN" w:bidi="ar-SA"/>
        </w:rPr>
        <w:t>关键岗位人员配备，到岗履职情况作为检查重点，发现现场监理部人员配备不达标，擅自更换，不到岗，不按规定履行职责，应责令其改正，并按规定给予监理企业及其相关责任人员记建筑市场不良行为记录；</w:t>
      </w:r>
      <w:r>
        <w:rPr>
          <w:rFonts w:hint="eastAsia" w:ascii="宋体" w:hAnsi="宋体" w:cs="宋体"/>
          <w:b w:val="0"/>
          <w:bCs w:val="0"/>
          <w:color w:val="auto"/>
          <w:szCs w:val="21"/>
          <w:highlight w:val="none"/>
          <w:lang w:val="en-US" w:eastAsia="zh-CN"/>
        </w:rPr>
        <w:t>受托人</w:t>
      </w:r>
      <w:r>
        <w:rPr>
          <w:rFonts w:hint="eastAsia" w:ascii="宋体" w:hAnsi="Times New Roman" w:eastAsia="宋体" w:cs="Times New Roman"/>
          <w:b w:val="0"/>
          <w:bCs w:val="0"/>
          <w:color w:val="auto"/>
          <w:kern w:val="2"/>
          <w:sz w:val="21"/>
          <w:szCs w:val="20"/>
          <w:highlight w:val="none"/>
          <w:lang w:val="en-US" w:eastAsia="zh-CN" w:bidi="ar-SA"/>
        </w:rPr>
        <w:t>员未能履行自己的职责，造成不良影响的，由建设行政主管部门予以警告，责令限期改正，处以1万元以下的罚款。情节严重的，依法立案予以行政处罚。</w:t>
      </w:r>
    </w:p>
    <w:p w14:paraId="1398511F">
      <w:pPr>
        <w:spacing w:line="440" w:lineRule="exact"/>
        <w:ind w:firstLine="420" w:firstLineChars="200"/>
        <w:jc w:val="left"/>
        <w:rPr>
          <w:rFonts w:hint="eastAsia" w:ascii="宋体" w:hAnsi="Times New Roman" w:eastAsia="宋体" w:cs="Times New Roman"/>
          <w:b w:val="0"/>
          <w:bCs w:val="0"/>
          <w:color w:val="auto"/>
          <w:kern w:val="2"/>
          <w:sz w:val="21"/>
          <w:szCs w:val="20"/>
          <w:highlight w:val="none"/>
          <w:lang w:val="en-US" w:eastAsia="zh-CN" w:bidi="ar-SA"/>
        </w:rPr>
      </w:pPr>
      <w:r>
        <w:rPr>
          <w:rFonts w:hint="eastAsia" w:ascii="宋体" w:hAnsi="Times New Roman" w:eastAsia="宋体" w:cs="Times New Roman"/>
          <w:b w:val="0"/>
          <w:bCs w:val="0"/>
          <w:color w:val="auto"/>
          <w:kern w:val="2"/>
          <w:sz w:val="21"/>
          <w:szCs w:val="20"/>
          <w:highlight w:val="none"/>
          <w:lang w:val="en-US" w:eastAsia="zh-CN" w:bidi="ar-SA"/>
        </w:rPr>
        <w:t>9.</w:t>
      </w:r>
      <w:r>
        <w:rPr>
          <w:rFonts w:hint="eastAsia" w:ascii="宋体" w:cs="Times New Roman"/>
          <w:b w:val="0"/>
          <w:bCs w:val="0"/>
          <w:color w:val="auto"/>
          <w:kern w:val="2"/>
          <w:sz w:val="21"/>
          <w:szCs w:val="20"/>
          <w:highlight w:val="none"/>
          <w:lang w:val="en-US" w:eastAsia="zh-CN" w:bidi="ar-SA"/>
        </w:rPr>
        <w:t>11</w:t>
      </w:r>
      <w:r>
        <w:rPr>
          <w:rFonts w:hint="eastAsia" w:ascii="宋体" w:hAnsi="Times New Roman" w:eastAsia="宋体" w:cs="Times New Roman"/>
          <w:b w:val="0"/>
          <w:bCs w:val="0"/>
          <w:color w:val="auto"/>
          <w:kern w:val="2"/>
          <w:sz w:val="21"/>
          <w:szCs w:val="20"/>
          <w:highlight w:val="none"/>
          <w:lang w:val="en-US" w:eastAsia="zh-CN" w:bidi="ar-SA"/>
        </w:rPr>
        <w:t>.3若</w:t>
      </w:r>
      <w:r>
        <w:rPr>
          <w:rFonts w:hint="eastAsia" w:ascii="宋体" w:hAnsi="宋体" w:cs="宋体"/>
          <w:b w:val="0"/>
          <w:bCs w:val="0"/>
          <w:color w:val="auto"/>
          <w:szCs w:val="21"/>
          <w:highlight w:val="none"/>
          <w:lang w:val="en-US" w:eastAsia="zh-CN"/>
        </w:rPr>
        <w:t>受托人</w:t>
      </w:r>
      <w:r>
        <w:rPr>
          <w:rFonts w:hint="eastAsia" w:ascii="宋体" w:hAnsi="Times New Roman" w:eastAsia="宋体" w:cs="Times New Roman"/>
          <w:b w:val="0"/>
          <w:bCs w:val="0"/>
          <w:color w:val="auto"/>
          <w:kern w:val="2"/>
          <w:sz w:val="21"/>
          <w:szCs w:val="20"/>
          <w:highlight w:val="none"/>
          <w:lang w:val="en-US" w:eastAsia="zh-CN" w:bidi="ar-SA"/>
        </w:rPr>
        <w:t>未按投标文件中监理大纲实施的，招单位将没其收履约保证金，由此给招标单位带来的一切损失由</w:t>
      </w:r>
      <w:r>
        <w:rPr>
          <w:rFonts w:hint="eastAsia" w:ascii="宋体" w:hAnsi="宋体" w:cs="宋体"/>
          <w:b w:val="0"/>
          <w:bCs w:val="0"/>
          <w:color w:val="auto"/>
          <w:szCs w:val="21"/>
          <w:highlight w:val="none"/>
          <w:lang w:val="en-US" w:eastAsia="zh-CN"/>
        </w:rPr>
        <w:t>受托人</w:t>
      </w:r>
      <w:r>
        <w:rPr>
          <w:rFonts w:hint="eastAsia" w:ascii="宋体" w:hAnsi="Times New Roman" w:eastAsia="宋体" w:cs="Times New Roman"/>
          <w:b w:val="0"/>
          <w:bCs w:val="0"/>
          <w:color w:val="auto"/>
          <w:kern w:val="2"/>
          <w:sz w:val="21"/>
          <w:szCs w:val="20"/>
          <w:highlight w:val="none"/>
          <w:lang w:val="en-US" w:eastAsia="zh-CN" w:bidi="ar-SA"/>
        </w:rPr>
        <w:t>承担。</w:t>
      </w:r>
    </w:p>
    <w:p w14:paraId="1AC25B8F">
      <w:pPr>
        <w:spacing w:line="440" w:lineRule="exact"/>
        <w:ind w:firstLine="420" w:firstLineChars="200"/>
        <w:jc w:val="left"/>
        <w:rPr>
          <w:rFonts w:hint="eastAsia" w:ascii="宋体" w:hAnsi="Times New Roman" w:eastAsia="宋体" w:cs="Times New Roman"/>
          <w:b w:val="0"/>
          <w:bCs w:val="0"/>
          <w:color w:val="auto"/>
          <w:kern w:val="2"/>
          <w:sz w:val="21"/>
          <w:szCs w:val="20"/>
          <w:highlight w:val="none"/>
          <w:lang w:val="en-US" w:eastAsia="zh-CN" w:bidi="ar-SA"/>
        </w:rPr>
      </w:pPr>
      <w:r>
        <w:rPr>
          <w:rFonts w:hint="eastAsia" w:ascii="宋体" w:hAnsi="Times New Roman" w:eastAsia="宋体" w:cs="Times New Roman"/>
          <w:b w:val="0"/>
          <w:bCs w:val="0"/>
          <w:color w:val="auto"/>
          <w:kern w:val="2"/>
          <w:sz w:val="21"/>
          <w:szCs w:val="20"/>
          <w:highlight w:val="none"/>
          <w:lang w:val="en-US" w:eastAsia="zh-CN" w:bidi="ar-SA"/>
        </w:rPr>
        <w:t>9.1</w:t>
      </w:r>
      <w:r>
        <w:rPr>
          <w:rFonts w:hint="eastAsia" w:ascii="宋体" w:cs="Times New Roman"/>
          <w:b w:val="0"/>
          <w:bCs w:val="0"/>
          <w:color w:val="auto"/>
          <w:kern w:val="2"/>
          <w:sz w:val="21"/>
          <w:szCs w:val="20"/>
          <w:highlight w:val="none"/>
          <w:lang w:val="en-US" w:eastAsia="zh-CN" w:bidi="ar-SA"/>
        </w:rPr>
        <w:t>2</w:t>
      </w:r>
      <w:r>
        <w:rPr>
          <w:rFonts w:hint="eastAsia" w:ascii="宋体" w:hAnsi="Times New Roman" w:eastAsia="宋体" w:cs="Times New Roman"/>
          <w:b w:val="0"/>
          <w:bCs w:val="0"/>
          <w:color w:val="auto"/>
          <w:kern w:val="2"/>
          <w:sz w:val="21"/>
          <w:szCs w:val="20"/>
          <w:highlight w:val="none"/>
          <w:lang w:val="en-US" w:eastAsia="zh-CN" w:bidi="ar-SA"/>
        </w:rPr>
        <w:t>工程现场管理</w:t>
      </w:r>
    </w:p>
    <w:p w14:paraId="0155C4E7">
      <w:pPr>
        <w:spacing w:line="440" w:lineRule="exact"/>
        <w:ind w:firstLine="420" w:firstLineChars="200"/>
        <w:jc w:val="left"/>
        <w:rPr>
          <w:rFonts w:hint="eastAsia" w:ascii="宋体" w:hAnsi="Times New Roman" w:eastAsia="宋体" w:cs="Times New Roman"/>
          <w:b w:val="0"/>
          <w:bCs w:val="0"/>
          <w:color w:val="auto"/>
          <w:kern w:val="2"/>
          <w:sz w:val="21"/>
          <w:szCs w:val="20"/>
          <w:highlight w:val="none"/>
          <w:lang w:val="en-US" w:eastAsia="zh-CN" w:bidi="ar-SA"/>
        </w:rPr>
      </w:pPr>
      <w:r>
        <w:rPr>
          <w:rFonts w:hint="eastAsia" w:ascii="宋体" w:hAnsi="Times New Roman" w:eastAsia="宋体" w:cs="Times New Roman"/>
          <w:b w:val="0"/>
          <w:bCs w:val="0"/>
          <w:color w:val="auto"/>
          <w:kern w:val="2"/>
          <w:sz w:val="21"/>
          <w:szCs w:val="20"/>
          <w:highlight w:val="none"/>
          <w:lang w:val="en-US" w:eastAsia="zh-CN" w:bidi="ar-SA"/>
        </w:rPr>
        <w:t>9.1</w:t>
      </w:r>
      <w:r>
        <w:rPr>
          <w:rFonts w:hint="eastAsia" w:ascii="宋体" w:cs="Times New Roman"/>
          <w:b w:val="0"/>
          <w:bCs w:val="0"/>
          <w:color w:val="auto"/>
          <w:kern w:val="2"/>
          <w:sz w:val="21"/>
          <w:szCs w:val="20"/>
          <w:highlight w:val="none"/>
          <w:lang w:val="en-US" w:eastAsia="zh-CN" w:bidi="ar-SA"/>
        </w:rPr>
        <w:t>2</w:t>
      </w:r>
      <w:r>
        <w:rPr>
          <w:rFonts w:hint="eastAsia" w:ascii="宋体" w:hAnsi="Times New Roman" w:eastAsia="宋体" w:cs="Times New Roman"/>
          <w:b w:val="0"/>
          <w:bCs w:val="0"/>
          <w:color w:val="auto"/>
          <w:kern w:val="2"/>
          <w:sz w:val="21"/>
          <w:szCs w:val="20"/>
          <w:highlight w:val="none"/>
          <w:lang w:val="en-US" w:eastAsia="zh-CN" w:bidi="ar-SA"/>
        </w:rPr>
        <w:t>.1施工前准备</w:t>
      </w:r>
    </w:p>
    <w:p w14:paraId="33EA2E62">
      <w:pPr>
        <w:spacing w:line="440" w:lineRule="exact"/>
        <w:ind w:firstLine="420" w:firstLineChars="200"/>
        <w:jc w:val="left"/>
        <w:rPr>
          <w:rFonts w:hint="eastAsia" w:ascii="宋体" w:hAnsi="Times New Roman" w:eastAsia="宋体" w:cs="Times New Roman"/>
          <w:color w:val="auto"/>
          <w:kern w:val="2"/>
          <w:sz w:val="21"/>
          <w:szCs w:val="20"/>
          <w:highlight w:val="none"/>
          <w:lang w:val="en-US" w:eastAsia="zh-CN" w:bidi="ar-SA"/>
        </w:rPr>
      </w:pPr>
      <w:r>
        <w:rPr>
          <w:rFonts w:hint="eastAsia" w:ascii="宋体" w:hAnsi="Times New Roman" w:eastAsia="宋体" w:cs="Times New Roman"/>
          <w:color w:val="auto"/>
          <w:kern w:val="2"/>
          <w:sz w:val="21"/>
          <w:szCs w:val="20"/>
          <w:highlight w:val="none"/>
          <w:lang w:val="en-US" w:eastAsia="zh-CN" w:bidi="ar-SA"/>
        </w:rPr>
        <w:t>项目部驻地建设。推行项目部驻地标准化建设。该工程要按照工程投资规模、施工工期等，建设相应规模的项目部设施。项目部办公区与生活区、施工作业区分开设置，要满足相关规定，必须建有不少于40平方米的监理办公室。总之，监理企业要树立“将企业形象树在一线，将公司品牌建在驻地”的思想，以“标准化、精细化、人性化、规范化”为宗旨对项目驻地进行规范化建设。项目部不建设完成，工程不准开工。</w:t>
      </w:r>
    </w:p>
    <w:p w14:paraId="4668EFD2">
      <w:pPr>
        <w:spacing w:line="440" w:lineRule="exact"/>
        <w:ind w:firstLine="420" w:firstLineChars="200"/>
        <w:jc w:val="left"/>
        <w:rPr>
          <w:rFonts w:hint="eastAsia" w:ascii="宋体" w:hAnsi="Times New Roman" w:eastAsia="宋体" w:cs="Times New Roman"/>
          <w:color w:val="auto"/>
          <w:kern w:val="2"/>
          <w:sz w:val="21"/>
          <w:szCs w:val="20"/>
          <w:highlight w:val="none"/>
          <w:lang w:val="en-US" w:eastAsia="zh-CN" w:bidi="ar-SA"/>
        </w:rPr>
      </w:pPr>
      <w:r>
        <w:rPr>
          <w:rFonts w:hint="eastAsia" w:ascii="宋体" w:hAnsi="Times New Roman" w:eastAsia="宋体" w:cs="Times New Roman"/>
          <w:color w:val="auto"/>
          <w:kern w:val="2"/>
          <w:sz w:val="21"/>
          <w:szCs w:val="20"/>
          <w:highlight w:val="none"/>
          <w:lang w:val="en-US" w:eastAsia="zh-CN" w:bidi="ar-SA"/>
        </w:rPr>
        <w:t>9.1</w:t>
      </w:r>
      <w:r>
        <w:rPr>
          <w:rFonts w:hint="eastAsia" w:ascii="宋体" w:cs="Times New Roman"/>
          <w:color w:val="auto"/>
          <w:kern w:val="2"/>
          <w:sz w:val="21"/>
          <w:szCs w:val="20"/>
          <w:highlight w:val="none"/>
          <w:lang w:val="en-US" w:eastAsia="zh-CN" w:bidi="ar-SA"/>
        </w:rPr>
        <w:t>2</w:t>
      </w:r>
      <w:r>
        <w:rPr>
          <w:rFonts w:hint="eastAsia" w:ascii="宋体" w:hAnsi="Times New Roman" w:eastAsia="宋体" w:cs="Times New Roman"/>
          <w:color w:val="auto"/>
          <w:kern w:val="2"/>
          <w:sz w:val="21"/>
          <w:szCs w:val="20"/>
          <w:highlight w:val="none"/>
          <w:lang w:val="en-US" w:eastAsia="zh-CN" w:bidi="ar-SA"/>
        </w:rPr>
        <w:t>.2施工现场管理</w:t>
      </w:r>
    </w:p>
    <w:p w14:paraId="59539F6C">
      <w:pPr>
        <w:spacing w:line="440" w:lineRule="exact"/>
        <w:ind w:firstLine="420" w:firstLineChars="200"/>
        <w:jc w:val="left"/>
        <w:rPr>
          <w:rFonts w:hint="eastAsia" w:ascii="宋体" w:hAnsi="Times New Roman" w:eastAsia="宋体" w:cs="Times New Roman"/>
          <w:color w:val="auto"/>
          <w:kern w:val="2"/>
          <w:sz w:val="21"/>
          <w:szCs w:val="20"/>
          <w:highlight w:val="none"/>
          <w:lang w:val="en-US" w:eastAsia="zh-CN" w:bidi="ar-SA"/>
        </w:rPr>
      </w:pPr>
      <w:r>
        <w:rPr>
          <w:rFonts w:hint="eastAsia" w:ascii="宋体" w:hAnsi="Times New Roman" w:eastAsia="宋体" w:cs="Times New Roman"/>
          <w:color w:val="auto"/>
          <w:kern w:val="2"/>
          <w:sz w:val="21"/>
          <w:szCs w:val="20"/>
          <w:highlight w:val="none"/>
          <w:lang w:val="en-US" w:eastAsia="zh-CN" w:bidi="ar-SA"/>
        </w:rPr>
        <w:t>①现场监管人员管理。甲方代表、施工、监理、跟踪审计四方管理人员，工作期间必须戴安全帽，挂胸牌。安全帽要有企业名称标识，胸牌统一尺寸，要贴照片、标明单位名称、姓名、职务或职称。</w:t>
      </w:r>
    </w:p>
    <w:p w14:paraId="7756457A">
      <w:pPr>
        <w:spacing w:line="440" w:lineRule="exact"/>
        <w:ind w:firstLine="420" w:firstLineChars="200"/>
        <w:jc w:val="left"/>
        <w:rPr>
          <w:rFonts w:hint="eastAsia" w:ascii="宋体" w:hAnsi="Times New Roman" w:eastAsia="宋体" w:cs="Times New Roman"/>
          <w:color w:val="auto"/>
          <w:kern w:val="2"/>
          <w:sz w:val="21"/>
          <w:szCs w:val="20"/>
          <w:highlight w:val="none"/>
          <w:lang w:val="en-US" w:eastAsia="zh-CN" w:bidi="ar-SA"/>
        </w:rPr>
      </w:pPr>
      <w:r>
        <w:rPr>
          <w:rFonts w:hint="eastAsia" w:ascii="宋体" w:hAnsi="Times New Roman" w:eastAsia="宋体" w:cs="Times New Roman"/>
          <w:color w:val="auto"/>
          <w:kern w:val="2"/>
          <w:sz w:val="21"/>
          <w:szCs w:val="20"/>
          <w:highlight w:val="none"/>
          <w:lang w:val="en-US" w:eastAsia="zh-CN" w:bidi="ar-SA"/>
        </w:rPr>
        <w:t>②现场监理、跟踪审计人员要签到考勤，每月底将考勤记录报甲方代表，存档备案。</w:t>
      </w:r>
    </w:p>
    <w:p w14:paraId="2951F1A3">
      <w:pPr>
        <w:spacing w:line="440" w:lineRule="exact"/>
        <w:ind w:firstLine="420" w:firstLineChars="200"/>
        <w:jc w:val="left"/>
        <w:rPr>
          <w:rFonts w:hint="eastAsia" w:ascii="宋体" w:hAnsi="Times New Roman" w:eastAsia="宋体" w:cs="Times New Roman"/>
          <w:color w:val="auto"/>
          <w:kern w:val="2"/>
          <w:sz w:val="21"/>
          <w:szCs w:val="20"/>
          <w:highlight w:val="none"/>
          <w:lang w:val="en-US" w:eastAsia="zh-CN" w:bidi="ar-SA"/>
        </w:rPr>
      </w:pPr>
      <w:r>
        <w:rPr>
          <w:rFonts w:hint="eastAsia" w:ascii="宋体" w:hAnsi="Times New Roman" w:eastAsia="宋体" w:cs="Times New Roman"/>
          <w:color w:val="auto"/>
          <w:kern w:val="2"/>
          <w:sz w:val="21"/>
          <w:szCs w:val="20"/>
          <w:highlight w:val="none"/>
          <w:lang w:val="en-US" w:eastAsia="zh-CN" w:bidi="ar-SA"/>
        </w:rPr>
        <w:t>③监理项目部在实施项目总监管理制的基础上，监理公司要对项目部工作进行每月不少于2次现场检查，重点检查监理人员办公与生活条件、在岗情况、履职情况，以及廉政情况等，形成检查记录，并报甲方代表。</w:t>
      </w:r>
    </w:p>
    <w:p w14:paraId="10EAEDEF">
      <w:pPr>
        <w:spacing w:line="440" w:lineRule="exact"/>
        <w:ind w:firstLine="420" w:firstLineChars="200"/>
        <w:jc w:val="left"/>
        <w:rPr>
          <w:rFonts w:hint="eastAsia" w:ascii="宋体" w:hAnsi="Times New Roman" w:eastAsia="宋体" w:cs="Times New Roman"/>
          <w:color w:val="auto"/>
          <w:kern w:val="2"/>
          <w:sz w:val="21"/>
          <w:szCs w:val="20"/>
          <w:highlight w:val="none"/>
          <w:lang w:val="en-US" w:eastAsia="zh-CN" w:bidi="ar-SA"/>
        </w:rPr>
      </w:pPr>
      <w:r>
        <w:rPr>
          <w:rFonts w:hint="eastAsia" w:ascii="宋体" w:hAnsi="Times New Roman" w:eastAsia="宋体" w:cs="Times New Roman"/>
          <w:color w:val="auto"/>
          <w:kern w:val="2"/>
          <w:sz w:val="21"/>
          <w:szCs w:val="20"/>
          <w:highlight w:val="none"/>
          <w:lang w:val="en-US" w:eastAsia="zh-CN" w:bidi="ar-SA"/>
        </w:rPr>
        <w:t>④推行生产公示与违规行为暴光制度。在工地现场设立“质量与安全生产看板”、“生产违规行为暴光公示牌”。分别采用图片形式，公示基础部位、隐蔽工程、钢筋验收等分步分项旁站、验收责任人及工作程序等情况及质量缺陷、违规操作、不佩戴工作牌或安全帽等行为，以及处罚意见。</w:t>
      </w:r>
    </w:p>
    <w:p w14:paraId="208596C7">
      <w:pPr>
        <w:spacing w:line="440" w:lineRule="exact"/>
        <w:ind w:firstLine="420" w:firstLineChars="200"/>
        <w:jc w:val="left"/>
        <w:rPr>
          <w:rFonts w:hint="eastAsia" w:ascii="宋体" w:hAnsi="Times New Roman" w:eastAsia="宋体" w:cs="Times New Roman"/>
          <w:color w:val="auto"/>
          <w:kern w:val="2"/>
          <w:sz w:val="21"/>
          <w:szCs w:val="20"/>
          <w:highlight w:val="none"/>
          <w:lang w:val="en-US" w:eastAsia="zh-CN" w:bidi="ar-SA"/>
        </w:rPr>
      </w:pPr>
      <w:r>
        <w:rPr>
          <w:rFonts w:hint="eastAsia" w:ascii="宋体" w:hAnsi="Times New Roman" w:eastAsia="宋体" w:cs="Times New Roman"/>
          <w:color w:val="auto"/>
          <w:kern w:val="2"/>
          <w:sz w:val="21"/>
          <w:szCs w:val="20"/>
          <w:highlight w:val="none"/>
          <w:lang w:val="en-US" w:eastAsia="zh-CN" w:bidi="ar-SA"/>
        </w:rPr>
        <w:t>9.1</w:t>
      </w:r>
      <w:r>
        <w:rPr>
          <w:rFonts w:hint="eastAsia" w:ascii="宋体" w:cs="Times New Roman"/>
          <w:color w:val="auto"/>
          <w:kern w:val="2"/>
          <w:sz w:val="21"/>
          <w:szCs w:val="20"/>
          <w:highlight w:val="none"/>
          <w:lang w:val="en-US" w:eastAsia="zh-CN" w:bidi="ar-SA"/>
        </w:rPr>
        <w:t>2</w:t>
      </w:r>
      <w:r>
        <w:rPr>
          <w:rFonts w:hint="eastAsia" w:ascii="宋体" w:hAnsi="Times New Roman" w:eastAsia="宋体" w:cs="Times New Roman"/>
          <w:color w:val="auto"/>
          <w:kern w:val="2"/>
          <w:sz w:val="21"/>
          <w:szCs w:val="20"/>
          <w:highlight w:val="none"/>
          <w:lang w:val="en-US" w:eastAsia="zh-CN" w:bidi="ar-SA"/>
        </w:rPr>
        <w:t>.3施工进度、质量与安全管理</w:t>
      </w:r>
    </w:p>
    <w:p w14:paraId="684BEBA6">
      <w:pPr>
        <w:spacing w:line="440" w:lineRule="exact"/>
        <w:ind w:firstLine="420" w:firstLineChars="200"/>
        <w:jc w:val="left"/>
        <w:rPr>
          <w:rFonts w:hint="eastAsia" w:ascii="宋体" w:hAnsi="Times New Roman" w:eastAsia="宋体" w:cs="Times New Roman"/>
          <w:color w:val="auto"/>
          <w:kern w:val="2"/>
          <w:sz w:val="21"/>
          <w:szCs w:val="20"/>
          <w:highlight w:val="none"/>
          <w:lang w:val="en-US" w:eastAsia="zh-CN" w:bidi="ar-SA"/>
        </w:rPr>
      </w:pPr>
      <w:r>
        <w:rPr>
          <w:rFonts w:hint="eastAsia" w:ascii="宋体" w:hAnsi="Times New Roman" w:eastAsia="宋体" w:cs="Times New Roman"/>
          <w:color w:val="auto"/>
          <w:kern w:val="2"/>
          <w:sz w:val="21"/>
          <w:szCs w:val="20"/>
          <w:highlight w:val="none"/>
          <w:lang w:val="en-US" w:eastAsia="zh-CN" w:bidi="ar-SA"/>
        </w:rPr>
        <w:t>①实行工地例会制度。由总监负责召集，每周至少召</w:t>
      </w:r>
      <w:r>
        <w:rPr>
          <w:rFonts w:hint="eastAsia" w:ascii="宋体" w:hAnsi="Times New Roman" w:eastAsia="宋体" w:cs="Times New Roman"/>
          <w:color w:val="auto"/>
          <w:kern w:val="2"/>
          <w:sz w:val="21"/>
          <w:szCs w:val="20"/>
          <w:highlight w:val="none"/>
          <w:lang w:val="en-US" w:eastAsia="zh-CN" w:bidi="ar-SA"/>
        </w:rPr>
        <w:t>开</w:t>
      </w:r>
      <w:r>
        <w:rPr>
          <w:rFonts w:hint="eastAsia" w:ascii="宋体" w:cs="Times New Roman"/>
          <w:color w:val="auto"/>
          <w:kern w:val="2"/>
          <w:sz w:val="21"/>
          <w:szCs w:val="20"/>
          <w:highlight w:val="none"/>
          <w:lang w:val="en-US" w:eastAsia="zh-CN" w:bidi="ar-SA"/>
        </w:rPr>
        <w:t>1</w:t>
      </w:r>
      <w:r>
        <w:rPr>
          <w:rFonts w:hint="eastAsia" w:ascii="宋体" w:hAnsi="Times New Roman" w:eastAsia="宋体" w:cs="Times New Roman"/>
          <w:color w:val="auto"/>
          <w:kern w:val="2"/>
          <w:sz w:val="21"/>
          <w:szCs w:val="20"/>
          <w:highlight w:val="none"/>
          <w:lang w:val="en-US" w:eastAsia="zh-CN" w:bidi="ar-SA"/>
        </w:rPr>
        <w:t>次</w:t>
      </w:r>
      <w:r>
        <w:rPr>
          <w:rFonts w:hint="eastAsia" w:ascii="宋体" w:hAnsi="Times New Roman" w:eastAsia="宋体" w:cs="Times New Roman"/>
          <w:color w:val="auto"/>
          <w:kern w:val="2"/>
          <w:sz w:val="21"/>
          <w:szCs w:val="20"/>
          <w:highlight w:val="none"/>
          <w:lang w:val="en-US" w:eastAsia="zh-CN" w:bidi="ar-SA"/>
        </w:rPr>
        <w:t>，工地例会总监、造价师、项目经理必须参加。</w:t>
      </w:r>
    </w:p>
    <w:p w14:paraId="09B89EA4">
      <w:pPr>
        <w:spacing w:line="440" w:lineRule="exact"/>
        <w:ind w:firstLine="420" w:firstLineChars="200"/>
        <w:jc w:val="left"/>
        <w:rPr>
          <w:rFonts w:hint="eastAsia" w:ascii="宋体" w:hAnsi="Times New Roman" w:eastAsia="宋体" w:cs="Times New Roman"/>
          <w:color w:val="auto"/>
          <w:kern w:val="2"/>
          <w:sz w:val="21"/>
          <w:szCs w:val="20"/>
          <w:highlight w:val="none"/>
          <w:lang w:val="en-US" w:eastAsia="zh-CN" w:bidi="ar-SA"/>
        </w:rPr>
      </w:pPr>
      <w:r>
        <w:rPr>
          <w:rFonts w:hint="eastAsia" w:ascii="宋体" w:hAnsi="Times New Roman" w:eastAsia="宋体" w:cs="Times New Roman"/>
          <w:color w:val="auto"/>
          <w:kern w:val="2"/>
          <w:sz w:val="21"/>
          <w:szCs w:val="20"/>
          <w:highlight w:val="none"/>
          <w:lang w:val="en-US" w:eastAsia="zh-CN" w:bidi="ar-SA"/>
        </w:rPr>
        <w:t>②实行“日短信、周照片、月巡查”调度机制，即监理每日下午五点前将当日工程进度短信发至招标单位相关负责领导；每周四下午四点前，将一周的工程形象进度拍照发至委托人指定邮箱（具体邮箱中标后另行通知）；每月底，招标单位组织一次所有在建工程项目相互观摩巡查一次，有施工企业负责人、项目经理、总监、跟踪审计项目负责人参加，总结分析工作不足，安排部署下月工作。</w:t>
      </w:r>
    </w:p>
    <w:p w14:paraId="1C61EA39">
      <w:pPr>
        <w:spacing w:line="440" w:lineRule="exact"/>
        <w:ind w:firstLine="420" w:firstLineChars="200"/>
        <w:jc w:val="left"/>
        <w:rPr>
          <w:rFonts w:hint="eastAsia" w:ascii="宋体" w:hAnsi="Times New Roman" w:eastAsia="宋体" w:cs="Times New Roman"/>
          <w:color w:val="auto"/>
          <w:kern w:val="2"/>
          <w:sz w:val="21"/>
          <w:szCs w:val="20"/>
          <w:highlight w:val="none"/>
          <w:lang w:val="en-US" w:eastAsia="zh-CN" w:bidi="ar-SA"/>
        </w:rPr>
      </w:pPr>
      <w:r>
        <w:rPr>
          <w:rFonts w:hint="eastAsia" w:ascii="宋体" w:hAnsi="Times New Roman" w:eastAsia="宋体" w:cs="Times New Roman"/>
          <w:color w:val="auto"/>
          <w:kern w:val="2"/>
          <w:sz w:val="21"/>
          <w:szCs w:val="20"/>
          <w:highlight w:val="none"/>
          <w:lang w:val="en-US" w:eastAsia="zh-CN" w:bidi="ar-SA"/>
        </w:rPr>
        <w:t>③强化旁站监管。对隐蔽工程、混凝土浇筑等关键环节、关键部位施工，进行全过程旁站监督，旁站工作由施工员、监理、钢筋或隐蔽工程施工班组负责人进行旁站。所有旁站人员要戴安全帽、佩挂胸牌，旁观工作要进行拍照、留下影像资料。同时，监理负责将设置拍照时间的旁站照片发至委托人指定邮箱。</w:t>
      </w:r>
    </w:p>
    <w:p w14:paraId="63A2D29C">
      <w:pPr>
        <w:spacing w:line="440" w:lineRule="exact"/>
        <w:ind w:firstLine="420" w:firstLineChars="200"/>
        <w:jc w:val="left"/>
        <w:rPr>
          <w:rFonts w:hint="eastAsia" w:ascii="宋体" w:hAnsi="Times New Roman" w:eastAsia="宋体" w:cs="Times New Roman"/>
          <w:color w:val="auto"/>
          <w:kern w:val="2"/>
          <w:sz w:val="21"/>
          <w:szCs w:val="20"/>
          <w:highlight w:val="none"/>
          <w:lang w:val="en-US" w:eastAsia="zh-CN" w:bidi="ar-SA"/>
        </w:rPr>
      </w:pPr>
      <w:r>
        <w:rPr>
          <w:rFonts w:hint="eastAsia" w:ascii="宋体" w:hAnsi="Times New Roman" w:eastAsia="宋体" w:cs="Times New Roman"/>
          <w:color w:val="auto"/>
          <w:kern w:val="2"/>
          <w:sz w:val="21"/>
          <w:szCs w:val="20"/>
          <w:highlight w:val="none"/>
          <w:lang w:val="en-US" w:eastAsia="zh-CN" w:bidi="ar-SA"/>
        </w:rPr>
        <w:t>9.1</w:t>
      </w:r>
      <w:r>
        <w:rPr>
          <w:rFonts w:hint="eastAsia" w:ascii="宋体" w:cs="Times New Roman"/>
          <w:color w:val="auto"/>
          <w:kern w:val="2"/>
          <w:sz w:val="21"/>
          <w:szCs w:val="20"/>
          <w:highlight w:val="none"/>
          <w:lang w:val="en-US" w:eastAsia="zh-CN" w:bidi="ar-SA"/>
        </w:rPr>
        <w:t>2</w:t>
      </w:r>
      <w:r>
        <w:rPr>
          <w:rFonts w:hint="eastAsia" w:ascii="宋体" w:hAnsi="Times New Roman" w:eastAsia="宋体" w:cs="Times New Roman"/>
          <w:color w:val="auto"/>
          <w:kern w:val="2"/>
          <w:sz w:val="21"/>
          <w:szCs w:val="20"/>
          <w:highlight w:val="none"/>
          <w:lang w:val="en-US" w:eastAsia="zh-CN" w:bidi="ar-SA"/>
        </w:rPr>
        <w:t>.4工作纪律与廉政管理</w:t>
      </w:r>
    </w:p>
    <w:p w14:paraId="1B151C28">
      <w:pPr>
        <w:spacing w:line="440" w:lineRule="exact"/>
        <w:ind w:firstLine="420" w:firstLineChars="200"/>
        <w:jc w:val="left"/>
        <w:rPr>
          <w:rFonts w:hint="eastAsia" w:ascii="宋体" w:hAnsi="Times New Roman" w:eastAsia="宋体" w:cs="Times New Roman"/>
          <w:color w:val="auto"/>
          <w:kern w:val="2"/>
          <w:sz w:val="21"/>
          <w:szCs w:val="20"/>
          <w:highlight w:val="none"/>
          <w:lang w:val="en-US" w:eastAsia="zh-CN" w:bidi="ar-SA"/>
        </w:rPr>
      </w:pPr>
      <w:r>
        <w:rPr>
          <w:rFonts w:hint="eastAsia" w:ascii="宋体" w:hAnsi="Times New Roman" w:eastAsia="宋体" w:cs="Times New Roman"/>
          <w:color w:val="auto"/>
          <w:kern w:val="2"/>
          <w:sz w:val="21"/>
          <w:szCs w:val="20"/>
          <w:highlight w:val="none"/>
          <w:lang w:val="en-US" w:eastAsia="zh-CN" w:bidi="ar-SA"/>
        </w:rPr>
        <w:t>①甲方代表、监理、跟踪审计要签订廉政责任书，做出廉政承诺；施工企业要做出不拉拢、不攻关、不贿赂廉政承诺。</w:t>
      </w:r>
    </w:p>
    <w:p w14:paraId="512BB981">
      <w:pPr>
        <w:spacing w:line="440" w:lineRule="exact"/>
        <w:ind w:firstLine="420" w:firstLineChars="200"/>
        <w:jc w:val="left"/>
        <w:rPr>
          <w:rFonts w:hint="eastAsia" w:ascii="宋体" w:hAnsi="Times New Roman" w:eastAsia="宋体" w:cs="Times New Roman"/>
          <w:color w:val="auto"/>
          <w:kern w:val="2"/>
          <w:sz w:val="21"/>
          <w:szCs w:val="20"/>
          <w:highlight w:val="none"/>
          <w:lang w:val="en-US" w:eastAsia="zh-CN" w:bidi="ar-SA"/>
        </w:rPr>
      </w:pPr>
      <w:r>
        <w:rPr>
          <w:rFonts w:hint="eastAsia" w:ascii="宋体" w:hAnsi="Times New Roman" w:eastAsia="宋体" w:cs="Times New Roman"/>
          <w:color w:val="auto"/>
          <w:kern w:val="2"/>
          <w:sz w:val="21"/>
          <w:szCs w:val="20"/>
          <w:highlight w:val="none"/>
          <w:lang w:val="en-US" w:eastAsia="zh-CN" w:bidi="ar-SA"/>
        </w:rPr>
        <w:t>②实行“三个严禁”工作纪律。即：严禁利用职务之便向管理服务对象“吃、拿、卡、要、报”或接受特定服务、推销商品、介绍施工队伍；严禁讨好、拉拢当事人，为当事人出谋划策，制造或增加工作量与工作难度，损害利益；严禁参与具有赌博性质的娱乐活动；严禁服务态度生硬、作风粗暴恶劣，故意刁难管理服务对象。</w:t>
      </w:r>
    </w:p>
    <w:p w14:paraId="6394DF04">
      <w:pPr>
        <w:spacing w:line="440" w:lineRule="exact"/>
        <w:ind w:firstLine="420" w:firstLineChars="200"/>
        <w:jc w:val="left"/>
        <w:rPr>
          <w:rFonts w:hint="eastAsia" w:ascii="宋体" w:hAnsi="Times New Roman" w:eastAsia="宋体" w:cs="Times New Roman"/>
          <w:color w:val="auto"/>
          <w:kern w:val="2"/>
          <w:sz w:val="21"/>
          <w:szCs w:val="20"/>
          <w:highlight w:val="none"/>
          <w:lang w:val="en-US" w:eastAsia="zh-CN" w:bidi="ar-SA"/>
        </w:rPr>
      </w:pPr>
      <w:r>
        <w:rPr>
          <w:rFonts w:hint="eastAsia" w:ascii="宋体" w:hAnsi="Times New Roman" w:eastAsia="宋体" w:cs="Times New Roman"/>
          <w:color w:val="auto"/>
          <w:kern w:val="2"/>
          <w:sz w:val="21"/>
          <w:szCs w:val="20"/>
          <w:highlight w:val="none"/>
          <w:lang w:val="en-US" w:eastAsia="zh-CN" w:bidi="ar-SA"/>
        </w:rPr>
        <w:t>③凡违反上述规定的，是监理、跟踪审计单位人员的，一律终止合同，更换监理单位或跟踪审计单位，并不付任何服务费用。</w:t>
      </w:r>
    </w:p>
    <w:p w14:paraId="2E744750">
      <w:pPr>
        <w:spacing w:line="440" w:lineRule="exact"/>
        <w:ind w:firstLine="420" w:firstLineChars="200"/>
        <w:jc w:val="left"/>
        <w:rPr>
          <w:rFonts w:hint="eastAsia" w:ascii="宋体" w:hAnsi="Times New Roman" w:eastAsia="宋体" w:cs="Times New Roman"/>
          <w:color w:val="auto"/>
          <w:kern w:val="2"/>
          <w:sz w:val="21"/>
          <w:szCs w:val="20"/>
          <w:highlight w:val="none"/>
          <w:lang w:val="en-US" w:eastAsia="zh-CN" w:bidi="ar-SA"/>
        </w:rPr>
      </w:pPr>
      <w:r>
        <w:rPr>
          <w:rFonts w:hint="eastAsia" w:ascii="宋体" w:hAnsi="Times New Roman" w:eastAsia="宋体" w:cs="Times New Roman"/>
          <w:color w:val="auto"/>
          <w:kern w:val="2"/>
          <w:sz w:val="21"/>
          <w:szCs w:val="20"/>
          <w:highlight w:val="none"/>
          <w:lang w:val="en-US" w:eastAsia="zh-CN" w:bidi="ar-SA"/>
        </w:rPr>
        <w:t>9.1</w:t>
      </w:r>
      <w:r>
        <w:rPr>
          <w:rFonts w:hint="eastAsia" w:ascii="宋体" w:cs="Times New Roman"/>
          <w:color w:val="auto"/>
          <w:kern w:val="2"/>
          <w:sz w:val="21"/>
          <w:szCs w:val="20"/>
          <w:highlight w:val="none"/>
          <w:lang w:val="en-US" w:eastAsia="zh-CN" w:bidi="ar-SA"/>
        </w:rPr>
        <w:t>2</w:t>
      </w:r>
      <w:r>
        <w:rPr>
          <w:rFonts w:hint="eastAsia" w:ascii="宋体" w:hAnsi="Times New Roman" w:eastAsia="宋体" w:cs="Times New Roman"/>
          <w:color w:val="auto"/>
          <w:kern w:val="2"/>
          <w:sz w:val="21"/>
          <w:szCs w:val="20"/>
          <w:highlight w:val="none"/>
          <w:lang w:val="en-US" w:eastAsia="zh-CN" w:bidi="ar-SA"/>
        </w:rPr>
        <w:t>.5工程档案管理</w:t>
      </w:r>
    </w:p>
    <w:p w14:paraId="6661BD42">
      <w:pPr>
        <w:spacing w:line="440" w:lineRule="exact"/>
        <w:ind w:firstLine="420" w:firstLineChars="200"/>
        <w:jc w:val="left"/>
        <w:rPr>
          <w:rFonts w:hint="eastAsia" w:ascii="宋体" w:hAnsi="Times New Roman" w:eastAsia="宋体" w:cs="Times New Roman"/>
          <w:color w:val="auto"/>
          <w:kern w:val="2"/>
          <w:sz w:val="21"/>
          <w:szCs w:val="20"/>
          <w:highlight w:val="none"/>
          <w:lang w:val="en-US" w:eastAsia="zh-CN" w:bidi="ar-SA"/>
        </w:rPr>
      </w:pPr>
      <w:r>
        <w:rPr>
          <w:rFonts w:hint="eastAsia" w:ascii="宋体" w:hAnsi="Times New Roman" w:eastAsia="宋体" w:cs="Times New Roman"/>
          <w:color w:val="auto"/>
          <w:kern w:val="2"/>
          <w:sz w:val="21"/>
          <w:szCs w:val="20"/>
          <w:highlight w:val="none"/>
          <w:lang w:val="en-US" w:eastAsia="zh-CN" w:bidi="ar-SA"/>
        </w:rPr>
        <w:t>①工程竣工后，监理公司要向甲方报送不少于4套（具体份数以甲方要求为准）监理工作档案；工程实施阶段全过程形成的成果文件、资料，都必须盖单位公章、法定代表人或其授权人签字盖章，建造、监理、造价注册执业人员必须加盖本人执业印章。</w:t>
      </w:r>
    </w:p>
    <w:p w14:paraId="7A9C2039">
      <w:pPr>
        <w:rPr>
          <w:rFonts w:hint="eastAsia" w:ascii="宋体" w:hAnsi="Times New Roman" w:eastAsia="宋体" w:cs="Times New Roman"/>
          <w:color w:val="auto"/>
          <w:kern w:val="2"/>
          <w:sz w:val="21"/>
          <w:szCs w:val="20"/>
          <w:highlight w:val="none"/>
          <w:lang w:val="en-US" w:eastAsia="zh-CN" w:bidi="ar-SA"/>
        </w:rPr>
      </w:pPr>
      <w:r>
        <w:rPr>
          <w:rFonts w:hint="eastAsia" w:ascii="宋体" w:hAnsi="Times New Roman" w:eastAsia="宋体" w:cs="Times New Roman"/>
          <w:color w:val="auto"/>
          <w:kern w:val="2"/>
          <w:sz w:val="21"/>
          <w:szCs w:val="20"/>
          <w:highlight w:val="none"/>
          <w:lang w:val="en-US" w:eastAsia="zh-CN" w:bidi="ar-SA"/>
        </w:rPr>
        <w:br w:type="page"/>
      </w:r>
    </w:p>
    <w:p w14:paraId="55C6ECE9">
      <w:pPr>
        <w:pStyle w:val="5"/>
        <w:keepNext/>
        <w:keepLines/>
        <w:pageBreakBefore w:val="0"/>
        <w:widowControl w:val="0"/>
        <w:kinsoku/>
        <w:wordWrap/>
        <w:overflowPunct/>
        <w:topLinePunct w:val="0"/>
        <w:autoSpaceDE/>
        <w:autoSpaceDN/>
        <w:bidi w:val="0"/>
        <w:adjustRightInd/>
        <w:snapToGrid/>
        <w:spacing w:before="95" w:beforeLines="30" w:after="95" w:afterLines="30" w:line="240" w:lineRule="auto"/>
        <w:jc w:val="left"/>
        <w:textAlignment w:val="auto"/>
        <w:rPr>
          <w:rFonts w:hint="eastAsia"/>
          <w:color w:val="auto"/>
          <w:highlight w:val="none"/>
          <w:lang w:val="en-US" w:eastAsia="zh-CN"/>
        </w:rPr>
      </w:pPr>
      <w:r>
        <w:rPr>
          <w:rFonts w:hint="eastAsia"/>
          <w:color w:val="auto"/>
          <w:sz w:val="28"/>
          <w:szCs w:val="28"/>
          <w:highlight w:val="none"/>
          <w:lang w:val="en-US" w:eastAsia="zh-CN"/>
        </w:rPr>
        <w:t>附件：</w:t>
      </w:r>
    </w:p>
    <w:p w14:paraId="1EF09DDE">
      <w:pPr>
        <w:pStyle w:val="5"/>
        <w:spacing w:before="0" w:after="0" w:line="240" w:lineRule="auto"/>
        <w:jc w:val="center"/>
        <w:rPr>
          <w:rFonts w:hint="eastAsia" w:ascii="宋体" w:hAnsi="宋体" w:eastAsia="宋体" w:cs="宋体"/>
          <w:color w:val="auto"/>
          <w:sz w:val="24"/>
          <w:szCs w:val="24"/>
          <w:highlight w:val="none"/>
        </w:rPr>
      </w:pPr>
      <w:bookmarkStart w:id="776" w:name="_Toc4268"/>
      <w:r>
        <w:rPr>
          <w:rFonts w:hint="eastAsia" w:ascii="宋体" w:hAnsi="宋体" w:eastAsia="宋体" w:cs="宋体"/>
          <w:color w:val="auto"/>
          <w:sz w:val="24"/>
          <w:szCs w:val="24"/>
          <w:highlight w:val="none"/>
        </w:rPr>
        <w:t>月度考评表</w:t>
      </w:r>
    </w:p>
    <w:tbl>
      <w:tblPr>
        <w:tblStyle w:val="46"/>
        <w:tblW w:w="10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83"/>
        <w:gridCol w:w="3659"/>
        <w:gridCol w:w="866"/>
        <w:gridCol w:w="3262"/>
        <w:gridCol w:w="1039"/>
      </w:tblGrid>
      <w:tr w14:paraId="1AC8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19" w:type="dxa"/>
            <w:gridSpan w:val="2"/>
            <w:noWrap w:val="0"/>
            <w:vAlign w:val="center"/>
          </w:tcPr>
          <w:p w14:paraId="64E756E6">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考核项目</w:t>
            </w:r>
          </w:p>
        </w:tc>
        <w:tc>
          <w:tcPr>
            <w:tcW w:w="3659" w:type="dxa"/>
            <w:noWrap w:val="0"/>
            <w:vAlign w:val="center"/>
          </w:tcPr>
          <w:p w14:paraId="64EE57BE">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项目内容</w:t>
            </w:r>
          </w:p>
        </w:tc>
        <w:tc>
          <w:tcPr>
            <w:tcW w:w="866" w:type="dxa"/>
            <w:noWrap w:val="0"/>
            <w:vAlign w:val="center"/>
          </w:tcPr>
          <w:p w14:paraId="0DAF896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评分</w:t>
            </w:r>
          </w:p>
        </w:tc>
        <w:tc>
          <w:tcPr>
            <w:tcW w:w="3262" w:type="dxa"/>
            <w:noWrap w:val="0"/>
            <w:vAlign w:val="center"/>
          </w:tcPr>
          <w:p w14:paraId="7F439BEC">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考核标准</w:t>
            </w:r>
          </w:p>
        </w:tc>
        <w:tc>
          <w:tcPr>
            <w:tcW w:w="1039" w:type="dxa"/>
            <w:noWrap w:val="0"/>
            <w:vAlign w:val="center"/>
          </w:tcPr>
          <w:p w14:paraId="6D25120E">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得分</w:t>
            </w:r>
          </w:p>
        </w:tc>
      </w:tr>
      <w:tr w14:paraId="24C2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6" w:type="dxa"/>
            <w:vMerge w:val="restart"/>
            <w:noWrap w:val="0"/>
            <w:vAlign w:val="center"/>
          </w:tcPr>
          <w:p w14:paraId="3B24C21E">
            <w:pPr>
              <w:spacing w:line="440" w:lineRule="exact"/>
              <w:jc w:val="center"/>
              <w:rPr>
                <w:rFonts w:ascii="宋体" w:hAnsi="宋体" w:cs="宋体"/>
                <w:color w:val="auto"/>
                <w:szCs w:val="21"/>
                <w:highlight w:val="none"/>
              </w:rPr>
            </w:pPr>
            <w:r>
              <w:rPr>
                <w:rFonts w:hint="eastAsia" w:ascii="宋体" w:hAnsi="宋体" w:eastAsia="宋体" w:cs="宋体"/>
                <w:color w:val="auto"/>
                <w:kern w:val="0"/>
                <w:sz w:val="20"/>
                <w:szCs w:val="20"/>
                <w:highlight w:val="none"/>
                <w:lang w:val="en-US" w:eastAsia="zh-CN" w:bidi="ar"/>
              </w:rPr>
              <w:t>质量控制</w:t>
            </w:r>
            <w:r>
              <w:rPr>
                <w:rFonts w:hint="eastAsia" w:ascii="宋体" w:hAnsi="宋体" w:cs="宋体"/>
                <w:color w:val="auto"/>
                <w:szCs w:val="21"/>
                <w:highlight w:val="none"/>
              </w:rPr>
              <w:t>（20分）</w:t>
            </w:r>
          </w:p>
        </w:tc>
        <w:tc>
          <w:tcPr>
            <w:tcW w:w="283" w:type="dxa"/>
            <w:noWrap w:val="0"/>
            <w:vAlign w:val="center"/>
          </w:tcPr>
          <w:p w14:paraId="378BC286">
            <w:pPr>
              <w:spacing w:line="440" w:lineRule="exact"/>
              <w:rPr>
                <w:rFonts w:ascii="宋体" w:hAnsi="宋体" w:cs="宋体"/>
                <w:color w:val="auto"/>
                <w:szCs w:val="21"/>
                <w:highlight w:val="none"/>
              </w:rPr>
            </w:pPr>
            <w:r>
              <w:rPr>
                <w:rFonts w:hint="eastAsia" w:ascii="宋体" w:hAnsi="宋体" w:cs="宋体"/>
                <w:color w:val="auto"/>
                <w:szCs w:val="21"/>
                <w:highlight w:val="none"/>
              </w:rPr>
              <w:t>1</w:t>
            </w:r>
          </w:p>
        </w:tc>
        <w:tc>
          <w:tcPr>
            <w:tcW w:w="3659" w:type="dxa"/>
            <w:noWrap w:val="0"/>
            <w:vAlign w:val="center"/>
          </w:tcPr>
          <w:p w14:paraId="5D842384">
            <w:pPr>
              <w:keepNext w:val="0"/>
              <w:keepLines w:val="0"/>
              <w:widowControl/>
              <w:suppressLineNumbers w:val="0"/>
              <w:jc w:val="left"/>
              <w:rPr>
                <w:rFonts w:ascii="宋体" w:hAnsi="宋体" w:cs="宋体"/>
                <w:color w:val="auto"/>
                <w:szCs w:val="21"/>
                <w:highlight w:val="none"/>
              </w:rPr>
            </w:pPr>
            <w:r>
              <w:rPr>
                <w:rFonts w:hint="eastAsia" w:ascii="宋体" w:hAnsi="宋体" w:eastAsia="宋体" w:cs="宋体"/>
                <w:color w:val="auto"/>
                <w:kern w:val="0"/>
                <w:sz w:val="20"/>
                <w:szCs w:val="20"/>
                <w:highlight w:val="none"/>
                <w:lang w:val="en-US" w:eastAsia="zh-CN" w:bidi="ar"/>
              </w:rPr>
              <w:t>是否按要求进行巡视、旁站、平行检验、见证取样工作</w:t>
            </w:r>
          </w:p>
        </w:tc>
        <w:tc>
          <w:tcPr>
            <w:tcW w:w="866" w:type="dxa"/>
            <w:noWrap w:val="0"/>
            <w:vAlign w:val="center"/>
          </w:tcPr>
          <w:p w14:paraId="594D21B6">
            <w:pPr>
              <w:spacing w:line="440" w:lineRule="exact"/>
              <w:rPr>
                <w:rFonts w:ascii="宋体" w:hAnsi="宋体" w:cs="宋体"/>
                <w:color w:val="auto"/>
                <w:szCs w:val="21"/>
                <w:highlight w:val="none"/>
              </w:rPr>
            </w:pPr>
          </w:p>
        </w:tc>
        <w:tc>
          <w:tcPr>
            <w:tcW w:w="3262" w:type="dxa"/>
            <w:noWrap w:val="0"/>
            <w:vAlign w:val="center"/>
          </w:tcPr>
          <w:p w14:paraId="7DB9E3E9">
            <w:pPr>
              <w:spacing w:line="440" w:lineRule="exact"/>
              <w:rPr>
                <w:rFonts w:ascii="宋体" w:hAnsi="宋体" w:cs="宋体"/>
                <w:color w:val="auto"/>
                <w:szCs w:val="21"/>
                <w:highlight w:val="none"/>
              </w:rPr>
            </w:pPr>
            <w:r>
              <w:rPr>
                <w:rFonts w:hint="eastAsia" w:ascii="宋体" w:hAnsi="宋体" w:cs="宋体"/>
                <w:color w:val="auto"/>
                <w:szCs w:val="21"/>
                <w:highlight w:val="none"/>
              </w:rPr>
              <w:t>每项扣2分</w:t>
            </w:r>
          </w:p>
        </w:tc>
        <w:tc>
          <w:tcPr>
            <w:tcW w:w="1039" w:type="dxa"/>
            <w:vMerge w:val="restart"/>
            <w:noWrap w:val="0"/>
            <w:vAlign w:val="center"/>
          </w:tcPr>
          <w:p w14:paraId="049E718D">
            <w:pPr>
              <w:spacing w:line="440" w:lineRule="exact"/>
              <w:rPr>
                <w:rFonts w:ascii="宋体" w:hAnsi="宋体" w:cs="宋体"/>
                <w:color w:val="auto"/>
                <w:szCs w:val="21"/>
                <w:highlight w:val="none"/>
              </w:rPr>
            </w:pPr>
          </w:p>
        </w:tc>
      </w:tr>
      <w:tr w14:paraId="7CD5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6" w:type="dxa"/>
            <w:vMerge w:val="continue"/>
            <w:noWrap w:val="0"/>
            <w:vAlign w:val="center"/>
          </w:tcPr>
          <w:p w14:paraId="44FC4AD3">
            <w:pPr>
              <w:spacing w:line="440" w:lineRule="exact"/>
              <w:jc w:val="center"/>
              <w:rPr>
                <w:rFonts w:ascii="宋体" w:hAnsi="宋体" w:cs="宋体"/>
                <w:color w:val="auto"/>
                <w:szCs w:val="21"/>
                <w:highlight w:val="none"/>
              </w:rPr>
            </w:pPr>
          </w:p>
        </w:tc>
        <w:tc>
          <w:tcPr>
            <w:tcW w:w="283" w:type="dxa"/>
            <w:noWrap w:val="0"/>
            <w:vAlign w:val="center"/>
          </w:tcPr>
          <w:p w14:paraId="1FB3FBDD">
            <w:pPr>
              <w:spacing w:line="440" w:lineRule="exact"/>
              <w:rPr>
                <w:rFonts w:ascii="宋体" w:hAnsi="宋体" w:cs="宋体"/>
                <w:color w:val="auto"/>
                <w:szCs w:val="21"/>
                <w:highlight w:val="none"/>
              </w:rPr>
            </w:pPr>
            <w:r>
              <w:rPr>
                <w:rFonts w:hint="eastAsia" w:ascii="宋体" w:hAnsi="宋体" w:cs="宋体"/>
                <w:color w:val="auto"/>
                <w:szCs w:val="21"/>
                <w:highlight w:val="none"/>
              </w:rPr>
              <w:t>2</w:t>
            </w:r>
          </w:p>
        </w:tc>
        <w:tc>
          <w:tcPr>
            <w:tcW w:w="3659" w:type="dxa"/>
            <w:noWrap w:val="0"/>
            <w:vAlign w:val="center"/>
          </w:tcPr>
          <w:p w14:paraId="7246CC02">
            <w:pPr>
              <w:keepNext w:val="0"/>
              <w:keepLines w:val="0"/>
              <w:widowControl/>
              <w:suppressLineNumbers w:val="0"/>
              <w:jc w:val="left"/>
              <w:rPr>
                <w:rFonts w:ascii="宋体" w:hAnsi="宋体" w:cs="宋体"/>
                <w:color w:val="auto"/>
                <w:szCs w:val="21"/>
                <w:highlight w:val="none"/>
              </w:rPr>
            </w:pPr>
            <w:r>
              <w:rPr>
                <w:rFonts w:hint="eastAsia" w:ascii="宋体" w:hAnsi="宋体" w:eastAsia="宋体" w:cs="宋体"/>
                <w:color w:val="auto"/>
                <w:kern w:val="0"/>
                <w:sz w:val="20"/>
                <w:szCs w:val="20"/>
                <w:highlight w:val="none"/>
                <w:lang w:val="en-US" w:eastAsia="zh-CN" w:bidi="ar"/>
              </w:rPr>
              <w:t>是否存在对各类检查拒不配合现象</w:t>
            </w:r>
          </w:p>
        </w:tc>
        <w:tc>
          <w:tcPr>
            <w:tcW w:w="866" w:type="dxa"/>
            <w:noWrap w:val="0"/>
            <w:vAlign w:val="center"/>
          </w:tcPr>
          <w:p w14:paraId="5211ACE4">
            <w:pPr>
              <w:spacing w:line="440" w:lineRule="exact"/>
              <w:rPr>
                <w:rFonts w:ascii="宋体" w:hAnsi="宋体" w:cs="宋体"/>
                <w:color w:val="auto"/>
                <w:szCs w:val="21"/>
                <w:highlight w:val="none"/>
              </w:rPr>
            </w:pPr>
          </w:p>
        </w:tc>
        <w:tc>
          <w:tcPr>
            <w:tcW w:w="3262" w:type="dxa"/>
            <w:noWrap w:val="0"/>
            <w:vAlign w:val="center"/>
          </w:tcPr>
          <w:p w14:paraId="0A243785">
            <w:pPr>
              <w:spacing w:line="440" w:lineRule="exact"/>
              <w:rPr>
                <w:rFonts w:ascii="宋体" w:hAnsi="宋体" w:cs="宋体"/>
                <w:color w:val="auto"/>
                <w:szCs w:val="21"/>
                <w:highlight w:val="none"/>
              </w:rPr>
            </w:pPr>
            <w:r>
              <w:rPr>
                <w:rFonts w:hint="eastAsia" w:ascii="宋体" w:hAnsi="宋体" w:cs="宋体"/>
                <w:color w:val="auto"/>
                <w:szCs w:val="21"/>
                <w:highlight w:val="none"/>
              </w:rPr>
              <w:t>每项扣3分</w:t>
            </w:r>
          </w:p>
        </w:tc>
        <w:tc>
          <w:tcPr>
            <w:tcW w:w="1039" w:type="dxa"/>
            <w:vMerge w:val="continue"/>
            <w:noWrap w:val="0"/>
            <w:vAlign w:val="center"/>
          </w:tcPr>
          <w:p w14:paraId="109E55FD">
            <w:pPr>
              <w:spacing w:line="440" w:lineRule="exact"/>
              <w:rPr>
                <w:rFonts w:ascii="宋体" w:hAnsi="宋体" w:cs="宋体"/>
                <w:color w:val="auto"/>
                <w:szCs w:val="21"/>
                <w:highlight w:val="none"/>
              </w:rPr>
            </w:pPr>
          </w:p>
        </w:tc>
      </w:tr>
      <w:tr w14:paraId="0B1A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6" w:type="dxa"/>
            <w:vMerge w:val="continue"/>
            <w:noWrap w:val="0"/>
            <w:vAlign w:val="center"/>
          </w:tcPr>
          <w:p w14:paraId="68566F81">
            <w:pPr>
              <w:spacing w:line="440" w:lineRule="exact"/>
              <w:jc w:val="center"/>
              <w:rPr>
                <w:rFonts w:ascii="宋体" w:hAnsi="宋体" w:cs="宋体"/>
                <w:color w:val="auto"/>
                <w:szCs w:val="21"/>
                <w:highlight w:val="none"/>
              </w:rPr>
            </w:pPr>
          </w:p>
        </w:tc>
        <w:tc>
          <w:tcPr>
            <w:tcW w:w="283" w:type="dxa"/>
            <w:noWrap w:val="0"/>
            <w:vAlign w:val="center"/>
          </w:tcPr>
          <w:p w14:paraId="59EE7FBD">
            <w:pPr>
              <w:spacing w:line="440" w:lineRule="exact"/>
              <w:rPr>
                <w:rFonts w:ascii="宋体" w:hAnsi="宋体" w:cs="宋体"/>
                <w:color w:val="auto"/>
                <w:szCs w:val="21"/>
                <w:highlight w:val="none"/>
              </w:rPr>
            </w:pPr>
            <w:r>
              <w:rPr>
                <w:rFonts w:hint="eastAsia" w:ascii="宋体" w:hAnsi="宋体" w:cs="宋体"/>
                <w:color w:val="auto"/>
                <w:szCs w:val="21"/>
                <w:highlight w:val="none"/>
              </w:rPr>
              <w:t>3</w:t>
            </w:r>
          </w:p>
        </w:tc>
        <w:tc>
          <w:tcPr>
            <w:tcW w:w="3659" w:type="dxa"/>
            <w:noWrap w:val="0"/>
            <w:vAlign w:val="center"/>
          </w:tcPr>
          <w:p w14:paraId="658A25DA">
            <w:pPr>
              <w:keepNext w:val="0"/>
              <w:keepLines w:val="0"/>
              <w:widowControl/>
              <w:suppressLineNumbers w:val="0"/>
              <w:jc w:val="left"/>
              <w:rPr>
                <w:rFonts w:ascii="宋体" w:hAnsi="宋体" w:cs="宋体"/>
                <w:color w:val="auto"/>
                <w:szCs w:val="21"/>
                <w:highlight w:val="none"/>
              </w:rPr>
            </w:pPr>
            <w:r>
              <w:rPr>
                <w:rFonts w:hint="eastAsia" w:ascii="宋体" w:hAnsi="宋体" w:eastAsia="宋体" w:cs="宋体"/>
                <w:color w:val="auto"/>
                <w:kern w:val="0"/>
                <w:sz w:val="20"/>
                <w:szCs w:val="20"/>
                <w:highlight w:val="none"/>
                <w:lang w:val="en-US" w:eastAsia="zh-CN" w:bidi="ar"/>
              </w:rPr>
              <w:t>对检查提出的问题是否及时督促施工单位整改</w:t>
            </w:r>
          </w:p>
        </w:tc>
        <w:tc>
          <w:tcPr>
            <w:tcW w:w="866" w:type="dxa"/>
            <w:noWrap w:val="0"/>
            <w:vAlign w:val="center"/>
          </w:tcPr>
          <w:p w14:paraId="70BC4EE3">
            <w:pPr>
              <w:spacing w:line="440" w:lineRule="exact"/>
              <w:rPr>
                <w:rFonts w:ascii="宋体" w:hAnsi="宋体" w:cs="宋体"/>
                <w:color w:val="auto"/>
                <w:szCs w:val="21"/>
                <w:highlight w:val="none"/>
              </w:rPr>
            </w:pPr>
          </w:p>
        </w:tc>
        <w:tc>
          <w:tcPr>
            <w:tcW w:w="3262" w:type="dxa"/>
            <w:noWrap w:val="0"/>
            <w:vAlign w:val="center"/>
          </w:tcPr>
          <w:p w14:paraId="4C9C0AB7">
            <w:pPr>
              <w:spacing w:line="440" w:lineRule="exact"/>
              <w:rPr>
                <w:rFonts w:ascii="宋体" w:hAnsi="宋体" w:cs="宋体"/>
                <w:color w:val="auto"/>
                <w:szCs w:val="21"/>
                <w:highlight w:val="none"/>
              </w:rPr>
            </w:pPr>
            <w:r>
              <w:rPr>
                <w:rFonts w:hint="eastAsia" w:ascii="宋体" w:hAnsi="宋体" w:cs="宋体"/>
                <w:color w:val="auto"/>
                <w:szCs w:val="21"/>
                <w:highlight w:val="none"/>
              </w:rPr>
              <w:t>每项扣5分</w:t>
            </w:r>
          </w:p>
        </w:tc>
        <w:tc>
          <w:tcPr>
            <w:tcW w:w="1039" w:type="dxa"/>
            <w:vMerge w:val="continue"/>
            <w:noWrap w:val="0"/>
            <w:vAlign w:val="center"/>
          </w:tcPr>
          <w:p w14:paraId="7DCAC326">
            <w:pPr>
              <w:spacing w:line="440" w:lineRule="exact"/>
              <w:rPr>
                <w:rFonts w:ascii="宋体" w:hAnsi="宋体" w:cs="宋体"/>
                <w:color w:val="auto"/>
                <w:szCs w:val="21"/>
                <w:highlight w:val="none"/>
              </w:rPr>
            </w:pPr>
          </w:p>
        </w:tc>
      </w:tr>
      <w:tr w14:paraId="0EDA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6" w:type="dxa"/>
            <w:vMerge w:val="continue"/>
            <w:noWrap w:val="0"/>
            <w:vAlign w:val="center"/>
          </w:tcPr>
          <w:p w14:paraId="7618CC4C">
            <w:pPr>
              <w:spacing w:line="440" w:lineRule="exact"/>
              <w:jc w:val="center"/>
              <w:rPr>
                <w:rFonts w:ascii="宋体" w:hAnsi="宋体" w:cs="宋体"/>
                <w:color w:val="auto"/>
                <w:szCs w:val="21"/>
                <w:highlight w:val="none"/>
              </w:rPr>
            </w:pPr>
          </w:p>
        </w:tc>
        <w:tc>
          <w:tcPr>
            <w:tcW w:w="283" w:type="dxa"/>
            <w:noWrap w:val="0"/>
            <w:vAlign w:val="center"/>
          </w:tcPr>
          <w:p w14:paraId="0737A49F">
            <w:pPr>
              <w:spacing w:line="440" w:lineRule="exact"/>
              <w:rPr>
                <w:rFonts w:ascii="宋体" w:hAnsi="宋体" w:cs="宋体"/>
                <w:color w:val="auto"/>
                <w:szCs w:val="21"/>
                <w:highlight w:val="none"/>
              </w:rPr>
            </w:pPr>
            <w:r>
              <w:rPr>
                <w:rFonts w:hint="eastAsia" w:ascii="宋体" w:hAnsi="宋体" w:cs="宋体"/>
                <w:color w:val="auto"/>
                <w:szCs w:val="21"/>
                <w:highlight w:val="none"/>
              </w:rPr>
              <w:t>4</w:t>
            </w:r>
          </w:p>
        </w:tc>
        <w:tc>
          <w:tcPr>
            <w:tcW w:w="3659" w:type="dxa"/>
            <w:noWrap w:val="0"/>
            <w:vAlign w:val="center"/>
          </w:tcPr>
          <w:p w14:paraId="52441A23">
            <w:pPr>
              <w:keepNext w:val="0"/>
              <w:keepLines w:val="0"/>
              <w:widowControl/>
              <w:suppressLineNumbers w:val="0"/>
              <w:jc w:val="left"/>
              <w:rPr>
                <w:rFonts w:ascii="宋体" w:hAnsi="宋体" w:cs="宋体"/>
                <w:color w:val="auto"/>
                <w:szCs w:val="21"/>
                <w:highlight w:val="none"/>
              </w:rPr>
            </w:pPr>
            <w:r>
              <w:rPr>
                <w:rFonts w:hint="eastAsia" w:ascii="宋体" w:hAnsi="宋体" w:eastAsia="宋体" w:cs="宋体"/>
                <w:color w:val="auto"/>
                <w:kern w:val="0"/>
                <w:sz w:val="20"/>
                <w:szCs w:val="20"/>
                <w:highlight w:val="none"/>
                <w:lang w:val="en-US" w:eastAsia="zh-CN" w:bidi="ar"/>
              </w:rPr>
              <w:t>是否如实、及时向建设单位反映施工现场实际情况</w:t>
            </w:r>
          </w:p>
        </w:tc>
        <w:tc>
          <w:tcPr>
            <w:tcW w:w="866" w:type="dxa"/>
            <w:noWrap w:val="0"/>
            <w:vAlign w:val="center"/>
          </w:tcPr>
          <w:p w14:paraId="0998DBDA">
            <w:pPr>
              <w:spacing w:line="440" w:lineRule="exact"/>
              <w:rPr>
                <w:rFonts w:ascii="宋体" w:hAnsi="宋体" w:cs="宋体"/>
                <w:color w:val="auto"/>
                <w:szCs w:val="21"/>
                <w:highlight w:val="none"/>
              </w:rPr>
            </w:pPr>
          </w:p>
        </w:tc>
        <w:tc>
          <w:tcPr>
            <w:tcW w:w="3262" w:type="dxa"/>
            <w:noWrap w:val="0"/>
            <w:vAlign w:val="center"/>
          </w:tcPr>
          <w:p w14:paraId="2B6472B8">
            <w:pPr>
              <w:spacing w:line="440" w:lineRule="exact"/>
              <w:rPr>
                <w:rFonts w:ascii="宋体" w:hAnsi="宋体" w:cs="宋体"/>
                <w:color w:val="auto"/>
                <w:szCs w:val="21"/>
                <w:highlight w:val="none"/>
              </w:rPr>
            </w:pPr>
            <w:r>
              <w:rPr>
                <w:rFonts w:hint="eastAsia" w:ascii="宋体" w:hAnsi="宋体" w:cs="宋体"/>
                <w:color w:val="auto"/>
                <w:szCs w:val="21"/>
                <w:highlight w:val="none"/>
              </w:rPr>
              <w:t>每项扣5分</w:t>
            </w:r>
          </w:p>
        </w:tc>
        <w:tc>
          <w:tcPr>
            <w:tcW w:w="1039" w:type="dxa"/>
            <w:vMerge w:val="continue"/>
            <w:noWrap w:val="0"/>
            <w:vAlign w:val="center"/>
          </w:tcPr>
          <w:p w14:paraId="5EBFD6F4">
            <w:pPr>
              <w:spacing w:line="440" w:lineRule="exact"/>
              <w:rPr>
                <w:rFonts w:ascii="宋体" w:hAnsi="宋体" w:cs="宋体"/>
                <w:color w:val="auto"/>
                <w:szCs w:val="21"/>
                <w:highlight w:val="none"/>
              </w:rPr>
            </w:pPr>
          </w:p>
        </w:tc>
      </w:tr>
      <w:tr w14:paraId="31F3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6" w:type="dxa"/>
            <w:vMerge w:val="continue"/>
            <w:noWrap w:val="0"/>
            <w:vAlign w:val="center"/>
          </w:tcPr>
          <w:p w14:paraId="60D2475B">
            <w:pPr>
              <w:spacing w:line="440" w:lineRule="exact"/>
              <w:jc w:val="center"/>
              <w:rPr>
                <w:rFonts w:ascii="宋体" w:hAnsi="宋体" w:cs="宋体"/>
                <w:color w:val="auto"/>
                <w:szCs w:val="21"/>
                <w:highlight w:val="none"/>
              </w:rPr>
            </w:pPr>
          </w:p>
        </w:tc>
        <w:tc>
          <w:tcPr>
            <w:tcW w:w="283" w:type="dxa"/>
            <w:noWrap w:val="0"/>
            <w:vAlign w:val="center"/>
          </w:tcPr>
          <w:p w14:paraId="005AB77F">
            <w:pPr>
              <w:spacing w:line="440" w:lineRule="exact"/>
              <w:rPr>
                <w:rFonts w:ascii="宋体" w:hAnsi="宋体" w:cs="宋体"/>
                <w:color w:val="auto"/>
                <w:szCs w:val="21"/>
                <w:highlight w:val="none"/>
              </w:rPr>
            </w:pPr>
            <w:r>
              <w:rPr>
                <w:rFonts w:hint="eastAsia" w:ascii="宋体" w:hAnsi="宋体" w:cs="宋体"/>
                <w:color w:val="auto"/>
                <w:szCs w:val="21"/>
                <w:highlight w:val="none"/>
              </w:rPr>
              <w:t>5</w:t>
            </w:r>
          </w:p>
        </w:tc>
        <w:tc>
          <w:tcPr>
            <w:tcW w:w="3659" w:type="dxa"/>
            <w:noWrap w:val="0"/>
            <w:vAlign w:val="center"/>
          </w:tcPr>
          <w:p w14:paraId="709410F7">
            <w:pPr>
              <w:keepNext w:val="0"/>
              <w:keepLines w:val="0"/>
              <w:widowControl/>
              <w:suppressLineNumbers w:val="0"/>
              <w:jc w:val="left"/>
              <w:rPr>
                <w:rFonts w:ascii="宋体" w:hAnsi="宋体" w:cs="宋体"/>
                <w:color w:val="auto"/>
                <w:szCs w:val="21"/>
                <w:highlight w:val="none"/>
              </w:rPr>
            </w:pPr>
            <w:r>
              <w:rPr>
                <w:rFonts w:hint="eastAsia" w:ascii="宋体" w:hAnsi="宋体" w:eastAsia="宋体" w:cs="宋体"/>
                <w:color w:val="auto"/>
                <w:kern w:val="0"/>
                <w:sz w:val="20"/>
                <w:szCs w:val="20"/>
                <w:highlight w:val="none"/>
                <w:lang w:val="en-US" w:eastAsia="zh-CN" w:bidi="ar"/>
              </w:rPr>
              <w:t>是否对进场材料、机械设备及隐蔽工程进行验收</w:t>
            </w:r>
          </w:p>
        </w:tc>
        <w:tc>
          <w:tcPr>
            <w:tcW w:w="866" w:type="dxa"/>
            <w:noWrap w:val="0"/>
            <w:vAlign w:val="center"/>
          </w:tcPr>
          <w:p w14:paraId="6FEAA4CA">
            <w:pPr>
              <w:spacing w:line="440" w:lineRule="exact"/>
              <w:rPr>
                <w:rFonts w:ascii="宋体" w:hAnsi="宋体" w:cs="宋体"/>
                <w:color w:val="auto"/>
                <w:szCs w:val="21"/>
                <w:highlight w:val="none"/>
              </w:rPr>
            </w:pPr>
          </w:p>
        </w:tc>
        <w:tc>
          <w:tcPr>
            <w:tcW w:w="3262" w:type="dxa"/>
            <w:noWrap w:val="0"/>
            <w:vAlign w:val="center"/>
          </w:tcPr>
          <w:p w14:paraId="4825EBD5">
            <w:pPr>
              <w:spacing w:line="440" w:lineRule="exact"/>
              <w:rPr>
                <w:rFonts w:ascii="宋体" w:hAnsi="宋体" w:cs="宋体"/>
                <w:color w:val="auto"/>
                <w:szCs w:val="21"/>
                <w:highlight w:val="none"/>
              </w:rPr>
            </w:pPr>
            <w:r>
              <w:rPr>
                <w:rFonts w:hint="eastAsia" w:ascii="宋体" w:hAnsi="宋体" w:cs="宋体"/>
                <w:color w:val="auto"/>
                <w:szCs w:val="21"/>
                <w:highlight w:val="none"/>
              </w:rPr>
              <w:t>每项扣5分</w:t>
            </w:r>
          </w:p>
        </w:tc>
        <w:tc>
          <w:tcPr>
            <w:tcW w:w="1039" w:type="dxa"/>
            <w:vMerge w:val="continue"/>
            <w:noWrap w:val="0"/>
            <w:vAlign w:val="center"/>
          </w:tcPr>
          <w:p w14:paraId="0309E3E0">
            <w:pPr>
              <w:spacing w:line="440" w:lineRule="exact"/>
              <w:rPr>
                <w:rFonts w:ascii="宋体" w:hAnsi="宋体" w:cs="宋体"/>
                <w:color w:val="auto"/>
                <w:szCs w:val="21"/>
                <w:highlight w:val="none"/>
              </w:rPr>
            </w:pPr>
          </w:p>
        </w:tc>
      </w:tr>
      <w:tr w14:paraId="7754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6" w:type="dxa"/>
            <w:vMerge w:val="restart"/>
            <w:noWrap w:val="0"/>
            <w:vAlign w:val="center"/>
          </w:tcPr>
          <w:p w14:paraId="5140A17B">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进度控制（</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p>
        </w:tc>
        <w:tc>
          <w:tcPr>
            <w:tcW w:w="283" w:type="dxa"/>
            <w:noWrap w:val="0"/>
            <w:vAlign w:val="center"/>
          </w:tcPr>
          <w:p w14:paraId="6A36B8C0">
            <w:pPr>
              <w:spacing w:line="440" w:lineRule="exact"/>
              <w:rPr>
                <w:rFonts w:ascii="宋体" w:hAnsi="宋体" w:cs="宋体"/>
                <w:color w:val="auto"/>
                <w:szCs w:val="21"/>
                <w:highlight w:val="none"/>
              </w:rPr>
            </w:pPr>
            <w:r>
              <w:rPr>
                <w:rFonts w:hint="eastAsia" w:ascii="宋体" w:hAnsi="宋体" w:cs="宋体"/>
                <w:color w:val="auto"/>
                <w:szCs w:val="21"/>
                <w:highlight w:val="none"/>
              </w:rPr>
              <w:t>1</w:t>
            </w:r>
          </w:p>
        </w:tc>
        <w:tc>
          <w:tcPr>
            <w:tcW w:w="3659" w:type="dxa"/>
            <w:noWrap w:val="0"/>
            <w:vAlign w:val="center"/>
          </w:tcPr>
          <w:p w14:paraId="30EE559E">
            <w:pPr>
              <w:spacing w:line="440" w:lineRule="exact"/>
              <w:rPr>
                <w:rFonts w:ascii="宋体" w:hAnsi="宋体" w:cs="宋体"/>
                <w:color w:val="auto"/>
                <w:szCs w:val="21"/>
                <w:highlight w:val="none"/>
              </w:rPr>
            </w:pPr>
            <w:r>
              <w:rPr>
                <w:rFonts w:hint="eastAsia" w:ascii="宋体" w:hAnsi="宋体" w:cs="宋体"/>
                <w:color w:val="auto"/>
                <w:szCs w:val="21"/>
                <w:highlight w:val="none"/>
              </w:rPr>
              <w:t>事前发现问题并预先控制</w:t>
            </w:r>
          </w:p>
        </w:tc>
        <w:tc>
          <w:tcPr>
            <w:tcW w:w="866" w:type="dxa"/>
            <w:noWrap w:val="0"/>
            <w:vAlign w:val="center"/>
          </w:tcPr>
          <w:p w14:paraId="10CCBEBB">
            <w:pPr>
              <w:spacing w:line="440" w:lineRule="exact"/>
              <w:rPr>
                <w:rFonts w:ascii="宋体" w:hAnsi="宋体" w:cs="宋体"/>
                <w:color w:val="auto"/>
                <w:szCs w:val="21"/>
                <w:highlight w:val="none"/>
              </w:rPr>
            </w:pPr>
          </w:p>
        </w:tc>
        <w:tc>
          <w:tcPr>
            <w:tcW w:w="3262" w:type="dxa"/>
            <w:noWrap w:val="0"/>
            <w:vAlign w:val="center"/>
          </w:tcPr>
          <w:p w14:paraId="300EA44D">
            <w:pPr>
              <w:spacing w:line="440" w:lineRule="exact"/>
              <w:rPr>
                <w:rFonts w:ascii="宋体" w:hAnsi="宋体" w:cs="宋体"/>
                <w:color w:val="auto"/>
                <w:szCs w:val="21"/>
                <w:highlight w:val="none"/>
              </w:rPr>
            </w:pPr>
            <w:r>
              <w:rPr>
                <w:rFonts w:hint="eastAsia" w:ascii="宋体" w:hAnsi="宋体" w:cs="宋体"/>
                <w:color w:val="auto"/>
                <w:szCs w:val="21"/>
                <w:highlight w:val="none"/>
              </w:rPr>
              <w:t>发现未处理每项扣2分</w:t>
            </w:r>
          </w:p>
        </w:tc>
        <w:tc>
          <w:tcPr>
            <w:tcW w:w="1039" w:type="dxa"/>
            <w:vMerge w:val="restart"/>
            <w:noWrap w:val="0"/>
            <w:vAlign w:val="center"/>
          </w:tcPr>
          <w:p w14:paraId="45CAEC68">
            <w:pPr>
              <w:spacing w:line="440" w:lineRule="exact"/>
              <w:rPr>
                <w:rFonts w:ascii="宋体" w:hAnsi="宋体" w:cs="宋体"/>
                <w:color w:val="auto"/>
                <w:szCs w:val="21"/>
                <w:highlight w:val="none"/>
              </w:rPr>
            </w:pPr>
          </w:p>
        </w:tc>
      </w:tr>
      <w:tr w14:paraId="06A0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6" w:type="dxa"/>
            <w:vMerge w:val="continue"/>
            <w:noWrap w:val="0"/>
            <w:vAlign w:val="center"/>
          </w:tcPr>
          <w:p w14:paraId="355E7EAD">
            <w:pPr>
              <w:spacing w:line="440" w:lineRule="exact"/>
              <w:jc w:val="center"/>
              <w:rPr>
                <w:rFonts w:ascii="宋体" w:hAnsi="宋体" w:cs="宋体"/>
                <w:color w:val="auto"/>
                <w:szCs w:val="21"/>
                <w:highlight w:val="none"/>
              </w:rPr>
            </w:pPr>
          </w:p>
        </w:tc>
        <w:tc>
          <w:tcPr>
            <w:tcW w:w="283" w:type="dxa"/>
            <w:noWrap w:val="0"/>
            <w:vAlign w:val="center"/>
          </w:tcPr>
          <w:p w14:paraId="51C51368">
            <w:pPr>
              <w:spacing w:line="440" w:lineRule="exact"/>
              <w:rPr>
                <w:rFonts w:ascii="宋体" w:hAnsi="宋体" w:cs="宋体"/>
                <w:color w:val="auto"/>
                <w:szCs w:val="21"/>
                <w:highlight w:val="none"/>
              </w:rPr>
            </w:pPr>
            <w:r>
              <w:rPr>
                <w:rFonts w:hint="eastAsia" w:ascii="宋体" w:hAnsi="宋体" w:cs="宋体"/>
                <w:color w:val="auto"/>
                <w:szCs w:val="21"/>
                <w:highlight w:val="none"/>
              </w:rPr>
              <w:t>2</w:t>
            </w:r>
          </w:p>
        </w:tc>
        <w:tc>
          <w:tcPr>
            <w:tcW w:w="3659" w:type="dxa"/>
            <w:noWrap w:val="0"/>
            <w:vAlign w:val="center"/>
          </w:tcPr>
          <w:p w14:paraId="66C9F8FC">
            <w:pPr>
              <w:spacing w:line="440" w:lineRule="exact"/>
              <w:rPr>
                <w:rFonts w:ascii="宋体" w:hAnsi="宋体" w:cs="宋体"/>
                <w:color w:val="auto"/>
                <w:szCs w:val="21"/>
                <w:highlight w:val="none"/>
              </w:rPr>
            </w:pPr>
            <w:r>
              <w:rPr>
                <w:rFonts w:hint="eastAsia" w:ascii="宋体" w:hAnsi="宋体" w:cs="宋体"/>
                <w:color w:val="auto"/>
                <w:szCs w:val="21"/>
                <w:highlight w:val="none"/>
              </w:rPr>
              <w:t>事中发现问题并及时控制</w:t>
            </w:r>
          </w:p>
        </w:tc>
        <w:tc>
          <w:tcPr>
            <w:tcW w:w="866" w:type="dxa"/>
            <w:noWrap w:val="0"/>
            <w:vAlign w:val="center"/>
          </w:tcPr>
          <w:p w14:paraId="6B2091DD">
            <w:pPr>
              <w:spacing w:line="440" w:lineRule="exact"/>
              <w:rPr>
                <w:rFonts w:ascii="宋体" w:hAnsi="宋体" w:cs="宋体"/>
                <w:color w:val="auto"/>
                <w:szCs w:val="21"/>
                <w:highlight w:val="none"/>
              </w:rPr>
            </w:pPr>
          </w:p>
        </w:tc>
        <w:tc>
          <w:tcPr>
            <w:tcW w:w="3262" w:type="dxa"/>
            <w:noWrap w:val="0"/>
            <w:vAlign w:val="center"/>
          </w:tcPr>
          <w:p w14:paraId="27E4D6B5">
            <w:pPr>
              <w:spacing w:line="440" w:lineRule="exact"/>
              <w:rPr>
                <w:rFonts w:ascii="宋体" w:hAnsi="宋体" w:cs="宋体"/>
                <w:color w:val="auto"/>
                <w:szCs w:val="21"/>
                <w:highlight w:val="none"/>
              </w:rPr>
            </w:pPr>
            <w:r>
              <w:rPr>
                <w:rFonts w:hint="eastAsia" w:ascii="宋体" w:hAnsi="宋体" w:cs="宋体"/>
                <w:color w:val="auto"/>
                <w:szCs w:val="21"/>
                <w:highlight w:val="none"/>
              </w:rPr>
              <w:t>发现未处理每项扣3分</w:t>
            </w:r>
          </w:p>
        </w:tc>
        <w:tc>
          <w:tcPr>
            <w:tcW w:w="1039" w:type="dxa"/>
            <w:vMerge w:val="continue"/>
            <w:noWrap w:val="0"/>
            <w:vAlign w:val="center"/>
          </w:tcPr>
          <w:p w14:paraId="3D17AFC9">
            <w:pPr>
              <w:spacing w:line="440" w:lineRule="exact"/>
              <w:rPr>
                <w:rFonts w:ascii="宋体" w:hAnsi="宋体" w:cs="宋体"/>
                <w:color w:val="auto"/>
                <w:szCs w:val="21"/>
                <w:highlight w:val="none"/>
              </w:rPr>
            </w:pPr>
          </w:p>
        </w:tc>
      </w:tr>
      <w:tr w14:paraId="2ACAE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6" w:type="dxa"/>
            <w:vMerge w:val="continue"/>
            <w:noWrap w:val="0"/>
            <w:vAlign w:val="center"/>
          </w:tcPr>
          <w:p w14:paraId="5DC4B01B">
            <w:pPr>
              <w:spacing w:line="440" w:lineRule="exact"/>
              <w:jc w:val="center"/>
              <w:rPr>
                <w:rFonts w:ascii="宋体" w:hAnsi="宋体" w:cs="宋体"/>
                <w:color w:val="auto"/>
                <w:szCs w:val="21"/>
                <w:highlight w:val="none"/>
              </w:rPr>
            </w:pPr>
          </w:p>
        </w:tc>
        <w:tc>
          <w:tcPr>
            <w:tcW w:w="283" w:type="dxa"/>
            <w:noWrap w:val="0"/>
            <w:vAlign w:val="center"/>
          </w:tcPr>
          <w:p w14:paraId="72D5757C">
            <w:pPr>
              <w:spacing w:line="440" w:lineRule="exact"/>
              <w:rPr>
                <w:rFonts w:ascii="宋体" w:hAnsi="宋体" w:cs="宋体"/>
                <w:color w:val="auto"/>
                <w:szCs w:val="21"/>
                <w:highlight w:val="none"/>
              </w:rPr>
            </w:pPr>
            <w:r>
              <w:rPr>
                <w:rFonts w:hint="eastAsia" w:ascii="宋体" w:hAnsi="宋体" w:cs="宋体"/>
                <w:color w:val="auto"/>
                <w:szCs w:val="21"/>
                <w:highlight w:val="none"/>
              </w:rPr>
              <w:t>3</w:t>
            </w:r>
          </w:p>
        </w:tc>
        <w:tc>
          <w:tcPr>
            <w:tcW w:w="3659" w:type="dxa"/>
            <w:noWrap w:val="0"/>
            <w:vAlign w:val="center"/>
          </w:tcPr>
          <w:p w14:paraId="07824FF3">
            <w:pPr>
              <w:spacing w:line="440" w:lineRule="exact"/>
              <w:rPr>
                <w:rFonts w:ascii="宋体" w:hAnsi="宋体" w:cs="宋体"/>
                <w:color w:val="auto"/>
                <w:szCs w:val="21"/>
                <w:highlight w:val="none"/>
              </w:rPr>
            </w:pPr>
            <w:r>
              <w:rPr>
                <w:rFonts w:hint="eastAsia" w:ascii="宋体" w:hAnsi="宋体" w:cs="宋体"/>
                <w:color w:val="auto"/>
                <w:szCs w:val="21"/>
                <w:highlight w:val="none"/>
              </w:rPr>
              <w:t>事后发现问题并补救控制</w:t>
            </w:r>
          </w:p>
        </w:tc>
        <w:tc>
          <w:tcPr>
            <w:tcW w:w="866" w:type="dxa"/>
            <w:noWrap w:val="0"/>
            <w:vAlign w:val="center"/>
          </w:tcPr>
          <w:p w14:paraId="0401B42B">
            <w:pPr>
              <w:spacing w:line="440" w:lineRule="exact"/>
              <w:rPr>
                <w:rFonts w:ascii="宋体" w:hAnsi="宋体" w:cs="宋体"/>
                <w:color w:val="auto"/>
                <w:szCs w:val="21"/>
                <w:highlight w:val="none"/>
              </w:rPr>
            </w:pPr>
          </w:p>
        </w:tc>
        <w:tc>
          <w:tcPr>
            <w:tcW w:w="3262" w:type="dxa"/>
            <w:noWrap w:val="0"/>
            <w:vAlign w:val="center"/>
          </w:tcPr>
          <w:p w14:paraId="0D7A6476">
            <w:pPr>
              <w:spacing w:line="440" w:lineRule="exact"/>
              <w:rPr>
                <w:rFonts w:ascii="宋体" w:hAnsi="宋体" w:cs="宋体"/>
                <w:color w:val="auto"/>
                <w:szCs w:val="21"/>
                <w:highlight w:val="none"/>
              </w:rPr>
            </w:pPr>
            <w:r>
              <w:rPr>
                <w:rFonts w:hint="eastAsia" w:ascii="宋体" w:hAnsi="宋体" w:cs="宋体"/>
                <w:color w:val="auto"/>
                <w:szCs w:val="21"/>
                <w:highlight w:val="none"/>
              </w:rPr>
              <w:t>发现未处理每项扣5分</w:t>
            </w:r>
          </w:p>
        </w:tc>
        <w:tc>
          <w:tcPr>
            <w:tcW w:w="1039" w:type="dxa"/>
            <w:vMerge w:val="continue"/>
            <w:noWrap w:val="0"/>
            <w:vAlign w:val="center"/>
          </w:tcPr>
          <w:p w14:paraId="43913669">
            <w:pPr>
              <w:spacing w:line="440" w:lineRule="exact"/>
              <w:rPr>
                <w:rFonts w:ascii="宋体" w:hAnsi="宋体" w:cs="宋体"/>
                <w:color w:val="auto"/>
                <w:szCs w:val="21"/>
                <w:highlight w:val="none"/>
              </w:rPr>
            </w:pPr>
          </w:p>
        </w:tc>
      </w:tr>
      <w:tr w14:paraId="10E8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1136" w:type="dxa"/>
            <w:vMerge w:val="continue"/>
            <w:noWrap w:val="0"/>
            <w:vAlign w:val="center"/>
          </w:tcPr>
          <w:p w14:paraId="02DB7439">
            <w:pPr>
              <w:spacing w:line="440" w:lineRule="exact"/>
              <w:jc w:val="center"/>
              <w:rPr>
                <w:rFonts w:ascii="宋体" w:hAnsi="宋体" w:cs="宋体"/>
                <w:color w:val="auto"/>
                <w:szCs w:val="21"/>
                <w:highlight w:val="none"/>
              </w:rPr>
            </w:pPr>
          </w:p>
        </w:tc>
        <w:tc>
          <w:tcPr>
            <w:tcW w:w="283" w:type="dxa"/>
            <w:noWrap w:val="0"/>
            <w:vAlign w:val="center"/>
          </w:tcPr>
          <w:p w14:paraId="0BED13FB">
            <w:pPr>
              <w:spacing w:line="440" w:lineRule="exact"/>
              <w:rPr>
                <w:rFonts w:ascii="宋体" w:hAnsi="宋体" w:cs="宋体"/>
                <w:color w:val="auto"/>
                <w:szCs w:val="21"/>
                <w:highlight w:val="none"/>
              </w:rPr>
            </w:pPr>
            <w:r>
              <w:rPr>
                <w:rFonts w:hint="eastAsia" w:ascii="宋体" w:hAnsi="宋体" w:cs="宋体"/>
                <w:color w:val="auto"/>
                <w:szCs w:val="21"/>
                <w:highlight w:val="none"/>
              </w:rPr>
              <w:t>4</w:t>
            </w:r>
          </w:p>
        </w:tc>
        <w:tc>
          <w:tcPr>
            <w:tcW w:w="3659" w:type="dxa"/>
            <w:noWrap w:val="0"/>
            <w:vAlign w:val="center"/>
          </w:tcPr>
          <w:p w14:paraId="1DE9D7EA">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监理未使用合理的监理措施，造成轻微进度延误（3天内）</w:t>
            </w:r>
          </w:p>
        </w:tc>
        <w:tc>
          <w:tcPr>
            <w:tcW w:w="866" w:type="dxa"/>
            <w:noWrap w:val="0"/>
            <w:vAlign w:val="center"/>
          </w:tcPr>
          <w:p w14:paraId="7328EFB8">
            <w:pPr>
              <w:spacing w:line="440" w:lineRule="exact"/>
              <w:rPr>
                <w:rFonts w:ascii="宋体" w:hAnsi="宋体" w:cs="宋体"/>
                <w:color w:val="auto"/>
                <w:szCs w:val="21"/>
                <w:highlight w:val="none"/>
              </w:rPr>
            </w:pPr>
          </w:p>
        </w:tc>
        <w:tc>
          <w:tcPr>
            <w:tcW w:w="3262" w:type="dxa"/>
            <w:noWrap w:val="0"/>
            <w:vAlign w:val="center"/>
          </w:tcPr>
          <w:p w14:paraId="0682D884">
            <w:pPr>
              <w:spacing w:line="440" w:lineRule="exact"/>
              <w:rPr>
                <w:rFonts w:ascii="宋体" w:hAnsi="宋体" w:cs="宋体"/>
                <w:color w:val="auto"/>
                <w:szCs w:val="21"/>
                <w:highlight w:val="none"/>
              </w:rPr>
            </w:pPr>
            <w:r>
              <w:rPr>
                <w:rFonts w:hint="eastAsia" w:ascii="宋体" w:hAnsi="宋体" w:cs="宋体"/>
                <w:color w:val="auto"/>
                <w:szCs w:val="21"/>
                <w:highlight w:val="none"/>
              </w:rPr>
              <w:t>扣2分</w:t>
            </w:r>
          </w:p>
        </w:tc>
        <w:tc>
          <w:tcPr>
            <w:tcW w:w="1039" w:type="dxa"/>
            <w:vMerge w:val="continue"/>
            <w:noWrap w:val="0"/>
            <w:vAlign w:val="center"/>
          </w:tcPr>
          <w:p w14:paraId="50B8CC66">
            <w:pPr>
              <w:spacing w:line="440" w:lineRule="exact"/>
              <w:rPr>
                <w:rFonts w:ascii="宋体" w:hAnsi="宋体" w:cs="宋体"/>
                <w:color w:val="auto"/>
                <w:szCs w:val="21"/>
                <w:highlight w:val="none"/>
              </w:rPr>
            </w:pPr>
          </w:p>
        </w:tc>
      </w:tr>
      <w:tr w14:paraId="107B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6" w:type="dxa"/>
            <w:vMerge w:val="continue"/>
            <w:noWrap w:val="0"/>
            <w:vAlign w:val="center"/>
          </w:tcPr>
          <w:p w14:paraId="36A0073D">
            <w:pPr>
              <w:spacing w:line="440" w:lineRule="exact"/>
              <w:jc w:val="center"/>
              <w:rPr>
                <w:rFonts w:ascii="宋体" w:hAnsi="宋体" w:cs="宋体"/>
                <w:color w:val="auto"/>
                <w:szCs w:val="21"/>
                <w:highlight w:val="none"/>
              </w:rPr>
            </w:pPr>
          </w:p>
        </w:tc>
        <w:tc>
          <w:tcPr>
            <w:tcW w:w="283" w:type="dxa"/>
            <w:noWrap w:val="0"/>
            <w:vAlign w:val="center"/>
          </w:tcPr>
          <w:p w14:paraId="21A4868F">
            <w:pPr>
              <w:spacing w:line="440" w:lineRule="exact"/>
              <w:rPr>
                <w:rFonts w:ascii="宋体" w:hAnsi="宋体" w:cs="宋体"/>
                <w:color w:val="auto"/>
                <w:szCs w:val="21"/>
                <w:highlight w:val="none"/>
              </w:rPr>
            </w:pPr>
            <w:r>
              <w:rPr>
                <w:rFonts w:hint="eastAsia" w:ascii="宋体" w:hAnsi="宋体" w:cs="宋体"/>
                <w:color w:val="auto"/>
                <w:szCs w:val="21"/>
                <w:highlight w:val="none"/>
              </w:rPr>
              <w:t>5</w:t>
            </w:r>
          </w:p>
        </w:tc>
        <w:tc>
          <w:tcPr>
            <w:tcW w:w="3659" w:type="dxa"/>
            <w:noWrap w:val="0"/>
            <w:vAlign w:val="center"/>
          </w:tcPr>
          <w:p w14:paraId="19C7F937">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监理未使用合理的监理措施，造成轻度进度延误（3-7天）</w:t>
            </w:r>
          </w:p>
        </w:tc>
        <w:tc>
          <w:tcPr>
            <w:tcW w:w="866" w:type="dxa"/>
            <w:noWrap w:val="0"/>
            <w:vAlign w:val="center"/>
          </w:tcPr>
          <w:p w14:paraId="549DD95E">
            <w:pPr>
              <w:spacing w:line="440" w:lineRule="exact"/>
              <w:rPr>
                <w:rFonts w:ascii="宋体" w:hAnsi="宋体" w:cs="宋体"/>
                <w:color w:val="auto"/>
                <w:szCs w:val="21"/>
                <w:highlight w:val="none"/>
              </w:rPr>
            </w:pPr>
          </w:p>
        </w:tc>
        <w:tc>
          <w:tcPr>
            <w:tcW w:w="3262" w:type="dxa"/>
            <w:noWrap w:val="0"/>
            <w:vAlign w:val="center"/>
          </w:tcPr>
          <w:p w14:paraId="6C5B5280">
            <w:pPr>
              <w:spacing w:line="440" w:lineRule="exact"/>
              <w:rPr>
                <w:rFonts w:ascii="宋体" w:hAnsi="宋体" w:cs="宋体"/>
                <w:color w:val="auto"/>
                <w:szCs w:val="21"/>
                <w:highlight w:val="none"/>
              </w:rPr>
            </w:pPr>
            <w:r>
              <w:rPr>
                <w:rFonts w:hint="eastAsia" w:ascii="宋体" w:hAnsi="宋体" w:cs="宋体"/>
                <w:color w:val="auto"/>
                <w:szCs w:val="21"/>
                <w:highlight w:val="none"/>
              </w:rPr>
              <w:t>扣3分</w:t>
            </w:r>
          </w:p>
        </w:tc>
        <w:tc>
          <w:tcPr>
            <w:tcW w:w="1039" w:type="dxa"/>
            <w:vMerge w:val="continue"/>
            <w:noWrap w:val="0"/>
            <w:vAlign w:val="center"/>
          </w:tcPr>
          <w:p w14:paraId="71541D6E">
            <w:pPr>
              <w:spacing w:line="440" w:lineRule="exact"/>
              <w:rPr>
                <w:rFonts w:ascii="宋体" w:hAnsi="宋体" w:cs="宋体"/>
                <w:color w:val="auto"/>
                <w:szCs w:val="21"/>
                <w:highlight w:val="none"/>
              </w:rPr>
            </w:pPr>
          </w:p>
        </w:tc>
      </w:tr>
      <w:tr w14:paraId="1180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6" w:type="dxa"/>
            <w:vMerge w:val="continue"/>
            <w:noWrap w:val="0"/>
            <w:vAlign w:val="center"/>
          </w:tcPr>
          <w:p w14:paraId="14F19B06">
            <w:pPr>
              <w:spacing w:line="440" w:lineRule="exact"/>
              <w:jc w:val="center"/>
              <w:rPr>
                <w:rFonts w:ascii="宋体" w:hAnsi="宋体" w:cs="宋体"/>
                <w:color w:val="auto"/>
                <w:szCs w:val="21"/>
                <w:highlight w:val="none"/>
              </w:rPr>
            </w:pPr>
          </w:p>
        </w:tc>
        <w:tc>
          <w:tcPr>
            <w:tcW w:w="283" w:type="dxa"/>
            <w:noWrap w:val="0"/>
            <w:vAlign w:val="center"/>
          </w:tcPr>
          <w:p w14:paraId="3B5E8B84">
            <w:pPr>
              <w:spacing w:line="440" w:lineRule="exact"/>
              <w:rPr>
                <w:rFonts w:ascii="宋体" w:hAnsi="宋体" w:cs="宋体"/>
                <w:color w:val="auto"/>
                <w:szCs w:val="21"/>
                <w:highlight w:val="none"/>
              </w:rPr>
            </w:pPr>
            <w:r>
              <w:rPr>
                <w:rFonts w:hint="eastAsia" w:ascii="宋体" w:hAnsi="宋体" w:cs="宋体"/>
                <w:color w:val="auto"/>
                <w:szCs w:val="21"/>
                <w:highlight w:val="none"/>
              </w:rPr>
              <w:t>6</w:t>
            </w:r>
          </w:p>
        </w:tc>
        <w:tc>
          <w:tcPr>
            <w:tcW w:w="3659" w:type="dxa"/>
            <w:noWrap w:val="0"/>
            <w:vAlign w:val="center"/>
          </w:tcPr>
          <w:p w14:paraId="2382EEE0">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监理未使用合理的监理措施，造成中度进度延误（7-12天）</w:t>
            </w:r>
          </w:p>
        </w:tc>
        <w:tc>
          <w:tcPr>
            <w:tcW w:w="866" w:type="dxa"/>
            <w:noWrap w:val="0"/>
            <w:vAlign w:val="center"/>
          </w:tcPr>
          <w:p w14:paraId="3F923C7C">
            <w:pPr>
              <w:spacing w:line="440" w:lineRule="exact"/>
              <w:rPr>
                <w:rFonts w:ascii="宋体" w:hAnsi="宋体" w:cs="宋体"/>
                <w:color w:val="auto"/>
                <w:szCs w:val="21"/>
                <w:highlight w:val="none"/>
              </w:rPr>
            </w:pPr>
          </w:p>
        </w:tc>
        <w:tc>
          <w:tcPr>
            <w:tcW w:w="3262" w:type="dxa"/>
            <w:noWrap w:val="0"/>
            <w:vAlign w:val="center"/>
          </w:tcPr>
          <w:p w14:paraId="7AD7BECB">
            <w:pPr>
              <w:spacing w:line="440" w:lineRule="exact"/>
              <w:rPr>
                <w:rFonts w:ascii="宋体" w:hAnsi="宋体" w:cs="宋体"/>
                <w:color w:val="auto"/>
                <w:szCs w:val="21"/>
                <w:highlight w:val="none"/>
              </w:rPr>
            </w:pPr>
            <w:r>
              <w:rPr>
                <w:rFonts w:hint="eastAsia" w:ascii="宋体" w:hAnsi="宋体" w:cs="宋体"/>
                <w:color w:val="auto"/>
                <w:szCs w:val="21"/>
                <w:highlight w:val="none"/>
              </w:rPr>
              <w:t>扣5分</w:t>
            </w:r>
          </w:p>
        </w:tc>
        <w:tc>
          <w:tcPr>
            <w:tcW w:w="1039" w:type="dxa"/>
            <w:vMerge w:val="continue"/>
            <w:noWrap w:val="0"/>
            <w:vAlign w:val="center"/>
          </w:tcPr>
          <w:p w14:paraId="2BD398DC">
            <w:pPr>
              <w:spacing w:line="440" w:lineRule="exact"/>
              <w:rPr>
                <w:rFonts w:ascii="宋体" w:hAnsi="宋体" w:cs="宋体"/>
                <w:color w:val="auto"/>
                <w:szCs w:val="21"/>
                <w:highlight w:val="none"/>
              </w:rPr>
            </w:pPr>
          </w:p>
        </w:tc>
      </w:tr>
      <w:tr w14:paraId="202B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6" w:type="dxa"/>
            <w:vMerge w:val="continue"/>
            <w:noWrap w:val="0"/>
            <w:vAlign w:val="center"/>
          </w:tcPr>
          <w:p w14:paraId="30EAD4CA">
            <w:pPr>
              <w:spacing w:line="440" w:lineRule="exact"/>
              <w:jc w:val="center"/>
              <w:rPr>
                <w:rFonts w:ascii="宋体" w:hAnsi="宋体" w:cs="宋体"/>
                <w:color w:val="auto"/>
                <w:szCs w:val="21"/>
                <w:highlight w:val="none"/>
              </w:rPr>
            </w:pPr>
          </w:p>
        </w:tc>
        <w:tc>
          <w:tcPr>
            <w:tcW w:w="283" w:type="dxa"/>
            <w:noWrap w:val="0"/>
            <w:vAlign w:val="center"/>
          </w:tcPr>
          <w:p w14:paraId="658F7A3B">
            <w:pPr>
              <w:spacing w:line="440" w:lineRule="exact"/>
              <w:rPr>
                <w:rFonts w:ascii="宋体" w:hAnsi="宋体" w:cs="宋体"/>
                <w:color w:val="auto"/>
                <w:szCs w:val="21"/>
                <w:highlight w:val="none"/>
              </w:rPr>
            </w:pPr>
            <w:r>
              <w:rPr>
                <w:rFonts w:hint="eastAsia" w:ascii="宋体" w:hAnsi="宋体" w:cs="宋体"/>
                <w:color w:val="auto"/>
                <w:szCs w:val="21"/>
                <w:highlight w:val="none"/>
              </w:rPr>
              <w:t>7</w:t>
            </w:r>
          </w:p>
        </w:tc>
        <w:tc>
          <w:tcPr>
            <w:tcW w:w="3659" w:type="dxa"/>
            <w:noWrap w:val="0"/>
            <w:vAlign w:val="center"/>
          </w:tcPr>
          <w:p w14:paraId="278F8D64">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监理未使用合理的监理措施，造成严重进度延误（12天以上）</w:t>
            </w:r>
          </w:p>
        </w:tc>
        <w:tc>
          <w:tcPr>
            <w:tcW w:w="866" w:type="dxa"/>
            <w:noWrap w:val="0"/>
            <w:vAlign w:val="center"/>
          </w:tcPr>
          <w:p w14:paraId="682E0F5D">
            <w:pPr>
              <w:spacing w:line="440" w:lineRule="exact"/>
              <w:rPr>
                <w:rFonts w:ascii="宋体" w:hAnsi="宋体" w:cs="宋体"/>
                <w:color w:val="auto"/>
                <w:szCs w:val="21"/>
                <w:highlight w:val="none"/>
              </w:rPr>
            </w:pPr>
          </w:p>
        </w:tc>
        <w:tc>
          <w:tcPr>
            <w:tcW w:w="3262" w:type="dxa"/>
            <w:noWrap w:val="0"/>
            <w:vAlign w:val="center"/>
          </w:tcPr>
          <w:p w14:paraId="3A4B5FC5">
            <w:pPr>
              <w:spacing w:line="440" w:lineRule="exact"/>
              <w:rPr>
                <w:rFonts w:ascii="宋体" w:hAnsi="宋体" w:cs="宋体"/>
                <w:color w:val="auto"/>
                <w:szCs w:val="21"/>
                <w:highlight w:val="none"/>
              </w:rPr>
            </w:pPr>
            <w:r>
              <w:rPr>
                <w:rFonts w:hint="eastAsia" w:ascii="宋体" w:hAnsi="宋体" w:cs="宋体"/>
                <w:color w:val="auto"/>
                <w:szCs w:val="21"/>
                <w:highlight w:val="none"/>
              </w:rPr>
              <w:t>扣7分</w:t>
            </w:r>
          </w:p>
        </w:tc>
        <w:tc>
          <w:tcPr>
            <w:tcW w:w="1039" w:type="dxa"/>
            <w:vMerge w:val="continue"/>
            <w:noWrap w:val="0"/>
            <w:vAlign w:val="center"/>
          </w:tcPr>
          <w:p w14:paraId="35646A8E">
            <w:pPr>
              <w:spacing w:line="440" w:lineRule="exact"/>
              <w:rPr>
                <w:rFonts w:ascii="宋体" w:hAnsi="宋体" w:cs="宋体"/>
                <w:color w:val="auto"/>
                <w:szCs w:val="21"/>
                <w:highlight w:val="none"/>
              </w:rPr>
            </w:pPr>
          </w:p>
        </w:tc>
      </w:tr>
      <w:tr w14:paraId="730E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6" w:type="dxa"/>
            <w:vMerge w:val="restart"/>
            <w:noWrap w:val="0"/>
            <w:vAlign w:val="center"/>
          </w:tcPr>
          <w:p w14:paraId="4FF20E90">
            <w:pPr>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投资控制（10分）</w:t>
            </w:r>
          </w:p>
        </w:tc>
        <w:tc>
          <w:tcPr>
            <w:tcW w:w="283" w:type="dxa"/>
            <w:noWrap w:val="0"/>
            <w:vAlign w:val="center"/>
          </w:tcPr>
          <w:p w14:paraId="61C4D118">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w:t>
            </w:r>
          </w:p>
        </w:tc>
        <w:tc>
          <w:tcPr>
            <w:tcW w:w="3659" w:type="dxa"/>
            <w:noWrap w:val="0"/>
            <w:vAlign w:val="center"/>
          </w:tcPr>
          <w:p w14:paraId="369ABD6A">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审查施工单位付款申请及时准确</w:t>
            </w:r>
          </w:p>
        </w:tc>
        <w:tc>
          <w:tcPr>
            <w:tcW w:w="866" w:type="dxa"/>
            <w:noWrap w:val="0"/>
            <w:vAlign w:val="center"/>
          </w:tcPr>
          <w:p w14:paraId="316CA0E8">
            <w:pPr>
              <w:spacing w:line="440" w:lineRule="exact"/>
              <w:rPr>
                <w:rFonts w:ascii="宋体" w:hAnsi="宋体" w:eastAsia="宋体" w:cs="宋体"/>
                <w:color w:val="auto"/>
                <w:kern w:val="2"/>
                <w:sz w:val="21"/>
                <w:szCs w:val="21"/>
                <w:highlight w:val="none"/>
                <w:lang w:val="en-US" w:eastAsia="zh-CN" w:bidi="ar-SA"/>
              </w:rPr>
            </w:pPr>
          </w:p>
        </w:tc>
        <w:tc>
          <w:tcPr>
            <w:tcW w:w="3262" w:type="dxa"/>
            <w:noWrap w:val="0"/>
            <w:vAlign w:val="center"/>
          </w:tcPr>
          <w:p w14:paraId="4A267E56">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超、漏、延误每项扣2分</w:t>
            </w:r>
          </w:p>
        </w:tc>
        <w:tc>
          <w:tcPr>
            <w:tcW w:w="1039" w:type="dxa"/>
            <w:vMerge w:val="continue"/>
            <w:noWrap w:val="0"/>
            <w:vAlign w:val="center"/>
          </w:tcPr>
          <w:p w14:paraId="223F5476">
            <w:pPr>
              <w:spacing w:line="440" w:lineRule="exact"/>
              <w:rPr>
                <w:rFonts w:ascii="宋体" w:hAnsi="宋体" w:cs="宋体"/>
                <w:color w:val="auto"/>
                <w:szCs w:val="21"/>
                <w:highlight w:val="none"/>
              </w:rPr>
            </w:pPr>
          </w:p>
        </w:tc>
      </w:tr>
      <w:tr w14:paraId="7325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6" w:type="dxa"/>
            <w:vMerge w:val="continue"/>
            <w:noWrap w:val="0"/>
            <w:vAlign w:val="center"/>
          </w:tcPr>
          <w:p w14:paraId="0A9C93AF">
            <w:pPr>
              <w:spacing w:line="440" w:lineRule="exact"/>
              <w:jc w:val="center"/>
              <w:rPr>
                <w:rFonts w:hint="default" w:ascii="宋体" w:hAnsi="宋体" w:cs="宋体"/>
                <w:color w:val="auto"/>
                <w:szCs w:val="21"/>
                <w:highlight w:val="none"/>
                <w:lang w:val="en-US"/>
              </w:rPr>
            </w:pPr>
          </w:p>
        </w:tc>
        <w:tc>
          <w:tcPr>
            <w:tcW w:w="283" w:type="dxa"/>
            <w:noWrap w:val="0"/>
            <w:vAlign w:val="center"/>
          </w:tcPr>
          <w:p w14:paraId="2EB861F8">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p>
        </w:tc>
        <w:tc>
          <w:tcPr>
            <w:tcW w:w="3659" w:type="dxa"/>
            <w:noWrap w:val="0"/>
            <w:vAlign w:val="center"/>
          </w:tcPr>
          <w:p w14:paraId="528D995A">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设计变更审核、技术核定及时，同时及时申报业主</w:t>
            </w:r>
          </w:p>
        </w:tc>
        <w:tc>
          <w:tcPr>
            <w:tcW w:w="866" w:type="dxa"/>
            <w:noWrap w:val="0"/>
            <w:vAlign w:val="center"/>
          </w:tcPr>
          <w:p w14:paraId="0E201CE6">
            <w:pPr>
              <w:spacing w:line="440" w:lineRule="exact"/>
              <w:rPr>
                <w:rFonts w:ascii="宋体" w:hAnsi="宋体" w:eastAsia="宋体" w:cs="宋体"/>
                <w:color w:val="auto"/>
                <w:kern w:val="2"/>
                <w:sz w:val="21"/>
                <w:szCs w:val="21"/>
                <w:highlight w:val="none"/>
                <w:lang w:val="en-US" w:eastAsia="zh-CN" w:bidi="ar-SA"/>
              </w:rPr>
            </w:pPr>
          </w:p>
        </w:tc>
        <w:tc>
          <w:tcPr>
            <w:tcW w:w="3262" w:type="dxa"/>
            <w:noWrap w:val="0"/>
            <w:vAlign w:val="center"/>
          </w:tcPr>
          <w:p w14:paraId="24AA76B7">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漏报一项扣3分，延误一项扣2分</w:t>
            </w:r>
          </w:p>
        </w:tc>
        <w:tc>
          <w:tcPr>
            <w:tcW w:w="1039" w:type="dxa"/>
            <w:noWrap w:val="0"/>
            <w:vAlign w:val="center"/>
          </w:tcPr>
          <w:p w14:paraId="41585331">
            <w:pPr>
              <w:spacing w:line="440" w:lineRule="exact"/>
              <w:rPr>
                <w:rFonts w:ascii="宋体" w:hAnsi="宋体" w:cs="宋体"/>
                <w:color w:val="auto"/>
                <w:szCs w:val="21"/>
                <w:highlight w:val="none"/>
              </w:rPr>
            </w:pPr>
          </w:p>
        </w:tc>
      </w:tr>
      <w:tr w14:paraId="7376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6" w:type="dxa"/>
            <w:vMerge w:val="restart"/>
            <w:noWrap w:val="0"/>
            <w:vAlign w:val="center"/>
          </w:tcPr>
          <w:p w14:paraId="4E1B0B80">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农民工工资管理</w:t>
            </w:r>
          </w:p>
          <w:p w14:paraId="5B4C3967">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283" w:type="dxa"/>
            <w:noWrap w:val="0"/>
            <w:vAlign w:val="center"/>
          </w:tcPr>
          <w:p w14:paraId="7329572E">
            <w:pPr>
              <w:spacing w:line="440" w:lineRule="exact"/>
              <w:rPr>
                <w:rFonts w:ascii="宋体" w:hAnsi="宋体" w:cs="宋体"/>
                <w:color w:val="auto"/>
                <w:szCs w:val="21"/>
                <w:highlight w:val="none"/>
              </w:rPr>
            </w:pPr>
            <w:r>
              <w:rPr>
                <w:rFonts w:hint="eastAsia" w:ascii="宋体" w:hAnsi="宋体" w:cs="宋体"/>
                <w:color w:val="auto"/>
                <w:szCs w:val="21"/>
                <w:highlight w:val="none"/>
              </w:rPr>
              <w:t>1</w:t>
            </w:r>
          </w:p>
        </w:tc>
        <w:tc>
          <w:tcPr>
            <w:tcW w:w="3659" w:type="dxa"/>
            <w:noWrap w:val="0"/>
            <w:vAlign w:val="center"/>
          </w:tcPr>
          <w:p w14:paraId="50324A97">
            <w:pPr>
              <w:keepNext w:val="0"/>
              <w:keepLines w:val="0"/>
              <w:widowControl/>
              <w:suppressLineNumbers w:val="0"/>
              <w:jc w:val="left"/>
              <w:rPr>
                <w:rFonts w:ascii="宋体" w:hAnsi="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对农民工实名制登记（含临时用工人员）及劳务用工合同签订情况进行定期（每月）检查</w:t>
            </w:r>
          </w:p>
        </w:tc>
        <w:tc>
          <w:tcPr>
            <w:tcW w:w="866" w:type="dxa"/>
            <w:noWrap w:val="0"/>
            <w:vAlign w:val="center"/>
          </w:tcPr>
          <w:p w14:paraId="1911EE24">
            <w:pPr>
              <w:spacing w:line="440" w:lineRule="exact"/>
              <w:rPr>
                <w:rFonts w:ascii="宋体" w:hAnsi="宋体" w:cs="宋体"/>
                <w:color w:val="auto"/>
                <w:szCs w:val="21"/>
                <w:highlight w:val="none"/>
              </w:rPr>
            </w:pPr>
          </w:p>
        </w:tc>
        <w:tc>
          <w:tcPr>
            <w:tcW w:w="3262" w:type="dxa"/>
            <w:noWrap w:val="0"/>
            <w:vAlign w:val="center"/>
          </w:tcPr>
          <w:p w14:paraId="775A400D">
            <w:pPr>
              <w:spacing w:line="440" w:lineRule="exact"/>
              <w:rPr>
                <w:rFonts w:ascii="宋体" w:hAnsi="宋体" w:cs="宋体"/>
                <w:color w:val="auto"/>
                <w:szCs w:val="21"/>
                <w:highlight w:val="none"/>
              </w:rPr>
            </w:pPr>
            <w:r>
              <w:rPr>
                <w:rFonts w:hint="eastAsia" w:ascii="宋体" w:hAnsi="宋体" w:cs="宋体"/>
                <w:color w:val="auto"/>
                <w:szCs w:val="21"/>
                <w:highlight w:val="none"/>
              </w:rPr>
              <w:t>扣5分</w:t>
            </w:r>
          </w:p>
        </w:tc>
        <w:tc>
          <w:tcPr>
            <w:tcW w:w="1039" w:type="dxa"/>
            <w:vMerge w:val="restart"/>
            <w:noWrap w:val="0"/>
            <w:vAlign w:val="center"/>
          </w:tcPr>
          <w:p w14:paraId="602F6CB4">
            <w:pPr>
              <w:spacing w:line="440" w:lineRule="exact"/>
              <w:rPr>
                <w:rFonts w:ascii="宋体" w:hAnsi="宋体" w:cs="宋体"/>
                <w:color w:val="auto"/>
                <w:szCs w:val="21"/>
                <w:highlight w:val="none"/>
              </w:rPr>
            </w:pPr>
          </w:p>
        </w:tc>
      </w:tr>
      <w:tr w14:paraId="20F1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6" w:type="dxa"/>
            <w:vMerge w:val="continue"/>
            <w:noWrap w:val="0"/>
            <w:vAlign w:val="center"/>
          </w:tcPr>
          <w:p w14:paraId="36FCD914">
            <w:pPr>
              <w:spacing w:line="440" w:lineRule="exact"/>
              <w:jc w:val="center"/>
              <w:rPr>
                <w:rFonts w:ascii="宋体" w:hAnsi="宋体" w:cs="宋体"/>
                <w:color w:val="auto"/>
                <w:szCs w:val="21"/>
                <w:highlight w:val="none"/>
              </w:rPr>
            </w:pPr>
          </w:p>
        </w:tc>
        <w:tc>
          <w:tcPr>
            <w:tcW w:w="283" w:type="dxa"/>
            <w:noWrap w:val="0"/>
            <w:vAlign w:val="center"/>
          </w:tcPr>
          <w:p w14:paraId="0320EC12">
            <w:pPr>
              <w:spacing w:line="440" w:lineRule="exact"/>
              <w:rPr>
                <w:rFonts w:ascii="宋体" w:hAnsi="宋体" w:cs="宋体"/>
                <w:color w:val="auto"/>
                <w:szCs w:val="21"/>
                <w:highlight w:val="none"/>
              </w:rPr>
            </w:pPr>
            <w:r>
              <w:rPr>
                <w:rFonts w:hint="eastAsia" w:ascii="宋体" w:hAnsi="宋体" w:cs="宋体"/>
                <w:color w:val="auto"/>
                <w:szCs w:val="21"/>
                <w:highlight w:val="none"/>
              </w:rPr>
              <w:t>2</w:t>
            </w:r>
          </w:p>
        </w:tc>
        <w:tc>
          <w:tcPr>
            <w:tcW w:w="3659" w:type="dxa"/>
            <w:noWrap w:val="0"/>
            <w:vAlign w:val="center"/>
          </w:tcPr>
          <w:p w14:paraId="2FEAF5D5">
            <w:pPr>
              <w:keepNext w:val="0"/>
              <w:keepLines w:val="0"/>
              <w:widowControl/>
              <w:suppressLineNumbers w:val="0"/>
              <w:jc w:val="left"/>
              <w:rPr>
                <w:rFonts w:ascii="宋体" w:hAnsi="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每月对各班组工资发放到位情况进行检查</w:t>
            </w:r>
          </w:p>
        </w:tc>
        <w:tc>
          <w:tcPr>
            <w:tcW w:w="866" w:type="dxa"/>
            <w:noWrap w:val="0"/>
            <w:vAlign w:val="center"/>
          </w:tcPr>
          <w:p w14:paraId="09BE8171">
            <w:pPr>
              <w:spacing w:line="440" w:lineRule="exact"/>
              <w:rPr>
                <w:rFonts w:ascii="宋体" w:hAnsi="宋体" w:cs="宋体"/>
                <w:color w:val="auto"/>
                <w:szCs w:val="21"/>
                <w:highlight w:val="none"/>
              </w:rPr>
            </w:pPr>
          </w:p>
        </w:tc>
        <w:tc>
          <w:tcPr>
            <w:tcW w:w="3262" w:type="dxa"/>
            <w:noWrap w:val="0"/>
            <w:vAlign w:val="center"/>
          </w:tcPr>
          <w:p w14:paraId="46A1AAF0">
            <w:pPr>
              <w:spacing w:line="440" w:lineRule="exact"/>
              <w:rPr>
                <w:rFonts w:ascii="宋体" w:hAnsi="宋体" w:cs="宋体"/>
                <w:color w:val="auto"/>
                <w:szCs w:val="21"/>
                <w:highlight w:val="none"/>
              </w:rPr>
            </w:pPr>
            <w:r>
              <w:rPr>
                <w:rFonts w:hint="eastAsia" w:ascii="宋体" w:hAnsi="宋体" w:cs="宋体"/>
                <w:color w:val="auto"/>
                <w:szCs w:val="21"/>
                <w:highlight w:val="none"/>
              </w:rPr>
              <w:t>扣5分</w:t>
            </w:r>
          </w:p>
        </w:tc>
        <w:tc>
          <w:tcPr>
            <w:tcW w:w="1039" w:type="dxa"/>
            <w:vMerge w:val="continue"/>
            <w:noWrap w:val="0"/>
            <w:vAlign w:val="center"/>
          </w:tcPr>
          <w:p w14:paraId="73CB568C">
            <w:pPr>
              <w:spacing w:line="440" w:lineRule="exact"/>
              <w:rPr>
                <w:rFonts w:ascii="宋体" w:hAnsi="宋体" w:cs="宋体"/>
                <w:color w:val="auto"/>
                <w:szCs w:val="21"/>
                <w:highlight w:val="none"/>
              </w:rPr>
            </w:pPr>
          </w:p>
        </w:tc>
      </w:tr>
      <w:tr w14:paraId="520B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6" w:type="dxa"/>
            <w:vMerge w:val="continue"/>
            <w:noWrap w:val="0"/>
            <w:vAlign w:val="center"/>
          </w:tcPr>
          <w:p w14:paraId="34A37F4B">
            <w:pPr>
              <w:spacing w:line="440" w:lineRule="exact"/>
              <w:jc w:val="center"/>
              <w:rPr>
                <w:rFonts w:ascii="宋体" w:hAnsi="宋体" w:cs="宋体"/>
                <w:color w:val="auto"/>
                <w:szCs w:val="21"/>
                <w:highlight w:val="none"/>
              </w:rPr>
            </w:pPr>
          </w:p>
        </w:tc>
        <w:tc>
          <w:tcPr>
            <w:tcW w:w="283" w:type="dxa"/>
            <w:noWrap w:val="0"/>
            <w:vAlign w:val="center"/>
          </w:tcPr>
          <w:p w14:paraId="30F69891">
            <w:pPr>
              <w:spacing w:line="44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3659" w:type="dxa"/>
            <w:noWrap w:val="0"/>
            <w:vAlign w:val="center"/>
          </w:tcPr>
          <w:p w14:paraId="3AC0DA3E">
            <w:pPr>
              <w:keepNext w:val="0"/>
              <w:keepLines w:val="0"/>
              <w:widowControl/>
              <w:suppressLineNumbers w:val="0"/>
              <w:jc w:val="left"/>
              <w:rPr>
                <w:rFonts w:ascii="宋体" w:hAnsi="宋体" w:cs="宋体"/>
                <w:color w:val="auto"/>
                <w:sz w:val="21"/>
                <w:szCs w:val="21"/>
                <w:highlight w:val="none"/>
              </w:rPr>
            </w:pPr>
            <w:r>
              <w:rPr>
                <w:rFonts w:hint="eastAsia" w:ascii="宋体" w:hAnsi="宋体" w:eastAsia="宋体" w:cs="宋体"/>
                <w:color w:val="auto"/>
                <w:kern w:val="0"/>
                <w:sz w:val="20"/>
                <w:szCs w:val="20"/>
                <w:highlight w:val="none"/>
                <w:lang w:val="en-US" w:eastAsia="zh-CN" w:bidi="ar"/>
              </w:rPr>
              <w:t>否对各班组考勤记录及每月工资表编制情况进行检查</w:t>
            </w:r>
          </w:p>
        </w:tc>
        <w:tc>
          <w:tcPr>
            <w:tcW w:w="866" w:type="dxa"/>
            <w:noWrap w:val="0"/>
            <w:vAlign w:val="center"/>
          </w:tcPr>
          <w:p w14:paraId="2C1381DF">
            <w:pPr>
              <w:spacing w:line="440" w:lineRule="exact"/>
              <w:rPr>
                <w:rFonts w:ascii="宋体" w:hAnsi="宋体" w:cs="宋体"/>
                <w:color w:val="auto"/>
                <w:szCs w:val="21"/>
                <w:highlight w:val="none"/>
              </w:rPr>
            </w:pPr>
          </w:p>
        </w:tc>
        <w:tc>
          <w:tcPr>
            <w:tcW w:w="3262" w:type="dxa"/>
            <w:noWrap w:val="0"/>
            <w:vAlign w:val="center"/>
          </w:tcPr>
          <w:p w14:paraId="4592EE1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扣5分</w:t>
            </w:r>
          </w:p>
        </w:tc>
        <w:tc>
          <w:tcPr>
            <w:tcW w:w="1039" w:type="dxa"/>
            <w:vMerge w:val="continue"/>
            <w:noWrap w:val="0"/>
            <w:vAlign w:val="center"/>
          </w:tcPr>
          <w:p w14:paraId="22F0A027">
            <w:pPr>
              <w:spacing w:line="440" w:lineRule="exact"/>
              <w:rPr>
                <w:rFonts w:ascii="宋体" w:hAnsi="宋体" w:cs="宋体"/>
                <w:color w:val="auto"/>
                <w:szCs w:val="21"/>
                <w:highlight w:val="none"/>
              </w:rPr>
            </w:pPr>
          </w:p>
        </w:tc>
      </w:tr>
      <w:tr w14:paraId="1B5F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6" w:type="dxa"/>
            <w:vMerge w:val="restart"/>
            <w:noWrap w:val="0"/>
            <w:vAlign w:val="center"/>
          </w:tcPr>
          <w:p w14:paraId="755D4B91">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安全管理（20分）</w:t>
            </w:r>
          </w:p>
        </w:tc>
        <w:tc>
          <w:tcPr>
            <w:tcW w:w="283" w:type="dxa"/>
            <w:noWrap w:val="0"/>
            <w:vAlign w:val="center"/>
          </w:tcPr>
          <w:p w14:paraId="578B7C30">
            <w:pPr>
              <w:spacing w:line="440" w:lineRule="exact"/>
              <w:rPr>
                <w:rFonts w:ascii="宋体" w:hAnsi="宋体" w:cs="宋体"/>
                <w:color w:val="auto"/>
                <w:szCs w:val="21"/>
                <w:highlight w:val="none"/>
              </w:rPr>
            </w:pPr>
            <w:r>
              <w:rPr>
                <w:rFonts w:hint="eastAsia" w:ascii="宋体" w:hAnsi="宋体" w:cs="宋体"/>
                <w:color w:val="auto"/>
                <w:szCs w:val="21"/>
                <w:highlight w:val="none"/>
              </w:rPr>
              <w:t>1</w:t>
            </w:r>
          </w:p>
        </w:tc>
        <w:tc>
          <w:tcPr>
            <w:tcW w:w="3659" w:type="dxa"/>
            <w:noWrap w:val="0"/>
            <w:vAlign w:val="center"/>
          </w:tcPr>
          <w:p w14:paraId="6A44AE69">
            <w:pPr>
              <w:spacing w:line="440" w:lineRule="exact"/>
              <w:rPr>
                <w:rFonts w:ascii="宋体" w:hAnsi="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项目监理部应每月组织至少四次现场安全文明生产的检查</w:t>
            </w:r>
          </w:p>
        </w:tc>
        <w:tc>
          <w:tcPr>
            <w:tcW w:w="866" w:type="dxa"/>
            <w:noWrap w:val="0"/>
            <w:vAlign w:val="center"/>
          </w:tcPr>
          <w:p w14:paraId="1C92D4E2">
            <w:pPr>
              <w:spacing w:line="440" w:lineRule="exact"/>
              <w:rPr>
                <w:rFonts w:ascii="宋体" w:hAnsi="宋体" w:cs="宋体"/>
                <w:color w:val="auto"/>
                <w:szCs w:val="21"/>
                <w:highlight w:val="none"/>
              </w:rPr>
            </w:pPr>
          </w:p>
        </w:tc>
        <w:tc>
          <w:tcPr>
            <w:tcW w:w="3262" w:type="dxa"/>
            <w:noWrap w:val="0"/>
            <w:vAlign w:val="center"/>
          </w:tcPr>
          <w:p w14:paraId="2F728FCE">
            <w:pPr>
              <w:spacing w:line="4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发现未</w:t>
            </w:r>
            <w:r>
              <w:rPr>
                <w:rFonts w:hint="eastAsia" w:ascii="宋体" w:hAnsi="宋体" w:cs="宋体"/>
                <w:color w:val="auto"/>
                <w:szCs w:val="21"/>
                <w:highlight w:val="none"/>
                <w:lang w:val="en-US" w:eastAsia="zh-CN"/>
              </w:rPr>
              <w:t>组织</w:t>
            </w:r>
            <w:r>
              <w:rPr>
                <w:rFonts w:hint="eastAsia" w:ascii="宋体" w:hAnsi="宋体" w:cs="宋体"/>
                <w:color w:val="auto"/>
                <w:szCs w:val="21"/>
                <w:highlight w:val="none"/>
              </w:rPr>
              <w:t>扣2分</w:t>
            </w:r>
            <w:r>
              <w:rPr>
                <w:rFonts w:hint="eastAsia" w:ascii="宋体" w:hAnsi="宋体" w:cs="宋体"/>
                <w:color w:val="auto"/>
                <w:szCs w:val="21"/>
                <w:highlight w:val="none"/>
                <w:lang w:val="en-US" w:eastAsia="zh-CN"/>
              </w:rPr>
              <w:t>/次</w:t>
            </w:r>
          </w:p>
        </w:tc>
        <w:tc>
          <w:tcPr>
            <w:tcW w:w="1039" w:type="dxa"/>
            <w:vMerge w:val="restart"/>
            <w:noWrap w:val="0"/>
            <w:vAlign w:val="center"/>
          </w:tcPr>
          <w:p w14:paraId="55758D96">
            <w:pPr>
              <w:spacing w:line="440" w:lineRule="exact"/>
              <w:rPr>
                <w:rFonts w:ascii="宋体" w:hAnsi="宋体" w:cs="宋体"/>
                <w:color w:val="auto"/>
                <w:szCs w:val="21"/>
                <w:highlight w:val="none"/>
              </w:rPr>
            </w:pPr>
          </w:p>
        </w:tc>
      </w:tr>
      <w:tr w14:paraId="4070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6" w:type="dxa"/>
            <w:vMerge w:val="continue"/>
            <w:noWrap w:val="0"/>
            <w:vAlign w:val="center"/>
          </w:tcPr>
          <w:p w14:paraId="1EA426DD">
            <w:pPr>
              <w:spacing w:line="440" w:lineRule="exact"/>
              <w:jc w:val="center"/>
              <w:rPr>
                <w:rFonts w:ascii="宋体" w:hAnsi="宋体" w:cs="宋体"/>
                <w:color w:val="auto"/>
                <w:szCs w:val="21"/>
                <w:highlight w:val="none"/>
              </w:rPr>
            </w:pPr>
          </w:p>
        </w:tc>
        <w:tc>
          <w:tcPr>
            <w:tcW w:w="283" w:type="dxa"/>
            <w:noWrap w:val="0"/>
            <w:vAlign w:val="center"/>
          </w:tcPr>
          <w:p w14:paraId="70F74034">
            <w:pPr>
              <w:spacing w:line="440" w:lineRule="exact"/>
              <w:rPr>
                <w:rFonts w:ascii="宋体" w:hAnsi="宋体" w:cs="宋体"/>
                <w:color w:val="auto"/>
                <w:szCs w:val="21"/>
                <w:highlight w:val="none"/>
              </w:rPr>
            </w:pPr>
            <w:r>
              <w:rPr>
                <w:rFonts w:hint="eastAsia" w:ascii="宋体" w:hAnsi="宋体" w:cs="宋体"/>
                <w:color w:val="auto"/>
                <w:szCs w:val="21"/>
                <w:highlight w:val="none"/>
              </w:rPr>
              <w:t>2</w:t>
            </w:r>
          </w:p>
        </w:tc>
        <w:tc>
          <w:tcPr>
            <w:tcW w:w="3659" w:type="dxa"/>
            <w:noWrap w:val="0"/>
            <w:vAlign w:val="center"/>
          </w:tcPr>
          <w:p w14:paraId="78A3090B">
            <w:pPr>
              <w:keepNext w:val="0"/>
              <w:keepLines w:val="0"/>
              <w:widowControl/>
              <w:suppressLineNumbers w:val="0"/>
              <w:jc w:val="left"/>
              <w:rPr>
                <w:rFonts w:ascii="宋体" w:hAnsi="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监理项目部发现施工单位未建立安全生产制度，未落实安全生产的组织保证体系， 未向施工单位发出整改通知单</w:t>
            </w:r>
          </w:p>
        </w:tc>
        <w:tc>
          <w:tcPr>
            <w:tcW w:w="866" w:type="dxa"/>
            <w:noWrap w:val="0"/>
            <w:vAlign w:val="center"/>
          </w:tcPr>
          <w:p w14:paraId="561C4153">
            <w:pPr>
              <w:spacing w:line="440" w:lineRule="exact"/>
              <w:rPr>
                <w:rFonts w:ascii="宋体" w:hAnsi="宋体" w:cs="宋体"/>
                <w:color w:val="auto"/>
                <w:szCs w:val="21"/>
                <w:highlight w:val="none"/>
              </w:rPr>
            </w:pPr>
          </w:p>
        </w:tc>
        <w:tc>
          <w:tcPr>
            <w:tcW w:w="3262" w:type="dxa"/>
            <w:noWrap w:val="0"/>
            <w:vAlign w:val="center"/>
          </w:tcPr>
          <w:p w14:paraId="58BD23F4">
            <w:pPr>
              <w:spacing w:line="4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发现未处理扣3分</w:t>
            </w:r>
            <w:r>
              <w:rPr>
                <w:rFonts w:hint="eastAsia" w:ascii="宋体" w:hAnsi="宋体" w:cs="宋体"/>
                <w:color w:val="auto"/>
                <w:szCs w:val="21"/>
                <w:highlight w:val="none"/>
                <w:lang w:val="en-US" w:eastAsia="zh-CN"/>
              </w:rPr>
              <w:t>/次</w:t>
            </w:r>
          </w:p>
        </w:tc>
        <w:tc>
          <w:tcPr>
            <w:tcW w:w="1039" w:type="dxa"/>
            <w:vMerge w:val="continue"/>
            <w:noWrap w:val="0"/>
            <w:vAlign w:val="center"/>
          </w:tcPr>
          <w:p w14:paraId="42196BC0">
            <w:pPr>
              <w:spacing w:line="440" w:lineRule="exact"/>
              <w:rPr>
                <w:rFonts w:ascii="宋体" w:hAnsi="宋体" w:cs="宋体"/>
                <w:color w:val="auto"/>
                <w:szCs w:val="21"/>
                <w:highlight w:val="none"/>
              </w:rPr>
            </w:pPr>
          </w:p>
        </w:tc>
      </w:tr>
      <w:tr w14:paraId="6B5E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6" w:type="dxa"/>
            <w:vMerge w:val="continue"/>
            <w:noWrap w:val="0"/>
            <w:vAlign w:val="center"/>
          </w:tcPr>
          <w:p w14:paraId="70053847">
            <w:pPr>
              <w:spacing w:line="440" w:lineRule="exact"/>
              <w:jc w:val="center"/>
              <w:rPr>
                <w:rFonts w:ascii="宋体" w:hAnsi="宋体" w:cs="宋体"/>
                <w:color w:val="auto"/>
                <w:szCs w:val="21"/>
                <w:highlight w:val="none"/>
              </w:rPr>
            </w:pPr>
          </w:p>
        </w:tc>
        <w:tc>
          <w:tcPr>
            <w:tcW w:w="283" w:type="dxa"/>
            <w:noWrap w:val="0"/>
            <w:vAlign w:val="center"/>
          </w:tcPr>
          <w:p w14:paraId="0D2B1A7D">
            <w:pPr>
              <w:spacing w:line="440" w:lineRule="exact"/>
              <w:rPr>
                <w:rFonts w:ascii="宋体" w:hAnsi="宋体" w:cs="宋体"/>
                <w:color w:val="auto"/>
                <w:szCs w:val="21"/>
                <w:highlight w:val="none"/>
              </w:rPr>
            </w:pPr>
            <w:r>
              <w:rPr>
                <w:rFonts w:hint="eastAsia" w:ascii="宋体" w:hAnsi="宋体" w:cs="宋体"/>
                <w:color w:val="auto"/>
                <w:szCs w:val="21"/>
                <w:highlight w:val="none"/>
              </w:rPr>
              <w:t>3</w:t>
            </w:r>
          </w:p>
        </w:tc>
        <w:tc>
          <w:tcPr>
            <w:tcW w:w="3659" w:type="dxa"/>
            <w:noWrap w:val="0"/>
            <w:vAlign w:val="center"/>
          </w:tcPr>
          <w:p w14:paraId="340182A7">
            <w:pPr>
              <w:spacing w:line="440" w:lineRule="exact"/>
              <w:rPr>
                <w:rFonts w:ascii="宋体" w:hAnsi="宋体" w:cs="宋体"/>
                <w:color w:val="auto"/>
                <w:szCs w:val="21"/>
                <w:highlight w:val="none"/>
              </w:rPr>
            </w:pPr>
            <w:r>
              <w:rPr>
                <w:rFonts w:hint="eastAsia" w:ascii="宋体" w:hAnsi="宋体" w:cs="宋体"/>
                <w:color w:val="auto"/>
                <w:szCs w:val="21"/>
                <w:highlight w:val="none"/>
              </w:rPr>
              <w:t>事后发现问题并妥善处理</w:t>
            </w:r>
          </w:p>
        </w:tc>
        <w:tc>
          <w:tcPr>
            <w:tcW w:w="866" w:type="dxa"/>
            <w:noWrap w:val="0"/>
            <w:vAlign w:val="center"/>
          </w:tcPr>
          <w:p w14:paraId="79EB1555">
            <w:pPr>
              <w:spacing w:line="440" w:lineRule="exact"/>
              <w:rPr>
                <w:rFonts w:ascii="宋体" w:hAnsi="宋体" w:cs="宋体"/>
                <w:color w:val="auto"/>
                <w:szCs w:val="21"/>
                <w:highlight w:val="none"/>
              </w:rPr>
            </w:pPr>
          </w:p>
        </w:tc>
        <w:tc>
          <w:tcPr>
            <w:tcW w:w="3262" w:type="dxa"/>
            <w:noWrap w:val="0"/>
            <w:vAlign w:val="center"/>
          </w:tcPr>
          <w:p w14:paraId="59DA77E8">
            <w:pPr>
              <w:spacing w:line="440" w:lineRule="exact"/>
              <w:rPr>
                <w:rFonts w:ascii="宋体" w:hAnsi="宋体" w:cs="宋体"/>
                <w:color w:val="auto"/>
                <w:szCs w:val="21"/>
                <w:highlight w:val="none"/>
              </w:rPr>
            </w:pPr>
            <w:r>
              <w:rPr>
                <w:rFonts w:hint="eastAsia" w:ascii="宋体" w:hAnsi="宋体" w:cs="宋体"/>
                <w:color w:val="auto"/>
                <w:szCs w:val="21"/>
                <w:highlight w:val="none"/>
              </w:rPr>
              <w:t>发现未处理扣5分</w:t>
            </w:r>
          </w:p>
        </w:tc>
        <w:tc>
          <w:tcPr>
            <w:tcW w:w="1039" w:type="dxa"/>
            <w:vMerge w:val="continue"/>
            <w:noWrap w:val="0"/>
            <w:vAlign w:val="center"/>
          </w:tcPr>
          <w:p w14:paraId="583875FE">
            <w:pPr>
              <w:spacing w:line="440" w:lineRule="exact"/>
              <w:rPr>
                <w:rFonts w:ascii="宋体" w:hAnsi="宋体" w:cs="宋体"/>
                <w:color w:val="auto"/>
                <w:szCs w:val="21"/>
                <w:highlight w:val="none"/>
              </w:rPr>
            </w:pPr>
          </w:p>
        </w:tc>
      </w:tr>
      <w:tr w14:paraId="0DFF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6" w:type="dxa"/>
            <w:vMerge w:val="continue"/>
            <w:noWrap w:val="0"/>
            <w:vAlign w:val="center"/>
          </w:tcPr>
          <w:p w14:paraId="0F64155C">
            <w:pPr>
              <w:spacing w:line="440" w:lineRule="exact"/>
              <w:jc w:val="center"/>
              <w:rPr>
                <w:rFonts w:ascii="宋体" w:hAnsi="宋体" w:cs="宋体"/>
                <w:color w:val="auto"/>
                <w:szCs w:val="21"/>
                <w:highlight w:val="none"/>
              </w:rPr>
            </w:pPr>
          </w:p>
        </w:tc>
        <w:tc>
          <w:tcPr>
            <w:tcW w:w="283" w:type="dxa"/>
            <w:noWrap w:val="0"/>
            <w:vAlign w:val="center"/>
          </w:tcPr>
          <w:p w14:paraId="45F0EB30">
            <w:pPr>
              <w:spacing w:line="440" w:lineRule="exact"/>
              <w:rPr>
                <w:rFonts w:ascii="宋体" w:hAnsi="宋体" w:cs="宋体"/>
                <w:color w:val="auto"/>
                <w:szCs w:val="21"/>
                <w:highlight w:val="none"/>
              </w:rPr>
            </w:pPr>
            <w:r>
              <w:rPr>
                <w:rFonts w:hint="eastAsia" w:ascii="宋体" w:hAnsi="宋体" w:cs="宋体"/>
                <w:color w:val="auto"/>
                <w:szCs w:val="21"/>
                <w:highlight w:val="none"/>
              </w:rPr>
              <w:t>4</w:t>
            </w:r>
          </w:p>
        </w:tc>
        <w:tc>
          <w:tcPr>
            <w:tcW w:w="3659" w:type="dxa"/>
            <w:noWrap w:val="0"/>
            <w:vAlign w:val="center"/>
          </w:tcPr>
          <w:p w14:paraId="14681720">
            <w:pPr>
              <w:spacing w:line="440" w:lineRule="exact"/>
              <w:rPr>
                <w:rFonts w:ascii="宋体" w:hAnsi="宋体" w:cs="宋体"/>
                <w:color w:val="auto"/>
                <w:szCs w:val="21"/>
                <w:highlight w:val="none"/>
              </w:rPr>
            </w:pPr>
            <w:r>
              <w:rPr>
                <w:rFonts w:hint="eastAsia" w:ascii="宋体" w:hAnsi="宋体" w:cs="宋体"/>
                <w:color w:val="auto"/>
                <w:szCs w:val="21"/>
                <w:highlight w:val="none"/>
              </w:rPr>
              <w:t>未发现问题，造成一般事故</w:t>
            </w:r>
          </w:p>
        </w:tc>
        <w:tc>
          <w:tcPr>
            <w:tcW w:w="866" w:type="dxa"/>
            <w:noWrap w:val="0"/>
            <w:vAlign w:val="center"/>
          </w:tcPr>
          <w:p w14:paraId="59217D1B">
            <w:pPr>
              <w:spacing w:line="440" w:lineRule="exact"/>
              <w:rPr>
                <w:rFonts w:ascii="宋体" w:hAnsi="宋体" w:cs="宋体"/>
                <w:color w:val="auto"/>
                <w:szCs w:val="21"/>
                <w:highlight w:val="none"/>
              </w:rPr>
            </w:pPr>
          </w:p>
        </w:tc>
        <w:tc>
          <w:tcPr>
            <w:tcW w:w="3262" w:type="dxa"/>
            <w:noWrap w:val="0"/>
            <w:vAlign w:val="center"/>
          </w:tcPr>
          <w:p w14:paraId="584D4A7C">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扣</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0.0分</w:t>
            </w:r>
          </w:p>
        </w:tc>
        <w:tc>
          <w:tcPr>
            <w:tcW w:w="1039" w:type="dxa"/>
            <w:vMerge w:val="continue"/>
            <w:noWrap w:val="0"/>
            <w:vAlign w:val="center"/>
          </w:tcPr>
          <w:p w14:paraId="16295503">
            <w:pPr>
              <w:spacing w:line="440" w:lineRule="exact"/>
              <w:rPr>
                <w:rFonts w:ascii="宋体" w:hAnsi="宋体" w:cs="宋体"/>
                <w:color w:val="auto"/>
                <w:szCs w:val="21"/>
                <w:highlight w:val="none"/>
              </w:rPr>
            </w:pPr>
          </w:p>
        </w:tc>
      </w:tr>
      <w:tr w14:paraId="1B22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6" w:type="dxa"/>
            <w:vMerge w:val="continue"/>
            <w:noWrap w:val="0"/>
            <w:vAlign w:val="center"/>
          </w:tcPr>
          <w:p w14:paraId="51F425A9">
            <w:pPr>
              <w:spacing w:line="440" w:lineRule="exact"/>
              <w:jc w:val="center"/>
              <w:rPr>
                <w:rFonts w:ascii="宋体" w:hAnsi="宋体" w:cs="宋体"/>
                <w:color w:val="auto"/>
                <w:szCs w:val="21"/>
                <w:highlight w:val="none"/>
              </w:rPr>
            </w:pPr>
          </w:p>
        </w:tc>
        <w:tc>
          <w:tcPr>
            <w:tcW w:w="283" w:type="dxa"/>
            <w:noWrap w:val="0"/>
            <w:vAlign w:val="center"/>
          </w:tcPr>
          <w:p w14:paraId="686832B8">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5</w:t>
            </w:r>
          </w:p>
        </w:tc>
        <w:tc>
          <w:tcPr>
            <w:tcW w:w="3659" w:type="dxa"/>
            <w:noWrap w:val="0"/>
            <w:vAlign w:val="center"/>
          </w:tcPr>
          <w:p w14:paraId="799E0715">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未发现问题，造成严重事故</w:t>
            </w:r>
          </w:p>
        </w:tc>
        <w:tc>
          <w:tcPr>
            <w:tcW w:w="866" w:type="dxa"/>
            <w:noWrap w:val="0"/>
            <w:vAlign w:val="center"/>
          </w:tcPr>
          <w:p w14:paraId="7618ADAF">
            <w:pPr>
              <w:spacing w:line="440" w:lineRule="exact"/>
              <w:rPr>
                <w:rFonts w:ascii="宋体" w:hAnsi="宋体" w:cs="宋体"/>
                <w:color w:val="auto"/>
                <w:szCs w:val="21"/>
                <w:highlight w:val="none"/>
              </w:rPr>
            </w:pPr>
          </w:p>
        </w:tc>
        <w:tc>
          <w:tcPr>
            <w:tcW w:w="3262" w:type="dxa"/>
            <w:noWrap w:val="0"/>
            <w:vAlign w:val="center"/>
          </w:tcPr>
          <w:p w14:paraId="586CA08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扣</w:t>
            </w:r>
            <w:r>
              <w:rPr>
                <w:rFonts w:hint="eastAsia" w:ascii="宋体" w:hAnsi="宋体" w:cs="宋体"/>
                <w:color w:val="auto"/>
                <w:szCs w:val="21"/>
                <w:highlight w:val="none"/>
                <w:lang w:val="en-US" w:eastAsia="zh-CN"/>
              </w:rPr>
              <w:t>100.0</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并追究相关责任</w:t>
            </w:r>
          </w:p>
        </w:tc>
        <w:tc>
          <w:tcPr>
            <w:tcW w:w="1039" w:type="dxa"/>
            <w:vMerge w:val="continue"/>
            <w:noWrap w:val="0"/>
            <w:vAlign w:val="center"/>
          </w:tcPr>
          <w:p w14:paraId="32255FBC">
            <w:pPr>
              <w:spacing w:line="440" w:lineRule="exact"/>
              <w:rPr>
                <w:rFonts w:ascii="宋体" w:hAnsi="宋体" w:cs="宋体"/>
                <w:color w:val="auto"/>
                <w:szCs w:val="21"/>
                <w:highlight w:val="none"/>
              </w:rPr>
            </w:pPr>
          </w:p>
        </w:tc>
      </w:tr>
      <w:tr w14:paraId="26EC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136" w:type="dxa"/>
            <w:vMerge w:val="restart"/>
            <w:noWrap w:val="0"/>
            <w:vAlign w:val="center"/>
          </w:tcPr>
          <w:p w14:paraId="27DCD246">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合同信息  管理</w:t>
            </w:r>
          </w:p>
          <w:p w14:paraId="7FD74BA3">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（10分）</w:t>
            </w:r>
          </w:p>
        </w:tc>
        <w:tc>
          <w:tcPr>
            <w:tcW w:w="283" w:type="dxa"/>
            <w:noWrap w:val="0"/>
            <w:vAlign w:val="center"/>
          </w:tcPr>
          <w:p w14:paraId="6C9DE074">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3659" w:type="dxa"/>
            <w:noWrap w:val="0"/>
            <w:vAlign w:val="center"/>
          </w:tcPr>
          <w:p w14:paraId="3027FFB4">
            <w:pPr>
              <w:spacing w:line="440" w:lineRule="exact"/>
              <w:rPr>
                <w:rFonts w:ascii="宋体" w:hAnsi="宋体" w:cs="宋体"/>
                <w:color w:val="auto"/>
                <w:szCs w:val="21"/>
                <w:highlight w:val="none"/>
              </w:rPr>
            </w:pPr>
            <w:r>
              <w:rPr>
                <w:rFonts w:hint="eastAsia" w:ascii="宋体" w:hAnsi="宋体" w:cs="宋体"/>
                <w:color w:val="auto"/>
                <w:szCs w:val="21"/>
                <w:highlight w:val="none"/>
              </w:rPr>
              <w:t>周报、月报、工程例会纪要提交准确、及时</w:t>
            </w:r>
          </w:p>
        </w:tc>
        <w:tc>
          <w:tcPr>
            <w:tcW w:w="866" w:type="dxa"/>
            <w:noWrap w:val="0"/>
            <w:vAlign w:val="center"/>
          </w:tcPr>
          <w:p w14:paraId="6F32BE58">
            <w:pPr>
              <w:spacing w:line="440" w:lineRule="exact"/>
              <w:rPr>
                <w:rFonts w:ascii="宋体" w:hAnsi="宋体" w:cs="宋体"/>
                <w:color w:val="auto"/>
                <w:szCs w:val="21"/>
                <w:highlight w:val="none"/>
              </w:rPr>
            </w:pPr>
          </w:p>
        </w:tc>
        <w:tc>
          <w:tcPr>
            <w:tcW w:w="3262" w:type="dxa"/>
            <w:noWrap w:val="0"/>
            <w:vAlign w:val="center"/>
          </w:tcPr>
          <w:p w14:paraId="7BC5C4C3">
            <w:pPr>
              <w:spacing w:line="440" w:lineRule="exact"/>
              <w:rPr>
                <w:rFonts w:ascii="宋体" w:hAnsi="宋体" w:cs="宋体"/>
                <w:color w:val="auto"/>
                <w:szCs w:val="21"/>
                <w:highlight w:val="none"/>
              </w:rPr>
            </w:pPr>
            <w:r>
              <w:rPr>
                <w:rFonts w:hint="eastAsia" w:ascii="宋体" w:hAnsi="宋体" w:cs="宋体"/>
                <w:color w:val="auto"/>
                <w:szCs w:val="21"/>
                <w:highlight w:val="none"/>
              </w:rPr>
              <w:t>不准确、不及时每项扣3分</w:t>
            </w:r>
          </w:p>
        </w:tc>
        <w:tc>
          <w:tcPr>
            <w:tcW w:w="1039" w:type="dxa"/>
            <w:vMerge w:val="restart"/>
            <w:noWrap w:val="0"/>
            <w:vAlign w:val="center"/>
          </w:tcPr>
          <w:p w14:paraId="168EFA2B">
            <w:pPr>
              <w:spacing w:line="440" w:lineRule="exact"/>
              <w:rPr>
                <w:rFonts w:ascii="宋体" w:hAnsi="宋体" w:cs="宋体"/>
                <w:color w:val="auto"/>
                <w:szCs w:val="21"/>
                <w:highlight w:val="none"/>
              </w:rPr>
            </w:pPr>
          </w:p>
        </w:tc>
      </w:tr>
      <w:tr w14:paraId="2FC5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1136" w:type="dxa"/>
            <w:vMerge w:val="continue"/>
            <w:noWrap w:val="0"/>
            <w:vAlign w:val="center"/>
          </w:tcPr>
          <w:p w14:paraId="1B4B4437">
            <w:pPr>
              <w:spacing w:line="440" w:lineRule="exact"/>
              <w:jc w:val="center"/>
              <w:rPr>
                <w:rFonts w:ascii="宋体" w:hAnsi="宋体" w:cs="宋体"/>
                <w:color w:val="auto"/>
                <w:szCs w:val="21"/>
                <w:highlight w:val="none"/>
              </w:rPr>
            </w:pPr>
          </w:p>
        </w:tc>
        <w:tc>
          <w:tcPr>
            <w:tcW w:w="283" w:type="dxa"/>
            <w:noWrap w:val="0"/>
            <w:vAlign w:val="center"/>
          </w:tcPr>
          <w:p w14:paraId="6CA8E41F">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3659" w:type="dxa"/>
            <w:noWrap w:val="0"/>
            <w:vAlign w:val="center"/>
          </w:tcPr>
          <w:p w14:paraId="4A39A2AC">
            <w:pPr>
              <w:spacing w:line="440" w:lineRule="exact"/>
              <w:rPr>
                <w:rFonts w:ascii="宋体" w:hAnsi="宋体" w:cs="宋体"/>
                <w:color w:val="auto"/>
                <w:szCs w:val="21"/>
                <w:highlight w:val="none"/>
              </w:rPr>
            </w:pPr>
            <w:r>
              <w:rPr>
                <w:rFonts w:hint="eastAsia" w:ascii="宋体" w:hAnsi="宋体" w:cs="宋体"/>
                <w:color w:val="auto"/>
                <w:szCs w:val="21"/>
                <w:highlight w:val="none"/>
              </w:rPr>
              <w:t>对合同的理解准确到位严格执行</w:t>
            </w:r>
          </w:p>
        </w:tc>
        <w:tc>
          <w:tcPr>
            <w:tcW w:w="866" w:type="dxa"/>
            <w:noWrap w:val="0"/>
            <w:vAlign w:val="center"/>
          </w:tcPr>
          <w:p w14:paraId="00E1B248">
            <w:pPr>
              <w:spacing w:line="440" w:lineRule="exact"/>
              <w:rPr>
                <w:rFonts w:ascii="宋体" w:hAnsi="宋体" w:cs="宋体"/>
                <w:color w:val="auto"/>
                <w:szCs w:val="21"/>
                <w:highlight w:val="none"/>
              </w:rPr>
            </w:pPr>
          </w:p>
        </w:tc>
        <w:tc>
          <w:tcPr>
            <w:tcW w:w="3262" w:type="dxa"/>
            <w:noWrap w:val="0"/>
            <w:vAlign w:val="center"/>
          </w:tcPr>
          <w:p w14:paraId="7F45BF6F">
            <w:pPr>
              <w:spacing w:line="440" w:lineRule="exact"/>
              <w:rPr>
                <w:rFonts w:ascii="宋体" w:hAnsi="宋体" w:cs="宋体"/>
                <w:color w:val="auto"/>
                <w:szCs w:val="21"/>
                <w:highlight w:val="none"/>
              </w:rPr>
            </w:pPr>
            <w:r>
              <w:rPr>
                <w:rFonts w:hint="eastAsia" w:ascii="宋体" w:hAnsi="宋体" w:cs="宋体"/>
                <w:color w:val="auto"/>
                <w:szCs w:val="21"/>
                <w:highlight w:val="none"/>
              </w:rPr>
              <w:t>不到位，每次扣2分</w:t>
            </w:r>
          </w:p>
        </w:tc>
        <w:tc>
          <w:tcPr>
            <w:tcW w:w="1039" w:type="dxa"/>
            <w:vMerge w:val="continue"/>
            <w:noWrap w:val="0"/>
            <w:vAlign w:val="center"/>
          </w:tcPr>
          <w:p w14:paraId="6F5DA618">
            <w:pPr>
              <w:spacing w:line="440" w:lineRule="exact"/>
              <w:rPr>
                <w:rFonts w:ascii="宋体" w:hAnsi="宋体" w:cs="宋体"/>
                <w:color w:val="auto"/>
                <w:szCs w:val="21"/>
                <w:highlight w:val="none"/>
              </w:rPr>
            </w:pPr>
          </w:p>
        </w:tc>
      </w:tr>
      <w:tr w14:paraId="5EBF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6" w:type="dxa"/>
            <w:vMerge w:val="continue"/>
            <w:noWrap w:val="0"/>
            <w:vAlign w:val="center"/>
          </w:tcPr>
          <w:p w14:paraId="1DC6B145">
            <w:pPr>
              <w:spacing w:line="440" w:lineRule="exact"/>
              <w:jc w:val="center"/>
              <w:rPr>
                <w:rFonts w:ascii="宋体" w:hAnsi="宋体" w:cs="宋体"/>
                <w:color w:val="auto"/>
                <w:szCs w:val="21"/>
                <w:highlight w:val="none"/>
              </w:rPr>
            </w:pPr>
          </w:p>
        </w:tc>
        <w:tc>
          <w:tcPr>
            <w:tcW w:w="283" w:type="dxa"/>
            <w:noWrap w:val="0"/>
            <w:vAlign w:val="center"/>
          </w:tcPr>
          <w:p w14:paraId="459833D0">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3659" w:type="dxa"/>
            <w:noWrap w:val="0"/>
            <w:vAlign w:val="center"/>
          </w:tcPr>
          <w:p w14:paraId="44F495C8">
            <w:pPr>
              <w:spacing w:line="440" w:lineRule="exact"/>
              <w:rPr>
                <w:rFonts w:ascii="宋体" w:hAnsi="宋体" w:cs="宋体"/>
                <w:color w:val="auto"/>
                <w:szCs w:val="21"/>
                <w:highlight w:val="none"/>
              </w:rPr>
            </w:pPr>
            <w:r>
              <w:rPr>
                <w:rFonts w:hint="eastAsia" w:ascii="宋体" w:hAnsi="宋体" w:cs="宋体"/>
                <w:color w:val="auto"/>
                <w:szCs w:val="21"/>
                <w:highlight w:val="none"/>
              </w:rPr>
              <w:t>对监理的发文落实追踪及时到位</w:t>
            </w:r>
          </w:p>
        </w:tc>
        <w:tc>
          <w:tcPr>
            <w:tcW w:w="866" w:type="dxa"/>
            <w:noWrap w:val="0"/>
            <w:vAlign w:val="center"/>
          </w:tcPr>
          <w:p w14:paraId="340EB06E">
            <w:pPr>
              <w:spacing w:line="440" w:lineRule="exact"/>
              <w:rPr>
                <w:rFonts w:ascii="宋体" w:hAnsi="宋体" w:cs="宋体"/>
                <w:color w:val="auto"/>
                <w:szCs w:val="21"/>
                <w:highlight w:val="none"/>
              </w:rPr>
            </w:pPr>
          </w:p>
        </w:tc>
        <w:tc>
          <w:tcPr>
            <w:tcW w:w="3262" w:type="dxa"/>
            <w:noWrap w:val="0"/>
            <w:vAlign w:val="center"/>
          </w:tcPr>
          <w:p w14:paraId="245A3743">
            <w:pPr>
              <w:spacing w:line="440" w:lineRule="exact"/>
              <w:rPr>
                <w:rFonts w:ascii="宋体" w:hAnsi="宋体" w:cs="宋体"/>
                <w:color w:val="auto"/>
                <w:szCs w:val="21"/>
                <w:highlight w:val="none"/>
              </w:rPr>
            </w:pPr>
            <w:r>
              <w:rPr>
                <w:rFonts w:hint="eastAsia" w:ascii="宋体" w:hAnsi="宋体" w:cs="宋体"/>
                <w:color w:val="auto"/>
                <w:szCs w:val="21"/>
                <w:highlight w:val="none"/>
              </w:rPr>
              <w:t>不到位，每次扣2分</w:t>
            </w:r>
          </w:p>
        </w:tc>
        <w:tc>
          <w:tcPr>
            <w:tcW w:w="1039" w:type="dxa"/>
            <w:vMerge w:val="continue"/>
            <w:noWrap w:val="0"/>
            <w:vAlign w:val="center"/>
          </w:tcPr>
          <w:p w14:paraId="2A52B5A2">
            <w:pPr>
              <w:spacing w:line="440" w:lineRule="exact"/>
              <w:rPr>
                <w:rFonts w:ascii="宋体" w:hAnsi="宋体" w:cs="宋体"/>
                <w:color w:val="auto"/>
                <w:szCs w:val="21"/>
                <w:highlight w:val="none"/>
              </w:rPr>
            </w:pPr>
          </w:p>
        </w:tc>
      </w:tr>
      <w:tr w14:paraId="3DD0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6" w:type="dxa"/>
            <w:vMerge w:val="restart"/>
            <w:noWrap w:val="0"/>
            <w:vAlign w:val="center"/>
          </w:tcPr>
          <w:p w14:paraId="472BFCE7">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日常工作（15分）</w:t>
            </w:r>
          </w:p>
        </w:tc>
        <w:tc>
          <w:tcPr>
            <w:tcW w:w="283" w:type="dxa"/>
            <w:noWrap w:val="0"/>
            <w:vAlign w:val="center"/>
          </w:tcPr>
          <w:p w14:paraId="7EC3490A">
            <w:pPr>
              <w:spacing w:line="440" w:lineRule="exact"/>
              <w:rPr>
                <w:rFonts w:ascii="宋体" w:hAnsi="宋体" w:cs="宋体"/>
                <w:color w:val="auto"/>
                <w:szCs w:val="21"/>
                <w:highlight w:val="none"/>
              </w:rPr>
            </w:pPr>
            <w:r>
              <w:rPr>
                <w:rFonts w:hint="eastAsia" w:ascii="宋体" w:hAnsi="宋体" w:cs="宋体"/>
                <w:color w:val="auto"/>
                <w:szCs w:val="21"/>
                <w:highlight w:val="none"/>
              </w:rPr>
              <w:t>1</w:t>
            </w:r>
          </w:p>
        </w:tc>
        <w:tc>
          <w:tcPr>
            <w:tcW w:w="3659" w:type="dxa"/>
            <w:noWrap w:val="0"/>
            <w:vAlign w:val="center"/>
          </w:tcPr>
          <w:p w14:paraId="02D0BE32">
            <w:pPr>
              <w:spacing w:line="440" w:lineRule="exact"/>
              <w:rPr>
                <w:rFonts w:ascii="宋体" w:hAnsi="宋体" w:cs="宋体"/>
                <w:color w:val="auto"/>
                <w:szCs w:val="21"/>
                <w:highlight w:val="none"/>
              </w:rPr>
            </w:pPr>
            <w:r>
              <w:rPr>
                <w:rFonts w:hint="eastAsia" w:ascii="宋体" w:hAnsi="宋体" w:cs="宋体"/>
                <w:color w:val="auto"/>
                <w:szCs w:val="21"/>
                <w:highlight w:val="none"/>
              </w:rPr>
              <w:t>监理日志准确到位、及时、全面</w:t>
            </w:r>
          </w:p>
        </w:tc>
        <w:tc>
          <w:tcPr>
            <w:tcW w:w="866" w:type="dxa"/>
            <w:noWrap w:val="0"/>
            <w:vAlign w:val="center"/>
          </w:tcPr>
          <w:p w14:paraId="5887ACF5">
            <w:pPr>
              <w:spacing w:line="440" w:lineRule="exact"/>
              <w:rPr>
                <w:rFonts w:ascii="宋体" w:hAnsi="宋体" w:cs="宋体"/>
                <w:color w:val="auto"/>
                <w:szCs w:val="21"/>
                <w:highlight w:val="none"/>
              </w:rPr>
            </w:pPr>
          </w:p>
        </w:tc>
        <w:tc>
          <w:tcPr>
            <w:tcW w:w="3262" w:type="dxa"/>
            <w:noWrap w:val="0"/>
            <w:vAlign w:val="center"/>
          </w:tcPr>
          <w:p w14:paraId="4424D966">
            <w:pPr>
              <w:spacing w:line="440" w:lineRule="exact"/>
              <w:rPr>
                <w:rFonts w:ascii="宋体" w:hAnsi="宋体" w:cs="宋体"/>
                <w:color w:val="auto"/>
                <w:szCs w:val="21"/>
                <w:highlight w:val="none"/>
              </w:rPr>
            </w:pPr>
            <w:r>
              <w:rPr>
                <w:rFonts w:hint="eastAsia" w:ascii="宋体" w:hAnsi="宋体" w:cs="宋体"/>
                <w:color w:val="auto"/>
                <w:szCs w:val="21"/>
                <w:highlight w:val="none"/>
              </w:rPr>
              <w:t>不到位，每</w:t>
            </w:r>
            <w:r>
              <w:rPr>
                <w:rFonts w:hint="eastAsia" w:ascii="宋体" w:hAnsi="宋体" w:cs="宋体"/>
                <w:color w:val="auto"/>
                <w:szCs w:val="21"/>
                <w:highlight w:val="none"/>
                <w:lang w:val="en-US" w:eastAsia="zh-CN"/>
              </w:rPr>
              <w:t>次</w:t>
            </w:r>
            <w:r>
              <w:rPr>
                <w:rFonts w:hint="eastAsia" w:ascii="宋体" w:hAnsi="宋体" w:cs="宋体"/>
                <w:color w:val="auto"/>
                <w:szCs w:val="21"/>
                <w:highlight w:val="none"/>
              </w:rPr>
              <w:t>扣3分</w:t>
            </w:r>
          </w:p>
        </w:tc>
        <w:tc>
          <w:tcPr>
            <w:tcW w:w="1039" w:type="dxa"/>
            <w:vMerge w:val="restart"/>
            <w:noWrap w:val="0"/>
            <w:vAlign w:val="center"/>
          </w:tcPr>
          <w:p w14:paraId="74FB3511">
            <w:pPr>
              <w:spacing w:line="440" w:lineRule="exact"/>
              <w:rPr>
                <w:rFonts w:ascii="宋体" w:hAnsi="宋体" w:cs="宋体"/>
                <w:color w:val="auto"/>
                <w:szCs w:val="21"/>
                <w:highlight w:val="none"/>
              </w:rPr>
            </w:pPr>
          </w:p>
        </w:tc>
      </w:tr>
      <w:tr w14:paraId="06E8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6" w:type="dxa"/>
            <w:vMerge w:val="continue"/>
            <w:noWrap w:val="0"/>
            <w:vAlign w:val="center"/>
          </w:tcPr>
          <w:p w14:paraId="6CD7C74A">
            <w:pPr>
              <w:spacing w:line="440" w:lineRule="exact"/>
              <w:jc w:val="center"/>
              <w:rPr>
                <w:rFonts w:ascii="宋体" w:hAnsi="宋体" w:cs="宋体"/>
                <w:color w:val="auto"/>
                <w:szCs w:val="21"/>
                <w:highlight w:val="none"/>
              </w:rPr>
            </w:pPr>
          </w:p>
        </w:tc>
        <w:tc>
          <w:tcPr>
            <w:tcW w:w="283" w:type="dxa"/>
            <w:noWrap w:val="0"/>
            <w:vAlign w:val="center"/>
          </w:tcPr>
          <w:p w14:paraId="4CC6A1D7">
            <w:pPr>
              <w:spacing w:line="440" w:lineRule="exact"/>
              <w:rPr>
                <w:rFonts w:ascii="宋体" w:hAnsi="宋体" w:cs="宋体"/>
                <w:color w:val="auto"/>
                <w:szCs w:val="21"/>
                <w:highlight w:val="none"/>
              </w:rPr>
            </w:pPr>
            <w:r>
              <w:rPr>
                <w:rFonts w:hint="eastAsia" w:ascii="宋体" w:hAnsi="宋体" w:cs="宋体"/>
                <w:color w:val="auto"/>
                <w:szCs w:val="21"/>
                <w:highlight w:val="none"/>
              </w:rPr>
              <w:t>2</w:t>
            </w:r>
          </w:p>
        </w:tc>
        <w:tc>
          <w:tcPr>
            <w:tcW w:w="3659" w:type="dxa"/>
            <w:noWrap w:val="0"/>
            <w:vAlign w:val="center"/>
          </w:tcPr>
          <w:p w14:paraId="2855DD6B">
            <w:pPr>
              <w:spacing w:line="440" w:lineRule="exact"/>
              <w:rPr>
                <w:rFonts w:ascii="宋体" w:hAnsi="宋体" w:cs="宋体"/>
                <w:color w:val="auto"/>
                <w:szCs w:val="21"/>
                <w:highlight w:val="none"/>
              </w:rPr>
            </w:pPr>
            <w:r>
              <w:rPr>
                <w:rFonts w:hint="eastAsia" w:ascii="宋体" w:hAnsi="宋体" w:cs="宋体"/>
                <w:color w:val="auto"/>
                <w:szCs w:val="21"/>
                <w:highlight w:val="none"/>
              </w:rPr>
              <w:t>监理人员全部到位（事、病假除外）</w:t>
            </w:r>
          </w:p>
        </w:tc>
        <w:tc>
          <w:tcPr>
            <w:tcW w:w="866" w:type="dxa"/>
            <w:noWrap w:val="0"/>
            <w:vAlign w:val="center"/>
          </w:tcPr>
          <w:p w14:paraId="543D8ED2">
            <w:pPr>
              <w:spacing w:line="440" w:lineRule="exact"/>
              <w:rPr>
                <w:rFonts w:ascii="宋体" w:hAnsi="宋体" w:cs="宋体"/>
                <w:color w:val="auto"/>
                <w:szCs w:val="21"/>
                <w:highlight w:val="none"/>
              </w:rPr>
            </w:pPr>
          </w:p>
        </w:tc>
        <w:tc>
          <w:tcPr>
            <w:tcW w:w="3262" w:type="dxa"/>
            <w:noWrap w:val="0"/>
            <w:vAlign w:val="center"/>
          </w:tcPr>
          <w:p w14:paraId="7F0BD4B5">
            <w:pPr>
              <w:spacing w:line="440" w:lineRule="exact"/>
              <w:rPr>
                <w:rFonts w:ascii="宋体" w:hAnsi="宋体" w:cs="宋体"/>
                <w:color w:val="auto"/>
                <w:szCs w:val="21"/>
                <w:highlight w:val="none"/>
              </w:rPr>
            </w:pPr>
            <w:r>
              <w:rPr>
                <w:rFonts w:hint="eastAsia" w:ascii="宋体" w:hAnsi="宋体" w:cs="宋体"/>
                <w:color w:val="auto"/>
                <w:szCs w:val="21"/>
                <w:highlight w:val="none"/>
              </w:rPr>
              <w:t>每缺席一人扣3分</w:t>
            </w:r>
          </w:p>
        </w:tc>
        <w:tc>
          <w:tcPr>
            <w:tcW w:w="1039" w:type="dxa"/>
            <w:vMerge w:val="continue"/>
            <w:noWrap w:val="0"/>
            <w:vAlign w:val="center"/>
          </w:tcPr>
          <w:p w14:paraId="0F33CF4F">
            <w:pPr>
              <w:spacing w:line="440" w:lineRule="exact"/>
              <w:rPr>
                <w:rFonts w:ascii="宋体" w:hAnsi="宋体" w:cs="宋体"/>
                <w:color w:val="auto"/>
                <w:szCs w:val="21"/>
                <w:highlight w:val="none"/>
              </w:rPr>
            </w:pPr>
          </w:p>
        </w:tc>
      </w:tr>
      <w:tr w14:paraId="3622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136" w:type="dxa"/>
            <w:vMerge w:val="continue"/>
            <w:noWrap w:val="0"/>
            <w:vAlign w:val="center"/>
          </w:tcPr>
          <w:p w14:paraId="7C4CE123">
            <w:pPr>
              <w:spacing w:line="440" w:lineRule="exact"/>
              <w:jc w:val="center"/>
              <w:rPr>
                <w:rFonts w:ascii="宋体" w:hAnsi="宋体" w:cs="宋体"/>
                <w:color w:val="auto"/>
                <w:szCs w:val="21"/>
                <w:highlight w:val="none"/>
              </w:rPr>
            </w:pPr>
          </w:p>
        </w:tc>
        <w:tc>
          <w:tcPr>
            <w:tcW w:w="283" w:type="dxa"/>
            <w:noWrap w:val="0"/>
            <w:vAlign w:val="center"/>
          </w:tcPr>
          <w:p w14:paraId="76CC26BD">
            <w:pPr>
              <w:spacing w:line="440" w:lineRule="exact"/>
              <w:rPr>
                <w:rFonts w:ascii="宋体" w:hAnsi="宋体" w:cs="宋体"/>
                <w:color w:val="auto"/>
                <w:szCs w:val="21"/>
                <w:highlight w:val="none"/>
              </w:rPr>
            </w:pPr>
            <w:r>
              <w:rPr>
                <w:rFonts w:hint="eastAsia" w:ascii="宋体" w:hAnsi="宋体" w:cs="宋体"/>
                <w:color w:val="auto"/>
                <w:szCs w:val="21"/>
                <w:highlight w:val="none"/>
              </w:rPr>
              <w:t>3</w:t>
            </w:r>
          </w:p>
        </w:tc>
        <w:tc>
          <w:tcPr>
            <w:tcW w:w="3659" w:type="dxa"/>
            <w:noWrap w:val="0"/>
            <w:vAlign w:val="center"/>
          </w:tcPr>
          <w:p w14:paraId="46D330F7">
            <w:pPr>
              <w:keepNext w:val="0"/>
              <w:keepLines w:val="0"/>
              <w:widowControl/>
              <w:suppressLineNumbers w:val="0"/>
              <w:jc w:val="left"/>
              <w:rPr>
                <w:rFonts w:ascii="宋体" w:hAnsi="宋体" w:cs="宋体"/>
                <w:color w:val="auto"/>
                <w:szCs w:val="21"/>
                <w:highlight w:val="none"/>
              </w:rPr>
            </w:pPr>
            <w:r>
              <w:rPr>
                <w:rFonts w:hint="eastAsia" w:ascii="宋体" w:hAnsi="宋体" w:eastAsia="宋体" w:cs="宋体"/>
                <w:color w:val="auto"/>
                <w:kern w:val="0"/>
                <w:sz w:val="20"/>
                <w:szCs w:val="20"/>
                <w:highlight w:val="none"/>
                <w:lang w:val="en-US" w:eastAsia="zh-CN" w:bidi="ar"/>
              </w:rPr>
              <w:t>质量安全管理资料是否与工程实体同步</w:t>
            </w:r>
          </w:p>
        </w:tc>
        <w:tc>
          <w:tcPr>
            <w:tcW w:w="866" w:type="dxa"/>
            <w:noWrap w:val="0"/>
            <w:vAlign w:val="center"/>
          </w:tcPr>
          <w:p w14:paraId="3691FB72">
            <w:pPr>
              <w:spacing w:line="440" w:lineRule="exact"/>
              <w:rPr>
                <w:rFonts w:ascii="宋体" w:hAnsi="宋体" w:cs="宋体"/>
                <w:color w:val="auto"/>
                <w:szCs w:val="21"/>
                <w:highlight w:val="none"/>
              </w:rPr>
            </w:pPr>
          </w:p>
        </w:tc>
        <w:tc>
          <w:tcPr>
            <w:tcW w:w="3262" w:type="dxa"/>
            <w:noWrap w:val="0"/>
            <w:vAlign w:val="center"/>
          </w:tcPr>
          <w:p w14:paraId="78BEA3D9">
            <w:pPr>
              <w:spacing w:line="440" w:lineRule="exact"/>
              <w:rPr>
                <w:rFonts w:ascii="宋体" w:hAnsi="宋体" w:cs="宋体"/>
                <w:color w:val="auto"/>
                <w:szCs w:val="21"/>
                <w:highlight w:val="none"/>
              </w:rPr>
            </w:pPr>
            <w:r>
              <w:rPr>
                <w:rFonts w:hint="eastAsia" w:ascii="宋体" w:hAnsi="宋体" w:cs="宋体"/>
                <w:color w:val="auto"/>
                <w:szCs w:val="21"/>
                <w:highlight w:val="none"/>
              </w:rPr>
              <w:t>不到位，每次扣2分</w:t>
            </w:r>
          </w:p>
        </w:tc>
        <w:tc>
          <w:tcPr>
            <w:tcW w:w="1039" w:type="dxa"/>
            <w:vMerge w:val="continue"/>
            <w:noWrap w:val="0"/>
            <w:vAlign w:val="center"/>
          </w:tcPr>
          <w:p w14:paraId="3741CC9F">
            <w:pPr>
              <w:spacing w:line="440" w:lineRule="exact"/>
              <w:rPr>
                <w:rFonts w:ascii="宋体" w:hAnsi="宋体" w:cs="宋体"/>
                <w:color w:val="auto"/>
                <w:szCs w:val="21"/>
                <w:highlight w:val="none"/>
              </w:rPr>
            </w:pPr>
          </w:p>
        </w:tc>
      </w:tr>
      <w:tr w14:paraId="3DBA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136" w:type="dxa"/>
            <w:vMerge w:val="continue"/>
            <w:noWrap w:val="0"/>
            <w:vAlign w:val="center"/>
          </w:tcPr>
          <w:p w14:paraId="607558AA">
            <w:pPr>
              <w:spacing w:line="440" w:lineRule="exact"/>
              <w:jc w:val="center"/>
              <w:rPr>
                <w:rFonts w:ascii="宋体" w:hAnsi="宋体" w:cs="宋体"/>
                <w:color w:val="auto"/>
                <w:szCs w:val="21"/>
                <w:highlight w:val="none"/>
              </w:rPr>
            </w:pPr>
          </w:p>
        </w:tc>
        <w:tc>
          <w:tcPr>
            <w:tcW w:w="283" w:type="dxa"/>
            <w:noWrap w:val="0"/>
            <w:vAlign w:val="center"/>
          </w:tcPr>
          <w:p w14:paraId="50762C13">
            <w:pPr>
              <w:spacing w:line="44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3659" w:type="dxa"/>
            <w:noWrap w:val="0"/>
            <w:vAlign w:val="center"/>
          </w:tcPr>
          <w:p w14:paraId="6D9AB906">
            <w:pPr>
              <w:keepNext w:val="0"/>
              <w:keepLines w:val="0"/>
              <w:widowControl/>
              <w:suppressLineNumbers w:val="0"/>
              <w:jc w:val="left"/>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是否存在对施工各类方案和上报的资料未审查，以及未及时审查</w:t>
            </w:r>
          </w:p>
        </w:tc>
        <w:tc>
          <w:tcPr>
            <w:tcW w:w="866" w:type="dxa"/>
            <w:noWrap w:val="0"/>
            <w:vAlign w:val="center"/>
          </w:tcPr>
          <w:p w14:paraId="555B1A17">
            <w:pPr>
              <w:spacing w:line="440" w:lineRule="exact"/>
              <w:rPr>
                <w:rFonts w:ascii="宋体" w:hAnsi="宋体" w:cs="宋体"/>
                <w:color w:val="auto"/>
                <w:szCs w:val="21"/>
                <w:highlight w:val="none"/>
              </w:rPr>
            </w:pPr>
          </w:p>
        </w:tc>
        <w:tc>
          <w:tcPr>
            <w:tcW w:w="3262" w:type="dxa"/>
            <w:noWrap w:val="0"/>
            <w:vAlign w:val="center"/>
          </w:tcPr>
          <w:p w14:paraId="7B910D3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不到位，每</w:t>
            </w:r>
            <w:r>
              <w:rPr>
                <w:rFonts w:hint="eastAsia" w:ascii="宋体" w:hAnsi="宋体" w:cs="宋体"/>
                <w:color w:val="auto"/>
                <w:szCs w:val="21"/>
                <w:highlight w:val="none"/>
                <w:lang w:val="en-US" w:eastAsia="zh-CN"/>
              </w:rPr>
              <w:t>次</w:t>
            </w:r>
            <w:r>
              <w:rPr>
                <w:rFonts w:hint="eastAsia" w:ascii="宋体" w:hAnsi="宋体" w:cs="宋体"/>
                <w:color w:val="auto"/>
                <w:szCs w:val="21"/>
                <w:highlight w:val="none"/>
              </w:rPr>
              <w:t>扣3分</w:t>
            </w:r>
          </w:p>
        </w:tc>
        <w:tc>
          <w:tcPr>
            <w:tcW w:w="1039" w:type="dxa"/>
            <w:vMerge w:val="continue"/>
            <w:noWrap w:val="0"/>
            <w:vAlign w:val="center"/>
          </w:tcPr>
          <w:p w14:paraId="26301FC0">
            <w:pPr>
              <w:spacing w:line="440" w:lineRule="exact"/>
              <w:rPr>
                <w:rFonts w:ascii="宋体" w:hAnsi="宋体" w:cs="宋体"/>
                <w:color w:val="auto"/>
                <w:szCs w:val="21"/>
                <w:highlight w:val="none"/>
              </w:rPr>
            </w:pPr>
          </w:p>
        </w:tc>
      </w:tr>
      <w:tr w14:paraId="2CFD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36" w:type="dxa"/>
            <w:noWrap w:val="0"/>
            <w:vAlign w:val="center"/>
          </w:tcPr>
          <w:p w14:paraId="0C96383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总分</w:t>
            </w:r>
          </w:p>
        </w:tc>
        <w:tc>
          <w:tcPr>
            <w:tcW w:w="9109" w:type="dxa"/>
            <w:gridSpan w:val="5"/>
            <w:noWrap w:val="0"/>
            <w:vAlign w:val="center"/>
          </w:tcPr>
          <w:p w14:paraId="7490D671">
            <w:pPr>
              <w:spacing w:line="440" w:lineRule="exact"/>
              <w:rPr>
                <w:rFonts w:ascii="宋体" w:hAnsi="宋体" w:cs="宋体"/>
                <w:color w:val="auto"/>
                <w:szCs w:val="21"/>
                <w:highlight w:val="none"/>
              </w:rPr>
            </w:pPr>
          </w:p>
        </w:tc>
      </w:tr>
      <w:tr w14:paraId="1C34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136" w:type="dxa"/>
            <w:noWrap w:val="0"/>
            <w:vAlign w:val="center"/>
          </w:tcPr>
          <w:p w14:paraId="768997B6">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9109" w:type="dxa"/>
            <w:gridSpan w:val="5"/>
            <w:noWrap w:val="0"/>
            <w:vAlign w:val="top"/>
          </w:tcPr>
          <w:p w14:paraId="10C1697F">
            <w:pPr>
              <w:spacing w:line="440" w:lineRule="exact"/>
              <w:rPr>
                <w:rFonts w:ascii="宋体" w:hAnsi="宋体" w:cs="宋体"/>
                <w:color w:val="auto"/>
                <w:szCs w:val="21"/>
                <w:highlight w:val="none"/>
              </w:rPr>
            </w:pPr>
            <w:r>
              <w:rPr>
                <w:rFonts w:hint="eastAsia" w:ascii="宋体" w:hAnsi="宋体" w:cs="宋体"/>
                <w:color w:val="auto"/>
                <w:szCs w:val="21"/>
                <w:highlight w:val="none"/>
              </w:rPr>
              <w:t>1.凡具备以下条件之一者为严重事故：（1）直接经济损失在5万元（含5万元）以上，不满10万元的；（2）严重影响使用功能或工程结构安全存在重大质量隐患的；（3）事故性质恶劣或造成2人以下重伤的。2. 凡具备以下条件之一者为一般事故：（1）直接经济损失在1万元（含1万元）以上，不满5万元的；（2）严重影响使用功能或工程结构安全，造成永久性质量缺陷的。</w:t>
            </w:r>
          </w:p>
        </w:tc>
      </w:tr>
    </w:tbl>
    <w:p w14:paraId="3895AE0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highlight w:val="none"/>
        </w:rPr>
      </w:pPr>
    </w:p>
    <w:p w14:paraId="03D7C00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Times New Roman" w:eastAsia="宋体" w:cs="Times New Roman"/>
          <w:color w:val="auto"/>
          <w:kern w:val="2"/>
          <w:sz w:val="21"/>
          <w:szCs w:val="20"/>
          <w:highlight w:val="none"/>
          <w:lang w:val="en-US" w:eastAsia="zh-CN" w:bidi="ar-SA"/>
        </w:rPr>
      </w:pPr>
      <w:r>
        <w:rPr>
          <w:rFonts w:hint="eastAsia" w:ascii="宋体" w:hAnsi="宋体" w:cs="宋体"/>
          <w:color w:val="auto"/>
          <w:highlight w:val="none"/>
          <w:lang w:val="en-US" w:eastAsia="zh-CN"/>
        </w:rPr>
        <w:t>被</w:t>
      </w:r>
      <w:r>
        <w:rPr>
          <w:rFonts w:hint="eastAsia" w:ascii="宋体" w:hAnsi="宋体" w:eastAsia="宋体" w:cs="宋体"/>
          <w:color w:val="auto"/>
          <w:highlight w:val="none"/>
        </w:rPr>
        <w:t>考核人</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监理单位</w:t>
      </w:r>
      <w:r>
        <w:rPr>
          <w:rFonts w:hint="eastAsia" w:ascii="宋体" w:hAnsi="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考核人</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建设单位</w:t>
      </w:r>
      <w:r>
        <w:rPr>
          <w:rFonts w:hint="eastAsia" w:ascii="宋体" w:hAnsi="宋体" w:cs="宋体"/>
          <w:color w:val="auto"/>
          <w:highlight w:val="none"/>
          <w:lang w:eastAsia="zh-CN"/>
        </w:rPr>
        <w:t>）</w:t>
      </w:r>
      <w:r>
        <w:rPr>
          <w:rFonts w:hint="eastAsia" w:ascii="宋体" w:hAnsi="宋体" w:eastAsia="宋体" w:cs="宋体"/>
          <w:color w:val="auto"/>
          <w:highlight w:val="none"/>
          <w:u w:val="single"/>
        </w:rPr>
        <w:t xml:space="preserve">          </w:t>
      </w:r>
    </w:p>
    <w:p w14:paraId="3ACFB36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Arial" w:hAnsi="Arial" w:eastAsia="宋体" w:cs="Times New Roman"/>
          <w:b/>
          <w:bCs/>
          <w:color w:val="auto"/>
          <w:kern w:val="0"/>
          <w:sz w:val="32"/>
          <w:szCs w:val="32"/>
          <w:highlight w:val="none"/>
          <w:lang w:val="en-US" w:eastAsia="zh-CN" w:bidi="ar-SA"/>
        </w:rPr>
      </w:pPr>
    </w:p>
    <w:p w14:paraId="16FFF64E">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Arial" w:hAnsi="Arial" w:eastAsia="宋体" w:cs="Times New Roman"/>
          <w:b/>
          <w:bCs/>
          <w:color w:val="auto"/>
          <w:kern w:val="0"/>
          <w:sz w:val="32"/>
          <w:szCs w:val="32"/>
          <w:highlight w:val="none"/>
          <w:lang w:val="en-US" w:eastAsia="zh-CN" w:bidi="ar-SA"/>
        </w:rPr>
      </w:pPr>
    </w:p>
    <w:p w14:paraId="5A7B3672">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Arial" w:hAnsi="Arial" w:eastAsia="宋体" w:cs="Times New Roman"/>
          <w:b/>
          <w:bCs/>
          <w:color w:val="auto"/>
          <w:kern w:val="0"/>
          <w:sz w:val="32"/>
          <w:szCs w:val="32"/>
          <w:highlight w:val="none"/>
          <w:lang w:val="en-US" w:eastAsia="zh-CN" w:bidi="ar-SA"/>
        </w:rPr>
      </w:pPr>
    </w:p>
    <w:p w14:paraId="2E81A46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Arial" w:hAnsi="Arial" w:eastAsia="宋体" w:cs="Times New Roman"/>
          <w:b/>
          <w:bCs/>
          <w:color w:val="auto"/>
          <w:kern w:val="0"/>
          <w:sz w:val="32"/>
          <w:szCs w:val="32"/>
          <w:highlight w:val="none"/>
          <w:lang w:val="en-US" w:eastAsia="zh-CN" w:bidi="ar-SA"/>
        </w:rPr>
      </w:pPr>
    </w:p>
    <w:p w14:paraId="69DECB8E">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Arial" w:hAnsi="Arial" w:eastAsia="宋体" w:cs="Times New Roman"/>
          <w:b/>
          <w:bCs/>
          <w:color w:val="auto"/>
          <w:kern w:val="0"/>
          <w:sz w:val="32"/>
          <w:szCs w:val="32"/>
          <w:highlight w:val="none"/>
          <w:lang w:val="en-US" w:eastAsia="zh-CN" w:bidi="ar-SA"/>
        </w:rPr>
      </w:pPr>
    </w:p>
    <w:p w14:paraId="27B01FA2">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Arial" w:hAnsi="Arial" w:eastAsia="宋体" w:cs="Times New Roman"/>
          <w:b/>
          <w:bCs/>
          <w:color w:val="auto"/>
          <w:kern w:val="0"/>
          <w:sz w:val="32"/>
          <w:szCs w:val="32"/>
          <w:highlight w:val="none"/>
          <w:lang w:val="en-US" w:eastAsia="zh-CN" w:bidi="ar-SA"/>
        </w:rPr>
      </w:pPr>
    </w:p>
    <w:p w14:paraId="7262BAA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Arial" w:hAnsi="Arial" w:eastAsia="宋体" w:cs="Times New Roman"/>
          <w:b/>
          <w:bCs/>
          <w:color w:val="auto"/>
          <w:kern w:val="0"/>
          <w:sz w:val="32"/>
          <w:szCs w:val="32"/>
          <w:highlight w:val="none"/>
          <w:lang w:val="en-US" w:eastAsia="zh-CN" w:bidi="ar-SA"/>
        </w:rPr>
      </w:pPr>
    </w:p>
    <w:p w14:paraId="6F8631D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Arial" w:hAnsi="Arial" w:eastAsia="宋体" w:cs="Times New Roman"/>
          <w:b/>
          <w:bCs/>
          <w:color w:val="auto"/>
          <w:kern w:val="0"/>
          <w:sz w:val="32"/>
          <w:szCs w:val="32"/>
          <w:highlight w:val="none"/>
          <w:lang w:val="en-US" w:eastAsia="zh-CN" w:bidi="ar-SA"/>
        </w:rPr>
      </w:pPr>
    </w:p>
    <w:p w14:paraId="1CE22E0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Arial" w:hAnsi="Arial" w:eastAsia="宋体" w:cs="Times New Roman"/>
          <w:b/>
          <w:bCs/>
          <w:color w:val="auto"/>
          <w:kern w:val="0"/>
          <w:sz w:val="32"/>
          <w:szCs w:val="32"/>
          <w:highlight w:val="none"/>
          <w:lang w:val="en-US" w:eastAsia="zh-CN" w:bidi="ar-SA"/>
        </w:rPr>
      </w:pPr>
    </w:p>
    <w:p w14:paraId="34A3F848">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0"/>
        <w:rPr>
          <w:rFonts w:hint="eastAsia" w:ascii="Arial" w:hAnsi="Arial" w:eastAsia="宋体" w:cs="Times New Roman"/>
          <w:b/>
          <w:bCs/>
          <w:color w:val="auto"/>
          <w:kern w:val="0"/>
          <w:sz w:val="32"/>
          <w:szCs w:val="32"/>
          <w:highlight w:val="none"/>
          <w:lang w:val="en-US" w:eastAsia="zh-CN" w:bidi="ar-SA"/>
        </w:rPr>
      </w:pPr>
    </w:p>
    <w:p w14:paraId="06890AEE">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eastAsia="宋体"/>
          <w:color w:val="auto"/>
          <w:highlight w:val="none"/>
          <w:lang w:val="en-US" w:eastAsia="zh-CN"/>
        </w:rPr>
      </w:pPr>
      <w:r>
        <w:rPr>
          <w:rFonts w:hint="eastAsia" w:ascii="Arial" w:hAnsi="Arial" w:eastAsia="宋体" w:cs="Times New Roman"/>
          <w:b/>
          <w:bCs/>
          <w:color w:val="auto"/>
          <w:kern w:val="0"/>
          <w:sz w:val="32"/>
          <w:szCs w:val="32"/>
          <w:highlight w:val="none"/>
          <w:lang w:val="en-US" w:eastAsia="zh-CN" w:bidi="ar-SA"/>
        </w:rPr>
        <w:t>第五章  监理内容和要求</w:t>
      </w:r>
      <w:bookmarkEnd w:id="776"/>
    </w:p>
    <w:p w14:paraId="135006D0">
      <w:pPr>
        <w:shd w:val="clear" w:color="auto" w:fill="auto"/>
        <w:spacing w:line="312" w:lineRule="auto"/>
        <w:ind w:firstLine="422" w:firstLineChars="200"/>
        <w:rPr>
          <w:rFonts w:hint="eastAsia" w:ascii="宋体" w:hAnsi="宋体" w:cs="宋体"/>
          <w:b/>
          <w:bCs/>
          <w:color w:val="auto"/>
          <w:szCs w:val="21"/>
          <w:highlight w:val="none"/>
          <w:lang w:val="zh-CN" w:eastAsia="zh-CN"/>
        </w:rPr>
      </w:pPr>
      <w:r>
        <w:rPr>
          <w:rFonts w:hint="eastAsia" w:ascii="宋体" w:hAnsi="宋体" w:cs="宋体"/>
          <w:b/>
          <w:bCs/>
          <w:color w:val="auto"/>
          <w:szCs w:val="21"/>
          <w:highlight w:val="none"/>
          <w:lang w:val="zh-CN" w:eastAsia="zh-CN"/>
        </w:rPr>
        <w:t>一、项目名称</w:t>
      </w:r>
    </w:p>
    <w:p w14:paraId="25FB1C11">
      <w:pPr>
        <w:shd w:val="clear" w:color="auto" w:fill="auto"/>
        <w:spacing w:line="312" w:lineRule="auto"/>
        <w:ind w:firstLine="420" w:firstLineChars="200"/>
        <w:rPr>
          <w:rFonts w:hint="eastAsia" w:ascii="宋体" w:hAnsi="宋体" w:cs="宋体"/>
          <w:color w:val="auto"/>
          <w:szCs w:val="21"/>
          <w:highlight w:val="none"/>
          <w:lang w:val="zh-CN" w:eastAsia="zh-CN"/>
        </w:rPr>
      </w:pPr>
      <w:r>
        <w:rPr>
          <w:rFonts w:hint="eastAsia" w:ascii="宋体" w:hAnsi="宋体" w:cs="宋体"/>
          <w:color w:val="auto"/>
          <w:szCs w:val="21"/>
          <w:highlight w:val="none"/>
          <w:lang w:val="zh-CN" w:eastAsia="zh-CN"/>
        </w:rPr>
        <w:t>中新苏滁高新区超级电容智能制造基地项目监理</w:t>
      </w:r>
    </w:p>
    <w:p w14:paraId="02F165FA">
      <w:pPr>
        <w:shd w:val="clear" w:color="auto" w:fill="auto"/>
        <w:spacing w:line="312" w:lineRule="auto"/>
        <w:ind w:firstLine="422" w:firstLineChars="200"/>
        <w:rPr>
          <w:rFonts w:hint="eastAsia" w:ascii="宋体" w:hAnsi="宋体" w:cs="宋体"/>
          <w:b/>
          <w:bCs/>
          <w:color w:val="auto"/>
          <w:szCs w:val="21"/>
          <w:highlight w:val="none"/>
          <w:lang w:val="zh-CN"/>
        </w:rPr>
      </w:pP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lang w:val="zh-CN"/>
        </w:rPr>
        <w:t>项目概况</w:t>
      </w:r>
    </w:p>
    <w:p w14:paraId="783247CB">
      <w:pPr>
        <w:shd w:val="clear" w:color="auto" w:fill="auto"/>
        <w:spacing w:line="312"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具体内容详见图纸。</w:t>
      </w:r>
    </w:p>
    <w:p w14:paraId="2F78DBCF">
      <w:pPr>
        <w:shd w:val="clear" w:color="auto" w:fill="auto"/>
        <w:spacing w:line="312" w:lineRule="auto"/>
        <w:ind w:firstLine="422" w:firstLineChars="200"/>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三、招标内容</w:t>
      </w:r>
      <w:bookmarkStart w:id="777" w:name="_bookmark16"/>
      <w:bookmarkEnd w:id="777"/>
    </w:p>
    <w:p w14:paraId="02A7622F">
      <w:pPr>
        <w:adjustRightInd w:val="0"/>
        <w:snapToGrid w:val="0"/>
        <w:spacing w:line="440" w:lineRule="exact"/>
        <w:ind w:firstLine="420" w:firstLineChars="200"/>
        <w:jc w:val="left"/>
        <w:rPr>
          <w:rFonts w:hint="default" w:ascii="宋体" w:eastAsia="宋体" w:cs="宋体"/>
          <w:color w:val="auto"/>
          <w:szCs w:val="21"/>
          <w:highlight w:val="none"/>
          <w:lang w:val="en-US" w:eastAsia="zh-CN"/>
        </w:rPr>
      </w:pPr>
      <w:r>
        <w:rPr>
          <w:rFonts w:hint="eastAsia" w:ascii="宋体" w:hAnsi="宋体" w:cs="宋体"/>
          <w:color w:val="auto"/>
          <w:szCs w:val="21"/>
          <w:highlight w:val="none"/>
        </w:rPr>
        <w:t>监理的范围和</w:t>
      </w:r>
      <w:r>
        <w:rPr>
          <w:rFonts w:hint="eastAsia" w:ascii="宋体" w:hAnsi="宋体" w:cs="宋体"/>
          <w:bCs/>
          <w:color w:val="auto"/>
          <w:szCs w:val="21"/>
          <w:highlight w:val="none"/>
        </w:rPr>
        <w:t>内容</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具体详见招标文件第四章合同条款及格式中第三部分专用条件。</w:t>
      </w:r>
    </w:p>
    <w:p w14:paraId="23A01498">
      <w:pPr>
        <w:shd w:val="clear" w:color="auto" w:fill="auto"/>
        <w:spacing w:line="400" w:lineRule="exact"/>
        <w:ind w:firstLine="422" w:firstLineChars="200"/>
        <w:rPr>
          <w:rFonts w:hint="eastAsia" w:ascii="宋体" w:hAnsi="宋体" w:cs="宋体"/>
          <w:b/>
          <w:bCs/>
          <w:color w:val="auto"/>
          <w:highlight w:val="none"/>
          <w:lang w:val="zh-CN"/>
        </w:rPr>
      </w:pPr>
      <w:r>
        <w:rPr>
          <w:rFonts w:hint="eastAsia" w:ascii="宋体" w:hAnsi="宋体" w:cs="宋体"/>
          <w:b/>
          <w:bCs/>
          <w:color w:val="auto"/>
          <w:highlight w:val="none"/>
          <w:lang w:val="zh-CN"/>
        </w:rPr>
        <w:t>四、人员配备</w:t>
      </w:r>
    </w:p>
    <w:p w14:paraId="0DCAA19D">
      <w:pPr>
        <w:pStyle w:val="45"/>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4.1</w:t>
      </w:r>
      <w:r>
        <w:rPr>
          <w:rFonts w:hint="eastAsia" w:ascii="宋体" w:hAnsi="宋体" w:eastAsia="宋体" w:cs="宋体"/>
          <w:b w:val="0"/>
          <w:bCs w:val="0"/>
          <w:color w:val="auto"/>
          <w:sz w:val="21"/>
          <w:szCs w:val="21"/>
          <w:highlight w:val="none"/>
          <w:lang w:val="en-US" w:eastAsia="zh-CN"/>
        </w:rPr>
        <w:t>人员要求</w:t>
      </w:r>
    </w:p>
    <w:p w14:paraId="4E96B35C">
      <w:pPr>
        <w:pStyle w:val="45"/>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r>
        <w:rPr>
          <w:rFonts w:hint="eastAsia"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.1监理</w:t>
      </w:r>
      <w:r>
        <w:rPr>
          <w:rFonts w:hint="eastAsia" w:ascii="宋体" w:hAnsi="宋体" w:eastAsia="宋体" w:cs="宋体"/>
          <w:b w:val="0"/>
          <w:bCs w:val="0"/>
          <w:color w:val="auto"/>
          <w:sz w:val="21"/>
          <w:szCs w:val="21"/>
          <w:highlight w:val="none"/>
        </w:rPr>
        <w:t>人员配备：</w:t>
      </w:r>
      <w:r>
        <w:rPr>
          <w:rFonts w:hint="eastAsia" w:ascii="宋体" w:hAnsi="宋体" w:eastAsia="宋体" w:cs="宋体"/>
          <w:color w:val="auto"/>
          <w:kern w:val="2"/>
          <w:sz w:val="21"/>
          <w:szCs w:val="21"/>
          <w:highlight w:val="none"/>
          <w:lang w:val="en-US" w:eastAsia="zh-CN" w:bidi="ar-SA"/>
        </w:rPr>
        <w:t>总监理工程师1人（具有在投标单位注册的房屋建筑工程专业国家级注册监理工程师证书），专业监理工程师不少于</w:t>
      </w:r>
      <w:r>
        <w:rPr>
          <w:rFonts w:hint="eastAsia"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人（具有国家监理工程师注册证书或省建设厅或省监理协会颁发的监理工程师岗位证书人员，建筑工程类专业不得少于</w:t>
      </w:r>
      <w:r>
        <w:rPr>
          <w:rFonts w:hint="eastAsia"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人、机电安装工程类专业不得少于</w:t>
      </w:r>
      <w:r>
        <w:rPr>
          <w:rFonts w:hint="eastAsia"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人</w:t>
      </w:r>
      <w:r>
        <w:rPr>
          <w:rFonts w:hint="eastAsia" w:ascii="宋体" w:hAnsi="宋体" w:eastAsia="宋体" w:cs="宋体"/>
          <w:color w:val="auto"/>
          <w:kern w:val="2"/>
          <w:sz w:val="21"/>
          <w:szCs w:val="21"/>
          <w:highlight w:val="none"/>
          <w:lang w:val="en-US" w:eastAsia="zh-CN" w:bidi="ar-SA"/>
        </w:rPr>
        <w:t>），监理员不少于</w:t>
      </w:r>
      <w:r>
        <w:rPr>
          <w:rFonts w:hint="eastAsia"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人，见证员不少于1人（可兼任）。中标单位须单独设立监理部，产生所有费用由投标人自行承担。</w:t>
      </w:r>
    </w:p>
    <w:p w14:paraId="71F50C2F">
      <w:pPr>
        <w:pStyle w:val="45"/>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kern w:val="0"/>
          <w:sz w:val="21"/>
          <w:szCs w:val="21"/>
          <w:highlight w:val="none"/>
        </w:rPr>
        <w:t>中标后人员配备</w:t>
      </w:r>
      <w:r>
        <w:rPr>
          <w:rFonts w:hint="eastAsia" w:ascii="宋体" w:hAnsi="宋体" w:eastAsia="宋体" w:cs="宋体"/>
          <w:color w:val="auto"/>
          <w:kern w:val="0"/>
          <w:sz w:val="21"/>
          <w:szCs w:val="21"/>
          <w:highlight w:val="none"/>
          <w:lang w:val="en-US" w:eastAsia="zh-CN"/>
        </w:rPr>
        <w:t>须</w:t>
      </w:r>
      <w:r>
        <w:rPr>
          <w:rFonts w:hint="eastAsia" w:ascii="宋体" w:hAnsi="宋体" w:eastAsia="宋体" w:cs="宋体"/>
          <w:color w:val="auto"/>
          <w:kern w:val="0"/>
          <w:sz w:val="21"/>
          <w:szCs w:val="21"/>
          <w:highlight w:val="none"/>
        </w:rPr>
        <w:t>满足上述文件要求，</w:t>
      </w:r>
      <w:r>
        <w:rPr>
          <w:rFonts w:hint="eastAsia" w:ascii="宋体" w:hAnsi="宋体" w:eastAsia="宋体" w:cs="宋体"/>
          <w:color w:val="auto"/>
          <w:kern w:val="0"/>
          <w:sz w:val="21"/>
          <w:szCs w:val="21"/>
          <w:highlight w:val="none"/>
          <w:lang w:val="en-US" w:eastAsia="zh-CN"/>
        </w:rPr>
        <w:t>否则</w:t>
      </w:r>
      <w:r>
        <w:rPr>
          <w:rFonts w:hint="eastAsia" w:ascii="宋体" w:hAnsi="宋体" w:eastAsia="宋体" w:cs="宋体"/>
          <w:color w:val="auto"/>
          <w:kern w:val="0"/>
          <w:sz w:val="21"/>
          <w:szCs w:val="21"/>
          <w:highlight w:val="none"/>
        </w:rPr>
        <w:t>提请建设行政主管部门和招投标监督管理部门进行处罚。</w:t>
      </w:r>
      <w:r>
        <w:rPr>
          <w:rFonts w:hint="eastAsia" w:ascii="宋体" w:hAnsi="宋体" w:eastAsia="宋体" w:cs="宋体"/>
          <w:color w:val="auto"/>
          <w:kern w:val="0"/>
          <w:sz w:val="21"/>
          <w:szCs w:val="21"/>
          <w:highlight w:val="none"/>
          <w:lang w:val="en-US" w:eastAsia="zh-CN"/>
        </w:rPr>
        <w:t>进场人员必须与投标文件所配置的监理人员一致且齐全。若进场人员与投标文件所配置的监理人员不一致或不齐全的，招标人约谈法定代表人，并在15日内配齐人员，未在此期限内配齐人员的，将按10000元/人·天进行违约处理，30天之内仍未整改完成，招标人有权单方解除合同。</w:t>
      </w:r>
    </w:p>
    <w:p w14:paraId="01A848D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Cs/>
          <w:color w:val="auto"/>
          <w:sz w:val="21"/>
          <w:szCs w:val="21"/>
          <w:highlight w:val="none"/>
        </w:rPr>
        <w:t>工程开工进场后（</w:t>
      </w:r>
      <w:r>
        <w:rPr>
          <w:rFonts w:hint="eastAsia" w:ascii="宋体" w:hAnsi="宋体" w:eastAsia="宋体" w:cs="宋体"/>
          <w:b/>
          <w:bCs/>
          <w:color w:val="auto"/>
          <w:kern w:val="0"/>
          <w:sz w:val="21"/>
          <w:szCs w:val="21"/>
          <w:highlight w:val="none"/>
        </w:rPr>
        <w:t>根据施工实际需要安排，按照经批准的人员进场</w:t>
      </w:r>
      <w:r>
        <w:rPr>
          <w:rFonts w:hint="eastAsia" w:ascii="宋体" w:hAnsi="宋体" w:eastAsia="宋体" w:cs="宋体"/>
          <w:bCs/>
          <w:color w:val="auto"/>
          <w:sz w:val="21"/>
          <w:szCs w:val="21"/>
          <w:highlight w:val="none"/>
        </w:rPr>
        <w:t>），监理单位必须按招标文件要求和投标承诺配备项目</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bCs/>
          <w:color w:val="auto"/>
          <w:sz w:val="21"/>
          <w:szCs w:val="21"/>
          <w:highlight w:val="none"/>
        </w:rPr>
        <w:t>、专业监理工程师、监理员等监理部关键岗位人员。未经发包人同意，不得更换上述人员</w:t>
      </w:r>
      <w:r>
        <w:rPr>
          <w:rFonts w:hint="eastAsia" w:ascii="宋体" w:hAnsi="宋体" w:eastAsia="宋体" w:cs="宋体"/>
          <w:color w:val="auto"/>
          <w:sz w:val="21"/>
          <w:szCs w:val="21"/>
          <w:highlight w:val="none"/>
        </w:rPr>
        <w:t>。确需变更的应提前7日向发包人提出书面申请。委托人因</w:t>
      </w:r>
      <w:r>
        <w:rPr>
          <w:rFonts w:hint="eastAsia" w:ascii="宋体" w:hAnsi="宋体" w:cs="宋体"/>
          <w:b/>
          <w:color w:val="auto"/>
          <w:szCs w:val="21"/>
          <w:highlight w:val="none"/>
          <w:lang w:val="en-US" w:eastAsia="zh-CN"/>
        </w:rPr>
        <w:t>受托人</w:t>
      </w:r>
      <w:r>
        <w:rPr>
          <w:rFonts w:hint="eastAsia" w:ascii="宋体" w:hAnsi="宋体" w:eastAsia="宋体" w:cs="宋体"/>
          <w:color w:val="auto"/>
          <w:sz w:val="21"/>
          <w:szCs w:val="21"/>
          <w:highlight w:val="none"/>
        </w:rPr>
        <w:t>所派人员管理能力不善未能满足相关服务而要求更换人员的，</w:t>
      </w:r>
      <w:r>
        <w:rPr>
          <w:rFonts w:hint="eastAsia" w:ascii="宋体" w:hAnsi="宋体" w:cs="宋体"/>
          <w:b/>
          <w:color w:val="auto"/>
          <w:szCs w:val="21"/>
          <w:highlight w:val="none"/>
          <w:lang w:val="en-US" w:eastAsia="zh-CN"/>
        </w:rPr>
        <w:t>受托人</w:t>
      </w:r>
      <w:r>
        <w:rPr>
          <w:rFonts w:hint="eastAsia" w:ascii="宋体" w:hAnsi="宋体" w:eastAsia="宋体" w:cs="宋体"/>
          <w:color w:val="auto"/>
          <w:sz w:val="21"/>
          <w:szCs w:val="21"/>
          <w:highlight w:val="none"/>
        </w:rPr>
        <w:t>必须无条件更换，同时委托人将处予</w:t>
      </w:r>
      <w:r>
        <w:rPr>
          <w:rFonts w:hint="eastAsia" w:ascii="宋体" w:hAnsi="宋体" w:cs="宋体"/>
          <w:b/>
          <w:color w:val="auto"/>
          <w:szCs w:val="21"/>
          <w:highlight w:val="none"/>
          <w:lang w:val="en-US" w:eastAsia="zh-CN"/>
        </w:rPr>
        <w:t>受托人</w:t>
      </w:r>
      <w:r>
        <w:rPr>
          <w:rFonts w:hint="eastAsia" w:ascii="宋体" w:hAnsi="宋体" w:eastAsia="宋体" w:cs="宋体"/>
          <w:color w:val="auto"/>
          <w:sz w:val="21"/>
          <w:szCs w:val="21"/>
          <w:highlight w:val="none"/>
        </w:rPr>
        <w:t>一定的违约金。违约金标准</w:t>
      </w:r>
      <w:r>
        <w:rPr>
          <w:rFonts w:hint="eastAsia" w:ascii="宋体" w:hAnsi="宋体" w:eastAsia="宋体" w:cs="宋体"/>
          <w:color w:val="auto"/>
          <w:sz w:val="21"/>
          <w:szCs w:val="21"/>
          <w:highlight w:val="none"/>
          <w:lang w:val="en-US" w:eastAsia="zh-CN"/>
        </w:rPr>
        <w:t>如下：</w:t>
      </w:r>
    </w:p>
    <w:p w14:paraId="6DF04C85">
      <w:pPr>
        <w:pStyle w:val="45"/>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a、</w:t>
      </w:r>
      <w:r>
        <w:rPr>
          <w:rFonts w:hint="eastAsia" w:ascii="宋体" w:hAnsi="宋体" w:eastAsia="宋体" w:cs="宋体"/>
          <w:color w:val="auto"/>
          <w:sz w:val="21"/>
          <w:szCs w:val="21"/>
          <w:highlight w:val="none"/>
        </w:rPr>
        <w:t>更换总监理工程师将处以每人</w:t>
      </w:r>
      <w:r>
        <w:rPr>
          <w:rFonts w:hint="eastAsia" w:ascii="宋体" w:hAnsi="宋体" w:eastAsia="宋体" w:cs="宋体"/>
          <w:color w:val="auto"/>
          <w:sz w:val="21"/>
          <w:szCs w:val="21"/>
          <w:highlight w:val="none"/>
        </w:rPr>
        <w:t>每次</w:t>
      </w:r>
      <w:r>
        <w:rPr>
          <w:rFonts w:hint="eastAsia"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万元</w:t>
      </w:r>
      <w:r>
        <w:rPr>
          <w:rFonts w:hint="eastAsia" w:ascii="宋体" w:hAnsi="宋体" w:eastAsia="宋体" w:cs="宋体"/>
          <w:color w:val="auto"/>
          <w:sz w:val="21"/>
          <w:szCs w:val="21"/>
          <w:highlight w:val="none"/>
        </w:rPr>
        <w:t>作</w:t>
      </w:r>
      <w:r>
        <w:rPr>
          <w:rFonts w:hint="eastAsia" w:ascii="宋体" w:hAnsi="宋体" w:eastAsia="宋体" w:cs="宋体"/>
          <w:color w:val="auto"/>
          <w:sz w:val="21"/>
          <w:szCs w:val="21"/>
          <w:highlight w:val="none"/>
        </w:rPr>
        <w:t>为违约金且</w:t>
      </w:r>
      <w:r>
        <w:rPr>
          <w:rFonts w:hint="eastAsia" w:ascii="宋体" w:hAnsi="宋体" w:eastAsia="宋体" w:cs="宋体"/>
          <w:color w:val="auto"/>
          <w:sz w:val="21"/>
          <w:szCs w:val="21"/>
          <w:highlight w:val="none"/>
          <w:lang w:eastAsia="zh-CN"/>
        </w:rPr>
        <w:t>委托人</w:t>
      </w:r>
      <w:r>
        <w:rPr>
          <w:rFonts w:hint="eastAsia" w:ascii="宋体" w:hAnsi="宋体" w:eastAsia="宋体" w:cs="宋体"/>
          <w:color w:val="auto"/>
          <w:sz w:val="21"/>
          <w:szCs w:val="21"/>
          <w:highlight w:val="none"/>
        </w:rPr>
        <w:t>有权终止合同；</w:t>
      </w:r>
    </w:p>
    <w:p w14:paraId="6B248A23">
      <w:pPr>
        <w:pStyle w:val="45"/>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b、</w:t>
      </w:r>
      <w:r>
        <w:rPr>
          <w:rFonts w:hint="eastAsia" w:ascii="宋体" w:hAnsi="宋体" w:eastAsia="宋体" w:cs="宋体"/>
          <w:color w:val="auto"/>
          <w:sz w:val="21"/>
          <w:szCs w:val="21"/>
          <w:highlight w:val="none"/>
        </w:rPr>
        <w:t>更换</w:t>
      </w:r>
      <w:r>
        <w:rPr>
          <w:rFonts w:hint="eastAsia" w:ascii="宋体" w:hAnsi="宋体" w:eastAsia="宋体" w:cs="宋体"/>
          <w:color w:val="auto"/>
          <w:sz w:val="21"/>
          <w:szCs w:val="21"/>
          <w:highlight w:val="none"/>
          <w:lang w:val="en-US" w:eastAsia="zh-CN"/>
        </w:rPr>
        <w:t>专业监理工程师</w:t>
      </w:r>
      <w:r>
        <w:rPr>
          <w:rFonts w:hint="eastAsia" w:ascii="宋体" w:hAnsi="宋体" w:eastAsia="宋体" w:cs="宋体"/>
          <w:color w:val="auto"/>
          <w:sz w:val="21"/>
          <w:szCs w:val="21"/>
          <w:highlight w:val="none"/>
        </w:rPr>
        <w:t>的将处以每人每次</w:t>
      </w:r>
      <w:r>
        <w:rPr>
          <w:rFonts w:hint="eastAsia" w:ascii="宋体" w:hAnsi="宋体" w:eastAsia="宋体" w:cs="宋体"/>
          <w:color w:val="auto"/>
          <w:sz w:val="21"/>
          <w:szCs w:val="21"/>
          <w:highlight w:val="none"/>
          <w:lang w:val="en-US" w:eastAsia="zh-CN"/>
        </w:rPr>
        <w:t>10万元</w:t>
      </w:r>
      <w:r>
        <w:rPr>
          <w:rFonts w:hint="eastAsia" w:ascii="宋体" w:hAnsi="宋体" w:eastAsia="宋体" w:cs="宋体"/>
          <w:color w:val="auto"/>
          <w:sz w:val="21"/>
          <w:szCs w:val="21"/>
          <w:highlight w:val="none"/>
        </w:rPr>
        <w:t>作为违约金，更换2人（含2人）以上的，</w:t>
      </w:r>
      <w:r>
        <w:rPr>
          <w:rFonts w:hint="eastAsia" w:ascii="宋体" w:hAnsi="宋体" w:eastAsia="宋体" w:cs="宋体"/>
          <w:color w:val="auto"/>
          <w:sz w:val="21"/>
          <w:szCs w:val="21"/>
          <w:highlight w:val="none"/>
          <w:lang w:val="en-US" w:eastAsia="zh-CN"/>
        </w:rPr>
        <w:t>委托人</w:t>
      </w:r>
      <w:r>
        <w:rPr>
          <w:rFonts w:hint="eastAsia" w:ascii="宋体" w:hAnsi="宋体" w:eastAsia="宋体" w:cs="宋体"/>
          <w:color w:val="auto"/>
          <w:sz w:val="21"/>
          <w:szCs w:val="21"/>
          <w:highlight w:val="none"/>
        </w:rPr>
        <w:t>有权终止合同，并没收履约保证金。</w:t>
      </w:r>
    </w:p>
    <w:p w14:paraId="52074F0E">
      <w:pPr>
        <w:pStyle w:val="45"/>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c、</w:t>
      </w:r>
      <w:r>
        <w:rPr>
          <w:rFonts w:hint="eastAsia" w:ascii="宋体" w:hAnsi="宋体" w:eastAsia="宋体" w:cs="宋体"/>
          <w:color w:val="auto"/>
          <w:sz w:val="21"/>
          <w:szCs w:val="21"/>
          <w:highlight w:val="none"/>
        </w:rPr>
        <w:t>更换其他监理人员的将处以每人每次</w:t>
      </w:r>
      <w:r>
        <w:rPr>
          <w:rFonts w:hint="eastAsia" w:ascii="宋体" w:hAnsi="宋体" w:eastAsia="宋体" w:cs="宋体"/>
          <w:color w:val="auto"/>
          <w:sz w:val="21"/>
          <w:szCs w:val="21"/>
          <w:highlight w:val="none"/>
          <w:lang w:val="en-US" w:eastAsia="zh-CN"/>
        </w:rPr>
        <w:t>5万元</w:t>
      </w:r>
      <w:r>
        <w:rPr>
          <w:rFonts w:hint="eastAsia" w:ascii="宋体" w:hAnsi="宋体" w:eastAsia="宋体" w:cs="宋体"/>
          <w:color w:val="auto"/>
          <w:sz w:val="21"/>
          <w:szCs w:val="21"/>
          <w:highlight w:val="none"/>
        </w:rPr>
        <w:t>作为违约金，更换2人（含2人）以上的，</w:t>
      </w:r>
      <w:r>
        <w:rPr>
          <w:rFonts w:hint="eastAsia" w:ascii="宋体" w:hAnsi="宋体" w:eastAsia="宋体" w:cs="宋体"/>
          <w:color w:val="auto"/>
          <w:sz w:val="21"/>
          <w:szCs w:val="21"/>
          <w:highlight w:val="none"/>
          <w:lang w:val="en-US" w:eastAsia="zh-CN"/>
        </w:rPr>
        <w:t>委托人</w:t>
      </w:r>
      <w:r>
        <w:rPr>
          <w:rFonts w:hint="eastAsia" w:ascii="宋体" w:hAnsi="宋体" w:eastAsia="宋体" w:cs="宋体"/>
          <w:color w:val="auto"/>
          <w:sz w:val="21"/>
          <w:szCs w:val="21"/>
          <w:highlight w:val="none"/>
        </w:rPr>
        <w:t>有权终止合同，并没收履约保证金。</w:t>
      </w:r>
    </w:p>
    <w:p w14:paraId="219F15DC">
      <w:pPr>
        <w:pStyle w:val="45"/>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未经委托人同意擅自更换总监理工程师或专业监理工程师或监理合同中确定的监理人员与监理人员不同的，委托人予以违约金30万元违约金/人.次，直至解除合同，并追究由此给发包人和相关人带来的一切损失。并上报建设行政主管部门，将该企业列入黑名单。</w:t>
      </w:r>
    </w:p>
    <w:p w14:paraId="2A62022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.3.1总监理工程师</w:t>
      </w:r>
      <w:r>
        <w:rPr>
          <w:rFonts w:hint="eastAsia" w:ascii="宋体" w:hAnsi="宋体" w:eastAsia="宋体" w:cs="宋体"/>
          <w:color w:val="auto"/>
          <w:sz w:val="21"/>
          <w:szCs w:val="21"/>
          <w:highlight w:val="none"/>
        </w:rPr>
        <w:t>变更必须经委托人批准，总监除亡故、重大疾病、出国、辞职等原因外，原则上不得变更。其中①亡故的需提供公安部门开具的死亡证明</w:t>
      </w: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rPr>
        <w:t>重大疾病的需提供三甲及以上医院证明</w:t>
      </w:r>
      <w:r>
        <w:rPr>
          <w:rFonts w:hint="eastAsia" w:ascii="宋体" w:hAnsi="宋体" w:eastAsia="宋体" w:cs="宋体"/>
          <w:color w:val="auto"/>
          <w:sz w:val="21"/>
          <w:szCs w:val="21"/>
          <w:highlight w:val="none"/>
          <w:lang w:eastAsia="zh-CN"/>
        </w:rPr>
        <w:t>；③</w:t>
      </w:r>
      <w:r>
        <w:rPr>
          <w:rFonts w:hint="eastAsia" w:ascii="宋体" w:hAnsi="宋体" w:eastAsia="宋体" w:cs="宋体"/>
          <w:color w:val="auto"/>
          <w:sz w:val="21"/>
          <w:szCs w:val="21"/>
          <w:highlight w:val="none"/>
        </w:rPr>
        <w:t>出国、辞职等原因提出变更的，需提供相关证明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上述</w:t>
      </w: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lang w:eastAsia="zh-CN"/>
        </w:rPr>
        <w:t>③</w:t>
      </w:r>
      <w:r>
        <w:rPr>
          <w:rFonts w:hint="eastAsia" w:ascii="宋体" w:hAnsi="宋体" w:eastAsia="宋体" w:cs="宋体"/>
          <w:color w:val="auto"/>
          <w:sz w:val="21"/>
          <w:szCs w:val="21"/>
          <w:highlight w:val="none"/>
          <w:lang w:val="en-US" w:eastAsia="zh-CN"/>
        </w:rPr>
        <w:t>变更除需提供相关证明外，均</w:t>
      </w:r>
      <w:r>
        <w:rPr>
          <w:rFonts w:hint="eastAsia" w:ascii="宋体" w:hAnsi="宋体" w:eastAsia="宋体" w:cs="宋体"/>
          <w:color w:val="auto"/>
          <w:sz w:val="21"/>
          <w:szCs w:val="21"/>
          <w:highlight w:val="none"/>
        </w:rPr>
        <w:t>须缴</w:t>
      </w:r>
      <w:r>
        <w:rPr>
          <w:rFonts w:hint="eastAsia" w:ascii="宋体" w:hAnsi="宋体" w:eastAsia="宋体" w:cs="宋体"/>
          <w:color w:val="auto"/>
          <w:sz w:val="21"/>
          <w:szCs w:val="21"/>
          <w:highlight w:val="none"/>
        </w:rPr>
        <w:t>纳</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rPr>
        <w:t>违约金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否则不得变更。更换后的</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rPr>
        <w:t>的资格、业绩等不得低于更换前的要求。</w:t>
      </w:r>
    </w:p>
    <w:p w14:paraId="16C0FF4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专业监理工程师</w:t>
      </w:r>
      <w:r>
        <w:rPr>
          <w:rFonts w:hint="eastAsia" w:ascii="宋体" w:hAnsi="宋体" w:eastAsia="宋体" w:cs="宋体"/>
          <w:color w:val="auto"/>
          <w:sz w:val="21"/>
          <w:szCs w:val="21"/>
          <w:highlight w:val="none"/>
        </w:rPr>
        <w:t>变更必须经委托人批准，</w:t>
      </w:r>
      <w:r>
        <w:rPr>
          <w:rFonts w:hint="eastAsia" w:ascii="宋体" w:hAnsi="宋体" w:eastAsia="宋体" w:cs="宋体"/>
          <w:color w:val="auto"/>
          <w:sz w:val="21"/>
          <w:szCs w:val="21"/>
          <w:highlight w:val="none"/>
          <w:lang w:val="en-US" w:eastAsia="zh-CN"/>
        </w:rPr>
        <w:t>专业监理工程师</w:t>
      </w:r>
      <w:r>
        <w:rPr>
          <w:rFonts w:hint="eastAsia" w:ascii="宋体" w:hAnsi="宋体" w:eastAsia="宋体" w:cs="宋体"/>
          <w:color w:val="auto"/>
          <w:sz w:val="21"/>
          <w:szCs w:val="21"/>
          <w:highlight w:val="none"/>
        </w:rPr>
        <w:t>除亡故、重大疾病、出国、辞职等原因外，原则上不得变更。其中①亡故的需提供公安部门开具的死亡证明</w:t>
      </w: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rPr>
        <w:t>重大疾病的需提供三甲及以上医院证明</w:t>
      </w:r>
      <w:r>
        <w:rPr>
          <w:rFonts w:hint="eastAsia" w:ascii="宋体" w:hAnsi="宋体" w:eastAsia="宋体" w:cs="宋体"/>
          <w:color w:val="auto"/>
          <w:sz w:val="21"/>
          <w:szCs w:val="21"/>
          <w:highlight w:val="none"/>
          <w:lang w:eastAsia="zh-CN"/>
        </w:rPr>
        <w:t>；③</w:t>
      </w:r>
      <w:r>
        <w:rPr>
          <w:rFonts w:hint="eastAsia" w:ascii="宋体" w:hAnsi="宋体" w:eastAsia="宋体" w:cs="宋体"/>
          <w:color w:val="auto"/>
          <w:sz w:val="21"/>
          <w:szCs w:val="21"/>
          <w:highlight w:val="none"/>
        </w:rPr>
        <w:t>出国、辞职等原因提出变更的，需提供相关证明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上述</w:t>
      </w: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lang w:eastAsia="zh-CN"/>
        </w:rPr>
        <w:t>③</w:t>
      </w:r>
      <w:r>
        <w:rPr>
          <w:rFonts w:hint="eastAsia" w:ascii="宋体" w:hAnsi="宋体" w:eastAsia="宋体" w:cs="宋体"/>
          <w:color w:val="auto"/>
          <w:sz w:val="21"/>
          <w:szCs w:val="21"/>
          <w:highlight w:val="none"/>
          <w:lang w:val="en-US" w:eastAsia="zh-CN"/>
        </w:rPr>
        <w:t>变更除需提供相关证明外，均</w:t>
      </w:r>
      <w:r>
        <w:rPr>
          <w:rFonts w:hint="eastAsia" w:ascii="宋体" w:hAnsi="宋体" w:eastAsia="宋体" w:cs="宋体"/>
          <w:color w:val="auto"/>
          <w:sz w:val="21"/>
          <w:szCs w:val="21"/>
          <w:highlight w:val="none"/>
        </w:rPr>
        <w:t>须缴纳</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万元违约金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否则不得变更。更换后的</w:t>
      </w:r>
      <w:r>
        <w:rPr>
          <w:rFonts w:hint="eastAsia" w:ascii="宋体" w:hAnsi="宋体" w:eastAsia="宋体" w:cs="宋体"/>
          <w:color w:val="auto"/>
          <w:sz w:val="21"/>
          <w:szCs w:val="21"/>
          <w:highlight w:val="none"/>
          <w:lang w:val="en-US" w:eastAsia="zh-CN"/>
        </w:rPr>
        <w:t>专业监理工程师的</w:t>
      </w:r>
      <w:r>
        <w:rPr>
          <w:rFonts w:hint="eastAsia" w:ascii="宋体" w:hAnsi="宋体" w:eastAsia="宋体" w:cs="宋体"/>
          <w:color w:val="auto"/>
          <w:sz w:val="21"/>
          <w:szCs w:val="21"/>
          <w:highlight w:val="none"/>
        </w:rPr>
        <w:t>资格、业绩等不得低于更换前的要求。</w:t>
      </w:r>
    </w:p>
    <w:p w14:paraId="5307215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更换其他监理人员，</w:t>
      </w:r>
      <w:r>
        <w:rPr>
          <w:rFonts w:hint="eastAsia" w:ascii="宋体" w:hAnsi="宋体" w:eastAsia="宋体" w:cs="宋体"/>
          <w:bCs/>
          <w:color w:val="auto"/>
          <w:sz w:val="21"/>
          <w:szCs w:val="21"/>
          <w:highlight w:val="none"/>
        </w:rPr>
        <w:t>未经发包人同意，不得更换</w:t>
      </w:r>
      <w:r>
        <w:rPr>
          <w:rFonts w:hint="eastAsia" w:ascii="宋体" w:hAnsi="宋体" w:eastAsia="宋体" w:cs="宋体"/>
          <w:color w:val="auto"/>
          <w:sz w:val="21"/>
          <w:szCs w:val="21"/>
          <w:highlight w:val="none"/>
        </w:rPr>
        <w:t>。确需变更的应提前7日向发包人提出书面申请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同时对</w:t>
      </w:r>
      <w:r>
        <w:rPr>
          <w:rFonts w:hint="eastAsia" w:ascii="宋体" w:hAnsi="宋体" w:cs="宋体"/>
          <w:b/>
          <w:color w:val="auto"/>
          <w:szCs w:val="21"/>
          <w:highlight w:val="none"/>
          <w:lang w:val="en-US" w:eastAsia="zh-CN"/>
        </w:rPr>
        <w:t>受托人</w:t>
      </w:r>
      <w:r>
        <w:rPr>
          <w:rFonts w:hint="eastAsia" w:ascii="宋体" w:hAnsi="宋体" w:eastAsia="宋体" w:cs="宋体"/>
          <w:color w:val="auto"/>
          <w:sz w:val="21"/>
          <w:szCs w:val="21"/>
          <w:highlight w:val="none"/>
        </w:rPr>
        <w:t>将予以违约金处理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委托人因</w:t>
      </w:r>
      <w:r>
        <w:rPr>
          <w:rFonts w:hint="eastAsia" w:ascii="宋体" w:hAnsi="宋体" w:cs="宋体"/>
          <w:b/>
          <w:color w:val="auto"/>
          <w:szCs w:val="21"/>
          <w:highlight w:val="none"/>
          <w:lang w:val="en-US" w:eastAsia="zh-CN"/>
        </w:rPr>
        <w:t>受托人</w:t>
      </w:r>
      <w:r>
        <w:rPr>
          <w:rFonts w:hint="eastAsia" w:ascii="宋体" w:hAnsi="宋体" w:eastAsia="宋体" w:cs="宋体"/>
          <w:color w:val="auto"/>
          <w:sz w:val="21"/>
          <w:szCs w:val="21"/>
          <w:highlight w:val="none"/>
        </w:rPr>
        <w:t>所派人员管理能力不善未能满足相关服务而要求更换人员的，</w:t>
      </w:r>
      <w:r>
        <w:rPr>
          <w:rFonts w:hint="eastAsia" w:ascii="宋体" w:hAnsi="宋体" w:cs="宋体"/>
          <w:b/>
          <w:color w:val="auto"/>
          <w:szCs w:val="21"/>
          <w:highlight w:val="none"/>
          <w:lang w:val="en-US" w:eastAsia="zh-CN"/>
        </w:rPr>
        <w:t>受托人</w:t>
      </w:r>
      <w:r>
        <w:rPr>
          <w:rFonts w:hint="eastAsia" w:ascii="宋体" w:hAnsi="宋体" w:eastAsia="宋体" w:cs="宋体"/>
          <w:color w:val="auto"/>
          <w:sz w:val="21"/>
          <w:szCs w:val="21"/>
          <w:highlight w:val="none"/>
        </w:rPr>
        <w:t>必须无条件更换，同时委托人将处予</w:t>
      </w:r>
      <w:r>
        <w:rPr>
          <w:rFonts w:hint="eastAsia" w:ascii="宋体" w:hAnsi="宋体" w:cs="宋体"/>
          <w:b/>
          <w:color w:val="auto"/>
          <w:szCs w:val="21"/>
          <w:highlight w:val="none"/>
          <w:lang w:val="en-US" w:eastAsia="zh-CN"/>
        </w:rPr>
        <w:t>受托人</w:t>
      </w:r>
      <w:r>
        <w:rPr>
          <w:rFonts w:hint="eastAsia" w:ascii="宋体" w:hAnsi="宋体" w:eastAsia="宋体" w:cs="宋体"/>
          <w:color w:val="auto"/>
          <w:sz w:val="21"/>
          <w:szCs w:val="21"/>
          <w:highlight w:val="none"/>
        </w:rPr>
        <w:t>一定的违约金。</w:t>
      </w:r>
    </w:p>
    <w:p w14:paraId="480D173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color w:val="auto"/>
          <w:sz w:val="21"/>
          <w:szCs w:val="21"/>
          <w:highlight w:val="none"/>
        </w:rPr>
        <w:t>拟派的总监理工程师在合同工期内每月在岗时间不得少于</w:t>
      </w:r>
      <w:r>
        <w:rPr>
          <w:rFonts w:hint="eastAsia" w:ascii="宋体" w:hAnsi="宋体" w:eastAsia="宋体" w:cs="宋体"/>
          <w:color w:val="auto"/>
          <w:sz w:val="21"/>
          <w:szCs w:val="21"/>
          <w:highlight w:val="none"/>
          <w:lang w:val="en-US" w:eastAsia="zh-CN"/>
        </w:rPr>
        <w:t>26</w:t>
      </w:r>
      <w:r>
        <w:rPr>
          <w:rFonts w:hint="eastAsia" w:ascii="宋体" w:hAnsi="宋体" w:eastAsia="宋体" w:cs="宋体"/>
          <w:color w:val="auto"/>
          <w:sz w:val="21"/>
          <w:szCs w:val="21"/>
          <w:highlight w:val="none"/>
        </w:rPr>
        <w:t>天</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每天在岗时间不得少于8小时，每缺少一天（含在岗不足8小时）将处以5000 元/人/次违约金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专业监理工程师和监理员在合同工期内每月在岗时间不得少于</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天</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每天在岗时间不得少于8小时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专业监理工程师</w:t>
      </w:r>
      <w:r>
        <w:rPr>
          <w:rFonts w:hint="eastAsia" w:ascii="宋体" w:hAnsi="宋体" w:eastAsia="宋体" w:cs="宋体"/>
          <w:color w:val="auto"/>
          <w:sz w:val="21"/>
          <w:szCs w:val="21"/>
          <w:highlight w:val="none"/>
        </w:rPr>
        <w:t>每缺少一天（含在岗不足8小时）将处以</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000元/人/次违约金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其他人员</w:t>
      </w:r>
      <w:r>
        <w:rPr>
          <w:rFonts w:hint="eastAsia" w:ascii="宋体" w:hAnsi="宋体" w:eastAsia="宋体" w:cs="宋体"/>
          <w:color w:val="auto"/>
          <w:sz w:val="21"/>
          <w:szCs w:val="21"/>
          <w:highlight w:val="none"/>
        </w:rPr>
        <w:t>每缺少一天（含在岗不足8小时）将处以2000元/人/次违约金。</w:t>
      </w:r>
    </w:p>
    <w:p w14:paraId="0B7960F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其他要求</w:t>
      </w:r>
    </w:p>
    <w:p w14:paraId="3AA86ABB">
      <w:pPr>
        <w:pStyle w:val="45"/>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r>
        <w:rPr>
          <w:rFonts w:hint="eastAsia"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.1拟组建的监理</w:t>
      </w:r>
      <w:r>
        <w:rPr>
          <w:rFonts w:hint="eastAsia" w:hAnsi="宋体" w:cs="宋体"/>
          <w:color w:val="auto"/>
          <w:kern w:val="2"/>
          <w:sz w:val="21"/>
          <w:szCs w:val="21"/>
          <w:highlight w:val="none"/>
          <w:lang w:val="en-US" w:eastAsia="zh-CN" w:bidi="ar-SA"/>
        </w:rPr>
        <w:t>机构</w:t>
      </w:r>
      <w:r>
        <w:rPr>
          <w:rFonts w:hint="eastAsia" w:ascii="宋体" w:hAnsi="宋体" w:eastAsia="宋体" w:cs="宋体"/>
          <w:color w:val="auto"/>
          <w:kern w:val="2"/>
          <w:sz w:val="21"/>
          <w:szCs w:val="21"/>
          <w:highlight w:val="none"/>
          <w:lang w:val="en-US" w:eastAsia="zh-CN" w:bidi="ar-SA"/>
        </w:rPr>
        <w:t>人员年龄均不得超过60周岁，其中</w:t>
      </w:r>
      <w:r>
        <w:rPr>
          <w:rFonts w:hint="eastAsia" w:hAnsi="宋体" w:cs="宋体"/>
          <w:color w:val="auto"/>
          <w:kern w:val="2"/>
          <w:sz w:val="21"/>
          <w:szCs w:val="21"/>
          <w:highlight w:val="none"/>
          <w:lang w:val="en-US" w:eastAsia="zh-CN" w:bidi="ar-SA"/>
        </w:rPr>
        <w:t>项目</w:t>
      </w:r>
      <w:r>
        <w:rPr>
          <w:rFonts w:hint="eastAsia" w:ascii="宋体" w:hAnsi="宋体" w:eastAsia="宋体" w:cs="宋体"/>
          <w:color w:val="auto"/>
          <w:kern w:val="2"/>
          <w:sz w:val="21"/>
          <w:szCs w:val="21"/>
          <w:highlight w:val="none"/>
          <w:lang w:val="en-US" w:eastAsia="zh-CN" w:bidi="ar-SA"/>
        </w:rPr>
        <w:t>负责人（总监理工程师）的国家级注册监理工程师证书在投标单位注册且在有效期内的可延至65周岁。投标人须确保</w:t>
      </w:r>
      <w:r>
        <w:rPr>
          <w:rFonts w:hint="eastAsia" w:hAnsi="宋体" w:cs="宋体"/>
          <w:color w:val="auto"/>
          <w:kern w:val="2"/>
          <w:sz w:val="21"/>
          <w:szCs w:val="21"/>
          <w:highlight w:val="none"/>
          <w:lang w:val="en-US" w:eastAsia="zh-CN" w:bidi="ar-SA"/>
        </w:rPr>
        <w:t>项目</w:t>
      </w:r>
      <w:r>
        <w:rPr>
          <w:rFonts w:hint="eastAsia" w:ascii="宋体" w:hAnsi="宋体" w:eastAsia="宋体" w:cs="宋体"/>
          <w:color w:val="auto"/>
          <w:kern w:val="2"/>
          <w:sz w:val="21"/>
          <w:szCs w:val="21"/>
          <w:highlight w:val="none"/>
          <w:lang w:val="en-US" w:eastAsia="zh-CN" w:bidi="ar-SA"/>
        </w:rPr>
        <w:t>负责人的国家注册监理工程师证书在项目整体服务周期内均有效。否则除</w:t>
      </w:r>
      <w:r>
        <w:rPr>
          <w:rFonts w:hint="eastAsia" w:ascii="宋体" w:hAnsi="宋体" w:eastAsia="宋体" w:cs="宋体"/>
          <w:color w:val="auto"/>
          <w:kern w:val="2"/>
          <w:sz w:val="21"/>
          <w:szCs w:val="21"/>
          <w:highlight w:val="none"/>
          <w:lang w:val="en-US" w:eastAsia="zh-CN" w:bidi="ar-SA"/>
        </w:rPr>
        <w:t>以</w:t>
      </w:r>
      <w:r>
        <w:rPr>
          <w:rFonts w:hint="eastAsia" w:hAnsi="宋体" w:cs="宋体"/>
          <w:color w:val="auto"/>
          <w:kern w:val="2"/>
          <w:sz w:val="21"/>
          <w:szCs w:val="21"/>
          <w:highlight w:val="none"/>
          <w:lang w:val="en-US" w:eastAsia="zh-CN" w:bidi="ar-SA"/>
        </w:rPr>
        <w:t>20</w:t>
      </w:r>
      <w:r>
        <w:rPr>
          <w:rFonts w:hint="eastAsia" w:ascii="宋体" w:hAnsi="宋体" w:eastAsia="宋体" w:cs="宋体"/>
          <w:color w:val="auto"/>
          <w:kern w:val="2"/>
          <w:sz w:val="21"/>
          <w:szCs w:val="21"/>
          <w:highlight w:val="none"/>
          <w:lang w:val="en-US" w:eastAsia="zh-CN" w:bidi="ar-SA"/>
        </w:rPr>
        <w:t>万元/人</w:t>
      </w:r>
      <w:r>
        <w:rPr>
          <w:rFonts w:hint="eastAsia" w:ascii="宋体" w:hAnsi="宋体" w:eastAsia="宋体" w:cs="宋体"/>
          <w:color w:val="auto"/>
          <w:kern w:val="2"/>
          <w:sz w:val="21"/>
          <w:szCs w:val="21"/>
          <w:highlight w:val="none"/>
          <w:lang w:val="en-US" w:eastAsia="zh-CN" w:bidi="ar-SA"/>
        </w:rPr>
        <w:t>违约金。</w:t>
      </w:r>
    </w:p>
    <w:p w14:paraId="6D0E2398">
      <w:pPr>
        <w:pStyle w:val="45"/>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r>
        <w:rPr>
          <w:rFonts w:hint="eastAsia"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.2开评标过程中，</w:t>
      </w:r>
      <w:r>
        <w:rPr>
          <w:rFonts w:hint="eastAsia" w:ascii="宋体" w:hAnsi="宋体" w:eastAsia="宋体" w:cs="宋体"/>
          <w:b w:val="0"/>
          <w:bCs w:val="0"/>
          <w:color w:val="auto"/>
          <w:sz w:val="21"/>
          <w:szCs w:val="21"/>
          <w:highlight w:val="none"/>
        </w:rPr>
        <w:t>除监理员</w:t>
      </w:r>
      <w:r>
        <w:rPr>
          <w:rFonts w:hint="eastAsia" w:ascii="宋体" w:hAnsi="宋体" w:eastAsia="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lang w:eastAsia="zh-CN"/>
        </w:rPr>
        <w:t>见证员</w:t>
      </w:r>
      <w:r>
        <w:rPr>
          <w:rFonts w:hint="eastAsia" w:ascii="宋体" w:hAnsi="宋体" w:eastAsia="宋体" w:cs="宋体"/>
          <w:b w:val="0"/>
          <w:bCs w:val="0"/>
          <w:color w:val="auto"/>
          <w:sz w:val="21"/>
          <w:szCs w:val="21"/>
          <w:highlight w:val="none"/>
          <w:lang w:val="en-US" w:eastAsia="zh-CN"/>
        </w:rPr>
        <w:t>外，其余人员均须提供相关证书和投标单位为其缴纳的投标前近三个月的社保材料。</w:t>
      </w:r>
    </w:p>
    <w:p w14:paraId="2F4F8EF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.3中标单位进场前，须在规定时间内向招标人提供投标文件所配置的所有监理</w:t>
      </w:r>
      <w:r>
        <w:rPr>
          <w:rFonts w:hint="eastAsia" w:ascii="宋体" w:hAnsi="宋体" w:cs="宋体"/>
          <w:b w:val="0"/>
          <w:bCs w:val="0"/>
          <w:color w:val="auto"/>
          <w:sz w:val="21"/>
          <w:szCs w:val="21"/>
          <w:highlight w:val="none"/>
          <w:lang w:val="en-US" w:eastAsia="zh-CN"/>
        </w:rPr>
        <w:t>机构</w:t>
      </w:r>
      <w:r>
        <w:rPr>
          <w:rFonts w:hint="eastAsia" w:ascii="宋体" w:hAnsi="宋体" w:eastAsia="宋体" w:cs="宋体"/>
          <w:b w:val="0"/>
          <w:bCs w:val="0"/>
          <w:color w:val="auto"/>
          <w:sz w:val="21"/>
          <w:szCs w:val="21"/>
          <w:highlight w:val="none"/>
          <w:lang w:val="en-US" w:eastAsia="zh-CN"/>
        </w:rPr>
        <w:t>人员的证书（已下文明确取消的证书，须提供相关证明材料）及投标单位为其缴纳的投标前近三个月的社保材料原件进行现场审核。未在规定时间内提供或所提供的人员不满足要求的，且情节严重的，提请建设行政主管部门和招投标监督管理部门进行处罚。</w:t>
      </w:r>
      <w:r>
        <w:rPr>
          <w:color w:val="auto"/>
          <w:highlight w:val="none"/>
        </w:rPr>
        <w:br w:type="page"/>
      </w:r>
    </w:p>
    <w:p w14:paraId="22FDB4B2">
      <w:pPr>
        <w:rPr>
          <w:color w:val="auto"/>
          <w:highlight w:val="none"/>
        </w:rPr>
      </w:pPr>
    </w:p>
    <w:p w14:paraId="0B3762D7">
      <w:pPr>
        <w:pStyle w:val="43"/>
        <w:spacing w:beforeLines="50" w:afterLines="50" w:line="440" w:lineRule="exact"/>
        <w:rPr>
          <w:bCs/>
          <w:color w:val="auto"/>
          <w:szCs w:val="32"/>
          <w:highlight w:val="none"/>
        </w:rPr>
      </w:pPr>
      <w:bookmarkStart w:id="778" w:name="_Toc246996354"/>
      <w:bookmarkStart w:id="779" w:name="_Toc324404888"/>
      <w:bookmarkStart w:id="780" w:name="_Toc15058934"/>
      <w:bookmarkStart w:id="781" w:name="_Toc35425136"/>
      <w:bookmarkStart w:id="782" w:name="_Toc152042575"/>
      <w:bookmarkStart w:id="783" w:name="_Toc35424970"/>
      <w:bookmarkStart w:id="784" w:name="_Toc152045786"/>
      <w:bookmarkStart w:id="785" w:name="_Toc246997097"/>
      <w:bookmarkStart w:id="786" w:name="_Toc16786"/>
      <w:bookmarkStart w:id="787" w:name="_Toc247085872"/>
      <w:bookmarkStart w:id="788" w:name="_Toc179632806"/>
      <w:bookmarkStart w:id="789" w:name="_Toc144974855"/>
      <w:bookmarkStart w:id="790" w:name="_Toc506107340"/>
      <w:r>
        <w:rPr>
          <w:rFonts w:hint="eastAsia"/>
          <w:bCs/>
          <w:color w:val="auto"/>
          <w:szCs w:val="32"/>
          <w:highlight w:val="none"/>
        </w:rPr>
        <w:t>第</w:t>
      </w:r>
      <w:r>
        <w:rPr>
          <w:rFonts w:hint="eastAsia"/>
          <w:bCs/>
          <w:color w:val="auto"/>
          <w:szCs w:val="32"/>
          <w:highlight w:val="none"/>
          <w:lang w:val="en-US" w:eastAsia="zh-CN"/>
        </w:rPr>
        <w:t>六</w:t>
      </w:r>
      <w:r>
        <w:rPr>
          <w:rFonts w:hint="eastAsia"/>
          <w:bCs/>
          <w:color w:val="auto"/>
          <w:szCs w:val="32"/>
          <w:highlight w:val="none"/>
        </w:rPr>
        <w:t>章</w:t>
      </w:r>
      <w:r>
        <w:rPr>
          <w:bCs/>
          <w:color w:val="auto"/>
          <w:szCs w:val="32"/>
          <w:highlight w:val="none"/>
        </w:rPr>
        <w:t xml:space="preserve">   </w:t>
      </w:r>
      <w:r>
        <w:rPr>
          <w:rFonts w:hint="eastAsia"/>
          <w:bCs/>
          <w:color w:val="auto"/>
          <w:szCs w:val="32"/>
          <w:highlight w:val="none"/>
        </w:rPr>
        <w:t>投标文件格式</w:t>
      </w:r>
      <w:bookmarkEnd w:id="778"/>
      <w:bookmarkEnd w:id="779"/>
      <w:bookmarkEnd w:id="780"/>
      <w:bookmarkEnd w:id="781"/>
      <w:bookmarkEnd w:id="782"/>
      <w:bookmarkEnd w:id="783"/>
      <w:bookmarkEnd w:id="784"/>
      <w:bookmarkEnd w:id="785"/>
      <w:bookmarkEnd w:id="786"/>
      <w:bookmarkEnd w:id="787"/>
      <w:bookmarkEnd w:id="788"/>
      <w:bookmarkEnd w:id="789"/>
      <w:bookmarkEnd w:id="790"/>
    </w:p>
    <w:p w14:paraId="13856471">
      <w:pPr>
        <w:rPr>
          <w:color w:val="auto"/>
          <w:highlight w:val="none"/>
        </w:rPr>
      </w:pPr>
    </w:p>
    <w:p w14:paraId="62866B08">
      <w:pPr>
        <w:rPr>
          <w:color w:val="auto"/>
          <w:highlight w:val="none"/>
        </w:rPr>
      </w:pPr>
    </w:p>
    <w:p w14:paraId="0501365B">
      <w:pPr>
        <w:rPr>
          <w:color w:val="auto"/>
          <w:highlight w:val="none"/>
        </w:rPr>
      </w:pPr>
    </w:p>
    <w:p w14:paraId="1D0D50B9">
      <w:pPr>
        <w:jc w:val="center"/>
        <w:rPr>
          <w:rFonts w:eastAsia="黑体"/>
          <w:color w:val="auto"/>
          <w:sz w:val="20"/>
          <w:szCs w:val="20"/>
          <w:highlight w:val="none"/>
        </w:rPr>
      </w:pPr>
      <w:r>
        <w:rPr>
          <w:rFonts w:eastAsia="黑体"/>
          <w:color w:val="auto"/>
          <w:sz w:val="28"/>
          <w:szCs w:val="28"/>
          <w:highlight w:val="none"/>
          <w:u w:val="single"/>
        </w:rPr>
        <w:t xml:space="preserve">                </w:t>
      </w:r>
      <w:r>
        <w:rPr>
          <w:rFonts w:hint="eastAsia" w:eastAsia="黑体"/>
          <w:color w:val="auto"/>
          <w:sz w:val="28"/>
          <w:szCs w:val="28"/>
          <w:highlight w:val="none"/>
        </w:rPr>
        <w:t>（项目名称）</w:t>
      </w:r>
    </w:p>
    <w:p w14:paraId="2B378984">
      <w:pPr>
        <w:jc w:val="center"/>
        <w:rPr>
          <w:rFonts w:eastAsia="黑体"/>
          <w:color w:val="auto"/>
          <w:sz w:val="20"/>
          <w:szCs w:val="20"/>
          <w:highlight w:val="none"/>
        </w:rPr>
      </w:pPr>
    </w:p>
    <w:p w14:paraId="117B24B7">
      <w:pPr>
        <w:jc w:val="center"/>
        <w:rPr>
          <w:rFonts w:eastAsia="黑体"/>
          <w:color w:val="auto"/>
          <w:sz w:val="20"/>
          <w:szCs w:val="20"/>
          <w:highlight w:val="none"/>
        </w:rPr>
      </w:pPr>
    </w:p>
    <w:p w14:paraId="5495DF96">
      <w:pPr>
        <w:jc w:val="center"/>
        <w:rPr>
          <w:rFonts w:eastAsia="黑体"/>
          <w:color w:val="auto"/>
          <w:sz w:val="20"/>
          <w:szCs w:val="20"/>
          <w:highlight w:val="none"/>
        </w:rPr>
      </w:pPr>
    </w:p>
    <w:p w14:paraId="3BC67322">
      <w:pPr>
        <w:rPr>
          <w:rFonts w:eastAsia="黑体"/>
          <w:color w:val="auto"/>
          <w:sz w:val="20"/>
          <w:szCs w:val="20"/>
          <w:highlight w:val="none"/>
        </w:rPr>
      </w:pPr>
    </w:p>
    <w:p w14:paraId="37DFCFD0">
      <w:pPr>
        <w:jc w:val="center"/>
        <w:rPr>
          <w:rFonts w:eastAsia="黑体"/>
          <w:color w:val="auto"/>
          <w:sz w:val="44"/>
          <w:szCs w:val="44"/>
          <w:highlight w:val="none"/>
        </w:rPr>
      </w:pPr>
      <w:r>
        <w:rPr>
          <w:rFonts w:hint="eastAsia" w:eastAsia="黑体"/>
          <w:color w:val="auto"/>
          <w:sz w:val="44"/>
          <w:szCs w:val="44"/>
          <w:highlight w:val="none"/>
        </w:rPr>
        <w:t>投</w:t>
      </w:r>
      <w:r>
        <w:rPr>
          <w:rFonts w:eastAsia="黑体"/>
          <w:color w:val="auto"/>
          <w:sz w:val="44"/>
          <w:szCs w:val="44"/>
          <w:highlight w:val="none"/>
        </w:rPr>
        <w:t xml:space="preserve">  </w:t>
      </w:r>
      <w:r>
        <w:rPr>
          <w:rFonts w:hint="eastAsia" w:eastAsia="黑体"/>
          <w:color w:val="auto"/>
          <w:sz w:val="44"/>
          <w:szCs w:val="44"/>
          <w:highlight w:val="none"/>
        </w:rPr>
        <w:t>标</w:t>
      </w:r>
      <w:r>
        <w:rPr>
          <w:rFonts w:eastAsia="黑体"/>
          <w:color w:val="auto"/>
          <w:sz w:val="44"/>
          <w:szCs w:val="44"/>
          <w:highlight w:val="none"/>
        </w:rPr>
        <w:t xml:space="preserve">  </w:t>
      </w:r>
      <w:r>
        <w:rPr>
          <w:rFonts w:hint="eastAsia" w:eastAsia="黑体"/>
          <w:color w:val="auto"/>
          <w:sz w:val="44"/>
          <w:szCs w:val="44"/>
          <w:highlight w:val="none"/>
        </w:rPr>
        <w:t>文</w:t>
      </w:r>
      <w:r>
        <w:rPr>
          <w:rFonts w:eastAsia="黑体"/>
          <w:color w:val="auto"/>
          <w:sz w:val="44"/>
          <w:szCs w:val="44"/>
          <w:highlight w:val="none"/>
        </w:rPr>
        <w:t xml:space="preserve">  </w:t>
      </w:r>
      <w:r>
        <w:rPr>
          <w:rFonts w:hint="eastAsia" w:eastAsia="黑体"/>
          <w:color w:val="auto"/>
          <w:sz w:val="44"/>
          <w:szCs w:val="44"/>
          <w:highlight w:val="none"/>
        </w:rPr>
        <w:t>件</w:t>
      </w:r>
      <w:r>
        <w:rPr>
          <w:rFonts w:eastAsia="黑体"/>
          <w:color w:val="auto"/>
          <w:sz w:val="44"/>
          <w:szCs w:val="44"/>
          <w:highlight w:val="none"/>
        </w:rPr>
        <w:t xml:space="preserve"> </w:t>
      </w:r>
      <w:r>
        <w:rPr>
          <w:rFonts w:hint="eastAsia" w:eastAsia="黑体"/>
          <w:color w:val="auto"/>
          <w:sz w:val="44"/>
          <w:szCs w:val="44"/>
          <w:highlight w:val="none"/>
        </w:rPr>
        <w:t>一</w:t>
      </w:r>
    </w:p>
    <w:p w14:paraId="7586E60A">
      <w:pPr>
        <w:jc w:val="center"/>
        <w:rPr>
          <w:rFonts w:eastAsia="黑体"/>
          <w:color w:val="auto"/>
          <w:sz w:val="44"/>
          <w:szCs w:val="44"/>
          <w:highlight w:val="none"/>
        </w:rPr>
      </w:pPr>
      <w:r>
        <w:rPr>
          <w:rFonts w:hint="eastAsia" w:eastAsia="黑体"/>
          <w:color w:val="auto"/>
          <w:sz w:val="44"/>
          <w:szCs w:val="44"/>
          <w:highlight w:val="none"/>
        </w:rPr>
        <w:t>（资信证明文件）</w:t>
      </w:r>
    </w:p>
    <w:p w14:paraId="5B9BFC31">
      <w:pPr>
        <w:rPr>
          <w:rFonts w:eastAsia="黑体"/>
          <w:color w:val="auto"/>
          <w:sz w:val="28"/>
          <w:szCs w:val="28"/>
          <w:highlight w:val="none"/>
        </w:rPr>
      </w:pPr>
    </w:p>
    <w:p w14:paraId="49651E5C">
      <w:pPr>
        <w:rPr>
          <w:rFonts w:eastAsia="黑体"/>
          <w:color w:val="auto"/>
          <w:sz w:val="28"/>
          <w:szCs w:val="28"/>
          <w:highlight w:val="none"/>
        </w:rPr>
      </w:pPr>
    </w:p>
    <w:p w14:paraId="7802E95E">
      <w:pPr>
        <w:rPr>
          <w:rFonts w:eastAsia="黑体"/>
          <w:color w:val="auto"/>
          <w:sz w:val="28"/>
          <w:szCs w:val="28"/>
          <w:highlight w:val="none"/>
        </w:rPr>
      </w:pPr>
    </w:p>
    <w:p w14:paraId="24A25325">
      <w:pPr>
        <w:rPr>
          <w:rFonts w:eastAsia="黑体"/>
          <w:color w:val="auto"/>
          <w:sz w:val="28"/>
          <w:szCs w:val="28"/>
          <w:highlight w:val="none"/>
        </w:rPr>
      </w:pPr>
    </w:p>
    <w:p w14:paraId="07EAEB63">
      <w:pPr>
        <w:pStyle w:val="45"/>
        <w:ind w:left="31680" w:firstLine="31680"/>
        <w:rPr>
          <w:rFonts w:ascii="Times New Roman"/>
          <w:color w:val="auto"/>
          <w:szCs w:val="24"/>
          <w:highlight w:val="none"/>
        </w:rPr>
      </w:pPr>
    </w:p>
    <w:p w14:paraId="61BA63EA">
      <w:pPr>
        <w:rPr>
          <w:color w:val="auto"/>
          <w:highlight w:val="none"/>
        </w:rPr>
      </w:pPr>
    </w:p>
    <w:p w14:paraId="20383BEC">
      <w:pPr>
        <w:pStyle w:val="45"/>
        <w:ind w:left="31680" w:firstLine="31680"/>
        <w:rPr>
          <w:color w:val="auto"/>
          <w:highlight w:val="none"/>
        </w:rPr>
      </w:pPr>
    </w:p>
    <w:p w14:paraId="6EFD1EF9">
      <w:pPr>
        <w:rPr>
          <w:color w:val="auto"/>
          <w:highlight w:val="none"/>
        </w:rPr>
      </w:pPr>
    </w:p>
    <w:p w14:paraId="20A60105">
      <w:pPr>
        <w:pStyle w:val="45"/>
        <w:rPr>
          <w:color w:val="auto"/>
          <w:highlight w:val="none"/>
        </w:rPr>
      </w:pPr>
    </w:p>
    <w:p w14:paraId="2EB870AC">
      <w:pPr>
        <w:rPr>
          <w:rFonts w:eastAsia="黑体"/>
          <w:color w:val="auto"/>
          <w:sz w:val="28"/>
          <w:szCs w:val="28"/>
          <w:highlight w:val="none"/>
        </w:rPr>
      </w:pPr>
    </w:p>
    <w:p w14:paraId="10BD2EB2">
      <w:pPr>
        <w:pStyle w:val="45"/>
        <w:ind w:left="31680" w:firstLine="31680"/>
        <w:rPr>
          <w:color w:val="auto"/>
          <w:highlight w:val="none"/>
        </w:rPr>
      </w:pPr>
    </w:p>
    <w:p w14:paraId="1587F472">
      <w:pPr>
        <w:rPr>
          <w:rFonts w:eastAsia="黑体"/>
          <w:color w:val="auto"/>
          <w:sz w:val="28"/>
          <w:szCs w:val="28"/>
          <w:highlight w:val="none"/>
        </w:rPr>
      </w:pPr>
    </w:p>
    <w:p w14:paraId="3404BA90">
      <w:pPr>
        <w:rPr>
          <w:rFonts w:eastAsia="黑体"/>
          <w:color w:val="auto"/>
          <w:sz w:val="28"/>
          <w:szCs w:val="28"/>
          <w:highlight w:val="none"/>
        </w:rPr>
      </w:pPr>
    </w:p>
    <w:p w14:paraId="177572AA">
      <w:pPr>
        <w:jc w:val="center"/>
        <w:rPr>
          <w:rFonts w:eastAsia="黑体"/>
          <w:color w:val="auto"/>
          <w:sz w:val="28"/>
          <w:szCs w:val="28"/>
          <w:highlight w:val="none"/>
          <w:u w:val="single"/>
        </w:rPr>
      </w:pPr>
      <w:r>
        <w:rPr>
          <w:rFonts w:hint="eastAsia" w:eastAsia="黑体"/>
          <w:color w:val="auto"/>
          <w:sz w:val="28"/>
          <w:szCs w:val="28"/>
          <w:highlight w:val="none"/>
        </w:rPr>
        <w:t>投标人：</w:t>
      </w:r>
      <w:r>
        <w:rPr>
          <w:rFonts w:eastAsia="黑体"/>
          <w:color w:val="auto"/>
          <w:sz w:val="28"/>
          <w:szCs w:val="28"/>
          <w:highlight w:val="none"/>
          <w:u w:val="single"/>
        </w:rPr>
        <w:t xml:space="preserve">                              </w:t>
      </w:r>
      <w:r>
        <w:rPr>
          <w:rFonts w:hint="eastAsia" w:eastAsia="黑体"/>
          <w:color w:val="auto"/>
          <w:sz w:val="28"/>
          <w:szCs w:val="28"/>
          <w:highlight w:val="none"/>
        </w:rPr>
        <w:t>（签章）</w:t>
      </w:r>
    </w:p>
    <w:p w14:paraId="421A034A">
      <w:pPr>
        <w:jc w:val="center"/>
        <w:rPr>
          <w:rFonts w:eastAsia="黑体"/>
          <w:color w:val="auto"/>
          <w:sz w:val="28"/>
          <w:szCs w:val="28"/>
          <w:highlight w:val="none"/>
        </w:rPr>
      </w:pPr>
      <w:r>
        <w:rPr>
          <w:rFonts w:hint="eastAsia" w:eastAsia="黑体"/>
          <w:color w:val="auto"/>
          <w:sz w:val="28"/>
          <w:szCs w:val="28"/>
          <w:highlight w:val="none"/>
        </w:rPr>
        <w:t>法定代表人：</w:t>
      </w:r>
      <w:r>
        <w:rPr>
          <w:rFonts w:eastAsia="黑体"/>
          <w:color w:val="auto"/>
          <w:sz w:val="28"/>
          <w:szCs w:val="28"/>
          <w:highlight w:val="none"/>
          <w:u w:val="single"/>
        </w:rPr>
        <w:t xml:space="preserve">                          </w:t>
      </w:r>
      <w:r>
        <w:rPr>
          <w:rFonts w:hint="eastAsia" w:eastAsia="黑体"/>
          <w:color w:val="auto"/>
          <w:sz w:val="28"/>
          <w:szCs w:val="28"/>
          <w:highlight w:val="none"/>
        </w:rPr>
        <w:t>（签章）</w:t>
      </w:r>
    </w:p>
    <w:p w14:paraId="27AD8A32">
      <w:pPr>
        <w:jc w:val="center"/>
        <w:rPr>
          <w:rFonts w:eastAsia="黑体"/>
          <w:color w:val="auto"/>
          <w:sz w:val="28"/>
          <w:szCs w:val="28"/>
          <w:highlight w:val="none"/>
        </w:rPr>
      </w:pPr>
      <w:r>
        <w:rPr>
          <w:rFonts w:eastAsia="黑体"/>
          <w:color w:val="auto"/>
          <w:sz w:val="28"/>
          <w:szCs w:val="28"/>
          <w:highlight w:val="none"/>
          <w:u w:val="single"/>
        </w:rPr>
        <w:t xml:space="preserve">        </w:t>
      </w:r>
      <w:r>
        <w:rPr>
          <w:rFonts w:hint="eastAsia" w:eastAsia="黑体"/>
          <w:color w:val="auto"/>
          <w:sz w:val="28"/>
          <w:szCs w:val="28"/>
          <w:highlight w:val="none"/>
        </w:rPr>
        <w:t>年</w:t>
      </w:r>
      <w:r>
        <w:rPr>
          <w:rFonts w:eastAsia="黑体"/>
          <w:color w:val="auto"/>
          <w:sz w:val="28"/>
          <w:szCs w:val="28"/>
          <w:highlight w:val="none"/>
          <w:u w:val="single"/>
        </w:rPr>
        <w:t xml:space="preserve">        </w:t>
      </w:r>
      <w:r>
        <w:rPr>
          <w:rFonts w:hint="eastAsia" w:eastAsia="黑体"/>
          <w:color w:val="auto"/>
          <w:sz w:val="28"/>
          <w:szCs w:val="28"/>
          <w:highlight w:val="none"/>
        </w:rPr>
        <w:t>月</w:t>
      </w:r>
      <w:r>
        <w:rPr>
          <w:rFonts w:eastAsia="黑体"/>
          <w:color w:val="auto"/>
          <w:sz w:val="28"/>
          <w:szCs w:val="28"/>
          <w:highlight w:val="none"/>
          <w:u w:val="single"/>
        </w:rPr>
        <w:t xml:space="preserve">        </w:t>
      </w:r>
      <w:r>
        <w:rPr>
          <w:rFonts w:hint="eastAsia" w:eastAsia="黑体"/>
          <w:color w:val="auto"/>
          <w:sz w:val="28"/>
          <w:szCs w:val="28"/>
          <w:highlight w:val="none"/>
        </w:rPr>
        <w:t>日</w:t>
      </w:r>
    </w:p>
    <w:p w14:paraId="17480EED">
      <w:pPr>
        <w:pStyle w:val="45"/>
        <w:ind w:left="0" w:leftChars="0" w:firstLine="0" w:firstLineChars="0"/>
        <w:rPr>
          <w:color w:val="auto"/>
          <w:highlight w:val="none"/>
        </w:rPr>
      </w:pPr>
      <w:bookmarkStart w:id="791" w:name="_Toc35424971"/>
      <w:bookmarkStart w:id="792" w:name="_Toc12683"/>
      <w:bookmarkStart w:id="793" w:name="_Toc35425137"/>
    </w:p>
    <w:p w14:paraId="16443431">
      <w:pPr>
        <w:spacing w:beforeLines="50" w:afterLines="50" w:line="440" w:lineRule="exact"/>
        <w:ind w:firstLine="643" w:firstLineChars="200"/>
        <w:jc w:val="left"/>
        <w:rPr>
          <w:rFonts w:ascii="宋体" w:cs="宋体"/>
          <w:b/>
          <w:color w:val="auto"/>
          <w:sz w:val="28"/>
          <w:szCs w:val="28"/>
          <w:highlight w:val="none"/>
        </w:rPr>
      </w:pPr>
      <w:r>
        <w:rPr>
          <w:rStyle w:val="65"/>
          <w:rFonts w:hint="eastAsia" w:ascii="宋体" w:hAnsi="宋体" w:cs="宋体"/>
          <w:bCs/>
          <w:color w:val="auto"/>
          <w:sz w:val="32"/>
          <w:szCs w:val="44"/>
          <w:highlight w:val="none"/>
        </w:rPr>
        <w:t>投标文件一</w:t>
      </w:r>
      <w:bookmarkEnd w:id="791"/>
      <w:bookmarkEnd w:id="792"/>
      <w:bookmarkEnd w:id="793"/>
      <w:r>
        <w:rPr>
          <w:rFonts w:hint="eastAsia" w:ascii="宋体" w:hAnsi="宋体" w:cs="宋体"/>
          <w:b/>
          <w:color w:val="auto"/>
          <w:sz w:val="28"/>
          <w:szCs w:val="28"/>
          <w:highlight w:val="none"/>
        </w:rPr>
        <w:t>：资信证明文件目录</w:t>
      </w:r>
    </w:p>
    <w:p w14:paraId="6F240358">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）法定代表人身份证明和本人有效身份证</w:t>
      </w:r>
      <w:r>
        <w:rPr>
          <w:rFonts w:ascii="宋体" w:hAnsi="宋体" w:cs="宋体"/>
          <w:color w:val="auto"/>
          <w:szCs w:val="21"/>
          <w:highlight w:val="none"/>
        </w:rPr>
        <w:t>(</w:t>
      </w:r>
      <w:r>
        <w:rPr>
          <w:rFonts w:hint="eastAsia" w:ascii="宋体" w:hAnsi="宋体" w:cs="宋体"/>
          <w:color w:val="auto"/>
          <w:szCs w:val="21"/>
          <w:highlight w:val="none"/>
        </w:rPr>
        <w:t>或法定代表人授权委托书和委托代理人有效身份证</w:t>
      </w:r>
      <w:r>
        <w:rPr>
          <w:rFonts w:ascii="宋体" w:hAnsi="宋体" w:cs="宋体"/>
          <w:color w:val="auto"/>
          <w:szCs w:val="21"/>
          <w:highlight w:val="none"/>
        </w:rPr>
        <w:t>)</w:t>
      </w:r>
      <w:r>
        <w:rPr>
          <w:rFonts w:hint="eastAsia" w:ascii="宋体" w:hAnsi="宋体" w:cs="宋体"/>
          <w:color w:val="auto"/>
          <w:szCs w:val="21"/>
          <w:highlight w:val="none"/>
        </w:rPr>
        <w:t>；</w:t>
      </w:r>
    </w:p>
    <w:p w14:paraId="368339A0">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w:t>
      </w:r>
      <w:r>
        <w:rPr>
          <w:rFonts w:hint="eastAsia" w:ascii="宋体" w:cs="宋体"/>
          <w:color w:val="auto"/>
          <w:szCs w:val="21"/>
          <w:highlight w:val="none"/>
        </w:rPr>
        <w:t>诚信投标承诺书（或《公共信用信息报告（无违法违规证明版</w:t>
      </w:r>
      <w:r>
        <w:rPr>
          <w:rFonts w:hint="eastAsia" w:ascii="宋体" w:cs="宋体"/>
          <w:color w:val="auto"/>
          <w:szCs w:val="21"/>
          <w:highlight w:val="none"/>
          <w:lang w:val="en-US" w:eastAsia="zh-CN"/>
        </w:rPr>
        <w:t>或核查版</w:t>
      </w:r>
      <w:r>
        <w:rPr>
          <w:rFonts w:hint="eastAsia" w:asci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格式见附件）</w:t>
      </w:r>
      <w:r>
        <w:rPr>
          <w:rFonts w:hint="eastAsia" w:ascii="宋体" w:hAnsi="宋体" w:cs="宋体"/>
          <w:color w:val="auto"/>
          <w:szCs w:val="21"/>
          <w:highlight w:val="none"/>
        </w:rPr>
        <w:t>；</w:t>
      </w:r>
    </w:p>
    <w:p w14:paraId="0FF4A35D">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）企业营业执照；</w:t>
      </w:r>
    </w:p>
    <w:p w14:paraId="15FE1A39">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w:t>
      </w:r>
      <w:r>
        <w:rPr>
          <w:rFonts w:hint="eastAsia" w:ascii="宋体" w:hAnsi="宋体" w:cs="宋体"/>
          <w:color w:val="auto"/>
          <w:szCs w:val="21"/>
          <w:highlight w:val="none"/>
        </w:rPr>
        <w:t>企业资质证书</w:t>
      </w:r>
      <w:r>
        <w:rPr>
          <w:rFonts w:hint="eastAsia" w:ascii="宋体" w:hAnsi="宋体" w:cs="宋体"/>
          <w:color w:val="auto"/>
          <w:highlight w:val="none"/>
        </w:rPr>
        <w:t>；</w:t>
      </w:r>
    </w:p>
    <w:p w14:paraId="385661C8">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）拟派</w:t>
      </w:r>
      <w:r>
        <w:rPr>
          <w:rFonts w:hint="eastAsia" w:ascii="宋体" w:hAnsi="宋体" w:cs="宋体"/>
          <w:color w:val="auto"/>
          <w:szCs w:val="21"/>
          <w:highlight w:val="none"/>
        </w:rPr>
        <w:t>项目</w:t>
      </w:r>
      <w:r>
        <w:rPr>
          <w:rFonts w:hint="eastAsia" w:ascii="宋体" w:hAnsi="宋体" w:cs="宋体"/>
          <w:color w:val="auto"/>
          <w:szCs w:val="21"/>
          <w:highlight w:val="none"/>
          <w:lang w:val="en-US" w:eastAsia="zh-CN"/>
        </w:rPr>
        <w:t>负责人</w:t>
      </w:r>
      <w:r>
        <w:rPr>
          <w:rFonts w:hint="eastAsia" w:ascii="宋体" w:hAnsi="宋体" w:cs="宋体"/>
          <w:color w:val="auto"/>
          <w:szCs w:val="21"/>
          <w:highlight w:val="none"/>
        </w:rPr>
        <w:t>（总监理工程师）有效</w:t>
      </w:r>
      <w:r>
        <w:rPr>
          <w:rFonts w:hint="eastAsia" w:ascii="宋体" w:hAnsi="宋体" w:cs="宋体"/>
          <w:color w:val="auto"/>
          <w:highlight w:val="none"/>
        </w:rPr>
        <w:t>身份证</w:t>
      </w:r>
      <w:r>
        <w:rPr>
          <w:rFonts w:hint="eastAsia" w:hAnsi="宋体" w:cs="宋体"/>
          <w:color w:val="auto"/>
          <w:szCs w:val="21"/>
          <w:highlight w:val="none"/>
        </w:rPr>
        <w:t>和</w:t>
      </w:r>
      <w:r>
        <w:rPr>
          <w:rFonts w:hint="eastAsia" w:ascii="宋体" w:hAnsi="宋体" w:cs="宋体"/>
          <w:color w:val="auto"/>
          <w:highlight w:val="none"/>
        </w:rPr>
        <w:t>注册证书；</w:t>
      </w:r>
    </w:p>
    <w:p w14:paraId="3EC0124F">
      <w:pPr>
        <w:spacing w:line="440" w:lineRule="exact"/>
        <w:ind w:firstLine="420" w:firstLineChars="200"/>
        <w:jc w:val="left"/>
        <w:rPr>
          <w:rFonts w:hint="eastAsia" w:asci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eastAsia="宋体" w:cs="宋体"/>
          <w:color w:val="auto"/>
          <w:sz w:val="21"/>
          <w:szCs w:val="21"/>
          <w:highlight w:val="none"/>
        </w:rPr>
        <w:t>拟派的</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负责人（总监理工程师）在本项目所在市行政区域外无在建，在本项目所在市行政区域内不多于两个在建项目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提供承诺函，格式见附件）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如有在建项目，需在建项目</w:t>
      </w:r>
      <w:r>
        <w:rPr>
          <w:rFonts w:hint="eastAsia" w:ascii="宋体" w:hAnsi="宋体" w:eastAsia="宋体" w:cs="宋体"/>
          <w:color w:val="auto"/>
          <w:sz w:val="21"/>
          <w:szCs w:val="21"/>
          <w:highlight w:val="none"/>
          <w:lang w:val="en-US" w:eastAsia="zh-CN"/>
        </w:rPr>
        <w:t>所属</w:t>
      </w:r>
      <w:r>
        <w:rPr>
          <w:rFonts w:hint="eastAsia" w:ascii="宋体" w:hAnsi="宋体" w:eastAsia="宋体" w:cs="宋体"/>
          <w:color w:val="auto"/>
          <w:sz w:val="21"/>
          <w:szCs w:val="21"/>
          <w:highlight w:val="none"/>
        </w:rPr>
        <w:t>建设单位书面同意</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提供建设单位出具的证明材料）</w:t>
      </w:r>
      <w:r>
        <w:rPr>
          <w:rFonts w:hint="eastAsia" w:ascii="宋体" w:hAnsi="宋体" w:cs="宋体"/>
          <w:color w:val="auto"/>
          <w:szCs w:val="21"/>
          <w:highlight w:val="none"/>
          <w:lang w:eastAsia="zh-CN"/>
        </w:rPr>
        <w:t>；</w:t>
      </w:r>
    </w:p>
    <w:p w14:paraId="3B101AB1">
      <w:pPr>
        <w:spacing w:line="440" w:lineRule="exact"/>
        <w:ind w:firstLine="420" w:firstLineChars="200"/>
        <w:jc w:val="left"/>
        <w:rPr>
          <w:rFonts w:ascii="宋体" w:cs="宋体"/>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）投标人的法定代表人</w:t>
      </w:r>
      <w:r>
        <w:rPr>
          <w:rFonts w:ascii="宋体" w:hAnsi="宋体" w:cs="宋体"/>
          <w:color w:val="auto"/>
          <w:szCs w:val="21"/>
          <w:highlight w:val="none"/>
        </w:rPr>
        <w:t>(</w:t>
      </w:r>
      <w:r>
        <w:rPr>
          <w:rFonts w:hint="eastAsia" w:ascii="宋体" w:hAnsi="宋体" w:cs="宋体"/>
          <w:color w:val="auto"/>
          <w:szCs w:val="21"/>
          <w:highlight w:val="none"/>
        </w:rPr>
        <w:t>或委托代理人</w:t>
      </w:r>
      <w:r>
        <w:rPr>
          <w:rFonts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拟任项目负责人</w:t>
      </w:r>
      <w:r>
        <w:rPr>
          <w:rFonts w:hint="eastAsia" w:ascii="宋体" w:hAnsi="宋体" w:cs="宋体"/>
          <w:color w:val="auto"/>
          <w:szCs w:val="21"/>
          <w:highlight w:val="none"/>
        </w:rPr>
        <w:t>（总监理工程师）</w:t>
      </w:r>
      <w:r>
        <w:rPr>
          <w:rFonts w:hint="eastAsia" w:ascii="宋体" w:hAnsi="宋体" w:cs="宋体"/>
          <w:color w:val="auto"/>
          <w:szCs w:val="21"/>
          <w:highlight w:val="none"/>
          <w:lang w:val="en-US" w:eastAsia="zh-CN"/>
        </w:rPr>
        <w:t>及专业监理工程师</w:t>
      </w:r>
      <w:r>
        <w:rPr>
          <w:rFonts w:hint="eastAsia" w:ascii="宋体" w:hAnsi="宋体" w:cs="宋体"/>
          <w:color w:val="auto"/>
          <w:szCs w:val="21"/>
          <w:highlight w:val="none"/>
        </w:rPr>
        <w:t>须持有社保部门出具的本单位为其缴纳的投标前近</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个月连续的养老保险证明（或官网在线打印件，证明文件两个月内有效）（同一人担任不同公司法定代表人的，该法定代表人参加本项目投标时须提供本人在其他公司任法定代表人的营业执照及为其缴纳养老保险证明材料），投标人是事业单位的，暂未缴纳社保的，须由其主管部门出具证明；</w:t>
      </w:r>
    </w:p>
    <w:p w14:paraId="38D034D7">
      <w:pPr>
        <w:spacing w:line="440" w:lineRule="exact"/>
        <w:ind w:firstLine="420" w:firstLineChars="200"/>
        <w:jc w:val="left"/>
        <w:rPr>
          <w:rFonts w:hint="default" w:ascii="宋体" w:hAnsi="宋体" w:eastAsia="宋体" w:cs="宋体"/>
          <w:color w:val="auto"/>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8）监理机构人员名单表（格式自拟，须明确岗位并体现姓名、联系方式、身份证号码；）和人员对应证书及持有社保部门出具的本单位为其缴纳的投标前近三个月连续的养老保险证明（或官网在线打印件，证明文件两个月内有效）；</w:t>
      </w:r>
    </w:p>
    <w:p w14:paraId="1CCC680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）评分细则中需要提供的所有证明材料；</w:t>
      </w:r>
    </w:p>
    <w:p w14:paraId="7DC79A7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）投标人认为需要的其它证明材料。</w:t>
      </w:r>
    </w:p>
    <w:p w14:paraId="10BEA54E">
      <w:pPr>
        <w:spacing w:line="440" w:lineRule="exact"/>
        <w:ind w:firstLine="420" w:firstLineChars="200"/>
        <w:jc w:val="left"/>
        <w:rPr>
          <w:rFonts w:ascii="宋体" w:cs="宋体"/>
          <w:color w:val="auto"/>
          <w:highlight w:val="none"/>
        </w:rPr>
      </w:pPr>
    </w:p>
    <w:p w14:paraId="41937A5D">
      <w:pPr>
        <w:spacing w:line="440" w:lineRule="exact"/>
        <w:ind w:left="420" w:leftChars="200" w:firstLine="0" w:firstLineChars="0"/>
        <w:jc w:val="left"/>
        <w:rPr>
          <w:rFonts w:hint="eastAsia"/>
          <w:b/>
          <w:color w:val="auto"/>
          <w:sz w:val="28"/>
          <w:szCs w:val="28"/>
          <w:highlight w:val="none"/>
        </w:rPr>
      </w:pPr>
      <w:r>
        <w:rPr>
          <w:rFonts w:hint="eastAsia" w:ascii="宋体" w:hAnsi="宋体" w:cs="宋体"/>
          <w:color w:val="auto"/>
          <w:highlight w:val="none"/>
        </w:rPr>
        <w:br w:type="textWrapping"/>
      </w:r>
    </w:p>
    <w:p w14:paraId="33A199C5">
      <w:pPr>
        <w:rPr>
          <w:rFonts w:hint="eastAsia"/>
          <w:b/>
          <w:color w:val="auto"/>
          <w:sz w:val="28"/>
          <w:szCs w:val="28"/>
          <w:highlight w:val="none"/>
        </w:rPr>
      </w:pPr>
      <w:r>
        <w:rPr>
          <w:rFonts w:hint="eastAsia"/>
          <w:b/>
          <w:color w:val="auto"/>
          <w:sz w:val="28"/>
          <w:szCs w:val="28"/>
          <w:highlight w:val="none"/>
        </w:rPr>
        <w:br w:type="page"/>
      </w:r>
    </w:p>
    <w:p w14:paraId="1C514E1B">
      <w:pPr>
        <w:spacing w:line="360" w:lineRule="auto"/>
        <w:jc w:val="center"/>
        <w:rPr>
          <w:rFonts w:ascii="宋体"/>
          <w:b/>
          <w:color w:val="auto"/>
          <w:sz w:val="28"/>
          <w:szCs w:val="28"/>
          <w:highlight w:val="none"/>
        </w:rPr>
      </w:pPr>
      <w:r>
        <w:rPr>
          <w:rFonts w:hint="eastAsia"/>
          <w:b/>
          <w:color w:val="auto"/>
          <w:sz w:val="28"/>
          <w:szCs w:val="28"/>
          <w:highlight w:val="none"/>
        </w:rPr>
        <w:t>（</w:t>
      </w:r>
      <w:r>
        <w:rPr>
          <w:b/>
          <w:color w:val="auto"/>
          <w:sz w:val="28"/>
          <w:szCs w:val="28"/>
          <w:highlight w:val="none"/>
        </w:rPr>
        <w:t>1</w:t>
      </w:r>
      <w:r>
        <w:rPr>
          <w:rFonts w:hint="eastAsia"/>
          <w:b/>
          <w:color w:val="auto"/>
          <w:sz w:val="28"/>
          <w:szCs w:val="28"/>
          <w:highlight w:val="none"/>
        </w:rPr>
        <w:t>）法定代表人身份证明或授权委托书</w:t>
      </w:r>
    </w:p>
    <w:p w14:paraId="773BCFCD">
      <w:pPr>
        <w:pStyle w:val="101"/>
        <w:spacing w:beforeLines="100" w:afterLines="100" w:line="360" w:lineRule="auto"/>
        <w:rPr>
          <w:rFonts w:ascii="宋体"/>
          <w:b/>
          <w:color w:val="auto"/>
          <w:sz w:val="24"/>
          <w:szCs w:val="24"/>
          <w:highlight w:val="none"/>
        </w:rPr>
      </w:pPr>
      <w:bookmarkStart w:id="794" w:name="_Toc506107356"/>
      <w:bookmarkStart w:id="795" w:name="_Toc503196197"/>
      <w:bookmarkStart w:id="796" w:name="_Toc26598"/>
      <w:r>
        <w:rPr>
          <w:rFonts w:ascii="宋体"/>
          <w:color w:val="auto"/>
          <w:sz w:val="24"/>
          <w:szCs w:val="24"/>
          <w:highlight w:val="none"/>
        </w:rPr>
        <w:t>1</w:t>
      </w:r>
      <w:r>
        <w:rPr>
          <w:rFonts w:hint="eastAsia" w:ascii="宋体"/>
          <w:color w:val="auto"/>
          <w:sz w:val="24"/>
          <w:szCs w:val="24"/>
          <w:highlight w:val="none"/>
        </w:rPr>
        <w:t>、法定代表人身份证明</w:t>
      </w:r>
    </w:p>
    <w:p w14:paraId="49BB5B21">
      <w:pPr>
        <w:spacing w:line="360" w:lineRule="auto"/>
        <w:rPr>
          <w:rFonts w:ascii="宋体"/>
          <w:color w:val="auto"/>
          <w:sz w:val="24"/>
          <w:highlight w:val="none"/>
        </w:rPr>
      </w:pPr>
      <w:r>
        <w:rPr>
          <w:rFonts w:hint="eastAsia" w:ascii="宋体"/>
          <w:color w:val="auto"/>
          <w:sz w:val="24"/>
          <w:highlight w:val="none"/>
        </w:rPr>
        <w:t>投标人名称：</w:t>
      </w:r>
      <w:r>
        <w:rPr>
          <w:rFonts w:ascii="宋体"/>
          <w:color w:val="auto"/>
          <w:sz w:val="24"/>
          <w:highlight w:val="none"/>
          <w:u w:val="single"/>
        </w:rPr>
        <w:t xml:space="preserve">                                </w:t>
      </w:r>
      <w:r>
        <w:rPr>
          <w:rFonts w:ascii="宋体"/>
          <w:color w:val="auto"/>
          <w:sz w:val="24"/>
          <w:highlight w:val="none"/>
        </w:rPr>
        <w:t xml:space="preserve"> </w:t>
      </w:r>
    </w:p>
    <w:p w14:paraId="129947C2">
      <w:pPr>
        <w:spacing w:line="360" w:lineRule="auto"/>
        <w:rPr>
          <w:rFonts w:ascii="宋体"/>
          <w:color w:val="auto"/>
          <w:sz w:val="24"/>
          <w:highlight w:val="none"/>
        </w:rPr>
      </w:pPr>
      <w:r>
        <w:rPr>
          <w:rFonts w:hint="eastAsia" w:ascii="宋体"/>
          <w:color w:val="auto"/>
          <w:sz w:val="24"/>
          <w:highlight w:val="none"/>
        </w:rPr>
        <w:t>单位性质：</w:t>
      </w:r>
      <w:r>
        <w:rPr>
          <w:rFonts w:ascii="宋体"/>
          <w:color w:val="auto"/>
          <w:sz w:val="24"/>
          <w:highlight w:val="none"/>
        </w:rPr>
        <w:t xml:space="preserve"> </w:t>
      </w:r>
      <w:r>
        <w:rPr>
          <w:rFonts w:ascii="宋体"/>
          <w:color w:val="auto"/>
          <w:sz w:val="24"/>
          <w:highlight w:val="none"/>
          <w:u w:val="single"/>
        </w:rPr>
        <w:t xml:space="preserve">                                  </w:t>
      </w:r>
      <w:r>
        <w:rPr>
          <w:rFonts w:ascii="宋体"/>
          <w:color w:val="auto"/>
          <w:sz w:val="24"/>
          <w:highlight w:val="none"/>
        </w:rPr>
        <w:t xml:space="preserve"> </w:t>
      </w:r>
    </w:p>
    <w:p w14:paraId="452A3911">
      <w:pPr>
        <w:spacing w:line="360" w:lineRule="auto"/>
        <w:rPr>
          <w:rFonts w:ascii="宋体"/>
          <w:color w:val="auto"/>
          <w:sz w:val="24"/>
          <w:highlight w:val="none"/>
        </w:rPr>
      </w:pPr>
      <w:r>
        <w:rPr>
          <w:rFonts w:hint="eastAsia" w:ascii="宋体"/>
          <w:color w:val="auto"/>
          <w:sz w:val="24"/>
          <w:highlight w:val="none"/>
        </w:rPr>
        <w:t>地</w:t>
      </w:r>
      <w:r>
        <w:rPr>
          <w:rFonts w:ascii="宋体"/>
          <w:color w:val="auto"/>
          <w:sz w:val="24"/>
          <w:highlight w:val="none"/>
        </w:rPr>
        <w:t xml:space="preserve">    </w:t>
      </w:r>
      <w:r>
        <w:rPr>
          <w:rFonts w:hint="eastAsia" w:ascii="宋体"/>
          <w:color w:val="auto"/>
          <w:sz w:val="24"/>
          <w:highlight w:val="none"/>
        </w:rPr>
        <w:t>址：</w:t>
      </w:r>
      <w:r>
        <w:rPr>
          <w:rFonts w:ascii="宋体"/>
          <w:color w:val="auto"/>
          <w:sz w:val="24"/>
          <w:highlight w:val="none"/>
          <w:u w:val="single"/>
        </w:rPr>
        <w:t xml:space="preserve">                                   </w:t>
      </w:r>
      <w:r>
        <w:rPr>
          <w:rFonts w:ascii="宋体"/>
          <w:color w:val="auto"/>
          <w:sz w:val="24"/>
          <w:highlight w:val="none"/>
        </w:rPr>
        <w:t xml:space="preserve"> </w:t>
      </w:r>
    </w:p>
    <w:p w14:paraId="0C5F3F3C">
      <w:pPr>
        <w:spacing w:line="360" w:lineRule="auto"/>
        <w:rPr>
          <w:rFonts w:ascii="宋体"/>
          <w:color w:val="auto"/>
          <w:sz w:val="24"/>
          <w:highlight w:val="none"/>
        </w:rPr>
      </w:pPr>
      <w:r>
        <w:rPr>
          <w:rFonts w:hint="eastAsia" w:ascii="宋体"/>
          <w:color w:val="auto"/>
          <w:sz w:val="24"/>
          <w:highlight w:val="none"/>
        </w:rPr>
        <w:t>成立时间：</w:t>
      </w:r>
      <w:r>
        <w:rPr>
          <w:rFonts w:ascii="宋体"/>
          <w:color w:val="auto"/>
          <w:sz w:val="24"/>
          <w:highlight w:val="none"/>
          <w:u w:val="single"/>
        </w:rPr>
        <w:t xml:space="preserve">        </w:t>
      </w:r>
      <w:r>
        <w:rPr>
          <w:rFonts w:hint="eastAsia" w:ascii="宋体"/>
          <w:color w:val="auto"/>
          <w:sz w:val="24"/>
          <w:highlight w:val="none"/>
        </w:rPr>
        <w:t>年</w:t>
      </w:r>
      <w:r>
        <w:rPr>
          <w:rFonts w:ascii="宋体"/>
          <w:color w:val="auto"/>
          <w:sz w:val="24"/>
          <w:highlight w:val="none"/>
          <w:u w:val="single"/>
        </w:rPr>
        <w:t xml:space="preserve">    </w:t>
      </w:r>
      <w:r>
        <w:rPr>
          <w:rFonts w:hint="eastAsia" w:ascii="宋体"/>
          <w:color w:val="auto"/>
          <w:sz w:val="24"/>
          <w:highlight w:val="none"/>
        </w:rPr>
        <w:t>月</w:t>
      </w:r>
      <w:r>
        <w:rPr>
          <w:rFonts w:ascii="宋体"/>
          <w:color w:val="auto"/>
          <w:sz w:val="24"/>
          <w:highlight w:val="none"/>
          <w:u w:val="single"/>
        </w:rPr>
        <w:t xml:space="preserve">  </w:t>
      </w:r>
      <w:r>
        <w:rPr>
          <w:rFonts w:hint="eastAsia" w:ascii="宋体"/>
          <w:color w:val="auto"/>
          <w:sz w:val="24"/>
          <w:highlight w:val="none"/>
        </w:rPr>
        <w:t>＿日</w:t>
      </w:r>
    </w:p>
    <w:p w14:paraId="6C9A4609">
      <w:pPr>
        <w:spacing w:line="360" w:lineRule="auto"/>
        <w:rPr>
          <w:rFonts w:ascii="宋体"/>
          <w:color w:val="auto"/>
          <w:sz w:val="24"/>
          <w:highlight w:val="none"/>
        </w:rPr>
      </w:pPr>
      <w:r>
        <w:rPr>
          <w:rFonts w:hint="eastAsia" w:ascii="宋体"/>
          <w:color w:val="auto"/>
          <w:sz w:val="24"/>
          <w:highlight w:val="none"/>
        </w:rPr>
        <w:t>经营期限：</w:t>
      </w:r>
      <w:r>
        <w:rPr>
          <w:rFonts w:ascii="宋体"/>
          <w:color w:val="auto"/>
          <w:sz w:val="24"/>
          <w:highlight w:val="none"/>
          <w:u w:val="single"/>
        </w:rPr>
        <w:t xml:space="preserve">                                </w:t>
      </w:r>
      <w:r>
        <w:rPr>
          <w:rFonts w:ascii="宋体"/>
          <w:color w:val="auto"/>
          <w:sz w:val="24"/>
          <w:highlight w:val="none"/>
        </w:rPr>
        <w:t xml:space="preserve"> </w:t>
      </w:r>
    </w:p>
    <w:p w14:paraId="74D94A3C">
      <w:pPr>
        <w:spacing w:line="360" w:lineRule="auto"/>
        <w:jc w:val="left"/>
        <w:rPr>
          <w:rFonts w:ascii="宋体"/>
          <w:color w:val="auto"/>
          <w:sz w:val="24"/>
          <w:highlight w:val="none"/>
          <w:u w:val="single"/>
        </w:rPr>
      </w:pPr>
      <w:r>
        <w:rPr>
          <w:rFonts w:hint="eastAsia" w:ascii="宋体"/>
          <w:color w:val="auto"/>
          <w:spacing w:val="240"/>
          <w:sz w:val="24"/>
          <w:highlight w:val="none"/>
        </w:rPr>
        <w:t>姓</w:t>
      </w:r>
      <w:r>
        <w:rPr>
          <w:rFonts w:hint="eastAsia" w:ascii="宋体"/>
          <w:color w:val="auto"/>
          <w:sz w:val="24"/>
          <w:highlight w:val="none"/>
        </w:rPr>
        <w:t>名：</w:t>
      </w:r>
      <w:r>
        <w:rPr>
          <w:rFonts w:ascii="宋体"/>
          <w:color w:val="auto"/>
          <w:sz w:val="24"/>
          <w:highlight w:val="none"/>
          <w:u w:val="single"/>
        </w:rPr>
        <w:t xml:space="preserve">           </w:t>
      </w:r>
      <w:r>
        <w:rPr>
          <w:rFonts w:hint="eastAsia" w:ascii="宋体"/>
          <w:color w:val="auto"/>
          <w:sz w:val="24"/>
          <w:highlight w:val="none"/>
        </w:rPr>
        <w:t>身份证号码：</w:t>
      </w:r>
      <w:r>
        <w:rPr>
          <w:rFonts w:ascii="宋体"/>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w:t>
      </w:r>
      <w:r>
        <w:rPr>
          <w:rFonts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rPr>
        <w:t>＿</w:t>
      </w:r>
      <w:r>
        <w:rPr>
          <w:rFonts w:ascii="宋体"/>
          <w:color w:val="auto"/>
          <w:sz w:val="24"/>
          <w:highlight w:val="none"/>
          <w:u w:val="single"/>
        </w:rPr>
        <w:t xml:space="preserve">  </w:t>
      </w:r>
      <w:r>
        <w:rPr>
          <w:rFonts w:hint="eastAsia" w:ascii="宋体"/>
          <w:color w:val="auto"/>
          <w:sz w:val="24"/>
          <w:highlight w:val="none"/>
        </w:rPr>
        <w:t>职务：</w:t>
      </w:r>
      <w:r>
        <w:rPr>
          <w:rFonts w:ascii="宋体"/>
          <w:color w:val="auto"/>
          <w:sz w:val="24"/>
          <w:highlight w:val="none"/>
          <w:u w:val="single"/>
        </w:rPr>
        <w:t xml:space="preserve">       </w:t>
      </w:r>
      <w:r>
        <w:rPr>
          <w:rFonts w:ascii="宋体"/>
          <w:color w:val="auto"/>
          <w:sz w:val="24"/>
          <w:highlight w:val="none"/>
        </w:rPr>
        <w:t>_</w:t>
      </w:r>
      <w:r>
        <w:rPr>
          <w:rFonts w:hint="eastAsia" w:ascii="宋体"/>
          <w:color w:val="auto"/>
          <w:sz w:val="24"/>
          <w:highlight w:val="none"/>
        </w:rPr>
        <w:t>，系</w:t>
      </w:r>
      <w:r>
        <w:rPr>
          <w:rFonts w:ascii="宋体"/>
          <w:color w:val="auto"/>
          <w:sz w:val="24"/>
          <w:highlight w:val="none"/>
          <w:u w:val="single"/>
        </w:rPr>
        <w:t xml:space="preserve">                                </w:t>
      </w:r>
      <w:r>
        <w:rPr>
          <w:rFonts w:hint="eastAsia" w:ascii="宋体"/>
          <w:color w:val="auto"/>
          <w:sz w:val="24"/>
          <w:highlight w:val="none"/>
        </w:rPr>
        <w:t>（投标人名称）的法定代表人。</w:t>
      </w:r>
    </w:p>
    <w:p w14:paraId="1996DABE">
      <w:pPr>
        <w:spacing w:line="360" w:lineRule="auto"/>
        <w:rPr>
          <w:color w:val="auto"/>
          <w:highlight w:val="none"/>
        </w:rPr>
      </w:pPr>
      <w:r>
        <w:rPr>
          <w:rFonts w:hint="eastAsia" w:ascii="宋体"/>
          <w:color w:val="auto"/>
          <w:sz w:val="24"/>
          <w:highlight w:val="none"/>
        </w:rPr>
        <w:t>特此证明。</w:t>
      </w:r>
    </w:p>
    <w:p w14:paraId="2B5A239A">
      <w:pPr>
        <w:spacing w:line="360" w:lineRule="auto"/>
        <w:ind w:firstLine="3720" w:firstLineChars="1550"/>
        <w:rPr>
          <w:rFonts w:ascii="宋体"/>
          <w:color w:val="auto"/>
          <w:sz w:val="24"/>
          <w:highlight w:val="none"/>
        </w:rPr>
      </w:pPr>
      <w:r>
        <w:rPr>
          <w:rFonts w:hint="eastAsia" w:ascii="宋体"/>
          <w:color w:val="auto"/>
          <w:sz w:val="24"/>
          <w:highlight w:val="none"/>
        </w:rPr>
        <w:t>投标人：</w:t>
      </w:r>
      <w:r>
        <w:rPr>
          <w:rFonts w:ascii="宋体"/>
          <w:color w:val="auto"/>
          <w:sz w:val="24"/>
          <w:highlight w:val="none"/>
          <w:u w:val="single"/>
        </w:rPr>
        <w:t xml:space="preserve">                 </w:t>
      </w:r>
      <w:r>
        <w:rPr>
          <w:rFonts w:hint="eastAsia" w:ascii="宋体"/>
          <w:color w:val="auto"/>
          <w:sz w:val="24"/>
          <w:highlight w:val="none"/>
        </w:rPr>
        <w:t>（签章）</w:t>
      </w:r>
    </w:p>
    <w:p w14:paraId="49FFF738">
      <w:pPr>
        <w:spacing w:line="360" w:lineRule="auto"/>
        <w:rPr>
          <w:rFonts w:ascii="宋体"/>
          <w:color w:val="auto"/>
          <w:sz w:val="30"/>
          <w:szCs w:val="30"/>
          <w:highlight w:val="none"/>
        </w:rPr>
      </w:pPr>
      <w:r>
        <w:rPr>
          <w:rFonts w:ascii="宋体"/>
          <w:color w:val="auto"/>
          <w:sz w:val="24"/>
          <w:highlight w:val="none"/>
        </w:rPr>
        <w:t xml:space="preserve">                                        </w:t>
      </w:r>
      <w:r>
        <w:rPr>
          <w:rFonts w:hint="eastAsia" w:ascii="宋体"/>
          <w:color w:val="auto"/>
          <w:sz w:val="24"/>
          <w:highlight w:val="none"/>
        </w:rPr>
        <w:t>年</w:t>
      </w:r>
      <w:r>
        <w:rPr>
          <w:rFonts w:ascii="宋体"/>
          <w:color w:val="auto"/>
          <w:sz w:val="24"/>
          <w:highlight w:val="none"/>
        </w:rPr>
        <w:t xml:space="preserve">    </w:t>
      </w:r>
      <w:r>
        <w:rPr>
          <w:rFonts w:hint="eastAsia" w:ascii="宋体"/>
          <w:color w:val="auto"/>
          <w:sz w:val="24"/>
          <w:highlight w:val="none"/>
        </w:rPr>
        <w:t>月</w:t>
      </w:r>
      <w:r>
        <w:rPr>
          <w:rFonts w:ascii="宋体"/>
          <w:color w:val="auto"/>
          <w:sz w:val="24"/>
          <w:highlight w:val="none"/>
        </w:rPr>
        <w:t xml:space="preserve">     </w:t>
      </w:r>
      <w:r>
        <w:rPr>
          <w:rFonts w:hint="eastAsia" w:ascii="宋体"/>
          <w:color w:val="auto"/>
          <w:sz w:val="24"/>
          <w:highlight w:val="none"/>
        </w:rPr>
        <w:t>日</w:t>
      </w:r>
    </w:p>
    <w:p w14:paraId="1185DCF2">
      <w:pPr>
        <w:pStyle w:val="101"/>
        <w:spacing w:beforeLines="100" w:afterLines="100" w:line="360" w:lineRule="auto"/>
        <w:rPr>
          <w:rFonts w:ascii="宋体"/>
          <w:color w:val="auto"/>
          <w:sz w:val="24"/>
          <w:szCs w:val="24"/>
          <w:highlight w:val="none"/>
        </w:rPr>
      </w:pPr>
      <w:r>
        <w:rPr>
          <w:rFonts w:hint="eastAsia" w:ascii="宋体"/>
          <w:color w:val="auto"/>
          <w:sz w:val="24"/>
          <w:szCs w:val="24"/>
          <w:highlight w:val="none"/>
        </w:rPr>
        <w:t>或</w:t>
      </w:r>
      <w:r>
        <w:rPr>
          <w:rFonts w:ascii="宋体"/>
          <w:color w:val="auto"/>
          <w:sz w:val="24"/>
          <w:szCs w:val="24"/>
          <w:highlight w:val="none"/>
        </w:rPr>
        <w:t>1</w:t>
      </w:r>
      <w:r>
        <w:rPr>
          <w:rFonts w:hint="eastAsia" w:ascii="宋体"/>
          <w:color w:val="auto"/>
          <w:sz w:val="24"/>
          <w:szCs w:val="24"/>
          <w:highlight w:val="none"/>
        </w:rPr>
        <w:t>、授权委托书</w:t>
      </w:r>
    </w:p>
    <w:p w14:paraId="2E862908">
      <w:pPr>
        <w:spacing w:line="500" w:lineRule="exact"/>
        <w:ind w:firstLine="480" w:firstLineChars="200"/>
        <w:jc w:val="left"/>
        <w:rPr>
          <w:rFonts w:ascii="宋体"/>
          <w:color w:val="auto"/>
          <w:sz w:val="24"/>
          <w:highlight w:val="none"/>
        </w:rPr>
      </w:pPr>
      <w:r>
        <w:rPr>
          <w:rFonts w:hint="eastAsia" w:ascii="宋体"/>
          <w:color w:val="auto"/>
          <w:sz w:val="24"/>
          <w:highlight w:val="none"/>
        </w:rPr>
        <w:t>本人</w:t>
      </w:r>
      <w:r>
        <w:rPr>
          <w:rFonts w:ascii="宋体"/>
          <w:color w:val="auto"/>
          <w:sz w:val="24"/>
          <w:highlight w:val="none"/>
        </w:rPr>
        <w:t xml:space="preserve"> </w:t>
      </w:r>
      <w:r>
        <w:rPr>
          <w:rFonts w:ascii="宋体"/>
          <w:color w:val="auto"/>
          <w:sz w:val="24"/>
          <w:highlight w:val="none"/>
          <w:u w:val="single"/>
        </w:rPr>
        <w:t xml:space="preserve">    </w:t>
      </w:r>
      <w:r>
        <w:rPr>
          <w:rFonts w:hint="eastAsia" w:ascii="宋体"/>
          <w:color w:val="auto"/>
          <w:sz w:val="24"/>
          <w:highlight w:val="none"/>
        </w:rPr>
        <w:t>（姓名）系</w:t>
      </w:r>
      <w:r>
        <w:rPr>
          <w:rFonts w:ascii="宋体"/>
          <w:color w:val="auto"/>
          <w:sz w:val="24"/>
          <w:highlight w:val="none"/>
          <w:u w:val="single"/>
        </w:rPr>
        <w:t xml:space="preserve">       </w:t>
      </w:r>
      <w:r>
        <w:rPr>
          <w:rFonts w:hint="eastAsia" w:ascii="宋体"/>
          <w:color w:val="auto"/>
          <w:sz w:val="24"/>
          <w:highlight w:val="none"/>
        </w:rPr>
        <w:t>（投标人）的法定代表人，现委托</w:t>
      </w:r>
      <w:r>
        <w:rPr>
          <w:rFonts w:ascii="宋体"/>
          <w:color w:val="auto"/>
          <w:sz w:val="24"/>
          <w:highlight w:val="none"/>
          <w:u w:val="single"/>
        </w:rPr>
        <w:t xml:space="preserve">   </w:t>
      </w:r>
      <w:r>
        <w:rPr>
          <w:rFonts w:hint="eastAsia" w:ascii="宋体"/>
          <w:color w:val="auto"/>
          <w:sz w:val="24"/>
          <w:highlight w:val="none"/>
        </w:rPr>
        <w:t>（姓名）为我方代理人。代理人根据授权，以我方名义签署、澄清、说明、补正、递交、撤回、修改</w:t>
      </w:r>
      <w:r>
        <w:rPr>
          <w:rFonts w:ascii="宋体"/>
          <w:color w:val="auto"/>
          <w:sz w:val="24"/>
          <w:highlight w:val="none"/>
        </w:rPr>
        <w:t xml:space="preserve"> </w:t>
      </w:r>
      <w:r>
        <w:rPr>
          <w:rFonts w:hint="eastAsia" w:ascii="宋体"/>
          <w:color w:val="auto"/>
          <w:sz w:val="24"/>
          <w:highlight w:val="none"/>
        </w:rPr>
        <w:t>“</w:t>
      </w:r>
      <w:r>
        <w:rPr>
          <w:rFonts w:ascii="宋体"/>
          <w:color w:val="auto"/>
          <w:sz w:val="24"/>
          <w:highlight w:val="none"/>
          <w:u w:val="single"/>
        </w:rPr>
        <w:t xml:space="preserve">      </w:t>
      </w:r>
      <w:r>
        <w:rPr>
          <w:rFonts w:ascii="宋体"/>
          <w:color w:val="auto"/>
          <w:sz w:val="24"/>
          <w:highlight w:val="none"/>
        </w:rPr>
        <w:t xml:space="preserve"> </w:t>
      </w:r>
      <w:r>
        <w:rPr>
          <w:rFonts w:hint="eastAsia" w:ascii="宋体"/>
          <w:color w:val="auto"/>
          <w:sz w:val="24"/>
          <w:highlight w:val="none"/>
        </w:rPr>
        <w:t>”</w:t>
      </w:r>
      <w:r>
        <w:rPr>
          <w:rFonts w:ascii="宋体"/>
          <w:color w:val="auto"/>
          <w:sz w:val="24"/>
          <w:highlight w:val="none"/>
        </w:rPr>
        <w:t>(</w:t>
      </w:r>
      <w:r>
        <w:rPr>
          <w:rFonts w:hint="eastAsia" w:ascii="宋体"/>
          <w:color w:val="auto"/>
          <w:sz w:val="24"/>
          <w:highlight w:val="none"/>
        </w:rPr>
        <w:t>项目名称、编号）投标文件，全权处理与该项目投标、评审答疑、签订合同以及与合同执行有关的一切事务，其法律后果由我方承担。</w:t>
      </w:r>
    </w:p>
    <w:p w14:paraId="6B51E068">
      <w:pPr>
        <w:spacing w:line="500" w:lineRule="exact"/>
        <w:ind w:firstLine="480" w:firstLineChars="200"/>
        <w:rPr>
          <w:rFonts w:ascii="宋体"/>
          <w:color w:val="auto"/>
          <w:sz w:val="24"/>
          <w:highlight w:val="none"/>
        </w:rPr>
      </w:pPr>
      <w:r>
        <w:rPr>
          <w:rFonts w:hint="eastAsia" w:ascii="宋体"/>
          <w:color w:val="auto"/>
          <w:sz w:val="24"/>
          <w:highlight w:val="none"/>
        </w:rPr>
        <w:t>委托期限：</w:t>
      </w:r>
      <w:r>
        <w:rPr>
          <w:rFonts w:ascii="宋体"/>
          <w:color w:val="auto"/>
          <w:sz w:val="24"/>
          <w:highlight w:val="none"/>
        </w:rPr>
        <w:t xml:space="preserve"> </w:t>
      </w:r>
      <w:r>
        <w:rPr>
          <w:rFonts w:ascii="宋体" w:cs="宋体"/>
          <w:color w:val="auto"/>
          <w:sz w:val="24"/>
          <w:highlight w:val="none"/>
          <w:u w:val="single"/>
        </w:rPr>
        <w:t xml:space="preserve">          </w:t>
      </w:r>
      <w:r>
        <w:rPr>
          <w:rFonts w:hint="eastAsia" w:ascii="宋体" w:cs="宋体"/>
          <w:color w:val="auto"/>
          <w:sz w:val="24"/>
          <w:highlight w:val="none"/>
        </w:rPr>
        <w:t>。</w:t>
      </w:r>
      <w:r>
        <w:rPr>
          <w:rFonts w:ascii="宋体"/>
          <w:color w:val="auto"/>
          <w:sz w:val="24"/>
          <w:highlight w:val="none"/>
        </w:rPr>
        <w:t xml:space="preserve">                     </w:t>
      </w:r>
    </w:p>
    <w:p w14:paraId="1327F7F1">
      <w:pPr>
        <w:spacing w:line="500" w:lineRule="exact"/>
        <w:ind w:firstLine="480" w:firstLineChars="200"/>
        <w:rPr>
          <w:rFonts w:ascii="宋体"/>
          <w:color w:val="auto"/>
          <w:sz w:val="24"/>
          <w:highlight w:val="none"/>
        </w:rPr>
      </w:pPr>
      <w:r>
        <w:rPr>
          <w:rFonts w:hint="eastAsia" w:ascii="宋体"/>
          <w:color w:val="auto"/>
          <w:sz w:val="24"/>
          <w:highlight w:val="none"/>
        </w:rPr>
        <w:t>代理人无转委托权。</w:t>
      </w:r>
    </w:p>
    <w:p w14:paraId="75073FCC">
      <w:pPr>
        <w:spacing w:line="500" w:lineRule="exact"/>
        <w:ind w:firstLine="480" w:firstLineChars="200"/>
        <w:rPr>
          <w:rFonts w:ascii="宋体"/>
          <w:b/>
          <w:color w:val="auto"/>
          <w:sz w:val="24"/>
          <w:highlight w:val="none"/>
        </w:rPr>
      </w:pPr>
      <w:r>
        <w:rPr>
          <w:rFonts w:hint="eastAsia" w:ascii="宋体"/>
          <w:color w:val="auto"/>
          <w:sz w:val="24"/>
          <w:highlight w:val="none"/>
        </w:rPr>
        <w:t>附：</w:t>
      </w:r>
      <w:r>
        <w:rPr>
          <w:rFonts w:hint="eastAsia" w:ascii="宋体"/>
          <w:b/>
          <w:color w:val="auto"/>
          <w:sz w:val="24"/>
          <w:highlight w:val="none"/>
        </w:rPr>
        <w:t>委托代理人有效身份证</w:t>
      </w:r>
    </w:p>
    <w:p w14:paraId="41819A11">
      <w:pPr>
        <w:spacing w:line="500" w:lineRule="exact"/>
        <w:ind w:firstLine="957" w:firstLineChars="397"/>
        <w:rPr>
          <w:color w:val="auto"/>
          <w:highlight w:val="none"/>
        </w:rPr>
      </w:pPr>
      <w:r>
        <w:rPr>
          <w:rFonts w:hint="eastAsia" w:ascii="宋体"/>
          <w:b/>
          <w:color w:val="auto"/>
          <w:sz w:val="24"/>
          <w:highlight w:val="none"/>
        </w:rPr>
        <w:t>法定代表人有效身份证</w:t>
      </w:r>
    </w:p>
    <w:p w14:paraId="537F69E1">
      <w:pPr>
        <w:spacing w:line="500" w:lineRule="exact"/>
        <w:ind w:firstLine="200"/>
        <w:rPr>
          <w:rFonts w:ascii="宋体"/>
          <w:color w:val="auto"/>
          <w:sz w:val="24"/>
          <w:highlight w:val="none"/>
        </w:rPr>
      </w:pPr>
      <w:r>
        <w:rPr>
          <w:rFonts w:ascii="宋体"/>
          <w:color w:val="auto"/>
          <w:sz w:val="24"/>
          <w:highlight w:val="none"/>
        </w:rPr>
        <w:t xml:space="preserve">                                        </w:t>
      </w:r>
      <w:r>
        <w:rPr>
          <w:rFonts w:hint="eastAsia" w:ascii="宋体"/>
          <w:color w:val="auto"/>
          <w:sz w:val="24"/>
          <w:highlight w:val="none"/>
        </w:rPr>
        <w:t>投标人（签章）：</w:t>
      </w:r>
    </w:p>
    <w:p w14:paraId="6E306EBD">
      <w:pPr>
        <w:spacing w:line="500" w:lineRule="exact"/>
        <w:ind w:firstLine="5040" w:firstLineChars="2100"/>
        <w:rPr>
          <w:rFonts w:ascii="宋体"/>
          <w:color w:val="auto"/>
          <w:sz w:val="24"/>
          <w:highlight w:val="none"/>
        </w:rPr>
      </w:pPr>
      <w:r>
        <w:rPr>
          <w:rFonts w:hint="eastAsia" w:ascii="宋体"/>
          <w:color w:val="auto"/>
          <w:sz w:val="24"/>
          <w:highlight w:val="none"/>
        </w:rPr>
        <w:t>法定代表人（身份证号码）：</w:t>
      </w:r>
      <w:r>
        <w:rPr>
          <w:rFonts w:ascii="宋体"/>
          <w:color w:val="auto"/>
          <w:sz w:val="24"/>
          <w:highlight w:val="none"/>
        </w:rPr>
        <w:t xml:space="preserve"> </w:t>
      </w:r>
      <w:r>
        <w:rPr>
          <w:rFonts w:hint="eastAsia" w:ascii="宋体"/>
          <w:color w:val="auto"/>
          <w:sz w:val="24"/>
          <w:highlight w:val="none"/>
        </w:rPr>
        <w:t>（签章）</w:t>
      </w:r>
    </w:p>
    <w:p w14:paraId="502ED6D7">
      <w:pPr>
        <w:spacing w:line="500" w:lineRule="exact"/>
        <w:ind w:firstLine="5040" w:firstLineChars="2100"/>
        <w:rPr>
          <w:rFonts w:ascii="宋体"/>
          <w:color w:val="auto"/>
          <w:sz w:val="24"/>
          <w:highlight w:val="none"/>
        </w:rPr>
      </w:pPr>
      <w:r>
        <w:rPr>
          <w:rFonts w:hint="eastAsia" w:ascii="宋体"/>
          <w:color w:val="auto"/>
          <w:sz w:val="24"/>
          <w:highlight w:val="none"/>
        </w:rPr>
        <w:t>委托代理人（身份证号码）：</w:t>
      </w:r>
      <w:r>
        <w:rPr>
          <w:rFonts w:ascii="宋体"/>
          <w:color w:val="auto"/>
          <w:sz w:val="24"/>
          <w:highlight w:val="none"/>
        </w:rPr>
        <w:t xml:space="preserve">      </w:t>
      </w:r>
    </w:p>
    <w:p w14:paraId="468C7D37">
      <w:pPr>
        <w:spacing w:line="500" w:lineRule="exact"/>
        <w:ind w:firstLine="2820" w:firstLineChars="1175"/>
        <w:rPr>
          <w:color w:val="auto"/>
          <w:highlight w:val="none"/>
        </w:rPr>
      </w:pPr>
      <w:r>
        <w:rPr>
          <w:rFonts w:ascii="宋体"/>
          <w:color w:val="auto"/>
          <w:sz w:val="24"/>
          <w:highlight w:val="none"/>
        </w:rPr>
        <w:t xml:space="preserve">                  </w:t>
      </w:r>
      <w:r>
        <w:rPr>
          <w:rFonts w:hint="eastAsia" w:ascii="宋体"/>
          <w:color w:val="auto"/>
          <w:sz w:val="24"/>
          <w:highlight w:val="none"/>
        </w:rPr>
        <w:t>年</w:t>
      </w:r>
      <w:r>
        <w:rPr>
          <w:rFonts w:ascii="宋体"/>
          <w:color w:val="auto"/>
          <w:sz w:val="24"/>
          <w:highlight w:val="none"/>
        </w:rPr>
        <w:t xml:space="preserve">    </w:t>
      </w:r>
      <w:r>
        <w:rPr>
          <w:rFonts w:hint="eastAsia" w:ascii="宋体"/>
          <w:color w:val="auto"/>
          <w:sz w:val="24"/>
          <w:highlight w:val="none"/>
        </w:rPr>
        <w:t>月</w:t>
      </w:r>
      <w:r>
        <w:rPr>
          <w:rFonts w:ascii="宋体"/>
          <w:color w:val="auto"/>
          <w:sz w:val="24"/>
          <w:highlight w:val="none"/>
        </w:rPr>
        <w:t xml:space="preserve">    </w:t>
      </w:r>
      <w:r>
        <w:rPr>
          <w:rFonts w:hint="eastAsia" w:ascii="宋体"/>
          <w:color w:val="auto"/>
          <w:sz w:val="24"/>
          <w:highlight w:val="none"/>
        </w:rPr>
        <w:t>日</w:t>
      </w:r>
    </w:p>
    <w:p w14:paraId="5412EE5A">
      <w:pPr>
        <w:spacing w:line="360" w:lineRule="auto"/>
        <w:jc w:val="center"/>
        <w:rPr>
          <w:b/>
          <w:color w:val="auto"/>
          <w:sz w:val="28"/>
          <w:szCs w:val="28"/>
          <w:highlight w:val="none"/>
        </w:rPr>
      </w:pPr>
      <w:r>
        <w:rPr>
          <w:rFonts w:hint="eastAsia"/>
          <w:b/>
          <w:color w:val="auto"/>
          <w:sz w:val="28"/>
          <w:szCs w:val="28"/>
          <w:highlight w:val="none"/>
        </w:rPr>
        <w:br w:type="page"/>
      </w:r>
      <w:r>
        <w:rPr>
          <w:rFonts w:hint="eastAsia"/>
          <w:b/>
          <w:color w:val="auto"/>
          <w:sz w:val="28"/>
          <w:szCs w:val="28"/>
          <w:highlight w:val="none"/>
        </w:rPr>
        <w:t>（</w:t>
      </w:r>
      <w:r>
        <w:rPr>
          <w:b/>
          <w:color w:val="auto"/>
          <w:sz w:val="28"/>
          <w:szCs w:val="28"/>
          <w:highlight w:val="none"/>
        </w:rPr>
        <w:t>2</w:t>
      </w:r>
      <w:r>
        <w:rPr>
          <w:rFonts w:hint="eastAsia"/>
          <w:b/>
          <w:color w:val="auto"/>
          <w:sz w:val="28"/>
          <w:szCs w:val="28"/>
          <w:highlight w:val="none"/>
        </w:rPr>
        <w:t>）诚信投标承诺书</w:t>
      </w:r>
      <w:bookmarkEnd w:id="794"/>
      <w:bookmarkEnd w:id="795"/>
      <w:r>
        <w:rPr>
          <w:b/>
          <w:color w:val="auto"/>
          <w:sz w:val="28"/>
          <w:szCs w:val="28"/>
          <w:highlight w:val="none"/>
        </w:rPr>
        <w:t> </w:t>
      </w:r>
      <w:bookmarkEnd w:id="796"/>
    </w:p>
    <w:p w14:paraId="130D3DC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本人以企业法定代表人的身份郑重承诺：</w:t>
      </w:r>
    </w:p>
    <w:p w14:paraId="54C0252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项目的投标；</w:t>
      </w:r>
    </w:p>
    <w:p w14:paraId="6C8CB22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二、所提供的一切材料都是真实、合法的；</w:t>
      </w:r>
    </w:p>
    <w:p w14:paraId="45EF27C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70F8D83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四、不与其他投标人相互串通投标报价，不排挤其他投标人的公平竞争、损害招标人的合法权益；</w:t>
      </w:r>
    </w:p>
    <w:p w14:paraId="74BCE7C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五、不与招标人、招标代理机构或其他投标人串通投标，损害国家利益、社会公共利益或者他人的合法权益；</w:t>
      </w:r>
    </w:p>
    <w:p w14:paraId="6BDB203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六、</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（企业名称）</w:t>
      </w:r>
      <w:r>
        <w:rPr>
          <w:rFonts w:hint="eastAsia" w:ascii="宋体" w:hAnsi="宋体"/>
          <w:color w:val="auto"/>
          <w:szCs w:val="21"/>
          <w:highlight w:val="none"/>
        </w:rPr>
        <w:t>或</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（企业名称）</w:t>
      </w: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或拟派项目负责人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没有下列情形：</w:t>
      </w:r>
      <w:bookmarkStart w:id="797" w:name="OLE_LINK134"/>
      <w:bookmarkStart w:id="798" w:name="OLE_LINK133"/>
      <w:r>
        <w:rPr>
          <w:rFonts w:hint="eastAsia" w:ascii="宋体" w:hAnsi="宋体"/>
          <w:color w:val="auto"/>
          <w:szCs w:val="21"/>
          <w:highlight w:val="none"/>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bookmarkEnd w:id="797"/>
      <w:bookmarkEnd w:id="798"/>
      <w:r>
        <w:rPr>
          <w:rFonts w:hint="eastAsia" w:ascii="宋体" w:hAnsi="宋体"/>
          <w:color w:val="auto"/>
          <w:szCs w:val="21"/>
          <w:highlight w:val="none"/>
        </w:rPr>
        <w:t>若招标文件对投标人所属分公司、办事处等分支机构有上述1-10项信誉要求，在此一并承诺我公司所属分公司、办事处等分支机构没有上述1-10项情形）</w:t>
      </w:r>
    </w:p>
    <w:p w14:paraId="3A1B965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七、严格遵守开标现场纪律，服从监管人员管理；</w:t>
      </w:r>
    </w:p>
    <w:p w14:paraId="29F7445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八、保证中标后不转包及使用挂靠施工队伍，若有分包征得建设单位同意；</w:t>
      </w:r>
    </w:p>
    <w:p w14:paraId="7C09C9E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九、保证中标之后，按照投标文件承诺派驻管理人员及投入机械设备，如有违反，同意接受建设单位违约处罚；</w:t>
      </w:r>
    </w:p>
    <w:p w14:paraId="5872BD3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十、保证企业及所属相关人员在本次投标中无行贿等犯罪行为；</w:t>
      </w:r>
    </w:p>
    <w:p w14:paraId="424F1B4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十一、如我公司中标，保证中标的项目经理无其他尚未完工（以竣工、交工、完工验收报告等手续为准）项目或在已中标项目（以发放中标通知书为准）中担任项目经理情形。如有，项目在滁州市区域内的，接受取消中标资格、记入不良行为记录等处理；项目在滁州市区域外的，保证在中标候选人公示期第一日起开始计算7日内，提供经行政主管部门备案的变更证明材料，否则接受取消中标资格、记入不良行为记录等处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本项目不采用）</w:t>
      </w:r>
    </w:p>
    <w:p w14:paraId="548541F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二、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2410F7E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三、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44B4A99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十四、我公司拟任</w:t>
      </w:r>
      <w:r>
        <w:rPr>
          <w:rFonts w:hint="eastAsia" w:ascii="宋体" w:hAnsi="宋体"/>
          <w:color w:val="auto"/>
          <w:szCs w:val="21"/>
          <w:highlight w:val="none"/>
          <w:lang w:val="en-US" w:eastAsia="zh-CN"/>
        </w:rPr>
        <w:t>项目负责人</w:t>
      </w:r>
      <w:r>
        <w:rPr>
          <w:rFonts w:hint="eastAsia" w:ascii="宋体" w:hAnsi="宋体"/>
          <w:color w:val="auto"/>
          <w:szCs w:val="21"/>
          <w:highlight w:val="none"/>
        </w:rPr>
        <w:t>不是投标截止时间前六个月内在滁州市区域内办理过项目</w:t>
      </w:r>
      <w:r>
        <w:rPr>
          <w:rFonts w:hint="eastAsia" w:ascii="宋体" w:hAnsi="宋体"/>
          <w:color w:val="auto"/>
          <w:szCs w:val="21"/>
          <w:highlight w:val="none"/>
          <w:lang w:val="en-US" w:eastAsia="zh-CN"/>
        </w:rPr>
        <w:t>负责人</w:t>
      </w:r>
      <w:r>
        <w:rPr>
          <w:rFonts w:hint="eastAsia" w:ascii="宋体" w:hAnsi="宋体"/>
          <w:color w:val="auto"/>
          <w:szCs w:val="21"/>
          <w:highlight w:val="none"/>
        </w:rPr>
        <w:t>变更备案手续的原项目</w:t>
      </w:r>
      <w:r>
        <w:rPr>
          <w:rFonts w:hint="eastAsia" w:ascii="宋体" w:hAnsi="宋体"/>
          <w:color w:val="auto"/>
          <w:szCs w:val="21"/>
          <w:highlight w:val="none"/>
          <w:lang w:val="en-US" w:eastAsia="zh-CN"/>
        </w:rPr>
        <w:t>负责人</w:t>
      </w:r>
      <w:r>
        <w:rPr>
          <w:rFonts w:hint="eastAsia" w:ascii="宋体" w:hAnsi="宋体"/>
          <w:color w:val="auto"/>
          <w:szCs w:val="21"/>
          <w:highlight w:val="none"/>
        </w:rPr>
        <w:t>。</w:t>
      </w:r>
    </w:p>
    <w:p w14:paraId="5DCDD3D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 xml:space="preserve">  以上内容我已仔细阅读，本公司若有违反承诺内容的行为，自愿接受取消投标或者中标资格、中标无效、记入不良行为记录等有关处理，愿意承担法律责任，给招标人造成损失的，承担赔偿责任。</w:t>
      </w:r>
    </w:p>
    <w:p w14:paraId="54B550F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p>
    <w:p w14:paraId="38F16A9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olor w:val="auto"/>
          <w:szCs w:val="21"/>
          <w:highlight w:val="none"/>
        </w:rPr>
      </w:pPr>
    </w:p>
    <w:p w14:paraId="65535A9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u w:val="singl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基本账户：                             </w:t>
      </w:r>
    </w:p>
    <w:p w14:paraId="153AAAD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olor w:val="auto"/>
          <w:szCs w:val="21"/>
          <w:highlight w:val="none"/>
        </w:rPr>
      </w:pPr>
    </w:p>
    <w:p w14:paraId="7A2C93F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u w:val="single"/>
        </w:rPr>
      </w:pPr>
      <w:r>
        <w:rPr>
          <w:rFonts w:hint="eastAsia" w:ascii="宋体" w:hAnsi="宋体"/>
          <w:color w:val="auto"/>
          <w:szCs w:val="21"/>
          <w:highlight w:val="none"/>
        </w:rPr>
        <w:t xml:space="preserve">投标人（签章）：  </w:t>
      </w:r>
      <w:r>
        <w:rPr>
          <w:rFonts w:hint="eastAsia" w:ascii="宋体" w:hAnsi="宋体"/>
          <w:color w:val="auto"/>
          <w:szCs w:val="21"/>
          <w:highlight w:val="none"/>
          <w:u w:val="single"/>
        </w:rPr>
        <w:t xml:space="preserve">        </w:t>
      </w:r>
      <w:r>
        <w:rPr>
          <w:rFonts w:hint="eastAsia" w:ascii="宋体" w:hAnsi="宋体"/>
          <w:color w:val="auto"/>
          <w:szCs w:val="21"/>
          <w:highlight w:val="none"/>
        </w:rPr>
        <w:t>法定代表人（签章）：</w:t>
      </w:r>
      <w:r>
        <w:rPr>
          <w:rFonts w:hint="eastAsia" w:ascii="宋体" w:hAnsi="宋体"/>
          <w:color w:val="auto"/>
          <w:szCs w:val="21"/>
          <w:highlight w:val="none"/>
          <w:u w:val="single"/>
        </w:rPr>
        <w:t xml:space="preserve">                           </w:t>
      </w:r>
    </w:p>
    <w:p w14:paraId="2DC2B0B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olor w:val="auto"/>
          <w:szCs w:val="21"/>
          <w:highlight w:val="none"/>
        </w:rPr>
      </w:pPr>
    </w:p>
    <w:p w14:paraId="2A98C15E">
      <w:pPr>
        <w:pStyle w:val="45"/>
        <w:keepNext w:val="0"/>
        <w:keepLines w:val="0"/>
        <w:pageBreakBefore w:val="0"/>
        <w:widowControl w:val="0"/>
        <w:kinsoku/>
        <w:wordWrap/>
        <w:overflowPunct/>
        <w:topLinePunct w:val="0"/>
        <w:autoSpaceDE/>
        <w:autoSpaceDN/>
        <w:bidi w:val="0"/>
        <w:spacing w:line="400" w:lineRule="exact"/>
        <w:textAlignment w:val="auto"/>
        <w:rPr>
          <w:color w:val="auto"/>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14:paraId="5C83A5D1">
      <w:pPr>
        <w:pStyle w:val="45"/>
        <w:ind w:left="0" w:leftChars="0" w:firstLine="0" w:firstLineChars="0"/>
        <w:rPr>
          <w:color w:val="auto"/>
          <w:highlight w:val="none"/>
        </w:rPr>
      </w:pPr>
    </w:p>
    <w:p w14:paraId="0491D589">
      <w:pPr>
        <w:rPr>
          <w:color w:val="auto"/>
          <w:highlight w:val="none"/>
        </w:rPr>
      </w:pPr>
    </w:p>
    <w:p w14:paraId="1FF3CFB9">
      <w:pPr>
        <w:adjustRightInd w:val="0"/>
        <w:snapToGrid w:val="0"/>
        <w:spacing w:line="560" w:lineRule="exact"/>
        <w:jc w:val="center"/>
        <w:rPr>
          <w:rFonts w:hint="eastAsia"/>
          <w:b/>
          <w:color w:val="auto"/>
          <w:sz w:val="28"/>
          <w:szCs w:val="28"/>
          <w:highlight w:val="none"/>
        </w:rPr>
      </w:pPr>
      <w:r>
        <w:rPr>
          <w:rFonts w:hint="eastAsia"/>
          <w:b/>
          <w:color w:val="auto"/>
          <w:sz w:val="28"/>
          <w:szCs w:val="28"/>
          <w:highlight w:val="none"/>
          <w:lang w:val="en-US" w:eastAsia="zh-CN"/>
        </w:rPr>
        <w:t>或</w:t>
      </w:r>
      <w:r>
        <w:rPr>
          <w:rFonts w:hint="eastAsia"/>
          <w:b/>
          <w:color w:val="auto"/>
          <w:sz w:val="28"/>
          <w:szCs w:val="28"/>
          <w:highlight w:val="none"/>
          <w:lang w:eastAsia="zh-CN"/>
        </w:rPr>
        <w:t>（</w:t>
      </w:r>
      <w:r>
        <w:rPr>
          <w:rFonts w:hint="eastAsia"/>
          <w:b/>
          <w:color w:val="auto"/>
          <w:sz w:val="28"/>
          <w:szCs w:val="28"/>
          <w:highlight w:val="none"/>
          <w:lang w:val="en-US" w:eastAsia="zh-CN"/>
        </w:rPr>
        <w:t>2）</w:t>
      </w:r>
      <w:r>
        <w:rPr>
          <w:rFonts w:hint="eastAsia"/>
          <w:b/>
          <w:color w:val="auto"/>
          <w:sz w:val="28"/>
          <w:szCs w:val="28"/>
          <w:highlight w:val="none"/>
        </w:rPr>
        <w:t>公共信用信息报告（无违法违规证明版或核查版））</w:t>
      </w:r>
    </w:p>
    <w:p w14:paraId="1006BE8E">
      <w:pPr>
        <w:pStyle w:val="45"/>
        <w:spacing w:after="0" w:line="560" w:lineRule="exact"/>
        <w:ind w:left="0" w:leftChars="0"/>
        <w:rPr>
          <w:rFonts w:hint="eastAsia" w:ascii="宋体" w:hAnsi="宋体"/>
          <w:color w:val="auto"/>
          <w:szCs w:val="21"/>
          <w:highlight w:val="none"/>
        </w:rPr>
      </w:pPr>
      <w:r>
        <w:rPr>
          <w:rFonts w:hint="eastAsia" w:ascii="宋体" w:hAnsi="宋体"/>
          <w:color w:val="auto"/>
          <w:szCs w:val="21"/>
          <w:highlight w:val="none"/>
        </w:rPr>
        <w:t>符合条件的投标人可在信用中国（安徽）网站（网址</w:t>
      </w:r>
      <w:r>
        <w:rPr>
          <w:rFonts w:ascii="宋体" w:hAnsi="宋体"/>
          <w:color w:val="auto"/>
          <w:szCs w:val="21"/>
          <w:highlight w:val="none"/>
        </w:rPr>
        <w:fldChar w:fldCharType="begin"/>
      </w:r>
      <w:r>
        <w:rPr>
          <w:rFonts w:ascii="宋体" w:hAnsi="宋体"/>
          <w:color w:val="auto"/>
          <w:szCs w:val="21"/>
          <w:highlight w:val="none"/>
        </w:rPr>
        <w:instrText xml:space="preserve"> HYPERLINK "https://credit.ah.gov.cn/xinyongfuwu/index.html" </w:instrText>
      </w:r>
      <w:r>
        <w:rPr>
          <w:rFonts w:ascii="宋体" w:hAnsi="宋体"/>
          <w:color w:val="auto"/>
          <w:szCs w:val="21"/>
          <w:highlight w:val="none"/>
        </w:rPr>
        <w:fldChar w:fldCharType="separate"/>
      </w:r>
      <w:r>
        <w:rPr>
          <w:rStyle w:val="57"/>
          <w:rFonts w:ascii="宋体" w:hAnsi="宋体"/>
          <w:color w:val="auto"/>
          <w:szCs w:val="21"/>
          <w:highlight w:val="none"/>
        </w:rPr>
        <w:t>https://credit.ah.gov.cn/xinyongfuwu/index.html</w:t>
      </w:r>
      <w:r>
        <w:rPr>
          <w:rFonts w:ascii="宋体" w:hAnsi="宋体"/>
          <w:color w:val="auto"/>
          <w:szCs w:val="21"/>
          <w:highlight w:val="none"/>
        </w:rPr>
        <w:fldChar w:fldCharType="end"/>
      </w:r>
      <w:r>
        <w:rPr>
          <w:rFonts w:hint="eastAsia" w:ascii="宋体" w:hAnsi="宋体"/>
          <w:color w:val="auto"/>
          <w:szCs w:val="21"/>
          <w:highlight w:val="none"/>
        </w:rPr>
        <w:t>），获取信用报告（无违法违规证明版或核查版）并上传至投标文件中。</w:t>
      </w:r>
    </w:p>
    <w:p w14:paraId="7CA2475B">
      <w:pPr>
        <w:rPr>
          <w:rFonts w:hint="eastAsia"/>
          <w:b/>
          <w:color w:val="auto"/>
          <w:sz w:val="28"/>
          <w:szCs w:val="28"/>
          <w:highlight w:val="none"/>
        </w:rPr>
      </w:pPr>
      <w:r>
        <w:rPr>
          <w:rFonts w:hint="eastAsia"/>
          <w:b/>
          <w:color w:val="auto"/>
          <w:sz w:val="28"/>
          <w:szCs w:val="28"/>
          <w:highlight w:val="none"/>
        </w:rPr>
        <w:br w:type="page"/>
      </w:r>
    </w:p>
    <w:p w14:paraId="56173C8B">
      <w:pPr>
        <w:spacing w:line="360" w:lineRule="auto"/>
        <w:jc w:val="center"/>
        <w:rPr>
          <w:rFonts w:hint="default" w:ascii="宋体" w:eastAsia="宋体"/>
          <w:b/>
          <w:color w:val="auto"/>
          <w:sz w:val="24"/>
          <w:highlight w:val="none"/>
          <w:lang w:val="en-US" w:eastAsia="zh-CN"/>
        </w:rPr>
      </w:pPr>
      <w:r>
        <w:rPr>
          <w:rFonts w:hint="eastAsia"/>
          <w:b/>
          <w:color w:val="auto"/>
          <w:sz w:val="28"/>
          <w:szCs w:val="28"/>
          <w:highlight w:val="none"/>
        </w:rPr>
        <w:t>（</w:t>
      </w:r>
      <w:r>
        <w:rPr>
          <w:rFonts w:hint="eastAsia"/>
          <w:b/>
          <w:color w:val="auto"/>
          <w:sz w:val="28"/>
          <w:szCs w:val="28"/>
          <w:highlight w:val="none"/>
          <w:lang w:val="en-US" w:eastAsia="zh-CN"/>
        </w:rPr>
        <w:t>3</w:t>
      </w:r>
      <w:r>
        <w:rPr>
          <w:rFonts w:hint="eastAsia"/>
          <w:b/>
          <w:color w:val="auto"/>
          <w:sz w:val="28"/>
          <w:szCs w:val="28"/>
          <w:highlight w:val="none"/>
        </w:rPr>
        <w:t>）承诺函</w:t>
      </w:r>
    </w:p>
    <w:p w14:paraId="647C3135">
      <w:pPr>
        <w:spacing w:beforeLines="50" w:afterLines="50" w:line="700" w:lineRule="exact"/>
        <w:rPr>
          <w:rFonts w:ascii="宋体"/>
          <w:b/>
          <w:color w:val="auto"/>
          <w:sz w:val="21"/>
          <w:szCs w:val="21"/>
          <w:highlight w:val="none"/>
        </w:rPr>
      </w:pPr>
      <w:r>
        <w:rPr>
          <w:rFonts w:ascii="宋体"/>
          <w:color w:val="auto"/>
          <w:sz w:val="21"/>
          <w:szCs w:val="21"/>
          <w:highlight w:val="none"/>
          <w:u w:val="single"/>
        </w:rPr>
        <w:t xml:space="preserve">                      </w:t>
      </w:r>
      <w:r>
        <w:rPr>
          <w:rFonts w:hint="eastAsia" w:ascii="宋体"/>
          <w:color w:val="auto"/>
          <w:sz w:val="21"/>
          <w:szCs w:val="21"/>
          <w:highlight w:val="none"/>
        </w:rPr>
        <w:t>（项目单位）：</w:t>
      </w:r>
    </w:p>
    <w:p w14:paraId="475D5296">
      <w:pPr>
        <w:widowControl/>
        <w:spacing w:line="480" w:lineRule="auto"/>
        <w:ind w:firstLine="420" w:firstLineChars="200"/>
        <w:jc w:val="left"/>
        <w:rPr>
          <w:rFonts w:ascii="宋体" w:cs="宋体"/>
          <w:b/>
          <w:color w:val="auto"/>
          <w:sz w:val="21"/>
          <w:szCs w:val="21"/>
          <w:highlight w:val="none"/>
        </w:rPr>
      </w:pPr>
      <w:r>
        <w:rPr>
          <w:rFonts w:hint="eastAsia" w:ascii="宋体"/>
          <w:color w:val="auto"/>
          <w:sz w:val="21"/>
          <w:szCs w:val="21"/>
          <w:highlight w:val="none"/>
        </w:rPr>
        <w:t>我公司现承诺在</w:t>
      </w:r>
      <w:r>
        <w:rPr>
          <w:rFonts w:ascii="宋体"/>
          <w:color w:val="auto"/>
          <w:sz w:val="21"/>
          <w:szCs w:val="21"/>
          <w:highlight w:val="none"/>
          <w:u w:val="single"/>
        </w:rPr>
        <w:t xml:space="preserve">                               </w:t>
      </w:r>
      <w:r>
        <w:rPr>
          <w:rFonts w:hint="eastAsia" w:ascii="宋体"/>
          <w:color w:val="auto"/>
          <w:sz w:val="21"/>
          <w:szCs w:val="21"/>
          <w:highlight w:val="none"/>
          <w:u w:val="single"/>
        </w:rPr>
        <w:t>（项目名称）</w:t>
      </w:r>
      <w:r>
        <w:rPr>
          <w:rFonts w:hint="eastAsia" w:ascii="宋体"/>
          <w:color w:val="auto"/>
          <w:sz w:val="21"/>
          <w:szCs w:val="21"/>
          <w:highlight w:val="none"/>
        </w:rPr>
        <w:t>中拟派的</w:t>
      </w:r>
      <w:r>
        <w:rPr>
          <w:rFonts w:hint="eastAsia" w:ascii="宋体"/>
          <w:color w:val="auto"/>
          <w:sz w:val="21"/>
          <w:szCs w:val="21"/>
          <w:highlight w:val="none"/>
          <w:lang w:val="en-US" w:eastAsia="zh-CN"/>
        </w:rPr>
        <w:t>项目负责人（</w:t>
      </w:r>
      <w:r>
        <w:rPr>
          <w:rFonts w:hint="eastAsia" w:ascii="宋体"/>
          <w:color w:val="auto"/>
          <w:sz w:val="21"/>
          <w:szCs w:val="21"/>
          <w:highlight w:val="none"/>
        </w:rPr>
        <w:t>总监理工程师</w:t>
      </w:r>
      <w:r>
        <w:rPr>
          <w:rFonts w:hint="eastAsia" w:ascii="宋体"/>
          <w:color w:val="auto"/>
          <w:sz w:val="21"/>
          <w:szCs w:val="21"/>
          <w:highlight w:val="none"/>
          <w:lang w:eastAsia="zh-CN"/>
        </w:rPr>
        <w:t>）</w:t>
      </w:r>
      <w:r>
        <w:rPr>
          <w:rFonts w:ascii="宋体"/>
          <w:color w:val="auto"/>
          <w:sz w:val="21"/>
          <w:szCs w:val="21"/>
          <w:highlight w:val="none"/>
          <w:u w:val="single"/>
        </w:rPr>
        <w:t xml:space="preserve">      </w:t>
      </w:r>
      <w:r>
        <w:rPr>
          <w:rFonts w:hint="eastAsia" w:ascii="宋体"/>
          <w:color w:val="auto"/>
          <w:sz w:val="21"/>
          <w:szCs w:val="21"/>
          <w:highlight w:val="none"/>
          <w:u w:val="single"/>
          <w:lang w:val="en-US" w:eastAsia="zh-CN"/>
        </w:rPr>
        <w:t xml:space="preserve">       </w:t>
      </w:r>
      <w:r>
        <w:rPr>
          <w:rFonts w:ascii="宋体"/>
          <w:color w:val="auto"/>
          <w:sz w:val="21"/>
          <w:szCs w:val="21"/>
          <w:highlight w:val="none"/>
          <w:u w:val="single"/>
        </w:rPr>
        <w:t xml:space="preserve"> </w:t>
      </w:r>
      <w:r>
        <w:rPr>
          <w:rFonts w:hint="eastAsia" w:ascii="宋体"/>
          <w:color w:val="auto"/>
          <w:sz w:val="21"/>
          <w:szCs w:val="21"/>
          <w:highlight w:val="none"/>
          <w:u w:val="single"/>
        </w:rPr>
        <w:t>（姓名）</w:t>
      </w:r>
      <w:r>
        <w:rPr>
          <w:rFonts w:ascii="宋体"/>
          <w:color w:val="auto"/>
          <w:sz w:val="21"/>
          <w:szCs w:val="21"/>
          <w:highlight w:val="none"/>
          <w:u w:val="single"/>
        </w:rPr>
        <w:t xml:space="preserve"> </w:t>
      </w:r>
      <w:r>
        <w:rPr>
          <w:rFonts w:hint="eastAsia" w:ascii="宋体" w:cs="Times New Roman"/>
          <w:color w:val="auto"/>
          <w:sz w:val="21"/>
          <w:szCs w:val="21"/>
          <w:highlight w:val="none"/>
          <w:lang w:val="en-US" w:eastAsia="zh-CN"/>
        </w:rPr>
        <w:t xml:space="preserve"> </w:t>
      </w:r>
      <w:r>
        <w:rPr>
          <w:rFonts w:hint="eastAsia" w:ascii="宋体" w:hAnsi="宋体" w:eastAsia="宋体" w:cs="宋体"/>
          <w:color w:val="auto"/>
          <w:sz w:val="21"/>
          <w:szCs w:val="21"/>
          <w:highlight w:val="none"/>
        </w:rPr>
        <w:t>在本项目所在市行政区域外无在建，在本项目所在市行政区域内</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u w:val="single"/>
          <w:lang w:val="en-US" w:eastAsia="zh-CN"/>
        </w:rPr>
        <w:t xml:space="preserve">     个</w:t>
      </w:r>
      <w:r>
        <w:rPr>
          <w:rFonts w:hint="eastAsia" w:ascii="宋体" w:hAnsi="宋体" w:eastAsia="宋体" w:cs="宋体"/>
          <w:color w:val="auto"/>
          <w:sz w:val="21"/>
          <w:szCs w:val="21"/>
          <w:highlight w:val="none"/>
        </w:rPr>
        <w:t>在建项目</w:t>
      </w:r>
      <w:r>
        <w:rPr>
          <w:rFonts w:hint="eastAsia" w:ascii="宋体" w:hAnsi="Times New Roman" w:eastAsia="宋体" w:cs="Times New Roman"/>
          <w:color w:val="auto"/>
          <w:sz w:val="21"/>
          <w:szCs w:val="21"/>
          <w:highlight w:val="none"/>
          <w:lang w:eastAsia="zh-CN"/>
        </w:rPr>
        <w:t>；</w:t>
      </w:r>
      <w:r>
        <w:rPr>
          <w:rFonts w:hint="eastAsia" w:ascii="宋体" w:hAnsi="宋体" w:cs="宋体-18030"/>
          <w:bCs/>
          <w:color w:val="auto"/>
          <w:sz w:val="21"/>
          <w:szCs w:val="21"/>
          <w:highlight w:val="none"/>
        </w:rPr>
        <w:t>若有虚假</w:t>
      </w:r>
      <w:r>
        <w:rPr>
          <w:rFonts w:hint="eastAsia"/>
          <w:color w:val="auto"/>
          <w:sz w:val="21"/>
          <w:szCs w:val="21"/>
          <w:highlight w:val="none"/>
        </w:rPr>
        <w:t>则取消我公司</w:t>
      </w:r>
      <w:r>
        <w:rPr>
          <w:rFonts w:hint="eastAsia"/>
          <w:color w:val="auto"/>
          <w:sz w:val="21"/>
          <w:szCs w:val="21"/>
          <w:highlight w:val="none"/>
          <w:lang w:val="en-US" w:eastAsia="zh-CN"/>
        </w:rPr>
        <w:t>中标</w:t>
      </w:r>
      <w:r>
        <w:rPr>
          <w:rFonts w:hint="eastAsia"/>
          <w:color w:val="auto"/>
          <w:sz w:val="21"/>
          <w:szCs w:val="21"/>
          <w:highlight w:val="none"/>
        </w:rPr>
        <w:t>资格，情节严重的，提请相关行政执法部门和招投标监督管理部门对我公司进行处罚。</w:t>
      </w:r>
    </w:p>
    <w:p w14:paraId="1B02B5F2">
      <w:pPr>
        <w:spacing w:line="480" w:lineRule="auto"/>
        <w:ind w:firstLine="411" w:firstLineChars="196"/>
        <w:rPr>
          <w:rFonts w:ascii="宋体" w:cs="宋体"/>
          <w:color w:val="auto"/>
          <w:sz w:val="21"/>
          <w:szCs w:val="21"/>
          <w:highlight w:val="none"/>
        </w:rPr>
      </w:pPr>
      <w:r>
        <w:rPr>
          <w:rFonts w:hint="eastAsia"/>
          <w:b w:val="0"/>
          <w:bCs/>
          <w:color w:val="auto"/>
          <w:sz w:val="21"/>
          <w:szCs w:val="21"/>
          <w:highlight w:val="none"/>
        </w:rPr>
        <w:t>特此承诺。</w:t>
      </w:r>
    </w:p>
    <w:p w14:paraId="2F6EDB0A">
      <w:pPr>
        <w:spacing w:line="640" w:lineRule="exact"/>
        <w:ind w:firstLine="4410" w:firstLineChars="2100"/>
        <w:jc w:val="left"/>
        <w:rPr>
          <w:rFonts w:ascii="宋体" w:cs="宋体"/>
          <w:color w:val="auto"/>
          <w:sz w:val="21"/>
          <w:szCs w:val="21"/>
          <w:highlight w:val="none"/>
        </w:rPr>
      </w:pPr>
      <w:r>
        <w:rPr>
          <w:rFonts w:hint="eastAsia" w:ascii="宋体" w:hAnsi="宋体" w:cs="宋体"/>
          <w:color w:val="auto"/>
          <w:sz w:val="21"/>
          <w:szCs w:val="21"/>
          <w:highlight w:val="none"/>
        </w:rPr>
        <w:t>投标人（签章）：</w:t>
      </w:r>
    </w:p>
    <w:p w14:paraId="12A32B3D">
      <w:pPr>
        <w:spacing w:line="640" w:lineRule="exact"/>
        <w:ind w:firstLine="4410" w:firstLineChars="2100"/>
        <w:jc w:val="left"/>
        <w:rPr>
          <w:rFonts w:ascii="宋体" w:cs="宋体"/>
          <w:color w:val="auto"/>
          <w:sz w:val="21"/>
          <w:szCs w:val="21"/>
          <w:highlight w:val="none"/>
        </w:rPr>
      </w:pPr>
      <w:r>
        <w:rPr>
          <w:rFonts w:hint="eastAsia" w:ascii="宋体" w:hAnsi="宋体" w:cs="宋体"/>
          <w:color w:val="auto"/>
          <w:sz w:val="21"/>
          <w:szCs w:val="21"/>
          <w:highlight w:val="none"/>
        </w:rPr>
        <w:t>法定代表人（签章）：</w:t>
      </w:r>
    </w:p>
    <w:p w14:paraId="7D7B4F5D">
      <w:pPr>
        <w:spacing w:line="640" w:lineRule="exact"/>
        <w:ind w:left="279" w:leftChars="133" w:firstLine="4200" w:firstLineChars="2000"/>
        <w:jc w:val="left"/>
        <w:rPr>
          <w:rFonts w:ascii="宋体" w:cs="宋体"/>
          <w:color w:val="auto"/>
          <w:sz w:val="21"/>
          <w:szCs w:val="21"/>
          <w:highlight w:val="none"/>
        </w:rPr>
      </w:pPr>
      <w:r>
        <w:rPr>
          <w:rFonts w:hint="eastAsia" w:ascii="宋体" w:hAnsi="宋体" w:cs="宋体"/>
          <w:color w:val="auto"/>
          <w:sz w:val="21"/>
          <w:szCs w:val="21"/>
          <w:highlight w:val="none"/>
        </w:rPr>
        <w:t>日</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期：</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年</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月</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日</w:t>
      </w:r>
    </w:p>
    <w:p w14:paraId="7532D61F">
      <w:pPr>
        <w:rPr>
          <w:color w:val="auto"/>
          <w:highlight w:val="none"/>
        </w:rPr>
      </w:pPr>
    </w:p>
    <w:p w14:paraId="31786B23">
      <w:pPr>
        <w:pStyle w:val="45"/>
        <w:rPr>
          <w:rFonts w:hint="eastAsia" w:hAnsi="宋体"/>
          <w:b/>
          <w:color w:val="auto"/>
          <w:sz w:val="30"/>
          <w:szCs w:val="30"/>
          <w:highlight w:val="none"/>
        </w:rPr>
      </w:pPr>
    </w:p>
    <w:p w14:paraId="14535850">
      <w:pPr>
        <w:pStyle w:val="45"/>
        <w:ind w:left="0" w:leftChars="0" w:firstLine="0" w:firstLineChars="0"/>
        <w:jc w:val="center"/>
        <w:rPr>
          <w:color w:val="auto"/>
          <w:highlight w:val="none"/>
        </w:rPr>
      </w:pPr>
      <w:r>
        <w:rPr>
          <w:rFonts w:hint="eastAsia" w:hAnsi="宋体"/>
          <w:b/>
          <w:color w:val="auto"/>
          <w:sz w:val="30"/>
          <w:szCs w:val="30"/>
          <w:highlight w:val="none"/>
        </w:rPr>
        <w:t>（</w:t>
      </w:r>
      <w:r>
        <w:rPr>
          <w:rFonts w:hint="eastAsia" w:hAnsi="宋体"/>
          <w:b/>
          <w:color w:val="auto"/>
          <w:sz w:val="30"/>
          <w:szCs w:val="30"/>
          <w:highlight w:val="none"/>
          <w:lang w:val="en-US" w:eastAsia="zh-CN"/>
        </w:rPr>
        <w:t>4</w:t>
      </w:r>
      <w:r>
        <w:rPr>
          <w:rFonts w:hint="eastAsia" w:hAnsi="宋体"/>
          <w:b/>
          <w:color w:val="auto"/>
          <w:sz w:val="30"/>
          <w:szCs w:val="30"/>
          <w:highlight w:val="none"/>
        </w:rPr>
        <w:t>）</w:t>
      </w:r>
      <w:r>
        <w:rPr>
          <w:rFonts w:hint="eastAsia"/>
          <w:b/>
          <w:bCs/>
          <w:color w:val="auto"/>
          <w:sz w:val="30"/>
          <w:szCs w:val="30"/>
          <w:highlight w:val="none"/>
        </w:rPr>
        <w:t>拟派</w:t>
      </w:r>
      <w:r>
        <w:rPr>
          <w:rFonts w:hint="eastAsia"/>
          <w:b/>
          <w:bCs/>
          <w:color w:val="auto"/>
          <w:sz w:val="30"/>
          <w:szCs w:val="30"/>
          <w:highlight w:val="none"/>
          <w:lang w:val="en-US" w:eastAsia="zh-CN"/>
        </w:rPr>
        <w:t>项目负责人（总监理工程师）</w:t>
      </w:r>
      <w:r>
        <w:rPr>
          <w:rFonts w:hint="eastAsia"/>
          <w:b/>
          <w:bCs/>
          <w:color w:val="auto"/>
          <w:sz w:val="30"/>
          <w:szCs w:val="30"/>
          <w:highlight w:val="none"/>
        </w:rPr>
        <w:t>情况一览表</w:t>
      </w:r>
    </w:p>
    <w:tbl>
      <w:tblPr>
        <w:tblStyle w:val="46"/>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946"/>
        <w:gridCol w:w="947"/>
        <w:gridCol w:w="1388"/>
        <w:gridCol w:w="1549"/>
        <w:gridCol w:w="1588"/>
        <w:gridCol w:w="1562"/>
      </w:tblGrid>
      <w:tr w14:paraId="472C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575" w:type="dxa"/>
            <w:vAlign w:val="center"/>
          </w:tcPr>
          <w:p w14:paraId="1020AA1C">
            <w:pPr>
              <w:jc w:val="center"/>
              <w:rPr>
                <w:rFonts w:ascii="宋体" w:cs="宋体"/>
                <w:color w:val="auto"/>
                <w:sz w:val="24"/>
                <w:highlight w:val="none"/>
              </w:rPr>
            </w:pPr>
            <w:r>
              <w:rPr>
                <w:rFonts w:hint="eastAsia" w:ascii="宋体" w:cs="宋体"/>
                <w:color w:val="auto"/>
                <w:sz w:val="24"/>
                <w:highlight w:val="none"/>
              </w:rPr>
              <w:t>姓</w:t>
            </w:r>
            <w:r>
              <w:rPr>
                <w:rFonts w:ascii="宋体" w:cs="宋体"/>
                <w:color w:val="auto"/>
                <w:sz w:val="24"/>
                <w:highlight w:val="none"/>
              </w:rPr>
              <w:t xml:space="preserve">  </w:t>
            </w:r>
            <w:r>
              <w:rPr>
                <w:rFonts w:hint="eastAsia" w:ascii="宋体" w:cs="宋体"/>
                <w:color w:val="auto"/>
                <w:sz w:val="24"/>
                <w:highlight w:val="none"/>
              </w:rPr>
              <w:t>名</w:t>
            </w:r>
          </w:p>
        </w:tc>
        <w:tc>
          <w:tcPr>
            <w:tcW w:w="946" w:type="dxa"/>
            <w:vAlign w:val="center"/>
          </w:tcPr>
          <w:p w14:paraId="2589882D">
            <w:pPr>
              <w:jc w:val="center"/>
              <w:rPr>
                <w:rFonts w:ascii="宋体" w:cs="宋体"/>
                <w:color w:val="auto"/>
                <w:sz w:val="24"/>
                <w:highlight w:val="none"/>
              </w:rPr>
            </w:pPr>
            <w:r>
              <w:rPr>
                <w:rFonts w:hint="eastAsia" w:ascii="宋体" w:cs="宋体"/>
                <w:color w:val="auto"/>
                <w:sz w:val="24"/>
                <w:highlight w:val="none"/>
              </w:rPr>
              <w:t>年龄</w:t>
            </w:r>
          </w:p>
        </w:tc>
        <w:tc>
          <w:tcPr>
            <w:tcW w:w="947" w:type="dxa"/>
            <w:vAlign w:val="center"/>
          </w:tcPr>
          <w:p w14:paraId="36DDAA43">
            <w:pPr>
              <w:jc w:val="center"/>
              <w:rPr>
                <w:rFonts w:ascii="宋体" w:cs="宋体"/>
                <w:color w:val="auto"/>
                <w:sz w:val="24"/>
                <w:highlight w:val="none"/>
              </w:rPr>
            </w:pPr>
            <w:r>
              <w:rPr>
                <w:rFonts w:hint="eastAsia" w:ascii="宋体" w:cs="宋体"/>
                <w:color w:val="auto"/>
                <w:sz w:val="24"/>
                <w:highlight w:val="none"/>
              </w:rPr>
              <w:t>性别</w:t>
            </w:r>
          </w:p>
        </w:tc>
        <w:tc>
          <w:tcPr>
            <w:tcW w:w="1388" w:type="dxa"/>
            <w:vAlign w:val="center"/>
          </w:tcPr>
          <w:p w14:paraId="28A81BD4">
            <w:pPr>
              <w:jc w:val="center"/>
              <w:rPr>
                <w:rFonts w:ascii="宋体" w:cs="宋体"/>
                <w:color w:val="auto"/>
                <w:sz w:val="24"/>
                <w:highlight w:val="none"/>
              </w:rPr>
            </w:pPr>
            <w:r>
              <w:rPr>
                <w:rFonts w:hint="eastAsia" w:ascii="宋体" w:cs="宋体"/>
                <w:color w:val="auto"/>
                <w:sz w:val="24"/>
                <w:highlight w:val="none"/>
              </w:rPr>
              <w:t>职称</w:t>
            </w:r>
          </w:p>
        </w:tc>
        <w:tc>
          <w:tcPr>
            <w:tcW w:w="1549" w:type="dxa"/>
            <w:vAlign w:val="center"/>
          </w:tcPr>
          <w:p w14:paraId="58360866">
            <w:pPr>
              <w:jc w:val="center"/>
              <w:rPr>
                <w:rFonts w:ascii="宋体" w:cs="宋体"/>
                <w:color w:val="auto"/>
                <w:sz w:val="24"/>
                <w:highlight w:val="none"/>
              </w:rPr>
            </w:pPr>
            <w:r>
              <w:rPr>
                <w:rFonts w:hint="eastAsia" w:ascii="宋体" w:cs="宋体"/>
                <w:color w:val="auto"/>
                <w:sz w:val="24"/>
                <w:highlight w:val="none"/>
              </w:rPr>
              <w:t>拟任职务</w:t>
            </w:r>
          </w:p>
        </w:tc>
        <w:tc>
          <w:tcPr>
            <w:tcW w:w="1588" w:type="dxa"/>
            <w:vAlign w:val="center"/>
          </w:tcPr>
          <w:p w14:paraId="3D5F7997">
            <w:pPr>
              <w:jc w:val="center"/>
              <w:rPr>
                <w:rFonts w:ascii="宋体" w:cs="宋体"/>
                <w:color w:val="auto"/>
                <w:sz w:val="24"/>
                <w:highlight w:val="none"/>
              </w:rPr>
            </w:pPr>
            <w:r>
              <w:rPr>
                <w:rFonts w:hint="eastAsia" w:ascii="宋体" w:cs="宋体"/>
                <w:color w:val="auto"/>
                <w:sz w:val="24"/>
                <w:highlight w:val="none"/>
              </w:rPr>
              <w:t>持证名称</w:t>
            </w:r>
          </w:p>
        </w:tc>
        <w:tc>
          <w:tcPr>
            <w:tcW w:w="1562" w:type="dxa"/>
            <w:vAlign w:val="center"/>
          </w:tcPr>
          <w:p w14:paraId="03503207">
            <w:pPr>
              <w:jc w:val="center"/>
              <w:rPr>
                <w:rFonts w:ascii="宋体" w:cs="宋体"/>
                <w:color w:val="auto"/>
                <w:sz w:val="24"/>
                <w:highlight w:val="none"/>
              </w:rPr>
            </w:pPr>
            <w:r>
              <w:rPr>
                <w:rFonts w:hint="eastAsia" w:ascii="宋体" w:cs="宋体"/>
                <w:color w:val="auto"/>
                <w:sz w:val="24"/>
                <w:highlight w:val="none"/>
              </w:rPr>
              <w:t>持证证号</w:t>
            </w:r>
          </w:p>
        </w:tc>
      </w:tr>
      <w:tr w14:paraId="6CD3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575" w:type="dxa"/>
            <w:vAlign w:val="center"/>
          </w:tcPr>
          <w:p w14:paraId="52E0AC73">
            <w:pPr>
              <w:jc w:val="center"/>
              <w:rPr>
                <w:rFonts w:ascii="宋体" w:cs="宋体"/>
                <w:color w:val="auto"/>
                <w:sz w:val="24"/>
                <w:highlight w:val="none"/>
              </w:rPr>
            </w:pPr>
          </w:p>
        </w:tc>
        <w:tc>
          <w:tcPr>
            <w:tcW w:w="946" w:type="dxa"/>
            <w:vAlign w:val="center"/>
          </w:tcPr>
          <w:p w14:paraId="06D097B4">
            <w:pPr>
              <w:jc w:val="center"/>
              <w:rPr>
                <w:rFonts w:ascii="宋体" w:cs="宋体"/>
                <w:color w:val="auto"/>
                <w:sz w:val="24"/>
                <w:highlight w:val="none"/>
              </w:rPr>
            </w:pPr>
          </w:p>
        </w:tc>
        <w:tc>
          <w:tcPr>
            <w:tcW w:w="947" w:type="dxa"/>
            <w:vAlign w:val="center"/>
          </w:tcPr>
          <w:p w14:paraId="34F5EA07">
            <w:pPr>
              <w:jc w:val="center"/>
              <w:rPr>
                <w:rFonts w:ascii="宋体" w:cs="宋体"/>
                <w:color w:val="auto"/>
                <w:sz w:val="24"/>
                <w:highlight w:val="none"/>
              </w:rPr>
            </w:pPr>
          </w:p>
        </w:tc>
        <w:tc>
          <w:tcPr>
            <w:tcW w:w="1388" w:type="dxa"/>
            <w:vAlign w:val="center"/>
          </w:tcPr>
          <w:p w14:paraId="24C35104">
            <w:pPr>
              <w:jc w:val="center"/>
              <w:rPr>
                <w:rFonts w:ascii="宋体" w:cs="宋体"/>
                <w:color w:val="auto"/>
                <w:sz w:val="24"/>
                <w:highlight w:val="none"/>
              </w:rPr>
            </w:pPr>
          </w:p>
        </w:tc>
        <w:tc>
          <w:tcPr>
            <w:tcW w:w="1549" w:type="dxa"/>
            <w:vAlign w:val="center"/>
          </w:tcPr>
          <w:p w14:paraId="1874A117">
            <w:pPr>
              <w:jc w:val="center"/>
              <w:rPr>
                <w:rFonts w:ascii="宋体" w:cs="宋体"/>
                <w:color w:val="auto"/>
                <w:sz w:val="24"/>
                <w:highlight w:val="none"/>
              </w:rPr>
            </w:pPr>
          </w:p>
        </w:tc>
        <w:tc>
          <w:tcPr>
            <w:tcW w:w="1588" w:type="dxa"/>
            <w:vAlign w:val="center"/>
          </w:tcPr>
          <w:p w14:paraId="376FE100">
            <w:pPr>
              <w:jc w:val="center"/>
              <w:rPr>
                <w:rFonts w:ascii="宋体" w:cs="宋体"/>
                <w:color w:val="auto"/>
                <w:sz w:val="24"/>
                <w:highlight w:val="none"/>
              </w:rPr>
            </w:pPr>
          </w:p>
        </w:tc>
        <w:tc>
          <w:tcPr>
            <w:tcW w:w="1562" w:type="dxa"/>
            <w:vAlign w:val="center"/>
          </w:tcPr>
          <w:p w14:paraId="5053AFFB">
            <w:pPr>
              <w:jc w:val="center"/>
              <w:rPr>
                <w:rFonts w:ascii="宋体" w:cs="宋体"/>
                <w:color w:val="auto"/>
                <w:sz w:val="24"/>
                <w:highlight w:val="none"/>
              </w:rPr>
            </w:pPr>
          </w:p>
        </w:tc>
      </w:tr>
    </w:tbl>
    <w:p w14:paraId="078B8B76">
      <w:pPr>
        <w:spacing w:line="360" w:lineRule="auto"/>
        <w:ind w:firstLine="3480" w:firstLineChars="1450"/>
        <w:rPr>
          <w:rFonts w:ascii="宋体" w:cs="宋体"/>
          <w:color w:val="auto"/>
          <w:sz w:val="24"/>
          <w:highlight w:val="none"/>
        </w:rPr>
      </w:pPr>
    </w:p>
    <w:p w14:paraId="65934173">
      <w:pPr>
        <w:spacing w:line="360" w:lineRule="auto"/>
        <w:rPr>
          <w:rFonts w:ascii="宋体" w:cs="宋体"/>
          <w:color w:val="auto"/>
          <w:sz w:val="24"/>
          <w:highlight w:val="none"/>
        </w:rPr>
      </w:pPr>
    </w:p>
    <w:p w14:paraId="4537913D">
      <w:pPr>
        <w:spacing w:line="360" w:lineRule="auto"/>
        <w:ind w:firstLine="4900" w:firstLineChars="1750"/>
        <w:rPr>
          <w:rFonts w:ascii="宋体" w:cs="宋体"/>
          <w:color w:val="auto"/>
          <w:sz w:val="24"/>
          <w:highlight w:val="none"/>
        </w:rPr>
      </w:pPr>
      <w:r>
        <w:rPr>
          <w:rFonts w:hint="eastAsia" w:ascii="宋体" w:hAnsi="宋体" w:cs="宋体"/>
          <w:color w:val="auto"/>
          <w:sz w:val="28"/>
          <w:szCs w:val="28"/>
          <w:highlight w:val="none"/>
        </w:rPr>
        <w:t>投标人：</w:t>
      </w:r>
      <w:r>
        <w:rPr>
          <w:rFonts w:ascii="宋体" w:cs="宋体"/>
          <w:color w:val="auto"/>
          <w:sz w:val="24"/>
          <w:highlight w:val="none"/>
          <w:u w:val="single"/>
        </w:rPr>
        <w:t xml:space="preserve">                  </w:t>
      </w:r>
      <w:r>
        <w:rPr>
          <w:rFonts w:hint="eastAsia" w:ascii="宋体" w:cs="宋体"/>
          <w:color w:val="auto"/>
          <w:sz w:val="24"/>
          <w:highlight w:val="none"/>
        </w:rPr>
        <w:t>（签章）</w:t>
      </w:r>
    </w:p>
    <w:p w14:paraId="453CB4DC">
      <w:pPr>
        <w:spacing w:line="360" w:lineRule="auto"/>
        <w:rPr>
          <w:rFonts w:ascii="宋体" w:cs="宋体"/>
          <w:color w:val="auto"/>
          <w:sz w:val="28"/>
          <w:szCs w:val="28"/>
          <w:highlight w:val="none"/>
        </w:rPr>
      </w:pPr>
      <w:r>
        <w:rPr>
          <w:rFonts w:ascii="宋体" w:cs="宋体"/>
          <w:color w:val="auto"/>
          <w:sz w:val="24"/>
          <w:highlight w:val="none"/>
        </w:rPr>
        <w:t xml:space="preserve">                                              </w:t>
      </w:r>
      <w:r>
        <w:rPr>
          <w:rFonts w:hint="eastAsia" w:ascii="宋体" w:hAnsi="宋体" w:cs="宋体"/>
          <w:color w:val="auto"/>
          <w:sz w:val="28"/>
          <w:szCs w:val="28"/>
          <w:highlight w:val="none"/>
        </w:rPr>
        <w:t>年</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日</w:t>
      </w:r>
    </w:p>
    <w:p w14:paraId="7F3921B2">
      <w:pPr>
        <w:rPr>
          <w:color w:val="auto"/>
          <w:highlight w:val="none"/>
        </w:rPr>
      </w:pPr>
    </w:p>
    <w:p w14:paraId="47A77D01">
      <w:pPr>
        <w:rPr>
          <w:rFonts w:eastAsia="黑体"/>
          <w:color w:val="auto"/>
          <w:sz w:val="28"/>
          <w:szCs w:val="28"/>
          <w:highlight w:val="none"/>
          <w:u w:val="single"/>
        </w:rPr>
      </w:pPr>
      <w:r>
        <w:rPr>
          <w:rFonts w:eastAsia="黑体"/>
          <w:color w:val="auto"/>
          <w:sz w:val="28"/>
          <w:szCs w:val="28"/>
          <w:highlight w:val="none"/>
          <w:u w:val="single"/>
        </w:rPr>
        <w:br w:type="page"/>
      </w:r>
    </w:p>
    <w:p w14:paraId="4B2E8EC3">
      <w:pPr>
        <w:pStyle w:val="45"/>
        <w:ind w:left="0" w:leftChars="0" w:firstLine="0" w:firstLineChars="0"/>
        <w:rPr>
          <w:color w:val="auto"/>
          <w:highlight w:val="none"/>
        </w:rPr>
      </w:pPr>
    </w:p>
    <w:p w14:paraId="6CBA3474">
      <w:pPr>
        <w:jc w:val="center"/>
        <w:rPr>
          <w:rFonts w:eastAsia="黑体"/>
          <w:color w:val="auto"/>
          <w:sz w:val="28"/>
          <w:szCs w:val="28"/>
          <w:highlight w:val="none"/>
          <w:u w:val="single"/>
        </w:rPr>
      </w:pPr>
    </w:p>
    <w:p w14:paraId="6DC520E4">
      <w:pPr>
        <w:jc w:val="center"/>
        <w:rPr>
          <w:rFonts w:eastAsia="黑体"/>
          <w:color w:val="auto"/>
          <w:sz w:val="20"/>
          <w:szCs w:val="20"/>
          <w:highlight w:val="none"/>
        </w:rPr>
      </w:pPr>
      <w:r>
        <w:rPr>
          <w:rFonts w:eastAsia="黑体"/>
          <w:color w:val="auto"/>
          <w:sz w:val="28"/>
          <w:szCs w:val="28"/>
          <w:highlight w:val="none"/>
          <w:u w:val="single"/>
        </w:rPr>
        <w:t xml:space="preserve">                </w:t>
      </w:r>
      <w:r>
        <w:rPr>
          <w:rFonts w:hint="eastAsia" w:eastAsia="黑体"/>
          <w:color w:val="auto"/>
          <w:sz w:val="28"/>
          <w:szCs w:val="28"/>
          <w:highlight w:val="none"/>
        </w:rPr>
        <w:t>（项目名称）</w:t>
      </w:r>
    </w:p>
    <w:p w14:paraId="58BD8DD4">
      <w:pPr>
        <w:jc w:val="center"/>
        <w:rPr>
          <w:rFonts w:eastAsia="黑体"/>
          <w:color w:val="auto"/>
          <w:sz w:val="20"/>
          <w:szCs w:val="20"/>
          <w:highlight w:val="none"/>
        </w:rPr>
      </w:pPr>
    </w:p>
    <w:p w14:paraId="00AF4205">
      <w:pPr>
        <w:rPr>
          <w:rFonts w:eastAsia="黑体"/>
          <w:color w:val="auto"/>
          <w:sz w:val="20"/>
          <w:szCs w:val="20"/>
          <w:highlight w:val="none"/>
        </w:rPr>
      </w:pPr>
    </w:p>
    <w:p w14:paraId="01155DB6">
      <w:pPr>
        <w:jc w:val="center"/>
        <w:rPr>
          <w:rFonts w:eastAsia="黑体"/>
          <w:color w:val="auto"/>
          <w:sz w:val="44"/>
          <w:szCs w:val="44"/>
          <w:highlight w:val="none"/>
        </w:rPr>
      </w:pPr>
      <w:r>
        <w:rPr>
          <w:rFonts w:hint="eastAsia" w:eastAsia="黑体"/>
          <w:color w:val="auto"/>
          <w:sz w:val="44"/>
          <w:szCs w:val="44"/>
          <w:highlight w:val="none"/>
        </w:rPr>
        <w:t>投</w:t>
      </w:r>
      <w:r>
        <w:rPr>
          <w:rFonts w:eastAsia="黑体"/>
          <w:color w:val="auto"/>
          <w:sz w:val="44"/>
          <w:szCs w:val="44"/>
          <w:highlight w:val="none"/>
        </w:rPr>
        <w:t xml:space="preserve">  </w:t>
      </w:r>
      <w:r>
        <w:rPr>
          <w:rFonts w:hint="eastAsia" w:eastAsia="黑体"/>
          <w:color w:val="auto"/>
          <w:sz w:val="44"/>
          <w:szCs w:val="44"/>
          <w:highlight w:val="none"/>
        </w:rPr>
        <w:t>标</w:t>
      </w:r>
      <w:r>
        <w:rPr>
          <w:rFonts w:eastAsia="黑体"/>
          <w:color w:val="auto"/>
          <w:sz w:val="44"/>
          <w:szCs w:val="44"/>
          <w:highlight w:val="none"/>
        </w:rPr>
        <w:t xml:space="preserve">  </w:t>
      </w:r>
      <w:r>
        <w:rPr>
          <w:rFonts w:hint="eastAsia" w:eastAsia="黑体"/>
          <w:color w:val="auto"/>
          <w:sz w:val="44"/>
          <w:szCs w:val="44"/>
          <w:highlight w:val="none"/>
        </w:rPr>
        <w:t>文</w:t>
      </w:r>
      <w:r>
        <w:rPr>
          <w:rFonts w:eastAsia="黑体"/>
          <w:color w:val="auto"/>
          <w:sz w:val="44"/>
          <w:szCs w:val="44"/>
          <w:highlight w:val="none"/>
        </w:rPr>
        <w:t xml:space="preserve">  </w:t>
      </w:r>
      <w:r>
        <w:rPr>
          <w:rFonts w:hint="eastAsia" w:eastAsia="黑体"/>
          <w:color w:val="auto"/>
          <w:sz w:val="44"/>
          <w:szCs w:val="44"/>
          <w:highlight w:val="none"/>
        </w:rPr>
        <w:t>件</w:t>
      </w:r>
      <w:r>
        <w:rPr>
          <w:rFonts w:eastAsia="黑体"/>
          <w:color w:val="auto"/>
          <w:sz w:val="44"/>
          <w:szCs w:val="44"/>
          <w:highlight w:val="none"/>
        </w:rPr>
        <w:t xml:space="preserve">  </w:t>
      </w:r>
      <w:r>
        <w:rPr>
          <w:rFonts w:hint="eastAsia" w:eastAsia="黑体"/>
          <w:color w:val="auto"/>
          <w:sz w:val="44"/>
          <w:szCs w:val="44"/>
          <w:highlight w:val="none"/>
        </w:rPr>
        <w:t>二</w:t>
      </w:r>
    </w:p>
    <w:p w14:paraId="7CC3B8D0">
      <w:pPr>
        <w:jc w:val="center"/>
        <w:rPr>
          <w:rFonts w:eastAsia="黑体"/>
          <w:color w:val="auto"/>
          <w:sz w:val="44"/>
          <w:szCs w:val="44"/>
          <w:highlight w:val="none"/>
        </w:rPr>
      </w:pPr>
      <w:r>
        <w:rPr>
          <w:rFonts w:hint="eastAsia" w:eastAsia="黑体"/>
          <w:color w:val="auto"/>
          <w:sz w:val="44"/>
          <w:szCs w:val="44"/>
          <w:highlight w:val="none"/>
        </w:rPr>
        <w:t>（技术标文件）</w:t>
      </w:r>
    </w:p>
    <w:p w14:paraId="12061634">
      <w:pPr>
        <w:rPr>
          <w:rFonts w:eastAsia="黑体"/>
          <w:color w:val="auto"/>
          <w:sz w:val="28"/>
          <w:szCs w:val="28"/>
          <w:highlight w:val="none"/>
        </w:rPr>
      </w:pPr>
    </w:p>
    <w:p w14:paraId="38914429">
      <w:pPr>
        <w:rPr>
          <w:rFonts w:eastAsia="黑体"/>
          <w:color w:val="auto"/>
          <w:sz w:val="28"/>
          <w:szCs w:val="28"/>
          <w:highlight w:val="none"/>
        </w:rPr>
      </w:pPr>
    </w:p>
    <w:p w14:paraId="4A592D51">
      <w:pPr>
        <w:rPr>
          <w:rFonts w:eastAsia="黑体"/>
          <w:color w:val="auto"/>
          <w:sz w:val="28"/>
          <w:szCs w:val="28"/>
          <w:highlight w:val="none"/>
        </w:rPr>
      </w:pPr>
    </w:p>
    <w:p w14:paraId="538273BC">
      <w:pPr>
        <w:pStyle w:val="45"/>
        <w:ind w:left="31680" w:firstLine="31680"/>
        <w:rPr>
          <w:rFonts w:eastAsia="黑体"/>
          <w:color w:val="auto"/>
          <w:sz w:val="28"/>
          <w:szCs w:val="28"/>
          <w:highlight w:val="none"/>
        </w:rPr>
      </w:pPr>
    </w:p>
    <w:p w14:paraId="70158395">
      <w:pPr>
        <w:rPr>
          <w:rFonts w:eastAsia="黑体"/>
          <w:color w:val="auto"/>
          <w:sz w:val="28"/>
          <w:szCs w:val="28"/>
          <w:highlight w:val="none"/>
        </w:rPr>
      </w:pPr>
    </w:p>
    <w:p w14:paraId="4C5DFE4A">
      <w:pPr>
        <w:pStyle w:val="45"/>
        <w:ind w:left="31680" w:firstLine="31680"/>
        <w:rPr>
          <w:rFonts w:eastAsia="黑体"/>
          <w:color w:val="auto"/>
          <w:sz w:val="28"/>
          <w:szCs w:val="28"/>
          <w:highlight w:val="none"/>
        </w:rPr>
      </w:pPr>
    </w:p>
    <w:p w14:paraId="14B6EEE8">
      <w:pPr>
        <w:rPr>
          <w:color w:val="auto"/>
          <w:highlight w:val="none"/>
        </w:rPr>
      </w:pPr>
    </w:p>
    <w:p w14:paraId="2C9E9AC0">
      <w:pPr>
        <w:rPr>
          <w:rFonts w:eastAsia="黑体"/>
          <w:color w:val="auto"/>
          <w:sz w:val="28"/>
          <w:szCs w:val="28"/>
          <w:highlight w:val="none"/>
        </w:rPr>
      </w:pPr>
    </w:p>
    <w:p w14:paraId="07C8E76F">
      <w:pPr>
        <w:rPr>
          <w:rFonts w:eastAsia="黑体"/>
          <w:color w:val="auto"/>
          <w:sz w:val="28"/>
          <w:szCs w:val="28"/>
          <w:highlight w:val="none"/>
        </w:rPr>
      </w:pPr>
    </w:p>
    <w:p w14:paraId="00A58EC7">
      <w:pPr>
        <w:rPr>
          <w:rFonts w:eastAsia="黑体"/>
          <w:color w:val="auto"/>
          <w:sz w:val="28"/>
          <w:szCs w:val="28"/>
          <w:highlight w:val="none"/>
        </w:rPr>
      </w:pPr>
    </w:p>
    <w:p w14:paraId="44102789">
      <w:pPr>
        <w:rPr>
          <w:rFonts w:eastAsia="黑体"/>
          <w:color w:val="auto"/>
          <w:sz w:val="28"/>
          <w:szCs w:val="28"/>
          <w:highlight w:val="none"/>
        </w:rPr>
      </w:pPr>
    </w:p>
    <w:p w14:paraId="2DFDC2C5">
      <w:pPr>
        <w:rPr>
          <w:rFonts w:eastAsia="黑体"/>
          <w:color w:val="auto"/>
          <w:sz w:val="28"/>
          <w:szCs w:val="28"/>
          <w:highlight w:val="none"/>
        </w:rPr>
      </w:pPr>
    </w:p>
    <w:p w14:paraId="326AB51E">
      <w:pPr>
        <w:spacing w:line="540" w:lineRule="exact"/>
        <w:rPr>
          <w:color w:val="auto"/>
          <w:highlight w:val="none"/>
        </w:rPr>
      </w:pPr>
    </w:p>
    <w:p w14:paraId="0649279A">
      <w:pPr>
        <w:spacing w:line="540" w:lineRule="exact"/>
        <w:rPr>
          <w:rStyle w:val="65"/>
          <w:rFonts w:ascii="宋体" w:cs="宋体"/>
          <w:bCs/>
          <w:color w:val="auto"/>
          <w:sz w:val="32"/>
          <w:szCs w:val="44"/>
          <w:highlight w:val="none"/>
        </w:rPr>
      </w:pPr>
      <w:bookmarkStart w:id="799" w:name="_Toc35424972"/>
      <w:bookmarkStart w:id="800" w:name="_Toc3395"/>
      <w:bookmarkStart w:id="801" w:name="_Toc35425138"/>
      <w:r>
        <w:rPr>
          <w:rStyle w:val="65"/>
          <w:rFonts w:ascii="宋体" w:cs="宋体"/>
          <w:bCs/>
          <w:color w:val="auto"/>
          <w:sz w:val="32"/>
          <w:szCs w:val="44"/>
          <w:highlight w:val="none"/>
        </w:rPr>
        <w:br w:type="page"/>
      </w:r>
    </w:p>
    <w:p w14:paraId="5F1FC8D2">
      <w:pPr>
        <w:spacing w:beforeLines="50" w:afterLines="50" w:line="440" w:lineRule="exact"/>
        <w:ind w:firstLine="643" w:firstLineChars="200"/>
        <w:jc w:val="left"/>
        <w:rPr>
          <w:rStyle w:val="65"/>
          <w:rFonts w:ascii="宋体" w:cs="宋体"/>
          <w:bCs/>
          <w:color w:val="auto"/>
          <w:sz w:val="32"/>
          <w:szCs w:val="44"/>
          <w:highlight w:val="none"/>
        </w:rPr>
      </w:pPr>
      <w:r>
        <w:rPr>
          <w:rStyle w:val="65"/>
          <w:rFonts w:hint="eastAsia" w:ascii="宋体" w:hAnsi="宋体" w:cs="宋体"/>
          <w:bCs/>
          <w:color w:val="auto"/>
          <w:sz w:val="32"/>
          <w:szCs w:val="44"/>
          <w:highlight w:val="none"/>
        </w:rPr>
        <w:t>投标文件二</w:t>
      </w:r>
      <w:bookmarkEnd w:id="799"/>
      <w:bookmarkEnd w:id="800"/>
      <w:bookmarkEnd w:id="801"/>
      <w:r>
        <w:rPr>
          <w:rStyle w:val="65"/>
          <w:rFonts w:hint="eastAsia" w:ascii="宋体" w:hAnsi="宋体" w:cs="宋体"/>
          <w:bCs/>
          <w:color w:val="auto"/>
          <w:sz w:val="32"/>
          <w:szCs w:val="44"/>
          <w:highlight w:val="none"/>
        </w:rPr>
        <w:t>：技术标目录</w:t>
      </w:r>
    </w:p>
    <w:p w14:paraId="479C6DD2">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监理大纲：监理大纲包括但不限于以下内容:</w:t>
      </w:r>
    </w:p>
    <w:p w14:paraId="5FDDEE8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①质量控制；</w:t>
      </w:r>
    </w:p>
    <w:p w14:paraId="40C0CA2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②进度控制；</w:t>
      </w:r>
    </w:p>
    <w:p w14:paraId="7D672322">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③造价控制；</w:t>
      </w:r>
    </w:p>
    <w:p w14:paraId="36FA70B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④安全生产；</w:t>
      </w:r>
    </w:p>
    <w:p w14:paraId="7B306152">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⑤合同管理</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信息管理；</w:t>
      </w:r>
    </w:p>
    <w:p w14:paraId="0488C0A7">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⑥文明施工管理、组织协调</w:t>
      </w:r>
      <w:r>
        <w:rPr>
          <w:rFonts w:hint="eastAsia" w:ascii="宋体" w:hAnsi="宋体" w:eastAsia="宋体" w:cs="宋体"/>
          <w:color w:val="auto"/>
          <w:szCs w:val="21"/>
          <w:highlight w:val="none"/>
          <w:lang w:val="en-US" w:eastAsia="zh-CN"/>
        </w:rPr>
        <w:t>方法</w:t>
      </w:r>
      <w:r>
        <w:rPr>
          <w:rFonts w:hint="eastAsia" w:ascii="宋体" w:hAnsi="宋体" w:eastAsia="宋体" w:cs="宋体"/>
          <w:color w:val="auto"/>
          <w:szCs w:val="21"/>
          <w:highlight w:val="none"/>
          <w:lang w:eastAsia="zh-CN"/>
        </w:rPr>
        <w:t>；</w:t>
      </w:r>
    </w:p>
    <w:p w14:paraId="0B4F52F5">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⑦对本工程重点、难点分析及建议。</w:t>
      </w:r>
    </w:p>
    <w:p w14:paraId="7AFA3677">
      <w:pPr>
        <w:keepNext w:val="0"/>
        <w:keepLines w:val="0"/>
        <w:pageBreakBefore w:val="0"/>
        <w:widowControl w:val="0"/>
        <w:kinsoku/>
        <w:wordWrap/>
        <w:overflowPunct/>
        <w:topLinePunct w:val="0"/>
        <w:autoSpaceDE/>
        <w:autoSpaceDN/>
        <w:bidi w:val="0"/>
        <w:spacing w:line="700" w:lineRule="exact"/>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备注：1、监理大纲未评分的内容（①工程概况；②项目监理机构组织形式，人员岗位职责；⑨关键工序控制；）请投标人将上述内容上传至“质量控制”模块。</w:t>
      </w:r>
    </w:p>
    <w:p w14:paraId="12E2E895">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2、本项目采用横向暗标评审，请投标人结合技术标评审细则和系统内容在对应模块上传技术标评审内容。</w:t>
      </w:r>
    </w:p>
    <w:p w14:paraId="4BC8FB3F">
      <w:pPr>
        <w:rPr>
          <w:rFonts w:eastAsia="黑体"/>
          <w:color w:val="auto"/>
          <w:sz w:val="28"/>
          <w:szCs w:val="28"/>
          <w:highlight w:val="none"/>
          <w:u w:val="single"/>
        </w:rPr>
      </w:pPr>
    </w:p>
    <w:p w14:paraId="6A78413C">
      <w:pPr>
        <w:jc w:val="center"/>
        <w:rPr>
          <w:rFonts w:eastAsia="黑体"/>
          <w:color w:val="auto"/>
          <w:sz w:val="28"/>
          <w:szCs w:val="28"/>
          <w:highlight w:val="none"/>
          <w:u w:val="single"/>
        </w:rPr>
      </w:pPr>
    </w:p>
    <w:p w14:paraId="735A2D82">
      <w:pPr>
        <w:rPr>
          <w:rFonts w:eastAsia="黑体"/>
          <w:color w:val="auto"/>
          <w:sz w:val="28"/>
          <w:szCs w:val="28"/>
          <w:highlight w:val="none"/>
          <w:u w:val="single"/>
        </w:rPr>
      </w:pPr>
      <w:r>
        <w:rPr>
          <w:rFonts w:eastAsia="黑体"/>
          <w:color w:val="auto"/>
          <w:sz w:val="28"/>
          <w:szCs w:val="28"/>
          <w:highlight w:val="none"/>
          <w:u w:val="single"/>
        </w:rPr>
        <w:br w:type="page"/>
      </w:r>
    </w:p>
    <w:p w14:paraId="77F41688">
      <w:pPr>
        <w:pStyle w:val="2"/>
        <w:rPr>
          <w:color w:val="auto"/>
          <w:highlight w:val="none"/>
        </w:rPr>
      </w:pPr>
    </w:p>
    <w:p w14:paraId="5D68FD81">
      <w:pPr>
        <w:jc w:val="center"/>
        <w:rPr>
          <w:rFonts w:eastAsia="黑体"/>
          <w:color w:val="auto"/>
          <w:sz w:val="28"/>
          <w:szCs w:val="28"/>
          <w:highlight w:val="none"/>
          <w:u w:val="single"/>
        </w:rPr>
      </w:pPr>
    </w:p>
    <w:p w14:paraId="69B0F7AC">
      <w:pPr>
        <w:jc w:val="center"/>
        <w:rPr>
          <w:rFonts w:eastAsia="黑体"/>
          <w:color w:val="auto"/>
          <w:sz w:val="28"/>
          <w:szCs w:val="28"/>
          <w:highlight w:val="none"/>
          <w:u w:val="single"/>
        </w:rPr>
      </w:pPr>
    </w:p>
    <w:p w14:paraId="783B4907">
      <w:pPr>
        <w:jc w:val="center"/>
        <w:rPr>
          <w:rFonts w:eastAsia="黑体"/>
          <w:color w:val="auto"/>
          <w:sz w:val="20"/>
          <w:szCs w:val="20"/>
          <w:highlight w:val="none"/>
        </w:rPr>
      </w:pPr>
      <w:r>
        <w:rPr>
          <w:rFonts w:eastAsia="黑体"/>
          <w:color w:val="auto"/>
          <w:sz w:val="28"/>
          <w:szCs w:val="28"/>
          <w:highlight w:val="none"/>
          <w:u w:val="single"/>
        </w:rPr>
        <w:t xml:space="preserve">                </w:t>
      </w:r>
      <w:r>
        <w:rPr>
          <w:rFonts w:hint="eastAsia" w:eastAsia="黑体"/>
          <w:color w:val="auto"/>
          <w:sz w:val="28"/>
          <w:szCs w:val="28"/>
          <w:highlight w:val="none"/>
        </w:rPr>
        <w:t>（项目名称）</w:t>
      </w:r>
    </w:p>
    <w:p w14:paraId="621974D2">
      <w:pPr>
        <w:jc w:val="center"/>
        <w:rPr>
          <w:rFonts w:eastAsia="黑体"/>
          <w:color w:val="auto"/>
          <w:sz w:val="20"/>
          <w:szCs w:val="20"/>
          <w:highlight w:val="none"/>
        </w:rPr>
      </w:pPr>
    </w:p>
    <w:p w14:paraId="7377D6C4">
      <w:pPr>
        <w:rPr>
          <w:rFonts w:eastAsia="黑体"/>
          <w:color w:val="auto"/>
          <w:sz w:val="20"/>
          <w:szCs w:val="20"/>
          <w:highlight w:val="none"/>
        </w:rPr>
      </w:pPr>
    </w:p>
    <w:p w14:paraId="43EF2EBF">
      <w:pPr>
        <w:jc w:val="center"/>
        <w:rPr>
          <w:rFonts w:hint="eastAsia" w:eastAsia="黑体"/>
          <w:color w:val="auto"/>
          <w:sz w:val="44"/>
          <w:szCs w:val="44"/>
          <w:highlight w:val="none"/>
          <w:lang w:eastAsia="zh-CN"/>
        </w:rPr>
      </w:pPr>
      <w:r>
        <w:rPr>
          <w:rFonts w:hint="eastAsia" w:eastAsia="黑体"/>
          <w:color w:val="auto"/>
          <w:sz w:val="44"/>
          <w:szCs w:val="44"/>
          <w:highlight w:val="none"/>
        </w:rPr>
        <w:t>投</w:t>
      </w:r>
      <w:r>
        <w:rPr>
          <w:rFonts w:eastAsia="黑体"/>
          <w:color w:val="auto"/>
          <w:sz w:val="44"/>
          <w:szCs w:val="44"/>
          <w:highlight w:val="none"/>
        </w:rPr>
        <w:t xml:space="preserve">  </w:t>
      </w:r>
      <w:r>
        <w:rPr>
          <w:rFonts w:hint="eastAsia" w:eastAsia="黑体"/>
          <w:color w:val="auto"/>
          <w:sz w:val="44"/>
          <w:szCs w:val="44"/>
          <w:highlight w:val="none"/>
        </w:rPr>
        <w:t>标</w:t>
      </w:r>
      <w:r>
        <w:rPr>
          <w:rFonts w:eastAsia="黑体"/>
          <w:color w:val="auto"/>
          <w:sz w:val="44"/>
          <w:szCs w:val="44"/>
          <w:highlight w:val="none"/>
        </w:rPr>
        <w:t xml:space="preserve">  </w:t>
      </w:r>
      <w:r>
        <w:rPr>
          <w:rFonts w:hint="eastAsia" w:eastAsia="黑体"/>
          <w:color w:val="auto"/>
          <w:sz w:val="44"/>
          <w:szCs w:val="44"/>
          <w:highlight w:val="none"/>
        </w:rPr>
        <w:t>文</w:t>
      </w:r>
      <w:r>
        <w:rPr>
          <w:rFonts w:eastAsia="黑体"/>
          <w:color w:val="auto"/>
          <w:sz w:val="44"/>
          <w:szCs w:val="44"/>
          <w:highlight w:val="none"/>
        </w:rPr>
        <w:t xml:space="preserve">  </w:t>
      </w:r>
      <w:r>
        <w:rPr>
          <w:rFonts w:hint="eastAsia" w:eastAsia="黑体"/>
          <w:color w:val="auto"/>
          <w:sz w:val="44"/>
          <w:szCs w:val="44"/>
          <w:highlight w:val="none"/>
        </w:rPr>
        <w:t>件</w:t>
      </w:r>
      <w:r>
        <w:rPr>
          <w:rFonts w:eastAsia="黑体"/>
          <w:color w:val="auto"/>
          <w:sz w:val="44"/>
          <w:szCs w:val="44"/>
          <w:highlight w:val="none"/>
        </w:rPr>
        <w:t xml:space="preserve">  </w:t>
      </w:r>
      <w:r>
        <w:rPr>
          <w:rFonts w:hint="eastAsia" w:eastAsia="黑体"/>
          <w:color w:val="auto"/>
          <w:sz w:val="44"/>
          <w:szCs w:val="44"/>
          <w:highlight w:val="none"/>
          <w:lang w:val="en-US" w:eastAsia="zh-CN"/>
        </w:rPr>
        <w:t>三</w:t>
      </w:r>
    </w:p>
    <w:p w14:paraId="3BA9707D">
      <w:pPr>
        <w:jc w:val="center"/>
        <w:rPr>
          <w:rFonts w:eastAsia="黑体"/>
          <w:color w:val="auto"/>
          <w:sz w:val="44"/>
          <w:szCs w:val="44"/>
          <w:highlight w:val="none"/>
        </w:rPr>
      </w:pPr>
      <w:r>
        <w:rPr>
          <w:rFonts w:hint="eastAsia" w:eastAsia="黑体"/>
          <w:color w:val="auto"/>
          <w:sz w:val="44"/>
          <w:szCs w:val="44"/>
          <w:highlight w:val="none"/>
        </w:rPr>
        <w:t>（商务标文件）</w:t>
      </w:r>
    </w:p>
    <w:p w14:paraId="1138EEA9">
      <w:pPr>
        <w:rPr>
          <w:rFonts w:eastAsia="黑体"/>
          <w:color w:val="auto"/>
          <w:sz w:val="28"/>
          <w:szCs w:val="28"/>
          <w:highlight w:val="none"/>
        </w:rPr>
      </w:pPr>
    </w:p>
    <w:p w14:paraId="3A919D49">
      <w:pPr>
        <w:rPr>
          <w:rFonts w:eastAsia="黑体"/>
          <w:color w:val="auto"/>
          <w:sz w:val="28"/>
          <w:szCs w:val="28"/>
          <w:highlight w:val="none"/>
        </w:rPr>
      </w:pPr>
    </w:p>
    <w:p w14:paraId="358BF857">
      <w:pPr>
        <w:rPr>
          <w:rFonts w:eastAsia="黑体"/>
          <w:color w:val="auto"/>
          <w:sz w:val="28"/>
          <w:szCs w:val="28"/>
          <w:highlight w:val="none"/>
        </w:rPr>
      </w:pPr>
    </w:p>
    <w:p w14:paraId="33B1C956">
      <w:pPr>
        <w:rPr>
          <w:rFonts w:eastAsia="黑体"/>
          <w:color w:val="auto"/>
          <w:sz w:val="28"/>
          <w:szCs w:val="28"/>
          <w:highlight w:val="none"/>
        </w:rPr>
      </w:pPr>
    </w:p>
    <w:p w14:paraId="4361920B">
      <w:pPr>
        <w:rPr>
          <w:rFonts w:eastAsia="黑体"/>
          <w:color w:val="auto"/>
          <w:sz w:val="28"/>
          <w:szCs w:val="28"/>
          <w:highlight w:val="none"/>
        </w:rPr>
      </w:pPr>
    </w:p>
    <w:p w14:paraId="703D8AFC">
      <w:pPr>
        <w:rPr>
          <w:rFonts w:eastAsia="黑体"/>
          <w:color w:val="auto"/>
          <w:sz w:val="28"/>
          <w:szCs w:val="28"/>
          <w:highlight w:val="none"/>
        </w:rPr>
      </w:pPr>
    </w:p>
    <w:p w14:paraId="333C9171">
      <w:pPr>
        <w:pStyle w:val="45"/>
        <w:rPr>
          <w:color w:val="auto"/>
          <w:highlight w:val="none"/>
        </w:rPr>
      </w:pPr>
    </w:p>
    <w:p w14:paraId="43B1AC34">
      <w:pPr>
        <w:rPr>
          <w:rFonts w:eastAsia="黑体"/>
          <w:color w:val="auto"/>
          <w:sz w:val="28"/>
          <w:szCs w:val="28"/>
          <w:highlight w:val="none"/>
        </w:rPr>
      </w:pPr>
    </w:p>
    <w:p w14:paraId="232CDB7C">
      <w:pPr>
        <w:rPr>
          <w:rFonts w:eastAsia="黑体"/>
          <w:color w:val="auto"/>
          <w:sz w:val="28"/>
          <w:szCs w:val="28"/>
          <w:highlight w:val="none"/>
        </w:rPr>
      </w:pPr>
    </w:p>
    <w:p w14:paraId="61ED145E">
      <w:pPr>
        <w:rPr>
          <w:rFonts w:eastAsia="黑体"/>
          <w:color w:val="auto"/>
          <w:sz w:val="28"/>
          <w:szCs w:val="28"/>
          <w:highlight w:val="none"/>
        </w:rPr>
      </w:pPr>
    </w:p>
    <w:p w14:paraId="62F20940">
      <w:pPr>
        <w:jc w:val="center"/>
        <w:rPr>
          <w:rFonts w:eastAsia="黑体"/>
          <w:color w:val="auto"/>
          <w:sz w:val="28"/>
          <w:szCs w:val="28"/>
          <w:highlight w:val="none"/>
          <w:u w:val="single"/>
        </w:rPr>
      </w:pPr>
      <w:r>
        <w:rPr>
          <w:rFonts w:hint="eastAsia" w:eastAsia="黑体"/>
          <w:color w:val="auto"/>
          <w:sz w:val="28"/>
          <w:szCs w:val="28"/>
          <w:highlight w:val="none"/>
        </w:rPr>
        <w:t>投标人：</w:t>
      </w:r>
      <w:r>
        <w:rPr>
          <w:rFonts w:eastAsia="黑体"/>
          <w:color w:val="auto"/>
          <w:sz w:val="28"/>
          <w:szCs w:val="28"/>
          <w:highlight w:val="none"/>
          <w:u w:val="single"/>
        </w:rPr>
        <w:t xml:space="preserve">                              </w:t>
      </w:r>
      <w:r>
        <w:rPr>
          <w:rFonts w:hint="eastAsia" w:eastAsia="黑体"/>
          <w:color w:val="auto"/>
          <w:sz w:val="28"/>
          <w:szCs w:val="28"/>
          <w:highlight w:val="none"/>
        </w:rPr>
        <w:t>（签章）</w:t>
      </w:r>
    </w:p>
    <w:p w14:paraId="5A809CBB">
      <w:pPr>
        <w:jc w:val="center"/>
        <w:rPr>
          <w:rFonts w:eastAsia="黑体"/>
          <w:color w:val="auto"/>
          <w:sz w:val="28"/>
          <w:szCs w:val="28"/>
          <w:highlight w:val="none"/>
        </w:rPr>
      </w:pPr>
      <w:r>
        <w:rPr>
          <w:rFonts w:hint="eastAsia" w:eastAsia="黑体"/>
          <w:color w:val="auto"/>
          <w:sz w:val="28"/>
          <w:szCs w:val="28"/>
          <w:highlight w:val="none"/>
        </w:rPr>
        <w:t>法定代表人：</w:t>
      </w:r>
      <w:r>
        <w:rPr>
          <w:rFonts w:eastAsia="黑体"/>
          <w:color w:val="auto"/>
          <w:sz w:val="28"/>
          <w:szCs w:val="28"/>
          <w:highlight w:val="none"/>
          <w:u w:val="single"/>
        </w:rPr>
        <w:t xml:space="preserve">                          </w:t>
      </w:r>
      <w:r>
        <w:rPr>
          <w:rFonts w:hint="eastAsia" w:eastAsia="黑体"/>
          <w:color w:val="auto"/>
          <w:sz w:val="28"/>
          <w:szCs w:val="28"/>
          <w:highlight w:val="none"/>
        </w:rPr>
        <w:t>（签章）</w:t>
      </w:r>
    </w:p>
    <w:p w14:paraId="60255E75">
      <w:pPr>
        <w:jc w:val="center"/>
        <w:rPr>
          <w:rFonts w:eastAsia="黑体"/>
          <w:color w:val="auto"/>
          <w:sz w:val="28"/>
          <w:szCs w:val="28"/>
          <w:highlight w:val="none"/>
        </w:rPr>
      </w:pPr>
      <w:r>
        <w:rPr>
          <w:rFonts w:eastAsia="黑体"/>
          <w:color w:val="auto"/>
          <w:sz w:val="28"/>
          <w:szCs w:val="28"/>
          <w:highlight w:val="none"/>
          <w:u w:val="single"/>
        </w:rPr>
        <w:t xml:space="preserve">        </w:t>
      </w:r>
      <w:r>
        <w:rPr>
          <w:rFonts w:hint="eastAsia" w:eastAsia="黑体"/>
          <w:color w:val="auto"/>
          <w:sz w:val="28"/>
          <w:szCs w:val="28"/>
          <w:highlight w:val="none"/>
        </w:rPr>
        <w:t>年</w:t>
      </w:r>
      <w:r>
        <w:rPr>
          <w:rFonts w:eastAsia="黑体"/>
          <w:color w:val="auto"/>
          <w:sz w:val="28"/>
          <w:szCs w:val="28"/>
          <w:highlight w:val="none"/>
          <w:u w:val="single"/>
        </w:rPr>
        <w:t xml:space="preserve">        </w:t>
      </w:r>
      <w:r>
        <w:rPr>
          <w:rFonts w:hint="eastAsia" w:eastAsia="黑体"/>
          <w:color w:val="auto"/>
          <w:sz w:val="28"/>
          <w:szCs w:val="28"/>
          <w:highlight w:val="none"/>
        </w:rPr>
        <w:t>月</w:t>
      </w:r>
      <w:r>
        <w:rPr>
          <w:rFonts w:eastAsia="黑体"/>
          <w:color w:val="auto"/>
          <w:sz w:val="28"/>
          <w:szCs w:val="28"/>
          <w:highlight w:val="none"/>
          <w:u w:val="single"/>
        </w:rPr>
        <w:t xml:space="preserve">        </w:t>
      </w:r>
      <w:r>
        <w:rPr>
          <w:rFonts w:hint="eastAsia" w:eastAsia="黑体"/>
          <w:color w:val="auto"/>
          <w:sz w:val="28"/>
          <w:szCs w:val="28"/>
          <w:highlight w:val="none"/>
        </w:rPr>
        <w:t>日</w:t>
      </w:r>
    </w:p>
    <w:p w14:paraId="699664CD">
      <w:pPr>
        <w:pStyle w:val="45"/>
        <w:ind w:left="0" w:leftChars="0" w:firstLine="0" w:firstLineChars="0"/>
        <w:rPr>
          <w:color w:val="auto"/>
          <w:highlight w:val="none"/>
        </w:rPr>
      </w:pPr>
    </w:p>
    <w:p w14:paraId="739F7987">
      <w:pPr>
        <w:rPr>
          <w:color w:val="auto"/>
          <w:highlight w:val="none"/>
        </w:rPr>
      </w:pPr>
    </w:p>
    <w:p w14:paraId="1C10BE40">
      <w:pPr>
        <w:pStyle w:val="45"/>
        <w:ind w:left="31680" w:firstLine="31680"/>
        <w:rPr>
          <w:color w:val="auto"/>
          <w:highlight w:val="none"/>
        </w:rPr>
      </w:pPr>
    </w:p>
    <w:p w14:paraId="720BD48C">
      <w:pPr>
        <w:rPr>
          <w:rStyle w:val="65"/>
          <w:rFonts w:hint="eastAsia" w:ascii="宋体" w:hAnsi="宋体" w:cs="宋体"/>
          <w:bCs/>
          <w:color w:val="auto"/>
          <w:sz w:val="32"/>
          <w:szCs w:val="44"/>
          <w:highlight w:val="none"/>
        </w:rPr>
      </w:pPr>
      <w:bookmarkStart w:id="802" w:name="_Toc35425139"/>
      <w:bookmarkStart w:id="803" w:name="_Toc35424973"/>
      <w:bookmarkStart w:id="804" w:name="_Toc19174"/>
      <w:r>
        <w:rPr>
          <w:rStyle w:val="65"/>
          <w:rFonts w:hint="eastAsia" w:ascii="宋体" w:hAnsi="宋体" w:cs="宋体"/>
          <w:bCs/>
          <w:color w:val="auto"/>
          <w:sz w:val="32"/>
          <w:szCs w:val="44"/>
          <w:highlight w:val="none"/>
        </w:rPr>
        <w:br w:type="page"/>
      </w:r>
    </w:p>
    <w:p w14:paraId="41175BF2">
      <w:pPr>
        <w:spacing w:beforeLines="50" w:afterLines="50" w:line="440" w:lineRule="exact"/>
        <w:ind w:firstLine="643" w:firstLineChars="200"/>
        <w:jc w:val="left"/>
        <w:rPr>
          <w:rStyle w:val="65"/>
          <w:rFonts w:ascii="宋体" w:cs="宋体"/>
          <w:bCs/>
          <w:color w:val="auto"/>
          <w:sz w:val="32"/>
          <w:szCs w:val="44"/>
          <w:highlight w:val="none"/>
        </w:rPr>
      </w:pPr>
      <w:r>
        <w:rPr>
          <w:rStyle w:val="65"/>
          <w:rFonts w:hint="eastAsia" w:ascii="宋体" w:hAnsi="宋体" w:cs="宋体"/>
          <w:bCs/>
          <w:color w:val="auto"/>
          <w:sz w:val="32"/>
          <w:szCs w:val="44"/>
          <w:highlight w:val="none"/>
        </w:rPr>
        <w:t>投标文件</w:t>
      </w:r>
      <w:bookmarkEnd w:id="802"/>
      <w:bookmarkEnd w:id="803"/>
      <w:bookmarkEnd w:id="804"/>
      <w:r>
        <w:rPr>
          <w:rStyle w:val="65"/>
          <w:rFonts w:hint="eastAsia" w:ascii="宋体" w:hAnsi="宋体" w:cs="宋体"/>
          <w:bCs/>
          <w:color w:val="auto"/>
          <w:sz w:val="32"/>
          <w:szCs w:val="44"/>
          <w:highlight w:val="none"/>
          <w:lang w:val="en-US"/>
        </w:rPr>
        <w:t>三</w:t>
      </w:r>
      <w:r>
        <w:rPr>
          <w:rStyle w:val="65"/>
          <w:rFonts w:hint="eastAsia" w:ascii="宋体" w:hAnsi="宋体" w:cs="宋体"/>
          <w:bCs/>
          <w:color w:val="auto"/>
          <w:sz w:val="32"/>
          <w:szCs w:val="44"/>
          <w:highlight w:val="none"/>
        </w:rPr>
        <w:t>：商务标目录</w:t>
      </w:r>
    </w:p>
    <w:p w14:paraId="5A930714">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）投标函（格式见附件）；</w:t>
      </w:r>
      <w:r>
        <w:rPr>
          <w:rFonts w:ascii="宋体" w:hAnsi="宋体" w:cs="宋体"/>
          <w:color w:val="auto"/>
          <w:highlight w:val="none"/>
        </w:rPr>
        <w:t xml:space="preserve">    </w:t>
      </w:r>
    </w:p>
    <w:p w14:paraId="0C3A86CE">
      <w:pPr>
        <w:spacing w:line="440" w:lineRule="exact"/>
        <w:ind w:firstLine="420" w:firstLineChars="200"/>
        <w:jc w:val="left"/>
        <w:rPr>
          <w:rFonts w:ascii="宋体" w:cs="宋体"/>
          <w:color w:val="auto"/>
          <w:szCs w:val="21"/>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）详细评审所需其他材料。</w:t>
      </w:r>
    </w:p>
    <w:p w14:paraId="4115905C">
      <w:pPr>
        <w:spacing w:line="540" w:lineRule="exact"/>
        <w:rPr>
          <w:color w:val="auto"/>
          <w:highlight w:val="none"/>
        </w:rPr>
      </w:pPr>
    </w:p>
    <w:p w14:paraId="0A90FBB9">
      <w:pPr>
        <w:spacing w:line="540" w:lineRule="exact"/>
        <w:rPr>
          <w:rFonts w:eastAsia="黑体"/>
          <w:color w:val="auto"/>
          <w:sz w:val="20"/>
          <w:szCs w:val="20"/>
          <w:highlight w:val="none"/>
        </w:rPr>
      </w:pPr>
    </w:p>
    <w:p w14:paraId="77C28E77">
      <w:pPr>
        <w:spacing w:line="540" w:lineRule="exact"/>
        <w:rPr>
          <w:rFonts w:eastAsia="黑体"/>
          <w:color w:val="auto"/>
          <w:sz w:val="20"/>
          <w:szCs w:val="20"/>
          <w:highlight w:val="none"/>
        </w:rPr>
      </w:pPr>
    </w:p>
    <w:p w14:paraId="07798BB1">
      <w:pPr>
        <w:spacing w:line="540" w:lineRule="exact"/>
        <w:rPr>
          <w:rFonts w:eastAsia="黑体"/>
          <w:color w:val="auto"/>
          <w:sz w:val="20"/>
          <w:szCs w:val="20"/>
          <w:highlight w:val="none"/>
        </w:rPr>
      </w:pPr>
    </w:p>
    <w:p w14:paraId="486D63A0">
      <w:pPr>
        <w:spacing w:line="360" w:lineRule="auto"/>
        <w:ind w:firstLine="420" w:firstLineChars="200"/>
        <w:jc w:val="right"/>
        <w:rPr>
          <w:color w:val="auto"/>
          <w:szCs w:val="21"/>
          <w:highlight w:val="none"/>
          <w:u w:val="single"/>
        </w:rPr>
      </w:pPr>
    </w:p>
    <w:p w14:paraId="29C1B9D0">
      <w:pPr>
        <w:spacing w:line="360" w:lineRule="auto"/>
        <w:ind w:firstLine="420" w:firstLineChars="200"/>
        <w:jc w:val="right"/>
        <w:rPr>
          <w:color w:val="auto"/>
          <w:szCs w:val="21"/>
          <w:highlight w:val="none"/>
          <w:u w:val="single"/>
        </w:rPr>
      </w:pPr>
    </w:p>
    <w:p w14:paraId="3AE6319B">
      <w:pPr>
        <w:spacing w:line="360" w:lineRule="auto"/>
        <w:ind w:firstLine="420" w:firstLineChars="200"/>
        <w:jc w:val="right"/>
        <w:rPr>
          <w:color w:val="auto"/>
          <w:szCs w:val="21"/>
          <w:highlight w:val="none"/>
          <w:u w:val="single"/>
        </w:rPr>
      </w:pPr>
    </w:p>
    <w:p w14:paraId="0886E807">
      <w:pPr>
        <w:spacing w:line="360" w:lineRule="auto"/>
        <w:ind w:firstLine="420" w:firstLineChars="200"/>
        <w:jc w:val="right"/>
        <w:rPr>
          <w:color w:val="auto"/>
          <w:szCs w:val="21"/>
          <w:highlight w:val="none"/>
          <w:u w:val="single"/>
        </w:rPr>
      </w:pPr>
    </w:p>
    <w:p w14:paraId="4D771ABD">
      <w:pPr>
        <w:spacing w:line="360" w:lineRule="auto"/>
        <w:ind w:firstLine="420" w:firstLineChars="200"/>
        <w:jc w:val="right"/>
        <w:rPr>
          <w:color w:val="auto"/>
          <w:szCs w:val="21"/>
          <w:highlight w:val="none"/>
          <w:u w:val="single"/>
        </w:rPr>
      </w:pPr>
    </w:p>
    <w:p w14:paraId="44FCEFB6">
      <w:pPr>
        <w:spacing w:line="360" w:lineRule="auto"/>
        <w:ind w:firstLine="420" w:firstLineChars="200"/>
        <w:jc w:val="right"/>
        <w:rPr>
          <w:color w:val="auto"/>
          <w:szCs w:val="21"/>
          <w:highlight w:val="none"/>
          <w:u w:val="single"/>
        </w:rPr>
      </w:pPr>
    </w:p>
    <w:p w14:paraId="5EF7FEE7">
      <w:pPr>
        <w:spacing w:line="360" w:lineRule="auto"/>
        <w:ind w:firstLine="420" w:firstLineChars="200"/>
        <w:jc w:val="right"/>
        <w:rPr>
          <w:color w:val="auto"/>
          <w:szCs w:val="21"/>
          <w:highlight w:val="none"/>
          <w:u w:val="single"/>
        </w:rPr>
      </w:pPr>
    </w:p>
    <w:p w14:paraId="5304DCAA">
      <w:pPr>
        <w:spacing w:line="360" w:lineRule="auto"/>
        <w:ind w:firstLine="420" w:firstLineChars="200"/>
        <w:jc w:val="right"/>
        <w:rPr>
          <w:color w:val="auto"/>
          <w:szCs w:val="21"/>
          <w:highlight w:val="none"/>
          <w:u w:val="single"/>
        </w:rPr>
      </w:pPr>
    </w:p>
    <w:p w14:paraId="6779EB91">
      <w:pPr>
        <w:jc w:val="center"/>
        <w:rPr>
          <w:b/>
          <w:color w:val="auto"/>
          <w:sz w:val="32"/>
          <w:szCs w:val="32"/>
          <w:highlight w:val="none"/>
        </w:rPr>
      </w:pPr>
    </w:p>
    <w:p w14:paraId="0AC0C016">
      <w:pPr>
        <w:jc w:val="center"/>
        <w:rPr>
          <w:b/>
          <w:color w:val="auto"/>
          <w:sz w:val="32"/>
          <w:szCs w:val="32"/>
          <w:highlight w:val="none"/>
        </w:rPr>
      </w:pPr>
    </w:p>
    <w:p w14:paraId="24570F0C">
      <w:pPr>
        <w:jc w:val="center"/>
        <w:rPr>
          <w:b/>
          <w:color w:val="auto"/>
          <w:sz w:val="32"/>
          <w:szCs w:val="32"/>
          <w:highlight w:val="none"/>
        </w:rPr>
      </w:pPr>
    </w:p>
    <w:p w14:paraId="52C06EF4">
      <w:pPr>
        <w:jc w:val="center"/>
        <w:rPr>
          <w:b/>
          <w:color w:val="auto"/>
          <w:sz w:val="32"/>
          <w:szCs w:val="32"/>
          <w:highlight w:val="none"/>
        </w:rPr>
      </w:pPr>
    </w:p>
    <w:p w14:paraId="5015EFB2">
      <w:pPr>
        <w:jc w:val="center"/>
        <w:rPr>
          <w:b/>
          <w:color w:val="auto"/>
          <w:sz w:val="32"/>
          <w:szCs w:val="32"/>
          <w:highlight w:val="none"/>
        </w:rPr>
      </w:pPr>
    </w:p>
    <w:p w14:paraId="5424F51F">
      <w:pPr>
        <w:spacing w:line="360" w:lineRule="auto"/>
        <w:rPr>
          <w:b/>
          <w:bCs/>
          <w:color w:val="auto"/>
          <w:sz w:val="32"/>
          <w:szCs w:val="32"/>
          <w:highlight w:val="none"/>
        </w:rPr>
      </w:pPr>
    </w:p>
    <w:p w14:paraId="28D848FC">
      <w:pPr>
        <w:pStyle w:val="45"/>
        <w:ind w:left="31680" w:firstLine="31680"/>
        <w:rPr>
          <w:color w:val="auto"/>
          <w:highlight w:val="none"/>
        </w:rPr>
      </w:pPr>
    </w:p>
    <w:p w14:paraId="53DFCF98">
      <w:pPr>
        <w:rPr>
          <w:color w:val="auto"/>
          <w:highlight w:val="none"/>
        </w:rPr>
      </w:pPr>
      <w:r>
        <w:rPr>
          <w:rFonts w:ascii="宋体"/>
          <w:b/>
          <w:color w:val="auto"/>
          <w:sz w:val="32"/>
          <w:szCs w:val="32"/>
          <w:highlight w:val="none"/>
        </w:rPr>
        <w:br w:type="page"/>
      </w:r>
    </w:p>
    <w:p w14:paraId="4FBF95F0">
      <w:pPr>
        <w:jc w:val="center"/>
        <w:rPr>
          <w:rFonts w:ascii="宋体"/>
          <w:b/>
          <w:color w:val="auto"/>
          <w:sz w:val="32"/>
          <w:szCs w:val="32"/>
          <w:highlight w:val="none"/>
        </w:rPr>
      </w:pPr>
      <w:r>
        <w:rPr>
          <w:rFonts w:hint="eastAsia" w:ascii="宋体" w:hAnsi="宋体"/>
          <w:b/>
          <w:color w:val="auto"/>
          <w:sz w:val="32"/>
          <w:szCs w:val="32"/>
          <w:highlight w:val="none"/>
        </w:rPr>
        <w:t>（</w:t>
      </w:r>
      <w:r>
        <w:rPr>
          <w:rFonts w:ascii="宋体" w:hAnsi="宋体"/>
          <w:b/>
          <w:color w:val="auto"/>
          <w:sz w:val="32"/>
          <w:szCs w:val="32"/>
          <w:highlight w:val="none"/>
        </w:rPr>
        <w:t>1</w:t>
      </w:r>
      <w:r>
        <w:rPr>
          <w:rFonts w:hint="eastAsia" w:ascii="宋体" w:hAnsi="宋体"/>
          <w:b/>
          <w:color w:val="auto"/>
          <w:sz w:val="32"/>
          <w:szCs w:val="32"/>
          <w:highlight w:val="none"/>
        </w:rPr>
        <w:t>）投标函</w:t>
      </w:r>
    </w:p>
    <w:p w14:paraId="6AEDBACE">
      <w:pPr>
        <w:spacing w:line="500" w:lineRule="exact"/>
        <w:ind w:firstLine="422" w:firstLineChars="200"/>
        <w:jc w:val="left"/>
        <w:rPr>
          <w:rFonts w:ascii="宋体" w:cs="宋体"/>
          <w:color w:val="auto"/>
          <w:highlight w:val="none"/>
        </w:rPr>
      </w:pPr>
      <w:r>
        <w:rPr>
          <w:rFonts w:hint="eastAsia" w:ascii="宋体" w:hAnsi="宋体" w:cs="宋体"/>
          <w:b/>
          <w:bCs/>
          <w:color w:val="auto"/>
          <w:highlight w:val="none"/>
        </w:rPr>
        <w:t>致</w:t>
      </w:r>
      <w:r>
        <w:rPr>
          <w:rFonts w:ascii="宋体" w:hAnsi="宋体" w:cs="宋体"/>
          <w:b/>
          <w:bCs/>
          <w:color w:val="auto"/>
          <w:highlight w:val="none"/>
        </w:rPr>
        <w:t xml:space="preserve"> </w:t>
      </w:r>
      <w:r>
        <w:rPr>
          <w:rFonts w:hint="eastAsia" w:ascii="宋体" w:hAnsi="宋体" w:cs="宋体"/>
          <w:b/>
          <w:bCs/>
          <w:color w:val="auto"/>
          <w:highlight w:val="none"/>
        </w:rPr>
        <w:t>：</w:t>
      </w:r>
      <w:r>
        <w:rPr>
          <w:rFonts w:ascii="宋体" w:hAnsi="宋体" w:cs="宋体"/>
          <w:b/>
          <w:bCs/>
          <w:color w:val="auto"/>
          <w:highlight w:val="none"/>
          <w:u w:val="single"/>
        </w:rPr>
        <w:t xml:space="preserve">       </w:t>
      </w:r>
      <w:r>
        <w:rPr>
          <w:rFonts w:hint="eastAsia" w:ascii="宋体" w:hAnsi="宋体" w:cs="宋体"/>
          <w:b/>
          <w:bCs/>
          <w:color w:val="auto"/>
          <w:highlight w:val="none"/>
          <w:u w:val="single"/>
        </w:rPr>
        <w:t>（招标人）</w:t>
      </w:r>
      <w:r>
        <w:rPr>
          <w:rFonts w:ascii="宋体" w:hAnsi="宋体" w:cs="宋体"/>
          <w:b/>
          <w:bCs/>
          <w:color w:val="auto"/>
          <w:highlight w:val="none"/>
          <w:u w:val="single"/>
        </w:rPr>
        <w:t xml:space="preserve"> </w:t>
      </w:r>
      <w:r>
        <w:rPr>
          <w:rFonts w:ascii="宋体" w:hAnsi="宋体" w:cs="宋体"/>
          <w:color w:val="auto"/>
          <w:highlight w:val="none"/>
        </w:rPr>
        <w:t xml:space="preserve">  </w:t>
      </w:r>
    </w:p>
    <w:p w14:paraId="6DCDF86C">
      <w:pPr>
        <w:spacing w:line="500" w:lineRule="exact"/>
        <w:ind w:firstLine="525" w:firstLineChars="250"/>
        <w:jc w:val="left"/>
        <w:rPr>
          <w:rFonts w:ascii="宋体" w:cs="宋体"/>
          <w:color w:val="auto"/>
          <w:highlight w:val="none"/>
        </w:rPr>
      </w:pPr>
      <w:r>
        <w:rPr>
          <w:rFonts w:hint="eastAsia" w:ascii="宋体" w:hAnsi="宋体" w:cs="宋体"/>
          <w:color w:val="auto"/>
          <w:highlight w:val="none"/>
        </w:rPr>
        <w:t>我们决定参加贵单位组织的“</w:t>
      </w:r>
      <w:r>
        <w:rPr>
          <w:rFonts w:ascii="宋体" w:hAnsi="宋体" w:cs="宋体"/>
          <w:color w:val="auto"/>
          <w:highlight w:val="none"/>
          <w:u w:val="single"/>
        </w:rPr>
        <w:t xml:space="preserve">         </w:t>
      </w:r>
      <w:r>
        <w:rPr>
          <w:rFonts w:hint="eastAsia" w:ascii="宋体" w:hAnsi="宋体" w:cs="宋体"/>
          <w:color w:val="auto"/>
          <w:highlight w:val="none"/>
          <w:u w:val="single"/>
        </w:rPr>
        <w:t>（项目名称、项目编号）</w:t>
      </w:r>
      <w:r>
        <w:rPr>
          <w:rFonts w:hint="eastAsia" w:ascii="宋体" w:hAnsi="宋体" w:cs="宋体"/>
          <w:color w:val="auto"/>
          <w:highlight w:val="none"/>
        </w:rPr>
        <w:t>”的项目。我方授权</w:t>
      </w:r>
      <w:r>
        <w:rPr>
          <w:rFonts w:ascii="宋体" w:hAnsi="宋体" w:cs="宋体"/>
          <w:color w:val="auto"/>
          <w:highlight w:val="none"/>
        </w:rPr>
        <w:t xml:space="preserve"> </w:t>
      </w:r>
      <w:r>
        <w:rPr>
          <w:rFonts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s="宋体"/>
          <w:color w:val="auto"/>
          <w:highlight w:val="none"/>
          <w:u w:val="single"/>
        </w:rPr>
        <w:t>姓名和职务</w:t>
      </w:r>
      <w:r>
        <w:rPr>
          <w:rFonts w:ascii="宋体" w:hAnsi="宋体" w:cs="宋体"/>
          <w:color w:val="auto"/>
          <w:highlight w:val="none"/>
        </w:rPr>
        <w:t>)</w:t>
      </w:r>
      <w:r>
        <w:rPr>
          <w:rFonts w:hint="eastAsia" w:ascii="宋体" w:hAnsi="宋体" w:cs="宋体"/>
          <w:color w:val="auto"/>
          <w:highlight w:val="none"/>
        </w:rPr>
        <w:t>代表我方</w:t>
      </w:r>
      <w:r>
        <w:rPr>
          <w:rFonts w:ascii="宋体" w:hAnsi="宋体" w:cs="宋体"/>
          <w:color w:val="auto"/>
          <w:highlight w:val="none"/>
        </w:rPr>
        <w:t xml:space="preserve"> </w:t>
      </w:r>
      <w:r>
        <w:rPr>
          <w:rFonts w:ascii="宋体" w:hAnsi="宋体" w:cs="宋体"/>
          <w:color w:val="auto"/>
          <w:highlight w:val="none"/>
          <w:u w:val="single"/>
        </w:rPr>
        <w:t xml:space="preserve">             </w:t>
      </w:r>
      <w:r>
        <w:rPr>
          <w:rFonts w:hint="eastAsia" w:ascii="宋体" w:hAnsi="宋体" w:cs="宋体"/>
          <w:color w:val="auto"/>
          <w:highlight w:val="none"/>
        </w:rPr>
        <w:t>（投标单位的名称）全权处理本项目投标的有关事宜</w:t>
      </w:r>
      <w:r>
        <w:rPr>
          <w:rFonts w:ascii="宋体" w:hAnsi="宋体" w:cs="宋体"/>
          <w:color w:val="auto"/>
          <w:highlight w:val="none"/>
        </w:rPr>
        <w:t xml:space="preserve"> </w:t>
      </w:r>
    </w:p>
    <w:p w14:paraId="6AE480C5">
      <w:pPr>
        <w:spacing w:line="500" w:lineRule="exact"/>
        <w:ind w:firstLine="420" w:firstLineChars="200"/>
        <w:jc w:val="left"/>
        <w:rPr>
          <w:rFonts w:ascii="宋体" w:cs="宋体"/>
          <w:color w:val="auto"/>
          <w:szCs w:val="21"/>
          <w:highlight w:val="none"/>
        </w:rPr>
      </w:pPr>
      <w:r>
        <w:rPr>
          <w:rFonts w:ascii="宋体" w:hAnsi="宋体" w:cs="宋体"/>
          <w:color w:val="auto"/>
          <w:highlight w:val="none"/>
        </w:rPr>
        <w:t>1</w:t>
      </w:r>
      <w:r>
        <w:rPr>
          <w:rFonts w:hint="eastAsia" w:ascii="宋体" w:hAnsi="宋体" w:cs="宋体"/>
          <w:color w:val="auto"/>
          <w:highlight w:val="none"/>
          <w:lang w:val="en-US" w:eastAsia="zh-CN"/>
        </w:rPr>
        <w:t>.</w:t>
      </w:r>
      <w:r>
        <w:rPr>
          <w:rFonts w:hint="eastAsia" w:ascii="宋体" w:hAnsi="宋体" w:cs="宋体"/>
          <w:color w:val="auto"/>
          <w:highlight w:val="none"/>
        </w:rPr>
        <w:t>我们已仔细地研究了</w:t>
      </w:r>
      <w:r>
        <w:rPr>
          <w:rFonts w:ascii="宋体" w:hAnsi="宋体" w:cs="宋体"/>
          <w:color w:val="auto"/>
          <w:highlight w:val="none"/>
          <w:u w:val="single"/>
        </w:rPr>
        <w:t xml:space="preserve">                </w:t>
      </w:r>
      <w:r>
        <w:rPr>
          <w:rFonts w:hint="eastAsia" w:ascii="宋体" w:hAnsi="宋体" w:cs="宋体"/>
          <w:color w:val="auto"/>
          <w:highlight w:val="none"/>
          <w:u w:val="single"/>
        </w:rPr>
        <w:t>（项目名称）</w:t>
      </w:r>
      <w:r>
        <w:rPr>
          <w:rFonts w:hint="eastAsia" w:ascii="宋体" w:hAnsi="宋体" w:cs="宋体"/>
          <w:color w:val="auto"/>
          <w:highlight w:val="none"/>
        </w:rPr>
        <w:t>招标文件的全部内容，包括但不限于承包人须知合同条件、工作要求，以及全部补遗和澄清文件。我们已了解和审核了全部招标文件，并完全理解了招标文件</w:t>
      </w:r>
      <w:r>
        <w:rPr>
          <w:rFonts w:hint="eastAsia" w:ascii="宋体" w:hAnsi="宋体" w:cs="宋体"/>
          <w:color w:val="auto"/>
          <w:spacing w:val="-1"/>
          <w:highlight w:val="none"/>
        </w:rPr>
        <w:t>规定的合同范围，工作要求，并考虑到了潜在所有风险。据此我方愿以监理费费率：</w:t>
      </w:r>
      <w:r>
        <w:rPr>
          <w:rFonts w:hint="eastAsia" w:ascii="宋体" w:hAnsi="宋体" w:cs="宋体"/>
          <w:color w:val="auto"/>
          <w:spacing w:val="-1"/>
          <w:highlight w:val="none"/>
          <w:u w:val="single"/>
        </w:rPr>
        <w:t>大写百分之</w:t>
      </w:r>
      <w:r>
        <w:rPr>
          <w:rFonts w:ascii="宋体" w:hAnsi="宋体" w:cs="宋体"/>
          <w:color w:val="auto"/>
          <w:spacing w:val="56"/>
          <w:highlight w:val="none"/>
          <w:u w:val="single"/>
        </w:rPr>
        <w:t xml:space="preserve">   </w:t>
      </w:r>
      <w:r>
        <w:rPr>
          <w:rFonts w:hint="eastAsia" w:ascii="宋体" w:hAnsi="宋体" w:cs="宋体"/>
          <w:color w:val="auto"/>
          <w:spacing w:val="56"/>
          <w:highlight w:val="none"/>
          <w:u w:val="single"/>
        </w:rPr>
        <w:t>小写</w:t>
      </w:r>
      <w:r>
        <w:rPr>
          <w:rFonts w:ascii="宋体" w:hAnsi="宋体" w:cs="宋体"/>
          <w:color w:val="auto"/>
          <w:spacing w:val="56"/>
          <w:highlight w:val="none"/>
          <w:u w:val="single"/>
        </w:rPr>
        <w:t xml:space="preserve">  </w:t>
      </w:r>
      <w:r>
        <w:rPr>
          <w:rFonts w:ascii="宋体" w:hAnsi="宋体" w:cs="宋体"/>
          <w:color w:val="auto"/>
          <w:highlight w:val="none"/>
        </w:rPr>
        <w:t>%</w:t>
      </w:r>
      <w:r>
        <w:rPr>
          <w:rFonts w:hint="eastAsia" w:ascii="宋体" w:hAnsi="宋体" w:cs="宋体"/>
          <w:color w:val="auto"/>
          <w:highlight w:val="none"/>
        </w:rPr>
        <w:t>（小数点后保留</w:t>
      </w:r>
      <w:r>
        <w:rPr>
          <w:rFonts w:ascii="宋体" w:hAnsi="宋体" w:cs="宋体"/>
          <w:color w:val="auto"/>
          <w:highlight w:val="none"/>
        </w:rPr>
        <w:t>2</w:t>
      </w:r>
      <w:r>
        <w:rPr>
          <w:rFonts w:hint="eastAsia" w:ascii="宋体" w:hAnsi="宋体" w:cs="宋体"/>
          <w:color w:val="auto"/>
          <w:highlight w:val="none"/>
        </w:rPr>
        <w:t>位）为报价费率，作为本工程项目监理工作所需的全部费用。</w:t>
      </w:r>
    </w:p>
    <w:p w14:paraId="70C57599">
      <w:pPr>
        <w:spacing w:line="500" w:lineRule="exact"/>
        <w:ind w:firstLine="420" w:firstLineChars="200"/>
        <w:jc w:val="left"/>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lang w:val="en-US" w:eastAsia="zh-CN"/>
        </w:rPr>
        <w:t>.</w:t>
      </w:r>
      <w:r>
        <w:rPr>
          <w:rFonts w:hint="eastAsia" w:ascii="宋体" w:hAnsi="宋体" w:cs="宋体"/>
          <w:color w:val="auto"/>
          <w:highlight w:val="none"/>
        </w:rPr>
        <w:t>一旦我方中标，我方将派出</w:t>
      </w:r>
      <w:r>
        <w:rPr>
          <w:rFonts w:ascii="宋体" w:hAnsi="宋体" w:cs="宋体"/>
          <w:color w:val="auto"/>
          <w:highlight w:val="none"/>
          <w:u w:val="single"/>
        </w:rPr>
        <w:t xml:space="preserve">       </w:t>
      </w:r>
      <w:r>
        <w:rPr>
          <w:rFonts w:hint="eastAsia" w:ascii="宋体" w:hAnsi="宋体" w:cs="宋体"/>
          <w:color w:val="auto"/>
          <w:highlight w:val="none"/>
        </w:rPr>
        <w:t>为本</w:t>
      </w:r>
      <w:r>
        <w:rPr>
          <w:rFonts w:hint="eastAsia" w:ascii="宋体" w:hAnsi="宋体" w:cs="宋体"/>
          <w:color w:val="auto"/>
          <w:highlight w:val="none"/>
          <w:lang w:val="en-US" w:eastAsia="zh-CN"/>
        </w:rPr>
        <w:t>项目负责人</w:t>
      </w:r>
      <w:r>
        <w:rPr>
          <w:rFonts w:hint="eastAsia" w:ascii="宋体" w:hAnsi="宋体" w:cs="宋体"/>
          <w:color w:val="auto"/>
          <w:highlight w:val="none"/>
        </w:rPr>
        <w:t>。</w:t>
      </w:r>
    </w:p>
    <w:p w14:paraId="10A2C67A">
      <w:pPr>
        <w:spacing w:line="500" w:lineRule="exact"/>
        <w:ind w:firstLine="420" w:firstLineChars="200"/>
        <w:jc w:val="left"/>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lang w:val="en-US" w:eastAsia="zh-CN"/>
        </w:rPr>
        <w:t>.</w:t>
      </w:r>
      <w:r>
        <w:rPr>
          <w:rFonts w:hint="eastAsia" w:ascii="宋体" w:hAnsi="宋体" w:cs="宋体"/>
          <w:color w:val="auto"/>
          <w:highlight w:val="none"/>
        </w:rPr>
        <w:t>如果贵方接受我单位中标，我单位保证在承包人须知规定的期限内，按本投标配备的人员及时开展工作，否则，贵方有权单方面终止合同，并令我单位立即退场，工程项目另行处理，由此造成的一切损失由我单位负责赔偿。</w:t>
      </w:r>
    </w:p>
    <w:p w14:paraId="2764ED3F">
      <w:pPr>
        <w:spacing w:line="500" w:lineRule="exact"/>
        <w:ind w:firstLine="420" w:firstLineChars="200"/>
        <w:jc w:val="left"/>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lang w:val="en-US" w:eastAsia="zh-CN"/>
        </w:rPr>
        <w:t>.</w:t>
      </w:r>
      <w:r>
        <w:rPr>
          <w:rFonts w:hint="eastAsia" w:ascii="宋体" w:hAnsi="宋体" w:cs="宋体"/>
          <w:color w:val="auto"/>
          <w:highlight w:val="none"/>
        </w:rPr>
        <w:t>我们声明，本投标文件的全部内容我公司已了解和熟悉，并承诺中标后严格按此投标文件执行。</w:t>
      </w:r>
    </w:p>
    <w:p w14:paraId="00552379">
      <w:pPr>
        <w:spacing w:line="5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cs="宋体"/>
          <w:color w:val="auto"/>
          <w:szCs w:val="21"/>
          <w:highlight w:val="none"/>
        </w:rPr>
        <w:t>投标有效期为</w:t>
      </w:r>
      <w:r>
        <w:rPr>
          <w:rFonts w:hint="eastAsia" w:ascii="宋体" w:hAnsi="宋体" w:cs="宋体"/>
          <w:color w:val="auto"/>
          <w:szCs w:val="21"/>
          <w:highlight w:val="none"/>
          <w:u w:val="single"/>
        </w:rPr>
        <w:t xml:space="preserve"> 90</w:t>
      </w:r>
      <w:r>
        <w:rPr>
          <w:rFonts w:hint="eastAsia" w:ascii="宋体" w:hAnsi="宋体" w:cs="宋体"/>
          <w:color w:val="auto"/>
          <w:szCs w:val="21"/>
          <w:highlight w:val="none"/>
        </w:rPr>
        <w:t>日历天（从投标截止之日算起）。</w:t>
      </w:r>
    </w:p>
    <w:p w14:paraId="2D2D0D05">
      <w:pPr>
        <w:spacing w:line="500" w:lineRule="exact"/>
        <w:ind w:firstLine="420" w:firstLineChars="200"/>
        <w:jc w:val="left"/>
        <w:rPr>
          <w:rFonts w:asci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单位提供如下通讯地址：</w:t>
      </w:r>
      <w:r>
        <w:rPr>
          <w:rFonts w:ascii="宋体" w:hAnsi="宋体" w:cs="宋体"/>
          <w:color w:val="auto"/>
          <w:highlight w:val="none"/>
          <w:u w:val="single"/>
        </w:rPr>
        <w:t xml:space="preserve">           </w:t>
      </w:r>
      <w:r>
        <w:rPr>
          <w:rFonts w:hint="eastAsia" w:ascii="宋体" w:hAnsi="宋体" w:cs="宋体"/>
          <w:color w:val="auto"/>
          <w:highlight w:val="none"/>
        </w:rPr>
        <w:t>电子邮箱（地址），确认本项目相关法律文书均通过提供的以上地址送达，相关文书只要发送至以上电子邮箱（地址）即视为送达，投标人愿意承担一切法律后果。</w:t>
      </w:r>
    </w:p>
    <w:p w14:paraId="7D950FFB">
      <w:pPr>
        <w:spacing w:line="500" w:lineRule="exact"/>
        <w:ind w:firstLine="420" w:firstLineChars="200"/>
        <w:jc w:val="left"/>
        <w:rPr>
          <w:rFonts w:asci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对本招标文件的所有条款进行承诺。</w:t>
      </w:r>
    </w:p>
    <w:p w14:paraId="655276D9">
      <w:pPr>
        <w:spacing w:line="500" w:lineRule="exact"/>
        <w:ind w:firstLine="2310" w:firstLineChars="1100"/>
        <w:jc w:val="left"/>
        <w:rPr>
          <w:rFonts w:ascii="宋体" w:cs="宋体"/>
          <w:color w:val="auto"/>
          <w:szCs w:val="21"/>
          <w:highlight w:val="none"/>
          <w:u w:val="single"/>
        </w:rPr>
      </w:pPr>
      <w:r>
        <w:rPr>
          <w:rFonts w:hint="eastAsia" w:ascii="宋体" w:hAnsi="宋体" w:cs="宋体"/>
          <w:color w:val="auto"/>
          <w:szCs w:val="21"/>
          <w:highlight w:val="none"/>
        </w:rPr>
        <w:t>投标人：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（签章）</w:t>
      </w:r>
      <w:r>
        <w:rPr>
          <w:rFonts w:ascii="宋体" w:hAnsi="宋体" w:cs="宋体"/>
          <w:color w:val="auto"/>
          <w:szCs w:val="21"/>
          <w:highlight w:val="none"/>
          <w:u w:val="single"/>
        </w:rPr>
        <w:t xml:space="preserve">   </w:t>
      </w:r>
    </w:p>
    <w:p w14:paraId="5C3A8337">
      <w:pPr>
        <w:spacing w:line="500" w:lineRule="exact"/>
        <w:ind w:firstLine="2310" w:firstLineChars="1100"/>
        <w:jc w:val="left"/>
        <w:rPr>
          <w:rFonts w:ascii="宋体" w:cs="宋体"/>
          <w:color w:val="auto"/>
          <w:szCs w:val="21"/>
          <w:highlight w:val="none"/>
        </w:rPr>
      </w:pPr>
      <w:r>
        <w:rPr>
          <w:rFonts w:hint="eastAsia" w:ascii="宋体" w:hAnsi="宋体" w:cs="宋体"/>
          <w:color w:val="auto"/>
          <w:szCs w:val="21"/>
          <w:highlight w:val="none"/>
        </w:rPr>
        <w:t>法定代表人：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（签章）</w:t>
      </w:r>
    </w:p>
    <w:p w14:paraId="25BE3AC6">
      <w:pPr>
        <w:spacing w:line="500" w:lineRule="exact"/>
        <w:ind w:firstLine="2310" w:firstLineChars="1100"/>
        <w:jc w:val="left"/>
        <w:rPr>
          <w:rFonts w:ascii="宋体" w:cs="宋体"/>
          <w:color w:val="auto"/>
          <w:szCs w:val="21"/>
          <w:highlight w:val="none"/>
        </w:rPr>
      </w:pPr>
      <w:r>
        <w:rPr>
          <w:rFonts w:hint="eastAsia" w:ascii="宋体" w:hAnsi="宋体" w:cs="宋体"/>
          <w:color w:val="auto"/>
          <w:szCs w:val="21"/>
          <w:highlight w:val="none"/>
        </w:rPr>
        <w:t>单位地址：</w:t>
      </w:r>
      <w:r>
        <w:rPr>
          <w:rFonts w:ascii="宋体" w:hAnsi="宋体" w:cs="宋体"/>
          <w:color w:val="auto"/>
          <w:szCs w:val="21"/>
          <w:highlight w:val="none"/>
          <w:u w:val="single"/>
        </w:rPr>
        <w:t xml:space="preserve">                                       </w:t>
      </w:r>
    </w:p>
    <w:p w14:paraId="45A7B4D5">
      <w:pPr>
        <w:spacing w:line="500" w:lineRule="exact"/>
        <w:ind w:firstLine="2310" w:firstLineChars="1100"/>
        <w:jc w:val="left"/>
        <w:rPr>
          <w:rFonts w:ascii="宋体" w:cs="宋体"/>
          <w:color w:val="auto"/>
          <w:szCs w:val="21"/>
          <w:highlight w:val="none"/>
          <w:u w:val="single"/>
        </w:rPr>
      </w:pPr>
      <w:r>
        <w:rPr>
          <w:rFonts w:hint="eastAsia" w:ascii="宋体" w:hAnsi="宋体" w:cs="宋体"/>
          <w:color w:val="auto"/>
          <w:szCs w:val="21"/>
          <w:highlight w:val="none"/>
        </w:rPr>
        <w:t>邮政编码：</w:t>
      </w:r>
      <w:r>
        <w:rPr>
          <w:rFonts w:ascii="宋体" w:hAnsi="宋体" w:cs="宋体"/>
          <w:color w:val="auto"/>
          <w:szCs w:val="21"/>
          <w:highlight w:val="none"/>
          <w:u w:val="single"/>
        </w:rPr>
        <w:t xml:space="preserve">            </w:t>
      </w:r>
      <w:r>
        <w:rPr>
          <w:rFonts w:hint="eastAsia" w:ascii="宋体" w:hAnsi="宋体" w:cs="宋体"/>
          <w:color w:val="auto"/>
          <w:szCs w:val="21"/>
          <w:highlight w:val="none"/>
        </w:rPr>
        <w:t>电话：</w:t>
      </w:r>
      <w:r>
        <w:rPr>
          <w:rFonts w:ascii="宋体" w:hAnsi="宋体" w:cs="宋体"/>
          <w:color w:val="auto"/>
          <w:szCs w:val="21"/>
          <w:highlight w:val="none"/>
          <w:u w:val="single"/>
        </w:rPr>
        <w:t xml:space="preserve">        </w:t>
      </w:r>
      <w:r>
        <w:rPr>
          <w:rFonts w:hint="eastAsia" w:ascii="宋体" w:hAnsi="宋体" w:cs="宋体"/>
          <w:color w:val="auto"/>
          <w:szCs w:val="21"/>
          <w:highlight w:val="none"/>
        </w:rPr>
        <w:t>传真：</w:t>
      </w:r>
      <w:r>
        <w:rPr>
          <w:rFonts w:ascii="宋体" w:hAnsi="宋体" w:cs="宋体"/>
          <w:color w:val="auto"/>
          <w:szCs w:val="21"/>
          <w:highlight w:val="none"/>
          <w:u w:val="single"/>
        </w:rPr>
        <w:t xml:space="preserve">       </w:t>
      </w:r>
    </w:p>
    <w:p w14:paraId="2E0E4AEC">
      <w:pPr>
        <w:spacing w:line="500" w:lineRule="exact"/>
        <w:ind w:firstLine="2310" w:firstLineChars="1100"/>
        <w:jc w:val="left"/>
        <w:rPr>
          <w:rFonts w:ascii="宋体" w:cs="宋体"/>
          <w:color w:val="auto"/>
          <w:szCs w:val="21"/>
          <w:highlight w:val="none"/>
        </w:rPr>
      </w:pPr>
      <w:r>
        <w:rPr>
          <w:rFonts w:hint="eastAsia" w:ascii="宋体" w:hAnsi="宋体" w:cs="宋体"/>
          <w:color w:val="auto"/>
          <w:szCs w:val="21"/>
          <w:highlight w:val="none"/>
        </w:rPr>
        <w:t>日期：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5BB5EEB5">
      <w:pPr>
        <w:jc w:val="center"/>
        <w:rPr>
          <w:rFonts w:ascii="宋体"/>
          <w:b/>
          <w:color w:val="auto"/>
          <w:sz w:val="32"/>
          <w:szCs w:val="32"/>
          <w:highlight w:val="none"/>
        </w:rPr>
      </w:pPr>
    </w:p>
    <w:p w14:paraId="4C02FC19">
      <w:pPr>
        <w:keepNext/>
        <w:keepLines/>
        <w:spacing w:before="200" w:after="200" w:line="600" w:lineRule="exact"/>
        <w:jc w:val="center"/>
        <w:outlineLvl w:val="0"/>
        <w:rPr>
          <w:rFonts w:ascii="黑体" w:hAnsi="黑体" w:eastAsia="黑体"/>
          <w:b/>
          <w:bCs/>
          <w:color w:val="auto"/>
          <w:kern w:val="44"/>
          <w:sz w:val="28"/>
          <w:szCs w:val="28"/>
          <w:highlight w:val="none"/>
        </w:rPr>
      </w:pPr>
      <w:r>
        <w:rPr>
          <w:rFonts w:hint="eastAsia" w:ascii="宋体" w:hAnsi="宋体"/>
          <w:b/>
          <w:color w:val="auto"/>
          <w:sz w:val="32"/>
          <w:szCs w:val="32"/>
          <w:highlight w:val="none"/>
        </w:rPr>
        <w:t>（</w:t>
      </w:r>
      <w:r>
        <w:rPr>
          <w:rFonts w:ascii="宋体" w:hAnsi="宋体"/>
          <w:b/>
          <w:color w:val="auto"/>
          <w:sz w:val="32"/>
          <w:szCs w:val="32"/>
          <w:highlight w:val="none"/>
        </w:rPr>
        <w:t>2</w:t>
      </w:r>
      <w:r>
        <w:rPr>
          <w:rFonts w:hint="eastAsia" w:ascii="宋体" w:hAnsi="宋体"/>
          <w:b/>
          <w:color w:val="auto"/>
          <w:sz w:val="32"/>
          <w:szCs w:val="32"/>
          <w:highlight w:val="none"/>
        </w:rPr>
        <w:t>）详细评审所需其他材料（如有）</w:t>
      </w:r>
      <w:bookmarkEnd w:id="7"/>
      <w:bookmarkEnd w:id="8"/>
      <w:bookmarkEnd w:id="9"/>
      <w:bookmarkEnd w:id="10"/>
      <w:bookmarkEnd w:id="11"/>
      <w:r>
        <w:rPr>
          <w:b/>
          <w:color w:val="auto"/>
          <w:sz w:val="32"/>
          <w:szCs w:val="32"/>
          <w:highlight w:val="none"/>
        </w:rPr>
        <w:br w:type="page"/>
      </w:r>
      <w:bookmarkStart w:id="805" w:name="OLE_LINK7"/>
      <w:bookmarkStart w:id="806" w:name="OLE_LINK24"/>
      <w:bookmarkStart w:id="807" w:name="OLE_LINK25"/>
      <w:r>
        <w:rPr>
          <w:rFonts w:hint="eastAsia" w:ascii="黑体" w:hAnsi="黑体" w:eastAsia="黑体"/>
          <w:b/>
          <w:bCs/>
          <w:color w:val="auto"/>
          <w:kern w:val="44"/>
          <w:sz w:val="36"/>
          <w:szCs w:val="28"/>
          <w:highlight w:val="none"/>
        </w:rPr>
        <w:t>附件1 关于联合惩戒失信行为加强信用查询管理的通知</w:t>
      </w:r>
    </w:p>
    <w:bookmarkEnd w:id="805"/>
    <w:p w14:paraId="443ABE8E">
      <w:pPr>
        <w:adjustRightInd w:val="0"/>
        <w:snapToGrid w:val="0"/>
        <w:spacing w:line="560" w:lineRule="exact"/>
        <w:ind w:firstLine="562" w:firstLineChars="200"/>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一、失信行为联合惩戒的范围和查询渠道</w:t>
      </w:r>
    </w:p>
    <w:p w14:paraId="32F99667">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在我市公共资源交易活动中对存在下列失信行为的投标人、法定代表人及其项目经理（建造师）实施联合惩戒，禁止参与我市公共资源交易活动。</w:t>
      </w:r>
    </w:p>
    <w:p w14:paraId="4ABF96A5">
      <w:pPr>
        <w:adjustRightInd w:val="0"/>
        <w:snapToGrid w:val="0"/>
        <w:spacing w:line="560" w:lineRule="exact"/>
        <w:ind w:firstLine="562" w:firstLineChars="200"/>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（一）工程建设项目</w:t>
      </w:r>
    </w:p>
    <w:bookmarkEnd w:id="806"/>
    <w:bookmarkEnd w:id="807"/>
    <w:p w14:paraId="659FC7C6">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1、“信用中国”网站（www.creditchina.gov.cn）查询</w:t>
      </w:r>
      <w:bookmarkStart w:id="808" w:name="OLE_LINK91"/>
      <w:bookmarkStart w:id="809" w:name="OLE_LINK92"/>
      <w:bookmarkStart w:id="810" w:name="OLE_LINK93"/>
      <w:bookmarkStart w:id="811" w:name="OLE_LINK103"/>
      <w:r>
        <w:rPr>
          <w:rFonts w:hint="eastAsia" w:ascii="仿宋_GB2312" w:hAnsi="宋体" w:eastAsia="仿宋_GB2312"/>
          <w:color w:val="auto"/>
          <w:sz w:val="28"/>
          <w:szCs w:val="28"/>
          <w:highlight w:val="none"/>
        </w:rPr>
        <w:t>投标人、法定代表人及其项目经理(建造师)</w:t>
      </w:r>
      <w:bookmarkEnd w:id="808"/>
      <w:bookmarkEnd w:id="809"/>
      <w:bookmarkEnd w:id="810"/>
      <w:bookmarkEnd w:id="811"/>
      <w:r>
        <w:rPr>
          <w:rFonts w:hint="eastAsia" w:ascii="仿宋_GB2312" w:hAnsi="宋体" w:eastAsia="仿宋_GB2312"/>
          <w:color w:val="auto"/>
          <w:sz w:val="28"/>
          <w:szCs w:val="28"/>
          <w:highlight w:val="none"/>
        </w:rPr>
        <w:t>以下失信行为：</w:t>
      </w:r>
    </w:p>
    <w:p w14:paraId="4139E1CB">
      <w:pPr>
        <w:adjustRightInd w:val="0"/>
        <w:snapToGrid w:val="0"/>
        <w:spacing w:line="560" w:lineRule="exact"/>
        <w:ind w:firstLine="560" w:firstLineChars="200"/>
        <w:rPr>
          <w:rFonts w:hint="eastAsia" w:ascii="仿宋_GB2312" w:hAnsi="宋体" w:eastAsia="仿宋_GB2312"/>
          <w:color w:val="auto"/>
          <w:sz w:val="28"/>
          <w:szCs w:val="28"/>
          <w:highlight w:val="none"/>
        </w:rPr>
      </w:pPr>
      <w:bookmarkStart w:id="812" w:name="OLE_LINK119"/>
      <w:bookmarkStart w:id="813" w:name="OLE_LINK94"/>
      <w:bookmarkStart w:id="814" w:name="OLE_LINK87"/>
      <w:bookmarkStart w:id="815" w:name="OLE_LINK86"/>
      <w:r>
        <w:rPr>
          <w:rFonts w:hint="eastAsia" w:ascii="仿宋_GB2312" w:hAnsi="宋体" w:eastAsia="仿宋_GB2312"/>
          <w:color w:val="auto"/>
          <w:sz w:val="28"/>
          <w:szCs w:val="28"/>
          <w:highlight w:val="none"/>
        </w:rPr>
        <w:t>①被列入“失信被执行人”的;</w:t>
      </w:r>
    </w:p>
    <w:p w14:paraId="7473CCB6">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②被列入</w:t>
      </w:r>
      <w:bookmarkStart w:id="816" w:name="OLE_LINK118"/>
      <w:bookmarkStart w:id="817" w:name="OLE_LINK117"/>
      <w:bookmarkStart w:id="818" w:name="OLE_LINK116"/>
      <w:bookmarkStart w:id="819" w:name="OLE_LINK115"/>
      <w:r>
        <w:rPr>
          <w:rFonts w:hint="eastAsia" w:ascii="仿宋_GB2312" w:hAnsi="宋体" w:eastAsia="仿宋_GB2312"/>
          <w:color w:val="auto"/>
          <w:sz w:val="28"/>
          <w:szCs w:val="28"/>
          <w:highlight w:val="none"/>
        </w:rPr>
        <w:t>“重大税收违法失信主体”</w:t>
      </w:r>
      <w:bookmarkEnd w:id="816"/>
      <w:bookmarkEnd w:id="817"/>
      <w:bookmarkEnd w:id="818"/>
      <w:bookmarkEnd w:id="819"/>
      <w:r>
        <w:rPr>
          <w:rFonts w:hint="eastAsia" w:ascii="仿宋_GB2312" w:hAnsi="宋体" w:eastAsia="仿宋_GB2312"/>
          <w:color w:val="auto"/>
          <w:sz w:val="28"/>
          <w:szCs w:val="28"/>
          <w:highlight w:val="none"/>
        </w:rPr>
        <w:t>的；</w:t>
      </w:r>
    </w:p>
    <w:p w14:paraId="6787DBB4">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③被列入“拖欠</w:t>
      </w:r>
      <w:bookmarkStart w:id="820" w:name="OLE_LINK85"/>
      <w:bookmarkStart w:id="821" w:name="OLE_LINK84"/>
      <w:r>
        <w:rPr>
          <w:rFonts w:hint="eastAsia" w:ascii="仿宋_GB2312" w:hAnsi="宋体" w:eastAsia="仿宋_GB2312"/>
          <w:color w:val="auto"/>
          <w:sz w:val="28"/>
          <w:szCs w:val="28"/>
          <w:highlight w:val="none"/>
        </w:rPr>
        <w:t>农民工工资失信联合惩戒对象</w:t>
      </w:r>
      <w:bookmarkEnd w:id="820"/>
      <w:bookmarkEnd w:id="821"/>
      <w:r>
        <w:rPr>
          <w:rFonts w:hint="eastAsia" w:ascii="仿宋_GB2312" w:hAnsi="宋体" w:eastAsia="仿宋_GB2312"/>
          <w:color w:val="auto"/>
          <w:sz w:val="28"/>
          <w:szCs w:val="28"/>
          <w:highlight w:val="none"/>
        </w:rPr>
        <w:t>名单”的；</w:t>
      </w:r>
    </w:p>
    <w:p w14:paraId="421DCE93">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④被列入 “严重失信主体名单”的；</w:t>
      </w:r>
    </w:p>
    <w:p w14:paraId="380F74AB">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⑤在“信用中国”网站上披露的仍在公示期的严重失信行为(具体行为类别及判定依据见附件2)的。</w:t>
      </w:r>
    </w:p>
    <w:bookmarkEnd w:id="812"/>
    <w:bookmarkEnd w:id="813"/>
    <w:bookmarkEnd w:id="814"/>
    <w:bookmarkEnd w:id="815"/>
    <w:p w14:paraId="1918EF0B">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w:t>
      </w:r>
      <w:bookmarkStart w:id="822" w:name="OLE_LINK130"/>
      <w:r>
        <w:rPr>
          <w:rFonts w:hint="eastAsia" w:ascii="仿宋_GB2312" w:hAnsi="宋体" w:eastAsia="仿宋_GB2312"/>
          <w:color w:val="auto"/>
          <w:sz w:val="28"/>
          <w:szCs w:val="28"/>
          <w:highlight w:val="none"/>
        </w:rPr>
        <w:t>国家企业信用信息公示系统网站</w:t>
      </w:r>
      <w:bookmarkEnd w:id="822"/>
      <w:r>
        <w:rPr>
          <w:rFonts w:hint="eastAsia" w:ascii="仿宋_GB2312" w:hAnsi="宋体" w:eastAsia="仿宋_GB2312"/>
          <w:color w:val="auto"/>
          <w:sz w:val="28"/>
          <w:szCs w:val="28"/>
          <w:highlight w:val="none"/>
        </w:rPr>
        <w:t>（</w:t>
      </w:r>
      <w:r>
        <w:rPr>
          <w:color w:val="auto"/>
          <w:highlight w:val="none"/>
        </w:rPr>
        <w:fldChar w:fldCharType="begin"/>
      </w:r>
      <w:r>
        <w:rPr>
          <w:color w:val="auto"/>
          <w:highlight w:val="none"/>
        </w:rPr>
        <w:instrText xml:space="preserve"> </w:instrText>
      </w:r>
      <w:r>
        <w:rPr>
          <w:rFonts w:hint="eastAsia"/>
          <w:color w:val="auto"/>
          <w:highlight w:val="none"/>
        </w:rPr>
        <w:instrText xml:space="preserve">HYPERLINK "http://www.gsxt.gov.cn）查询"</w:instrText>
      </w:r>
      <w:r>
        <w:rPr>
          <w:color w:val="auto"/>
          <w:highlight w:val="none"/>
        </w:rPr>
        <w:instrText xml:space="preserve"> </w:instrText>
      </w:r>
      <w:r>
        <w:rPr>
          <w:color w:val="auto"/>
          <w:highlight w:val="none"/>
        </w:rPr>
        <w:fldChar w:fldCharType="separate"/>
      </w:r>
      <w:bookmarkStart w:id="823" w:name="OLE_LINK89"/>
      <w:bookmarkStart w:id="824" w:name="OLE_LINK90"/>
      <w:r>
        <w:rPr>
          <w:rStyle w:val="57"/>
          <w:rFonts w:hint="eastAsia" w:ascii="仿宋_GB2312" w:hAnsi="宋体" w:eastAsia="仿宋_GB2312"/>
          <w:color w:val="auto"/>
          <w:sz w:val="28"/>
          <w:szCs w:val="28"/>
          <w:highlight w:val="none"/>
        </w:rPr>
        <w:t>www.gsxt.gov.cn</w:t>
      </w:r>
      <w:bookmarkEnd w:id="823"/>
      <w:bookmarkEnd w:id="824"/>
      <w:r>
        <w:rPr>
          <w:rStyle w:val="57"/>
          <w:rFonts w:hint="eastAsia" w:ascii="仿宋_GB2312" w:hAnsi="宋体" w:eastAsia="仿宋_GB2312"/>
          <w:color w:val="auto"/>
          <w:sz w:val="28"/>
          <w:szCs w:val="28"/>
          <w:highlight w:val="none"/>
        </w:rPr>
        <w:t>）</w:t>
      </w:r>
      <w:r>
        <w:rPr>
          <w:color w:val="auto"/>
          <w:highlight w:val="none"/>
        </w:rPr>
        <w:fldChar w:fldCharType="end"/>
      </w:r>
      <w:r>
        <w:rPr>
          <w:rFonts w:hint="eastAsia" w:ascii="仿宋_GB2312" w:hAnsi="宋体" w:eastAsia="仿宋_GB2312"/>
          <w:color w:val="auto"/>
          <w:sz w:val="28"/>
          <w:szCs w:val="28"/>
          <w:highlight w:val="none"/>
        </w:rPr>
        <w:t>查询投标人以下失信行为：</w:t>
      </w:r>
    </w:p>
    <w:p w14:paraId="24A195AA">
      <w:pPr>
        <w:adjustRightInd w:val="0"/>
        <w:snapToGrid w:val="0"/>
        <w:spacing w:line="560" w:lineRule="exact"/>
        <w:ind w:firstLine="560" w:firstLineChars="200"/>
        <w:rPr>
          <w:rFonts w:hint="eastAsia" w:ascii="仿宋_GB2312" w:hAnsi="宋体" w:eastAsia="仿宋_GB2312"/>
          <w:color w:val="auto"/>
          <w:sz w:val="28"/>
          <w:szCs w:val="28"/>
          <w:highlight w:val="none"/>
        </w:rPr>
      </w:pPr>
      <w:bookmarkStart w:id="825" w:name="OLE_LINK120"/>
      <w:bookmarkStart w:id="826" w:name="OLE_LINK121"/>
      <w:bookmarkStart w:id="827" w:name="OLE_LINK122"/>
      <w:r>
        <w:rPr>
          <w:rFonts w:hint="eastAsia" w:ascii="仿宋_GB2312" w:hAnsi="宋体" w:eastAsia="仿宋_GB2312"/>
          <w:color w:val="auto"/>
          <w:sz w:val="28"/>
          <w:szCs w:val="28"/>
          <w:highlight w:val="none"/>
        </w:rPr>
        <w:t>①被列入“经营异常名录”或者“严重违法失信名单”的。</w:t>
      </w:r>
      <w:bookmarkEnd w:id="825"/>
      <w:bookmarkEnd w:id="826"/>
      <w:bookmarkEnd w:id="827"/>
    </w:p>
    <w:p w14:paraId="0D2A0705">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3、由</w:t>
      </w:r>
      <w:r>
        <w:rPr>
          <w:rFonts w:hint="eastAsia" w:ascii="仿宋_GB2312" w:hAnsi="宋体" w:eastAsia="仿宋_GB2312"/>
          <w:color w:val="auto"/>
          <w:kern w:val="0"/>
          <w:sz w:val="28"/>
          <w:szCs w:val="28"/>
          <w:highlight w:val="none"/>
        </w:rPr>
        <w:t>投标人、法定代表人及其项目经理(建造师)</w:t>
      </w:r>
      <w:r>
        <w:rPr>
          <w:rFonts w:hint="eastAsia" w:ascii="仿宋_GB2312" w:hAnsi="宋体" w:eastAsia="仿宋_GB2312"/>
          <w:color w:val="auto"/>
          <w:sz w:val="28"/>
          <w:szCs w:val="28"/>
          <w:highlight w:val="none"/>
        </w:rPr>
        <w:t>进行承诺，不进行现场网上信用查询的失信行为：</w:t>
      </w:r>
    </w:p>
    <w:p w14:paraId="416235C4">
      <w:pPr>
        <w:adjustRightInd w:val="0"/>
        <w:snapToGrid w:val="0"/>
        <w:spacing w:line="560" w:lineRule="exact"/>
        <w:ind w:firstLine="560" w:firstLineChars="200"/>
        <w:rPr>
          <w:rFonts w:hint="eastAsia" w:ascii="仿宋_GB2312" w:hAnsi="宋体" w:eastAsia="仿宋_GB2312" w:cs="楷体"/>
          <w:color w:val="auto"/>
          <w:sz w:val="28"/>
          <w:szCs w:val="28"/>
          <w:highlight w:val="none"/>
        </w:rPr>
      </w:pPr>
      <w:bookmarkStart w:id="828" w:name="OLE_LINK124"/>
      <w:bookmarkStart w:id="829" w:name="OLE_LINK123"/>
      <w:r>
        <w:rPr>
          <w:rFonts w:hint="eastAsia" w:ascii="仿宋_GB2312" w:hAnsi="宋体" w:eastAsia="仿宋_GB2312"/>
          <w:color w:val="auto"/>
          <w:sz w:val="28"/>
          <w:szCs w:val="28"/>
          <w:highlight w:val="none"/>
        </w:rPr>
        <w:t>①</w:t>
      </w:r>
      <w:r>
        <w:rPr>
          <w:rFonts w:hint="eastAsia" w:ascii="仿宋_GB2312" w:hAnsi="宋体" w:eastAsia="仿宋_GB2312" w:cs="楷体"/>
          <w:color w:val="auto"/>
          <w:sz w:val="28"/>
          <w:szCs w:val="28"/>
          <w:highlight w:val="none"/>
        </w:rPr>
        <w:t>前三年有行贿犯罪行为的单位和个人；</w:t>
      </w:r>
    </w:p>
    <w:p w14:paraId="3FC3C5C9">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②被滁州市县两级公管部门取消在一定期限内的投标资格且在取消期限内的；</w:t>
      </w:r>
    </w:p>
    <w:p w14:paraId="4F244220">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③被滁州市县两级各行业主管部门取消在一定期限内的投标资格且在取消期限内的；</w:t>
      </w:r>
    </w:p>
    <w:p w14:paraId="09064334">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④因拖欠农民工工资被</w:t>
      </w:r>
      <w:bookmarkStart w:id="830" w:name="OLE_LINK108"/>
      <w:bookmarkStart w:id="831" w:name="OLE_LINK107"/>
      <w:r>
        <w:rPr>
          <w:rFonts w:hint="eastAsia" w:ascii="仿宋_GB2312" w:hAnsi="宋体" w:eastAsia="仿宋_GB2312"/>
          <w:color w:val="auto"/>
          <w:sz w:val="28"/>
          <w:szCs w:val="28"/>
          <w:highlight w:val="none"/>
        </w:rPr>
        <w:t>县级及以上有关行政主管部门限制投标资格且在限制期限内的</w:t>
      </w:r>
      <w:bookmarkEnd w:id="830"/>
      <w:bookmarkEnd w:id="831"/>
      <w:r>
        <w:rPr>
          <w:rFonts w:hint="eastAsia" w:ascii="仿宋_GB2312" w:hAnsi="宋体" w:eastAsia="仿宋_GB2312"/>
          <w:color w:val="auto"/>
          <w:sz w:val="28"/>
          <w:szCs w:val="28"/>
          <w:highlight w:val="none"/>
        </w:rPr>
        <w:t>；</w:t>
      </w:r>
    </w:p>
    <w:p w14:paraId="7659E658">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828"/>
    <w:bookmarkEnd w:id="829"/>
    <w:p w14:paraId="00ED5915">
      <w:pPr>
        <w:adjustRightInd w:val="0"/>
        <w:snapToGrid w:val="0"/>
        <w:spacing w:line="560" w:lineRule="exact"/>
        <w:ind w:firstLine="562" w:firstLineChars="200"/>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（二）政府采购项目</w:t>
      </w:r>
    </w:p>
    <w:p w14:paraId="6554477E">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1、“信用中国”网站</w:t>
      </w:r>
      <w:r>
        <w:rPr>
          <w:rFonts w:hint="eastAsia" w:ascii="仿宋" w:hAnsi="仿宋" w:eastAsia="仿宋"/>
          <w:color w:val="auto"/>
          <w:sz w:val="28"/>
          <w:szCs w:val="28"/>
          <w:highlight w:val="none"/>
        </w:rPr>
        <w:t>（</w:t>
      </w:r>
      <w:r>
        <w:rPr>
          <w:rStyle w:val="57"/>
          <w:rFonts w:hint="eastAsia" w:ascii="仿宋" w:hAnsi="仿宋" w:eastAsia="仿宋"/>
          <w:color w:val="auto"/>
          <w:sz w:val="28"/>
          <w:szCs w:val="28"/>
          <w:highlight w:val="none"/>
        </w:rPr>
        <w:t>www.creditchina.gov.cn</w:t>
      </w:r>
      <w:r>
        <w:rPr>
          <w:rFonts w:hint="eastAsia" w:ascii="仿宋" w:hAnsi="仿宋" w:eastAsia="仿宋"/>
          <w:color w:val="auto"/>
          <w:sz w:val="28"/>
          <w:szCs w:val="28"/>
          <w:highlight w:val="none"/>
        </w:rPr>
        <w:t>）</w:t>
      </w:r>
      <w:r>
        <w:rPr>
          <w:rFonts w:hint="eastAsia" w:ascii="仿宋_GB2312" w:hAnsi="宋体" w:eastAsia="仿宋_GB2312"/>
          <w:color w:val="auto"/>
          <w:sz w:val="28"/>
          <w:szCs w:val="28"/>
          <w:highlight w:val="none"/>
        </w:rPr>
        <w:t>查询供应商、法定代表人及其项目负责人以下失信行为：</w:t>
      </w:r>
    </w:p>
    <w:p w14:paraId="5FADF18A">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①被列入“失信被执行人”的;</w:t>
      </w:r>
    </w:p>
    <w:p w14:paraId="5D09CF86">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②被列入“重大税收违法失信主体”的；</w:t>
      </w:r>
    </w:p>
    <w:p w14:paraId="7F69FF57">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③被列入“拖欠农民工工资失信联合惩戒对象名单”的；</w:t>
      </w:r>
    </w:p>
    <w:p w14:paraId="1593731E">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④被列入 “严重失信主体名单”的；</w:t>
      </w:r>
    </w:p>
    <w:p w14:paraId="00038689">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⑤在“信用中国”网站上披露的仍在公示期的严重失信行为(具体行为类别及判定依据见附件2)的。</w:t>
      </w:r>
    </w:p>
    <w:p w14:paraId="1D50CFA4">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2、国家企业信用信息公示系统网站</w:t>
      </w:r>
      <w:r>
        <w:rPr>
          <w:rFonts w:hint="eastAsia" w:ascii="仿宋" w:hAnsi="仿宋" w:eastAsia="仿宋"/>
          <w:color w:val="auto"/>
          <w:sz w:val="28"/>
          <w:szCs w:val="28"/>
          <w:highlight w:val="none"/>
        </w:rPr>
        <w:t>（</w:t>
      </w:r>
      <w:r>
        <w:rPr>
          <w:color w:val="auto"/>
          <w:highlight w:val="none"/>
        </w:rPr>
        <w:fldChar w:fldCharType="begin"/>
      </w:r>
      <w:r>
        <w:rPr>
          <w:color w:val="auto"/>
          <w:highlight w:val="none"/>
        </w:rPr>
        <w:instrText xml:space="preserve"> </w:instrText>
      </w:r>
      <w:r>
        <w:rPr>
          <w:rFonts w:hint="eastAsia"/>
          <w:color w:val="auto"/>
          <w:highlight w:val="none"/>
        </w:rPr>
        <w:instrText xml:space="preserve">HYPERLINK "http://www.gsxt.gov.cn）查询"</w:instrText>
      </w:r>
      <w:r>
        <w:rPr>
          <w:color w:val="auto"/>
          <w:highlight w:val="none"/>
        </w:rPr>
        <w:instrText xml:space="preserve"> </w:instrText>
      </w:r>
      <w:r>
        <w:rPr>
          <w:color w:val="auto"/>
          <w:highlight w:val="none"/>
        </w:rPr>
        <w:fldChar w:fldCharType="separate"/>
      </w:r>
      <w:r>
        <w:rPr>
          <w:rStyle w:val="57"/>
          <w:rFonts w:hint="eastAsia" w:ascii="仿宋" w:hAnsi="仿宋" w:eastAsia="仿宋"/>
          <w:color w:val="auto"/>
          <w:sz w:val="28"/>
          <w:szCs w:val="28"/>
          <w:highlight w:val="none"/>
        </w:rPr>
        <w:t>www.gsxt.gov.cn）</w:t>
      </w:r>
      <w:r>
        <w:rPr>
          <w:color w:val="auto"/>
          <w:highlight w:val="none"/>
        </w:rPr>
        <w:fldChar w:fldCharType="end"/>
      </w:r>
      <w:r>
        <w:rPr>
          <w:rFonts w:hint="eastAsia" w:ascii="仿宋_GB2312" w:hAnsi="宋体" w:eastAsia="仿宋_GB2312"/>
          <w:color w:val="auto"/>
          <w:sz w:val="28"/>
          <w:szCs w:val="28"/>
          <w:highlight w:val="none"/>
        </w:rPr>
        <w:t>查询供应商以下失信行为：</w:t>
      </w:r>
    </w:p>
    <w:p w14:paraId="084EAC84">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①</w:t>
      </w:r>
      <w:bookmarkStart w:id="832" w:name="OLE_LINK102"/>
      <w:bookmarkStart w:id="833" w:name="OLE_LINK100"/>
      <w:bookmarkStart w:id="834" w:name="OLE_LINK101"/>
      <w:r>
        <w:rPr>
          <w:rFonts w:hint="eastAsia" w:ascii="仿宋_GB2312" w:hAnsi="宋体" w:eastAsia="仿宋_GB2312"/>
          <w:color w:val="auto"/>
          <w:sz w:val="28"/>
          <w:szCs w:val="28"/>
          <w:highlight w:val="none"/>
        </w:rPr>
        <w:t>被列入“经营异常名录”或者“严重违法失信名单”的</w:t>
      </w:r>
      <w:bookmarkEnd w:id="832"/>
      <w:bookmarkEnd w:id="833"/>
      <w:bookmarkEnd w:id="834"/>
      <w:r>
        <w:rPr>
          <w:rFonts w:hint="eastAsia" w:ascii="仿宋_GB2312" w:hAnsi="宋体" w:eastAsia="仿宋_GB2312"/>
          <w:color w:val="auto"/>
          <w:sz w:val="28"/>
          <w:szCs w:val="28"/>
          <w:highlight w:val="none"/>
        </w:rPr>
        <w:t>。</w:t>
      </w:r>
    </w:p>
    <w:p w14:paraId="5886A20F">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3、中国政府采购网站</w:t>
      </w:r>
      <w:r>
        <w:rPr>
          <w:rFonts w:hint="eastAsia" w:ascii="仿宋" w:hAnsi="仿宋" w:eastAsia="仿宋"/>
          <w:color w:val="auto"/>
          <w:sz w:val="28"/>
          <w:szCs w:val="28"/>
          <w:highlight w:val="none"/>
        </w:rPr>
        <w:t>（</w:t>
      </w:r>
      <w:bookmarkStart w:id="835" w:name="OLE_LINK95"/>
      <w:bookmarkStart w:id="836" w:name="OLE_LINK96"/>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HYPERLINK "http://www.ccgp.gov.cn" </w:instrText>
      </w:r>
      <w:r>
        <w:rPr>
          <w:rFonts w:ascii="仿宋" w:hAnsi="仿宋" w:eastAsia="仿宋"/>
          <w:color w:val="auto"/>
          <w:sz w:val="28"/>
          <w:szCs w:val="28"/>
          <w:highlight w:val="none"/>
        </w:rPr>
        <w:fldChar w:fldCharType="separate"/>
      </w:r>
      <w:r>
        <w:rPr>
          <w:rStyle w:val="57"/>
          <w:rFonts w:hint="eastAsia" w:ascii="仿宋" w:hAnsi="仿宋" w:eastAsia="仿宋"/>
          <w:color w:val="auto"/>
          <w:sz w:val="28"/>
          <w:szCs w:val="28"/>
          <w:highlight w:val="none"/>
        </w:rPr>
        <w:t>www.ccgp.gov.cn</w:t>
      </w:r>
      <w:r>
        <w:rPr>
          <w:rFonts w:ascii="仿宋" w:hAnsi="仿宋" w:eastAsia="仿宋"/>
          <w:color w:val="auto"/>
          <w:sz w:val="28"/>
          <w:szCs w:val="28"/>
          <w:highlight w:val="none"/>
        </w:rPr>
        <w:fldChar w:fldCharType="end"/>
      </w:r>
      <w:bookmarkEnd w:id="835"/>
      <w:bookmarkEnd w:id="836"/>
      <w:r>
        <w:rPr>
          <w:rFonts w:hint="eastAsia" w:ascii="仿宋" w:hAnsi="仿宋" w:eastAsia="仿宋"/>
          <w:color w:val="auto"/>
          <w:sz w:val="28"/>
          <w:szCs w:val="28"/>
          <w:highlight w:val="none"/>
        </w:rPr>
        <w:t>）</w:t>
      </w:r>
      <w:r>
        <w:rPr>
          <w:rFonts w:hint="eastAsia" w:ascii="仿宋_GB2312" w:hAnsi="宋体" w:eastAsia="仿宋_GB2312"/>
          <w:color w:val="auto"/>
          <w:sz w:val="28"/>
          <w:szCs w:val="28"/>
          <w:highlight w:val="none"/>
        </w:rPr>
        <w:t>查询以下失信行为：</w:t>
      </w:r>
    </w:p>
    <w:p w14:paraId="611DB3FD">
      <w:pPr>
        <w:adjustRightInd w:val="0"/>
        <w:snapToGrid w:val="0"/>
        <w:spacing w:line="560" w:lineRule="exact"/>
        <w:ind w:firstLine="560" w:firstLineChars="200"/>
        <w:rPr>
          <w:rFonts w:hint="eastAsia" w:ascii="仿宋_GB2312" w:hAnsi="宋体" w:eastAsia="仿宋_GB2312" w:cs="楷体"/>
          <w:color w:val="auto"/>
          <w:sz w:val="28"/>
          <w:szCs w:val="28"/>
          <w:highlight w:val="none"/>
        </w:rPr>
      </w:pPr>
      <w:r>
        <w:rPr>
          <w:rFonts w:hint="eastAsia" w:ascii="仿宋_GB2312" w:hAnsi="宋体" w:eastAsia="仿宋_GB2312"/>
          <w:color w:val="auto"/>
          <w:sz w:val="28"/>
          <w:szCs w:val="28"/>
          <w:highlight w:val="none"/>
        </w:rPr>
        <w:t>①</w:t>
      </w:r>
      <w:bookmarkStart w:id="837" w:name="OLE_LINK106"/>
      <w:bookmarkStart w:id="838" w:name="OLE_LINK104"/>
      <w:bookmarkStart w:id="839" w:name="OLE_LINK105"/>
      <w:r>
        <w:rPr>
          <w:rFonts w:hint="eastAsia" w:ascii="仿宋_GB2312" w:hAnsi="宋体" w:eastAsia="仿宋_GB2312"/>
          <w:color w:val="auto"/>
          <w:sz w:val="28"/>
          <w:szCs w:val="28"/>
          <w:highlight w:val="none"/>
        </w:rPr>
        <w:t>被列入“政府采购严重违法失信行为信息记录”的</w:t>
      </w:r>
      <w:bookmarkEnd w:id="837"/>
      <w:bookmarkEnd w:id="838"/>
      <w:bookmarkEnd w:id="839"/>
      <w:r>
        <w:rPr>
          <w:rFonts w:hint="eastAsia" w:ascii="仿宋_GB2312" w:hAnsi="宋体" w:eastAsia="仿宋_GB2312" w:cs="楷体"/>
          <w:color w:val="auto"/>
          <w:sz w:val="28"/>
          <w:szCs w:val="28"/>
          <w:highlight w:val="none"/>
        </w:rPr>
        <w:t>。</w:t>
      </w:r>
    </w:p>
    <w:p w14:paraId="6090DAA4">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4、由竞争主体进行承诺，不进行现场网上信用查询的失信行为：</w:t>
      </w:r>
    </w:p>
    <w:p w14:paraId="1A0531C4">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①</w:t>
      </w:r>
      <w:r>
        <w:rPr>
          <w:rFonts w:hint="eastAsia" w:ascii="仿宋_GB2312" w:hAnsi="宋体" w:eastAsia="仿宋_GB2312" w:cs="楷体"/>
          <w:color w:val="auto"/>
          <w:sz w:val="28"/>
          <w:szCs w:val="28"/>
          <w:highlight w:val="none"/>
        </w:rPr>
        <w:t>前三年有行贿犯罪行为的单位和个人</w:t>
      </w:r>
      <w:r>
        <w:rPr>
          <w:rFonts w:hint="eastAsia" w:ascii="仿宋_GB2312" w:hAnsi="宋体" w:eastAsia="仿宋_GB2312"/>
          <w:color w:val="auto"/>
          <w:sz w:val="28"/>
          <w:szCs w:val="28"/>
          <w:highlight w:val="none"/>
        </w:rPr>
        <w:t>。</w:t>
      </w:r>
    </w:p>
    <w:p w14:paraId="7A738690">
      <w:pPr>
        <w:adjustRightInd w:val="0"/>
        <w:snapToGrid w:val="0"/>
        <w:spacing w:line="560" w:lineRule="exact"/>
        <w:ind w:firstLine="562" w:firstLineChars="200"/>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二、在开评标活动中的查询程序</w:t>
      </w:r>
    </w:p>
    <w:p w14:paraId="1C0C0E2D">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4195F129">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09096A8B">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3、项目单位及其委托的代理机构应当做好信用查询结果截图和记录留存。</w:t>
      </w:r>
    </w:p>
    <w:p w14:paraId="642E5423">
      <w:pPr>
        <w:adjustRightInd w:val="0"/>
        <w:snapToGrid w:val="0"/>
        <w:spacing w:line="560" w:lineRule="exact"/>
        <w:ind w:firstLine="562" w:firstLineChars="200"/>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三、相关要求</w:t>
      </w:r>
    </w:p>
    <w:p w14:paraId="6C8DAA1B">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1、参与公共资源交易活动的竞争主体根据上述范围查询的内容进行自查并承诺，出具《诚信投标承诺书》（诚信投标承诺书包括但不限于上述自查并承诺内容）并注明承诺日期（投标截止时间前5日内）。</w:t>
      </w:r>
    </w:p>
    <w:p w14:paraId="6649A92A">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4E3C4FF4">
      <w:pPr>
        <w:wordWrap w:val="0"/>
        <w:adjustRightInd w:val="0"/>
        <w:snapToGrid w:val="0"/>
        <w:spacing w:line="560" w:lineRule="exact"/>
        <w:ind w:firstLine="560" w:firstLineChars="200"/>
        <w:rPr>
          <w:rFonts w:hint="eastAsia"/>
          <w:color w:val="auto"/>
          <w:highlight w:val="none"/>
        </w:rPr>
      </w:pPr>
      <w:r>
        <w:rPr>
          <w:rFonts w:hint="eastAsia" w:ascii="仿宋_GB2312" w:hAnsi="宋体" w:eastAsia="仿宋_GB2312"/>
          <w:color w:val="auto"/>
          <w:sz w:val="28"/>
          <w:szCs w:val="28"/>
          <w:highlight w:val="none"/>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color w:val="auto"/>
          <w:highlight w:val="none"/>
        </w:rPr>
        <w:fldChar w:fldCharType="begin"/>
      </w:r>
      <w:r>
        <w:rPr>
          <w:color w:val="auto"/>
          <w:highlight w:val="none"/>
        </w:rPr>
        <w:instrText xml:space="preserve"> HYPERLINK "https://credit.ah.gov.cn/xinyong-fuwu/xvbahv/index.html" </w:instrText>
      </w:r>
      <w:r>
        <w:rPr>
          <w:color w:val="auto"/>
          <w:highlight w:val="none"/>
        </w:rPr>
        <w:fldChar w:fldCharType="separate"/>
      </w:r>
      <w:r>
        <w:rPr>
          <w:rStyle w:val="57"/>
          <w:rFonts w:hint="eastAsia" w:ascii="仿宋_GB2312" w:hAnsi="宋体" w:eastAsia="仿宋_GB2312"/>
          <w:color w:val="auto"/>
          <w:sz w:val="28"/>
          <w:szCs w:val="28"/>
          <w:highlight w:val="none"/>
        </w:rPr>
        <w:t>https://credit.ah.gov.cn/xinyong-fuwu/xvbahv/index.html</w:t>
      </w:r>
      <w:r>
        <w:rPr>
          <w:color w:val="auto"/>
          <w:highlight w:val="none"/>
        </w:rPr>
        <w:fldChar w:fldCharType="end"/>
      </w:r>
      <w:r>
        <w:rPr>
          <w:rFonts w:hint="eastAsia" w:ascii="仿宋_GB2312" w:hAnsi="宋体" w:eastAsia="仿宋_GB2312"/>
          <w:color w:val="auto"/>
          <w:sz w:val="28"/>
          <w:szCs w:val="28"/>
          <w:highlight w:val="none"/>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23472D1F">
      <w:pPr>
        <w:adjustRightInd w:val="0"/>
        <w:snapToGrid w:val="0"/>
        <w:spacing w:line="560" w:lineRule="exact"/>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2、“信用中国”查询的严重失信行为判定依据为各行业主管部门下发的联合惩戒文件中规定的行为（按附件2执行）。</w:t>
      </w:r>
    </w:p>
    <w:p w14:paraId="6A7BD0B5">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3、资格预审的项目以递交资格预审申请文件截止时间查询为准；资格后审的项目以递交投标文件截止时间查询为准。</w:t>
      </w:r>
    </w:p>
    <w:p w14:paraId="25566ABF">
      <w:pPr>
        <w:ind w:right="960"/>
        <w:rPr>
          <w:rFonts w:hint="eastAsia" w:ascii="仿宋" w:hAnsi="仿宋" w:eastAsia="仿宋"/>
          <w:color w:val="auto"/>
          <w:sz w:val="32"/>
          <w:szCs w:val="32"/>
          <w:highlight w:val="none"/>
        </w:rPr>
      </w:pPr>
    </w:p>
    <w:p w14:paraId="00947637">
      <w:pPr>
        <w:ind w:right="960"/>
        <w:rPr>
          <w:rFonts w:hint="eastAsia" w:ascii="仿宋" w:hAnsi="仿宋" w:eastAsia="仿宋"/>
          <w:color w:val="auto"/>
          <w:sz w:val="32"/>
          <w:szCs w:val="32"/>
          <w:highlight w:val="none"/>
        </w:rPr>
      </w:pPr>
    </w:p>
    <w:p w14:paraId="3B08EBF7">
      <w:pPr>
        <w:ind w:right="960"/>
        <w:rPr>
          <w:rFonts w:hint="eastAsia" w:ascii="仿宋" w:hAnsi="仿宋" w:eastAsia="仿宋"/>
          <w:color w:val="auto"/>
          <w:sz w:val="32"/>
          <w:szCs w:val="32"/>
          <w:highlight w:val="none"/>
        </w:rPr>
      </w:pPr>
    </w:p>
    <w:p w14:paraId="2965BA59">
      <w:pPr>
        <w:ind w:right="960"/>
        <w:rPr>
          <w:rFonts w:hint="eastAsia" w:ascii="仿宋" w:hAnsi="仿宋" w:eastAsia="仿宋"/>
          <w:color w:val="auto"/>
          <w:sz w:val="32"/>
          <w:szCs w:val="32"/>
          <w:highlight w:val="none"/>
        </w:rPr>
      </w:pPr>
    </w:p>
    <w:p w14:paraId="6613CE6C">
      <w:pPr>
        <w:ind w:right="960"/>
        <w:rPr>
          <w:rFonts w:hint="eastAsia" w:ascii="仿宋" w:hAnsi="仿宋" w:eastAsia="仿宋"/>
          <w:color w:val="auto"/>
          <w:sz w:val="32"/>
          <w:szCs w:val="32"/>
          <w:highlight w:val="none"/>
        </w:rPr>
      </w:pPr>
    </w:p>
    <w:p w14:paraId="5494529E">
      <w:pPr>
        <w:ind w:right="960"/>
        <w:rPr>
          <w:rFonts w:hint="eastAsia" w:ascii="仿宋" w:hAnsi="仿宋" w:eastAsia="仿宋"/>
          <w:color w:val="auto"/>
          <w:sz w:val="32"/>
          <w:szCs w:val="32"/>
          <w:highlight w:val="none"/>
        </w:rPr>
      </w:pPr>
    </w:p>
    <w:p w14:paraId="71A178A6">
      <w:pPr>
        <w:ind w:right="960"/>
        <w:rPr>
          <w:rFonts w:hint="eastAsia" w:ascii="仿宋" w:hAnsi="仿宋" w:eastAsia="仿宋"/>
          <w:color w:val="auto"/>
          <w:sz w:val="32"/>
          <w:szCs w:val="32"/>
          <w:highlight w:val="none"/>
        </w:rPr>
      </w:pPr>
    </w:p>
    <w:p w14:paraId="547CBDC5">
      <w:pPr>
        <w:ind w:right="960"/>
        <w:rPr>
          <w:rFonts w:hint="eastAsia" w:ascii="仿宋" w:hAnsi="仿宋" w:eastAsia="仿宋"/>
          <w:color w:val="auto"/>
          <w:sz w:val="32"/>
          <w:szCs w:val="32"/>
          <w:highlight w:val="none"/>
        </w:rPr>
      </w:pPr>
    </w:p>
    <w:p w14:paraId="62F81791">
      <w:pPr>
        <w:pStyle w:val="45"/>
        <w:rPr>
          <w:rFonts w:hint="eastAsia"/>
          <w:color w:val="auto"/>
          <w:highlight w:val="none"/>
        </w:rPr>
      </w:pPr>
    </w:p>
    <w:p w14:paraId="1AD2330A">
      <w:pPr>
        <w:rPr>
          <w:color w:val="auto"/>
          <w:highlight w:val="none"/>
        </w:rPr>
      </w:pPr>
    </w:p>
    <w:p w14:paraId="2EC6CC33">
      <w:pPr>
        <w:pStyle w:val="45"/>
        <w:rPr>
          <w:color w:val="auto"/>
          <w:highlight w:val="none"/>
        </w:rPr>
      </w:pPr>
    </w:p>
    <w:p w14:paraId="23C2B540">
      <w:pPr>
        <w:rPr>
          <w:color w:val="auto"/>
          <w:highlight w:val="none"/>
        </w:rPr>
      </w:pPr>
    </w:p>
    <w:p w14:paraId="4F43E7F7">
      <w:pPr>
        <w:pStyle w:val="45"/>
        <w:rPr>
          <w:color w:val="auto"/>
          <w:highlight w:val="none"/>
        </w:rPr>
      </w:pPr>
    </w:p>
    <w:p w14:paraId="2FBD9AFE">
      <w:pPr>
        <w:rPr>
          <w:color w:val="auto"/>
          <w:highlight w:val="none"/>
        </w:rPr>
      </w:pPr>
    </w:p>
    <w:p w14:paraId="3F655F23">
      <w:pPr>
        <w:pStyle w:val="45"/>
        <w:rPr>
          <w:color w:val="auto"/>
          <w:highlight w:val="none"/>
        </w:rPr>
      </w:pPr>
    </w:p>
    <w:p w14:paraId="618B414A">
      <w:pPr>
        <w:rPr>
          <w:color w:val="auto"/>
          <w:highlight w:val="none"/>
        </w:rPr>
      </w:pPr>
    </w:p>
    <w:p w14:paraId="11023BC8">
      <w:pPr>
        <w:ind w:right="960"/>
        <w:rPr>
          <w:rFonts w:ascii="仿宋" w:hAnsi="仿宋" w:eastAsia="仿宋"/>
          <w:color w:val="auto"/>
          <w:sz w:val="32"/>
          <w:szCs w:val="32"/>
          <w:highlight w:val="none"/>
        </w:rPr>
      </w:pPr>
    </w:p>
    <w:p w14:paraId="34CBD32A">
      <w:pPr>
        <w:keepNext/>
        <w:keepLines/>
        <w:spacing w:before="200" w:after="200" w:line="600" w:lineRule="exact"/>
        <w:outlineLvl w:val="0"/>
        <w:rPr>
          <w:rFonts w:hint="eastAsia" w:ascii="黑体" w:hAnsi="黑体" w:eastAsia="黑体"/>
          <w:b/>
          <w:bCs/>
          <w:color w:val="auto"/>
          <w:kern w:val="44"/>
          <w:sz w:val="36"/>
          <w:szCs w:val="28"/>
          <w:highlight w:val="none"/>
        </w:rPr>
      </w:pPr>
      <w:bookmarkStart w:id="840" w:name="_Toc95223549"/>
      <w:bookmarkStart w:id="841" w:name="OLE_LINK41"/>
      <w:bookmarkStart w:id="842" w:name="OLE_LINK31"/>
      <w:bookmarkStart w:id="843" w:name="OLE_LINK32"/>
      <w:r>
        <w:rPr>
          <w:rFonts w:hint="eastAsia" w:ascii="黑体" w:hAnsi="黑体" w:eastAsia="黑体"/>
          <w:b/>
          <w:bCs/>
          <w:color w:val="auto"/>
          <w:kern w:val="44"/>
          <w:sz w:val="36"/>
          <w:szCs w:val="28"/>
          <w:highlight w:val="none"/>
        </w:rPr>
        <w:t xml:space="preserve">附件2 </w:t>
      </w:r>
      <w:bookmarkStart w:id="844" w:name="OLE_LINK74"/>
      <w:bookmarkStart w:id="845" w:name="OLE_LINK75"/>
      <w:r>
        <w:rPr>
          <w:rFonts w:hint="eastAsia" w:ascii="黑体" w:hAnsi="黑体" w:eastAsia="黑体"/>
          <w:b/>
          <w:bCs/>
          <w:color w:val="auto"/>
          <w:kern w:val="44"/>
          <w:sz w:val="36"/>
          <w:szCs w:val="28"/>
          <w:highlight w:val="none"/>
        </w:rPr>
        <w:t>“信用中国”查询的严重失信行为</w:t>
      </w:r>
      <w:bookmarkStart w:id="846" w:name="OLE_LINK39"/>
      <w:bookmarkStart w:id="847" w:name="OLE_LINK76"/>
      <w:bookmarkStart w:id="848" w:name="OLE_LINK38"/>
      <w:bookmarkStart w:id="849" w:name="OLE_LINK40"/>
      <w:r>
        <w:rPr>
          <w:rFonts w:hint="eastAsia" w:ascii="黑体" w:hAnsi="黑体" w:eastAsia="黑体"/>
          <w:b/>
          <w:bCs/>
          <w:color w:val="auto"/>
          <w:kern w:val="44"/>
          <w:sz w:val="36"/>
          <w:szCs w:val="28"/>
          <w:highlight w:val="none"/>
        </w:rPr>
        <w:t>类别及判定依据</w:t>
      </w:r>
      <w:bookmarkEnd w:id="840"/>
      <w:bookmarkEnd w:id="844"/>
      <w:bookmarkEnd w:id="845"/>
      <w:bookmarkEnd w:id="846"/>
      <w:bookmarkEnd w:id="847"/>
      <w:bookmarkEnd w:id="848"/>
      <w:bookmarkEnd w:id="849"/>
    </w:p>
    <w:bookmarkEnd w:id="841"/>
    <w:bookmarkEnd w:id="842"/>
    <w:bookmarkEnd w:id="843"/>
    <w:p w14:paraId="23018379">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28"/>
          <w:szCs w:val="28"/>
          <w:highlight w:val="none"/>
        </w:rPr>
        <w:t>信用中国”查询的严重失信行为判定依据为各行业主管部门下发的联合惩戒文件中规定的行为。下面将部分类别的严重失信行为列举如下：</w:t>
      </w:r>
    </w:p>
    <w:p w14:paraId="2A3E59B7">
      <w:pPr>
        <w:adjustRightInd w:val="0"/>
        <w:snapToGrid w:val="0"/>
        <w:spacing w:line="560" w:lineRule="exact"/>
        <w:ind w:firstLine="645"/>
        <w:jc w:val="left"/>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一、安全生产领域严重失信行为：</w:t>
      </w:r>
    </w:p>
    <w:p w14:paraId="2F6AB423">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（一）下列发生生产安全事故的生产经营单位及其有关人员应当列入严重失信主体名单：</w:t>
      </w:r>
    </w:p>
    <w:p w14:paraId="4E095CF3">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1、发生特别重大、重大生产安全事故的生产经营单位及其主要负责人，以及经调查认定对该事故发生负有责任，应当列入名单的其他单位和人员；</w:t>
      </w:r>
    </w:p>
    <w:p w14:paraId="6CECBB52">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2、12个月内累计发生2起以上较大生产安全事故的生产经营单位及其主要负责人；</w:t>
      </w:r>
    </w:p>
    <w:p w14:paraId="3569B3B3">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3、发生生产安全事故，情节特别严重、影响特别恶劣，依照《中华人民共和国安全生产法》第一百一十四条的规定被处以罚款数额2倍以上5倍以下罚款的生产经营单位及其主要负责人；</w:t>
      </w:r>
    </w:p>
    <w:p w14:paraId="4E6C8642">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4、瞒报、谎报生产安全事故的生产经营单位及其有关责任人员；</w:t>
      </w:r>
    </w:p>
    <w:p w14:paraId="20D0CB05">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5、发生生产安全事故后，不立即组织抢救或者在事故调查处理期间擅离职守或者逃匿的生产经营单位主要负责人。</w:t>
      </w:r>
    </w:p>
    <w:p w14:paraId="57DA8863">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（二）下列未发生生产安全事故，但因安全生产违法行为，受到行政处罚的生产经营单位或者机构及其有关人员，应当列入严重失信主体名单：</w:t>
      </w:r>
    </w:p>
    <w:p w14:paraId="23AEA151">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1、未依法取得安全生产相关许可或者许可被暂扣、吊销期间从事相关生产经营活动的生产经营单位及其主要负责人；</w:t>
      </w:r>
    </w:p>
    <w:p w14:paraId="051DD5A7">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2、承担安全评价、认证、检测、检验职责的机构及其直接责任人员租借资质、挂靠、出具虚假报告或者证书的；</w:t>
      </w:r>
    </w:p>
    <w:p w14:paraId="0328D207">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3、在应急管理部门作出行政处罚后，有执行能力拒不执行或者逃避执行的生产经营单位及其主要负责人；</w:t>
      </w:r>
    </w:p>
    <w:p w14:paraId="4E7F73D5">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4、其他违反安全生产法律法规受到行政处罚，且性质恶劣、情节严重的。</w:t>
      </w:r>
    </w:p>
    <w:p w14:paraId="2C93716A">
      <w:pPr>
        <w:adjustRightInd w:val="0"/>
        <w:snapToGrid w:val="0"/>
        <w:spacing w:line="560" w:lineRule="exact"/>
        <w:ind w:firstLine="645"/>
        <w:jc w:val="left"/>
        <w:rPr>
          <w:rFonts w:hint="eastAsia" w:ascii="仿宋_GB2312" w:hAnsi="Calibri" w:eastAsia="仿宋_GB2312"/>
          <w:b/>
          <w:color w:val="auto"/>
          <w:sz w:val="28"/>
          <w:szCs w:val="28"/>
          <w:highlight w:val="none"/>
        </w:rPr>
      </w:pPr>
      <w:r>
        <w:rPr>
          <w:rFonts w:hint="eastAsia" w:ascii="仿宋_GB2312" w:hAnsi="宋体" w:eastAsia="仿宋_GB2312"/>
          <w:b/>
          <w:color w:val="auto"/>
          <w:sz w:val="28"/>
          <w:szCs w:val="28"/>
          <w:highlight w:val="none"/>
        </w:rPr>
        <w:t>依据：《安全生产严重失信主体名单管理办法》</w:t>
      </w:r>
      <w:r>
        <w:rPr>
          <w:rFonts w:hint="eastAsia" w:ascii="仿宋_GB2312" w:hAnsi="Calibri" w:eastAsia="仿宋_GB2312"/>
          <w:b/>
          <w:color w:val="auto"/>
          <w:sz w:val="28"/>
          <w:szCs w:val="28"/>
          <w:highlight w:val="none"/>
        </w:rPr>
        <w:t>（2023年8月8日应急管理部令第11号）</w:t>
      </w:r>
    </w:p>
    <w:p w14:paraId="01BF2B85">
      <w:pPr>
        <w:adjustRightInd w:val="0"/>
        <w:snapToGrid w:val="0"/>
        <w:spacing w:line="560" w:lineRule="exact"/>
        <w:ind w:firstLine="645"/>
        <w:jc w:val="left"/>
        <w:rPr>
          <w:rFonts w:hint="eastAsia" w:ascii="仿宋_GB2312" w:hAnsi="宋体" w:eastAsia="仿宋_GB2312"/>
          <w:b/>
          <w:color w:val="auto"/>
          <w:sz w:val="28"/>
          <w:szCs w:val="28"/>
          <w:highlight w:val="none"/>
        </w:rPr>
      </w:pPr>
    </w:p>
    <w:p w14:paraId="31E4AE7E">
      <w:pPr>
        <w:adjustRightInd w:val="0"/>
        <w:snapToGrid w:val="0"/>
        <w:spacing w:line="560" w:lineRule="exact"/>
        <w:ind w:firstLine="645"/>
        <w:jc w:val="left"/>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二、环境保护领域严重失信行为：</w:t>
      </w:r>
    </w:p>
    <w:p w14:paraId="30906C37">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（一）因为环境违法构成</w:t>
      </w:r>
      <w:r>
        <w:rPr>
          <w:color w:val="auto"/>
          <w:highlight w:val="none"/>
        </w:rPr>
        <w:fldChar w:fldCharType="begin"/>
      </w:r>
      <w:r>
        <w:rPr>
          <w:color w:val="auto"/>
          <w:highlight w:val="none"/>
        </w:rPr>
        <w:instrText xml:space="preserve"> HYPERLINK "https://baike.sogou.com/m/fullLemma?lid=10403954&amp;g_ut=3" \t "https://baike.sogou.com/m/_blank" </w:instrText>
      </w:r>
      <w:r>
        <w:rPr>
          <w:color w:val="auto"/>
          <w:highlight w:val="none"/>
        </w:rPr>
        <w:fldChar w:fldCharType="separate"/>
      </w:r>
      <w:r>
        <w:rPr>
          <w:rStyle w:val="57"/>
          <w:rFonts w:hint="eastAsia" w:ascii="仿宋_GB2312" w:hAnsi="宋体" w:eastAsia="仿宋_GB2312"/>
          <w:color w:val="auto"/>
          <w:sz w:val="28"/>
          <w:szCs w:val="28"/>
          <w:highlight w:val="none"/>
        </w:rPr>
        <w:t>环境犯罪</w:t>
      </w:r>
      <w:r>
        <w:rPr>
          <w:color w:val="auto"/>
          <w:highlight w:val="none"/>
        </w:rPr>
        <w:fldChar w:fldCharType="end"/>
      </w:r>
      <w:r>
        <w:rPr>
          <w:rFonts w:hint="eastAsia" w:ascii="仿宋_GB2312" w:hAnsi="宋体" w:eastAsia="仿宋_GB2312"/>
          <w:color w:val="auto"/>
          <w:sz w:val="28"/>
          <w:szCs w:val="28"/>
          <w:highlight w:val="none"/>
        </w:rPr>
        <w:t>的；</w:t>
      </w:r>
    </w:p>
    <w:p w14:paraId="4A003099">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（二）</w:t>
      </w:r>
      <w:r>
        <w:rPr>
          <w:color w:val="auto"/>
          <w:highlight w:val="none"/>
        </w:rPr>
        <w:fldChar w:fldCharType="begin"/>
      </w:r>
      <w:r>
        <w:rPr>
          <w:color w:val="auto"/>
          <w:highlight w:val="none"/>
        </w:rPr>
        <w:instrText xml:space="preserve"> HYPERLINK "https://baike.sogou.com/m/fullLemma?lid=76033123&amp;g_ut=3" \t "https://baike.sogou.com/m/_blank" </w:instrText>
      </w:r>
      <w:r>
        <w:rPr>
          <w:color w:val="auto"/>
          <w:highlight w:val="none"/>
        </w:rPr>
        <w:fldChar w:fldCharType="separate"/>
      </w:r>
      <w:r>
        <w:rPr>
          <w:rStyle w:val="57"/>
          <w:rFonts w:hint="eastAsia" w:ascii="仿宋_GB2312" w:hAnsi="宋体" w:eastAsia="仿宋_GB2312"/>
          <w:color w:val="auto"/>
          <w:sz w:val="28"/>
          <w:szCs w:val="28"/>
          <w:highlight w:val="none"/>
        </w:rPr>
        <w:t>建设项目环境影响评价</w:t>
      </w:r>
      <w:r>
        <w:rPr>
          <w:color w:val="auto"/>
          <w:highlight w:val="none"/>
        </w:rPr>
        <w:fldChar w:fldCharType="end"/>
      </w:r>
      <w:r>
        <w:rPr>
          <w:rFonts w:hint="eastAsia" w:ascii="仿宋_GB2312" w:hAnsi="宋体" w:eastAsia="仿宋_GB2312"/>
          <w:color w:val="auto"/>
          <w:sz w:val="28"/>
          <w:szCs w:val="28"/>
          <w:highlight w:val="none"/>
        </w:rPr>
        <w:t>文件未按规定通过审批，擅自开工建设的；</w:t>
      </w:r>
    </w:p>
    <w:p w14:paraId="575EF9FE">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（三）建设项目环保设施未建成、环保措施未落实、未通过</w:t>
      </w:r>
      <w:r>
        <w:rPr>
          <w:color w:val="auto"/>
          <w:highlight w:val="none"/>
        </w:rPr>
        <w:fldChar w:fldCharType="begin"/>
      </w:r>
      <w:r>
        <w:rPr>
          <w:color w:val="auto"/>
          <w:highlight w:val="none"/>
        </w:rPr>
        <w:instrText xml:space="preserve"> HYPERLINK "https://baike.sogou.com/m/fullLemma?lid=6470550&amp;g_ut=3" \t "https://baike.sogou.com/m/_blank" </w:instrText>
      </w:r>
      <w:r>
        <w:rPr>
          <w:color w:val="auto"/>
          <w:highlight w:val="none"/>
        </w:rPr>
        <w:fldChar w:fldCharType="separate"/>
      </w:r>
      <w:r>
        <w:rPr>
          <w:rStyle w:val="57"/>
          <w:rFonts w:hint="eastAsia" w:ascii="仿宋_GB2312" w:hAnsi="宋体" w:eastAsia="仿宋_GB2312"/>
          <w:color w:val="auto"/>
          <w:sz w:val="28"/>
          <w:szCs w:val="28"/>
          <w:highlight w:val="none"/>
        </w:rPr>
        <w:t>竣工环保验收</w:t>
      </w:r>
      <w:r>
        <w:rPr>
          <w:color w:val="auto"/>
          <w:highlight w:val="none"/>
        </w:rPr>
        <w:fldChar w:fldCharType="end"/>
      </w:r>
      <w:r>
        <w:rPr>
          <w:rFonts w:hint="eastAsia" w:ascii="仿宋_GB2312" w:hAnsi="宋体" w:eastAsia="仿宋_GB2312"/>
          <w:color w:val="auto"/>
          <w:sz w:val="28"/>
          <w:szCs w:val="28"/>
          <w:highlight w:val="none"/>
        </w:rPr>
        <w:t>或者验收不合格，主体工程正式投入生产或者使用的；</w:t>
      </w:r>
    </w:p>
    <w:p w14:paraId="7EBF9299">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（四）建设项目性质、规模、地点、采用的生产工艺或者防治污染、防止生态破坏的措施发生重大变动，未重新报批环境影响评价文件，擅自投入生产或者使用的；</w:t>
      </w:r>
    </w:p>
    <w:p w14:paraId="4E0C7C59">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（五）主要污染物排放总量超过控制指标的；</w:t>
      </w:r>
    </w:p>
    <w:p w14:paraId="0E4B1968">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（六）私设暗管或者利用</w:t>
      </w:r>
      <w:r>
        <w:rPr>
          <w:color w:val="auto"/>
          <w:highlight w:val="none"/>
        </w:rPr>
        <w:fldChar w:fldCharType="begin"/>
      </w:r>
      <w:r>
        <w:rPr>
          <w:color w:val="auto"/>
          <w:highlight w:val="none"/>
        </w:rPr>
        <w:instrText xml:space="preserve"> HYPERLINK "https://baike.sogou.com/m/fullLemma?lid=41657319&amp;g_ut=3" \t "https://baike.sogou.com/m/_blank" </w:instrText>
      </w:r>
      <w:r>
        <w:rPr>
          <w:color w:val="auto"/>
          <w:highlight w:val="none"/>
        </w:rPr>
        <w:fldChar w:fldCharType="separate"/>
      </w:r>
      <w:r>
        <w:rPr>
          <w:rStyle w:val="57"/>
          <w:rFonts w:hint="eastAsia" w:ascii="仿宋_GB2312" w:hAnsi="宋体" w:eastAsia="仿宋_GB2312"/>
          <w:color w:val="auto"/>
          <w:sz w:val="28"/>
          <w:szCs w:val="28"/>
          <w:highlight w:val="none"/>
        </w:rPr>
        <w:t>渗井</w:t>
      </w:r>
      <w:r>
        <w:rPr>
          <w:color w:val="auto"/>
          <w:highlight w:val="none"/>
        </w:rPr>
        <w:fldChar w:fldCharType="end"/>
      </w:r>
      <w:r>
        <w:rPr>
          <w:rFonts w:hint="eastAsia" w:ascii="仿宋_GB2312" w:hAnsi="宋体" w:eastAsia="仿宋_GB2312"/>
          <w:color w:val="auto"/>
          <w:sz w:val="28"/>
          <w:szCs w:val="28"/>
          <w:highlight w:val="none"/>
        </w:rPr>
        <w:t>、渗坑、裂隙、溶洞等排放、倾倒、处置水污染物，或者通过私设旁路排放</w:t>
      </w:r>
      <w:r>
        <w:rPr>
          <w:color w:val="auto"/>
          <w:highlight w:val="none"/>
        </w:rPr>
        <w:fldChar w:fldCharType="begin"/>
      </w:r>
      <w:r>
        <w:rPr>
          <w:color w:val="auto"/>
          <w:highlight w:val="none"/>
        </w:rPr>
        <w:instrText xml:space="preserve"> HYPERLINK "https://baike.sogou.com/m/fullLemma?lid=7758328&amp;g_ut=3" \t "https://baike.sogou.com/m/_blank" </w:instrText>
      </w:r>
      <w:r>
        <w:rPr>
          <w:color w:val="auto"/>
          <w:highlight w:val="none"/>
        </w:rPr>
        <w:fldChar w:fldCharType="separate"/>
      </w:r>
      <w:r>
        <w:rPr>
          <w:rStyle w:val="57"/>
          <w:rFonts w:hint="eastAsia" w:ascii="仿宋_GB2312" w:hAnsi="宋体" w:eastAsia="仿宋_GB2312"/>
          <w:color w:val="auto"/>
          <w:sz w:val="28"/>
          <w:szCs w:val="28"/>
          <w:highlight w:val="none"/>
        </w:rPr>
        <w:t>大气污染物</w:t>
      </w:r>
      <w:r>
        <w:rPr>
          <w:color w:val="auto"/>
          <w:highlight w:val="none"/>
        </w:rPr>
        <w:fldChar w:fldCharType="end"/>
      </w:r>
      <w:r>
        <w:rPr>
          <w:rFonts w:hint="eastAsia" w:ascii="仿宋_GB2312" w:hAnsi="宋体" w:eastAsia="仿宋_GB2312"/>
          <w:color w:val="auto"/>
          <w:sz w:val="28"/>
          <w:szCs w:val="28"/>
          <w:highlight w:val="none"/>
        </w:rPr>
        <w:t>的；</w:t>
      </w:r>
    </w:p>
    <w:p w14:paraId="77B3D613">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（七）非法排放、倾倒、处置危险废物，或者向无</w:t>
      </w:r>
      <w:r>
        <w:rPr>
          <w:color w:val="auto"/>
          <w:highlight w:val="none"/>
        </w:rPr>
        <w:fldChar w:fldCharType="begin"/>
      </w:r>
      <w:r>
        <w:rPr>
          <w:color w:val="auto"/>
          <w:highlight w:val="none"/>
        </w:rPr>
        <w:instrText xml:space="preserve"> HYPERLINK "https://baike.sogou.com/m/fullLemma?lid=5923292&amp;g_ut=3" \t "https://baike.sogou.com/m/_blank" </w:instrText>
      </w:r>
      <w:r>
        <w:rPr>
          <w:color w:val="auto"/>
          <w:highlight w:val="none"/>
        </w:rPr>
        <w:fldChar w:fldCharType="separate"/>
      </w:r>
      <w:r>
        <w:rPr>
          <w:rStyle w:val="57"/>
          <w:rFonts w:hint="eastAsia" w:ascii="仿宋_GB2312" w:hAnsi="宋体" w:eastAsia="仿宋_GB2312"/>
          <w:color w:val="auto"/>
          <w:sz w:val="28"/>
          <w:szCs w:val="28"/>
          <w:highlight w:val="none"/>
        </w:rPr>
        <w:t>经营许可证</w:t>
      </w:r>
      <w:r>
        <w:rPr>
          <w:color w:val="auto"/>
          <w:highlight w:val="none"/>
        </w:rPr>
        <w:fldChar w:fldCharType="end"/>
      </w:r>
      <w:r>
        <w:rPr>
          <w:rFonts w:hint="eastAsia" w:ascii="仿宋_GB2312" w:hAnsi="宋体" w:eastAsia="仿宋_GB2312"/>
          <w:color w:val="auto"/>
          <w:sz w:val="28"/>
          <w:szCs w:val="28"/>
          <w:highlight w:val="none"/>
        </w:rPr>
        <w:t>或者超出经营许可范围的单位或个人提供或者委托其收集、贮存、利用、处置危险废物的；</w:t>
      </w:r>
    </w:p>
    <w:p w14:paraId="41B2DABA">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（八）</w:t>
      </w:r>
      <w:r>
        <w:rPr>
          <w:color w:val="auto"/>
          <w:highlight w:val="none"/>
        </w:rPr>
        <w:fldChar w:fldCharType="begin"/>
      </w:r>
      <w:r>
        <w:rPr>
          <w:color w:val="auto"/>
          <w:highlight w:val="none"/>
        </w:rPr>
        <w:instrText xml:space="preserve"> HYPERLINK "https://baike.sogou.com/m/fullLemma?lid=167759803&amp;g_ut=3" \t "https://baike.sogou.com/m/_blank" </w:instrText>
      </w:r>
      <w:r>
        <w:rPr>
          <w:color w:val="auto"/>
          <w:highlight w:val="none"/>
        </w:rPr>
        <w:fldChar w:fldCharType="separate"/>
      </w:r>
      <w:r>
        <w:rPr>
          <w:rStyle w:val="57"/>
          <w:rFonts w:hint="eastAsia" w:ascii="仿宋_GB2312" w:hAnsi="宋体" w:eastAsia="仿宋_GB2312"/>
          <w:color w:val="auto"/>
          <w:sz w:val="28"/>
          <w:szCs w:val="28"/>
          <w:highlight w:val="none"/>
        </w:rPr>
        <w:t>环境违法行为</w:t>
      </w:r>
      <w:r>
        <w:rPr>
          <w:color w:val="auto"/>
          <w:highlight w:val="none"/>
        </w:rPr>
        <w:fldChar w:fldCharType="end"/>
      </w:r>
      <w:r>
        <w:rPr>
          <w:rFonts w:hint="eastAsia" w:ascii="仿宋_GB2312" w:hAnsi="宋体" w:eastAsia="仿宋_GB2312"/>
          <w:color w:val="auto"/>
          <w:sz w:val="28"/>
          <w:szCs w:val="28"/>
          <w:highlight w:val="none"/>
        </w:rPr>
        <w:t>造成集中式生活饮用水水源取水中断的；</w:t>
      </w:r>
    </w:p>
    <w:p w14:paraId="2C429E37">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（九）环境违法行为对生活饮用水水源保护区、自然保护区、</w:t>
      </w:r>
      <w:r>
        <w:rPr>
          <w:color w:val="auto"/>
          <w:highlight w:val="none"/>
        </w:rPr>
        <w:fldChar w:fldCharType="begin"/>
      </w:r>
      <w:r>
        <w:rPr>
          <w:color w:val="auto"/>
          <w:highlight w:val="none"/>
        </w:rPr>
        <w:instrText xml:space="preserve"> HYPERLINK "https://baike.sogou.com/m/fullLemma?lid=155199213&amp;g_ut=3" \t "https://baike.sogou.com/m/_blank" </w:instrText>
      </w:r>
      <w:r>
        <w:rPr>
          <w:color w:val="auto"/>
          <w:highlight w:val="none"/>
        </w:rPr>
        <w:fldChar w:fldCharType="separate"/>
      </w:r>
      <w:r>
        <w:rPr>
          <w:rStyle w:val="57"/>
          <w:rFonts w:hint="eastAsia" w:ascii="仿宋_GB2312" w:hAnsi="宋体" w:eastAsia="仿宋_GB2312"/>
          <w:color w:val="auto"/>
          <w:sz w:val="28"/>
          <w:szCs w:val="28"/>
          <w:highlight w:val="none"/>
        </w:rPr>
        <w:t>国家重点生态功能区</w:t>
      </w:r>
      <w:r>
        <w:rPr>
          <w:color w:val="auto"/>
          <w:highlight w:val="none"/>
        </w:rPr>
        <w:fldChar w:fldCharType="end"/>
      </w:r>
      <w:r>
        <w:rPr>
          <w:rFonts w:hint="eastAsia" w:ascii="仿宋_GB2312" w:hAnsi="宋体" w:eastAsia="仿宋_GB2312"/>
          <w:color w:val="auto"/>
          <w:sz w:val="28"/>
          <w:szCs w:val="28"/>
          <w:highlight w:val="none"/>
        </w:rPr>
        <w:t>、风景名胜区、居住功能区、</w:t>
      </w:r>
      <w:r>
        <w:rPr>
          <w:color w:val="auto"/>
          <w:highlight w:val="none"/>
        </w:rPr>
        <w:fldChar w:fldCharType="begin"/>
      </w:r>
      <w:r>
        <w:rPr>
          <w:color w:val="auto"/>
          <w:highlight w:val="none"/>
        </w:rPr>
        <w:instrText xml:space="preserve"> HYPERLINK "https://baike.sogou.com/m/fullLemma?lid=7757164&amp;g_ut=3" \t "https://baike.sogou.com/m/_blank" </w:instrText>
      </w:r>
      <w:r>
        <w:rPr>
          <w:color w:val="auto"/>
          <w:highlight w:val="none"/>
        </w:rPr>
        <w:fldChar w:fldCharType="separate"/>
      </w:r>
      <w:r>
        <w:rPr>
          <w:rStyle w:val="57"/>
          <w:rFonts w:hint="eastAsia" w:ascii="仿宋_GB2312" w:hAnsi="宋体" w:eastAsia="仿宋_GB2312"/>
          <w:color w:val="auto"/>
          <w:sz w:val="28"/>
          <w:szCs w:val="28"/>
          <w:highlight w:val="none"/>
        </w:rPr>
        <w:t>基本农田保护区</w:t>
      </w:r>
      <w:r>
        <w:rPr>
          <w:color w:val="auto"/>
          <w:highlight w:val="none"/>
        </w:rPr>
        <w:fldChar w:fldCharType="end"/>
      </w:r>
      <w:r>
        <w:rPr>
          <w:rFonts w:hint="eastAsia" w:ascii="仿宋_GB2312" w:hAnsi="宋体" w:eastAsia="仿宋_GB2312"/>
          <w:color w:val="auto"/>
          <w:sz w:val="28"/>
          <w:szCs w:val="28"/>
          <w:highlight w:val="none"/>
        </w:rPr>
        <w:t>等环境敏感区造成重大不利影响的；</w:t>
      </w:r>
    </w:p>
    <w:p w14:paraId="6ACCD81C">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（十）违法从事自然资源开发、交通基础设施建设，以及其他开发建设活动，造成严重生态破坏的；</w:t>
      </w:r>
    </w:p>
    <w:p w14:paraId="47EF4071">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（十一）发生较大及以上突发环境事件的；</w:t>
      </w:r>
    </w:p>
    <w:p w14:paraId="3A008565">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（十二）被环保部门挂牌督办，整改逾期未完成的；</w:t>
      </w:r>
    </w:p>
    <w:p w14:paraId="3B06E879">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（十三）以暴力、威胁等方式拒绝、阻挠环保部门工作人员现场检查的；</w:t>
      </w:r>
    </w:p>
    <w:p w14:paraId="1315C277">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（十四）违反重污染天气应急预案有关规定，对重污染天气响应不力的。</w:t>
      </w:r>
    </w:p>
    <w:p w14:paraId="5FEB7C67">
      <w:pPr>
        <w:adjustRightInd w:val="0"/>
        <w:snapToGrid w:val="0"/>
        <w:spacing w:line="560" w:lineRule="exact"/>
        <w:ind w:firstLine="645"/>
        <w:jc w:val="left"/>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依据：《</w:t>
      </w:r>
      <w:bookmarkStart w:id="850" w:name="OLE_LINK8"/>
      <w:bookmarkStart w:id="851" w:name="OLE_LINK10"/>
      <w:bookmarkStart w:id="852" w:name="OLE_LINK9"/>
      <w:r>
        <w:rPr>
          <w:rFonts w:hint="eastAsia" w:ascii="仿宋_GB2312" w:hAnsi="宋体" w:eastAsia="仿宋_GB2312"/>
          <w:b/>
          <w:color w:val="auto"/>
          <w:sz w:val="28"/>
          <w:szCs w:val="28"/>
          <w:highlight w:val="none"/>
        </w:rPr>
        <w:t>关于对环境保护领域失信生产经营单位及其有关人员开展联合惩戒的合作备忘录</w:t>
      </w:r>
      <w:bookmarkEnd w:id="850"/>
      <w:bookmarkEnd w:id="851"/>
      <w:bookmarkEnd w:id="852"/>
      <w:r>
        <w:rPr>
          <w:rFonts w:hint="eastAsia" w:ascii="仿宋_GB2312" w:hAnsi="宋体" w:eastAsia="仿宋_GB2312"/>
          <w:b/>
          <w:color w:val="auto"/>
          <w:sz w:val="28"/>
          <w:szCs w:val="28"/>
          <w:highlight w:val="none"/>
        </w:rPr>
        <w:t>》、《</w:t>
      </w:r>
      <w:bookmarkStart w:id="853" w:name="OLE_LINK12"/>
      <w:bookmarkStart w:id="854" w:name="OLE_LINK11"/>
      <w:r>
        <w:rPr>
          <w:rFonts w:hint="eastAsia" w:ascii="仿宋_GB2312" w:hAnsi="宋体" w:eastAsia="仿宋_GB2312"/>
          <w:b/>
          <w:color w:val="auto"/>
          <w:sz w:val="28"/>
          <w:szCs w:val="28"/>
          <w:highlight w:val="none"/>
        </w:rPr>
        <w:t>企业环境信用评价办法（试行）</w:t>
      </w:r>
      <w:bookmarkEnd w:id="853"/>
      <w:bookmarkEnd w:id="854"/>
      <w:r>
        <w:rPr>
          <w:rFonts w:hint="eastAsia" w:ascii="仿宋_GB2312" w:hAnsi="宋体" w:eastAsia="仿宋_GB2312"/>
          <w:b/>
          <w:color w:val="auto"/>
          <w:sz w:val="28"/>
          <w:szCs w:val="28"/>
          <w:highlight w:val="none"/>
        </w:rPr>
        <w:t>》（环发〔2013〕150号）</w:t>
      </w:r>
    </w:p>
    <w:p w14:paraId="55568EF1">
      <w:pPr>
        <w:adjustRightInd w:val="0"/>
        <w:snapToGrid w:val="0"/>
        <w:spacing w:line="560" w:lineRule="exact"/>
        <w:ind w:firstLine="645"/>
        <w:jc w:val="left"/>
        <w:rPr>
          <w:rFonts w:hint="eastAsia" w:ascii="仿宋_GB2312" w:hAnsi="宋体" w:eastAsia="仿宋_GB2312"/>
          <w:b/>
          <w:color w:val="auto"/>
          <w:sz w:val="28"/>
          <w:szCs w:val="28"/>
          <w:highlight w:val="none"/>
        </w:rPr>
      </w:pPr>
    </w:p>
    <w:p w14:paraId="7C78C6AA">
      <w:pPr>
        <w:adjustRightInd w:val="0"/>
        <w:snapToGrid w:val="0"/>
        <w:spacing w:line="560" w:lineRule="exact"/>
        <w:ind w:firstLine="645"/>
        <w:jc w:val="left"/>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三、</w:t>
      </w:r>
      <w:r>
        <w:rPr>
          <w:rFonts w:hint="eastAsia" w:ascii="仿宋_GB2312" w:hAnsi="宋体" w:eastAsia="仿宋_GB2312"/>
          <w:b/>
          <w:bCs/>
          <w:color w:val="auto"/>
          <w:sz w:val="28"/>
          <w:szCs w:val="28"/>
          <w:highlight w:val="none"/>
        </w:rPr>
        <w:t>公共资源交易领域严重失信行为</w:t>
      </w:r>
    </w:p>
    <w:p w14:paraId="012BDF2D">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（一）违反法律规定，必须进行招标的项目而不招标的，将必须进行招标的项目化整为零或者以其他任何方式规避招标的； </w:t>
      </w:r>
    </w:p>
    <w:p w14:paraId="506EE42E">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（二）招标代理机构违反法律规定，泄露应当保密的与招标投标活动有关的情况和资料的，或者与招标人、投标人串通损害 国家利益、社会公共利益或者他人合法权益的；</w:t>
      </w:r>
    </w:p>
    <w:p w14:paraId="6444B499">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（三）招标人以不合理的条件限制或者排斥潜在投标人的，对潜在投标人实行歧视待遇的，强制要求投标人组成联合体共同 投标的，或者限制投标人之间竞争的；</w:t>
      </w:r>
    </w:p>
    <w:p w14:paraId="7AC63F87">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（四）依法必须进行招标的项目的招标人向他人透露已获取招标文件的潜在投标人的名称、数量或者可能影响公平竞争的有 关招标投标的其他情况的，或者泄露标底的；</w:t>
      </w:r>
    </w:p>
    <w:p w14:paraId="598CA3F3">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（五）投标人相互串通投标或者与招标人串通投标的，投标人以向招标人或者评标委员会成员行贿的手段谋取中标的； </w:t>
      </w:r>
    </w:p>
    <w:p w14:paraId="13870A4D">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（六）投标人以他人名义投标或者以其他方式弄虚作假，骗取中标的；</w:t>
      </w:r>
    </w:p>
    <w:p w14:paraId="4ABBDC93">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（七）依法必须进行招标的项目，招标人违反法律规定，与投标人就投标价格、投标方案等实质性内容进行谈判的；</w:t>
      </w:r>
    </w:p>
    <w:p w14:paraId="18ADF344">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509FE5C2">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（九）招标人在评标委员会依法推荐的中标候选人以外确定中标人的，依法必须进行招标的项目在所有投标被评标委员会否 决后自行确定中标人的； </w:t>
      </w:r>
    </w:p>
    <w:p w14:paraId="724AB21E">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（十）中标人将中标项目转让给他人的，将中标项目肢解后分别转让给他人的，违反法律规定将中标项目的部分主体、关键 性工作分包给他人的，或者分包人再次分包的； </w:t>
      </w:r>
    </w:p>
    <w:p w14:paraId="365E4FB3">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（十一）招标人与中标人不按照招标文件和中标人的投标文件订立合同的，或者招标人、中标人订立背离合同实质性内容的 协议的； </w:t>
      </w:r>
    </w:p>
    <w:p w14:paraId="225CDDA9">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（十二）中标人不按照与招标人订立的合同履行义务，情节严重的； </w:t>
      </w:r>
    </w:p>
    <w:p w14:paraId="3DDDB9B7">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42793B90">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7788BD3B">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 （十五）采购人对应当实行集中采购的政府采购项目，不委托集中采购机构实行集中采购的； </w:t>
      </w:r>
    </w:p>
    <w:p w14:paraId="5681470D">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（十六）采购人、采购代理机构违反法律规定隐匿、销毁应当保存的采购文件或者伪造、变造采购文件的； </w:t>
      </w:r>
    </w:p>
    <w:p w14:paraId="55151DF9">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3619FDA8">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（十八）疫苗生产企业向县级疾病预防控制机构以外的单位或者个人销售第二类疫苗的； </w:t>
      </w:r>
    </w:p>
    <w:p w14:paraId="45468FDB">
      <w:pPr>
        <w:adjustRightInd w:val="0"/>
        <w:snapToGrid w:val="0"/>
        <w:spacing w:line="560" w:lineRule="exact"/>
        <w:ind w:left="141" w:leftChars="67" w:firstLine="420" w:firstLineChars="150"/>
        <w:jc w:val="left"/>
        <w:rPr>
          <w:rFonts w:hint="eastAsia" w:ascii="仿宋_GB2312" w:hAnsi="宋体" w:eastAsia="仿宋_GB2312"/>
          <w:color w:val="auto"/>
          <w:sz w:val="28"/>
          <w:szCs w:val="28"/>
          <w:highlight w:val="none"/>
        </w:rPr>
      </w:pPr>
      <w:r>
        <w:rPr>
          <w:rFonts w:hint="eastAsia" w:ascii="仿宋_GB2312" w:hAnsi="Calibri" w:eastAsia="仿宋_GB2312"/>
          <w:color w:val="auto"/>
          <w:sz w:val="28"/>
          <w:szCs w:val="28"/>
          <w:highlight w:val="none"/>
        </w:rPr>
        <w:t>（十九）存在其他违反公共资源交易法律法规行为的。</w:t>
      </w:r>
    </w:p>
    <w:p w14:paraId="31A9DC17">
      <w:pPr>
        <w:adjustRightInd w:val="0"/>
        <w:snapToGrid w:val="0"/>
        <w:spacing w:line="560" w:lineRule="exact"/>
        <w:ind w:firstLine="894" w:firstLineChars="318"/>
        <w:jc w:val="left"/>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依据：《</w:t>
      </w:r>
      <w:bookmarkStart w:id="855" w:name="OLE_LINK13"/>
      <w:bookmarkStart w:id="856" w:name="OLE_LINK14"/>
      <w:r>
        <w:rPr>
          <w:rFonts w:hint="eastAsia" w:ascii="仿宋_GB2312" w:hAnsi="宋体" w:eastAsia="仿宋_GB2312"/>
          <w:b/>
          <w:color w:val="auto"/>
          <w:sz w:val="28"/>
          <w:szCs w:val="28"/>
          <w:highlight w:val="none"/>
        </w:rPr>
        <w:t>关于对公共资源交易领域严重失信主体开展联合惩戒的备忘录</w:t>
      </w:r>
      <w:bookmarkEnd w:id="855"/>
      <w:bookmarkEnd w:id="856"/>
      <w:r>
        <w:rPr>
          <w:rFonts w:hint="eastAsia" w:ascii="仿宋_GB2312" w:hAnsi="宋体" w:eastAsia="仿宋_GB2312"/>
          <w:b/>
          <w:color w:val="auto"/>
          <w:sz w:val="28"/>
          <w:szCs w:val="28"/>
          <w:highlight w:val="none"/>
        </w:rPr>
        <w:t>》（发改法规〔2018〕457号）</w:t>
      </w:r>
    </w:p>
    <w:p w14:paraId="1E2F9F25">
      <w:pPr>
        <w:adjustRightInd w:val="0"/>
        <w:snapToGrid w:val="0"/>
        <w:spacing w:line="560" w:lineRule="exact"/>
        <w:ind w:firstLine="645"/>
        <w:jc w:val="left"/>
        <w:rPr>
          <w:rFonts w:hint="eastAsia" w:ascii="仿宋_GB2312" w:hAnsi="宋体" w:eastAsia="仿宋_GB2312"/>
          <w:color w:val="auto"/>
          <w:sz w:val="28"/>
          <w:szCs w:val="28"/>
          <w:highlight w:val="none"/>
        </w:rPr>
      </w:pPr>
    </w:p>
    <w:p w14:paraId="08A7BC06">
      <w:pPr>
        <w:adjustRightInd w:val="0"/>
        <w:snapToGrid w:val="0"/>
        <w:spacing w:line="560" w:lineRule="exact"/>
        <w:ind w:firstLine="645"/>
        <w:jc w:val="left"/>
        <w:rPr>
          <w:rFonts w:hint="eastAsia" w:ascii="仿宋_GB2312" w:hAnsi="宋体" w:eastAsia="仿宋_GB2312"/>
          <w:b/>
          <w:bCs/>
          <w:color w:val="auto"/>
          <w:sz w:val="28"/>
          <w:szCs w:val="28"/>
          <w:highlight w:val="none"/>
        </w:rPr>
      </w:pPr>
      <w:r>
        <w:rPr>
          <w:rFonts w:hint="eastAsia" w:ascii="仿宋_GB2312" w:hAnsi="宋体" w:eastAsia="仿宋_GB2312"/>
          <w:b/>
          <w:color w:val="auto"/>
          <w:sz w:val="28"/>
          <w:szCs w:val="28"/>
          <w:highlight w:val="none"/>
        </w:rPr>
        <w:t>四、</w:t>
      </w:r>
      <w:r>
        <w:rPr>
          <w:rFonts w:hint="eastAsia" w:ascii="仿宋_GB2312" w:hAnsi="宋体" w:eastAsia="仿宋_GB2312"/>
          <w:b/>
          <w:bCs/>
          <w:color w:val="auto"/>
          <w:sz w:val="28"/>
          <w:szCs w:val="28"/>
          <w:highlight w:val="none"/>
        </w:rPr>
        <w:t>社会保险领域严重失信行为</w:t>
      </w:r>
    </w:p>
    <w:p w14:paraId="039FE69F">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（一）用人单位未按相关规定参加社会保险且拒不整改的； </w:t>
      </w:r>
    </w:p>
    <w:p w14:paraId="3F709CB2">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（二）用人单位未如实申报社会保险缴费基数且拒不整改的； </w:t>
      </w:r>
    </w:p>
    <w:p w14:paraId="3F722500">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（三）应缴纳社会保险费却拒不缴纳的； </w:t>
      </w:r>
    </w:p>
    <w:p w14:paraId="72816F2E">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（四）隐匿、转移、侵占、挪用社会保险费款、基金或者违规投资运营的；</w:t>
      </w:r>
    </w:p>
    <w:p w14:paraId="2BDA7624">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（五）以欺诈、伪造证明材料或者其他手段参加、申报社会保险和骗取社会保险基金支出或社会保险待遇的； </w:t>
      </w:r>
    </w:p>
    <w:p w14:paraId="4F882A46">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（六）非法获取、出售或变相交易社会保险个人权益数据的； </w:t>
      </w:r>
    </w:p>
    <w:p w14:paraId="2D75FBC3">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（七）社会保险服务机构违反服务协议或相关规定的； </w:t>
      </w:r>
    </w:p>
    <w:p w14:paraId="2E80FF0E">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（八）拒绝协助社会保险行政部门、经办机构对事故和问题进 行调查核实的；拒绝接受或协助税务部门对社会保险实施监督检查， 不如实提供与社会保险相关各项资料的； </w:t>
      </w:r>
    </w:p>
    <w:p w14:paraId="48A02648">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（九）其他违反法律法规规定的。</w:t>
      </w:r>
    </w:p>
    <w:p w14:paraId="4B559DF6">
      <w:pPr>
        <w:adjustRightInd w:val="0"/>
        <w:snapToGrid w:val="0"/>
        <w:spacing w:line="560" w:lineRule="exact"/>
        <w:ind w:firstLine="551" w:firstLineChars="196"/>
        <w:jc w:val="left"/>
        <w:rPr>
          <w:rFonts w:hint="eastAsia" w:ascii="仿宋_GB2312" w:hAnsi="Calibri" w:eastAsia="仿宋_GB2312"/>
          <w:color w:val="auto"/>
          <w:sz w:val="28"/>
          <w:szCs w:val="28"/>
          <w:highlight w:val="none"/>
        </w:rPr>
      </w:pPr>
      <w:r>
        <w:rPr>
          <w:rFonts w:hint="eastAsia" w:ascii="仿宋_GB2312" w:hAnsi="Calibri" w:eastAsia="仿宋_GB2312"/>
          <w:b/>
          <w:color w:val="auto"/>
          <w:sz w:val="28"/>
          <w:szCs w:val="28"/>
          <w:highlight w:val="none"/>
        </w:rPr>
        <w:t>依据：《</w:t>
      </w:r>
      <w:bookmarkStart w:id="857" w:name="OLE_LINK16"/>
      <w:bookmarkStart w:id="858" w:name="OLE_LINK15"/>
      <w:r>
        <w:rPr>
          <w:rFonts w:hint="eastAsia" w:ascii="仿宋_GB2312" w:hAnsi="Calibri" w:eastAsia="仿宋_GB2312"/>
          <w:b/>
          <w:color w:val="auto"/>
          <w:sz w:val="28"/>
          <w:szCs w:val="28"/>
          <w:highlight w:val="none"/>
        </w:rPr>
        <w:t>关于对社会保险领域严重失信企业及其有关人员实施联合惩戒的合作备忘录</w:t>
      </w:r>
      <w:bookmarkEnd w:id="857"/>
      <w:bookmarkEnd w:id="858"/>
      <w:r>
        <w:rPr>
          <w:rFonts w:hint="eastAsia" w:ascii="仿宋_GB2312" w:hAnsi="Calibri" w:eastAsia="仿宋_GB2312"/>
          <w:b/>
          <w:color w:val="auto"/>
          <w:sz w:val="28"/>
          <w:szCs w:val="28"/>
          <w:highlight w:val="none"/>
        </w:rPr>
        <w:t>》（发改财金〔2018〕1704号）</w:t>
      </w:r>
    </w:p>
    <w:p w14:paraId="6AC0AEA6">
      <w:pPr>
        <w:adjustRightInd w:val="0"/>
        <w:snapToGrid w:val="0"/>
        <w:spacing w:line="560" w:lineRule="exact"/>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w:t>
      </w:r>
    </w:p>
    <w:p w14:paraId="4D92E247">
      <w:pPr>
        <w:adjustRightInd w:val="0"/>
        <w:snapToGrid w:val="0"/>
        <w:spacing w:line="560" w:lineRule="exact"/>
        <w:ind w:firstLine="562" w:firstLineChars="200"/>
        <w:jc w:val="left"/>
        <w:rPr>
          <w:rFonts w:hint="eastAsia" w:ascii="仿宋_GB2312" w:hAnsi="宋体" w:eastAsia="仿宋_GB2312"/>
          <w:b/>
          <w:bCs/>
          <w:color w:val="auto"/>
          <w:sz w:val="28"/>
          <w:szCs w:val="28"/>
          <w:highlight w:val="none"/>
        </w:rPr>
      </w:pPr>
      <w:r>
        <w:rPr>
          <w:rFonts w:hint="eastAsia" w:ascii="仿宋_GB2312" w:hAnsi="宋体" w:eastAsia="仿宋_GB2312"/>
          <w:b/>
          <w:color w:val="auto"/>
          <w:sz w:val="28"/>
          <w:szCs w:val="28"/>
          <w:highlight w:val="none"/>
        </w:rPr>
        <w:t>五、建筑市场领域</w:t>
      </w:r>
      <w:r>
        <w:rPr>
          <w:rFonts w:hint="eastAsia" w:ascii="仿宋_GB2312" w:hAnsi="宋体" w:eastAsia="仿宋_GB2312"/>
          <w:b/>
          <w:bCs/>
          <w:color w:val="auto"/>
          <w:sz w:val="28"/>
          <w:szCs w:val="28"/>
          <w:highlight w:val="none"/>
        </w:rPr>
        <w:t>严重失信行为</w:t>
      </w:r>
    </w:p>
    <w:p w14:paraId="217F52C4">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（一）利用虚假材料、以欺骗手段取得企业资质的；</w:t>
      </w:r>
    </w:p>
    <w:p w14:paraId="57D3AD92">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（二）发生转包、出借资质，受到行政处罚的；</w:t>
      </w:r>
    </w:p>
    <w:p w14:paraId="7ED2420C">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（三）发生重大及以上工程质量安全事故，或1年内累计发生2次及以上较大工程质量安全事故，或发生性质恶劣、危害性严重、社会影响大的较大工程质量安全事故，受到行政处罚的；</w:t>
      </w:r>
    </w:p>
    <w:p w14:paraId="5535AD60">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（四）经法院判决或仲裁机构裁决，认定为拖欠工程款,且拒不履行生效法律文书确定的义务的。</w:t>
      </w:r>
    </w:p>
    <w:p w14:paraId="0E4FCAFB">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各级住房城乡建设主管部门应当参照建筑市场主体“黑名单”，对被人力资源社会保障行政部门列入拖欠农民工工资“黑名单”的建筑市场各方主体加强监管。</w:t>
      </w:r>
    </w:p>
    <w:p w14:paraId="16A0E2E9">
      <w:pPr>
        <w:ind w:firstLine="562" w:firstLineChars="200"/>
        <w:jc w:val="left"/>
        <w:rPr>
          <w:rFonts w:hint="eastAsia" w:ascii="宋体" w:hAnsi="宋体"/>
          <w:color w:val="auto"/>
          <w:sz w:val="28"/>
          <w:szCs w:val="28"/>
          <w:highlight w:val="none"/>
        </w:rPr>
      </w:pPr>
      <w:r>
        <w:rPr>
          <w:rFonts w:hint="eastAsia" w:ascii="仿宋_GB2312" w:hAnsi="Calibri" w:eastAsia="仿宋_GB2312"/>
          <w:b/>
          <w:color w:val="auto"/>
          <w:sz w:val="28"/>
          <w:szCs w:val="28"/>
          <w:highlight w:val="none"/>
        </w:rPr>
        <w:t>依据：《</w:t>
      </w:r>
      <w:bookmarkStart w:id="859" w:name="OLE_LINK17"/>
      <w:bookmarkStart w:id="860" w:name="OLE_LINK18"/>
      <w:r>
        <w:rPr>
          <w:rFonts w:hint="eastAsia" w:ascii="仿宋_GB2312" w:hAnsi="Calibri" w:eastAsia="仿宋_GB2312"/>
          <w:b/>
          <w:color w:val="auto"/>
          <w:sz w:val="28"/>
          <w:szCs w:val="28"/>
          <w:highlight w:val="none"/>
        </w:rPr>
        <w:t>建筑市场信用管理暂行办法</w:t>
      </w:r>
      <w:bookmarkEnd w:id="859"/>
      <w:bookmarkEnd w:id="860"/>
      <w:r>
        <w:rPr>
          <w:rFonts w:hint="eastAsia" w:ascii="仿宋_GB2312" w:hAnsi="Calibri" w:eastAsia="仿宋_GB2312"/>
          <w:b/>
          <w:color w:val="auto"/>
          <w:sz w:val="28"/>
          <w:szCs w:val="28"/>
          <w:highlight w:val="none"/>
        </w:rPr>
        <w:t>》（建市〔2017〕241号）</w:t>
      </w:r>
    </w:p>
    <w:p w14:paraId="15B2C7A7">
      <w:pPr>
        <w:adjustRightInd w:val="0"/>
        <w:snapToGrid w:val="0"/>
        <w:spacing w:line="560" w:lineRule="exact"/>
        <w:rPr>
          <w:rFonts w:hint="eastAsia" w:ascii="仿宋_GB2312" w:hAnsi="宋体" w:eastAsia="仿宋_GB2312"/>
          <w:b/>
          <w:color w:val="auto"/>
          <w:sz w:val="28"/>
          <w:szCs w:val="28"/>
          <w:highlight w:val="none"/>
        </w:rPr>
      </w:pPr>
    </w:p>
    <w:p w14:paraId="4D358B2D">
      <w:pPr>
        <w:adjustRightInd w:val="0"/>
        <w:snapToGrid w:val="0"/>
        <w:spacing w:line="560" w:lineRule="exact"/>
        <w:ind w:firstLine="562" w:firstLineChars="200"/>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六、</w:t>
      </w:r>
      <w:bookmarkStart w:id="861" w:name="OLE_LINK20"/>
      <w:bookmarkStart w:id="862" w:name="OLE_LINK19"/>
      <w:r>
        <w:rPr>
          <w:rFonts w:hint="eastAsia" w:ascii="仿宋_GB2312" w:hAnsi="宋体" w:eastAsia="仿宋_GB2312"/>
          <w:b/>
          <w:color w:val="auto"/>
          <w:sz w:val="28"/>
          <w:szCs w:val="28"/>
          <w:highlight w:val="none"/>
        </w:rPr>
        <w:t>政府采购严重失信行为</w:t>
      </w:r>
      <w:bookmarkEnd w:id="861"/>
      <w:bookmarkEnd w:id="862"/>
    </w:p>
    <w:p w14:paraId="3112CC2F">
      <w:pPr>
        <w:adjustRightInd w:val="0"/>
        <w:snapToGrid w:val="0"/>
        <w:spacing w:line="560" w:lineRule="exact"/>
        <w:ind w:firstLine="615"/>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供应商、采购代理机构在三年内受到财政部门作出下列情形之一的行政处罚，列入政府采购严重违法失信行为记录名单。</w:t>
      </w:r>
      <w:r>
        <w:rPr>
          <w:rFonts w:hint="eastAsia" w:ascii="仿宋_GB2312" w:hAnsi="Calibri" w:eastAsia="仿宋_GB2312"/>
          <w:color w:val="auto"/>
          <w:sz w:val="28"/>
          <w:szCs w:val="28"/>
          <w:highlight w:val="none"/>
        </w:rPr>
        <w:br w:type="textWrapping"/>
      </w:r>
      <w:r>
        <w:rPr>
          <w:rFonts w:hint="eastAsia" w:ascii="仿宋_GB2312" w:hAnsi="Calibri" w:eastAsia="仿宋_GB2312"/>
          <w:color w:val="auto"/>
          <w:sz w:val="28"/>
          <w:szCs w:val="28"/>
          <w:highlight w:val="none"/>
        </w:rPr>
        <w:t>　　（一）三万元以上罚款；</w:t>
      </w:r>
      <w:r>
        <w:rPr>
          <w:rFonts w:hint="eastAsia" w:ascii="仿宋_GB2312" w:hAnsi="Calibri" w:eastAsia="仿宋_GB2312"/>
          <w:color w:val="auto"/>
          <w:sz w:val="28"/>
          <w:szCs w:val="28"/>
          <w:highlight w:val="none"/>
        </w:rPr>
        <w:br w:type="textWrapping"/>
      </w:r>
      <w:r>
        <w:rPr>
          <w:rFonts w:hint="eastAsia" w:ascii="仿宋_GB2312" w:hAnsi="Calibri" w:eastAsia="仿宋_GB2312"/>
          <w:color w:val="auto"/>
          <w:sz w:val="28"/>
          <w:szCs w:val="28"/>
          <w:highlight w:val="none"/>
        </w:rPr>
        <w:t>　　（二）在一至三年内禁止参加政府采购活动（处罚期限届满的除外）；</w:t>
      </w:r>
      <w:r>
        <w:rPr>
          <w:rFonts w:hint="eastAsia" w:ascii="仿宋_GB2312" w:hAnsi="Calibri" w:eastAsia="仿宋_GB2312"/>
          <w:color w:val="auto"/>
          <w:sz w:val="28"/>
          <w:szCs w:val="28"/>
          <w:highlight w:val="none"/>
        </w:rPr>
        <w:br w:type="textWrapping"/>
      </w:r>
      <w:r>
        <w:rPr>
          <w:rFonts w:hint="eastAsia" w:ascii="仿宋_GB2312" w:hAnsi="Calibri" w:eastAsia="仿宋_GB2312"/>
          <w:color w:val="auto"/>
          <w:sz w:val="28"/>
          <w:szCs w:val="28"/>
          <w:highlight w:val="none"/>
        </w:rPr>
        <w:t>　　（三）在一至三年内禁止代理政府采购业务（处罚期限届满的除外）；</w:t>
      </w:r>
      <w:r>
        <w:rPr>
          <w:rFonts w:hint="eastAsia" w:ascii="仿宋_GB2312" w:hAnsi="Calibri" w:eastAsia="仿宋_GB2312"/>
          <w:color w:val="auto"/>
          <w:sz w:val="28"/>
          <w:szCs w:val="28"/>
          <w:highlight w:val="none"/>
        </w:rPr>
        <w:br w:type="textWrapping"/>
      </w:r>
      <w:r>
        <w:rPr>
          <w:rFonts w:hint="eastAsia" w:ascii="仿宋_GB2312" w:hAnsi="宋体" w:eastAsia="仿宋_GB2312"/>
          <w:color w:val="auto"/>
          <w:sz w:val="28"/>
          <w:szCs w:val="28"/>
          <w:highlight w:val="none"/>
        </w:rPr>
        <w:t xml:space="preserve">　 </w:t>
      </w:r>
      <w:r>
        <w:rPr>
          <w:rFonts w:hint="eastAsia" w:ascii="仿宋_GB2312" w:hAnsi="Calibri" w:eastAsia="仿宋_GB2312"/>
          <w:color w:val="auto"/>
          <w:sz w:val="28"/>
          <w:szCs w:val="28"/>
          <w:highlight w:val="none"/>
        </w:rPr>
        <w:t>（四）撤销政府采购代理机构资格（仅针对《政府采购法》第78条修改前作出的处罚决定）。</w:t>
      </w:r>
    </w:p>
    <w:p w14:paraId="589D900A">
      <w:pPr>
        <w:adjustRightInd w:val="0"/>
        <w:snapToGrid w:val="0"/>
        <w:spacing w:line="560" w:lineRule="exact"/>
        <w:ind w:firstLine="562" w:firstLineChars="200"/>
        <w:jc w:val="left"/>
        <w:rPr>
          <w:rFonts w:hint="eastAsia" w:ascii="仿宋_GB2312" w:hAnsi="Calibri" w:eastAsia="仿宋_GB2312"/>
          <w:b/>
          <w:color w:val="auto"/>
          <w:sz w:val="28"/>
          <w:szCs w:val="28"/>
          <w:highlight w:val="none"/>
        </w:rPr>
      </w:pPr>
      <w:r>
        <w:rPr>
          <w:rFonts w:hint="eastAsia" w:ascii="仿宋_GB2312" w:hAnsi="Calibri" w:eastAsia="仿宋_GB2312"/>
          <w:b/>
          <w:color w:val="auto"/>
          <w:sz w:val="28"/>
          <w:szCs w:val="28"/>
          <w:highlight w:val="none"/>
        </w:rPr>
        <w:t>依据：《关于报送政府采购严重违法失信行为信息记录的通知》</w:t>
      </w:r>
      <w:r>
        <w:rPr>
          <w:rFonts w:hint="eastAsia" w:ascii="Calibri" w:hAnsi="Calibri"/>
          <w:b/>
          <w:color w:val="auto"/>
          <w:sz w:val="28"/>
          <w:szCs w:val="28"/>
          <w:highlight w:val="none"/>
        </w:rPr>
        <w:t>（财办库〔</w:t>
      </w:r>
      <w:r>
        <w:rPr>
          <w:rFonts w:ascii="Calibri" w:hAnsi="Calibri"/>
          <w:b/>
          <w:color w:val="auto"/>
          <w:sz w:val="28"/>
          <w:szCs w:val="28"/>
          <w:highlight w:val="none"/>
        </w:rPr>
        <w:t>2014</w:t>
      </w:r>
      <w:r>
        <w:rPr>
          <w:rFonts w:hint="eastAsia" w:ascii="Calibri" w:hAnsi="Calibri"/>
          <w:b/>
          <w:color w:val="auto"/>
          <w:sz w:val="28"/>
          <w:szCs w:val="28"/>
          <w:highlight w:val="none"/>
        </w:rPr>
        <w:t>〕</w:t>
      </w:r>
      <w:r>
        <w:rPr>
          <w:rFonts w:ascii="Calibri" w:hAnsi="Calibri"/>
          <w:b/>
          <w:color w:val="auto"/>
          <w:sz w:val="28"/>
          <w:szCs w:val="28"/>
          <w:highlight w:val="none"/>
        </w:rPr>
        <w:t>526</w:t>
      </w:r>
      <w:r>
        <w:rPr>
          <w:rFonts w:hint="eastAsia" w:ascii="Calibri" w:hAnsi="Calibri"/>
          <w:b/>
          <w:color w:val="auto"/>
          <w:sz w:val="28"/>
          <w:szCs w:val="28"/>
          <w:highlight w:val="none"/>
        </w:rPr>
        <w:t>号）</w:t>
      </w:r>
    </w:p>
    <w:p w14:paraId="5FDB9717">
      <w:pPr>
        <w:adjustRightInd w:val="0"/>
        <w:snapToGrid w:val="0"/>
        <w:spacing w:line="560" w:lineRule="exact"/>
        <w:rPr>
          <w:rFonts w:hint="eastAsia" w:ascii="仿宋_GB2312" w:hAnsi="宋体" w:eastAsia="仿宋_GB2312"/>
          <w:b/>
          <w:color w:val="auto"/>
          <w:sz w:val="28"/>
          <w:szCs w:val="28"/>
          <w:highlight w:val="none"/>
        </w:rPr>
      </w:pPr>
    </w:p>
    <w:p w14:paraId="4B80C4AA">
      <w:pPr>
        <w:adjustRightInd w:val="0"/>
        <w:snapToGrid w:val="0"/>
        <w:spacing w:line="560" w:lineRule="exact"/>
        <w:ind w:firstLine="615"/>
        <w:rPr>
          <w:rFonts w:hint="eastAsia" w:ascii="仿宋_GB2312" w:hAnsi="Calibri" w:eastAsia="仿宋_GB2312"/>
          <w:b/>
          <w:color w:val="auto"/>
          <w:sz w:val="32"/>
          <w:szCs w:val="32"/>
          <w:highlight w:val="none"/>
        </w:rPr>
      </w:pPr>
      <w:r>
        <w:rPr>
          <w:rFonts w:hint="eastAsia" w:ascii="仿宋_GB2312" w:hAnsi="宋体" w:eastAsia="仿宋_GB2312"/>
          <w:b/>
          <w:color w:val="auto"/>
          <w:sz w:val="28"/>
          <w:szCs w:val="28"/>
          <w:highlight w:val="none"/>
        </w:rPr>
        <w:t>未列出的其他类别严重失信行为，由招标人（代理机构）根据各类别行业主管部门下发的联合惩戒文件进行判</w:t>
      </w:r>
      <w:r>
        <w:rPr>
          <w:rFonts w:hint="eastAsia" w:ascii="仿宋_GB2312" w:hAnsi="宋体" w:eastAsia="仿宋_GB2312"/>
          <w:b/>
          <w:color w:val="auto"/>
          <w:sz w:val="32"/>
          <w:szCs w:val="32"/>
          <w:highlight w:val="none"/>
        </w:rPr>
        <w:t>断。</w:t>
      </w:r>
    </w:p>
    <w:p w14:paraId="3C0C42D3">
      <w:pPr>
        <w:adjustRightInd w:val="0"/>
        <w:snapToGrid w:val="0"/>
        <w:spacing w:line="560" w:lineRule="exact"/>
        <w:ind w:firstLine="615"/>
        <w:rPr>
          <w:rFonts w:ascii="宋体" w:hAnsi="宋体" w:cs="宋体"/>
          <w:b/>
          <w:color w:val="auto"/>
          <w:szCs w:val="21"/>
          <w:highlight w:val="none"/>
        </w:rPr>
      </w:pPr>
    </w:p>
    <w:p w14:paraId="7DF2D9F1">
      <w:pPr>
        <w:rPr>
          <w:rFonts w:hint="eastAsia"/>
          <w:bCs/>
          <w:color w:val="auto"/>
          <w:szCs w:val="32"/>
          <w:highlight w:val="none"/>
        </w:rPr>
      </w:pPr>
      <w:r>
        <w:rPr>
          <w:b/>
          <w:color w:val="auto"/>
          <w:sz w:val="32"/>
          <w:szCs w:val="32"/>
          <w:highlight w:val="none"/>
        </w:rPr>
        <w:br w:type="page"/>
      </w:r>
      <w:bookmarkStart w:id="863" w:name="_Toc25735"/>
    </w:p>
    <w:p w14:paraId="6419BFFF">
      <w:pPr>
        <w:pStyle w:val="43"/>
        <w:spacing w:beforeLines="50" w:afterLines="50" w:line="440" w:lineRule="exact"/>
        <w:rPr>
          <w:bCs/>
          <w:color w:val="auto"/>
          <w:szCs w:val="32"/>
          <w:highlight w:val="none"/>
        </w:rPr>
      </w:pPr>
      <w:r>
        <w:rPr>
          <w:rFonts w:hint="eastAsia"/>
          <w:bCs/>
          <w:color w:val="auto"/>
          <w:szCs w:val="32"/>
          <w:highlight w:val="none"/>
        </w:rPr>
        <w:t>第六章</w:t>
      </w:r>
      <w:r>
        <w:rPr>
          <w:bCs/>
          <w:color w:val="auto"/>
          <w:szCs w:val="32"/>
          <w:highlight w:val="none"/>
        </w:rPr>
        <w:t xml:space="preserve">  </w:t>
      </w:r>
      <w:r>
        <w:rPr>
          <w:rFonts w:hint="eastAsia"/>
          <w:bCs/>
          <w:color w:val="auto"/>
          <w:szCs w:val="32"/>
          <w:highlight w:val="none"/>
        </w:rPr>
        <w:t>招标单位、招标代理机构对本招标文件的确认</w:t>
      </w:r>
      <w:bookmarkEnd w:id="863"/>
    </w:p>
    <w:p w14:paraId="42422971">
      <w:pPr>
        <w:pStyle w:val="17"/>
        <w:rPr>
          <w:color w:val="auto"/>
          <w:highlight w:val="none"/>
        </w:rPr>
      </w:pPr>
    </w:p>
    <w:tbl>
      <w:tblPr>
        <w:tblStyle w:val="46"/>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3868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4" w:hRule="atLeast"/>
          <w:jc w:val="center"/>
        </w:trPr>
        <w:tc>
          <w:tcPr>
            <w:tcW w:w="9580" w:type="dxa"/>
          </w:tcPr>
          <w:p w14:paraId="6EC6C631">
            <w:pPr>
              <w:wordWrap w:val="0"/>
              <w:adjustRightInd w:val="0"/>
              <w:snapToGrid w:val="0"/>
              <w:spacing w:line="560" w:lineRule="exact"/>
              <w:rPr>
                <w:color w:val="auto"/>
                <w:sz w:val="30"/>
                <w:highlight w:val="none"/>
              </w:rPr>
            </w:pPr>
          </w:p>
          <w:p w14:paraId="5F56203B">
            <w:pPr>
              <w:wordWrap w:val="0"/>
              <w:ind w:left="-358" w:leftChars="-171" w:hanging="1"/>
              <w:rPr>
                <w:color w:val="auto"/>
                <w:sz w:val="28"/>
                <w:szCs w:val="28"/>
                <w:highlight w:val="none"/>
              </w:rPr>
            </w:pPr>
            <w:r>
              <w:rPr>
                <w:rFonts w:hint="eastAsia"/>
                <w:color w:val="auto"/>
                <w:sz w:val="24"/>
                <w:highlight w:val="none"/>
              </w:rPr>
              <w:t>我</w:t>
            </w:r>
            <w:r>
              <w:rPr>
                <w:color w:val="auto"/>
                <w:sz w:val="24"/>
                <w:highlight w:val="none"/>
              </w:rPr>
              <w:t xml:space="preserve">      </w:t>
            </w:r>
            <w:r>
              <w:rPr>
                <w:rFonts w:hint="eastAsia"/>
                <w:color w:val="auto"/>
                <w:sz w:val="28"/>
                <w:szCs w:val="28"/>
                <w:highlight w:val="none"/>
              </w:rPr>
              <w:t>我单位对</w:t>
            </w:r>
            <w:r>
              <w:rPr>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中新苏滁高新区超级电容智能制造基地监理项目</w:t>
            </w:r>
            <w:r>
              <w:rPr>
                <w:color w:val="auto"/>
                <w:sz w:val="28"/>
                <w:szCs w:val="28"/>
                <w:highlight w:val="none"/>
                <w:u w:val="single"/>
              </w:rPr>
              <w:t xml:space="preserve"> </w:t>
            </w:r>
            <w:r>
              <w:rPr>
                <w:rFonts w:hint="eastAsia"/>
                <w:color w:val="auto"/>
                <w:sz w:val="28"/>
                <w:szCs w:val="28"/>
                <w:highlight w:val="none"/>
              </w:rPr>
              <w:t>的招标文件进行确认。</w:t>
            </w:r>
          </w:p>
          <w:p w14:paraId="3F839699">
            <w:pPr>
              <w:wordWrap w:val="0"/>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 招 标 人：</w:t>
            </w:r>
            <w:r>
              <w:rPr>
                <w:rFonts w:hint="eastAsia" w:ascii="宋体" w:hAnsi="宋体"/>
                <w:color w:val="auto"/>
                <w:sz w:val="28"/>
                <w:szCs w:val="28"/>
                <w:highlight w:val="none"/>
                <w:lang w:eastAsia="zh-CN"/>
              </w:rPr>
              <w:t>滁州苏滁产城开发有限公司</w:t>
            </w:r>
            <w:r>
              <w:rPr>
                <w:rFonts w:hint="eastAsia" w:ascii="宋体" w:hAnsi="宋体"/>
                <w:color w:val="auto"/>
                <w:sz w:val="28"/>
                <w:szCs w:val="28"/>
                <w:highlight w:val="none"/>
              </w:rPr>
              <w:t xml:space="preserve">       </w:t>
            </w:r>
          </w:p>
          <w:p w14:paraId="4C0236FB">
            <w:pPr>
              <w:wordWrap w:val="0"/>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联 系 人：</w:t>
            </w:r>
            <w:r>
              <w:rPr>
                <w:rFonts w:hint="eastAsia" w:ascii="宋体" w:hAnsi="宋体"/>
                <w:color w:val="auto"/>
                <w:sz w:val="28"/>
                <w:szCs w:val="28"/>
                <w:highlight w:val="none"/>
                <w:lang w:val="en-US" w:eastAsia="zh-CN"/>
              </w:rPr>
              <w:t>李工</w:t>
            </w:r>
          </w:p>
          <w:p w14:paraId="0D62FD75">
            <w:pPr>
              <w:wordWrap w:val="0"/>
              <w:spacing w:line="560" w:lineRule="exact"/>
              <w:ind w:firstLine="560" w:firstLineChars="200"/>
              <w:rPr>
                <w:rFonts w:ascii="宋体"/>
                <w:color w:val="auto"/>
                <w:sz w:val="28"/>
                <w:szCs w:val="28"/>
                <w:highlight w:val="none"/>
              </w:rPr>
            </w:pPr>
            <w:r>
              <w:rPr>
                <w:rFonts w:hint="eastAsia" w:ascii="宋体" w:hAnsi="宋体"/>
                <w:color w:val="auto"/>
                <w:sz w:val="28"/>
                <w:szCs w:val="28"/>
                <w:highlight w:val="none"/>
              </w:rPr>
              <w:t>联系电话：</w:t>
            </w:r>
            <w:r>
              <w:rPr>
                <w:rFonts w:hint="eastAsia" w:ascii="宋体" w:hAnsi="宋体"/>
                <w:color w:val="auto"/>
                <w:sz w:val="28"/>
                <w:szCs w:val="28"/>
                <w:highlight w:val="none"/>
                <w:lang w:val="en-US" w:eastAsia="zh-CN"/>
              </w:rPr>
              <w:t>0550-3026900</w:t>
            </w:r>
            <w:r>
              <w:rPr>
                <w:rFonts w:ascii="宋体" w:hAnsi="宋体"/>
                <w:color w:val="auto"/>
                <w:sz w:val="28"/>
                <w:szCs w:val="28"/>
                <w:highlight w:val="none"/>
              </w:rPr>
              <w:t xml:space="preserve">                 </w:t>
            </w:r>
          </w:p>
          <w:p w14:paraId="5150052F">
            <w:pPr>
              <w:wordWrap w:val="0"/>
              <w:spacing w:line="560" w:lineRule="exact"/>
              <w:ind w:firstLine="560" w:firstLineChars="200"/>
              <w:rPr>
                <w:rFonts w:ascii="宋体"/>
                <w:color w:val="auto"/>
                <w:sz w:val="28"/>
                <w:szCs w:val="28"/>
                <w:highlight w:val="none"/>
              </w:rPr>
            </w:pPr>
          </w:p>
          <w:p w14:paraId="4306D6A3">
            <w:pPr>
              <w:wordWrap w:val="0"/>
              <w:spacing w:line="560" w:lineRule="exact"/>
              <w:ind w:firstLine="560" w:firstLineChars="200"/>
              <w:rPr>
                <w:rFonts w:ascii="宋体" w:hAnsi="宋体"/>
                <w:color w:val="auto"/>
                <w:sz w:val="28"/>
                <w:szCs w:val="28"/>
                <w:highlight w:val="none"/>
              </w:rPr>
            </w:pPr>
          </w:p>
          <w:p w14:paraId="2A4EE2B8">
            <w:pPr>
              <w:wordWrap w:val="0"/>
              <w:spacing w:line="560" w:lineRule="exact"/>
              <w:ind w:firstLine="560" w:firstLineChars="200"/>
              <w:rPr>
                <w:rFonts w:ascii="宋体"/>
                <w:color w:val="auto"/>
                <w:sz w:val="28"/>
                <w:szCs w:val="28"/>
                <w:highlight w:val="none"/>
              </w:rPr>
            </w:pPr>
            <w:r>
              <w:rPr>
                <w:rFonts w:ascii="宋体" w:hAnsi="宋体"/>
                <w:color w:val="auto"/>
                <w:sz w:val="28"/>
                <w:szCs w:val="28"/>
                <w:highlight w:val="none"/>
              </w:rPr>
              <w:t xml:space="preserve">             </w:t>
            </w:r>
          </w:p>
          <w:p w14:paraId="5F718080">
            <w:pPr>
              <w:wordWrap w:val="0"/>
              <w:spacing w:line="560" w:lineRule="exact"/>
              <w:ind w:firstLine="6020" w:firstLineChars="2150"/>
              <w:rPr>
                <w:rFonts w:ascii="宋体"/>
                <w:color w:val="auto"/>
                <w:sz w:val="28"/>
                <w:szCs w:val="28"/>
                <w:highlight w:val="none"/>
              </w:rPr>
            </w:pPr>
            <w:bookmarkStart w:id="864" w:name="_GoBack"/>
            <w:bookmarkEnd w:id="864"/>
            <w:r>
              <w:rPr>
                <w:rFonts w:hint="eastAsia" w:ascii="宋体" w:hAnsi="宋体"/>
                <w:color w:val="auto"/>
                <w:sz w:val="28"/>
                <w:szCs w:val="28"/>
                <w:highlight w:val="none"/>
              </w:rPr>
              <w:t>（单位盖章）</w:t>
            </w:r>
          </w:p>
          <w:p w14:paraId="6D8D3AB4">
            <w:pPr>
              <w:spacing w:line="560" w:lineRule="exact"/>
              <w:ind w:firstLine="6160" w:firstLineChars="2200"/>
              <w:rPr>
                <w:color w:val="auto"/>
                <w:sz w:val="30"/>
                <w:highlight w:val="none"/>
              </w:rPr>
            </w:pPr>
            <w:r>
              <w:rPr>
                <w:rFonts w:ascii="宋体" w:hAnsi="宋体"/>
                <w:color w:val="auto"/>
                <w:sz w:val="28"/>
                <w:szCs w:val="28"/>
                <w:highlight w:val="none"/>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color w:val="auto"/>
                <w:sz w:val="28"/>
                <w:szCs w:val="28"/>
                <w:highlight w:val="none"/>
                <w:lang w:val="en-US" w:eastAsia="zh-CN"/>
              </w:rPr>
              <w:t>8</w:t>
            </w:r>
            <w:r>
              <w:rPr>
                <w:rFonts w:hint="eastAsia" w:ascii="宋体" w:hAnsi="宋体"/>
                <w:color w:val="auto"/>
                <w:sz w:val="28"/>
                <w:szCs w:val="28"/>
                <w:highlight w:val="none"/>
              </w:rPr>
              <w:t>月</w:t>
            </w:r>
          </w:p>
        </w:tc>
      </w:tr>
      <w:tr w14:paraId="703C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6" w:hRule="atLeast"/>
          <w:jc w:val="center"/>
        </w:trPr>
        <w:tc>
          <w:tcPr>
            <w:tcW w:w="9580" w:type="dxa"/>
          </w:tcPr>
          <w:p w14:paraId="4C4085AD">
            <w:pPr>
              <w:spacing w:line="560" w:lineRule="exact"/>
              <w:ind w:firstLine="560" w:firstLineChars="200"/>
              <w:rPr>
                <w:rFonts w:ascii="宋体" w:cs="宋体"/>
                <w:color w:val="auto"/>
                <w:sz w:val="28"/>
                <w:szCs w:val="28"/>
                <w:highlight w:val="none"/>
              </w:rPr>
            </w:pPr>
          </w:p>
          <w:p w14:paraId="30599176">
            <w:pPr>
              <w:spacing w:line="560" w:lineRule="exact"/>
              <w:ind w:firstLine="560" w:firstLineChars="200"/>
              <w:rPr>
                <w:rFonts w:ascii="宋体" w:cs="宋体"/>
                <w:color w:val="auto"/>
                <w:sz w:val="28"/>
                <w:szCs w:val="28"/>
                <w:highlight w:val="none"/>
                <w:u w:val="single"/>
              </w:rPr>
            </w:pPr>
            <w:r>
              <w:rPr>
                <w:rFonts w:hint="eastAsia" w:ascii="宋体" w:hAnsi="宋体" w:cs="宋体"/>
                <w:color w:val="auto"/>
                <w:sz w:val="28"/>
                <w:szCs w:val="28"/>
                <w:highlight w:val="none"/>
              </w:rPr>
              <w:t>招标代理机构：</w:t>
            </w:r>
            <w:r>
              <w:rPr>
                <w:rFonts w:hint="eastAsia"/>
                <w:color w:val="auto"/>
                <w:sz w:val="28"/>
                <w:szCs w:val="28"/>
                <w:highlight w:val="none"/>
              </w:rPr>
              <w:t>滁州市城投工程咨询管理有限公司</w:t>
            </w:r>
          </w:p>
          <w:p w14:paraId="50437B52">
            <w:pPr>
              <w:spacing w:line="560" w:lineRule="exact"/>
              <w:ind w:firstLine="560" w:firstLineChars="200"/>
              <w:rPr>
                <w:rFonts w:ascii="宋体" w:cs="宋体"/>
                <w:color w:val="auto"/>
                <w:sz w:val="28"/>
                <w:szCs w:val="28"/>
                <w:highlight w:val="none"/>
                <w:u w:val="single"/>
              </w:rPr>
            </w:pPr>
            <w:r>
              <w:rPr>
                <w:rFonts w:hint="eastAsia" w:ascii="宋体" w:hAnsi="宋体" w:cs="宋体"/>
                <w:color w:val="auto"/>
                <w:sz w:val="28"/>
                <w:szCs w:val="28"/>
                <w:highlight w:val="none"/>
              </w:rPr>
              <w:t>联</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系</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人：杨韦</w:t>
            </w:r>
          </w:p>
          <w:p w14:paraId="7D907F73">
            <w:pPr>
              <w:spacing w:line="560" w:lineRule="exact"/>
              <w:ind w:firstLine="560" w:firstLineChars="200"/>
              <w:rPr>
                <w:rFonts w:ascii="宋体" w:cs="宋体"/>
                <w:color w:val="auto"/>
                <w:sz w:val="28"/>
                <w:szCs w:val="28"/>
                <w:highlight w:val="none"/>
              </w:rPr>
            </w:pPr>
            <w:r>
              <w:rPr>
                <w:rFonts w:hint="eastAsia" w:ascii="宋体" w:hAnsi="宋体" w:cs="宋体"/>
                <w:color w:val="auto"/>
                <w:sz w:val="28"/>
                <w:szCs w:val="28"/>
                <w:highlight w:val="none"/>
              </w:rPr>
              <w:t>联系电话：</w:t>
            </w:r>
            <w:r>
              <w:rPr>
                <w:rFonts w:ascii="宋体" w:hAnsi="宋体" w:cs="宋体"/>
                <w:color w:val="auto"/>
                <w:sz w:val="28"/>
                <w:szCs w:val="28"/>
                <w:highlight w:val="none"/>
              </w:rPr>
              <w:t>0550-</w:t>
            </w:r>
            <w:r>
              <w:rPr>
                <w:rFonts w:hint="eastAsia" w:ascii="宋体" w:hAnsi="宋体" w:cs="宋体"/>
                <w:color w:val="auto"/>
                <w:sz w:val="28"/>
                <w:szCs w:val="28"/>
                <w:highlight w:val="none"/>
                <w:lang w:eastAsia="zh-CN"/>
              </w:rPr>
              <w:t>3519590</w:t>
            </w:r>
            <w:r>
              <w:rPr>
                <w:rFonts w:hint="eastAsia" w:ascii="宋体" w:hAnsi="宋体" w:cs="宋体"/>
                <w:color w:val="auto"/>
                <w:sz w:val="28"/>
                <w:szCs w:val="28"/>
                <w:highlight w:val="none"/>
              </w:rPr>
              <w:t>、</w:t>
            </w:r>
            <w:r>
              <w:rPr>
                <w:rFonts w:ascii="宋体" w:hAnsi="宋体" w:cs="宋体"/>
                <w:color w:val="auto"/>
                <w:sz w:val="28"/>
                <w:szCs w:val="28"/>
                <w:highlight w:val="none"/>
              </w:rPr>
              <w:t>18005501210</w:t>
            </w:r>
          </w:p>
          <w:p w14:paraId="7589FE15">
            <w:pPr>
              <w:spacing w:line="560" w:lineRule="exact"/>
              <w:ind w:firstLine="5040" w:firstLineChars="1800"/>
              <w:rPr>
                <w:rFonts w:ascii="宋体" w:cs="宋体"/>
                <w:color w:val="auto"/>
                <w:sz w:val="28"/>
                <w:szCs w:val="28"/>
                <w:highlight w:val="none"/>
              </w:rPr>
            </w:pPr>
          </w:p>
          <w:p w14:paraId="2CC25BFD">
            <w:pPr>
              <w:spacing w:line="560" w:lineRule="exact"/>
              <w:ind w:firstLine="5460" w:firstLineChars="1950"/>
              <w:rPr>
                <w:rFonts w:ascii="宋体" w:cs="宋体"/>
                <w:color w:val="auto"/>
                <w:sz w:val="28"/>
                <w:szCs w:val="28"/>
                <w:highlight w:val="none"/>
              </w:rPr>
            </w:pPr>
          </w:p>
          <w:p w14:paraId="796A0D0F">
            <w:pPr>
              <w:spacing w:line="560" w:lineRule="exact"/>
              <w:ind w:firstLine="5460" w:firstLineChars="1950"/>
              <w:rPr>
                <w:rFonts w:ascii="宋体" w:cs="宋体"/>
                <w:color w:val="auto"/>
                <w:sz w:val="28"/>
                <w:szCs w:val="28"/>
                <w:highlight w:val="none"/>
              </w:rPr>
            </w:pPr>
          </w:p>
          <w:p w14:paraId="5C7F46D9">
            <w:pPr>
              <w:spacing w:line="560" w:lineRule="exact"/>
              <w:ind w:firstLine="5880" w:firstLineChars="2100"/>
              <w:rPr>
                <w:rFonts w:ascii="宋体" w:cs="宋体"/>
                <w:color w:val="auto"/>
                <w:sz w:val="28"/>
                <w:szCs w:val="28"/>
                <w:highlight w:val="none"/>
              </w:rPr>
            </w:pPr>
            <w:r>
              <w:rPr>
                <w:rFonts w:hint="eastAsia" w:ascii="宋体" w:hAnsi="宋体" w:cs="宋体"/>
                <w:color w:val="auto"/>
                <w:sz w:val="28"/>
                <w:szCs w:val="28"/>
                <w:highlight w:val="none"/>
              </w:rPr>
              <w:t>（单位盖章）</w:t>
            </w:r>
          </w:p>
          <w:p w14:paraId="6DB2B2C2">
            <w:pPr>
              <w:spacing w:line="560" w:lineRule="exact"/>
              <w:ind w:firstLine="6160" w:firstLineChars="2200"/>
              <w:rPr>
                <w:color w:val="auto"/>
                <w:sz w:val="30"/>
                <w:highlight w:val="none"/>
              </w:rPr>
            </w:pPr>
            <w:r>
              <w:rPr>
                <w:rFonts w:ascii="宋体" w:hAnsi="宋体"/>
                <w:color w:val="auto"/>
                <w:sz w:val="28"/>
                <w:szCs w:val="28"/>
                <w:highlight w:val="none"/>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color w:val="auto"/>
                <w:sz w:val="28"/>
                <w:szCs w:val="28"/>
                <w:highlight w:val="none"/>
                <w:lang w:val="en-US" w:eastAsia="zh-CN"/>
              </w:rPr>
              <w:t>8</w:t>
            </w:r>
            <w:r>
              <w:rPr>
                <w:rFonts w:hint="eastAsia" w:ascii="宋体" w:hAnsi="宋体"/>
                <w:color w:val="auto"/>
                <w:sz w:val="28"/>
                <w:szCs w:val="28"/>
                <w:highlight w:val="none"/>
              </w:rPr>
              <w:t>月</w:t>
            </w:r>
          </w:p>
        </w:tc>
      </w:tr>
    </w:tbl>
    <w:p w14:paraId="1E6D8954">
      <w:pPr>
        <w:pStyle w:val="45"/>
        <w:ind w:left="0" w:leftChars="0" w:firstLine="0" w:firstLineChars="0"/>
        <w:rPr>
          <w:color w:val="auto"/>
          <w:highlight w:val="none"/>
        </w:rPr>
      </w:pPr>
    </w:p>
    <w:sectPr>
      <w:footerReference r:id="rId6" w:type="default"/>
      <w:pgSz w:w="11906" w:h="16838"/>
      <w:pgMar w:top="1134" w:right="1417" w:bottom="1134" w:left="141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中宋">
    <w:panose1 w:val="02010600040101010101"/>
    <w:charset w:val="86"/>
    <w:family w:val="auto"/>
    <w:pitch w:val="default"/>
    <w:sig w:usb0="00000287" w:usb1="080F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宋体-18030">
    <w:altName w:val="微软雅黑"/>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18B4E">
    <w:pPr>
      <w:pStyle w:val="27"/>
      <w:framePr w:wrap="around" w:vAnchor="text" w:hAnchor="margin" w:xAlign="center" w:y="1"/>
      <w:rPr>
        <w:rStyle w:val="50"/>
      </w:rPr>
    </w:pPr>
  </w:p>
  <w:p w14:paraId="4819947B">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2208F">
    <w:pPr>
      <w:pStyle w:val="27"/>
      <w:framePr w:wrap="around" w:vAnchor="text" w:hAnchor="margin" w:xAlign="center" w:y="1"/>
      <w:rPr>
        <w:rStyle w:val="50"/>
      </w:rPr>
    </w:pPr>
  </w:p>
  <w:p w14:paraId="20F3ACA5">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1D47E">
    <w:pPr>
      <w:pStyle w:val="27"/>
      <w:rPr>
        <w:rStyle w:val="50"/>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4BF1C4">
                          <w:pPr>
                            <w:pStyle w:val="2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14:paraId="614BF1C4">
                    <w:pPr>
                      <w:pStyle w:val="27"/>
                    </w:pPr>
                    <w:r>
                      <w:fldChar w:fldCharType="begin"/>
                    </w:r>
                    <w:r>
                      <w:instrText xml:space="preserve"> PAGE  \* MERGEFORMAT </w:instrText>
                    </w:r>
                    <w:r>
                      <w:fldChar w:fldCharType="separate"/>
                    </w:r>
                    <w:r>
                      <w:t>1</w:t>
                    </w:r>
                    <w:r>
                      <w:fldChar w:fldCharType="end"/>
                    </w:r>
                  </w:p>
                </w:txbxContent>
              </v:textbox>
            </v:shape>
          </w:pict>
        </mc:Fallback>
      </mc:AlternateContent>
    </w:r>
  </w:p>
  <w:p w14:paraId="378D1660">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35582">
    <w:pPr>
      <w:pStyle w:val="2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wNTc2ZWQzOTA0MzE0NWU1ZTZhZGFiZDdiZjMzYzcifQ=="/>
    <w:docVar w:name="KSO_WPS_MARK_KEY" w:val="500f34a0-6bbe-4f54-87cc-4bc5d3d21986"/>
  </w:docVars>
  <w:rsids>
    <w:rsidRoot w:val="00172A27"/>
    <w:rsid w:val="0000197A"/>
    <w:rsid w:val="00002E1B"/>
    <w:rsid w:val="000046EA"/>
    <w:rsid w:val="00004E34"/>
    <w:rsid w:val="00005CD8"/>
    <w:rsid w:val="00006123"/>
    <w:rsid w:val="000070B7"/>
    <w:rsid w:val="0000758B"/>
    <w:rsid w:val="00010F4B"/>
    <w:rsid w:val="0001111D"/>
    <w:rsid w:val="00012D1D"/>
    <w:rsid w:val="00017114"/>
    <w:rsid w:val="00017EFA"/>
    <w:rsid w:val="00020FE0"/>
    <w:rsid w:val="00021BDB"/>
    <w:rsid w:val="000225E0"/>
    <w:rsid w:val="00022A89"/>
    <w:rsid w:val="000330C1"/>
    <w:rsid w:val="000335C0"/>
    <w:rsid w:val="00034C73"/>
    <w:rsid w:val="00037B93"/>
    <w:rsid w:val="00040224"/>
    <w:rsid w:val="0004332D"/>
    <w:rsid w:val="00046C34"/>
    <w:rsid w:val="0005256E"/>
    <w:rsid w:val="00057DBF"/>
    <w:rsid w:val="0006411D"/>
    <w:rsid w:val="000642AF"/>
    <w:rsid w:val="00066792"/>
    <w:rsid w:val="00076F1D"/>
    <w:rsid w:val="00077234"/>
    <w:rsid w:val="00086C18"/>
    <w:rsid w:val="00090A07"/>
    <w:rsid w:val="00090F90"/>
    <w:rsid w:val="00093100"/>
    <w:rsid w:val="000939B1"/>
    <w:rsid w:val="00094E9D"/>
    <w:rsid w:val="000A078C"/>
    <w:rsid w:val="000A11AD"/>
    <w:rsid w:val="000A5881"/>
    <w:rsid w:val="000A65EE"/>
    <w:rsid w:val="000B3A75"/>
    <w:rsid w:val="000B4B76"/>
    <w:rsid w:val="000B7A7E"/>
    <w:rsid w:val="000C26FD"/>
    <w:rsid w:val="000D203E"/>
    <w:rsid w:val="000D2C3D"/>
    <w:rsid w:val="000D2ECE"/>
    <w:rsid w:val="000E0020"/>
    <w:rsid w:val="000E1F7F"/>
    <w:rsid w:val="000E3D3D"/>
    <w:rsid w:val="000F740E"/>
    <w:rsid w:val="00104E44"/>
    <w:rsid w:val="001063CB"/>
    <w:rsid w:val="0011140E"/>
    <w:rsid w:val="00115943"/>
    <w:rsid w:val="00116988"/>
    <w:rsid w:val="00125553"/>
    <w:rsid w:val="00131494"/>
    <w:rsid w:val="00132E3D"/>
    <w:rsid w:val="00146B5E"/>
    <w:rsid w:val="0015292B"/>
    <w:rsid w:val="0015363F"/>
    <w:rsid w:val="00154C59"/>
    <w:rsid w:val="00155F6F"/>
    <w:rsid w:val="001564C3"/>
    <w:rsid w:val="001620D9"/>
    <w:rsid w:val="00165414"/>
    <w:rsid w:val="00165F97"/>
    <w:rsid w:val="00167090"/>
    <w:rsid w:val="00172A27"/>
    <w:rsid w:val="00173D37"/>
    <w:rsid w:val="00182D4C"/>
    <w:rsid w:val="001834BA"/>
    <w:rsid w:val="001843D3"/>
    <w:rsid w:val="00184866"/>
    <w:rsid w:val="00185DBC"/>
    <w:rsid w:val="00191DD8"/>
    <w:rsid w:val="001963BD"/>
    <w:rsid w:val="001A120B"/>
    <w:rsid w:val="001A184C"/>
    <w:rsid w:val="001A37E0"/>
    <w:rsid w:val="001A3EC9"/>
    <w:rsid w:val="001A6EF7"/>
    <w:rsid w:val="001B1DF0"/>
    <w:rsid w:val="001B21A5"/>
    <w:rsid w:val="001B45D5"/>
    <w:rsid w:val="001B4675"/>
    <w:rsid w:val="001B4BDE"/>
    <w:rsid w:val="001B59E9"/>
    <w:rsid w:val="001B62B0"/>
    <w:rsid w:val="001B6A78"/>
    <w:rsid w:val="001C4E01"/>
    <w:rsid w:val="001D0C94"/>
    <w:rsid w:val="001E6D31"/>
    <w:rsid w:val="001F23AB"/>
    <w:rsid w:val="001F32ED"/>
    <w:rsid w:val="001F7E70"/>
    <w:rsid w:val="00200459"/>
    <w:rsid w:val="00202DB7"/>
    <w:rsid w:val="00207065"/>
    <w:rsid w:val="00207999"/>
    <w:rsid w:val="00213FCA"/>
    <w:rsid w:val="00214988"/>
    <w:rsid w:val="00214F76"/>
    <w:rsid w:val="002202CE"/>
    <w:rsid w:val="0022219A"/>
    <w:rsid w:val="00222521"/>
    <w:rsid w:val="00230A2B"/>
    <w:rsid w:val="00231547"/>
    <w:rsid w:val="002334EC"/>
    <w:rsid w:val="00235B32"/>
    <w:rsid w:val="00236AD7"/>
    <w:rsid w:val="00240423"/>
    <w:rsid w:val="00243B18"/>
    <w:rsid w:val="00246B91"/>
    <w:rsid w:val="00247A64"/>
    <w:rsid w:val="00250BCF"/>
    <w:rsid w:val="00253591"/>
    <w:rsid w:val="00255670"/>
    <w:rsid w:val="00262ABE"/>
    <w:rsid w:val="00276F57"/>
    <w:rsid w:val="00277D06"/>
    <w:rsid w:val="002816D4"/>
    <w:rsid w:val="00286980"/>
    <w:rsid w:val="0029757E"/>
    <w:rsid w:val="002A1A66"/>
    <w:rsid w:val="002A599F"/>
    <w:rsid w:val="002B30AF"/>
    <w:rsid w:val="002B4BA8"/>
    <w:rsid w:val="002B6923"/>
    <w:rsid w:val="002B7117"/>
    <w:rsid w:val="002B714A"/>
    <w:rsid w:val="002B7621"/>
    <w:rsid w:val="002C2E22"/>
    <w:rsid w:val="002C341B"/>
    <w:rsid w:val="002C3BAD"/>
    <w:rsid w:val="002C4A57"/>
    <w:rsid w:val="002C5643"/>
    <w:rsid w:val="002E13EC"/>
    <w:rsid w:val="002F2C99"/>
    <w:rsid w:val="002F794D"/>
    <w:rsid w:val="003029B3"/>
    <w:rsid w:val="00303019"/>
    <w:rsid w:val="00306787"/>
    <w:rsid w:val="0031113D"/>
    <w:rsid w:val="00313CA4"/>
    <w:rsid w:val="003150CE"/>
    <w:rsid w:val="00316270"/>
    <w:rsid w:val="00321598"/>
    <w:rsid w:val="00321FDB"/>
    <w:rsid w:val="00323870"/>
    <w:rsid w:val="00324847"/>
    <w:rsid w:val="00324A5E"/>
    <w:rsid w:val="00325624"/>
    <w:rsid w:val="00332891"/>
    <w:rsid w:val="00333810"/>
    <w:rsid w:val="00342D97"/>
    <w:rsid w:val="00343375"/>
    <w:rsid w:val="003448C2"/>
    <w:rsid w:val="00344CD6"/>
    <w:rsid w:val="0034662F"/>
    <w:rsid w:val="003510D2"/>
    <w:rsid w:val="00351A8E"/>
    <w:rsid w:val="0035447B"/>
    <w:rsid w:val="00356B27"/>
    <w:rsid w:val="00356B90"/>
    <w:rsid w:val="00357C8A"/>
    <w:rsid w:val="00360C29"/>
    <w:rsid w:val="00361CBA"/>
    <w:rsid w:val="0036593D"/>
    <w:rsid w:val="00366951"/>
    <w:rsid w:val="00376808"/>
    <w:rsid w:val="003817E6"/>
    <w:rsid w:val="00381B3A"/>
    <w:rsid w:val="00381E22"/>
    <w:rsid w:val="0038244A"/>
    <w:rsid w:val="00382545"/>
    <w:rsid w:val="00383221"/>
    <w:rsid w:val="00386132"/>
    <w:rsid w:val="003871B4"/>
    <w:rsid w:val="00393016"/>
    <w:rsid w:val="00393669"/>
    <w:rsid w:val="00394BA5"/>
    <w:rsid w:val="003A70F7"/>
    <w:rsid w:val="003B39C6"/>
    <w:rsid w:val="003B4CDE"/>
    <w:rsid w:val="003B5919"/>
    <w:rsid w:val="003B7075"/>
    <w:rsid w:val="003B7983"/>
    <w:rsid w:val="003C24F4"/>
    <w:rsid w:val="003C3C64"/>
    <w:rsid w:val="003C4452"/>
    <w:rsid w:val="003C7646"/>
    <w:rsid w:val="003D0BFC"/>
    <w:rsid w:val="003D34ED"/>
    <w:rsid w:val="003D60ED"/>
    <w:rsid w:val="003D7852"/>
    <w:rsid w:val="003E15AB"/>
    <w:rsid w:val="003E3274"/>
    <w:rsid w:val="003E441B"/>
    <w:rsid w:val="003E528B"/>
    <w:rsid w:val="003E62C9"/>
    <w:rsid w:val="003E64A4"/>
    <w:rsid w:val="003F1184"/>
    <w:rsid w:val="003F19CD"/>
    <w:rsid w:val="003F56BE"/>
    <w:rsid w:val="003F72A7"/>
    <w:rsid w:val="00403578"/>
    <w:rsid w:val="00404AFD"/>
    <w:rsid w:val="00411B9C"/>
    <w:rsid w:val="004139CC"/>
    <w:rsid w:val="004179E4"/>
    <w:rsid w:val="00422908"/>
    <w:rsid w:val="00423DA3"/>
    <w:rsid w:val="0042416B"/>
    <w:rsid w:val="004249BA"/>
    <w:rsid w:val="0042531B"/>
    <w:rsid w:val="004306D8"/>
    <w:rsid w:val="00430F18"/>
    <w:rsid w:val="00432BC1"/>
    <w:rsid w:val="00434AAC"/>
    <w:rsid w:val="0043512B"/>
    <w:rsid w:val="00435537"/>
    <w:rsid w:val="004355FE"/>
    <w:rsid w:val="00441E58"/>
    <w:rsid w:val="00445715"/>
    <w:rsid w:val="00445E0F"/>
    <w:rsid w:val="00446179"/>
    <w:rsid w:val="00446284"/>
    <w:rsid w:val="004506F7"/>
    <w:rsid w:val="00451F70"/>
    <w:rsid w:val="00454C0F"/>
    <w:rsid w:val="00454F95"/>
    <w:rsid w:val="00456DC1"/>
    <w:rsid w:val="00462043"/>
    <w:rsid w:val="0046380E"/>
    <w:rsid w:val="004712B0"/>
    <w:rsid w:val="00471B5C"/>
    <w:rsid w:val="00473006"/>
    <w:rsid w:val="00473BA0"/>
    <w:rsid w:val="00474B17"/>
    <w:rsid w:val="00477FF4"/>
    <w:rsid w:val="00494CD7"/>
    <w:rsid w:val="004A394F"/>
    <w:rsid w:val="004A7299"/>
    <w:rsid w:val="004C2BF2"/>
    <w:rsid w:val="004C4C36"/>
    <w:rsid w:val="004D0871"/>
    <w:rsid w:val="004D31D7"/>
    <w:rsid w:val="004D6B92"/>
    <w:rsid w:val="004E085C"/>
    <w:rsid w:val="004E0F8D"/>
    <w:rsid w:val="004F1D3D"/>
    <w:rsid w:val="004F3C9D"/>
    <w:rsid w:val="004F77A5"/>
    <w:rsid w:val="00504F99"/>
    <w:rsid w:val="00505F69"/>
    <w:rsid w:val="005078D7"/>
    <w:rsid w:val="00510F89"/>
    <w:rsid w:val="00512B81"/>
    <w:rsid w:val="00513D1E"/>
    <w:rsid w:val="00525D5C"/>
    <w:rsid w:val="00526B90"/>
    <w:rsid w:val="00527D18"/>
    <w:rsid w:val="005324F1"/>
    <w:rsid w:val="00534798"/>
    <w:rsid w:val="005362C3"/>
    <w:rsid w:val="00536BAD"/>
    <w:rsid w:val="00537141"/>
    <w:rsid w:val="005408F8"/>
    <w:rsid w:val="00543A1A"/>
    <w:rsid w:val="00543D1A"/>
    <w:rsid w:val="00545A63"/>
    <w:rsid w:val="00551ABE"/>
    <w:rsid w:val="00553C28"/>
    <w:rsid w:val="005575EF"/>
    <w:rsid w:val="00557CAA"/>
    <w:rsid w:val="005610A7"/>
    <w:rsid w:val="00562097"/>
    <w:rsid w:val="00563B31"/>
    <w:rsid w:val="00565E25"/>
    <w:rsid w:val="00566512"/>
    <w:rsid w:val="005677A2"/>
    <w:rsid w:val="00571668"/>
    <w:rsid w:val="005736B2"/>
    <w:rsid w:val="00580342"/>
    <w:rsid w:val="00582213"/>
    <w:rsid w:val="005901E1"/>
    <w:rsid w:val="005915F5"/>
    <w:rsid w:val="00591F58"/>
    <w:rsid w:val="00592834"/>
    <w:rsid w:val="00594FBF"/>
    <w:rsid w:val="00597823"/>
    <w:rsid w:val="005A5E6E"/>
    <w:rsid w:val="005A71BD"/>
    <w:rsid w:val="005A7C75"/>
    <w:rsid w:val="005B4AA4"/>
    <w:rsid w:val="005B5C42"/>
    <w:rsid w:val="005C0C25"/>
    <w:rsid w:val="005D1E1A"/>
    <w:rsid w:val="005D2808"/>
    <w:rsid w:val="005D6EDB"/>
    <w:rsid w:val="005E6D8D"/>
    <w:rsid w:val="005F2C58"/>
    <w:rsid w:val="005F4B20"/>
    <w:rsid w:val="005F548E"/>
    <w:rsid w:val="00601231"/>
    <w:rsid w:val="006015AA"/>
    <w:rsid w:val="006053A4"/>
    <w:rsid w:val="0061143B"/>
    <w:rsid w:val="00617B19"/>
    <w:rsid w:val="00620E0C"/>
    <w:rsid w:val="00626412"/>
    <w:rsid w:val="00627F07"/>
    <w:rsid w:val="00630A52"/>
    <w:rsid w:val="006314EC"/>
    <w:rsid w:val="006319A4"/>
    <w:rsid w:val="006320EC"/>
    <w:rsid w:val="00632505"/>
    <w:rsid w:val="0063261C"/>
    <w:rsid w:val="00634E49"/>
    <w:rsid w:val="00636DE4"/>
    <w:rsid w:val="006404B8"/>
    <w:rsid w:val="00640732"/>
    <w:rsid w:val="006411FA"/>
    <w:rsid w:val="006468C4"/>
    <w:rsid w:val="00646B1D"/>
    <w:rsid w:val="0065656C"/>
    <w:rsid w:val="00662C9C"/>
    <w:rsid w:val="00664CCB"/>
    <w:rsid w:val="0066501C"/>
    <w:rsid w:val="00672253"/>
    <w:rsid w:val="00680EED"/>
    <w:rsid w:val="00683A32"/>
    <w:rsid w:val="0069751D"/>
    <w:rsid w:val="00697E3A"/>
    <w:rsid w:val="006A2E04"/>
    <w:rsid w:val="006A5A61"/>
    <w:rsid w:val="006B06AF"/>
    <w:rsid w:val="006B110E"/>
    <w:rsid w:val="006B3913"/>
    <w:rsid w:val="006B5F0A"/>
    <w:rsid w:val="006C004B"/>
    <w:rsid w:val="006C09E3"/>
    <w:rsid w:val="006C12A2"/>
    <w:rsid w:val="006C3056"/>
    <w:rsid w:val="006C3E9D"/>
    <w:rsid w:val="006E29E7"/>
    <w:rsid w:val="006E4C81"/>
    <w:rsid w:val="006F3D17"/>
    <w:rsid w:val="006F75A9"/>
    <w:rsid w:val="007010A6"/>
    <w:rsid w:val="007010E6"/>
    <w:rsid w:val="00703797"/>
    <w:rsid w:val="00704877"/>
    <w:rsid w:val="007056DC"/>
    <w:rsid w:val="00707F33"/>
    <w:rsid w:val="00707FB8"/>
    <w:rsid w:val="00712094"/>
    <w:rsid w:val="00712899"/>
    <w:rsid w:val="007142EF"/>
    <w:rsid w:val="007167E3"/>
    <w:rsid w:val="00721DFF"/>
    <w:rsid w:val="007220FC"/>
    <w:rsid w:val="007224C8"/>
    <w:rsid w:val="00734057"/>
    <w:rsid w:val="00740EA7"/>
    <w:rsid w:val="00743322"/>
    <w:rsid w:val="00743A79"/>
    <w:rsid w:val="0074552F"/>
    <w:rsid w:val="00750DC6"/>
    <w:rsid w:val="00750EE0"/>
    <w:rsid w:val="00755F4B"/>
    <w:rsid w:val="00764F21"/>
    <w:rsid w:val="00771225"/>
    <w:rsid w:val="007735D0"/>
    <w:rsid w:val="0077709D"/>
    <w:rsid w:val="0077725B"/>
    <w:rsid w:val="0078232E"/>
    <w:rsid w:val="0078387C"/>
    <w:rsid w:val="007846BD"/>
    <w:rsid w:val="00785C7C"/>
    <w:rsid w:val="00791620"/>
    <w:rsid w:val="00797F29"/>
    <w:rsid w:val="00797F99"/>
    <w:rsid w:val="007A5486"/>
    <w:rsid w:val="007A59DE"/>
    <w:rsid w:val="007B10BC"/>
    <w:rsid w:val="007B6549"/>
    <w:rsid w:val="007B6736"/>
    <w:rsid w:val="007B7D18"/>
    <w:rsid w:val="007C5C10"/>
    <w:rsid w:val="007C5C4D"/>
    <w:rsid w:val="007D3552"/>
    <w:rsid w:val="007D7027"/>
    <w:rsid w:val="007E42D5"/>
    <w:rsid w:val="007E60BB"/>
    <w:rsid w:val="007E66F0"/>
    <w:rsid w:val="007E6E71"/>
    <w:rsid w:val="007F0879"/>
    <w:rsid w:val="007F7CC1"/>
    <w:rsid w:val="00802D13"/>
    <w:rsid w:val="00803277"/>
    <w:rsid w:val="00803BC6"/>
    <w:rsid w:val="008044D7"/>
    <w:rsid w:val="008056D1"/>
    <w:rsid w:val="00811BC8"/>
    <w:rsid w:val="0081385B"/>
    <w:rsid w:val="008146CD"/>
    <w:rsid w:val="00822D2E"/>
    <w:rsid w:val="00833488"/>
    <w:rsid w:val="00833A36"/>
    <w:rsid w:val="0084190B"/>
    <w:rsid w:val="0084411B"/>
    <w:rsid w:val="00844D6E"/>
    <w:rsid w:val="008462FB"/>
    <w:rsid w:val="008465CD"/>
    <w:rsid w:val="0084663D"/>
    <w:rsid w:val="00854873"/>
    <w:rsid w:val="00856515"/>
    <w:rsid w:val="00857737"/>
    <w:rsid w:val="00864FC6"/>
    <w:rsid w:val="00872E7D"/>
    <w:rsid w:val="0087424F"/>
    <w:rsid w:val="00874549"/>
    <w:rsid w:val="008756B7"/>
    <w:rsid w:val="00880472"/>
    <w:rsid w:val="008813F9"/>
    <w:rsid w:val="00881587"/>
    <w:rsid w:val="00884060"/>
    <w:rsid w:val="00890796"/>
    <w:rsid w:val="0089321E"/>
    <w:rsid w:val="008933DF"/>
    <w:rsid w:val="00894C08"/>
    <w:rsid w:val="00895001"/>
    <w:rsid w:val="008A0D2A"/>
    <w:rsid w:val="008A1DEE"/>
    <w:rsid w:val="008B3DFF"/>
    <w:rsid w:val="008C49D3"/>
    <w:rsid w:val="008C642B"/>
    <w:rsid w:val="008C6DA1"/>
    <w:rsid w:val="008C72A6"/>
    <w:rsid w:val="008D138C"/>
    <w:rsid w:val="008D3D94"/>
    <w:rsid w:val="008D3E37"/>
    <w:rsid w:val="008E30BF"/>
    <w:rsid w:val="008E35A0"/>
    <w:rsid w:val="008E5038"/>
    <w:rsid w:val="008F031C"/>
    <w:rsid w:val="008F1463"/>
    <w:rsid w:val="008F1F11"/>
    <w:rsid w:val="008F31C7"/>
    <w:rsid w:val="008F4575"/>
    <w:rsid w:val="008F7394"/>
    <w:rsid w:val="008F79D7"/>
    <w:rsid w:val="009006DF"/>
    <w:rsid w:val="00903CF0"/>
    <w:rsid w:val="00910153"/>
    <w:rsid w:val="00910A19"/>
    <w:rsid w:val="00910F4E"/>
    <w:rsid w:val="00911695"/>
    <w:rsid w:val="00911E55"/>
    <w:rsid w:val="00913F05"/>
    <w:rsid w:val="0091562C"/>
    <w:rsid w:val="009177B6"/>
    <w:rsid w:val="00924202"/>
    <w:rsid w:val="00924E50"/>
    <w:rsid w:val="00926ABF"/>
    <w:rsid w:val="00927A26"/>
    <w:rsid w:val="00927D00"/>
    <w:rsid w:val="0093269F"/>
    <w:rsid w:val="009412CD"/>
    <w:rsid w:val="0095349A"/>
    <w:rsid w:val="00960CAB"/>
    <w:rsid w:val="00961359"/>
    <w:rsid w:val="00962A0B"/>
    <w:rsid w:val="00962C4D"/>
    <w:rsid w:val="0096757C"/>
    <w:rsid w:val="00967A23"/>
    <w:rsid w:val="00972946"/>
    <w:rsid w:val="00974691"/>
    <w:rsid w:val="00976022"/>
    <w:rsid w:val="00976169"/>
    <w:rsid w:val="00976580"/>
    <w:rsid w:val="00977C3F"/>
    <w:rsid w:val="00980102"/>
    <w:rsid w:val="0098316D"/>
    <w:rsid w:val="00986D16"/>
    <w:rsid w:val="009910B5"/>
    <w:rsid w:val="009920AD"/>
    <w:rsid w:val="0099244A"/>
    <w:rsid w:val="009938B8"/>
    <w:rsid w:val="009A0735"/>
    <w:rsid w:val="009A25E2"/>
    <w:rsid w:val="009A2875"/>
    <w:rsid w:val="009A4C36"/>
    <w:rsid w:val="009B1FF8"/>
    <w:rsid w:val="009B42EF"/>
    <w:rsid w:val="009B4E7E"/>
    <w:rsid w:val="009B5EED"/>
    <w:rsid w:val="009C37BF"/>
    <w:rsid w:val="009C6EE6"/>
    <w:rsid w:val="009C7333"/>
    <w:rsid w:val="009C7979"/>
    <w:rsid w:val="009D0966"/>
    <w:rsid w:val="009D22E5"/>
    <w:rsid w:val="009D4B7E"/>
    <w:rsid w:val="009D71F1"/>
    <w:rsid w:val="009E015C"/>
    <w:rsid w:val="009E0909"/>
    <w:rsid w:val="009E37B1"/>
    <w:rsid w:val="009E3E05"/>
    <w:rsid w:val="009E5780"/>
    <w:rsid w:val="009E5D72"/>
    <w:rsid w:val="009F01E1"/>
    <w:rsid w:val="009F2F5E"/>
    <w:rsid w:val="009F3B2F"/>
    <w:rsid w:val="009F51BD"/>
    <w:rsid w:val="009F60D9"/>
    <w:rsid w:val="00A01456"/>
    <w:rsid w:val="00A01B5E"/>
    <w:rsid w:val="00A02A20"/>
    <w:rsid w:val="00A03301"/>
    <w:rsid w:val="00A0769D"/>
    <w:rsid w:val="00A101E8"/>
    <w:rsid w:val="00A1132C"/>
    <w:rsid w:val="00A1168E"/>
    <w:rsid w:val="00A11EE6"/>
    <w:rsid w:val="00A14C01"/>
    <w:rsid w:val="00A1556E"/>
    <w:rsid w:val="00A169DC"/>
    <w:rsid w:val="00A20C10"/>
    <w:rsid w:val="00A22EC9"/>
    <w:rsid w:val="00A25ED3"/>
    <w:rsid w:val="00A264B5"/>
    <w:rsid w:val="00A26E1A"/>
    <w:rsid w:val="00A27D67"/>
    <w:rsid w:val="00A37208"/>
    <w:rsid w:val="00A373FE"/>
    <w:rsid w:val="00A37744"/>
    <w:rsid w:val="00A431C8"/>
    <w:rsid w:val="00A47E8E"/>
    <w:rsid w:val="00A50183"/>
    <w:rsid w:val="00A508F5"/>
    <w:rsid w:val="00A52488"/>
    <w:rsid w:val="00A52EF8"/>
    <w:rsid w:val="00A55871"/>
    <w:rsid w:val="00A55F4D"/>
    <w:rsid w:val="00A60E15"/>
    <w:rsid w:val="00A65ACF"/>
    <w:rsid w:val="00A71725"/>
    <w:rsid w:val="00A730D4"/>
    <w:rsid w:val="00A75160"/>
    <w:rsid w:val="00A80107"/>
    <w:rsid w:val="00A82C07"/>
    <w:rsid w:val="00A8654F"/>
    <w:rsid w:val="00A87252"/>
    <w:rsid w:val="00A921C2"/>
    <w:rsid w:val="00A93040"/>
    <w:rsid w:val="00A9331E"/>
    <w:rsid w:val="00AA672A"/>
    <w:rsid w:val="00AA7717"/>
    <w:rsid w:val="00AA7A7D"/>
    <w:rsid w:val="00AB24DF"/>
    <w:rsid w:val="00AB2639"/>
    <w:rsid w:val="00AB41F5"/>
    <w:rsid w:val="00AB534D"/>
    <w:rsid w:val="00AB6C48"/>
    <w:rsid w:val="00AB7F2E"/>
    <w:rsid w:val="00AC26EA"/>
    <w:rsid w:val="00AC2702"/>
    <w:rsid w:val="00AC5E52"/>
    <w:rsid w:val="00AC75F2"/>
    <w:rsid w:val="00AD0D0C"/>
    <w:rsid w:val="00AD28A1"/>
    <w:rsid w:val="00AF04EA"/>
    <w:rsid w:val="00B01E1E"/>
    <w:rsid w:val="00B04E52"/>
    <w:rsid w:val="00B064E0"/>
    <w:rsid w:val="00B06DF0"/>
    <w:rsid w:val="00B125E7"/>
    <w:rsid w:val="00B17733"/>
    <w:rsid w:val="00B17A2D"/>
    <w:rsid w:val="00B238A2"/>
    <w:rsid w:val="00B2684F"/>
    <w:rsid w:val="00B30708"/>
    <w:rsid w:val="00B40A36"/>
    <w:rsid w:val="00B421B9"/>
    <w:rsid w:val="00B46946"/>
    <w:rsid w:val="00B52319"/>
    <w:rsid w:val="00B5524B"/>
    <w:rsid w:val="00B60374"/>
    <w:rsid w:val="00B624DE"/>
    <w:rsid w:val="00B669BA"/>
    <w:rsid w:val="00B67E11"/>
    <w:rsid w:val="00B81D39"/>
    <w:rsid w:val="00B87A14"/>
    <w:rsid w:val="00B87A48"/>
    <w:rsid w:val="00B91A45"/>
    <w:rsid w:val="00BA58F0"/>
    <w:rsid w:val="00BA6D3B"/>
    <w:rsid w:val="00BA7453"/>
    <w:rsid w:val="00BB0336"/>
    <w:rsid w:val="00BB2223"/>
    <w:rsid w:val="00BB2B7B"/>
    <w:rsid w:val="00BC0C20"/>
    <w:rsid w:val="00BC508C"/>
    <w:rsid w:val="00BC79D7"/>
    <w:rsid w:val="00BD41E9"/>
    <w:rsid w:val="00BE1A5C"/>
    <w:rsid w:val="00BE2D96"/>
    <w:rsid w:val="00BE32F3"/>
    <w:rsid w:val="00BE520A"/>
    <w:rsid w:val="00BE5A23"/>
    <w:rsid w:val="00BE6705"/>
    <w:rsid w:val="00BE7FAD"/>
    <w:rsid w:val="00BF0DAF"/>
    <w:rsid w:val="00BF0E76"/>
    <w:rsid w:val="00BF1E08"/>
    <w:rsid w:val="00BF2EB6"/>
    <w:rsid w:val="00C063C0"/>
    <w:rsid w:val="00C06DB4"/>
    <w:rsid w:val="00C0756A"/>
    <w:rsid w:val="00C12A63"/>
    <w:rsid w:val="00C12BE9"/>
    <w:rsid w:val="00C13786"/>
    <w:rsid w:val="00C14FCB"/>
    <w:rsid w:val="00C15A0C"/>
    <w:rsid w:val="00C15FE3"/>
    <w:rsid w:val="00C2443D"/>
    <w:rsid w:val="00C2616B"/>
    <w:rsid w:val="00C318C2"/>
    <w:rsid w:val="00C35769"/>
    <w:rsid w:val="00C40FE1"/>
    <w:rsid w:val="00C434BA"/>
    <w:rsid w:val="00C44BCE"/>
    <w:rsid w:val="00C46EAD"/>
    <w:rsid w:val="00C51140"/>
    <w:rsid w:val="00C521B2"/>
    <w:rsid w:val="00C536A9"/>
    <w:rsid w:val="00C56A2B"/>
    <w:rsid w:val="00C57DD2"/>
    <w:rsid w:val="00C6039F"/>
    <w:rsid w:val="00C61FE7"/>
    <w:rsid w:val="00C64B7C"/>
    <w:rsid w:val="00C66520"/>
    <w:rsid w:val="00C673DF"/>
    <w:rsid w:val="00C75A94"/>
    <w:rsid w:val="00C77AA8"/>
    <w:rsid w:val="00C804FA"/>
    <w:rsid w:val="00C82E68"/>
    <w:rsid w:val="00C862B3"/>
    <w:rsid w:val="00C87B3D"/>
    <w:rsid w:val="00C90C62"/>
    <w:rsid w:val="00C92F00"/>
    <w:rsid w:val="00C93DA5"/>
    <w:rsid w:val="00C94F29"/>
    <w:rsid w:val="00CA00CA"/>
    <w:rsid w:val="00CA2884"/>
    <w:rsid w:val="00CB3280"/>
    <w:rsid w:val="00CB3F09"/>
    <w:rsid w:val="00CB57BD"/>
    <w:rsid w:val="00CC1A9F"/>
    <w:rsid w:val="00CC252A"/>
    <w:rsid w:val="00CC2938"/>
    <w:rsid w:val="00CC4493"/>
    <w:rsid w:val="00CC47DB"/>
    <w:rsid w:val="00CC5D81"/>
    <w:rsid w:val="00CD275C"/>
    <w:rsid w:val="00CD4231"/>
    <w:rsid w:val="00CD7B4A"/>
    <w:rsid w:val="00CE4F1D"/>
    <w:rsid w:val="00CF745F"/>
    <w:rsid w:val="00D0047C"/>
    <w:rsid w:val="00D03403"/>
    <w:rsid w:val="00D037D8"/>
    <w:rsid w:val="00D11406"/>
    <w:rsid w:val="00D1359A"/>
    <w:rsid w:val="00D22FAB"/>
    <w:rsid w:val="00D26687"/>
    <w:rsid w:val="00D2689C"/>
    <w:rsid w:val="00D26B80"/>
    <w:rsid w:val="00D329C5"/>
    <w:rsid w:val="00D35580"/>
    <w:rsid w:val="00D356EA"/>
    <w:rsid w:val="00D401A6"/>
    <w:rsid w:val="00D409EF"/>
    <w:rsid w:val="00D40B26"/>
    <w:rsid w:val="00D5328E"/>
    <w:rsid w:val="00D54F1A"/>
    <w:rsid w:val="00D567DA"/>
    <w:rsid w:val="00D608B9"/>
    <w:rsid w:val="00D61861"/>
    <w:rsid w:val="00D62567"/>
    <w:rsid w:val="00D66575"/>
    <w:rsid w:val="00D93C90"/>
    <w:rsid w:val="00DA0B4C"/>
    <w:rsid w:val="00DA5168"/>
    <w:rsid w:val="00DA56E9"/>
    <w:rsid w:val="00DB727B"/>
    <w:rsid w:val="00DC26C6"/>
    <w:rsid w:val="00DC277E"/>
    <w:rsid w:val="00DC2A3E"/>
    <w:rsid w:val="00DC3D1F"/>
    <w:rsid w:val="00DD13E3"/>
    <w:rsid w:val="00DD33A6"/>
    <w:rsid w:val="00DD4A45"/>
    <w:rsid w:val="00DE0362"/>
    <w:rsid w:val="00DE5E9E"/>
    <w:rsid w:val="00DF1196"/>
    <w:rsid w:val="00DF73D5"/>
    <w:rsid w:val="00E006A4"/>
    <w:rsid w:val="00E01733"/>
    <w:rsid w:val="00E12C8B"/>
    <w:rsid w:val="00E13696"/>
    <w:rsid w:val="00E15607"/>
    <w:rsid w:val="00E15BD9"/>
    <w:rsid w:val="00E20153"/>
    <w:rsid w:val="00E24AF7"/>
    <w:rsid w:val="00E2637A"/>
    <w:rsid w:val="00E31555"/>
    <w:rsid w:val="00E31DCB"/>
    <w:rsid w:val="00E3267B"/>
    <w:rsid w:val="00E36B63"/>
    <w:rsid w:val="00E420DA"/>
    <w:rsid w:val="00E432BC"/>
    <w:rsid w:val="00E46A23"/>
    <w:rsid w:val="00E471B1"/>
    <w:rsid w:val="00E52FB0"/>
    <w:rsid w:val="00E5543F"/>
    <w:rsid w:val="00E61800"/>
    <w:rsid w:val="00E658A8"/>
    <w:rsid w:val="00E676D9"/>
    <w:rsid w:val="00E71800"/>
    <w:rsid w:val="00E73BE6"/>
    <w:rsid w:val="00E73BEC"/>
    <w:rsid w:val="00E73D9E"/>
    <w:rsid w:val="00E73E25"/>
    <w:rsid w:val="00E74949"/>
    <w:rsid w:val="00E74A8E"/>
    <w:rsid w:val="00E82224"/>
    <w:rsid w:val="00EA3E32"/>
    <w:rsid w:val="00EA6D61"/>
    <w:rsid w:val="00EA704E"/>
    <w:rsid w:val="00EA7F7C"/>
    <w:rsid w:val="00EB2913"/>
    <w:rsid w:val="00EB42BD"/>
    <w:rsid w:val="00EB642C"/>
    <w:rsid w:val="00EC2475"/>
    <w:rsid w:val="00EC4E86"/>
    <w:rsid w:val="00EC5566"/>
    <w:rsid w:val="00EC69E9"/>
    <w:rsid w:val="00ED12A0"/>
    <w:rsid w:val="00ED1F99"/>
    <w:rsid w:val="00ED2D4B"/>
    <w:rsid w:val="00ED4F9C"/>
    <w:rsid w:val="00ED5689"/>
    <w:rsid w:val="00ED697B"/>
    <w:rsid w:val="00ED70F4"/>
    <w:rsid w:val="00EE0F9A"/>
    <w:rsid w:val="00EE1A69"/>
    <w:rsid w:val="00EE7CE2"/>
    <w:rsid w:val="00EF6EF4"/>
    <w:rsid w:val="00F00091"/>
    <w:rsid w:val="00F005E7"/>
    <w:rsid w:val="00F01476"/>
    <w:rsid w:val="00F0190B"/>
    <w:rsid w:val="00F0202B"/>
    <w:rsid w:val="00F0494D"/>
    <w:rsid w:val="00F04A09"/>
    <w:rsid w:val="00F05D9E"/>
    <w:rsid w:val="00F10121"/>
    <w:rsid w:val="00F12882"/>
    <w:rsid w:val="00F12BFE"/>
    <w:rsid w:val="00F1424F"/>
    <w:rsid w:val="00F1577A"/>
    <w:rsid w:val="00F21581"/>
    <w:rsid w:val="00F21AA8"/>
    <w:rsid w:val="00F22362"/>
    <w:rsid w:val="00F24087"/>
    <w:rsid w:val="00F26850"/>
    <w:rsid w:val="00F308B0"/>
    <w:rsid w:val="00F3163A"/>
    <w:rsid w:val="00F3402B"/>
    <w:rsid w:val="00F365E1"/>
    <w:rsid w:val="00F400D9"/>
    <w:rsid w:val="00F40471"/>
    <w:rsid w:val="00F429F9"/>
    <w:rsid w:val="00F43778"/>
    <w:rsid w:val="00F43A25"/>
    <w:rsid w:val="00F44932"/>
    <w:rsid w:val="00F509D2"/>
    <w:rsid w:val="00F53E92"/>
    <w:rsid w:val="00F579EE"/>
    <w:rsid w:val="00F57BC9"/>
    <w:rsid w:val="00F60225"/>
    <w:rsid w:val="00F61A0A"/>
    <w:rsid w:val="00F641D8"/>
    <w:rsid w:val="00F711EC"/>
    <w:rsid w:val="00F75713"/>
    <w:rsid w:val="00F75AB0"/>
    <w:rsid w:val="00F75C73"/>
    <w:rsid w:val="00F81536"/>
    <w:rsid w:val="00F85169"/>
    <w:rsid w:val="00F85239"/>
    <w:rsid w:val="00F8527D"/>
    <w:rsid w:val="00F8540D"/>
    <w:rsid w:val="00F90548"/>
    <w:rsid w:val="00F922EF"/>
    <w:rsid w:val="00F937BD"/>
    <w:rsid w:val="00FA4ABC"/>
    <w:rsid w:val="00FA51C6"/>
    <w:rsid w:val="00FA5D2F"/>
    <w:rsid w:val="00FB7C96"/>
    <w:rsid w:val="00FC460B"/>
    <w:rsid w:val="00FC56B8"/>
    <w:rsid w:val="00FC5F20"/>
    <w:rsid w:val="00FC7B5E"/>
    <w:rsid w:val="00FD079E"/>
    <w:rsid w:val="00FD20A0"/>
    <w:rsid w:val="00FD4991"/>
    <w:rsid w:val="00FE0113"/>
    <w:rsid w:val="00FE0A00"/>
    <w:rsid w:val="00FE7A2E"/>
    <w:rsid w:val="00FE7B94"/>
    <w:rsid w:val="00FF1392"/>
    <w:rsid w:val="00FF2D63"/>
    <w:rsid w:val="00FF403E"/>
    <w:rsid w:val="00FF6ACF"/>
    <w:rsid w:val="00FF7157"/>
    <w:rsid w:val="01042CD0"/>
    <w:rsid w:val="01086012"/>
    <w:rsid w:val="012F23D2"/>
    <w:rsid w:val="01326F3B"/>
    <w:rsid w:val="01353E46"/>
    <w:rsid w:val="013D20EF"/>
    <w:rsid w:val="013D4C8F"/>
    <w:rsid w:val="0141555F"/>
    <w:rsid w:val="014557C2"/>
    <w:rsid w:val="01483505"/>
    <w:rsid w:val="01542AFA"/>
    <w:rsid w:val="015B3476"/>
    <w:rsid w:val="015E6630"/>
    <w:rsid w:val="0169035C"/>
    <w:rsid w:val="016C75C7"/>
    <w:rsid w:val="016E2F6B"/>
    <w:rsid w:val="01791910"/>
    <w:rsid w:val="017B2F92"/>
    <w:rsid w:val="018D524F"/>
    <w:rsid w:val="019036D8"/>
    <w:rsid w:val="019A4593"/>
    <w:rsid w:val="01A01767"/>
    <w:rsid w:val="01AC75F0"/>
    <w:rsid w:val="01BB5A85"/>
    <w:rsid w:val="01BD4FDC"/>
    <w:rsid w:val="01C012ED"/>
    <w:rsid w:val="01E941AE"/>
    <w:rsid w:val="01F82835"/>
    <w:rsid w:val="02092C94"/>
    <w:rsid w:val="02100727"/>
    <w:rsid w:val="0221105C"/>
    <w:rsid w:val="02240E71"/>
    <w:rsid w:val="022F6268"/>
    <w:rsid w:val="0230144B"/>
    <w:rsid w:val="0236312F"/>
    <w:rsid w:val="023E2A8F"/>
    <w:rsid w:val="02406FC5"/>
    <w:rsid w:val="02497F02"/>
    <w:rsid w:val="025D37A6"/>
    <w:rsid w:val="02630A21"/>
    <w:rsid w:val="02816CCE"/>
    <w:rsid w:val="02867E41"/>
    <w:rsid w:val="029027EC"/>
    <w:rsid w:val="02906F11"/>
    <w:rsid w:val="02910656"/>
    <w:rsid w:val="029452C8"/>
    <w:rsid w:val="0295277A"/>
    <w:rsid w:val="02957A39"/>
    <w:rsid w:val="0299330C"/>
    <w:rsid w:val="029A7D90"/>
    <w:rsid w:val="02A678F6"/>
    <w:rsid w:val="02AE2F1E"/>
    <w:rsid w:val="02B07476"/>
    <w:rsid w:val="02B34262"/>
    <w:rsid w:val="02C16D56"/>
    <w:rsid w:val="02C30781"/>
    <w:rsid w:val="02C32A89"/>
    <w:rsid w:val="02C866AB"/>
    <w:rsid w:val="02C941D1"/>
    <w:rsid w:val="02EB23C8"/>
    <w:rsid w:val="02ED4254"/>
    <w:rsid w:val="02F54A67"/>
    <w:rsid w:val="02F8721F"/>
    <w:rsid w:val="02FB57A8"/>
    <w:rsid w:val="02FB586B"/>
    <w:rsid w:val="030D1CB2"/>
    <w:rsid w:val="032764F6"/>
    <w:rsid w:val="033364ED"/>
    <w:rsid w:val="03343D40"/>
    <w:rsid w:val="03355FAD"/>
    <w:rsid w:val="03357A15"/>
    <w:rsid w:val="03384690"/>
    <w:rsid w:val="033C2BF5"/>
    <w:rsid w:val="033F6615"/>
    <w:rsid w:val="034A4B76"/>
    <w:rsid w:val="035461E6"/>
    <w:rsid w:val="03646BB0"/>
    <w:rsid w:val="036839EA"/>
    <w:rsid w:val="036A455B"/>
    <w:rsid w:val="03700AD7"/>
    <w:rsid w:val="037979A5"/>
    <w:rsid w:val="03881BEB"/>
    <w:rsid w:val="039225AD"/>
    <w:rsid w:val="0397763C"/>
    <w:rsid w:val="03B07722"/>
    <w:rsid w:val="03B7151D"/>
    <w:rsid w:val="03CD0376"/>
    <w:rsid w:val="03D417D5"/>
    <w:rsid w:val="03D50A2B"/>
    <w:rsid w:val="03E5503B"/>
    <w:rsid w:val="03E73921"/>
    <w:rsid w:val="03E868D9"/>
    <w:rsid w:val="03EB0F95"/>
    <w:rsid w:val="03F1290E"/>
    <w:rsid w:val="04002E0B"/>
    <w:rsid w:val="040F03FA"/>
    <w:rsid w:val="0412438A"/>
    <w:rsid w:val="04136717"/>
    <w:rsid w:val="04212517"/>
    <w:rsid w:val="0427254C"/>
    <w:rsid w:val="042C3BF9"/>
    <w:rsid w:val="04332546"/>
    <w:rsid w:val="04351837"/>
    <w:rsid w:val="04533461"/>
    <w:rsid w:val="047D5AEA"/>
    <w:rsid w:val="048D54DF"/>
    <w:rsid w:val="04983E5B"/>
    <w:rsid w:val="049C1B9D"/>
    <w:rsid w:val="049F3BB9"/>
    <w:rsid w:val="04B51F1A"/>
    <w:rsid w:val="04BB2CD9"/>
    <w:rsid w:val="04BD0338"/>
    <w:rsid w:val="04C56D31"/>
    <w:rsid w:val="04CF0F22"/>
    <w:rsid w:val="04D1080D"/>
    <w:rsid w:val="04D64D93"/>
    <w:rsid w:val="04D7542D"/>
    <w:rsid w:val="04E452F2"/>
    <w:rsid w:val="04E82F5F"/>
    <w:rsid w:val="04F4647E"/>
    <w:rsid w:val="04F75026"/>
    <w:rsid w:val="05084E1A"/>
    <w:rsid w:val="051C683A"/>
    <w:rsid w:val="0536624A"/>
    <w:rsid w:val="054B1B48"/>
    <w:rsid w:val="05507187"/>
    <w:rsid w:val="05526700"/>
    <w:rsid w:val="05547F50"/>
    <w:rsid w:val="05586D81"/>
    <w:rsid w:val="056775E0"/>
    <w:rsid w:val="0580326D"/>
    <w:rsid w:val="05812096"/>
    <w:rsid w:val="058E4D4F"/>
    <w:rsid w:val="059F100D"/>
    <w:rsid w:val="05A31C11"/>
    <w:rsid w:val="05A754E1"/>
    <w:rsid w:val="05B22616"/>
    <w:rsid w:val="05B47DED"/>
    <w:rsid w:val="05B6570E"/>
    <w:rsid w:val="05BA3D63"/>
    <w:rsid w:val="05BE0D9E"/>
    <w:rsid w:val="05BE3361"/>
    <w:rsid w:val="05C72C4A"/>
    <w:rsid w:val="05D70E89"/>
    <w:rsid w:val="05DC03BC"/>
    <w:rsid w:val="05E03755"/>
    <w:rsid w:val="05E05D39"/>
    <w:rsid w:val="05EB1690"/>
    <w:rsid w:val="05EE025B"/>
    <w:rsid w:val="05FB2E46"/>
    <w:rsid w:val="06222576"/>
    <w:rsid w:val="062F259D"/>
    <w:rsid w:val="063B53E6"/>
    <w:rsid w:val="063B7194"/>
    <w:rsid w:val="063F6C84"/>
    <w:rsid w:val="0643158D"/>
    <w:rsid w:val="06632C8A"/>
    <w:rsid w:val="066A11FF"/>
    <w:rsid w:val="066A268B"/>
    <w:rsid w:val="066C44D0"/>
    <w:rsid w:val="066E73CC"/>
    <w:rsid w:val="06780BE4"/>
    <w:rsid w:val="0688298E"/>
    <w:rsid w:val="069F4F41"/>
    <w:rsid w:val="06A978A6"/>
    <w:rsid w:val="06AC0092"/>
    <w:rsid w:val="06AE3E0A"/>
    <w:rsid w:val="06B036DE"/>
    <w:rsid w:val="06C158EB"/>
    <w:rsid w:val="06C373A0"/>
    <w:rsid w:val="06CA61EA"/>
    <w:rsid w:val="06D3256B"/>
    <w:rsid w:val="06EB1467"/>
    <w:rsid w:val="070659F4"/>
    <w:rsid w:val="0716354A"/>
    <w:rsid w:val="071A5532"/>
    <w:rsid w:val="073F7F68"/>
    <w:rsid w:val="074327A4"/>
    <w:rsid w:val="07433326"/>
    <w:rsid w:val="074D1200"/>
    <w:rsid w:val="074D53D1"/>
    <w:rsid w:val="07514F82"/>
    <w:rsid w:val="07685212"/>
    <w:rsid w:val="076A70D6"/>
    <w:rsid w:val="07701435"/>
    <w:rsid w:val="0791006E"/>
    <w:rsid w:val="07A93817"/>
    <w:rsid w:val="07AA51F7"/>
    <w:rsid w:val="07B2792A"/>
    <w:rsid w:val="07BC2556"/>
    <w:rsid w:val="07C16E32"/>
    <w:rsid w:val="07C956F1"/>
    <w:rsid w:val="07E35D35"/>
    <w:rsid w:val="07E51AAD"/>
    <w:rsid w:val="07E724F1"/>
    <w:rsid w:val="07EA0E72"/>
    <w:rsid w:val="07F54B10"/>
    <w:rsid w:val="07FB4267"/>
    <w:rsid w:val="080F029B"/>
    <w:rsid w:val="082F4EC1"/>
    <w:rsid w:val="083932FD"/>
    <w:rsid w:val="083C1D74"/>
    <w:rsid w:val="083D3697"/>
    <w:rsid w:val="08460FF0"/>
    <w:rsid w:val="084D3D35"/>
    <w:rsid w:val="08664D5B"/>
    <w:rsid w:val="087B41C0"/>
    <w:rsid w:val="087E552F"/>
    <w:rsid w:val="08850B9A"/>
    <w:rsid w:val="08874912"/>
    <w:rsid w:val="08966904"/>
    <w:rsid w:val="08986B20"/>
    <w:rsid w:val="08994E2C"/>
    <w:rsid w:val="089E0248"/>
    <w:rsid w:val="08AA7F40"/>
    <w:rsid w:val="08AC09F8"/>
    <w:rsid w:val="08AF1C74"/>
    <w:rsid w:val="08B76FB8"/>
    <w:rsid w:val="08CC67C9"/>
    <w:rsid w:val="08D12032"/>
    <w:rsid w:val="08D13DBB"/>
    <w:rsid w:val="08D65AD3"/>
    <w:rsid w:val="08EF4818"/>
    <w:rsid w:val="08F17FDE"/>
    <w:rsid w:val="08F57B11"/>
    <w:rsid w:val="08F617F2"/>
    <w:rsid w:val="08F64252"/>
    <w:rsid w:val="08F94C8C"/>
    <w:rsid w:val="08FD0C7A"/>
    <w:rsid w:val="09024000"/>
    <w:rsid w:val="09027DBF"/>
    <w:rsid w:val="090F109A"/>
    <w:rsid w:val="09151314"/>
    <w:rsid w:val="091D60AE"/>
    <w:rsid w:val="091E5277"/>
    <w:rsid w:val="09263609"/>
    <w:rsid w:val="093C394F"/>
    <w:rsid w:val="093E5BC8"/>
    <w:rsid w:val="0953633D"/>
    <w:rsid w:val="09594501"/>
    <w:rsid w:val="09633DCF"/>
    <w:rsid w:val="09697733"/>
    <w:rsid w:val="096B5FE2"/>
    <w:rsid w:val="097201A0"/>
    <w:rsid w:val="09953804"/>
    <w:rsid w:val="099C034D"/>
    <w:rsid w:val="09A71810"/>
    <w:rsid w:val="09AD03A9"/>
    <w:rsid w:val="09AF52BC"/>
    <w:rsid w:val="09B47989"/>
    <w:rsid w:val="09C9680A"/>
    <w:rsid w:val="09E87B7C"/>
    <w:rsid w:val="09EA6668"/>
    <w:rsid w:val="09FF3E49"/>
    <w:rsid w:val="0A03621B"/>
    <w:rsid w:val="0A1949CE"/>
    <w:rsid w:val="0A1E3055"/>
    <w:rsid w:val="0A1F6D28"/>
    <w:rsid w:val="0A3E3D26"/>
    <w:rsid w:val="0A426D43"/>
    <w:rsid w:val="0A4834F8"/>
    <w:rsid w:val="0A5D1DCF"/>
    <w:rsid w:val="0A5D3B7D"/>
    <w:rsid w:val="0A6173D2"/>
    <w:rsid w:val="0A682231"/>
    <w:rsid w:val="0A6825A9"/>
    <w:rsid w:val="0A854E82"/>
    <w:rsid w:val="0A92134D"/>
    <w:rsid w:val="0A9A25AD"/>
    <w:rsid w:val="0A9F4649"/>
    <w:rsid w:val="0AAC10E4"/>
    <w:rsid w:val="0AB07E4A"/>
    <w:rsid w:val="0AB80DB3"/>
    <w:rsid w:val="0AC8530A"/>
    <w:rsid w:val="0AC93B72"/>
    <w:rsid w:val="0AD53C26"/>
    <w:rsid w:val="0AD876A7"/>
    <w:rsid w:val="0ADD3B4A"/>
    <w:rsid w:val="0AEB7B61"/>
    <w:rsid w:val="0AEE775A"/>
    <w:rsid w:val="0AF76584"/>
    <w:rsid w:val="0AFF5154"/>
    <w:rsid w:val="0B0260FA"/>
    <w:rsid w:val="0B127FA5"/>
    <w:rsid w:val="0B1E7B7D"/>
    <w:rsid w:val="0B4458B7"/>
    <w:rsid w:val="0B4A5F99"/>
    <w:rsid w:val="0B4B3360"/>
    <w:rsid w:val="0B521171"/>
    <w:rsid w:val="0B5C62CC"/>
    <w:rsid w:val="0B6153F6"/>
    <w:rsid w:val="0B664CB3"/>
    <w:rsid w:val="0B6C4BE2"/>
    <w:rsid w:val="0B6F08EA"/>
    <w:rsid w:val="0B895D1E"/>
    <w:rsid w:val="0B903157"/>
    <w:rsid w:val="0BA31A63"/>
    <w:rsid w:val="0BA653BF"/>
    <w:rsid w:val="0BAC6F99"/>
    <w:rsid w:val="0BCD1EAC"/>
    <w:rsid w:val="0BCF142C"/>
    <w:rsid w:val="0BD624B4"/>
    <w:rsid w:val="0BDC319A"/>
    <w:rsid w:val="0BFA364D"/>
    <w:rsid w:val="0BFB783E"/>
    <w:rsid w:val="0BFC776A"/>
    <w:rsid w:val="0BFD5373"/>
    <w:rsid w:val="0BFD6481"/>
    <w:rsid w:val="0C0F0CD9"/>
    <w:rsid w:val="0C182F96"/>
    <w:rsid w:val="0C1A00CA"/>
    <w:rsid w:val="0C264442"/>
    <w:rsid w:val="0C320371"/>
    <w:rsid w:val="0C364685"/>
    <w:rsid w:val="0C631998"/>
    <w:rsid w:val="0C6821F6"/>
    <w:rsid w:val="0C6C441B"/>
    <w:rsid w:val="0C8C24F7"/>
    <w:rsid w:val="0C8F023A"/>
    <w:rsid w:val="0C990787"/>
    <w:rsid w:val="0C992D4F"/>
    <w:rsid w:val="0CAE3A50"/>
    <w:rsid w:val="0CBF15FF"/>
    <w:rsid w:val="0CD10852"/>
    <w:rsid w:val="0CD40A52"/>
    <w:rsid w:val="0CD91857"/>
    <w:rsid w:val="0CDA2573"/>
    <w:rsid w:val="0CDA4E4E"/>
    <w:rsid w:val="0CE65CCB"/>
    <w:rsid w:val="0CEF0CD8"/>
    <w:rsid w:val="0CF258A4"/>
    <w:rsid w:val="0CF87B8D"/>
    <w:rsid w:val="0D212A41"/>
    <w:rsid w:val="0D215F2C"/>
    <w:rsid w:val="0D314FE6"/>
    <w:rsid w:val="0D336C1D"/>
    <w:rsid w:val="0D4252AC"/>
    <w:rsid w:val="0D532244"/>
    <w:rsid w:val="0D540C02"/>
    <w:rsid w:val="0D571C0F"/>
    <w:rsid w:val="0D637F0E"/>
    <w:rsid w:val="0D6A5410"/>
    <w:rsid w:val="0D7336B7"/>
    <w:rsid w:val="0D794CB6"/>
    <w:rsid w:val="0D7E24BB"/>
    <w:rsid w:val="0D8324ED"/>
    <w:rsid w:val="0D8F059D"/>
    <w:rsid w:val="0D8F5855"/>
    <w:rsid w:val="0D9773A6"/>
    <w:rsid w:val="0D9827E5"/>
    <w:rsid w:val="0DA31A48"/>
    <w:rsid w:val="0DBF24D9"/>
    <w:rsid w:val="0DC466B9"/>
    <w:rsid w:val="0DC54945"/>
    <w:rsid w:val="0DE90D05"/>
    <w:rsid w:val="0DF25BA4"/>
    <w:rsid w:val="0DF540CC"/>
    <w:rsid w:val="0DFD573A"/>
    <w:rsid w:val="0DFE1012"/>
    <w:rsid w:val="0E0B029F"/>
    <w:rsid w:val="0E0F33E0"/>
    <w:rsid w:val="0E1F4751"/>
    <w:rsid w:val="0E230373"/>
    <w:rsid w:val="0E2A41ED"/>
    <w:rsid w:val="0E397874"/>
    <w:rsid w:val="0E461B92"/>
    <w:rsid w:val="0E4F1A2E"/>
    <w:rsid w:val="0E5C239D"/>
    <w:rsid w:val="0E5F7224"/>
    <w:rsid w:val="0E5F7846"/>
    <w:rsid w:val="0E632208"/>
    <w:rsid w:val="0E844468"/>
    <w:rsid w:val="0E8A515C"/>
    <w:rsid w:val="0E8E3DA3"/>
    <w:rsid w:val="0E8F6937"/>
    <w:rsid w:val="0E9E135B"/>
    <w:rsid w:val="0EA44F43"/>
    <w:rsid w:val="0EC2669E"/>
    <w:rsid w:val="0ECB5472"/>
    <w:rsid w:val="0ECF2DBC"/>
    <w:rsid w:val="0ED756CF"/>
    <w:rsid w:val="0EE34A0A"/>
    <w:rsid w:val="0EEF23A4"/>
    <w:rsid w:val="0F18029E"/>
    <w:rsid w:val="0F1B6D6A"/>
    <w:rsid w:val="0F1C1FA2"/>
    <w:rsid w:val="0F2500FF"/>
    <w:rsid w:val="0F2904D1"/>
    <w:rsid w:val="0F2A7DB7"/>
    <w:rsid w:val="0F2D61D9"/>
    <w:rsid w:val="0F397164"/>
    <w:rsid w:val="0F43254D"/>
    <w:rsid w:val="0F45451E"/>
    <w:rsid w:val="0F4B7D11"/>
    <w:rsid w:val="0F543C48"/>
    <w:rsid w:val="0F54568B"/>
    <w:rsid w:val="0F6801CF"/>
    <w:rsid w:val="0F7F71A8"/>
    <w:rsid w:val="0F9B0554"/>
    <w:rsid w:val="0FAF5422"/>
    <w:rsid w:val="0FAF5990"/>
    <w:rsid w:val="0FB271E8"/>
    <w:rsid w:val="0FBF1392"/>
    <w:rsid w:val="0FC30926"/>
    <w:rsid w:val="0FC621C4"/>
    <w:rsid w:val="0FC91CB4"/>
    <w:rsid w:val="0FD84D52"/>
    <w:rsid w:val="0FD93801"/>
    <w:rsid w:val="0FDC41E3"/>
    <w:rsid w:val="0FE35744"/>
    <w:rsid w:val="0FEF3CEB"/>
    <w:rsid w:val="0FF17FD6"/>
    <w:rsid w:val="0FF322CD"/>
    <w:rsid w:val="100128A9"/>
    <w:rsid w:val="1005689B"/>
    <w:rsid w:val="10131FB5"/>
    <w:rsid w:val="1031732E"/>
    <w:rsid w:val="10327E3A"/>
    <w:rsid w:val="1034712E"/>
    <w:rsid w:val="10374301"/>
    <w:rsid w:val="10394E9C"/>
    <w:rsid w:val="103A764D"/>
    <w:rsid w:val="103B410E"/>
    <w:rsid w:val="103B6EC4"/>
    <w:rsid w:val="10457DEF"/>
    <w:rsid w:val="105628E7"/>
    <w:rsid w:val="10566E31"/>
    <w:rsid w:val="106519DD"/>
    <w:rsid w:val="10697D4D"/>
    <w:rsid w:val="107C2883"/>
    <w:rsid w:val="108120DC"/>
    <w:rsid w:val="108950E7"/>
    <w:rsid w:val="109135C4"/>
    <w:rsid w:val="10A4426E"/>
    <w:rsid w:val="10B656D8"/>
    <w:rsid w:val="10C37A22"/>
    <w:rsid w:val="10DF1FB9"/>
    <w:rsid w:val="10F36FE9"/>
    <w:rsid w:val="10F728DE"/>
    <w:rsid w:val="10F772EF"/>
    <w:rsid w:val="11017A58"/>
    <w:rsid w:val="11023D17"/>
    <w:rsid w:val="110F34C8"/>
    <w:rsid w:val="11292A0B"/>
    <w:rsid w:val="11390774"/>
    <w:rsid w:val="11491151"/>
    <w:rsid w:val="116021A5"/>
    <w:rsid w:val="116230D1"/>
    <w:rsid w:val="116A7E05"/>
    <w:rsid w:val="11722460"/>
    <w:rsid w:val="117A4F14"/>
    <w:rsid w:val="11870CA4"/>
    <w:rsid w:val="1191177D"/>
    <w:rsid w:val="119C48B2"/>
    <w:rsid w:val="11A300F7"/>
    <w:rsid w:val="11A4344C"/>
    <w:rsid w:val="11D529F0"/>
    <w:rsid w:val="11DC5CCF"/>
    <w:rsid w:val="11F50B3F"/>
    <w:rsid w:val="11F528ED"/>
    <w:rsid w:val="11F55D84"/>
    <w:rsid w:val="11F95233"/>
    <w:rsid w:val="11FD6A95"/>
    <w:rsid w:val="11FE73E1"/>
    <w:rsid w:val="1206271C"/>
    <w:rsid w:val="12114BE2"/>
    <w:rsid w:val="1217448F"/>
    <w:rsid w:val="1224135E"/>
    <w:rsid w:val="12261816"/>
    <w:rsid w:val="122816CA"/>
    <w:rsid w:val="1231523F"/>
    <w:rsid w:val="123478B9"/>
    <w:rsid w:val="12392AE3"/>
    <w:rsid w:val="12421044"/>
    <w:rsid w:val="12492C39"/>
    <w:rsid w:val="12511775"/>
    <w:rsid w:val="127A5380"/>
    <w:rsid w:val="128A74D9"/>
    <w:rsid w:val="1298079E"/>
    <w:rsid w:val="12AB744F"/>
    <w:rsid w:val="12B10442"/>
    <w:rsid w:val="12B2310A"/>
    <w:rsid w:val="12B44556"/>
    <w:rsid w:val="12CB7F7B"/>
    <w:rsid w:val="12D57B5A"/>
    <w:rsid w:val="12DA74FD"/>
    <w:rsid w:val="12FC5EFD"/>
    <w:rsid w:val="130A23C8"/>
    <w:rsid w:val="130D1EB8"/>
    <w:rsid w:val="13111E52"/>
    <w:rsid w:val="13160E95"/>
    <w:rsid w:val="131D4A08"/>
    <w:rsid w:val="132B4874"/>
    <w:rsid w:val="132C0590"/>
    <w:rsid w:val="13365D96"/>
    <w:rsid w:val="13401CF4"/>
    <w:rsid w:val="13541895"/>
    <w:rsid w:val="13573133"/>
    <w:rsid w:val="13597FDE"/>
    <w:rsid w:val="13610A7C"/>
    <w:rsid w:val="1370511E"/>
    <w:rsid w:val="137F720A"/>
    <w:rsid w:val="139600FA"/>
    <w:rsid w:val="13985C26"/>
    <w:rsid w:val="139B1B3C"/>
    <w:rsid w:val="13AE5449"/>
    <w:rsid w:val="13BC5DB8"/>
    <w:rsid w:val="13C163E4"/>
    <w:rsid w:val="13CF69C3"/>
    <w:rsid w:val="13D03611"/>
    <w:rsid w:val="13D327E3"/>
    <w:rsid w:val="13D824C6"/>
    <w:rsid w:val="13E63AA6"/>
    <w:rsid w:val="13F32811"/>
    <w:rsid w:val="13F85DC5"/>
    <w:rsid w:val="13F866C4"/>
    <w:rsid w:val="13FC3073"/>
    <w:rsid w:val="14002DA6"/>
    <w:rsid w:val="14010B59"/>
    <w:rsid w:val="140A2B4A"/>
    <w:rsid w:val="141601C0"/>
    <w:rsid w:val="14183270"/>
    <w:rsid w:val="141D447E"/>
    <w:rsid w:val="141D6B0B"/>
    <w:rsid w:val="142D6F89"/>
    <w:rsid w:val="143376FC"/>
    <w:rsid w:val="143C3BFB"/>
    <w:rsid w:val="14447112"/>
    <w:rsid w:val="144554E0"/>
    <w:rsid w:val="144C2ACB"/>
    <w:rsid w:val="145908CD"/>
    <w:rsid w:val="146D3562"/>
    <w:rsid w:val="148617D9"/>
    <w:rsid w:val="149258A7"/>
    <w:rsid w:val="149321EC"/>
    <w:rsid w:val="14961BDF"/>
    <w:rsid w:val="14A405FA"/>
    <w:rsid w:val="14AA6C47"/>
    <w:rsid w:val="14B04223"/>
    <w:rsid w:val="14B81325"/>
    <w:rsid w:val="14BB5770"/>
    <w:rsid w:val="14CA4494"/>
    <w:rsid w:val="14DF1102"/>
    <w:rsid w:val="14E06953"/>
    <w:rsid w:val="14E37374"/>
    <w:rsid w:val="14E74E80"/>
    <w:rsid w:val="14EF1875"/>
    <w:rsid w:val="14EF4395"/>
    <w:rsid w:val="14FB05D3"/>
    <w:rsid w:val="14FB1DB1"/>
    <w:rsid w:val="14FC230F"/>
    <w:rsid w:val="150115A9"/>
    <w:rsid w:val="15027594"/>
    <w:rsid w:val="150317C5"/>
    <w:rsid w:val="1507775C"/>
    <w:rsid w:val="150A3567"/>
    <w:rsid w:val="151407D5"/>
    <w:rsid w:val="151B4D60"/>
    <w:rsid w:val="15214D63"/>
    <w:rsid w:val="152F4368"/>
    <w:rsid w:val="153E6FE7"/>
    <w:rsid w:val="15535F3F"/>
    <w:rsid w:val="155D7127"/>
    <w:rsid w:val="15697093"/>
    <w:rsid w:val="15760076"/>
    <w:rsid w:val="158D1C90"/>
    <w:rsid w:val="15977CDB"/>
    <w:rsid w:val="159F6FD6"/>
    <w:rsid w:val="15B01BBF"/>
    <w:rsid w:val="15B605E5"/>
    <w:rsid w:val="15B8435D"/>
    <w:rsid w:val="15CF16A7"/>
    <w:rsid w:val="15D171CD"/>
    <w:rsid w:val="15D26086"/>
    <w:rsid w:val="15D31197"/>
    <w:rsid w:val="15DC73CD"/>
    <w:rsid w:val="15DD2016"/>
    <w:rsid w:val="15EC3B3E"/>
    <w:rsid w:val="15F46C2A"/>
    <w:rsid w:val="15F630D7"/>
    <w:rsid w:val="15F80BFE"/>
    <w:rsid w:val="15FF786C"/>
    <w:rsid w:val="16121567"/>
    <w:rsid w:val="162F2854"/>
    <w:rsid w:val="16343F81"/>
    <w:rsid w:val="163948ED"/>
    <w:rsid w:val="16413A85"/>
    <w:rsid w:val="164275F4"/>
    <w:rsid w:val="16495BAE"/>
    <w:rsid w:val="1654148B"/>
    <w:rsid w:val="165B71D5"/>
    <w:rsid w:val="16684AF2"/>
    <w:rsid w:val="166E2C6E"/>
    <w:rsid w:val="16700A7A"/>
    <w:rsid w:val="1683572D"/>
    <w:rsid w:val="168801D3"/>
    <w:rsid w:val="169E0BEA"/>
    <w:rsid w:val="16A86180"/>
    <w:rsid w:val="16A87AF5"/>
    <w:rsid w:val="16AF7EFC"/>
    <w:rsid w:val="16C47F8D"/>
    <w:rsid w:val="16DD2BAC"/>
    <w:rsid w:val="16F21AF1"/>
    <w:rsid w:val="170A3B27"/>
    <w:rsid w:val="170D2487"/>
    <w:rsid w:val="171738A2"/>
    <w:rsid w:val="17197085"/>
    <w:rsid w:val="17224ED3"/>
    <w:rsid w:val="172460AC"/>
    <w:rsid w:val="172872C1"/>
    <w:rsid w:val="172B6DB1"/>
    <w:rsid w:val="173054B2"/>
    <w:rsid w:val="17424EAD"/>
    <w:rsid w:val="174C1699"/>
    <w:rsid w:val="1778392A"/>
    <w:rsid w:val="1779647F"/>
    <w:rsid w:val="178317B5"/>
    <w:rsid w:val="1789141B"/>
    <w:rsid w:val="17987255"/>
    <w:rsid w:val="17A23389"/>
    <w:rsid w:val="17A739C7"/>
    <w:rsid w:val="17CB7450"/>
    <w:rsid w:val="17D15BAA"/>
    <w:rsid w:val="17D64F6F"/>
    <w:rsid w:val="17FB6C91"/>
    <w:rsid w:val="18053F1E"/>
    <w:rsid w:val="18085749"/>
    <w:rsid w:val="180B6D06"/>
    <w:rsid w:val="181C3FF8"/>
    <w:rsid w:val="18277578"/>
    <w:rsid w:val="18365A0D"/>
    <w:rsid w:val="184114A1"/>
    <w:rsid w:val="18425C49"/>
    <w:rsid w:val="184A3267"/>
    <w:rsid w:val="185540E5"/>
    <w:rsid w:val="185B7DE0"/>
    <w:rsid w:val="185C36C6"/>
    <w:rsid w:val="186969E3"/>
    <w:rsid w:val="186C74AD"/>
    <w:rsid w:val="186C7D12"/>
    <w:rsid w:val="186D2443"/>
    <w:rsid w:val="187059AE"/>
    <w:rsid w:val="18876269"/>
    <w:rsid w:val="188B2A6D"/>
    <w:rsid w:val="188C7694"/>
    <w:rsid w:val="18C510FD"/>
    <w:rsid w:val="18DA283C"/>
    <w:rsid w:val="18DC03A2"/>
    <w:rsid w:val="18DC65B5"/>
    <w:rsid w:val="18E11EA5"/>
    <w:rsid w:val="18E6534A"/>
    <w:rsid w:val="18EE62E8"/>
    <w:rsid w:val="19083037"/>
    <w:rsid w:val="19265A82"/>
    <w:rsid w:val="192D5416"/>
    <w:rsid w:val="19390D64"/>
    <w:rsid w:val="193A4A10"/>
    <w:rsid w:val="193E7FD9"/>
    <w:rsid w:val="194F68C1"/>
    <w:rsid w:val="195019B0"/>
    <w:rsid w:val="1954439D"/>
    <w:rsid w:val="19554C37"/>
    <w:rsid w:val="19566DB3"/>
    <w:rsid w:val="19595DF7"/>
    <w:rsid w:val="19597C05"/>
    <w:rsid w:val="196279A1"/>
    <w:rsid w:val="198627AB"/>
    <w:rsid w:val="198B4F14"/>
    <w:rsid w:val="199724DC"/>
    <w:rsid w:val="199B6470"/>
    <w:rsid w:val="19A941C1"/>
    <w:rsid w:val="19AA220F"/>
    <w:rsid w:val="19AE5ACF"/>
    <w:rsid w:val="19B675DA"/>
    <w:rsid w:val="19BB7B07"/>
    <w:rsid w:val="19BE1D86"/>
    <w:rsid w:val="19C637E5"/>
    <w:rsid w:val="19C721FB"/>
    <w:rsid w:val="19CE5CD8"/>
    <w:rsid w:val="19DB686C"/>
    <w:rsid w:val="19F53DD2"/>
    <w:rsid w:val="1A052165"/>
    <w:rsid w:val="1A063EF5"/>
    <w:rsid w:val="1A0F3AD5"/>
    <w:rsid w:val="1A0F7374"/>
    <w:rsid w:val="1A142D27"/>
    <w:rsid w:val="1A143D9C"/>
    <w:rsid w:val="1A202D51"/>
    <w:rsid w:val="1A2A3350"/>
    <w:rsid w:val="1A584361"/>
    <w:rsid w:val="1A5B5BFF"/>
    <w:rsid w:val="1A60672B"/>
    <w:rsid w:val="1A626F8D"/>
    <w:rsid w:val="1A630F50"/>
    <w:rsid w:val="1A6732FB"/>
    <w:rsid w:val="1A756CC1"/>
    <w:rsid w:val="1A7929A3"/>
    <w:rsid w:val="1A7B4669"/>
    <w:rsid w:val="1A870B38"/>
    <w:rsid w:val="1A8B2040"/>
    <w:rsid w:val="1A8C6CF6"/>
    <w:rsid w:val="1A8E1520"/>
    <w:rsid w:val="1A9417D9"/>
    <w:rsid w:val="1AA41354"/>
    <w:rsid w:val="1AA572B8"/>
    <w:rsid w:val="1AB31D2F"/>
    <w:rsid w:val="1ABA2925"/>
    <w:rsid w:val="1AC00AAF"/>
    <w:rsid w:val="1ACA19C4"/>
    <w:rsid w:val="1ACD08AB"/>
    <w:rsid w:val="1ACE55DA"/>
    <w:rsid w:val="1ACE6054"/>
    <w:rsid w:val="1ACE6D27"/>
    <w:rsid w:val="1AE0038B"/>
    <w:rsid w:val="1AF20311"/>
    <w:rsid w:val="1AF7358C"/>
    <w:rsid w:val="1AFA0F74"/>
    <w:rsid w:val="1B0E67CD"/>
    <w:rsid w:val="1B403FA5"/>
    <w:rsid w:val="1B46240B"/>
    <w:rsid w:val="1B524326"/>
    <w:rsid w:val="1B55168B"/>
    <w:rsid w:val="1B593EEC"/>
    <w:rsid w:val="1B5A1A13"/>
    <w:rsid w:val="1B645069"/>
    <w:rsid w:val="1B721EAB"/>
    <w:rsid w:val="1B7D1BE7"/>
    <w:rsid w:val="1B8637EA"/>
    <w:rsid w:val="1BDD1B28"/>
    <w:rsid w:val="1BE57F51"/>
    <w:rsid w:val="1BEE3F6E"/>
    <w:rsid w:val="1BF21B5D"/>
    <w:rsid w:val="1C037CCC"/>
    <w:rsid w:val="1C0A168B"/>
    <w:rsid w:val="1C1442B7"/>
    <w:rsid w:val="1C18016F"/>
    <w:rsid w:val="1C2F4A48"/>
    <w:rsid w:val="1C314E69"/>
    <w:rsid w:val="1C400DCC"/>
    <w:rsid w:val="1C5B2E1D"/>
    <w:rsid w:val="1C6062B5"/>
    <w:rsid w:val="1C656B00"/>
    <w:rsid w:val="1C6D522B"/>
    <w:rsid w:val="1C762201"/>
    <w:rsid w:val="1C87757C"/>
    <w:rsid w:val="1C8B6454"/>
    <w:rsid w:val="1C911F05"/>
    <w:rsid w:val="1C9232F2"/>
    <w:rsid w:val="1C993860"/>
    <w:rsid w:val="1CB33AD0"/>
    <w:rsid w:val="1CC07FCD"/>
    <w:rsid w:val="1CC5593D"/>
    <w:rsid w:val="1CCD060E"/>
    <w:rsid w:val="1CCF67BC"/>
    <w:rsid w:val="1CD03B67"/>
    <w:rsid w:val="1CD13F56"/>
    <w:rsid w:val="1CD4109A"/>
    <w:rsid w:val="1CD55E24"/>
    <w:rsid w:val="1CDB6B83"/>
    <w:rsid w:val="1CDE3631"/>
    <w:rsid w:val="1CE04199"/>
    <w:rsid w:val="1CE814D1"/>
    <w:rsid w:val="1CF454CE"/>
    <w:rsid w:val="1CFE11B3"/>
    <w:rsid w:val="1CFFE3B0"/>
    <w:rsid w:val="1D022EEB"/>
    <w:rsid w:val="1D0B7468"/>
    <w:rsid w:val="1D1E53EE"/>
    <w:rsid w:val="1D3249F5"/>
    <w:rsid w:val="1D3444B7"/>
    <w:rsid w:val="1D3F2887"/>
    <w:rsid w:val="1D413DD6"/>
    <w:rsid w:val="1D442082"/>
    <w:rsid w:val="1D494085"/>
    <w:rsid w:val="1D4D7A81"/>
    <w:rsid w:val="1D5F77B4"/>
    <w:rsid w:val="1D6104E9"/>
    <w:rsid w:val="1D6D5E73"/>
    <w:rsid w:val="1D6E2EA0"/>
    <w:rsid w:val="1D90430C"/>
    <w:rsid w:val="1D927B8A"/>
    <w:rsid w:val="1DA228F6"/>
    <w:rsid w:val="1DA26C67"/>
    <w:rsid w:val="1DB33A3A"/>
    <w:rsid w:val="1DB571C9"/>
    <w:rsid w:val="1DB80423"/>
    <w:rsid w:val="1DB96EC4"/>
    <w:rsid w:val="1DBF6F58"/>
    <w:rsid w:val="1DC976B3"/>
    <w:rsid w:val="1DF12B02"/>
    <w:rsid w:val="1E1639CF"/>
    <w:rsid w:val="1E2C3B3A"/>
    <w:rsid w:val="1E3649B9"/>
    <w:rsid w:val="1E592CD8"/>
    <w:rsid w:val="1E5C7473"/>
    <w:rsid w:val="1E65546D"/>
    <w:rsid w:val="1E673D11"/>
    <w:rsid w:val="1E8A0861"/>
    <w:rsid w:val="1E912BAE"/>
    <w:rsid w:val="1E933E22"/>
    <w:rsid w:val="1EA638ED"/>
    <w:rsid w:val="1EB60A31"/>
    <w:rsid w:val="1EBB0A1A"/>
    <w:rsid w:val="1EC6457D"/>
    <w:rsid w:val="1EC7170B"/>
    <w:rsid w:val="1EC7534C"/>
    <w:rsid w:val="1EC80007"/>
    <w:rsid w:val="1ECB16DA"/>
    <w:rsid w:val="1ECD7160"/>
    <w:rsid w:val="1ED641E3"/>
    <w:rsid w:val="1EDA5344"/>
    <w:rsid w:val="1EE12B77"/>
    <w:rsid w:val="1EE47F71"/>
    <w:rsid w:val="1EED4935"/>
    <w:rsid w:val="1EEE324E"/>
    <w:rsid w:val="1EEE7042"/>
    <w:rsid w:val="1EF15FC6"/>
    <w:rsid w:val="1EFA4AC9"/>
    <w:rsid w:val="1EFD1033"/>
    <w:rsid w:val="1F0028D1"/>
    <w:rsid w:val="1F165A0D"/>
    <w:rsid w:val="1F2928A7"/>
    <w:rsid w:val="1F294330"/>
    <w:rsid w:val="1F5164BE"/>
    <w:rsid w:val="1F550636"/>
    <w:rsid w:val="1F59508D"/>
    <w:rsid w:val="1F6115C2"/>
    <w:rsid w:val="1F655484"/>
    <w:rsid w:val="1F6725BD"/>
    <w:rsid w:val="1F7A16FF"/>
    <w:rsid w:val="1F841E94"/>
    <w:rsid w:val="1F845C8A"/>
    <w:rsid w:val="1F86410F"/>
    <w:rsid w:val="1F902D30"/>
    <w:rsid w:val="1F987D78"/>
    <w:rsid w:val="1F9D6372"/>
    <w:rsid w:val="1FA3CCE9"/>
    <w:rsid w:val="1FAD0B55"/>
    <w:rsid w:val="1FBA786C"/>
    <w:rsid w:val="1FBC2C9C"/>
    <w:rsid w:val="1FE07DD2"/>
    <w:rsid w:val="1FE65F6B"/>
    <w:rsid w:val="1FF72B1D"/>
    <w:rsid w:val="20012DA5"/>
    <w:rsid w:val="200C59D1"/>
    <w:rsid w:val="201952D2"/>
    <w:rsid w:val="2020109E"/>
    <w:rsid w:val="20220096"/>
    <w:rsid w:val="202816B6"/>
    <w:rsid w:val="202B1BD0"/>
    <w:rsid w:val="2031368A"/>
    <w:rsid w:val="20352DB6"/>
    <w:rsid w:val="203647FC"/>
    <w:rsid w:val="20383747"/>
    <w:rsid w:val="20482782"/>
    <w:rsid w:val="204B45FF"/>
    <w:rsid w:val="204E725A"/>
    <w:rsid w:val="205050F3"/>
    <w:rsid w:val="205B0707"/>
    <w:rsid w:val="205F090F"/>
    <w:rsid w:val="20665891"/>
    <w:rsid w:val="207575AA"/>
    <w:rsid w:val="208241B4"/>
    <w:rsid w:val="20855784"/>
    <w:rsid w:val="208D63E6"/>
    <w:rsid w:val="208F5999"/>
    <w:rsid w:val="209314D4"/>
    <w:rsid w:val="20B05494"/>
    <w:rsid w:val="20B87907"/>
    <w:rsid w:val="20EE5770"/>
    <w:rsid w:val="21147FEE"/>
    <w:rsid w:val="2116462E"/>
    <w:rsid w:val="213513A0"/>
    <w:rsid w:val="213571AA"/>
    <w:rsid w:val="213B5936"/>
    <w:rsid w:val="213F7E47"/>
    <w:rsid w:val="21416183"/>
    <w:rsid w:val="214171F2"/>
    <w:rsid w:val="21592FEC"/>
    <w:rsid w:val="215B2DFE"/>
    <w:rsid w:val="215C5CD9"/>
    <w:rsid w:val="215F2E6D"/>
    <w:rsid w:val="216058A9"/>
    <w:rsid w:val="21611D4D"/>
    <w:rsid w:val="21617F9F"/>
    <w:rsid w:val="218617B3"/>
    <w:rsid w:val="218B2E3C"/>
    <w:rsid w:val="218C26F6"/>
    <w:rsid w:val="21B53E47"/>
    <w:rsid w:val="21B5456C"/>
    <w:rsid w:val="21C0289A"/>
    <w:rsid w:val="21C07E10"/>
    <w:rsid w:val="21C314C7"/>
    <w:rsid w:val="21DE514B"/>
    <w:rsid w:val="21E53DD4"/>
    <w:rsid w:val="21E80F98"/>
    <w:rsid w:val="21ED35E0"/>
    <w:rsid w:val="21F229A5"/>
    <w:rsid w:val="21FA7AAB"/>
    <w:rsid w:val="21FE67C3"/>
    <w:rsid w:val="21FF567A"/>
    <w:rsid w:val="220019CB"/>
    <w:rsid w:val="2205092A"/>
    <w:rsid w:val="22080E1D"/>
    <w:rsid w:val="222E4A4B"/>
    <w:rsid w:val="22431452"/>
    <w:rsid w:val="224564ED"/>
    <w:rsid w:val="224A27E1"/>
    <w:rsid w:val="225537E6"/>
    <w:rsid w:val="226E2973"/>
    <w:rsid w:val="22747619"/>
    <w:rsid w:val="22774421"/>
    <w:rsid w:val="227A5579"/>
    <w:rsid w:val="227B3EC3"/>
    <w:rsid w:val="22853819"/>
    <w:rsid w:val="22883309"/>
    <w:rsid w:val="22956616"/>
    <w:rsid w:val="229A7BF5"/>
    <w:rsid w:val="22AC6E9D"/>
    <w:rsid w:val="22AF6B28"/>
    <w:rsid w:val="22BC5EB2"/>
    <w:rsid w:val="22BF1959"/>
    <w:rsid w:val="22D16A5E"/>
    <w:rsid w:val="22F866E1"/>
    <w:rsid w:val="2309269C"/>
    <w:rsid w:val="2309444A"/>
    <w:rsid w:val="230A1D1E"/>
    <w:rsid w:val="230F3D0A"/>
    <w:rsid w:val="231051B6"/>
    <w:rsid w:val="232A616E"/>
    <w:rsid w:val="233E3D53"/>
    <w:rsid w:val="235356C5"/>
    <w:rsid w:val="235E44A5"/>
    <w:rsid w:val="2371477C"/>
    <w:rsid w:val="23757D31"/>
    <w:rsid w:val="237F04EF"/>
    <w:rsid w:val="23841437"/>
    <w:rsid w:val="238A3CA3"/>
    <w:rsid w:val="238E17FC"/>
    <w:rsid w:val="2398619C"/>
    <w:rsid w:val="23A61C99"/>
    <w:rsid w:val="23AF4708"/>
    <w:rsid w:val="23B32608"/>
    <w:rsid w:val="23BC3EE5"/>
    <w:rsid w:val="23C16A9A"/>
    <w:rsid w:val="23E12CD1"/>
    <w:rsid w:val="23E66003"/>
    <w:rsid w:val="23F80076"/>
    <w:rsid w:val="23FE2FB7"/>
    <w:rsid w:val="23FE3883"/>
    <w:rsid w:val="23FE3AF7"/>
    <w:rsid w:val="23FF75FB"/>
    <w:rsid w:val="240350E9"/>
    <w:rsid w:val="240D3AC6"/>
    <w:rsid w:val="241B7142"/>
    <w:rsid w:val="242B3FAA"/>
    <w:rsid w:val="242D3EA3"/>
    <w:rsid w:val="24452007"/>
    <w:rsid w:val="244802C7"/>
    <w:rsid w:val="244C0B39"/>
    <w:rsid w:val="245A32E7"/>
    <w:rsid w:val="24635935"/>
    <w:rsid w:val="24660E6A"/>
    <w:rsid w:val="24665559"/>
    <w:rsid w:val="24681644"/>
    <w:rsid w:val="24691825"/>
    <w:rsid w:val="24697C70"/>
    <w:rsid w:val="246C0B8A"/>
    <w:rsid w:val="246C2EE2"/>
    <w:rsid w:val="246D6C5B"/>
    <w:rsid w:val="24741D97"/>
    <w:rsid w:val="24877D1C"/>
    <w:rsid w:val="248E0BEE"/>
    <w:rsid w:val="249222CA"/>
    <w:rsid w:val="24AC5084"/>
    <w:rsid w:val="24CF65FC"/>
    <w:rsid w:val="24D171E9"/>
    <w:rsid w:val="24DA6A74"/>
    <w:rsid w:val="24DB4BCD"/>
    <w:rsid w:val="24E32A79"/>
    <w:rsid w:val="24F1163A"/>
    <w:rsid w:val="24F602A0"/>
    <w:rsid w:val="24F751B1"/>
    <w:rsid w:val="24F829C8"/>
    <w:rsid w:val="250025A0"/>
    <w:rsid w:val="25145328"/>
    <w:rsid w:val="25296C9F"/>
    <w:rsid w:val="25310FEF"/>
    <w:rsid w:val="253808F1"/>
    <w:rsid w:val="25401D76"/>
    <w:rsid w:val="2544236B"/>
    <w:rsid w:val="2547125A"/>
    <w:rsid w:val="254C2D14"/>
    <w:rsid w:val="256C3562"/>
    <w:rsid w:val="258D2CD8"/>
    <w:rsid w:val="25977271"/>
    <w:rsid w:val="259B2D68"/>
    <w:rsid w:val="259E7D45"/>
    <w:rsid w:val="25A55F80"/>
    <w:rsid w:val="25A6077B"/>
    <w:rsid w:val="25A941CC"/>
    <w:rsid w:val="25A97E1E"/>
    <w:rsid w:val="25AB4606"/>
    <w:rsid w:val="25BF4424"/>
    <w:rsid w:val="25C17AFA"/>
    <w:rsid w:val="25C251DB"/>
    <w:rsid w:val="25C40AFC"/>
    <w:rsid w:val="25C669F1"/>
    <w:rsid w:val="25D70476"/>
    <w:rsid w:val="25DF5936"/>
    <w:rsid w:val="25E00E0C"/>
    <w:rsid w:val="25EF379B"/>
    <w:rsid w:val="25F6BDD3"/>
    <w:rsid w:val="260C11C1"/>
    <w:rsid w:val="261049C1"/>
    <w:rsid w:val="261A696E"/>
    <w:rsid w:val="26286784"/>
    <w:rsid w:val="26383109"/>
    <w:rsid w:val="263A491A"/>
    <w:rsid w:val="263C68E5"/>
    <w:rsid w:val="263E49AF"/>
    <w:rsid w:val="263F1C4A"/>
    <w:rsid w:val="264A7253"/>
    <w:rsid w:val="26597FFC"/>
    <w:rsid w:val="265B2F41"/>
    <w:rsid w:val="26673E0F"/>
    <w:rsid w:val="26681488"/>
    <w:rsid w:val="26697AAB"/>
    <w:rsid w:val="266D2F42"/>
    <w:rsid w:val="266E20F9"/>
    <w:rsid w:val="2673065B"/>
    <w:rsid w:val="26746071"/>
    <w:rsid w:val="2674607E"/>
    <w:rsid w:val="267839D3"/>
    <w:rsid w:val="268423E1"/>
    <w:rsid w:val="26890627"/>
    <w:rsid w:val="26902F8F"/>
    <w:rsid w:val="26937CAB"/>
    <w:rsid w:val="26A43060"/>
    <w:rsid w:val="26BB2001"/>
    <w:rsid w:val="26C16DEA"/>
    <w:rsid w:val="26CE0ACF"/>
    <w:rsid w:val="26E35358"/>
    <w:rsid w:val="270D0281"/>
    <w:rsid w:val="270E298C"/>
    <w:rsid w:val="270E29F5"/>
    <w:rsid w:val="271512D2"/>
    <w:rsid w:val="272A2D2F"/>
    <w:rsid w:val="272F1FA5"/>
    <w:rsid w:val="272F24B1"/>
    <w:rsid w:val="27446B6F"/>
    <w:rsid w:val="274A5031"/>
    <w:rsid w:val="274F752C"/>
    <w:rsid w:val="27520933"/>
    <w:rsid w:val="27595274"/>
    <w:rsid w:val="275A34C6"/>
    <w:rsid w:val="275E5A93"/>
    <w:rsid w:val="27736226"/>
    <w:rsid w:val="27755DA7"/>
    <w:rsid w:val="277C7F9A"/>
    <w:rsid w:val="278D7C08"/>
    <w:rsid w:val="27952750"/>
    <w:rsid w:val="279D2924"/>
    <w:rsid w:val="27A52E1A"/>
    <w:rsid w:val="27B85511"/>
    <w:rsid w:val="27C53958"/>
    <w:rsid w:val="27DA4B73"/>
    <w:rsid w:val="27DF39CB"/>
    <w:rsid w:val="27E61F25"/>
    <w:rsid w:val="27EC31BB"/>
    <w:rsid w:val="27ED2CBD"/>
    <w:rsid w:val="27EE2A31"/>
    <w:rsid w:val="27F61799"/>
    <w:rsid w:val="27F63DA6"/>
    <w:rsid w:val="27F8683B"/>
    <w:rsid w:val="27FA5CB6"/>
    <w:rsid w:val="28066A1F"/>
    <w:rsid w:val="28074CD0"/>
    <w:rsid w:val="280B656E"/>
    <w:rsid w:val="280D34EA"/>
    <w:rsid w:val="281466B1"/>
    <w:rsid w:val="28153891"/>
    <w:rsid w:val="281824A7"/>
    <w:rsid w:val="282D0BDB"/>
    <w:rsid w:val="28312BBF"/>
    <w:rsid w:val="28321D4D"/>
    <w:rsid w:val="283A2862"/>
    <w:rsid w:val="28441A80"/>
    <w:rsid w:val="28467386"/>
    <w:rsid w:val="285F673E"/>
    <w:rsid w:val="28644CCA"/>
    <w:rsid w:val="286667E4"/>
    <w:rsid w:val="287370B9"/>
    <w:rsid w:val="288F6949"/>
    <w:rsid w:val="28911AF2"/>
    <w:rsid w:val="289151CA"/>
    <w:rsid w:val="28A2680F"/>
    <w:rsid w:val="28B9246E"/>
    <w:rsid w:val="28D21782"/>
    <w:rsid w:val="28EB583C"/>
    <w:rsid w:val="28F402DA"/>
    <w:rsid w:val="28F72F97"/>
    <w:rsid w:val="28FC78BE"/>
    <w:rsid w:val="28FE2577"/>
    <w:rsid w:val="29000A40"/>
    <w:rsid w:val="290F29AF"/>
    <w:rsid w:val="291E49C7"/>
    <w:rsid w:val="291E67A9"/>
    <w:rsid w:val="292611B7"/>
    <w:rsid w:val="293634F4"/>
    <w:rsid w:val="29503CAA"/>
    <w:rsid w:val="29533730"/>
    <w:rsid w:val="29693E94"/>
    <w:rsid w:val="29770361"/>
    <w:rsid w:val="297840D8"/>
    <w:rsid w:val="2985201E"/>
    <w:rsid w:val="29892059"/>
    <w:rsid w:val="29894105"/>
    <w:rsid w:val="299332F5"/>
    <w:rsid w:val="29A34FDC"/>
    <w:rsid w:val="29AF4FD3"/>
    <w:rsid w:val="29B175E9"/>
    <w:rsid w:val="29B35110"/>
    <w:rsid w:val="29B812E2"/>
    <w:rsid w:val="29BF3AB4"/>
    <w:rsid w:val="29C55899"/>
    <w:rsid w:val="29C865D6"/>
    <w:rsid w:val="29E71C49"/>
    <w:rsid w:val="29E76B67"/>
    <w:rsid w:val="29F2147C"/>
    <w:rsid w:val="29FA1911"/>
    <w:rsid w:val="2A0608C1"/>
    <w:rsid w:val="2A0C4A40"/>
    <w:rsid w:val="2A134AF4"/>
    <w:rsid w:val="2A1536D4"/>
    <w:rsid w:val="2A255C2B"/>
    <w:rsid w:val="2A2B7BC9"/>
    <w:rsid w:val="2A391AB9"/>
    <w:rsid w:val="2A3A5DF9"/>
    <w:rsid w:val="2A4926C2"/>
    <w:rsid w:val="2A495A74"/>
    <w:rsid w:val="2A4D2BFD"/>
    <w:rsid w:val="2A530EDF"/>
    <w:rsid w:val="2A5F6992"/>
    <w:rsid w:val="2A741C3D"/>
    <w:rsid w:val="2A7949E3"/>
    <w:rsid w:val="2A7FEBAB"/>
    <w:rsid w:val="2A80647C"/>
    <w:rsid w:val="2A8E62B6"/>
    <w:rsid w:val="2A9572CC"/>
    <w:rsid w:val="2AA36F32"/>
    <w:rsid w:val="2ABD4C84"/>
    <w:rsid w:val="2ACB5D43"/>
    <w:rsid w:val="2AD61783"/>
    <w:rsid w:val="2AD81233"/>
    <w:rsid w:val="2ADC178F"/>
    <w:rsid w:val="2AE63EFE"/>
    <w:rsid w:val="2AED78BA"/>
    <w:rsid w:val="2AF05EF0"/>
    <w:rsid w:val="2B1725AC"/>
    <w:rsid w:val="2B2E227F"/>
    <w:rsid w:val="2B3404E2"/>
    <w:rsid w:val="2B363CF4"/>
    <w:rsid w:val="2B3A7305"/>
    <w:rsid w:val="2B425FD0"/>
    <w:rsid w:val="2B4268A6"/>
    <w:rsid w:val="2B724B56"/>
    <w:rsid w:val="2B8F5708"/>
    <w:rsid w:val="2B9B4F58"/>
    <w:rsid w:val="2B9D1BD3"/>
    <w:rsid w:val="2BA3696C"/>
    <w:rsid w:val="2BB65EBB"/>
    <w:rsid w:val="2BB67A51"/>
    <w:rsid w:val="2BB769EE"/>
    <w:rsid w:val="2BB8130D"/>
    <w:rsid w:val="2BC1223D"/>
    <w:rsid w:val="2BC40014"/>
    <w:rsid w:val="2BC51B34"/>
    <w:rsid w:val="2BCA04EF"/>
    <w:rsid w:val="2BF03DE5"/>
    <w:rsid w:val="2BF95140"/>
    <w:rsid w:val="2C0B194E"/>
    <w:rsid w:val="2C1520B2"/>
    <w:rsid w:val="2C1A4F62"/>
    <w:rsid w:val="2C227130"/>
    <w:rsid w:val="2C3447BE"/>
    <w:rsid w:val="2C3D3C75"/>
    <w:rsid w:val="2C4B2534"/>
    <w:rsid w:val="2C4B420E"/>
    <w:rsid w:val="2C660165"/>
    <w:rsid w:val="2C6619D7"/>
    <w:rsid w:val="2C6A0BA3"/>
    <w:rsid w:val="2C8903AA"/>
    <w:rsid w:val="2C8A76F4"/>
    <w:rsid w:val="2C931BC6"/>
    <w:rsid w:val="2C947F22"/>
    <w:rsid w:val="2CA45E14"/>
    <w:rsid w:val="2CB62CA6"/>
    <w:rsid w:val="2CBA67B5"/>
    <w:rsid w:val="2CD46729"/>
    <w:rsid w:val="2CD77367"/>
    <w:rsid w:val="2CDB673A"/>
    <w:rsid w:val="2CDE24A4"/>
    <w:rsid w:val="2CEA709A"/>
    <w:rsid w:val="2CEE34EF"/>
    <w:rsid w:val="2CEF46B1"/>
    <w:rsid w:val="2CF605F7"/>
    <w:rsid w:val="2CF9108B"/>
    <w:rsid w:val="2D016FE9"/>
    <w:rsid w:val="2D0A367D"/>
    <w:rsid w:val="2D12214D"/>
    <w:rsid w:val="2D14362B"/>
    <w:rsid w:val="2D2E304F"/>
    <w:rsid w:val="2D3C07FE"/>
    <w:rsid w:val="2D3E414F"/>
    <w:rsid w:val="2D4E7FAB"/>
    <w:rsid w:val="2D5756FC"/>
    <w:rsid w:val="2D5D5591"/>
    <w:rsid w:val="2D74743A"/>
    <w:rsid w:val="2D7B7CF2"/>
    <w:rsid w:val="2D7C11D4"/>
    <w:rsid w:val="2D7F4766"/>
    <w:rsid w:val="2D960FD0"/>
    <w:rsid w:val="2D99286E"/>
    <w:rsid w:val="2DBE7F60"/>
    <w:rsid w:val="2DF6788C"/>
    <w:rsid w:val="2E043938"/>
    <w:rsid w:val="2E0D1588"/>
    <w:rsid w:val="2E1F0FC6"/>
    <w:rsid w:val="2E2A042C"/>
    <w:rsid w:val="2E3944B7"/>
    <w:rsid w:val="2E3B1633"/>
    <w:rsid w:val="2E497DF1"/>
    <w:rsid w:val="2E4C1B78"/>
    <w:rsid w:val="2E5F13C2"/>
    <w:rsid w:val="2E61338C"/>
    <w:rsid w:val="2E7035CF"/>
    <w:rsid w:val="2E73313B"/>
    <w:rsid w:val="2E866E5E"/>
    <w:rsid w:val="2E8B06D6"/>
    <w:rsid w:val="2E9B6172"/>
    <w:rsid w:val="2E9C43C4"/>
    <w:rsid w:val="2EA63495"/>
    <w:rsid w:val="2EA916B2"/>
    <w:rsid w:val="2EAB0AAB"/>
    <w:rsid w:val="2EB7703D"/>
    <w:rsid w:val="2EBA0CEE"/>
    <w:rsid w:val="2EC62DA5"/>
    <w:rsid w:val="2EEA1606"/>
    <w:rsid w:val="2EED318E"/>
    <w:rsid w:val="2F0401BB"/>
    <w:rsid w:val="2F0562AC"/>
    <w:rsid w:val="2F0F1794"/>
    <w:rsid w:val="2F1A0856"/>
    <w:rsid w:val="2F2B5B05"/>
    <w:rsid w:val="2F3A3BDD"/>
    <w:rsid w:val="2F475C7E"/>
    <w:rsid w:val="2F4800A8"/>
    <w:rsid w:val="2F486024"/>
    <w:rsid w:val="2F4A2072"/>
    <w:rsid w:val="2F4B6223"/>
    <w:rsid w:val="2F523B34"/>
    <w:rsid w:val="2F57478F"/>
    <w:rsid w:val="2F681310"/>
    <w:rsid w:val="2F743B89"/>
    <w:rsid w:val="2F7B2B74"/>
    <w:rsid w:val="2F7E2877"/>
    <w:rsid w:val="2F8567D8"/>
    <w:rsid w:val="2F8B5040"/>
    <w:rsid w:val="2F8F217B"/>
    <w:rsid w:val="2FC45593"/>
    <w:rsid w:val="2FC61E6F"/>
    <w:rsid w:val="2FE65B09"/>
    <w:rsid w:val="2FF16981"/>
    <w:rsid w:val="2FFA3A98"/>
    <w:rsid w:val="300246FB"/>
    <w:rsid w:val="30115CE5"/>
    <w:rsid w:val="30135C1F"/>
    <w:rsid w:val="30136908"/>
    <w:rsid w:val="30191760"/>
    <w:rsid w:val="301D32E3"/>
    <w:rsid w:val="3025663B"/>
    <w:rsid w:val="3028092A"/>
    <w:rsid w:val="30297EDA"/>
    <w:rsid w:val="302F54E7"/>
    <w:rsid w:val="305B3E0B"/>
    <w:rsid w:val="3062251C"/>
    <w:rsid w:val="306453B6"/>
    <w:rsid w:val="30726790"/>
    <w:rsid w:val="30731155"/>
    <w:rsid w:val="30831C53"/>
    <w:rsid w:val="30847806"/>
    <w:rsid w:val="3095556F"/>
    <w:rsid w:val="30A92DC8"/>
    <w:rsid w:val="30B034AD"/>
    <w:rsid w:val="30B31983"/>
    <w:rsid w:val="30C87FB8"/>
    <w:rsid w:val="30C9484E"/>
    <w:rsid w:val="30CF2960"/>
    <w:rsid w:val="30DF2C8E"/>
    <w:rsid w:val="30E90E2B"/>
    <w:rsid w:val="30FA1876"/>
    <w:rsid w:val="310406DA"/>
    <w:rsid w:val="31085D41"/>
    <w:rsid w:val="310A2A14"/>
    <w:rsid w:val="310F59F0"/>
    <w:rsid w:val="311A3C85"/>
    <w:rsid w:val="311C17EC"/>
    <w:rsid w:val="31293A40"/>
    <w:rsid w:val="31395BA8"/>
    <w:rsid w:val="3141666D"/>
    <w:rsid w:val="314B14BF"/>
    <w:rsid w:val="31547B90"/>
    <w:rsid w:val="3158219E"/>
    <w:rsid w:val="315D7742"/>
    <w:rsid w:val="315F05BE"/>
    <w:rsid w:val="316D537E"/>
    <w:rsid w:val="31716348"/>
    <w:rsid w:val="317355F2"/>
    <w:rsid w:val="317E68B2"/>
    <w:rsid w:val="3185517F"/>
    <w:rsid w:val="3185793C"/>
    <w:rsid w:val="31A57A34"/>
    <w:rsid w:val="31B06C89"/>
    <w:rsid w:val="31B55C07"/>
    <w:rsid w:val="31C21E67"/>
    <w:rsid w:val="31C2569E"/>
    <w:rsid w:val="31C96BD0"/>
    <w:rsid w:val="31CA2ACD"/>
    <w:rsid w:val="31E15891"/>
    <w:rsid w:val="31E22A36"/>
    <w:rsid w:val="31F043F4"/>
    <w:rsid w:val="31F430DA"/>
    <w:rsid w:val="31F43D52"/>
    <w:rsid w:val="32335040"/>
    <w:rsid w:val="32342B66"/>
    <w:rsid w:val="325066A8"/>
    <w:rsid w:val="32563FE3"/>
    <w:rsid w:val="32574CBD"/>
    <w:rsid w:val="325D3410"/>
    <w:rsid w:val="3260226B"/>
    <w:rsid w:val="327A2C6E"/>
    <w:rsid w:val="327A5FF1"/>
    <w:rsid w:val="327B2543"/>
    <w:rsid w:val="32981E44"/>
    <w:rsid w:val="32A55CC0"/>
    <w:rsid w:val="32A937D2"/>
    <w:rsid w:val="32C0264B"/>
    <w:rsid w:val="32C4213C"/>
    <w:rsid w:val="32C95971"/>
    <w:rsid w:val="32E41009"/>
    <w:rsid w:val="32E620B2"/>
    <w:rsid w:val="32E9078F"/>
    <w:rsid w:val="32ED34FF"/>
    <w:rsid w:val="3304078A"/>
    <w:rsid w:val="330856D0"/>
    <w:rsid w:val="33244988"/>
    <w:rsid w:val="33316646"/>
    <w:rsid w:val="33462B8C"/>
    <w:rsid w:val="33491C13"/>
    <w:rsid w:val="33550FE6"/>
    <w:rsid w:val="335E45B2"/>
    <w:rsid w:val="335F3C12"/>
    <w:rsid w:val="33691E57"/>
    <w:rsid w:val="33735D99"/>
    <w:rsid w:val="33736E76"/>
    <w:rsid w:val="337570A4"/>
    <w:rsid w:val="337A6C9E"/>
    <w:rsid w:val="33893878"/>
    <w:rsid w:val="338D69D1"/>
    <w:rsid w:val="33925D96"/>
    <w:rsid w:val="339C6C14"/>
    <w:rsid w:val="33A269EC"/>
    <w:rsid w:val="33A856B1"/>
    <w:rsid w:val="33AB2922"/>
    <w:rsid w:val="33B10912"/>
    <w:rsid w:val="33C50B9E"/>
    <w:rsid w:val="33D301D3"/>
    <w:rsid w:val="33D976B3"/>
    <w:rsid w:val="33DB2EFB"/>
    <w:rsid w:val="33DB773D"/>
    <w:rsid w:val="33DC6CF8"/>
    <w:rsid w:val="33F54490"/>
    <w:rsid w:val="33F85833"/>
    <w:rsid w:val="33F94458"/>
    <w:rsid w:val="340B78F6"/>
    <w:rsid w:val="341266A4"/>
    <w:rsid w:val="34187B95"/>
    <w:rsid w:val="3429350C"/>
    <w:rsid w:val="3431735D"/>
    <w:rsid w:val="3434509F"/>
    <w:rsid w:val="343B467F"/>
    <w:rsid w:val="343C76C2"/>
    <w:rsid w:val="343D6C24"/>
    <w:rsid w:val="345873A9"/>
    <w:rsid w:val="345E211C"/>
    <w:rsid w:val="34692A1E"/>
    <w:rsid w:val="346C4A6E"/>
    <w:rsid w:val="34703C63"/>
    <w:rsid w:val="347831DE"/>
    <w:rsid w:val="347C5D20"/>
    <w:rsid w:val="34847DD4"/>
    <w:rsid w:val="348C6C89"/>
    <w:rsid w:val="34997F68"/>
    <w:rsid w:val="34A2025B"/>
    <w:rsid w:val="34AF7CC9"/>
    <w:rsid w:val="34B41D3C"/>
    <w:rsid w:val="34B956D8"/>
    <w:rsid w:val="34C24459"/>
    <w:rsid w:val="34CE1050"/>
    <w:rsid w:val="34E017A7"/>
    <w:rsid w:val="34E15227"/>
    <w:rsid w:val="34E526B4"/>
    <w:rsid w:val="34EC3BCC"/>
    <w:rsid w:val="34ED4FC5"/>
    <w:rsid w:val="34FE7262"/>
    <w:rsid w:val="35101668"/>
    <w:rsid w:val="352407FC"/>
    <w:rsid w:val="352612DF"/>
    <w:rsid w:val="35322B1F"/>
    <w:rsid w:val="353358B6"/>
    <w:rsid w:val="3535498A"/>
    <w:rsid w:val="35373099"/>
    <w:rsid w:val="3538296D"/>
    <w:rsid w:val="35471E10"/>
    <w:rsid w:val="355004C3"/>
    <w:rsid w:val="355157DD"/>
    <w:rsid w:val="3556146D"/>
    <w:rsid w:val="355724F0"/>
    <w:rsid w:val="35810326"/>
    <w:rsid w:val="35867B7C"/>
    <w:rsid w:val="358C5E8C"/>
    <w:rsid w:val="358D7C9B"/>
    <w:rsid w:val="358E2186"/>
    <w:rsid w:val="35A26038"/>
    <w:rsid w:val="35A41DB0"/>
    <w:rsid w:val="35AC737E"/>
    <w:rsid w:val="35AE5305"/>
    <w:rsid w:val="35B90B5D"/>
    <w:rsid w:val="35BD10B7"/>
    <w:rsid w:val="35DE239E"/>
    <w:rsid w:val="35E06512"/>
    <w:rsid w:val="35E33F92"/>
    <w:rsid w:val="35FD48C3"/>
    <w:rsid w:val="360212D1"/>
    <w:rsid w:val="36030D37"/>
    <w:rsid w:val="360E2480"/>
    <w:rsid w:val="361327DB"/>
    <w:rsid w:val="363720E3"/>
    <w:rsid w:val="3639711B"/>
    <w:rsid w:val="363E765D"/>
    <w:rsid w:val="36421CF5"/>
    <w:rsid w:val="365869BA"/>
    <w:rsid w:val="36592830"/>
    <w:rsid w:val="36697A8D"/>
    <w:rsid w:val="367409D2"/>
    <w:rsid w:val="36773881"/>
    <w:rsid w:val="367B56C5"/>
    <w:rsid w:val="367C5173"/>
    <w:rsid w:val="36915D46"/>
    <w:rsid w:val="369B31B3"/>
    <w:rsid w:val="36BA6657"/>
    <w:rsid w:val="36C73FA8"/>
    <w:rsid w:val="36CA31B0"/>
    <w:rsid w:val="36D20797"/>
    <w:rsid w:val="36E16F8C"/>
    <w:rsid w:val="36E65B3A"/>
    <w:rsid w:val="370346A6"/>
    <w:rsid w:val="37186F74"/>
    <w:rsid w:val="371F5B92"/>
    <w:rsid w:val="37296474"/>
    <w:rsid w:val="37405833"/>
    <w:rsid w:val="37583C3D"/>
    <w:rsid w:val="37594F8B"/>
    <w:rsid w:val="37666B6B"/>
    <w:rsid w:val="37675674"/>
    <w:rsid w:val="376B1978"/>
    <w:rsid w:val="3771007D"/>
    <w:rsid w:val="37734130"/>
    <w:rsid w:val="37940CA8"/>
    <w:rsid w:val="37A34A15"/>
    <w:rsid w:val="37A92337"/>
    <w:rsid w:val="37B90CC1"/>
    <w:rsid w:val="37CB1876"/>
    <w:rsid w:val="37D848CF"/>
    <w:rsid w:val="37DB157C"/>
    <w:rsid w:val="37DB3C7D"/>
    <w:rsid w:val="37EE7D30"/>
    <w:rsid w:val="37F62976"/>
    <w:rsid w:val="37F77F19"/>
    <w:rsid w:val="381B0A50"/>
    <w:rsid w:val="381D34F9"/>
    <w:rsid w:val="382056E0"/>
    <w:rsid w:val="3822692C"/>
    <w:rsid w:val="382947EF"/>
    <w:rsid w:val="38343F2A"/>
    <w:rsid w:val="38490F9C"/>
    <w:rsid w:val="384C1631"/>
    <w:rsid w:val="38542754"/>
    <w:rsid w:val="386C03A0"/>
    <w:rsid w:val="388372DB"/>
    <w:rsid w:val="38850AD8"/>
    <w:rsid w:val="38A5656B"/>
    <w:rsid w:val="38B10FD7"/>
    <w:rsid w:val="38B2326B"/>
    <w:rsid w:val="38B247E4"/>
    <w:rsid w:val="38BD498D"/>
    <w:rsid w:val="38D04F33"/>
    <w:rsid w:val="38D155B2"/>
    <w:rsid w:val="38D26C34"/>
    <w:rsid w:val="38D81B11"/>
    <w:rsid w:val="38F61303"/>
    <w:rsid w:val="38FC42B5"/>
    <w:rsid w:val="38FC71A8"/>
    <w:rsid w:val="39020983"/>
    <w:rsid w:val="39037F6C"/>
    <w:rsid w:val="390C2146"/>
    <w:rsid w:val="39161217"/>
    <w:rsid w:val="39214610"/>
    <w:rsid w:val="39276898"/>
    <w:rsid w:val="39431A04"/>
    <w:rsid w:val="39464964"/>
    <w:rsid w:val="395224D9"/>
    <w:rsid w:val="395601FC"/>
    <w:rsid w:val="395A7356"/>
    <w:rsid w:val="39647471"/>
    <w:rsid w:val="397B4E62"/>
    <w:rsid w:val="397D4DF2"/>
    <w:rsid w:val="39845848"/>
    <w:rsid w:val="39972B1A"/>
    <w:rsid w:val="399A1410"/>
    <w:rsid w:val="39A17675"/>
    <w:rsid w:val="39A6259B"/>
    <w:rsid w:val="39BF66C3"/>
    <w:rsid w:val="39C8231B"/>
    <w:rsid w:val="39CD1539"/>
    <w:rsid w:val="39CD5D32"/>
    <w:rsid w:val="39DA1DFA"/>
    <w:rsid w:val="39DC71EB"/>
    <w:rsid w:val="39DD5D2E"/>
    <w:rsid w:val="3A045F91"/>
    <w:rsid w:val="3A0A0953"/>
    <w:rsid w:val="3A184B1B"/>
    <w:rsid w:val="3A187F8C"/>
    <w:rsid w:val="3A1E4582"/>
    <w:rsid w:val="3A2C4127"/>
    <w:rsid w:val="3A3B0B46"/>
    <w:rsid w:val="3A451DB4"/>
    <w:rsid w:val="3A4F678F"/>
    <w:rsid w:val="3A5576B6"/>
    <w:rsid w:val="3A661D2A"/>
    <w:rsid w:val="3A682780"/>
    <w:rsid w:val="3A697EB7"/>
    <w:rsid w:val="3A7A136F"/>
    <w:rsid w:val="3A7F0311"/>
    <w:rsid w:val="3A8A3C6B"/>
    <w:rsid w:val="3A8C5141"/>
    <w:rsid w:val="3A8D5509"/>
    <w:rsid w:val="3A9C0D92"/>
    <w:rsid w:val="3AA648FE"/>
    <w:rsid w:val="3AAA7D3D"/>
    <w:rsid w:val="3ACF524E"/>
    <w:rsid w:val="3AD117FB"/>
    <w:rsid w:val="3AD64FB0"/>
    <w:rsid w:val="3AD72904"/>
    <w:rsid w:val="3AD75A09"/>
    <w:rsid w:val="3ADC5AFD"/>
    <w:rsid w:val="3AE17BBC"/>
    <w:rsid w:val="3B007A89"/>
    <w:rsid w:val="3B0F5ABD"/>
    <w:rsid w:val="3B1A123D"/>
    <w:rsid w:val="3B213730"/>
    <w:rsid w:val="3B2D7A40"/>
    <w:rsid w:val="3B2F4F75"/>
    <w:rsid w:val="3B315914"/>
    <w:rsid w:val="3B5008D7"/>
    <w:rsid w:val="3B7355AE"/>
    <w:rsid w:val="3B793C0F"/>
    <w:rsid w:val="3B7F15E2"/>
    <w:rsid w:val="3B7F6F5D"/>
    <w:rsid w:val="3B8536A6"/>
    <w:rsid w:val="3B871F58"/>
    <w:rsid w:val="3B8763FC"/>
    <w:rsid w:val="3B8A37F6"/>
    <w:rsid w:val="3B8B2713"/>
    <w:rsid w:val="3B906DF8"/>
    <w:rsid w:val="3B9F0C51"/>
    <w:rsid w:val="3BA00572"/>
    <w:rsid w:val="3BA00966"/>
    <w:rsid w:val="3BB0175E"/>
    <w:rsid w:val="3BB1021B"/>
    <w:rsid w:val="3BC53ABB"/>
    <w:rsid w:val="3BC92571"/>
    <w:rsid w:val="3BCC1F2A"/>
    <w:rsid w:val="3BCD6D6D"/>
    <w:rsid w:val="3BD57167"/>
    <w:rsid w:val="3BF72A83"/>
    <w:rsid w:val="3C130A1F"/>
    <w:rsid w:val="3C135790"/>
    <w:rsid w:val="3C1752F7"/>
    <w:rsid w:val="3C193171"/>
    <w:rsid w:val="3C1E3214"/>
    <w:rsid w:val="3C2528C6"/>
    <w:rsid w:val="3C2679C3"/>
    <w:rsid w:val="3C333E8E"/>
    <w:rsid w:val="3C3E6A1E"/>
    <w:rsid w:val="3C4321AB"/>
    <w:rsid w:val="3C4F0720"/>
    <w:rsid w:val="3C4F1FEA"/>
    <w:rsid w:val="3C616C4D"/>
    <w:rsid w:val="3C686571"/>
    <w:rsid w:val="3C83525B"/>
    <w:rsid w:val="3C87375A"/>
    <w:rsid w:val="3C8E189D"/>
    <w:rsid w:val="3CA22EFE"/>
    <w:rsid w:val="3CA60B04"/>
    <w:rsid w:val="3CB8043D"/>
    <w:rsid w:val="3CB94BCA"/>
    <w:rsid w:val="3CC25705"/>
    <w:rsid w:val="3CC50225"/>
    <w:rsid w:val="3CC92CB9"/>
    <w:rsid w:val="3CCF3965"/>
    <w:rsid w:val="3CD45671"/>
    <w:rsid w:val="3CDD64CF"/>
    <w:rsid w:val="3CDE231E"/>
    <w:rsid w:val="3CEB5790"/>
    <w:rsid w:val="3CFE1B47"/>
    <w:rsid w:val="3D015D3A"/>
    <w:rsid w:val="3D1C767A"/>
    <w:rsid w:val="3D1E1219"/>
    <w:rsid w:val="3D36346C"/>
    <w:rsid w:val="3D47560D"/>
    <w:rsid w:val="3D4956FE"/>
    <w:rsid w:val="3D523BCD"/>
    <w:rsid w:val="3D5567B2"/>
    <w:rsid w:val="3D645169"/>
    <w:rsid w:val="3D6C3AFB"/>
    <w:rsid w:val="3D842BF3"/>
    <w:rsid w:val="3D8F2120"/>
    <w:rsid w:val="3D8F30A0"/>
    <w:rsid w:val="3D990E61"/>
    <w:rsid w:val="3D9D1F07"/>
    <w:rsid w:val="3DA327E5"/>
    <w:rsid w:val="3DAB4624"/>
    <w:rsid w:val="3DB01C7C"/>
    <w:rsid w:val="3DBA1ADA"/>
    <w:rsid w:val="3DBA6615"/>
    <w:rsid w:val="3DC355A6"/>
    <w:rsid w:val="3DC42D6E"/>
    <w:rsid w:val="3DC64287"/>
    <w:rsid w:val="3DD009EA"/>
    <w:rsid w:val="3DD64752"/>
    <w:rsid w:val="3DD650E4"/>
    <w:rsid w:val="3DD80DF7"/>
    <w:rsid w:val="3DE26317"/>
    <w:rsid w:val="3DE547AF"/>
    <w:rsid w:val="3DEA67CE"/>
    <w:rsid w:val="3DFA457C"/>
    <w:rsid w:val="3E10092B"/>
    <w:rsid w:val="3E175815"/>
    <w:rsid w:val="3E251E4B"/>
    <w:rsid w:val="3E2D1C0D"/>
    <w:rsid w:val="3E3363C7"/>
    <w:rsid w:val="3E352B5B"/>
    <w:rsid w:val="3E3A2755"/>
    <w:rsid w:val="3E463101"/>
    <w:rsid w:val="3E46434D"/>
    <w:rsid w:val="3E467EA9"/>
    <w:rsid w:val="3E52684D"/>
    <w:rsid w:val="3E5717D0"/>
    <w:rsid w:val="3E587BDC"/>
    <w:rsid w:val="3E725142"/>
    <w:rsid w:val="3E734A16"/>
    <w:rsid w:val="3E7A5DA4"/>
    <w:rsid w:val="3E8B1D5F"/>
    <w:rsid w:val="3E950E30"/>
    <w:rsid w:val="3E953235"/>
    <w:rsid w:val="3EA03A5D"/>
    <w:rsid w:val="3EAA3B18"/>
    <w:rsid w:val="3EB72B54"/>
    <w:rsid w:val="3EBD0BAE"/>
    <w:rsid w:val="3EBE3EE3"/>
    <w:rsid w:val="3EC80A37"/>
    <w:rsid w:val="3ECD2095"/>
    <w:rsid w:val="3EED47C8"/>
    <w:rsid w:val="3EF02AD3"/>
    <w:rsid w:val="3EF43DA9"/>
    <w:rsid w:val="3F024C1A"/>
    <w:rsid w:val="3F204B9E"/>
    <w:rsid w:val="3F21052E"/>
    <w:rsid w:val="3F32667F"/>
    <w:rsid w:val="3F330C34"/>
    <w:rsid w:val="3F3917F4"/>
    <w:rsid w:val="3F447378"/>
    <w:rsid w:val="3F4A7E6C"/>
    <w:rsid w:val="3F625E8E"/>
    <w:rsid w:val="3F6A673B"/>
    <w:rsid w:val="3F8C2A74"/>
    <w:rsid w:val="3F917849"/>
    <w:rsid w:val="3F924981"/>
    <w:rsid w:val="3F984734"/>
    <w:rsid w:val="3FA118A5"/>
    <w:rsid w:val="3FA330D9"/>
    <w:rsid w:val="3FA70307"/>
    <w:rsid w:val="3FA7458E"/>
    <w:rsid w:val="3FAB47DE"/>
    <w:rsid w:val="3FB22390"/>
    <w:rsid w:val="3FBA6F1C"/>
    <w:rsid w:val="3FCF1529"/>
    <w:rsid w:val="3FD0248A"/>
    <w:rsid w:val="3FDE7FB9"/>
    <w:rsid w:val="3FE37E33"/>
    <w:rsid w:val="3FE813F4"/>
    <w:rsid w:val="3FF55C7D"/>
    <w:rsid w:val="40095632"/>
    <w:rsid w:val="400E03CE"/>
    <w:rsid w:val="400E0E9A"/>
    <w:rsid w:val="401144E6"/>
    <w:rsid w:val="401171AD"/>
    <w:rsid w:val="40225AF1"/>
    <w:rsid w:val="403C5A07"/>
    <w:rsid w:val="403D5148"/>
    <w:rsid w:val="403F2E01"/>
    <w:rsid w:val="40507C98"/>
    <w:rsid w:val="40583EC3"/>
    <w:rsid w:val="4061657E"/>
    <w:rsid w:val="40625FCD"/>
    <w:rsid w:val="40672358"/>
    <w:rsid w:val="40675CAC"/>
    <w:rsid w:val="407E7DCE"/>
    <w:rsid w:val="40892318"/>
    <w:rsid w:val="408E0789"/>
    <w:rsid w:val="4090365D"/>
    <w:rsid w:val="40A42109"/>
    <w:rsid w:val="40A610D2"/>
    <w:rsid w:val="40A76FA9"/>
    <w:rsid w:val="40AC084A"/>
    <w:rsid w:val="40D05FDB"/>
    <w:rsid w:val="40D0614F"/>
    <w:rsid w:val="40DB515E"/>
    <w:rsid w:val="40E30197"/>
    <w:rsid w:val="40EA1367"/>
    <w:rsid w:val="40EB151F"/>
    <w:rsid w:val="40F25A91"/>
    <w:rsid w:val="40FC0CF2"/>
    <w:rsid w:val="41110C42"/>
    <w:rsid w:val="411C387B"/>
    <w:rsid w:val="411C6FE5"/>
    <w:rsid w:val="41292B74"/>
    <w:rsid w:val="413D1A37"/>
    <w:rsid w:val="414C7ECC"/>
    <w:rsid w:val="414E3836"/>
    <w:rsid w:val="41592854"/>
    <w:rsid w:val="41647934"/>
    <w:rsid w:val="41676AB4"/>
    <w:rsid w:val="416E516B"/>
    <w:rsid w:val="418812BB"/>
    <w:rsid w:val="418F1604"/>
    <w:rsid w:val="419F3079"/>
    <w:rsid w:val="41AE3A67"/>
    <w:rsid w:val="41B45A71"/>
    <w:rsid w:val="41EA02ED"/>
    <w:rsid w:val="420E5181"/>
    <w:rsid w:val="421409A0"/>
    <w:rsid w:val="4215282E"/>
    <w:rsid w:val="4216544A"/>
    <w:rsid w:val="42225E0B"/>
    <w:rsid w:val="424F30C2"/>
    <w:rsid w:val="426254CD"/>
    <w:rsid w:val="426C30A0"/>
    <w:rsid w:val="42701998"/>
    <w:rsid w:val="42723962"/>
    <w:rsid w:val="427358D4"/>
    <w:rsid w:val="42736D87"/>
    <w:rsid w:val="427E086F"/>
    <w:rsid w:val="42826F4F"/>
    <w:rsid w:val="428E62C2"/>
    <w:rsid w:val="42931FC8"/>
    <w:rsid w:val="429D286D"/>
    <w:rsid w:val="429E14C4"/>
    <w:rsid w:val="42A26186"/>
    <w:rsid w:val="42BF022A"/>
    <w:rsid w:val="42C13D5C"/>
    <w:rsid w:val="42C66BA7"/>
    <w:rsid w:val="42C817D4"/>
    <w:rsid w:val="42D53EF1"/>
    <w:rsid w:val="42DF3579"/>
    <w:rsid w:val="42E264C2"/>
    <w:rsid w:val="42E85CD3"/>
    <w:rsid w:val="42E87780"/>
    <w:rsid w:val="42ED7D18"/>
    <w:rsid w:val="42F54D63"/>
    <w:rsid w:val="42F73E67"/>
    <w:rsid w:val="42F779C3"/>
    <w:rsid w:val="42F87E06"/>
    <w:rsid w:val="42FC7969"/>
    <w:rsid w:val="43011E27"/>
    <w:rsid w:val="430A124F"/>
    <w:rsid w:val="430B3A05"/>
    <w:rsid w:val="430F20A0"/>
    <w:rsid w:val="43135F0F"/>
    <w:rsid w:val="431762B8"/>
    <w:rsid w:val="431A7B56"/>
    <w:rsid w:val="431B6CC7"/>
    <w:rsid w:val="43244531"/>
    <w:rsid w:val="432634B4"/>
    <w:rsid w:val="43566DE0"/>
    <w:rsid w:val="43650DD1"/>
    <w:rsid w:val="43657023"/>
    <w:rsid w:val="43724BD3"/>
    <w:rsid w:val="43732880"/>
    <w:rsid w:val="43865952"/>
    <w:rsid w:val="438F0BB0"/>
    <w:rsid w:val="43A713E9"/>
    <w:rsid w:val="43A86F10"/>
    <w:rsid w:val="43BF04EA"/>
    <w:rsid w:val="43C05A1E"/>
    <w:rsid w:val="43D22CDA"/>
    <w:rsid w:val="43D354DC"/>
    <w:rsid w:val="43DE5D98"/>
    <w:rsid w:val="43E91A02"/>
    <w:rsid w:val="43F32881"/>
    <w:rsid w:val="4405353A"/>
    <w:rsid w:val="44063CF3"/>
    <w:rsid w:val="44072973"/>
    <w:rsid w:val="440C3135"/>
    <w:rsid w:val="44112D07"/>
    <w:rsid w:val="44117E2D"/>
    <w:rsid w:val="441D5B50"/>
    <w:rsid w:val="441E6386"/>
    <w:rsid w:val="44426345"/>
    <w:rsid w:val="444B2816"/>
    <w:rsid w:val="445279AA"/>
    <w:rsid w:val="445F3A86"/>
    <w:rsid w:val="446472DA"/>
    <w:rsid w:val="44735770"/>
    <w:rsid w:val="4478636B"/>
    <w:rsid w:val="447A0DB3"/>
    <w:rsid w:val="4481712B"/>
    <w:rsid w:val="4488746D"/>
    <w:rsid w:val="448B4867"/>
    <w:rsid w:val="448E6105"/>
    <w:rsid w:val="449D459A"/>
    <w:rsid w:val="449F47B6"/>
    <w:rsid w:val="44A678F3"/>
    <w:rsid w:val="44AD1736"/>
    <w:rsid w:val="44C93406"/>
    <w:rsid w:val="44CE0BF8"/>
    <w:rsid w:val="44D02BC2"/>
    <w:rsid w:val="44D74994"/>
    <w:rsid w:val="44DC3315"/>
    <w:rsid w:val="44F62875"/>
    <w:rsid w:val="451730A2"/>
    <w:rsid w:val="451955A3"/>
    <w:rsid w:val="45205199"/>
    <w:rsid w:val="45260B70"/>
    <w:rsid w:val="453303B6"/>
    <w:rsid w:val="45350C77"/>
    <w:rsid w:val="45357C2D"/>
    <w:rsid w:val="453E7B2C"/>
    <w:rsid w:val="4541322C"/>
    <w:rsid w:val="45467C1A"/>
    <w:rsid w:val="454946CF"/>
    <w:rsid w:val="45523E0A"/>
    <w:rsid w:val="455E3D2A"/>
    <w:rsid w:val="45617CBE"/>
    <w:rsid w:val="456D0411"/>
    <w:rsid w:val="45703A5D"/>
    <w:rsid w:val="457479F1"/>
    <w:rsid w:val="45784EE5"/>
    <w:rsid w:val="457C33A8"/>
    <w:rsid w:val="457F7404"/>
    <w:rsid w:val="458361FD"/>
    <w:rsid w:val="4595726A"/>
    <w:rsid w:val="45AD0E39"/>
    <w:rsid w:val="45B66B2F"/>
    <w:rsid w:val="45C610DE"/>
    <w:rsid w:val="45C67177"/>
    <w:rsid w:val="45CA7D82"/>
    <w:rsid w:val="45D048BE"/>
    <w:rsid w:val="45D93CF8"/>
    <w:rsid w:val="45DE626C"/>
    <w:rsid w:val="45F13477"/>
    <w:rsid w:val="45F64EBA"/>
    <w:rsid w:val="45FD7B3D"/>
    <w:rsid w:val="46015FB3"/>
    <w:rsid w:val="460348D1"/>
    <w:rsid w:val="460A10C2"/>
    <w:rsid w:val="460F78BE"/>
    <w:rsid w:val="461551BA"/>
    <w:rsid w:val="46230254"/>
    <w:rsid w:val="46250CEB"/>
    <w:rsid w:val="462C207A"/>
    <w:rsid w:val="462D24EF"/>
    <w:rsid w:val="4642364B"/>
    <w:rsid w:val="464E1FF0"/>
    <w:rsid w:val="466F9291"/>
    <w:rsid w:val="46733805"/>
    <w:rsid w:val="46753897"/>
    <w:rsid w:val="46761190"/>
    <w:rsid w:val="46845A12"/>
    <w:rsid w:val="46867477"/>
    <w:rsid w:val="468A02AD"/>
    <w:rsid w:val="468B3DD1"/>
    <w:rsid w:val="469D4D26"/>
    <w:rsid w:val="46A33D32"/>
    <w:rsid w:val="46B53E1D"/>
    <w:rsid w:val="46B906B9"/>
    <w:rsid w:val="46C96F1B"/>
    <w:rsid w:val="46D61F38"/>
    <w:rsid w:val="46D87DE5"/>
    <w:rsid w:val="46E556A4"/>
    <w:rsid w:val="46E841F3"/>
    <w:rsid w:val="46EA25E1"/>
    <w:rsid w:val="46EB1077"/>
    <w:rsid w:val="46FE250C"/>
    <w:rsid w:val="470C2558"/>
    <w:rsid w:val="472165B7"/>
    <w:rsid w:val="4723347D"/>
    <w:rsid w:val="47277064"/>
    <w:rsid w:val="473161FA"/>
    <w:rsid w:val="47323C17"/>
    <w:rsid w:val="473E02B7"/>
    <w:rsid w:val="474E1009"/>
    <w:rsid w:val="474E29C1"/>
    <w:rsid w:val="475569C5"/>
    <w:rsid w:val="47590A49"/>
    <w:rsid w:val="476A063C"/>
    <w:rsid w:val="476D4039"/>
    <w:rsid w:val="47941208"/>
    <w:rsid w:val="479954ED"/>
    <w:rsid w:val="47A101B2"/>
    <w:rsid w:val="47BC11DC"/>
    <w:rsid w:val="47BF2852"/>
    <w:rsid w:val="47BF386C"/>
    <w:rsid w:val="47C95C6C"/>
    <w:rsid w:val="47D172DF"/>
    <w:rsid w:val="47EC7022"/>
    <w:rsid w:val="47EC7D13"/>
    <w:rsid w:val="47FC7940"/>
    <w:rsid w:val="48030B33"/>
    <w:rsid w:val="48046015"/>
    <w:rsid w:val="48054931"/>
    <w:rsid w:val="48102D4F"/>
    <w:rsid w:val="4819316F"/>
    <w:rsid w:val="482A18D1"/>
    <w:rsid w:val="48390A7E"/>
    <w:rsid w:val="48401E0D"/>
    <w:rsid w:val="48480CC1"/>
    <w:rsid w:val="48580B32"/>
    <w:rsid w:val="485B43A9"/>
    <w:rsid w:val="485D63AE"/>
    <w:rsid w:val="48635024"/>
    <w:rsid w:val="48693111"/>
    <w:rsid w:val="48780F7F"/>
    <w:rsid w:val="487B675C"/>
    <w:rsid w:val="48825F81"/>
    <w:rsid w:val="48847172"/>
    <w:rsid w:val="489A4FDC"/>
    <w:rsid w:val="48A572ED"/>
    <w:rsid w:val="48B22238"/>
    <w:rsid w:val="48B33076"/>
    <w:rsid w:val="48BF71D5"/>
    <w:rsid w:val="48C4330A"/>
    <w:rsid w:val="48C56B4C"/>
    <w:rsid w:val="48D55EB3"/>
    <w:rsid w:val="48DA0701"/>
    <w:rsid w:val="48DC7D87"/>
    <w:rsid w:val="48DF324A"/>
    <w:rsid w:val="48E052EC"/>
    <w:rsid w:val="48E22EC4"/>
    <w:rsid w:val="48E65AEE"/>
    <w:rsid w:val="49096FCD"/>
    <w:rsid w:val="491B7C2C"/>
    <w:rsid w:val="491F7C74"/>
    <w:rsid w:val="493F20C4"/>
    <w:rsid w:val="494625B6"/>
    <w:rsid w:val="49512BB1"/>
    <w:rsid w:val="495C2CEC"/>
    <w:rsid w:val="496215BF"/>
    <w:rsid w:val="49641F5D"/>
    <w:rsid w:val="49666B6B"/>
    <w:rsid w:val="496F2CCC"/>
    <w:rsid w:val="498126DD"/>
    <w:rsid w:val="499A379E"/>
    <w:rsid w:val="49A8530E"/>
    <w:rsid w:val="49BB2C74"/>
    <w:rsid w:val="49C40005"/>
    <w:rsid w:val="49D04BAB"/>
    <w:rsid w:val="49D942C7"/>
    <w:rsid w:val="49DC3A88"/>
    <w:rsid w:val="49DC5B65"/>
    <w:rsid w:val="49EA17C4"/>
    <w:rsid w:val="49EC3FFA"/>
    <w:rsid w:val="49F0129D"/>
    <w:rsid w:val="49FB248F"/>
    <w:rsid w:val="4A00613B"/>
    <w:rsid w:val="4A062BE2"/>
    <w:rsid w:val="4A0B1FA6"/>
    <w:rsid w:val="4A1A2F12"/>
    <w:rsid w:val="4A271BA8"/>
    <w:rsid w:val="4A280A90"/>
    <w:rsid w:val="4A2C7C77"/>
    <w:rsid w:val="4A321C6F"/>
    <w:rsid w:val="4A34008C"/>
    <w:rsid w:val="4A366D8C"/>
    <w:rsid w:val="4A375709"/>
    <w:rsid w:val="4A475BFC"/>
    <w:rsid w:val="4A4E1094"/>
    <w:rsid w:val="4A521850"/>
    <w:rsid w:val="4A561717"/>
    <w:rsid w:val="4A595408"/>
    <w:rsid w:val="4A615C7A"/>
    <w:rsid w:val="4A717D8F"/>
    <w:rsid w:val="4A744BC4"/>
    <w:rsid w:val="4A77763C"/>
    <w:rsid w:val="4A7D0F83"/>
    <w:rsid w:val="4A834A22"/>
    <w:rsid w:val="4A8815D3"/>
    <w:rsid w:val="4A8A55C1"/>
    <w:rsid w:val="4A9454F9"/>
    <w:rsid w:val="4A972DF7"/>
    <w:rsid w:val="4A985F30"/>
    <w:rsid w:val="4A992274"/>
    <w:rsid w:val="4AAA2276"/>
    <w:rsid w:val="4AAD1B66"/>
    <w:rsid w:val="4AB64534"/>
    <w:rsid w:val="4AB731AE"/>
    <w:rsid w:val="4AB80380"/>
    <w:rsid w:val="4AC0752C"/>
    <w:rsid w:val="4AC66642"/>
    <w:rsid w:val="4AC7411F"/>
    <w:rsid w:val="4AD37353"/>
    <w:rsid w:val="4ADA20A4"/>
    <w:rsid w:val="4ADC6651"/>
    <w:rsid w:val="4AE2340C"/>
    <w:rsid w:val="4AFF6999"/>
    <w:rsid w:val="4B1720E1"/>
    <w:rsid w:val="4B21257E"/>
    <w:rsid w:val="4B290FE3"/>
    <w:rsid w:val="4B2F18A2"/>
    <w:rsid w:val="4B322207"/>
    <w:rsid w:val="4B3B5793"/>
    <w:rsid w:val="4B58050B"/>
    <w:rsid w:val="4B5A25F7"/>
    <w:rsid w:val="4B6A0768"/>
    <w:rsid w:val="4B6B0CBD"/>
    <w:rsid w:val="4B705719"/>
    <w:rsid w:val="4B7B47F9"/>
    <w:rsid w:val="4B895A3E"/>
    <w:rsid w:val="4B9A5CD8"/>
    <w:rsid w:val="4BA563FE"/>
    <w:rsid w:val="4BB77663"/>
    <w:rsid w:val="4BBE2F70"/>
    <w:rsid w:val="4BC2626F"/>
    <w:rsid w:val="4BC4783E"/>
    <w:rsid w:val="4BC54DE5"/>
    <w:rsid w:val="4BD52968"/>
    <w:rsid w:val="4BD91D02"/>
    <w:rsid w:val="4BE2600E"/>
    <w:rsid w:val="4BE57820"/>
    <w:rsid w:val="4BFB7B74"/>
    <w:rsid w:val="4C036F90"/>
    <w:rsid w:val="4C0457A1"/>
    <w:rsid w:val="4C115F9A"/>
    <w:rsid w:val="4C361B10"/>
    <w:rsid w:val="4C3F2C78"/>
    <w:rsid w:val="4C42244E"/>
    <w:rsid w:val="4C437DCE"/>
    <w:rsid w:val="4C4C0A3B"/>
    <w:rsid w:val="4C65577D"/>
    <w:rsid w:val="4C6A3121"/>
    <w:rsid w:val="4C6F4A6E"/>
    <w:rsid w:val="4C727CFA"/>
    <w:rsid w:val="4C88081B"/>
    <w:rsid w:val="4C8872A2"/>
    <w:rsid w:val="4C9444D5"/>
    <w:rsid w:val="4C9C19F3"/>
    <w:rsid w:val="4C9F7C88"/>
    <w:rsid w:val="4CA22E8C"/>
    <w:rsid w:val="4CA3418B"/>
    <w:rsid w:val="4CA47183"/>
    <w:rsid w:val="4CA97C29"/>
    <w:rsid w:val="4CB7606E"/>
    <w:rsid w:val="4CC254E6"/>
    <w:rsid w:val="4CE94821"/>
    <w:rsid w:val="4CEF795D"/>
    <w:rsid w:val="4CF745DE"/>
    <w:rsid w:val="4CFB4554"/>
    <w:rsid w:val="4CFC57E0"/>
    <w:rsid w:val="4D087B01"/>
    <w:rsid w:val="4D0B58BC"/>
    <w:rsid w:val="4D0C2AD5"/>
    <w:rsid w:val="4D0F1DAD"/>
    <w:rsid w:val="4D135D42"/>
    <w:rsid w:val="4D1A1F72"/>
    <w:rsid w:val="4D2059FA"/>
    <w:rsid w:val="4D2D2A74"/>
    <w:rsid w:val="4D2E29D3"/>
    <w:rsid w:val="4D2E3574"/>
    <w:rsid w:val="4D2F41FE"/>
    <w:rsid w:val="4D451B18"/>
    <w:rsid w:val="4D4B7F4F"/>
    <w:rsid w:val="4D5679DC"/>
    <w:rsid w:val="4D662315"/>
    <w:rsid w:val="4D755736"/>
    <w:rsid w:val="4D8B1D7C"/>
    <w:rsid w:val="4D8E14B9"/>
    <w:rsid w:val="4DB92102"/>
    <w:rsid w:val="4DBA3E20"/>
    <w:rsid w:val="4DBC5B64"/>
    <w:rsid w:val="4DC679DB"/>
    <w:rsid w:val="4DE61D12"/>
    <w:rsid w:val="4DF1146E"/>
    <w:rsid w:val="4DF82017"/>
    <w:rsid w:val="4DFF1E22"/>
    <w:rsid w:val="4E0E661C"/>
    <w:rsid w:val="4E2F0959"/>
    <w:rsid w:val="4E3527D0"/>
    <w:rsid w:val="4E4C57ED"/>
    <w:rsid w:val="4E5505A6"/>
    <w:rsid w:val="4E6B41DE"/>
    <w:rsid w:val="4E810A89"/>
    <w:rsid w:val="4E820BD8"/>
    <w:rsid w:val="4E820C19"/>
    <w:rsid w:val="4E8D729C"/>
    <w:rsid w:val="4E8E1C0C"/>
    <w:rsid w:val="4E9E6D93"/>
    <w:rsid w:val="4EA5208F"/>
    <w:rsid w:val="4EA529C9"/>
    <w:rsid w:val="4EAE617F"/>
    <w:rsid w:val="4EBD702F"/>
    <w:rsid w:val="4EC818B0"/>
    <w:rsid w:val="4ECB59F9"/>
    <w:rsid w:val="4ECE1CAC"/>
    <w:rsid w:val="4ED35788"/>
    <w:rsid w:val="4ED4505D"/>
    <w:rsid w:val="4ED65662"/>
    <w:rsid w:val="4EE414BB"/>
    <w:rsid w:val="4EF86F9D"/>
    <w:rsid w:val="4EFF65C5"/>
    <w:rsid w:val="4F012E1B"/>
    <w:rsid w:val="4F014784"/>
    <w:rsid w:val="4F03730B"/>
    <w:rsid w:val="4F0431E6"/>
    <w:rsid w:val="4F1D6A04"/>
    <w:rsid w:val="4F254824"/>
    <w:rsid w:val="4F2658BE"/>
    <w:rsid w:val="4F302F53"/>
    <w:rsid w:val="4F4736A7"/>
    <w:rsid w:val="4F4D1A93"/>
    <w:rsid w:val="4F626B0C"/>
    <w:rsid w:val="4F6463E1"/>
    <w:rsid w:val="4F774C49"/>
    <w:rsid w:val="4F7914EF"/>
    <w:rsid w:val="4F7B372A"/>
    <w:rsid w:val="4F84596C"/>
    <w:rsid w:val="4F9174FD"/>
    <w:rsid w:val="4FAD5FDA"/>
    <w:rsid w:val="4FB10142"/>
    <w:rsid w:val="4FBB7FCB"/>
    <w:rsid w:val="4FC643B6"/>
    <w:rsid w:val="4FCC21D8"/>
    <w:rsid w:val="4FD1578E"/>
    <w:rsid w:val="4FD5476C"/>
    <w:rsid w:val="4FD74E04"/>
    <w:rsid w:val="4FE10E76"/>
    <w:rsid w:val="4FE37C4D"/>
    <w:rsid w:val="4FEE2189"/>
    <w:rsid w:val="4FF82FCD"/>
    <w:rsid w:val="500029A1"/>
    <w:rsid w:val="50016856"/>
    <w:rsid w:val="5008518B"/>
    <w:rsid w:val="500F5F58"/>
    <w:rsid w:val="501A73E7"/>
    <w:rsid w:val="502B6EFE"/>
    <w:rsid w:val="50324E90"/>
    <w:rsid w:val="503D27C7"/>
    <w:rsid w:val="50447FC0"/>
    <w:rsid w:val="504C1B11"/>
    <w:rsid w:val="504F0E3F"/>
    <w:rsid w:val="505428F9"/>
    <w:rsid w:val="50593A6B"/>
    <w:rsid w:val="505A5A36"/>
    <w:rsid w:val="505F48A5"/>
    <w:rsid w:val="506472D4"/>
    <w:rsid w:val="50744D49"/>
    <w:rsid w:val="507460A4"/>
    <w:rsid w:val="50924AE3"/>
    <w:rsid w:val="5094445D"/>
    <w:rsid w:val="509838F7"/>
    <w:rsid w:val="50985DED"/>
    <w:rsid w:val="509F2F94"/>
    <w:rsid w:val="50A23A1E"/>
    <w:rsid w:val="50AD3FE0"/>
    <w:rsid w:val="50B52C6C"/>
    <w:rsid w:val="50B57EA9"/>
    <w:rsid w:val="50B6453F"/>
    <w:rsid w:val="50BC2B26"/>
    <w:rsid w:val="50BD049E"/>
    <w:rsid w:val="50BD2B55"/>
    <w:rsid w:val="50BE1984"/>
    <w:rsid w:val="50C74763"/>
    <w:rsid w:val="50D141C6"/>
    <w:rsid w:val="50D94FDD"/>
    <w:rsid w:val="50E0336A"/>
    <w:rsid w:val="50E84DEF"/>
    <w:rsid w:val="50EC6A3E"/>
    <w:rsid w:val="50F004EF"/>
    <w:rsid w:val="50F115EA"/>
    <w:rsid w:val="50F72C9C"/>
    <w:rsid w:val="50FC0DB6"/>
    <w:rsid w:val="510944D7"/>
    <w:rsid w:val="510C4F82"/>
    <w:rsid w:val="511F2007"/>
    <w:rsid w:val="51271E2F"/>
    <w:rsid w:val="51284231"/>
    <w:rsid w:val="51342CAA"/>
    <w:rsid w:val="51346287"/>
    <w:rsid w:val="51406A38"/>
    <w:rsid w:val="514829E3"/>
    <w:rsid w:val="514B4E4E"/>
    <w:rsid w:val="514C4574"/>
    <w:rsid w:val="515A3F3F"/>
    <w:rsid w:val="516578E1"/>
    <w:rsid w:val="51782617"/>
    <w:rsid w:val="518E70C9"/>
    <w:rsid w:val="51A27E07"/>
    <w:rsid w:val="51A74130"/>
    <w:rsid w:val="51B475E9"/>
    <w:rsid w:val="51BD44CE"/>
    <w:rsid w:val="51CC64BF"/>
    <w:rsid w:val="51D11D27"/>
    <w:rsid w:val="51D135DE"/>
    <w:rsid w:val="51DF2696"/>
    <w:rsid w:val="51F65295"/>
    <w:rsid w:val="51FD3DB6"/>
    <w:rsid w:val="520C3BB6"/>
    <w:rsid w:val="521A58B8"/>
    <w:rsid w:val="52252174"/>
    <w:rsid w:val="52295AE6"/>
    <w:rsid w:val="522965BC"/>
    <w:rsid w:val="522D0E7F"/>
    <w:rsid w:val="523440C6"/>
    <w:rsid w:val="52360B46"/>
    <w:rsid w:val="52376072"/>
    <w:rsid w:val="523E4D62"/>
    <w:rsid w:val="525402A0"/>
    <w:rsid w:val="526A01B2"/>
    <w:rsid w:val="526D006E"/>
    <w:rsid w:val="527600FA"/>
    <w:rsid w:val="52796647"/>
    <w:rsid w:val="52854FEC"/>
    <w:rsid w:val="52856670"/>
    <w:rsid w:val="52BF5C92"/>
    <w:rsid w:val="52C2167A"/>
    <w:rsid w:val="52C33D66"/>
    <w:rsid w:val="52C7794C"/>
    <w:rsid w:val="52D279CD"/>
    <w:rsid w:val="52D32ADF"/>
    <w:rsid w:val="52E45ACB"/>
    <w:rsid w:val="52F47AFB"/>
    <w:rsid w:val="53071B37"/>
    <w:rsid w:val="530A5973"/>
    <w:rsid w:val="53122BC2"/>
    <w:rsid w:val="531348FB"/>
    <w:rsid w:val="531A77B9"/>
    <w:rsid w:val="5325232B"/>
    <w:rsid w:val="53275D3D"/>
    <w:rsid w:val="53285977"/>
    <w:rsid w:val="532E7431"/>
    <w:rsid w:val="533354CF"/>
    <w:rsid w:val="53346B96"/>
    <w:rsid w:val="535D5DC8"/>
    <w:rsid w:val="536820BE"/>
    <w:rsid w:val="536A41E2"/>
    <w:rsid w:val="5373753A"/>
    <w:rsid w:val="537A5743"/>
    <w:rsid w:val="537D2360"/>
    <w:rsid w:val="53811E50"/>
    <w:rsid w:val="53980367"/>
    <w:rsid w:val="53B22465"/>
    <w:rsid w:val="53B72F65"/>
    <w:rsid w:val="53BE3989"/>
    <w:rsid w:val="53C02C55"/>
    <w:rsid w:val="53D77AC9"/>
    <w:rsid w:val="53D83751"/>
    <w:rsid w:val="53DE702C"/>
    <w:rsid w:val="53E2021C"/>
    <w:rsid w:val="53FD2AC2"/>
    <w:rsid w:val="5409404E"/>
    <w:rsid w:val="540B196F"/>
    <w:rsid w:val="540E6984"/>
    <w:rsid w:val="54134B75"/>
    <w:rsid w:val="54164746"/>
    <w:rsid w:val="541A1764"/>
    <w:rsid w:val="54224729"/>
    <w:rsid w:val="542E2ADC"/>
    <w:rsid w:val="543341B9"/>
    <w:rsid w:val="543D7AC6"/>
    <w:rsid w:val="544B7F7E"/>
    <w:rsid w:val="54501D22"/>
    <w:rsid w:val="545729B8"/>
    <w:rsid w:val="546146EB"/>
    <w:rsid w:val="54680D66"/>
    <w:rsid w:val="54685AA1"/>
    <w:rsid w:val="546B156E"/>
    <w:rsid w:val="54730639"/>
    <w:rsid w:val="54754BEC"/>
    <w:rsid w:val="54771BEE"/>
    <w:rsid w:val="547D06FB"/>
    <w:rsid w:val="547D14B1"/>
    <w:rsid w:val="54857DDB"/>
    <w:rsid w:val="548C678B"/>
    <w:rsid w:val="54905199"/>
    <w:rsid w:val="54914216"/>
    <w:rsid w:val="549273A9"/>
    <w:rsid w:val="549405C7"/>
    <w:rsid w:val="549A549D"/>
    <w:rsid w:val="549D6C55"/>
    <w:rsid w:val="54A379AB"/>
    <w:rsid w:val="54A520AB"/>
    <w:rsid w:val="54A83213"/>
    <w:rsid w:val="54B17DA0"/>
    <w:rsid w:val="54B24092"/>
    <w:rsid w:val="54DC4C6B"/>
    <w:rsid w:val="54E35FFA"/>
    <w:rsid w:val="54EF7DF9"/>
    <w:rsid w:val="54F2448F"/>
    <w:rsid w:val="550B2DC8"/>
    <w:rsid w:val="551D51E7"/>
    <w:rsid w:val="551D59AF"/>
    <w:rsid w:val="55322ADD"/>
    <w:rsid w:val="55344AA7"/>
    <w:rsid w:val="554C32B2"/>
    <w:rsid w:val="55501E76"/>
    <w:rsid w:val="555A336D"/>
    <w:rsid w:val="55731E3E"/>
    <w:rsid w:val="557E29D7"/>
    <w:rsid w:val="558C5AE7"/>
    <w:rsid w:val="558F2195"/>
    <w:rsid w:val="55900035"/>
    <w:rsid w:val="55AF05D2"/>
    <w:rsid w:val="55AF2380"/>
    <w:rsid w:val="55AF798B"/>
    <w:rsid w:val="55E31D34"/>
    <w:rsid w:val="55ED4967"/>
    <w:rsid w:val="55F350C4"/>
    <w:rsid w:val="55FD1727"/>
    <w:rsid w:val="55FF6E63"/>
    <w:rsid w:val="55FF8670"/>
    <w:rsid w:val="561405B9"/>
    <w:rsid w:val="561C5C67"/>
    <w:rsid w:val="56247722"/>
    <w:rsid w:val="56292132"/>
    <w:rsid w:val="562B64B3"/>
    <w:rsid w:val="56301712"/>
    <w:rsid w:val="56342FDD"/>
    <w:rsid w:val="56361010"/>
    <w:rsid w:val="56467B64"/>
    <w:rsid w:val="565626F9"/>
    <w:rsid w:val="565671A2"/>
    <w:rsid w:val="56685CA8"/>
    <w:rsid w:val="566D0271"/>
    <w:rsid w:val="56725887"/>
    <w:rsid w:val="567315FF"/>
    <w:rsid w:val="56740DC7"/>
    <w:rsid w:val="5677558B"/>
    <w:rsid w:val="567C6706"/>
    <w:rsid w:val="56A17F1A"/>
    <w:rsid w:val="56A45C5C"/>
    <w:rsid w:val="56AA3219"/>
    <w:rsid w:val="56B55774"/>
    <w:rsid w:val="56BF4844"/>
    <w:rsid w:val="56CA038E"/>
    <w:rsid w:val="56DE4C00"/>
    <w:rsid w:val="56FB3ACE"/>
    <w:rsid w:val="570109B9"/>
    <w:rsid w:val="570847EE"/>
    <w:rsid w:val="573270B5"/>
    <w:rsid w:val="57331689"/>
    <w:rsid w:val="57340D8E"/>
    <w:rsid w:val="573B211D"/>
    <w:rsid w:val="574014E1"/>
    <w:rsid w:val="57443B56"/>
    <w:rsid w:val="57580F21"/>
    <w:rsid w:val="575F1390"/>
    <w:rsid w:val="57614844"/>
    <w:rsid w:val="576A00D2"/>
    <w:rsid w:val="576A530D"/>
    <w:rsid w:val="577A000D"/>
    <w:rsid w:val="578429F3"/>
    <w:rsid w:val="57923D07"/>
    <w:rsid w:val="57971A40"/>
    <w:rsid w:val="579E4D2D"/>
    <w:rsid w:val="57A24175"/>
    <w:rsid w:val="57B75717"/>
    <w:rsid w:val="57C245EC"/>
    <w:rsid w:val="57C470D2"/>
    <w:rsid w:val="57C540DC"/>
    <w:rsid w:val="57C77E19"/>
    <w:rsid w:val="57C87729"/>
    <w:rsid w:val="57CA488B"/>
    <w:rsid w:val="57CE5051"/>
    <w:rsid w:val="57DB47FB"/>
    <w:rsid w:val="57E9181D"/>
    <w:rsid w:val="58003366"/>
    <w:rsid w:val="580846BB"/>
    <w:rsid w:val="5816050F"/>
    <w:rsid w:val="58201313"/>
    <w:rsid w:val="58205F1A"/>
    <w:rsid w:val="5823086F"/>
    <w:rsid w:val="582468CD"/>
    <w:rsid w:val="583074F9"/>
    <w:rsid w:val="583628E4"/>
    <w:rsid w:val="58382B00"/>
    <w:rsid w:val="584C2587"/>
    <w:rsid w:val="585127AA"/>
    <w:rsid w:val="58515970"/>
    <w:rsid w:val="5855720E"/>
    <w:rsid w:val="58603D47"/>
    <w:rsid w:val="586438F5"/>
    <w:rsid w:val="586666B0"/>
    <w:rsid w:val="58705BCB"/>
    <w:rsid w:val="587D49B7"/>
    <w:rsid w:val="58951D01"/>
    <w:rsid w:val="589917F1"/>
    <w:rsid w:val="58A61818"/>
    <w:rsid w:val="58BB3CCE"/>
    <w:rsid w:val="58C6010C"/>
    <w:rsid w:val="58C63C68"/>
    <w:rsid w:val="58F261D0"/>
    <w:rsid w:val="590C6A66"/>
    <w:rsid w:val="59125866"/>
    <w:rsid w:val="5915352F"/>
    <w:rsid w:val="592954E8"/>
    <w:rsid w:val="59304651"/>
    <w:rsid w:val="59327352"/>
    <w:rsid w:val="593329F7"/>
    <w:rsid w:val="593C3382"/>
    <w:rsid w:val="594352B9"/>
    <w:rsid w:val="59466D98"/>
    <w:rsid w:val="594856C1"/>
    <w:rsid w:val="59486EBB"/>
    <w:rsid w:val="59493AFE"/>
    <w:rsid w:val="594C38F9"/>
    <w:rsid w:val="594C4A1E"/>
    <w:rsid w:val="59567838"/>
    <w:rsid w:val="595A7F21"/>
    <w:rsid w:val="595B6AA6"/>
    <w:rsid w:val="59700D18"/>
    <w:rsid w:val="5970491E"/>
    <w:rsid w:val="597304CA"/>
    <w:rsid w:val="59770819"/>
    <w:rsid w:val="597A0373"/>
    <w:rsid w:val="597C290B"/>
    <w:rsid w:val="598803B1"/>
    <w:rsid w:val="5999312B"/>
    <w:rsid w:val="59A5117A"/>
    <w:rsid w:val="59A937D5"/>
    <w:rsid w:val="59AF294E"/>
    <w:rsid w:val="59B7FB59"/>
    <w:rsid w:val="59B91A1F"/>
    <w:rsid w:val="59C101B4"/>
    <w:rsid w:val="59D923BD"/>
    <w:rsid w:val="59DB746A"/>
    <w:rsid w:val="59F2154E"/>
    <w:rsid w:val="59F82547"/>
    <w:rsid w:val="59F9295E"/>
    <w:rsid w:val="59F9691A"/>
    <w:rsid w:val="59FFE515"/>
    <w:rsid w:val="59FFED46"/>
    <w:rsid w:val="5A012975"/>
    <w:rsid w:val="5A032C9A"/>
    <w:rsid w:val="5A097A39"/>
    <w:rsid w:val="5A112448"/>
    <w:rsid w:val="5A1E417A"/>
    <w:rsid w:val="5A2D3B53"/>
    <w:rsid w:val="5A39156C"/>
    <w:rsid w:val="5A3F0176"/>
    <w:rsid w:val="5A4B061B"/>
    <w:rsid w:val="5A560E10"/>
    <w:rsid w:val="5A616802"/>
    <w:rsid w:val="5A6457FD"/>
    <w:rsid w:val="5A645A7F"/>
    <w:rsid w:val="5A6E45B7"/>
    <w:rsid w:val="5A831ACB"/>
    <w:rsid w:val="5A845B3B"/>
    <w:rsid w:val="5A867B53"/>
    <w:rsid w:val="5A873ECB"/>
    <w:rsid w:val="5A934A0F"/>
    <w:rsid w:val="5A957C98"/>
    <w:rsid w:val="5A971D60"/>
    <w:rsid w:val="5A9E6D6F"/>
    <w:rsid w:val="5AA24261"/>
    <w:rsid w:val="5AA955EF"/>
    <w:rsid w:val="5AAC3332"/>
    <w:rsid w:val="5AAD3771"/>
    <w:rsid w:val="5AAD60EA"/>
    <w:rsid w:val="5AB61166"/>
    <w:rsid w:val="5AB61DE0"/>
    <w:rsid w:val="5ADC3C17"/>
    <w:rsid w:val="5AF571A2"/>
    <w:rsid w:val="5AF70A51"/>
    <w:rsid w:val="5AF80325"/>
    <w:rsid w:val="5AFC1BC3"/>
    <w:rsid w:val="5B072DB6"/>
    <w:rsid w:val="5B1C2265"/>
    <w:rsid w:val="5B233465"/>
    <w:rsid w:val="5B24216F"/>
    <w:rsid w:val="5B2470C9"/>
    <w:rsid w:val="5B303F63"/>
    <w:rsid w:val="5B437CDD"/>
    <w:rsid w:val="5B490C9B"/>
    <w:rsid w:val="5B506B61"/>
    <w:rsid w:val="5B5F0F2E"/>
    <w:rsid w:val="5B5F5F31"/>
    <w:rsid w:val="5B607F9A"/>
    <w:rsid w:val="5B6A7475"/>
    <w:rsid w:val="5B6B4F9B"/>
    <w:rsid w:val="5B6B796C"/>
    <w:rsid w:val="5B6F30EB"/>
    <w:rsid w:val="5B7621D4"/>
    <w:rsid w:val="5B8A3673"/>
    <w:rsid w:val="5B914A01"/>
    <w:rsid w:val="5B9808C1"/>
    <w:rsid w:val="5B9C426A"/>
    <w:rsid w:val="5BB10CB2"/>
    <w:rsid w:val="5BC16A09"/>
    <w:rsid w:val="5BD91122"/>
    <w:rsid w:val="5BFD3CD1"/>
    <w:rsid w:val="5C012CC6"/>
    <w:rsid w:val="5C142F3C"/>
    <w:rsid w:val="5C503DE0"/>
    <w:rsid w:val="5C5435D1"/>
    <w:rsid w:val="5C5C5BA5"/>
    <w:rsid w:val="5C7D6D34"/>
    <w:rsid w:val="5C8C4702"/>
    <w:rsid w:val="5C927ACB"/>
    <w:rsid w:val="5C943DBC"/>
    <w:rsid w:val="5C997625"/>
    <w:rsid w:val="5C9D1184"/>
    <w:rsid w:val="5CA57080"/>
    <w:rsid w:val="5CA77E21"/>
    <w:rsid w:val="5CB169DD"/>
    <w:rsid w:val="5CB7760A"/>
    <w:rsid w:val="5CCD19E5"/>
    <w:rsid w:val="5CD503DD"/>
    <w:rsid w:val="5CE23DAC"/>
    <w:rsid w:val="5CE73917"/>
    <w:rsid w:val="5D0A73AF"/>
    <w:rsid w:val="5D0B433F"/>
    <w:rsid w:val="5D0E312D"/>
    <w:rsid w:val="5D120F26"/>
    <w:rsid w:val="5D186A5C"/>
    <w:rsid w:val="5D192F00"/>
    <w:rsid w:val="5D3D64C3"/>
    <w:rsid w:val="5D3E31E9"/>
    <w:rsid w:val="5D415FB3"/>
    <w:rsid w:val="5D436E42"/>
    <w:rsid w:val="5D443CF5"/>
    <w:rsid w:val="5D4C7D5A"/>
    <w:rsid w:val="5D4F6922"/>
    <w:rsid w:val="5D545A7D"/>
    <w:rsid w:val="5D63667B"/>
    <w:rsid w:val="5D6F2EDA"/>
    <w:rsid w:val="5D77338F"/>
    <w:rsid w:val="5D783847"/>
    <w:rsid w:val="5D8701EB"/>
    <w:rsid w:val="5D8B5480"/>
    <w:rsid w:val="5D9941C1"/>
    <w:rsid w:val="5D997B9D"/>
    <w:rsid w:val="5DA92832"/>
    <w:rsid w:val="5DAE502B"/>
    <w:rsid w:val="5DB915F2"/>
    <w:rsid w:val="5DBC60F3"/>
    <w:rsid w:val="5DCA41FA"/>
    <w:rsid w:val="5DCD5E1E"/>
    <w:rsid w:val="5DDA5440"/>
    <w:rsid w:val="5DDD5947"/>
    <w:rsid w:val="5DDF393D"/>
    <w:rsid w:val="5DDF6E4E"/>
    <w:rsid w:val="5DFA49E0"/>
    <w:rsid w:val="5DFC31B0"/>
    <w:rsid w:val="5E11349C"/>
    <w:rsid w:val="5E1D0F80"/>
    <w:rsid w:val="5E3261DA"/>
    <w:rsid w:val="5E4C1080"/>
    <w:rsid w:val="5E4E1C8A"/>
    <w:rsid w:val="5E4E7BBB"/>
    <w:rsid w:val="5E532442"/>
    <w:rsid w:val="5E5D7A78"/>
    <w:rsid w:val="5E736FCD"/>
    <w:rsid w:val="5E7423B8"/>
    <w:rsid w:val="5E7B6A49"/>
    <w:rsid w:val="5E7F11CF"/>
    <w:rsid w:val="5E8274BA"/>
    <w:rsid w:val="5E8E347A"/>
    <w:rsid w:val="5E930A90"/>
    <w:rsid w:val="5E960581"/>
    <w:rsid w:val="5E9F11E3"/>
    <w:rsid w:val="5EA53C9A"/>
    <w:rsid w:val="5EBC7F37"/>
    <w:rsid w:val="5EBD3D5F"/>
    <w:rsid w:val="5ED36C86"/>
    <w:rsid w:val="5EDA60B0"/>
    <w:rsid w:val="5EE35A57"/>
    <w:rsid w:val="5EFD5F0A"/>
    <w:rsid w:val="5EFF6126"/>
    <w:rsid w:val="5F021772"/>
    <w:rsid w:val="5F13397F"/>
    <w:rsid w:val="5F1645A7"/>
    <w:rsid w:val="5F1F2324"/>
    <w:rsid w:val="5F2636B2"/>
    <w:rsid w:val="5F2C50FF"/>
    <w:rsid w:val="5F50072F"/>
    <w:rsid w:val="5F593296"/>
    <w:rsid w:val="5F6979AC"/>
    <w:rsid w:val="5F6A54DD"/>
    <w:rsid w:val="5F8108E9"/>
    <w:rsid w:val="5F815969"/>
    <w:rsid w:val="5F887EC9"/>
    <w:rsid w:val="5F893C41"/>
    <w:rsid w:val="5F8B4FA7"/>
    <w:rsid w:val="5F9571F8"/>
    <w:rsid w:val="5F9B72D1"/>
    <w:rsid w:val="5F9C1BC7"/>
    <w:rsid w:val="5FAB005C"/>
    <w:rsid w:val="5FAB0A44"/>
    <w:rsid w:val="5FB34738"/>
    <w:rsid w:val="5FB82D7C"/>
    <w:rsid w:val="5FB83E82"/>
    <w:rsid w:val="5FB95E1C"/>
    <w:rsid w:val="5FBE4BB4"/>
    <w:rsid w:val="5FC85F82"/>
    <w:rsid w:val="5FCB3FE5"/>
    <w:rsid w:val="5FE33352"/>
    <w:rsid w:val="5FED772C"/>
    <w:rsid w:val="5FF97EAE"/>
    <w:rsid w:val="5FFBE05A"/>
    <w:rsid w:val="600C5381"/>
    <w:rsid w:val="60155C27"/>
    <w:rsid w:val="60162D11"/>
    <w:rsid w:val="601A6070"/>
    <w:rsid w:val="60226F8B"/>
    <w:rsid w:val="6025591D"/>
    <w:rsid w:val="60477ABF"/>
    <w:rsid w:val="604B06AE"/>
    <w:rsid w:val="60526566"/>
    <w:rsid w:val="60575E97"/>
    <w:rsid w:val="605F72F5"/>
    <w:rsid w:val="6062696C"/>
    <w:rsid w:val="60765F74"/>
    <w:rsid w:val="607F756F"/>
    <w:rsid w:val="60822B6A"/>
    <w:rsid w:val="608D7B10"/>
    <w:rsid w:val="609805E0"/>
    <w:rsid w:val="60982996"/>
    <w:rsid w:val="60B30F76"/>
    <w:rsid w:val="60C53D01"/>
    <w:rsid w:val="60C9018D"/>
    <w:rsid w:val="60D96503"/>
    <w:rsid w:val="61012C93"/>
    <w:rsid w:val="61053FC5"/>
    <w:rsid w:val="610C088E"/>
    <w:rsid w:val="611C0F34"/>
    <w:rsid w:val="613B0F6B"/>
    <w:rsid w:val="614A03E6"/>
    <w:rsid w:val="614C3178"/>
    <w:rsid w:val="61531A50"/>
    <w:rsid w:val="61532201"/>
    <w:rsid w:val="61651210"/>
    <w:rsid w:val="61666018"/>
    <w:rsid w:val="616B46BB"/>
    <w:rsid w:val="617B6EE4"/>
    <w:rsid w:val="618D7A19"/>
    <w:rsid w:val="61930DA7"/>
    <w:rsid w:val="619B5D77"/>
    <w:rsid w:val="619C7C5C"/>
    <w:rsid w:val="61AF3E33"/>
    <w:rsid w:val="61B10243"/>
    <w:rsid w:val="61BB2DD9"/>
    <w:rsid w:val="61C00B2F"/>
    <w:rsid w:val="61C6117D"/>
    <w:rsid w:val="61CC7F6D"/>
    <w:rsid w:val="61DD1B9A"/>
    <w:rsid w:val="61E136F6"/>
    <w:rsid w:val="61F323CC"/>
    <w:rsid w:val="61F4426B"/>
    <w:rsid w:val="61F83805"/>
    <w:rsid w:val="62022776"/>
    <w:rsid w:val="62083BCC"/>
    <w:rsid w:val="620B070F"/>
    <w:rsid w:val="620E0D6B"/>
    <w:rsid w:val="621C6FEF"/>
    <w:rsid w:val="62256C85"/>
    <w:rsid w:val="62574D95"/>
    <w:rsid w:val="62586747"/>
    <w:rsid w:val="625B18C5"/>
    <w:rsid w:val="626C60B7"/>
    <w:rsid w:val="627325F5"/>
    <w:rsid w:val="62746498"/>
    <w:rsid w:val="6290313E"/>
    <w:rsid w:val="62922E0D"/>
    <w:rsid w:val="62982A5C"/>
    <w:rsid w:val="62A019CE"/>
    <w:rsid w:val="62A36DC8"/>
    <w:rsid w:val="62A41769"/>
    <w:rsid w:val="62B611F1"/>
    <w:rsid w:val="62B965EC"/>
    <w:rsid w:val="62BE1E54"/>
    <w:rsid w:val="62CB6D60"/>
    <w:rsid w:val="62D00ABF"/>
    <w:rsid w:val="62E573E1"/>
    <w:rsid w:val="62F154C5"/>
    <w:rsid w:val="62F45876"/>
    <w:rsid w:val="62FD0A5D"/>
    <w:rsid w:val="630831EC"/>
    <w:rsid w:val="630930CF"/>
    <w:rsid w:val="63162338"/>
    <w:rsid w:val="63184704"/>
    <w:rsid w:val="632036E4"/>
    <w:rsid w:val="63232EB3"/>
    <w:rsid w:val="63267478"/>
    <w:rsid w:val="633D315E"/>
    <w:rsid w:val="63466965"/>
    <w:rsid w:val="63517786"/>
    <w:rsid w:val="63660B97"/>
    <w:rsid w:val="636724EC"/>
    <w:rsid w:val="636B5B38"/>
    <w:rsid w:val="636C365E"/>
    <w:rsid w:val="637052D7"/>
    <w:rsid w:val="637F5A87"/>
    <w:rsid w:val="6388739F"/>
    <w:rsid w:val="638931FB"/>
    <w:rsid w:val="63954DAA"/>
    <w:rsid w:val="63AB062A"/>
    <w:rsid w:val="63AB1A91"/>
    <w:rsid w:val="63AC6354"/>
    <w:rsid w:val="63B76FCF"/>
    <w:rsid w:val="63C74AA3"/>
    <w:rsid w:val="63C96D02"/>
    <w:rsid w:val="63D47B81"/>
    <w:rsid w:val="63D87748"/>
    <w:rsid w:val="63DE2EEF"/>
    <w:rsid w:val="63E94CAF"/>
    <w:rsid w:val="63F16145"/>
    <w:rsid w:val="63FA3360"/>
    <w:rsid w:val="64024CFF"/>
    <w:rsid w:val="64156999"/>
    <w:rsid w:val="64177A6E"/>
    <w:rsid w:val="641D22DD"/>
    <w:rsid w:val="64306CAD"/>
    <w:rsid w:val="6445580E"/>
    <w:rsid w:val="644A1BF1"/>
    <w:rsid w:val="645B3151"/>
    <w:rsid w:val="64616F3B"/>
    <w:rsid w:val="646A170C"/>
    <w:rsid w:val="646C6303"/>
    <w:rsid w:val="64701038"/>
    <w:rsid w:val="647629E6"/>
    <w:rsid w:val="647948A0"/>
    <w:rsid w:val="64797A3F"/>
    <w:rsid w:val="64815AEE"/>
    <w:rsid w:val="64874BF3"/>
    <w:rsid w:val="64885DC6"/>
    <w:rsid w:val="648937A8"/>
    <w:rsid w:val="648B1BA9"/>
    <w:rsid w:val="648D0F64"/>
    <w:rsid w:val="649449E8"/>
    <w:rsid w:val="649D5D6D"/>
    <w:rsid w:val="64A101E4"/>
    <w:rsid w:val="64A9391A"/>
    <w:rsid w:val="64D77B16"/>
    <w:rsid w:val="64F1465A"/>
    <w:rsid w:val="6501677B"/>
    <w:rsid w:val="650A5434"/>
    <w:rsid w:val="650A75D2"/>
    <w:rsid w:val="651B17E0"/>
    <w:rsid w:val="651E27DC"/>
    <w:rsid w:val="653C6DE1"/>
    <w:rsid w:val="654725D5"/>
    <w:rsid w:val="65570D94"/>
    <w:rsid w:val="65574C16"/>
    <w:rsid w:val="655D3BA6"/>
    <w:rsid w:val="65660CAD"/>
    <w:rsid w:val="656F7088"/>
    <w:rsid w:val="65744A4C"/>
    <w:rsid w:val="657A4758"/>
    <w:rsid w:val="65834ED7"/>
    <w:rsid w:val="658630FD"/>
    <w:rsid w:val="658904F7"/>
    <w:rsid w:val="65927DA1"/>
    <w:rsid w:val="6593581A"/>
    <w:rsid w:val="65AD00CC"/>
    <w:rsid w:val="65B7553F"/>
    <w:rsid w:val="65BC5BDE"/>
    <w:rsid w:val="65CC6636"/>
    <w:rsid w:val="65D3678B"/>
    <w:rsid w:val="65DB69B9"/>
    <w:rsid w:val="65E142CF"/>
    <w:rsid w:val="65F16DEF"/>
    <w:rsid w:val="65FF5B93"/>
    <w:rsid w:val="66081715"/>
    <w:rsid w:val="661B00EA"/>
    <w:rsid w:val="661D360B"/>
    <w:rsid w:val="661F4E41"/>
    <w:rsid w:val="66252916"/>
    <w:rsid w:val="662A7F2C"/>
    <w:rsid w:val="663F32AC"/>
    <w:rsid w:val="664352B9"/>
    <w:rsid w:val="66523C3F"/>
    <w:rsid w:val="665C126F"/>
    <w:rsid w:val="6660394E"/>
    <w:rsid w:val="666B1717"/>
    <w:rsid w:val="66776086"/>
    <w:rsid w:val="66805D9E"/>
    <w:rsid w:val="66820F47"/>
    <w:rsid w:val="668A782A"/>
    <w:rsid w:val="66AC710E"/>
    <w:rsid w:val="66B07CC1"/>
    <w:rsid w:val="66B14B24"/>
    <w:rsid w:val="66B27D18"/>
    <w:rsid w:val="66B912B0"/>
    <w:rsid w:val="66C80429"/>
    <w:rsid w:val="66D1442C"/>
    <w:rsid w:val="66D47E7F"/>
    <w:rsid w:val="66D64E5B"/>
    <w:rsid w:val="66DD089D"/>
    <w:rsid w:val="66F0016C"/>
    <w:rsid w:val="66FB2BD0"/>
    <w:rsid w:val="66FC2971"/>
    <w:rsid w:val="66FE4F15"/>
    <w:rsid w:val="670008EB"/>
    <w:rsid w:val="670C5884"/>
    <w:rsid w:val="67184229"/>
    <w:rsid w:val="671F1859"/>
    <w:rsid w:val="672506F4"/>
    <w:rsid w:val="672569DB"/>
    <w:rsid w:val="67262B05"/>
    <w:rsid w:val="674E513F"/>
    <w:rsid w:val="67610E75"/>
    <w:rsid w:val="677178CC"/>
    <w:rsid w:val="677977BA"/>
    <w:rsid w:val="678966A9"/>
    <w:rsid w:val="6796514D"/>
    <w:rsid w:val="679D31F9"/>
    <w:rsid w:val="679D3BF4"/>
    <w:rsid w:val="67A07D7A"/>
    <w:rsid w:val="67B57CC9"/>
    <w:rsid w:val="67B6759E"/>
    <w:rsid w:val="67C11FB9"/>
    <w:rsid w:val="67D104DE"/>
    <w:rsid w:val="67DB5668"/>
    <w:rsid w:val="67E071EA"/>
    <w:rsid w:val="67E20393"/>
    <w:rsid w:val="67FA392E"/>
    <w:rsid w:val="67FC4971"/>
    <w:rsid w:val="68150768"/>
    <w:rsid w:val="681A4E90"/>
    <w:rsid w:val="681F3E12"/>
    <w:rsid w:val="68221BAF"/>
    <w:rsid w:val="682D62D9"/>
    <w:rsid w:val="6837248C"/>
    <w:rsid w:val="683E4ABF"/>
    <w:rsid w:val="68407C19"/>
    <w:rsid w:val="685143BC"/>
    <w:rsid w:val="68542A0A"/>
    <w:rsid w:val="68555296"/>
    <w:rsid w:val="686139AD"/>
    <w:rsid w:val="686C1E80"/>
    <w:rsid w:val="68747C85"/>
    <w:rsid w:val="687513EA"/>
    <w:rsid w:val="687B1504"/>
    <w:rsid w:val="687F3E33"/>
    <w:rsid w:val="689079C3"/>
    <w:rsid w:val="6892679C"/>
    <w:rsid w:val="68A37B22"/>
    <w:rsid w:val="68C01904"/>
    <w:rsid w:val="68CF0917"/>
    <w:rsid w:val="68D56910"/>
    <w:rsid w:val="68EA05E8"/>
    <w:rsid w:val="68EF70C5"/>
    <w:rsid w:val="68F22D9F"/>
    <w:rsid w:val="69162C86"/>
    <w:rsid w:val="69165641"/>
    <w:rsid w:val="69212D91"/>
    <w:rsid w:val="69214083"/>
    <w:rsid w:val="693B7D5A"/>
    <w:rsid w:val="69456B9A"/>
    <w:rsid w:val="69481344"/>
    <w:rsid w:val="695700E3"/>
    <w:rsid w:val="695C0273"/>
    <w:rsid w:val="69766FE4"/>
    <w:rsid w:val="697C146C"/>
    <w:rsid w:val="6980516E"/>
    <w:rsid w:val="698B51FD"/>
    <w:rsid w:val="69944F4D"/>
    <w:rsid w:val="69960468"/>
    <w:rsid w:val="69A109AD"/>
    <w:rsid w:val="69A41529"/>
    <w:rsid w:val="69CE55F7"/>
    <w:rsid w:val="69D5796F"/>
    <w:rsid w:val="69DE3A33"/>
    <w:rsid w:val="69F101EA"/>
    <w:rsid w:val="69F448E4"/>
    <w:rsid w:val="6A090874"/>
    <w:rsid w:val="6A0F6D29"/>
    <w:rsid w:val="6A1E4A89"/>
    <w:rsid w:val="6A206086"/>
    <w:rsid w:val="6A320DDF"/>
    <w:rsid w:val="6A333127"/>
    <w:rsid w:val="6A3F0B90"/>
    <w:rsid w:val="6A3F71AB"/>
    <w:rsid w:val="6A407F9F"/>
    <w:rsid w:val="6A4B3FF0"/>
    <w:rsid w:val="6A4D5F32"/>
    <w:rsid w:val="6A4E3ABD"/>
    <w:rsid w:val="6A4F30DD"/>
    <w:rsid w:val="6A5D65D9"/>
    <w:rsid w:val="6A722F0B"/>
    <w:rsid w:val="6A761B9C"/>
    <w:rsid w:val="6A7A4D5B"/>
    <w:rsid w:val="6A7B141D"/>
    <w:rsid w:val="6A8641CC"/>
    <w:rsid w:val="6A881C38"/>
    <w:rsid w:val="6A9F256B"/>
    <w:rsid w:val="6AA47B81"/>
    <w:rsid w:val="6AC034F3"/>
    <w:rsid w:val="6AC92749"/>
    <w:rsid w:val="6AC96987"/>
    <w:rsid w:val="6ACF15BF"/>
    <w:rsid w:val="6AD42C61"/>
    <w:rsid w:val="6AE14092"/>
    <w:rsid w:val="6AEA323D"/>
    <w:rsid w:val="6AF07997"/>
    <w:rsid w:val="6AF5032D"/>
    <w:rsid w:val="6AFB2812"/>
    <w:rsid w:val="6AFF182D"/>
    <w:rsid w:val="6B016D82"/>
    <w:rsid w:val="6B032C8C"/>
    <w:rsid w:val="6B0845B4"/>
    <w:rsid w:val="6B3569BE"/>
    <w:rsid w:val="6B3637EA"/>
    <w:rsid w:val="6B3A1CE8"/>
    <w:rsid w:val="6B3E4E41"/>
    <w:rsid w:val="6B4D49EF"/>
    <w:rsid w:val="6B565CD0"/>
    <w:rsid w:val="6B5E2426"/>
    <w:rsid w:val="6B6D4417"/>
    <w:rsid w:val="6B7022D0"/>
    <w:rsid w:val="6B7B5422"/>
    <w:rsid w:val="6B852192"/>
    <w:rsid w:val="6B925A32"/>
    <w:rsid w:val="6B9C4F5E"/>
    <w:rsid w:val="6BA83728"/>
    <w:rsid w:val="6BAC4113"/>
    <w:rsid w:val="6BAE6F0A"/>
    <w:rsid w:val="6BBD5A68"/>
    <w:rsid w:val="6BCF59E6"/>
    <w:rsid w:val="6BE02E3B"/>
    <w:rsid w:val="6BE13B5E"/>
    <w:rsid w:val="6BE31674"/>
    <w:rsid w:val="6BE852C7"/>
    <w:rsid w:val="6BE95EA9"/>
    <w:rsid w:val="6BEA6094"/>
    <w:rsid w:val="6BEF4116"/>
    <w:rsid w:val="6BF04226"/>
    <w:rsid w:val="6C114575"/>
    <w:rsid w:val="6C2930DC"/>
    <w:rsid w:val="6C32337D"/>
    <w:rsid w:val="6C3E2214"/>
    <w:rsid w:val="6C4D48CD"/>
    <w:rsid w:val="6C635F46"/>
    <w:rsid w:val="6C8202CD"/>
    <w:rsid w:val="6C875645"/>
    <w:rsid w:val="6C89702F"/>
    <w:rsid w:val="6C961621"/>
    <w:rsid w:val="6C9D5038"/>
    <w:rsid w:val="6CAA11FF"/>
    <w:rsid w:val="6CB26586"/>
    <w:rsid w:val="6CBB7DE1"/>
    <w:rsid w:val="6CC445CB"/>
    <w:rsid w:val="6CD042ED"/>
    <w:rsid w:val="6CDF30F3"/>
    <w:rsid w:val="6CE31C48"/>
    <w:rsid w:val="6CF01775"/>
    <w:rsid w:val="6CF22E26"/>
    <w:rsid w:val="6CFB62C0"/>
    <w:rsid w:val="6D026DE8"/>
    <w:rsid w:val="6D0316B2"/>
    <w:rsid w:val="6D0E1321"/>
    <w:rsid w:val="6D104BE0"/>
    <w:rsid w:val="6D10513E"/>
    <w:rsid w:val="6D132371"/>
    <w:rsid w:val="6D1B450F"/>
    <w:rsid w:val="6D2D3E5E"/>
    <w:rsid w:val="6D316704"/>
    <w:rsid w:val="6D396CA7"/>
    <w:rsid w:val="6D3F3B91"/>
    <w:rsid w:val="6D487B73"/>
    <w:rsid w:val="6D4B1E5A"/>
    <w:rsid w:val="6D5E70E9"/>
    <w:rsid w:val="6D6729D8"/>
    <w:rsid w:val="6D6E09F2"/>
    <w:rsid w:val="6D71561E"/>
    <w:rsid w:val="6D852386"/>
    <w:rsid w:val="6D887DB6"/>
    <w:rsid w:val="6D920165"/>
    <w:rsid w:val="6DA2484C"/>
    <w:rsid w:val="6DAE4919"/>
    <w:rsid w:val="6DBD67AE"/>
    <w:rsid w:val="6DDD7632"/>
    <w:rsid w:val="6DDE1B84"/>
    <w:rsid w:val="6DF453C2"/>
    <w:rsid w:val="6E3363CE"/>
    <w:rsid w:val="6E3C316F"/>
    <w:rsid w:val="6E456275"/>
    <w:rsid w:val="6E475DDD"/>
    <w:rsid w:val="6E4E1C3F"/>
    <w:rsid w:val="6E4E36BD"/>
    <w:rsid w:val="6E4E6782"/>
    <w:rsid w:val="6E5F44EB"/>
    <w:rsid w:val="6E6127F4"/>
    <w:rsid w:val="6E631ECC"/>
    <w:rsid w:val="6E697118"/>
    <w:rsid w:val="6E7206C2"/>
    <w:rsid w:val="6E7A0642"/>
    <w:rsid w:val="6E7C32EF"/>
    <w:rsid w:val="6E880670"/>
    <w:rsid w:val="6E8E3022"/>
    <w:rsid w:val="6EBD7D11"/>
    <w:rsid w:val="6EC002E5"/>
    <w:rsid w:val="6EC46A44"/>
    <w:rsid w:val="6EC64ECD"/>
    <w:rsid w:val="6ECD2CED"/>
    <w:rsid w:val="6ED66BFA"/>
    <w:rsid w:val="6ED722D3"/>
    <w:rsid w:val="6EDDCA44"/>
    <w:rsid w:val="6EE1422E"/>
    <w:rsid w:val="6EEC4531"/>
    <w:rsid w:val="6EEF56E5"/>
    <w:rsid w:val="6F1743AC"/>
    <w:rsid w:val="6F2B4C6D"/>
    <w:rsid w:val="6F3040D9"/>
    <w:rsid w:val="6F433E0D"/>
    <w:rsid w:val="6F5C1867"/>
    <w:rsid w:val="6F5C3F48"/>
    <w:rsid w:val="6F61462B"/>
    <w:rsid w:val="6F6D6714"/>
    <w:rsid w:val="6F841802"/>
    <w:rsid w:val="6F9C2017"/>
    <w:rsid w:val="6F9F13EF"/>
    <w:rsid w:val="6FB16FC8"/>
    <w:rsid w:val="6FB62831"/>
    <w:rsid w:val="6FB84E8C"/>
    <w:rsid w:val="6FC2450B"/>
    <w:rsid w:val="6FC36CFC"/>
    <w:rsid w:val="6FCA64CD"/>
    <w:rsid w:val="6FCF744E"/>
    <w:rsid w:val="6FDD600F"/>
    <w:rsid w:val="6FE112C4"/>
    <w:rsid w:val="6FE9448A"/>
    <w:rsid w:val="6FF069FB"/>
    <w:rsid w:val="6FFB0619"/>
    <w:rsid w:val="6FFD7D02"/>
    <w:rsid w:val="6FFF957D"/>
    <w:rsid w:val="70020E6A"/>
    <w:rsid w:val="700A0487"/>
    <w:rsid w:val="700F1FCA"/>
    <w:rsid w:val="701A60AC"/>
    <w:rsid w:val="701A70E6"/>
    <w:rsid w:val="702149D3"/>
    <w:rsid w:val="7021684B"/>
    <w:rsid w:val="70217D0F"/>
    <w:rsid w:val="703674CE"/>
    <w:rsid w:val="7056241A"/>
    <w:rsid w:val="70613296"/>
    <w:rsid w:val="70785D38"/>
    <w:rsid w:val="707B2CB1"/>
    <w:rsid w:val="707B3132"/>
    <w:rsid w:val="70952588"/>
    <w:rsid w:val="709F1517"/>
    <w:rsid w:val="70A02B99"/>
    <w:rsid w:val="70A34833"/>
    <w:rsid w:val="70A43D4A"/>
    <w:rsid w:val="70BB79D3"/>
    <w:rsid w:val="70BE0CFD"/>
    <w:rsid w:val="70D34D1C"/>
    <w:rsid w:val="70D56048"/>
    <w:rsid w:val="70DA3248"/>
    <w:rsid w:val="70EB67C6"/>
    <w:rsid w:val="70F33611"/>
    <w:rsid w:val="71027F8C"/>
    <w:rsid w:val="71145A61"/>
    <w:rsid w:val="71155335"/>
    <w:rsid w:val="7117773C"/>
    <w:rsid w:val="711C2B67"/>
    <w:rsid w:val="712A4901"/>
    <w:rsid w:val="712D744C"/>
    <w:rsid w:val="71357785"/>
    <w:rsid w:val="71391F94"/>
    <w:rsid w:val="714479C8"/>
    <w:rsid w:val="714B51FB"/>
    <w:rsid w:val="715C7408"/>
    <w:rsid w:val="715D7335"/>
    <w:rsid w:val="716A38D3"/>
    <w:rsid w:val="71705DEE"/>
    <w:rsid w:val="717159EA"/>
    <w:rsid w:val="71755DD4"/>
    <w:rsid w:val="71763E5A"/>
    <w:rsid w:val="71777F8A"/>
    <w:rsid w:val="71810C1C"/>
    <w:rsid w:val="7185070D"/>
    <w:rsid w:val="719340CC"/>
    <w:rsid w:val="71950224"/>
    <w:rsid w:val="71A36DE5"/>
    <w:rsid w:val="71A412EF"/>
    <w:rsid w:val="71B106B0"/>
    <w:rsid w:val="71B61A42"/>
    <w:rsid w:val="71BB267E"/>
    <w:rsid w:val="71C32243"/>
    <w:rsid w:val="71C6046E"/>
    <w:rsid w:val="71D94178"/>
    <w:rsid w:val="71E258E0"/>
    <w:rsid w:val="71E450CA"/>
    <w:rsid w:val="71EA7F5E"/>
    <w:rsid w:val="71EC42E8"/>
    <w:rsid w:val="71F435DD"/>
    <w:rsid w:val="71F773F9"/>
    <w:rsid w:val="720723CB"/>
    <w:rsid w:val="72137E38"/>
    <w:rsid w:val="721F7D69"/>
    <w:rsid w:val="7225336C"/>
    <w:rsid w:val="722C5F6E"/>
    <w:rsid w:val="724B68D9"/>
    <w:rsid w:val="725400DF"/>
    <w:rsid w:val="725E62FA"/>
    <w:rsid w:val="72860473"/>
    <w:rsid w:val="728C686A"/>
    <w:rsid w:val="7299364D"/>
    <w:rsid w:val="72AB41A3"/>
    <w:rsid w:val="72B55021"/>
    <w:rsid w:val="72C16C93"/>
    <w:rsid w:val="72D66A82"/>
    <w:rsid w:val="72D67597"/>
    <w:rsid w:val="72E2393D"/>
    <w:rsid w:val="72E43D31"/>
    <w:rsid w:val="72EE22E1"/>
    <w:rsid w:val="72F773E8"/>
    <w:rsid w:val="72FC49FE"/>
    <w:rsid w:val="72FF004B"/>
    <w:rsid w:val="72FF6E9B"/>
    <w:rsid w:val="73027148"/>
    <w:rsid w:val="7305147C"/>
    <w:rsid w:val="730B4C41"/>
    <w:rsid w:val="731A30F8"/>
    <w:rsid w:val="733777E5"/>
    <w:rsid w:val="733A7EE8"/>
    <w:rsid w:val="73466F84"/>
    <w:rsid w:val="734F0FD2"/>
    <w:rsid w:val="735A55D3"/>
    <w:rsid w:val="73621B80"/>
    <w:rsid w:val="7375174D"/>
    <w:rsid w:val="73795D83"/>
    <w:rsid w:val="73850D73"/>
    <w:rsid w:val="738B56FD"/>
    <w:rsid w:val="739F2E93"/>
    <w:rsid w:val="739F35DC"/>
    <w:rsid w:val="73A457DB"/>
    <w:rsid w:val="73A60FE9"/>
    <w:rsid w:val="73C06788"/>
    <w:rsid w:val="73D56FFD"/>
    <w:rsid w:val="73D9089C"/>
    <w:rsid w:val="73DC213A"/>
    <w:rsid w:val="73DE1B70"/>
    <w:rsid w:val="73F25E01"/>
    <w:rsid w:val="73FA0AD8"/>
    <w:rsid w:val="73FC458A"/>
    <w:rsid w:val="74001F87"/>
    <w:rsid w:val="74073A63"/>
    <w:rsid w:val="741378E4"/>
    <w:rsid w:val="74185868"/>
    <w:rsid w:val="741B0EB4"/>
    <w:rsid w:val="741E09A4"/>
    <w:rsid w:val="743138C9"/>
    <w:rsid w:val="7431692A"/>
    <w:rsid w:val="74432CA1"/>
    <w:rsid w:val="74454183"/>
    <w:rsid w:val="74493C73"/>
    <w:rsid w:val="74497E8D"/>
    <w:rsid w:val="744F70D5"/>
    <w:rsid w:val="745B748A"/>
    <w:rsid w:val="7468055C"/>
    <w:rsid w:val="746B1062"/>
    <w:rsid w:val="74957A1D"/>
    <w:rsid w:val="74976F8C"/>
    <w:rsid w:val="749C28D6"/>
    <w:rsid w:val="74A466A3"/>
    <w:rsid w:val="74AB66DC"/>
    <w:rsid w:val="74AC2DBE"/>
    <w:rsid w:val="74B4279D"/>
    <w:rsid w:val="74C57CD7"/>
    <w:rsid w:val="74C959EF"/>
    <w:rsid w:val="74D226D8"/>
    <w:rsid w:val="74D951DD"/>
    <w:rsid w:val="74DB2B99"/>
    <w:rsid w:val="74DE3355"/>
    <w:rsid w:val="74E47465"/>
    <w:rsid w:val="74EC53F9"/>
    <w:rsid w:val="74F040EF"/>
    <w:rsid w:val="74F273DA"/>
    <w:rsid w:val="74F600B5"/>
    <w:rsid w:val="74F6722B"/>
    <w:rsid w:val="750958EA"/>
    <w:rsid w:val="75102AF5"/>
    <w:rsid w:val="751328C1"/>
    <w:rsid w:val="751955D7"/>
    <w:rsid w:val="751C1B98"/>
    <w:rsid w:val="752B3379"/>
    <w:rsid w:val="753F1C14"/>
    <w:rsid w:val="754B45FC"/>
    <w:rsid w:val="754C4FE3"/>
    <w:rsid w:val="754E30BC"/>
    <w:rsid w:val="755D3FA7"/>
    <w:rsid w:val="75662603"/>
    <w:rsid w:val="75780005"/>
    <w:rsid w:val="75790588"/>
    <w:rsid w:val="75837F2D"/>
    <w:rsid w:val="75B23A9A"/>
    <w:rsid w:val="75BA7DC9"/>
    <w:rsid w:val="75BF0EBC"/>
    <w:rsid w:val="75C158E1"/>
    <w:rsid w:val="75F8173D"/>
    <w:rsid w:val="75FB13BD"/>
    <w:rsid w:val="75FE15A4"/>
    <w:rsid w:val="76087EFE"/>
    <w:rsid w:val="76277FE4"/>
    <w:rsid w:val="762F3987"/>
    <w:rsid w:val="762F4303"/>
    <w:rsid w:val="763146BA"/>
    <w:rsid w:val="763C17CD"/>
    <w:rsid w:val="7651209F"/>
    <w:rsid w:val="76625186"/>
    <w:rsid w:val="76694515"/>
    <w:rsid w:val="7671183A"/>
    <w:rsid w:val="76795A9A"/>
    <w:rsid w:val="76850BE3"/>
    <w:rsid w:val="768B1F9F"/>
    <w:rsid w:val="768E7AAD"/>
    <w:rsid w:val="769D37DC"/>
    <w:rsid w:val="76AD1FDF"/>
    <w:rsid w:val="76AF483A"/>
    <w:rsid w:val="76BF646F"/>
    <w:rsid w:val="76C61386"/>
    <w:rsid w:val="76CC46E8"/>
    <w:rsid w:val="76CF41D8"/>
    <w:rsid w:val="76D56664"/>
    <w:rsid w:val="76DB0DCF"/>
    <w:rsid w:val="76DF1C08"/>
    <w:rsid w:val="76E81AE6"/>
    <w:rsid w:val="76F780D2"/>
    <w:rsid w:val="77075720"/>
    <w:rsid w:val="770802F0"/>
    <w:rsid w:val="771025D4"/>
    <w:rsid w:val="77131639"/>
    <w:rsid w:val="77152224"/>
    <w:rsid w:val="77196438"/>
    <w:rsid w:val="77237002"/>
    <w:rsid w:val="77326AF1"/>
    <w:rsid w:val="77342D6F"/>
    <w:rsid w:val="773B467C"/>
    <w:rsid w:val="773D7394"/>
    <w:rsid w:val="774D3A7A"/>
    <w:rsid w:val="77590EFC"/>
    <w:rsid w:val="775A6197"/>
    <w:rsid w:val="775B5775"/>
    <w:rsid w:val="775E0D1F"/>
    <w:rsid w:val="776655B0"/>
    <w:rsid w:val="77672B54"/>
    <w:rsid w:val="77794B8C"/>
    <w:rsid w:val="777B5097"/>
    <w:rsid w:val="777E00C3"/>
    <w:rsid w:val="777E55F4"/>
    <w:rsid w:val="77820DEB"/>
    <w:rsid w:val="7792671F"/>
    <w:rsid w:val="7797445D"/>
    <w:rsid w:val="77986D62"/>
    <w:rsid w:val="779B2CD1"/>
    <w:rsid w:val="77A015C8"/>
    <w:rsid w:val="77A836A9"/>
    <w:rsid w:val="77A92E90"/>
    <w:rsid w:val="77B15DA9"/>
    <w:rsid w:val="77B358A8"/>
    <w:rsid w:val="77B650A0"/>
    <w:rsid w:val="77CE0481"/>
    <w:rsid w:val="77CE50D3"/>
    <w:rsid w:val="77D25D2E"/>
    <w:rsid w:val="77E141C3"/>
    <w:rsid w:val="77EC7456"/>
    <w:rsid w:val="77EE7D89"/>
    <w:rsid w:val="77EF0483"/>
    <w:rsid w:val="77F9150C"/>
    <w:rsid w:val="78131205"/>
    <w:rsid w:val="78177BE5"/>
    <w:rsid w:val="781911C5"/>
    <w:rsid w:val="781A279F"/>
    <w:rsid w:val="78210A63"/>
    <w:rsid w:val="782F5811"/>
    <w:rsid w:val="78384A59"/>
    <w:rsid w:val="78393FFF"/>
    <w:rsid w:val="783B343E"/>
    <w:rsid w:val="784A2663"/>
    <w:rsid w:val="784A43B3"/>
    <w:rsid w:val="784A620C"/>
    <w:rsid w:val="784C5B2D"/>
    <w:rsid w:val="785030F6"/>
    <w:rsid w:val="78581051"/>
    <w:rsid w:val="786228CD"/>
    <w:rsid w:val="786678A8"/>
    <w:rsid w:val="786F0FB8"/>
    <w:rsid w:val="78714DF4"/>
    <w:rsid w:val="78756296"/>
    <w:rsid w:val="7882338A"/>
    <w:rsid w:val="789C633C"/>
    <w:rsid w:val="78A91184"/>
    <w:rsid w:val="78B20233"/>
    <w:rsid w:val="78B47B29"/>
    <w:rsid w:val="78CF4963"/>
    <w:rsid w:val="78D81857"/>
    <w:rsid w:val="78E55F35"/>
    <w:rsid w:val="78E74845"/>
    <w:rsid w:val="78FC0536"/>
    <w:rsid w:val="78FE7954"/>
    <w:rsid w:val="7903264F"/>
    <w:rsid w:val="79150CBA"/>
    <w:rsid w:val="79163E6A"/>
    <w:rsid w:val="79297BCF"/>
    <w:rsid w:val="79315979"/>
    <w:rsid w:val="793B6981"/>
    <w:rsid w:val="79566B90"/>
    <w:rsid w:val="795831E5"/>
    <w:rsid w:val="796E7E54"/>
    <w:rsid w:val="79756315"/>
    <w:rsid w:val="79765CDA"/>
    <w:rsid w:val="797D616D"/>
    <w:rsid w:val="798E037A"/>
    <w:rsid w:val="79A47621"/>
    <w:rsid w:val="79AA18D2"/>
    <w:rsid w:val="79AD6A52"/>
    <w:rsid w:val="79B50AEB"/>
    <w:rsid w:val="79BA2F1D"/>
    <w:rsid w:val="79BD6141"/>
    <w:rsid w:val="79C56A19"/>
    <w:rsid w:val="79C8563A"/>
    <w:rsid w:val="79D957CA"/>
    <w:rsid w:val="79DA621C"/>
    <w:rsid w:val="79DA711C"/>
    <w:rsid w:val="79E13BA8"/>
    <w:rsid w:val="79ED729C"/>
    <w:rsid w:val="7A0A78E3"/>
    <w:rsid w:val="7A1211D1"/>
    <w:rsid w:val="7A1A39BC"/>
    <w:rsid w:val="7A311FA1"/>
    <w:rsid w:val="7A364577"/>
    <w:rsid w:val="7A450F4C"/>
    <w:rsid w:val="7A5039A1"/>
    <w:rsid w:val="7A54735F"/>
    <w:rsid w:val="7A681FA7"/>
    <w:rsid w:val="7A6963D8"/>
    <w:rsid w:val="7A884DCA"/>
    <w:rsid w:val="7A9F1D9B"/>
    <w:rsid w:val="7AA00365"/>
    <w:rsid w:val="7AA21823"/>
    <w:rsid w:val="7AA7070E"/>
    <w:rsid w:val="7AA900DE"/>
    <w:rsid w:val="7AA936C9"/>
    <w:rsid w:val="7AB01ADC"/>
    <w:rsid w:val="7AB12D4C"/>
    <w:rsid w:val="7AC450ED"/>
    <w:rsid w:val="7ACA7190"/>
    <w:rsid w:val="7AD37F76"/>
    <w:rsid w:val="7AEE4FAA"/>
    <w:rsid w:val="7AF771AA"/>
    <w:rsid w:val="7AF97A75"/>
    <w:rsid w:val="7B1448AF"/>
    <w:rsid w:val="7B16480F"/>
    <w:rsid w:val="7B190BA4"/>
    <w:rsid w:val="7B2A3951"/>
    <w:rsid w:val="7B36137C"/>
    <w:rsid w:val="7B38234C"/>
    <w:rsid w:val="7B3A4E9F"/>
    <w:rsid w:val="7B4C5DF7"/>
    <w:rsid w:val="7B615D46"/>
    <w:rsid w:val="7B6F5B5B"/>
    <w:rsid w:val="7B7415FA"/>
    <w:rsid w:val="7B765886"/>
    <w:rsid w:val="7B767496"/>
    <w:rsid w:val="7B7C4D25"/>
    <w:rsid w:val="7B7F3871"/>
    <w:rsid w:val="7B890DF9"/>
    <w:rsid w:val="7B893C25"/>
    <w:rsid w:val="7B8B5C40"/>
    <w:rsid w:val="7B90640C"/>
    <w:rsid w:val="7B922E29"/>
    <w:rsid w:val="7B98728E"/>
    <w:rsid w:val="7B9C6D7F"/>
    <w:rsid w:val="7BB734C1"/>
    <w:rsid w:val="7BC24F1F"/>
    <w:rsid w:val="7BD31291"/>
    <w:rsid w:val="7BD5390A"/>
    <w:rsid w:val="7BD94735"/>
    <w:rsid w:val="7BE23EB3"/>
    <w:rsid w:val="7BE95D3C"/>
    <w:rsid w:val="7BFA1CF7"/>
    <w:rsid w:val="7C0D1A2A"/>
    <w:rsid w:val="7C0F4B17"/>
    <w:rsid w:val="7C26489A"/>
    <w:rsid w:val="7C397E67"/>
    <w:rsid w:val="7C3A2FA7"/>
    <w:rsid w:val="7C5840BF"/>
    <w:rsid w:val="7C5E4034"/>
    <w:rsid w:val="7C9909ED"/>
    <w:rsid w:val="7C9C2291"/>
    <w:rsid w:val="7CA27D9F"/>
    <w:rsid w:val="7CA56991"/>
    <w:rsid w:val="7CA71E0B"/>
    <w:rsid w:val="7CB85E09"/>
    <w:rsid w:val="7CC0084B"/>
    <w:rsid w:val="7CC548D0"/>
    <w:rsid w:val="7CCE2197"/>
    <w:rsid w:val="7CCF13DD"/>
    <w:rsid w:val="7CD15C25"/>
    <w:rsid w:val="7CE46978"/>
    <w:rsid w:val="7CE81B50"/>
    <w:rsid w:val="7CEF2F95"/>
    <w:rsid w:val="7CF0254C"/>
    <w:rsid w:val="7CFA743F"/>
    <w:rsid w:val="7CFD713B"/>
    <w:rsid w:val="7CFE3A42"/>
    <w:rsid w:val="7CFF1519"/>
    <w:rsid w:val="7D036A82"/>
    <w:rsid w:val="7D0830DF"/>
    <w:rsid w:val="7D0F508E"/>
    <w:rsid w:val="7D17450A"/>
    <w:rsid w:val="7D1F60A0"/>
    <w:rsid w:val="7D2B7EDD"/>
    <w:rsid w:val="7D2D7769"/>
    <w:rsid w:val="7D387BFF"/>
    <w:rsid w:val="7D3F099E"/>
    <w:rsid w:val="7D4B01E2"/>
    <w:rsid w:val="7D533A52"/>
    <w:rsid w:val="7D5B43D0"/>
    <w:rsid w:val="7D6243C6"/>
    <w:rsid w:val="7D6C2781"/>
    <w:rsid w:val="7D76523E"/>
    <w:rsid w:val="7D781E69"/>
    <w:rsid w:val="7D7B5075"/>
    <w:rsid w:val="7D832173"/>
    <w:rsid w:val="7D8950E1"/>
    <w:rsid w:val="7D8A3C14"/>
    <w:rsid w:val="7D8C5B06"/>
    <w:rsid w:val="7D934401"/>
    <w:rsid w:val="7D94262F"/>
    <w:rsid w:val="7D953960"/>
    <w:rsid w:val="7D9579CF"/>
    <w:rsid w:val="7D961406"/>
    <w:rsid w:val="7DAC6700"/>
    <w:rsid w:val="7DB83C18"/>
    <w:rsid w:val="7DC17FCF"/>
    <w:rsid w:val="7DCB394B"/>
    <w:rsid w:val="7DE069AC"/>
    <w:rsid w:val="7DFF0E02"/>
    <w:rsid w:val="7E070C8C"/>
    <w:rsid w:val="7E0C521E"/>
    <w:rsid w:val="7E0E7E19"/>
    <w:rsid w:val="7E1840CC"/>
    <w:rsid w:val="7E1964D0"/>
    <w:rsid w:val="7E303249"/>
    <w:rsid w:val="7E37760E"/>
    <w:rsid w:val="7E4C5F6D"/>
    <w:rsid w:val="7E555123"/>
    <w:rsid w:val="7E557656"/>
    <w:rsid w:val="7E6416AA"/>
    <w:rsid w:val="7E694F12"/>
    <w:rsid w:val="7E844BCE"/>
    <w:rsid w:val="7E8D660B"/>
    <w:rsid w:val="7E992085"/>
    <w:rsid w:val="7EAA127C"/>
    <w:rsid w:val="7EB47F46"/>
    <w:rsid w:val="7EB77A2B"/>
    <w:rsid w:val="7EB94600"/>
    <w:rsid w:val="7ECF7C45"/>
    <w:rsid w:val="7ED24865"/>
    <w:rsid w:val="7ED82860"/>
    <w:rsid w:val="7EDC7492"/>
    <w:rsid w:val="7EDF03CD"/>
    <w:rsid w:val="7EE051D4"/>
    <w:rsid w:val="7EE34CC4"/>
    <w:rsid w:val="7EE34DA7"/>
    <w:rsid w:val="7EF45DB1"/>
    <w:rsid w:val="7EFD2358"/>
    <w:rsid w:val="7EFE2453"/>
    <w:rsid w:val="7EFF5324"/>
    <w:rsid w:val="7F03165A"/>
    <w:rsid w:val="7F077A20"/>
    <w:rsid w:val="7F077BC2"/>
    <w:rsid w:val="7F09267A"/>
    <w:rsid w:val="7F2A644F"/>
    <w:rsid w:val="7F2B23E6"/>
    <w:rsid w:val="7F2B4123"/>
    <w:rsid w:val="7F314142"/>
    <w:rsid w:val="7F3426C9"/>
    <w:rsid w:val="7F394D98"/>
    <w:rsid w:val="7F3E0944"/>
    <w:rsid w:val="7F3E5DC7"/>
    <w:rsid w:val="7F4C3E66"/>
    <w:rsid w:val="7F5C2ED4"/>
    <w:rsid w:val="7F5D2D05"/>
    <w:rsid w:val="7F8A3D01"/>
    <w:rsid w:val="7F8C2C66"/>
    <w:rsid w:val="7F9C4EBD"/>
    <w:rsid w:val="7FAB45F7"/>
    <w:rsid w:val="7FAD310E"/>
    <w:rsid w:val="7FC97C6A"/>
    <w:rsid w:val="7FCD6742"/>
    <w:rsid w:val="7FDE8052"/>
    <w:rsid w:val="7FDF6B79"/>
    <w:rsid w:val="7FE40CF4"/>
    <w:rsid w:val="7FE546A7"/>
    <w:rsid w:val="7FE86419"/>
    <w:rsid w:val="7FEFF51B"/>
    <w:rsid w:val="7FF4D8EC"/>
    <w:rsid w:val="7FF7AAE5"/>
    <w:rsid w:val="7FFE43B9"/>
    <w:rsid w:val="8FFFA72C"/>
    <w:rsid w:val="9B37F1D6"/>
    <w:rsid w:val="9D6F3DFF"/>
    <w:rsid w:val="ADE62979"/>
    <w:rsid w:val="ADF61AAD"/>
    <w:rsid w:val="B77F4514"/>
    <w:rsid w:val="B9F7B9FA"/>
    <w:rsid w:val="BEFBAF53"/>
    <w:rsid w:val="CFBC025F"/>
    <w:rsid w:val="D6DFEB0C"/>
    <w:rsid w:val="D77FC25D"/>
    <w:rsid w:val="DF65D42E"/>
    <w:rsid w:val="DFA4E10D"/>
    <w:rsid w:val="EA7B6956"/>
    <w:rsid w:val="ED76DA0E"/>
    <w:rsid w:val="EFF7AAC2"/>
    <w:rsid w:val="EFFE9A53"/>
    <w:rsid w:val="F2B7B166"/>
    <w:rsid w:val="F2EF3A0D"/>
    <w:rsid w:val="F57FA655"/>
    <w:rsid w:val="F779A5E4"/>
    <w:rsid w:val="F97FDB0C"/>
    <w:rsid w:val="FB8B984C"/>
    <w:rsid w:val="FBBE3748"/>
    <w:rsid w:val="FBCE0959"/>
    <w:rsid w:val="FBFBC28C"/>
    <w:rsid w:val="FCDD80FD"/>
    <w:rsid w:val="FD190269"/>
    <w:rsid w:val="FF9732F9"/>
    <w:rsid w:val="FFFD59DB"/>
    <w:rsid w:val="FFFE8D6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qFormat="1" w:unhideWhenUsed="0" w:uiPriority="99" w:semiHidden="0" w:name="table of figures"/>
    <w:lsdException w:uiPriority="99" w:name="envelope address" w:locked="1"/>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99"/>
    <w:pPr>
      <w:keepNext/>
      <w:keepLines/>
      <w:spacing w:line="440" w:lineRule="exact"/>
      <w:jc w:val="center"/>
      <w:outlineLvl w:val="0"/>
    </w:pPr>
    <w:rPr>
      <w:b/>
      <w:bCs/>
      <w:kern w:val="44"/>
      <w:sz w:val="44"/>
      <w:szCs w:val="44"/>
    </w:rPr>
  </w:style>
  <w:style w:type="paragraph" w:styleId="4">
    <w:name w:val="heading 2"/>
    <w:basedOn w:val="1"/>
    <w:next w:val="1"/>
    <w:link w:val="66"/>
    <w:qFormat/>
    <w:uiPriority w:val="99"/>
    <w:pPr>
      <w:keepNext/>
      <w:keepLines/>
      <w:spacing w:line="440" w:lineRule="exact"/>
      <w:jc w:val="left"/>
      <w:outlineLvl w:val="1"/>
    </w:pPr>
    <w:rPr>
      <w:rFonts w:ascii="Arial" w:hAnsi="Arial" w:eastAsia="黑体"/>
      <w:b/>
      <w:bCs/>
      <w:szCs w:val="32"/>
    </w:rPr>
  </w:style>
  <w:style w:type="paragraph" w:styleId="5">
    <w:name w:val="heading 3"/>
    <w:basedOn w:val="1"/>
    <w:next w:val="1"/>
    <w:link w:val="67"/>
    <w:qFormat/>
    <w:uiPriority w:val="99"/>
    <w:pPr>
      <w:keepNext/>
      <w:keepLines/>
      <w:spacing w:line="415" w:lineRule="auto"/>
      <w:outlineLvl w:val="2"/>
    </w:pPr>
    <w:rPr>
      <w:b/>
      <w:bCs/>
      <w:kern w:val="0"/>
      <w:sz w:val="32"/>
      <w:szCs w:val="32"/>
    </w:rPr>
  </w:style>
  <w:style w:type="paragraph" w:styleId="6">
    <w:name w:val="heading 4"/>
    <w:basedOn w:val="1"/>
    <w:next w:val="1"/>
    <w:link w:val="68"/>
    <w:qFormat/>
    <w:uiPriority w:val="99"/>
    <w:pPr>
      <w:keepNext/>
      <w:keepLines/>
      <w:spacing w:line="374" w:lineRule="auto"/>
      <w:outlineLvl w:val="3"/>
    </w:pPr>
    <w:rPr>
      <w:rFonts w:ascii="Arial" w:hAnsi="Arial" w:eastAsia="黑体"/>
      <w:b/>
      <w:bCs/>
      <w:sz w:val="28"/>
      <w:szCs w:val="28"/>
    </w:rPr>
  </w:style>
  <w:style w:type="paragraph" w:styleId="7">
    <w:name w:val="heading 5"/>
    <w:basedOn w:val="1"/>
    <w:next w:val="1"/>
    <w:link w:val="69"/>
    <w:qFormat/>
    <w:uiPriority w:val="99"/>
    <w:pPr>
      <w:keepNext/>
      <w:keepLines/>
      <w:spacing w:line="376" w:lineRule="auto"/>
      <w:outlineLvl w:val="4"/>
    </w:pPr>
    <w:rPr>
      <w:b/>
      <w:bCs/>
      <w:sz w:val="28"/>
      <w:szCs w:val="28"/>
    </w:rPr>
  </w:style>
  <w:style w:type="paragraph" w:styleId="8">
    <w:name w:val="heading 6"/>
    <w:basedOn w:val="1"/>
    <w:next w:val="1"/>
    <w:link w:val="70"/>
    <w:qFormat/>
    <w:uiPriority w:val="99"/>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9">
    <w:name w:val="heading 7"/>
    <w:basedOn w:val="1"/>
    <w:next w:val="1"/>
    <w:link w:val="71"/>
    <w:qFormat/>
    <w:uiPriority w:val="99"/>
    <w:pPr>
      <w:keepNext/>
      <w:keepLines/>
      <w:widowControl/>
      <w:tabs>
        <w:tab w:val="left" w:pos="2520"/>
      </w:tabs>
      <w:spacing w:line="319" w:lineRule="auto"/>
      <w:ind w:left="1296" w:hanging="1296"/>
      <w:jc w:val="left"/>
      <w:outlineLvl w:val="6"/>
    </w:pPr>
    <w:rPr>
      <w:b/>
      <w:bCs/>
      <w:kern w:val="0"/>
      <w:sz w:val="24"/>
    </w:rPr>
  </w:style>
  <w:style w:type="paragraph" w:styleId="10">
    <w:name w:val="heading 8"/>
    <w:basedOn w:val="1"/>
    <w:next w:val="1"/>
    <w:link w:val="72"/>
    <w:qFormat/>
    <w:uiPriority w:val="99"/>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11">
    <w:name w:val="heading 9"/>
    <w:basedOn w:val="1"/>
    <w:next w:val="1"/>
    <w:link w:val="73"/>
    <w:qFormat/>
    <w:uiPriority w:val="99"/>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8">
    <w:name w:val="Default Paragraph Font"/>
    <w:semiHidden/>
    <w:qFormat/>
    <w:uiPriority w:val="99"/>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82"/>
    <w:qFormat/>
    <w:uiPriority w:val="99"/>
    <w:pPr>
      <w:spacing w:line="360" w:lineRule="exact"/>
      <w:ind w:firstLine="600" w:firstLineChars="250"/>
      <w:jc w:val="left"/>
    </w:pPr>
    <w:rPr>
      <w:sz w:val="24"/>
    </w:rPr>
  </w:style>
  <w:style w:type="paragraph" w:styleId="12">
    <w:name w:val="toc 7"/>
    <w:basedOn w:val="1"/>
    <w:next w:val="1"/>
    <w:qFormat/>
    <w:uiPriority w:val="99"/>
    <w:pPr>
      <w:ind w:left="1260"/>
      <w:jc w:val="left"/>
    </w:pPr>
    <w:rPr>
      <w:sz w:val="18"/>
      <w:szCs w:val="18"/>
    </w:rPr>
  </w:style>
  <w:style w:type="paragraph" w:styleId="13">
    <w:name w:val="Normal Indent"/>
    <w:basedOn w:val="1"/>
    <w:qFormat/>
    <w:uiPriority w:val="99"/>
    <w:pPr>
      <w:ind w:firstLine="420" w:firstLineChars="200"/>
    </w:pPr>
  </w:style>
  <w:style w:type="paragraph" w:styleId="14">
    <w:name w:val="Document Map"/>
    <w:basedOn w:val="1"/>
    <w:next w:val="1"/>
    <w:link w:val="76"/>
    <w:qFormat/>
    <w:uiPriority w:val="99"/>
    <w:pPr>
      <w:shd w:val="clear" w:color="auto" w:fill="000080"/>
    </w:pPr>
  </w:style>
  <w:style w:type="paragraph" w:styleId="15">
    <w:name w:val="annotation text"/>
    <w:basedOn w:val="1"/>
    <w:link w:val="77"/>
    <w:qFormat/>
    <w:uiPriority w:val="99"/>
    <w:pPr>
      <w:jc w:val="left"/>
    </w:pPr>
  </w:style>
  <w:style w:type="paragraph" w:styleId="16">
    <w:name w:val="Body Text 3"/>
    <w:basedOn w:val="1"/>
    <w:link w:val="78"/>
    <w:qFormat/>
    <w:uiPriority w:val="99"/>
    <w:rPr>
      <w:rFonts w:ascii="宋体"/>
      <w:sz w:val="24"/>
      <w:szCs w:val="20"/>
    </w:rPr>
  </w:style>
  <w:style w:type="paragraph" w:styleId="17">
    <w:name w:val="Body Text"/>
    <w:basedOn w:val="1"/>
    <w:link w:val="79"/>
    <w:qFormat/>
    <w:uiPriority w:val="99"/>
  </w:style>
  <w:style w:type="paragraph" w:styleId="18">
    <w:name w:val="Body Text Indent"/>
    <w:basedOn w:val="1"/>
    <w:next w:val="19"/>
    <w:link w:val="74"/>
    <w:qFormat/>
    <w:uiPriority w:val="99"/>
    <w:pPr>
      <w:ind w:left="420" w:leftChars="200"/>
    </w:pPr>
  </w:style>
  <w:style w:type="paragraph" w:styleId="19">
    <w:name w:val="envelope return"/>
    <w:basedOn w:val="1"/>
    <w:next w:val="12"/>
    <w:qFormat/>
    <w:uiPriority w:val="99"/>
    <w:pPr>
      <w:snapToGrid w:val="0"/>
    </w:pPr>
    <w:rPr>
      <w:rFonts w:ascii="Arial" w:hAnsi="Arial"/>
    </w:rPr>
  </w:style>
  <w:style w:type="paragraph" w:styleId="20">
    <w:name w:val="Block Text"/>
    <w:basedOn w:val="1"/>
    <w:qFormat/>
    <w:uiPriority w:val="99"/>
    <w:pPr>
      <w:spacing w:line="400" w:lineRule="exact"/>
      <w:ind w:left="-359" w:leftChars="-171" w:right="31" w:rightChars="15" w:firstLine="980" w:firstLineChars="350"/>
    </w:pPr>
    <w:rPr>
      <w:rFonts w:ascii="宋体" w:hAnsi="宋体"/>
      <w:sz w:val="28"/>
      <w:szCs w:val="32"/>
    </w:rPr>
  </w:style>
  <w:style w:type="paragraph" w:styleId="21">
    <w:name w:val="toc 5"/>
    <w:basedOn w:val="1"/>
    <w:next w:val="1"/>
    <w:qFormat/>
    <w:uiPriority w:val="99"/>
    <w:pPr>
      <w:ind w:left="840"/>
      <w:jc w:val="left"/>
    </w:pPr>
    <w:rPr>
      <w:sz w:val="18"/>
      <w:szCs w:val="18"/>
    </w:rPr>
  </w:style>
  <w:style w:type="paragraph" w:styleId="22">
    <w:name w:val="toc 3"/>
    <w:basedOn w:val="1"/>
    <w:next w:val="1"/>
    <w:qFormat/>
    <w:uiPriority w:val="99"/>
    <w:pPr>
      <w:ind w:left="420"/>
      <w:jc w:val="left"/>
    </w:pPr>
    <w:rPr>
      <w:i/>
      <w:iCs/>
      <w:sz w:val="20"/>
      <w:szCs w:val="20"/>
    </w:rPr>
  </w:style>
  <w:style w:type="paragraph" w:styleId="23">
    <w:name w:val="Plain Text"/>
    <w:basedOn w:val="1"/>
    <w:next w:val="1"/>
    <w:link w:val="80"/>
    <w:qFormat/>
    <w:uiPriority w:val="99"/>
    <w:rPr>
      <w:rFonts w:ascii="Courier New" w:hAnsi="Courier New"/>
      <w:szCs w:val="20"/>
    </w:rPr>
  </w:style>
  <w:style w:type="paragraph" w:styleId="24">
    <w:name w:val="toc 8"/>
    <w:basedOn w:val="1"/>
    <w:next w:val="1"/>
    <w:qFormat/>
    <w:uiPriority w:val="99"/>
    <w:pPr>
      <w:ind w:left="1470"/>
      <w:jc w:val="left"/>
    </w:pPr>
    <w:rPr>
      <w:sz w:val="18"/>
      <w:szCs w:val="18"/>
    </w:rPr>
  </w:style>
  <w:style w:type="paragraph" w:styleId="25">
    <w:name w:val="Date"/>
    <w:basedOn w:val="1"/>
    <w:next w:val="1"/>
    <w:link w:val="81"/>
    <w:qFormat/>
    <w:uiPriority w:val="99"/>
    <w:rPr>
      <w:sz w:val="24"/>
      <w:szCs w:val="20"/>
    </w:rPr>
  </w:style>
  <w:style w:type="paragraph" w:styleId="26">
    <w:name w:val="Balloon Text"/>
    <w:basedOn w:val="1"/>
    <w:link w:val="83"/>
    <w:qFormat/>
    <w:uiPriority w:val="99"/>
    <w:rPr>
      <w:sz w:val="18"/>
      <w:szCs w:val="18"/>
    </w:rPr>
  </w:style>
  <w:style w:type="paragraph" w:styleId="27">
    <w:name w:val="footer"/>
    <w:basedOn w:val="1"/>
    <w:link w:val="84"/>
    <w:qFormat/>
    <w:uiPriority w:val="99"/>
    <w:pPr>
      <w:tabs>
        <w:tab w:val="center" w:pos="4153"/>
        <w:tab w:val="right" w:pos="8306"/>
      </w:tabs>
      <w:snapToGrid w:val="0"/>
      <w:jc w:val="left"/>
    </w:pPr>
    <w:rPr>
      <w:sz w:val="18"/>
      <w:szCs w:val="18"/>
    </w:rPr>
  </w:style>
  <w:style w:type="paragraph" w:styleId="28">
    <w:name w:val="header"/>
    <w:basedOn w:val="1"/>
    <w:link w:val="85"/>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99"/>
    <w:pPr>
      <w:jc w:val="left"/>
    </w:pPr>
    <w:rPr>
      <w:b/>
      <w:bCs/>
      <w:caps/>
      <w:sz w:val="20"/>
      <w:szCs w:val="20"/>
    </w:rPr>
  </w:style>
  <w:style w:type="paragraph" w:styleId="30">
    <w:name w:val="toc 4"/>
    <w:basedOn w:val="1"/>
    <w:next w:val="1"/>
    <w:qFormat/>
    <w:uiPriority w:val="99"/>
    <w:pPr>
      <w:ind w:left="630"/>
      <w:jc w:val="left"/>
    </w:pPr>
    <w:rPr>
      <w:sz w:val="18"/>
      <w:szCs w:val="18"/>
    </w:rPr>
  </w:style>
  <w:style w:type="paragraph" w:styleId="31">
    <w:name w:val="List"/>
    <w:basedOn w:val="1"/>
    <w:qFormat/>
    <w:uiPriority w:val="99"/>
    <w:pPr>
      <w:ind w:left="420" w:hanging="420"/>
    </w:pPr>
  </w:style>
  <w:style w:type="paragraph" w:styleId="32">
    <w:name w:val="footnote text"/>
    <w:basedOn w:val="1"/>
    <w:link w:val="86"/>
    <w:qFormat/>
    <w:uiPriority w:val="99"/>
    <w:rPr>
      <w:sz w:val="20"/>
      <w:szCs w:val="20"/>
    </w:rPr>
  </w:style>
  <w:style w:type="paragraph" w:styleId="33">
    <w:name w:val="toc 6"/>
    <w:basedOn w:val="1"/>
    <w:next w:val="1"/>
    <w:qFormat/>
    <w:uiPriority w:val="99"/>
    <w:pPr>
      <w:ind w:left="1050"/>
      <w:jc w:val="left"/>
    </w:pPr>
    <w:rPr>
      <w:sz w:val="18"/>
      <w:szCs w:val="18"/>
    </w:rPr>
  </w:style>
  <w:style w:type="paragraph" w:styleId="34">
    <w:name w:val="Body Text Indent 3"/>
    <w:basedOn w:val="1"/>
    <w:link w:val="87"/>
    <w:qFormat/>
    <w:uiPriority w:val="99"/>
    <w:pPr>
      <w:ind w:left="420" w:leftChars="200"/>
    </w:pPr>
    <w:rPr>
      <w:sz w:val="16"/>
      <w:szCs w:val="16"/>
    </w:rPr>
  </w:style>
  <w:style w:type="paragraph" w:styleId="35">
    <w:name w:val="table of figures"/>
    <w:basedOn w:val="1"/>
    <w:next w:val="1"/>
    <w:qFormat/>
    <w:uiPriority w:val="99"/>
    <w:pPr>
      <w:ind w:left="200" w:leftChars="200" w:hanging="200" w:hangingChars="200"/>
    </w:pPr>
  </w:style>
  <w:style w:type="paragraph" w:styleId="36">
    <w:name w:val="toc 2"/>
    <w:basedOn w:val="1"/>
    <w:next w:val="1"/>
    <w:qFormat/>
    <w:uiPriority w:val="99"/>
    <w:pPr>
      <w:ind w:left="210"/>
      <w:jc w:val="left"/>
    </w:pPr>
    <w:rPr>
      <w:smallCaps/>
      <w:sz w:val="20"/>
      <w:szCs w:val="20"/>
    </w:rPr>
  </w:style>
  <w:style w:type="paragraph" w:styleId="37">
    <w:name w:val="toc 9"/>
    <w:basedOn w:val="1"/>
    <w:next w:val="1"/>
    <w:qFormat/>
    <w:uiPriority w:val="99"/>
    <w:pPr>
      <w:ind w:left="1680"/>
      <w:jc w:val="left"/>
    </w:pPr>
    <w:rPr>
      <w:sz w:val="18"/>
      <w:szCs w:val="18"/>
    </w:rPr>
  </w:style>
  <w:style w:type="paragraph" w:styleId="38">
    <w:name w:val="Body Text 2"/>
    <w:basedOn w:val="1"/>
    <w:link w:val="88"/>
    <w:qFormat/>
    <w:uiPriority w:val="99"/>
    <w:pPr>
      <w:spacing w:line="440" w:lineRule="exact"/>
    </w:pPr>
    <w:rPr>
      <w:sz w:val="28"/>
    </w:rPr>
  </w:style>
  <w:style w:type="paragraph" w:styleId="39">
    <w:name w:val="HTML Preformatted"/>
    <w:basedOn w:val="1"/>
    <w:link w:val="8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next w:val="41"/>
    <w:qFormat/>
    <w:uiPriority w:val="99"/>
    <w:pPr>
      <w:widowControl/>
      <w:spacing w:beforeAutospacing="1" w:afterAutospacing="1"/>
      <w:jc w:val="left"/>
    </w:pPr>
    <w:rPr>
      <w:rFonts w:ascii="宋体" w:hAnsi="宋体" w:cs="宋体"/>
      <w:kern w:val="0"/>
      <w:sz w:val="24"/>
    </w:rPr>
  </w:style>
  <w:style w:type="paragraph" w:customStyle="1" w:styleId="41">
    <w:name w:val="正文文字 8"/>
    <w:basedOn w:val="1"/>
    <w:next w:val="1"/>
    <w:qFormat/>
    <w:uiPriority w:val="99"/>
    <w:pPr>
      <w:ind w:left="240"/>
    </w:pPr>
    <w:rPr>
      <w:sz w:val="16"/>
    </w:rPr>
  </w:style>
  <w:style w:type="paragraph" w:styleId="42">
    <w:name w:val="index 1"/>
    <w:basedOn w:val="1"/>
    <w:next w:val="1"/>
    <w:qFormat/>
    <w:locked/>
    <w:uiPriority w:val="0"/>
    <w:pPr>
      <w:jc w:val="center"/>
    </w:pPr>
    <w:rPr>
      <w:rFonts w:ascii="Arial" w:hAnsi="Arial" w:eastAsia="Arial" w:cs="Arial"/>
      <w:b/>
      <w:bCs/>
      <w:sz w:val="28"/>
    </w:rPr>
  </w:style>
  <w:style w:type="paragraph" w:styleId="43">
    <w:name w:val="Title"/>
    <w:basedOn w:val="1"/>
    <w:next w:val="1"/>
    <w:link w:val="90"/>
    <w:qFormat/>
    <w:uiPriority w:val="99"/>
    <w:pPr>
      <w:adjustRightInd w:val="0"/>
      <w:spacing w:line="420" w:lineRule="atLeast"/>
      <w:jc w:val="center"/>
      <w:textAlignment w:val="baseline"/>
      <w:outlineLvl w:val="0"/>
    </w:pPr>
    <w:rPr>
      <w:rFonts w:ascii="Arial" w:hAnsi="Arial"/>
      <w:b/>
      <w:kern w:val="0"/>
      <w:sz w:val="32"/>
      <w:szCs w:val="20"/>
    </w:rPr>
  </w:style>
  <w:style w:type="paragraph" w:styleId="44">
    <w:name w:val="annotation subject"/>
    <w:basedOn w:val="15"/>
    <w:next w:val="15"/>
    <w:link w:val="91"/>
    <w:qFormat/>
    <w:uiPriority w:val="99"/>
    <w:rPr>
      <w:b/>
      <w:bCs/>
    </w:rPr>
  </w:style>
  <w:style w:type="paragraph" w:styleId="45">
    <w:name w:val="Body Text First Indent 2"/>
    <w:basedOn w:val="18"/>
    <w:next w:val="1"/>
    <w:link w:val="75"/>
    <w:qFormat/>
    <w:uiPriority w:val="99"/>
    <w:pPr>
      <w:spacing w:line="360" w:lineRule="auto"/>
      <w:ind w:firstLine="200" w:firstLineChars="200"/>
    </w:pPr>
    <w:rPr>
      <w:rFonts w:ascii="宋体"/>
      <w:szCs w:val="20"/>
    </w:rPr>
  </w:style>
  <w:style w:type="table" w:styleId="47">
    <w:name w:val="Table Grid"/>
    <w:basedOn w:val="4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99"/>
    <w:rPr>
      <w:rFonts w:cs="Times New Roman"/>
      <w:b/>
    </w:rPr>
  </w:style>
  <w:style w:type="character" w:styleId="50">
    <w:name w:val="page number"/>
    <w:basedOn w:val="48"/>
    <w:qFormat/>
    <w:uiPriority w:val="99"/>
    <w:rPr>
      <w:rFonts w:cs="Times New Roman"/>
    </w:rPr>
  </w:style>
  <w:style w:type="character" w:styleId="51">
    <w:name w:val="FollowedHyperlink"/>
    <w:basedOn w:val="48"/>
    <w:qFormat/>
    <w:uiPriority w:val="99"/>
    <w:rPr>
      <w:rFonts w:cs="Times New Roman"/>
      <w:color w:val="333333"/>
      <w:u w:val="none"/>
    </w:rPr>
  </w:style>
  <w:style w:type="character" w:styleId="52">
    <w:name w:val="Emphasis"/>
    <w:basedOn w:val="48"/>
    <w:qFormat/>
    <w:uiPriority w:val="99"/>
    <w:rPr>
      <w:rFonts w:cs="Times New Roman"/>
      <w:color w:val="CC0033"/>
    </w:rPr>
  </w:style>
  <w:style w:type="character" w:styleId="53">
    <w:name w:val="HTML Definition"/>
    <w:basedOn w:val="48"/>
    <w:qFormat/>
    <w:uiPriority w:val="99"/>
    <w:rPr>
      <w:rFonts w:cs="Times New Roman"/>
    </w:rPr>
  </w:style>
  <w:style w:type="character" w:styleId="54">
    <w:name w:val="HTML Typewriter"/>
    <w:basedOn w:val="48"/>
    <w:qFormat/>
    <w:uiPriority w:val="99"/>
    <w:rPr>
      <w:rFonts w:ascii="monospace" w:hAnsi="monospace" w:cs="Times New Roman"/>
      <w:sz w:val="20"/>
    </w:rPr>
  </w:style>
  <w:style w:type="character" w:styleId="55">
    <w:name w:val="HTML Acronym"/>
    <w:basedOn w:val="48"/>
    <w:qFormat/>
    <w:uiPriority w:val="99"/>
    <w:rPr>
      <w:rFonts w:cs="Times New Roman"/>
    </w:rPr>
  </w:style>
  <w:style w:type="character" w:styleId="56">
    <w:name w:val="HTML Variable"/>
    <w:basedOn w:val="48"/>
    <w:qFormat/>
    <w:uiPriority w:val="99"/>
    <w:rPr>
      <w:rFonts w:cs="Times New Roman"/>
    </w:rPr>
  </w:style>
  <w:style w:type="character" w:styleId="57">
    <w:name w:val="Hyperlink"/>
    <w:basedOn w:val="48"/>
    <w:qFormat/>
    <w:uiPriority w:val="99"/>
    <w:rPr>
      <w:rFonts w:cs="Times New Roman"/>
      <w:color w:val="333333"/>
      <w:u w:val="none"/>
    </w:rPr>
  </w:style>
  <w:style w:type="character" w:styleId="58">
    <w:name w:val="HTML Code"/>
    <w:basedOn w:val="48"/>
    <w:qFormat/>
    <w:uiPriority w:val="99"/>
    <w:rPr>
      <w:rFonts w:ascii="monospace" w:hAnsi="monospace" w:cs="Times New Roman"/>
      <w:sz w:val="20"/>
    </w:rPr>
  </w:style>
  <w:style w:type="character" w:styleId="59">
    <w:name w:val="annotation reference"/>
    <w:basedOn w:val="48"/>
    <w:qFormat/>
    <w:uiPriority w:val="99"/>
    <w:rPr>
      <w:rFonts w:cs="Times New Roman"/>
      <w:sz w:val="21"/>
    </w:rPr>
  </w:style>
  <w:style w:type="character" w:styleId="60">
    <w:name w:val="HTML Cite"/>
    <w:basedOn w:val="48"/>
    <w:qFormat/>
    <w:uiPriority w:val="99"/>
    <w:rPr>
      <w:rFonts w:cs="Times New Roman"/>
    </w:rPr>
  </w:style>
  <w:style w:type="character" w:styleId="61">
    <w:name w:val="footnote reference"/>
    <w:basedOn w:val="48"/>
    <w:qFormat/>
    <w:uiPriority w:val="99"/>
    <w:rPr>
      <w:rFonts w:cs="Times New Roman"/>
      <w:vertAlign w:val="superscript"/>
    </w:rPr>
  </w:style>
  <w:style w:type="character" w:styleId="62">
    <w:name w:val="HTML Keyboard"/>
    <w:basedOn w:val="48"/>
    <w:qFormat/>
    <w:uiPriority w:val="99"/>
    <w:rPr>
      <w:rFonts w:ascii="monospace" w:hAnsi="monospace" w:cs="Times New Roman"/>
      <w:sz w:val="20"/>
    </w:rPr>
  </w:style>
  <w:style w:type="character" w:styleId="63">
    <w:name w:val="HTML Sample"/>
    <w:basedOn w:val="48"/>
    <w:qFormat/>
    <w:uiPriority w:val="99"/>
    <w:rPr>
      <w:rFonts w:ascii="monospace" w:hAnsi="monospace" w:cs="Times New Roman"/>
    </w:rPr>
  </w:style>
  <w:style w:type="paragraph" w:customStyle="1" w:styleId="64">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65">
    <w:name w:val="Heading 1 Char"/>
    <w:basedOn w:val="48"/>
    <w:link w:val="3"/>
    <w:qFormat/>
    <w:locked/>
    <w:uiPriority w:val="99"/>
    <w:rPr>
      <w:rFonts w:eastAsia="宋体" w:cs="Times New Roman"/>
      <w:b/>
      <w:kern w:val="44"/>
      <w:sz w:val="44"/>
      <w:lang w:val="en-US" w:eastAsia="zh-CN"/>
    </w:rPr>
  </w:style>
  <w:style w:type="character" w:customStyle="1" w:styleId="66">
    <w:name w:val="Heading 2 Char"/>
    <w:basedOn w:val="48"/>
    <w:link w:val="4"/>
    <w:qFormat/>
    <w:locked/>
    <w:uiPriority w:val="99"/>
    <w:rPr>
      <w:rFonts w:ascii="Arial" w:hAnsi="Arial" w:eastAsia="黑体" w:cs="Times New Roman"/>
      <w:b/>
      <w:kern w:val="2"/>
      <w:sz w:val="32"/>
      <w:lang w:val="en-US" w:eastAsia="zh-CN"/>
    </w:rPr>
  </w:style>
  <w:style w:type="character" w:customStyle="1" w:styleId="67">
    <w:name w:val="Heading 3 Char"/>
    <w:basedOn w:val="48"/>
    <w:link w:val="5"/>
    <w:qFormat/>
    <w:locked/>
    <w:uiPriority w:val="99"/>
    <w:rPr>
      <w:rFonts w:cs="Times New Roman"/>
      <w:b/>
      <w:sz w:val="32"/>
    </w:rPr>
  </w:style>
  <w:style w:type="character" w:customStyle="1" w:styleId="68">
    <w:name w:val="Heading 4 Char"/>
    <w:basedOn w:val="48"/>
    <w:link w:val="6"/>
    <w:semiHidden/>
    <w:qFormat/>
    <w:locked/>
    <w:uiPriority w:val="99"/>
    <w:rPr>
      <w:rFonts w:ascii="Cambria" w:hAnsi="Cambria" w:eastAsia="宋体" w:cs="Times New Roman"/>
      <w:b/>
      <w:bCs/>
      <w:sz w:val="28"/>
      <w:szCs w:val="28"/>
    </w:rPr>
  </w:style>
  <w:style w:type="character" w:customStyle="1" w:styleId="69">
    <w:name w:val="Heading 5 Char"/>
    <w:basedOn w:val="48"/>
    <w:link w:val="7"/>
    <w:qFormat/>
    <w:locked/>
    <w:uiPriority w:val="99"/>
    <w:rPr>
      <w:rFonts w:cs="Times New Roman"/>
      <w:b/>
      <w:kern w:val="2"/>
      <w:sz w:val="28"/>
    </w:rPr>
  </w:style>
  <w:style w:type="character" w:customStyle="1" w:styleId="70">
    <w:name w:val="Heading 6 Char"/>
    <w:basedOn w:val="48"/>
    <w:link w:val="8"/>
    <w:semiHidden/>
    <w:qFormat/>
    <w:locked/>
    <w:uiPriority w:val="99"/>
    <w:rPr>
      <w:rFonts w:ascii="Cambria" w:hAnsi="Cambria" w:eastAsia="宋体" w:cs="Times New Roman"/>
      <w:b/>
      <w:bCs/>
      <w:sz w:val="24"/>
      <w:szCs w:val="24"/>
    </w:rPr>
  </w:style>
  <w:style w:type="character" w:customStyle="1" w:styleId="71">
    <w:name w:val="Heading 7 Char"/>
    <w:basedOn w:val="48"/>
    <w:link w:val="9"/>
    <w:semiHidden/>
    <w:qFormat/>
    <w:locked/>
    <w:uiPriority w:val="99"/>
    <w:rPr>
      <w:rFonts w:cs="Times New Roman"/>
      <w:b/>
      <w:bCs/>
      <w:sz w:val="24"/>
      <w:szCs w:val="24"/>
    </w:rPr>
  </w:style>
  <w:style w:type="character" w:customStyle="1" w:styleId="72">
    <w:name w:val="Heading 8 Char"/>
    <w:basedOn w:val="48"/>
    <w:link w:val="10"/>
    <w:semiHidden/>
    <w:qFormat/>
    <w:locked/>
    <w:uiPriority w:val="99"/>
    <w:rPr>
      <w:rFonts w:ascii="Cambria" w:hAnsi="Cambria" w:eastAsia="宋体" w:cs="Times New Roman"/>
      <w:sz w:val="24"/>
      <w:szCs w:val="24"/>
    </w:rPr>
  </w:style>
  <w:style w:type="character" w:customStyle="1" w:styleId="73">
    <w:name w:val="Heading 9 Char"/>
    <w:basedOn w:val="48"/>
    <w:link w:val="11"/>
    <w:semiHidden/>
    <w:qFormat/>
    <w:locked/>
    <w:uiPriority w:val="99"/>
    <w:rPr>
      <w:rFonts w:ascii="Cambria" w:hAnsi="Cambria" w:eastAsia="宋体" w:cs="Times New Roman"/>
      <w:sz w:val="21"/>
      <w:szCs w:val="21"/>
    </w:rPr>
  </w:style>
  <w:style w:type="character" w:customStyle="1" w:styleId="74">
    <w:name w:val="Body Text Indent Char"/>
    <w:basedOn w:val="48"/>
    <w:link w:val="18"/>
    <w:semiHidden/>
    <w:qFormat/>
    <w:locked/>
    <w:uiPriority w:val="99"/>
    <w:rPr>
      <w:rFonts w:cs="Times New Roman"/>
      <w:sz w:val="24"/>
      <w:szCs w:val="24"/>
    </w:rPr>
  </w:style>
  <w:style w:type="character" w:customStyle="1" w:styleId="75">
    <w:name w:val="Body Text First Indent 2 Char"/>
    <w:basedOn w:val="74"/>
    <w:link w:val="45"/>
    <w:semiHidden/>
    <w:qFormat/>
    <w:locked/>
    <w:uiPriority w:val="99"/>
  </w:style>
  <w:style w:type="character" w:customStyle="1" w:styleId="76">
    <w:name w:val="Document Map Char"/>
    <w:basedOn w:val="48"/>
    <w:link w:val="14"/>
    <w:semiHidden/>
    <w:qFormat/>
    <w:locked/>
    <w:uiPriority w:val="99"/>
    <w:rPr>
      <w:rFonts w:cs="Times New Roman"/>
      <w:sz w:val="2"/>
    </w:rPr>
  </w:style>
  <w:style w:type="character" w:customStyle="1" w:styleId="77">
    <w:name w:val="Comment Text Char"/>
    <w:basedOn w:val="48"/>
    <w:link w:val="15"/>
    <w:qFormat/>
    <w:locked/>
    <w:uiPriority w:val="99"/>
    <w:rPr>
      <w:rFonts w:eastAsia="宋体" w:cs="Times New Roman"/>
      <w:kern w:val="2"/>
      <w:sz w:val="24"/>
      <w:lang w:val="en-US" w:eastAsia="zh-CN"/>
    </w:rPr>
  </w:style>
  <w:style w:type="character" w:customStyle="1" w:styleId="78">
    <w:name w:val="Body Text 3 Char"/>
    <w:basedOn w:val="48"/>
    <w:link w:val="16"/>
    <w:semiHidden/>
    <w:qFormat/>
    <w:locked/>
    <w:uiPriority w:val="99"/>
    <w:rPr>
      <w:rFonts w:cs="Times New Roman"/>
      <w:sz w:val="16"/>
      <w:szCs w:val="16"/>
    </w:rPr>
  </w:style>
  <w:style w:type="character" w:customStyle="1" w:styleId="79">
    <w:name w:val="Body Text Char"/>
    <w:basedOn w:val="48"/>
    <w:link w:val="17"/>
    <w:qFormat/>
    <w:locked/>
    <w:uiPriority w:val="99"/>
    <w:rPr>
      <w:rFonts w:eastAsia="宋体" w:cs="Times New Roman"/>
      <w:kern w:val="2"/>
      <w:sz w:val="24"/>
      <w:lang w:val="en-US" w:eastAsia="zh-CN"/>
    </w:rPr>
  </w:style>
  <w:style w:type="character" w:customStyle="1" w:styleId="80">
    <w:name w:val="Plain Text Char"/>
    <w:basedOn w:val="48"/>
    <w:link w:val="23"/>
    <w:qFormat/>
    <w:locked/>
    <w:uiPriority w:val="99"/>
    <w:rPr>
      <w:rFonts w:ascii="Courier New" w:hAnsi="Courier New" w:eastAsia="宋体" w:cs="Times New Roman"/>
      <w:kern w:val="2"/>
      <w:sz w:val="21"/>
      <w:lang w:val="en-US" w:eastAsia="zh-CN"/>
    </w:rPr>
  </w:style>
  <w:style w:type="character" w:customStyle="1" w:styleId="81">
    <w:name w:val="Date Char"/>
    <w:basedOn w:val="48"/>
    <w:link w:val="25"/>
    <w:semiHidden/>
    <w:qFormat/>
    <w:locked/>
    <w:uiPriority w:val="99"/>
    <w:rPr>
      <w:rFonts w:cs="Times New Roman"/>
      <w:sz w:val="24"/>
      <w:szCs w:val="24"/>
    </w:rPr>
  </w:style>
  <w:style w:type="character" w:customStyle="1" w:styleId="82">
    <w:name w:val="Body Text Indent 2 Char"/>
    <w:basedOn w:val="48"/>
    <w:link w:val="2"/>
    <w:semiHidden/>
    <w:qFormat/>
    <w:locked/>
    <w:uiPriority w:val="99"/>
    <w:rPr>
      <w:rFonts w:cs="Times New Roman"/>
      <w:sz w:val="24"/>
      <w:szCs w:val="24"/>
    </w:rPr>
  </w:style>
  <w:style w:type="character" w:customStyle="1" w:styleId="83">
    <w:name w:val="Balloon Text Char"/>
    <w:basedOn w:val="48"/>
    <w:link w:val="26"/>
    <w:semiHidden/>
    <w:qFormat/>
    <w:locked/>
    <w:uiPriority w:val="99"/>
    <w:rPr>
      <w:rFonts w:cs="Times New Roman"/>
      <w:sz w:val="2"/>
    </w:rPr>
  </w:style>
  <w:style w:type="character" w:customStyle="1" w:styleId="84">
    <w:name w:val="Footer Char"/>
    <w:basedOn w:val="48"/>
    <w:link w:val="27"/>
    <w:semiHidden/>
    <w:qFormat/>
    <w:locked/>
    <w:uiPriority w:val="99"/>
    <w:rPr>
      <w:rFonts w:cs="Times New Roman"/>
      <w:sz w:val="18"/>
      <w:szCs w:val="18"/>
    </w:rPr>
  </w:style>
  <w:style w:type="character" w:customStyle="1" w:styleId="85">
    <w:name w:val="Header Char"/>
    <w:basedOn w:val="48"/>
    <w:link w:val="28"/>
    <w:semiHidden/>
    <w:qFormat/>
    <w:locked/>
    <w:uiPriority w:val="99"/>
    <w:rPr>
      <w:rFonts w:cs="Times New Roman"/>
      <w:sz w:val="18"/>
      <w:szCs w:val="18"/>
    </w:rPr>
  </w:style>
  <w:style w:type="character" w:customStyle="1" w:styleId="86">
    <w:name w:val="Footnote Text Char"/>
    <w:basedOn w:val="48"/>
    <w:link w:val="32"/>
    <w:semiHidden/>
    <w:qFormat/>
    <w:locked/>
    <w:uiPriority w:val="99"/>
    <w:rPr>
      <w:rFonts w:cs="Times New Roman"/>
      <w:sz w:val="18"/>
      <w:szCs w:val="18"/>
    </w:rPr>
  </w:style>
  <w:style w:type="character" w:customStyle="1" w:styleId="87">
    <w:name w:val="Body Text Indent 3 Char"/>
    <w:basedOn w:val="48"/>
    <w:link w:val="34"/>
    <w:semiHidden/>
    <w:qFormat/>
    <w:locked/>
    <w:uiPriority w:val="99"/>
    <w:rPr>
      <w:rFonts w:cs="Times New Roman"/>
      <w:sz w:val="16"/>
      <w:szCs w:val="16"/>
    </w:rPr>
  </w:style>
  <w:style w:type="character" w:customStyle="1" w:styleId="88">
    <w:name w:val="Body Text 2 Char"/>
    <w:basedOn w:val="48"/>
    <w:link w:val="38"/>
    <w:semiHidden/>
    <w:qFormat/>
    <w:locked/>
    <w:uiPriority w:val="99"/>
    <w:rPr>
      <w:rFonts w:cs="Times New Roman"/>
      <w:sz w:val="24"/>
      <w:szCs w:val="24"/>
    </w:rPr>
  </w:style>
  <w:style w:type="character" w:customStyle="1" w:styleId="89">
    <w:name w:val="HTML Preformatted Char"/>
    <w:basedOn w:val="48"/>
    <w:link w:val="39"/>
    <w:qFormat/>
    <w:locked/>
    <w:uiPriority w:val="99"/>
    <w:rPr>
      <w:rFonts w:ascii="宋体" w:eastAsia="宋体" w:cs="Times New Roman"/>
      <w:sz w:val="24"/>
    </w:rPr>
  </w:style>
  <w:style w:type="character" w:customStyle="1" w:styleId="90">
    <w:name w:val="Title Char"/>
    <w:basedOn w:val="48"/>
    <w:link w:val="43"/>
    <w:qFormat/>
    <w:locked/>
    <w:uiPriority w:val="99"/>
    <w:rPr>
      <w:rFonts w:ascii="Cambria" w:hAnsi="Cambria" w:cs="Times New Roman"/>
      <w:b/>
      <w:bCs/>
      <w:sz w:val="32"/>
      <w:szCs w:val="32"/>
    </w:rPr>
  </w:style>
  <w:style w:type="character" w:customStyle="1" w:styleId="91">
    <w:name w:val="Comment Subject Char"/>
    <w:basedOn w:val="77"/>
    <w:link w:val="44"/>
    <w:semiHidden/>
    <w:qFormat/>
    <w:locked/>
    <w:uiPriority w:val="99"/>
    <w:rPr>
      <w:b/>
      <w:bCs/>
      <w:szCs w:val="24"/>
    </w:rPr>
  </w:style>
  <w:style w:type="paragraph" w:customStyle="1" w:styleId="92">
    <w:name w:val="List Paragraph1"/>
    <w:basedOn w:val="1"/>
    <w:qFormat/>
    <w:uiPriority w:val="99"/>
    <w:pPr>
      <w:ind w:firstLine="420" w:firstLineChars="200"/>
    </w:pPr>
  </w:style>
  <w:style w:type="paragraph" w:customStyle="1" w:styleId="93">
    <w:name w:val="_Style 62"/>
    <w:basedOn w:val="1"/>
    <w:next w:val="1"/>
    <w:qFormat/>
    <w:uiPriority w:val="99"/>
    <w:pPr>
      <w:pBdr>
        <w:top w:val="single" w:color="auto" w:sz="6" w:space="1"/>
      </w:pBdr>
      <w:jc w:val="center"/>
    </w:pPr>
    <w:rPr>
      <w:rFonts w:ascii="Arial"/>
      <w:vanish/>
      <w:sz w:val="16"/>
    </w:rPr>
  </w:style>
  <w:style w:type="paragraph" w:customStyle="1" w:styleId="94">
    <w:name w:val="Blockquote"/>
    <w:basedOn w:val="1"/>
    <w:qFormat/>
    <w:uiPriority w:val="99"/>
    <w:pPr>
      <w:autoSpaceDE w:val="0"/>
      <w:autoSpaceDN w:val="0"/>
      <w:adjustRightInd w:val="0"/>
      <w:ind w:left="360" w:right="360"/>
      <w:jc w:val="left"/>
    </w:pPr>
    <w:rPr>
      <w:kern w:val="0"/>
      <w:sz w:val="24"/>
      <w:szCs w:val="20"/>
    </w:rPr>
  </w:style>
  <w:style w:type="paragraph" w:customStyle="1" w:styleId="95">
    <w:name w:val="表格"/>
    <w:basedOn w:val="1"/>
    <w:qFormat/>
    <w:uiPriority w:val="99"/>
    <w:pPr>
      <w:jc w:val="center"/>
      <w:textAlignment w:val="center"/>
    </w:pPr>
    <w:rPr>
      <w:rFonts w:ascii="华文细黑" w:hAnsi="华文细黑"/>
      <w:kern w:val="0"/>
      <w:szCs w:val="20"/>
    </w:rPr>
  </w:style>
  <w:style w:type="paragraph" w:customStyle="1" w:styleId="96">
    <w:name w:val="表格文字"/>
    <w:basedOn w:val="1"/>
    <w:qFormat/>
    <w:uiPriority w:val="99"/>
    <w:pPr>
      <w:adjustRightInd w:val="0"/>
      <w:spacing w:line="420" w:lineRule="atLeast"/>
      <w:jc w:val="left"/>
      <w:textAlignment w:val="baseline"/>
    </w:pPr>
    <w:rPr>
      <w:kern w:val="0"/>
      <w:szCs w:val="20"/>
    </w:rPr>
  </w:style>
  <w:style w:type="paragraph" w:customStyle="1" w:styleId="97">
    <w:name w:val="Char"/>
    <w:basedOn w:val="1"/>
    <w:next w:val="1"/>
    <w:qFormat/>
    <w:uiPriority w:val="99"/>
    <w:pPr>
      <w:widowControl/>
      <w:spacing w:line="360" w:lineRule="auto"/>
      <w:jc w:val="left"/>
    </w:pPr>
    <w:rPr>
      <w:kern w:val="0"/>
      <w:szCs w:val="20"/>
      <w:lang w:eastAsia="en-US"/>
    </w:rPr>
  </w:style>
  <w:style w:type="paragraph" w:customStyle="1" w:styleId="98">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99">
    <w:name w:val="样式2"/>
    <w:basedOn w:val="5"/>
    <w:qFormat/>
    <w:uiPriority w:val="99"/>
  </w:style>
  <w:style w:type="paragraph" w:customStyle="1" w:styleId="100">
    <w:name w:val="Default Paragraph Char Char Char Char"/>
    <w:basedOn w:val="1"/>
    <w:next w:val="1"/>
    <w:qFormat/>
    <w:uiPriority w:val="99"/>
    <w:pPr>
      <w:spacing w:line="360" w:lineRule="auto"/>
    </w:pPr>
    <w:rPr>
      <w:szCs w:val="20"/>
    </w:rPr>
  </w:style>
  <w:style w:type="paragraph" w:customStyle="1" w:styleId="101">
    <w:name w:val="节标题"/>
    <w:basedOn w:val="1"/>
    <w:next w:val="1"/>
    <w:qFormat/>
    <w:uiPriority w:val="99"/>
    <w:pPr>
      <w:widowControl/>
      <w:spacing w:line="289" w:lineRule="atLeast"/>
      <w:jc w:val="center"/>
      <w:textAlignment w:val="baseline"/>
    </w:pPr>
    <w:rPr>
      <w:color w:val="000000"/>
      <w:kern w:val="0"/>
      <w:sz w:val="28"/>
      <w:szCs w:val="20"/>
      <w:u w:color="000000"/>
    </w:rPr>
  </w:style>
  <w:style w:type="paragraph" w:customStyle="1" w:styleId="102">
    <w:name w:val="默认段落字体 Para Char Char Char Char"/>
    <w:basedOn w:val="1"/>
    <w:qFormat/>
    <w:uiPriority w:val="99"/>
  </w:style>
  <w:style w:type="paragraph" w:customStyle="1" w:styleId="103">
    <w:name w:val="样式 标题 1 + 黑体 五号"/>
    <w:basedOn w:val="3"/>
    <w:qFormat/>
    <w:uiPriority w:val="99"/>
    <w:pPr>
      <w:jc w:val="left"/>
    </w:pPr>
    <w:rPr>
      <w:rFonts w:ascii="黑体" w:hAnsi="黑体" w:eastAsia="黑体"/>
      <w:sz w:val="21"/>
    </w:rPr>
  </w:style>
  <w:style w:type="paragraph" w:customStyle="1" w:styleId="104">
    <w:name w:val="样式4"/>
    <w:basedOn w:val="5"/>
    <w:qFormat/>
    <w:uiPriority w:val="99"/>
  </w:style>
  <w:style w:type="paragraph" w:customStyle="1" w:styleId="105">
    <w:name w:val="正文1"/>
    <w:qFormat/>
    <w:uiPriority w:val="99"/>
    <w:pPr>
      <w:widowControl w:val="0"/>
      <w:adjustRightInd w:val="0"/>
      <w:spacing w:line="312" w:lineRule="atLeast"/>
      <w:jc w:val="both"/>
      <w:textAlignment w:val="baseline"/>
    </w:pPr>
    <w:rPr>
      <w:rFonts w:ascii="宋体" w:hAnsi="Times New Roman" w:eastAsia="宋体" w:cs="宋体"/>
      <w:kern w:val="0"/>
      <w:sz w:val="24"/>
      <w:szCs w:val="24"/>
      <w:lang w:val="en-US" w:eastAsia="zh-CN" w:bidi="ar-SA"/>
    </w:rPr>
  </w:style>
  <w:style w:type="paragraph" w:customStyle="1" w:styleId="106">
    <w:name w:val="列出段落1"/>
    <w:basedOn w:val="1"/>
    <w:qFormat/>
    <w:uiPriority w:val="99"/>
    <w:pPr>
      <w:ind w:firstLine="200" w:firstLineChars="200"/>
    </w:pPr>
  </w:style>
  <w:style w:type="paragraph" w:customStyle="1" w:styleId="107">
    <w:name w:val="p0 New"/>
    <w:basedOn w:val="1"/>
    <w:qFormat/>
    <w:uiPriority w:val="99"/>
    <w:pPr>
      <w:widowControl/>
      <w:jc w:val="left"/>
    </w:pPr>
    <w:rPr>
      <w:rFonts w:ascii="宋体" w:hAnsi="宋体" w:cs="宋体"/>
      <w:kern w:val="0"/>
      <w:sz w:val="18"/>
      <w:szCs w:val="18"/>
    </w:rPr>
  </w:style>
  <w:style w:type="paragraph" w:customStyle="1" w:styleId="108">
    <w:name w:val="样式 标题 1 + 黑体 三号 非加粗 居中 段前: 6 磅 段后: 6 磅 行距: 固定值 20 磅"/>
    <w:basedOn w:val="3"/>
    <w:qFormat/>
    <w:uiPriority w:val="99"/>
    <w:pPr>
      <w:spacing w:line="400" w:lineRule="exact"/>
    </w:pPr>
    <w:rPr>
      <w:rFonts w:ascii="黑体" w:hAnsi="黑体" w:eastAsia="黑体" w:cs="宋体"/>
      <w:b w:val="0"/>
      <w:bCs w:val="0"/>
      <w:sz w:val="32"/>
      <w:szCs w:val="20"/>
    </w:rPr>
  </w:style>
  <w:style w:type="paragraph" w:customStyle="1" w:styleId="109">
    <w:name w:val="_Style 78"/>
    <w:basedOn w:val="3"/>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110">
    <w:name w:val="Char1"/>
    <w:basedOn w:val="1"/>
    <w:qFormat/>
    <w:uiPriority w:val="99"/>
    <w:pPr>
      <w:tabs>
        <w:tab w:val="left" w:pos="360"/>
      </w:tabs>
    </w:pPr>
    <w:rPr>
      <w:sz w:val="24"/>
    </w:rPr>
  </w:style>
  <w:style w:type="paragraph" w:customStyle="1" w:styleId="111">
    <w:name w:val="样式1"/>
    <w:basedOn w:val="5"/>
    <w:qFormat/>
    <w:uiPriority w:val="99"/>
  </w:style>
  <w:style w:type="paragraph" w:customStyle="1" w:styleId="112">
    <w:name w:val="Char Char Char Char Char Char Char Char Char Char Char Char Char"/>
    <w:basedOn w:val="1"/>
    <w:qFormat/>
    <w:uiPriority w:val="99"/>
  </w:style>
  <w:style w:type="paragraph" w:customStyle="1" w:styleId="113">
    <w:name w:val="p"/>
    <w:basedOn w:val="1"/>
    <w:qFormat/>
    <w:uiPriority w:val="99"/>
    <w:rPr>
      <w:rFonts w:ascii="宋体"/>
      <w:sz w:val="24"/>
    </w:rPr>
  </w:style>
  <w:style w:type="paragraph" w:customStyle="1" w:styleId="114">
    <w:name w:val="Char Char Char Char"/>
    <w:basedOn w:val="1"/>
    <w:qFormat/>
    <w:uiPriority w:val="99"/>
  </w:style>
  <w:style w:type="paragraph" w:customStyle="1" w:styleId="115">
    <w:name w:val="_Style 84"/>
    <w:basedOn w:val="1"/>
    <w:next w:val="1"/>
    <w:qFormat/>
    <w:uiPriority w:val="99"/>
    <w:pPr>
      <w:pBdr>
        <w:bottom w:val="single" w:color="auto" w:sz="6" w:space="1"/>
      </w:pBdr>
      <w:jc w:val="center"/>
    </w:pPr>
    <w:rPr>
      <w:rFonts w:ascii="Arial"/>
      <w:vanish/>
      <w:sz w:val="16"/>
    </w:rPr>
  </w:style>
  <w:style w:type="paragraph" w:customStyle="1" w:styleId="116">
    <w:name w:val="1"/>
    <w:basedOn w:val="1"/>
    <w:next w:val="1"/>
    <w:qFormat/>
    <w:uiPriority w:val="99"/>
  </w:style>
  <w:style w:type="paragraph" w:customStyle="1" w:styleId="117">
    <w:name w:val="p15"/>
    <w:qFormat/>
    <w:uiPriority w:val="99"/>
    <w:pPr>
      <w:jc w:val="both"/>
    </w:pPr>
    <w:rPr>
      <w:rFonts w:ascii="宋体" w:hAnsi="Times New Roman" w:eastAsia="宋体" w:cs="宋体"/>
      <w:kern w:val="0"/>
      <w:sz w:val="21"/>
      <w:szCs w:val="21"/>
      <w:lang w:val="en-US" w:eastAsia="zh-CN" w:bidi="ar-SA"/>
    </w:rPr>
  </w:style>
  <w:style w:type="paragraph" w:customStyle="1" w:styleId="118">
    <w:name w:val="样式 标题 2 + Times New Roman 四号 非加粗 段前: 5 磅 段后: 0 磅 行距: 固定值 20..."/>
    <w:basedOn w:val="4"/>
    <w:qFormat/>
    <w:uiPriority w:val="99"/>
    <w:pPr>
      <w:spacing w:line="400" w:lineRule="exact"/>
    </w:pPr>
    <w:rPr>
      <w:rFonts w:ascii="Times New Roman" w:hAnsi="Times New Roman" w:cs="宋体"/>
      <w:b w:val="0"/>
      <w:bCs w:val="0"/>
      <w:sz w:val="28"/>
      <w:szCs w:val="20"/>
    </w:rPr>
  </w:style>
  <w:style w:type="paragraph" w:customStyle="1" w:styleId="119">
    <w:name w:val="Table Paragraph"/>
    <w:basedOn w:val="1"/>
    <w:qFormat/>
    <w:uiPriority w:val="99"/>
    <w:pPr>
      <w:autoSpaceDE w:val="0"/>
      <w:autoSpaceDN w:val="0"/>
      <w:jc w:val="left"/>
    </w:pPr>
    <w:rPr>
      <w:rFonts w:ascii="宋体" w:hAnsi="宋体" w:cs="宋体"/>
      <w:kern w:val="0"/>
      <w:sz w:val="22"/>
      <w:szCs w:val="22"/>
      <w:lang w:val="zh-CN"/>
    </w:rPr>
  </w:style>
  <w:style w:type="paragraph" w:customStyle="1" w:styleId="120">
    <w:name w:val="p0"/>
    <w:basedOn w:val="1"/>
    <w:qFormat/>
    <w:uiPriority w:val="99"/>
    <w:pPr>
      <w:widowControl/>
    </w:pPr>
    <w:rPr>
      <w:kern w:val="0"/>
      <w:szCs w:val="21"/>
    </w:rPr>
  </w:style>
  <w:style w:type="paragraph" w:customStyle="1" w:styleId="121">
    <w:name w:val="样式3"/>
    <w:basedOn w:val="5"/>
    <w:qFormat/>
    <w:uiPriority w:val="99"/>
  </w:style>
  <w:style w:type="paragraph" w:customStyle="1" w:styleId="122">
    <w:name w:val="样式 标题 3 + (中文) 黑体 小四 非加粗 段前: 7.8 磅 段后: 0 磅 行距: 固定值 20 磅"/>
    <w:basedOn w:val="5"/>
    <w:qFormat/>
    <w:uiPriority w:val="99"/>
    <w:pPr>
      <w:spacing w:line="400" w:lineRule="exact"/>
    </w:pPr>
    <w:rPr>
      <w:rFonts w:eastAsia="黑体" w:cs="宋体"/>
      <w:b w:val="0"/>
      <w:bCs w:val="0"/>
      <w:sz w:val="24"/>
      <w:szCs w:val="20"/>
    </w:rPr>
  </w:style>
  <w:style w:type="paragraph" w:customStyle="1" w:styleId="123">
    <w:name w:val="Char Char Char Char Char Char Char Char Char Char Char Char Char1"/>
    <w:basedOn w:val="1"/>
    <w:qFormat/>
    <w:uiPriority w:val="99"/>
  </w:style>
  <w:style w:type="paragraph" w:customStyle="1" w:styleId="124">
    <w:name w:val="Char4"/>
    <w:basedOn w:val="1"/>
    <w:qFormat/>
    <w:uiPriority w:val="99"/>
    <w:pPr>
      <w:widowControl/>
      <w:spacing w:line="360" w:lineRule="auto"/>
      <w:ind w:firstLine="200" w:firstLineChars="200"/>
      <w:textAlignment w:val="baseline"/>
    </w:pPr>
    <w:rPr>
      <w:color w:val="000000"/>
      <w:kern w:val="0"/>
      <w:szCs w:val="20"/>
      <w:u w:color="000000"/>
    </w:rPr>
  </w:style>
  <w:style w:type="paragraph" w:customStyle="1" w:styleId="125">
    <w:name w:val="Normal1"/>
    <w:qFormat/>
    <w:uiPriority w:val="99"/>
    <w:pPr>
      <w:widowControl w:val="0"/>
      <w:jc w:val="both"/>
    </w:pPr>
    <w:rPr>
      <w:rFonts w:ascii="Times New Roman" w:hAnsi="Times New Roman" w:eastAsia="宋体" w:cs="Times New Roman"/>
      <w:kern w:val="0"/>
      <w:sz w:val="20"/>
      <w:szCs w:val="20"/>
      <w:lang w:val="en-US" w:eastAsia="zh-CN" w:bidi="ar-SA"/>
    </w:rPr>
  </w:style>
  <w:style w:type="character" w:customStyle="1" w:styleId="126">
    <w:name w:val="first-child"/>
    <w:basedOn w:val="48"/>
    <w:qFormat/>
    <w:uiPriority w:val="99"/>
    <w:rPr>
      <w:rFonts w:cs="Times New Roman"/>
    </w:rPr>
  </w:style>
  <w:style w:type="character" w:customStyle="1" w:styleId="127">
    <w:name w:val="Char Char Char Char Char Char"/>
    <w:qFormat/>
    <w:uiPriority w:val="99"/>
    <w:rPr>
      <w:rFonts w:ascii="Arial" w:hAnsi="Arial" w:eastAsia="黑体"/>
      <w:b/>
      <w:kern w:val="2"/>
      <w:sz w:val="32"/>
      <w:lang w:val="en-US" w:eastAsia="zh-CN"/>
    </w:rPr>
  </w:style>
  <w:style w:type="character" w:customStyle="1" w:styleId="128">
    <w:name w:val="l11"/>
    <w:qFormat/>
    <w:uiPriority w:val="99"/>
    <w:rPr>
      <w:color w:val="999999"/>
    </w:rPr>
  </w:style>
  <w:style w:type="character" w:customStyle="1" w:styleId="129">
    <w:name w:val="Char Char"/>
    <w:qFormat/>
    <w:uiPriority w:val="99"/>
    <w:rPr>
      <w:rFonts w:ascii="Arial" w:hAnsi="Arial" w:eastAsia="黑体"/>
      <w:b/>
      <w:kern w:val="2"/>
      <w:sz w:val="32"/>
      <w:lang w:val="en-US" w:eastAsia="zh-CN"/>
    </w:rPr>
  </w:style>
  <w:style w:type="character" w:customStyle="1" w:styleId="130">
    <w:name w:val="Char Char5"/>
    <w:qFormat/>
    <w:uiPriority w:val="99"/>
    <w:rPr>
      <w:rFonts w:ascii="Arial" w:hAnsi="Arial" w:eastAsia="黑体"/>
      <w:b/>
      <w:kern w:val="2"/>
      <w:sz w:val="32"/>
    </w:rPr>
  </w:style>
  <w:style w:type="character" w:customStyle="1" w:styleId="131">
    <w:name w:val="msg-box28"/>
    <w:basedOn w:val="48"/>
    <w:qFormat/>
    <w:uiPriority w:val="99"/>
    <w:rPr>
      <w:rFonts w:cs="Times New Roman"/>
    </w:rPr>
  </w:style>
  <w:style w:type="character" w:customStyle="1" w:styleId="132">
    <w:name w:val="img_title6"/>
    <w:qFormat/>
    <w:uiPriority w:val="99"/>
    <w:rPr>
      <w:vanish/>
    </w:rPr>
  </w:style>
  <w:style w:type="character" w:customStyle="1" w:styleId="133">
    <w:name w:val="tit12"/>
    <w:qFormat/>
    <w:uiPriority w:val="99"/>
    <w:rPr>
      <w:color w:val="04A06C"/>
    </w:rPr>
  </w:style>
  <w:style w:type="character" w:customStyle="1" w:styleId="134">
    <w:name w:val="Char Char2"/>
    <w:qFormat/>
    <w:uiPriority w:val="99"/>
    <w:rPr>
      <w:rFonts w:eastAsia="宋体"/>
      <w:kern w:val="2"/>
      <w:sz w:val="24"/>
      <w:lang w:val="en-US" w:eastAsia="zh-CN"/>
    </w:rPr>
  </w:style>
  <w:style w:type="character" w:customStyle="1" w:styleId="135">
    <w:name w:val="nostart"/>
    <w:qFormat/>
    <w:uiPriority w:val="99"/>
    <w:rPr>
      <w:color w:val="FF0000"/>
    </w:rPr>
  </w:style>
  <w:style w:type="character" w:customStyle="1" w:styleId="136">
    <w:name w:val="nostart3"/>
    <w:basedOn w:val="48"/>
    <w:qFormat/>
    <w:uiPriority w:val="99"/>
    <w:rPr>
      <w:rFonts w:cs="Times New Roman"/>
    </w:rPr>
  </w:style>
  <w:style w:type="character" w:customStyle="1" w:styleId="137">
    <w:name w:val="img4"/>
    <w:basedOn w:val="48"/>
    <w:qFormat/>
    <w:uiPriority w:val="99"/>
    <w:rPr>
      <w:rFonts w:cs="Times New Roman"/>
    </w:rPr>
  </w:style>
  <w:style w:type="character" w:customStyle="1" w:styleId="138">
    <w:name w:val="tit11"/>
    <w:qFormat/>
    <w:uiPriority w:val="99"/>
    <w:rPr>
      <w:color w:val="B60000"/>
    </w:rPr>
  </w:style>
  <w:style w:type="character" w:customStyle="1" w:styleId="139">
    <w:name w:val="over"/>
    <w:qFormat/>
    <w:uiPriority w:val="99"/>
    <w:rPr>
      <w:color w:val="B60000"/>
    </w:rPr>
  </w:style>
  <w:style w:type="character" w:customStyle="1" w:styleId="140">
    <w:name w:val="l6"/>
    <w:qFormat/>
    <w:uiPriority w:val="99"/>
    <w:rPr>
      <w:color w:val="999999"/>
    </w:rPr>
  </w:style>
  <w:style w:type="character" w:customStyle="1" w:styleId="141">
    <w:name w:val="datetime"/>
    <w:qFormat/>
    <w:uiPriority w:val="99"/>
    <w:rPr>
      <w:rFonts w:ascii="Arial" w:hAnsi="Arial"/>
      <w:color w:val="999999"/>
      <w:sz w:val="21"/>
    </w:rPr>
  </w:style>
  <w:style w:type="character" w:customStyle="1" w:styleId="142">
    <w:name w:val="txt1"/>
    <w:basedOn w:val="48"/>
    <w:qFormat/>
    <w:uiPriority w:val="99"/>
    <w:rPr>
      <w:rFonts w:cs="Times New Roman"/>
    </w:rPr>
  </w:style>
  <w:style w:type="character" w:customStyle="1" w:styleId="143">
    <w:name w:val="starting1"/>
    <w:qFormat/>
    <w:uiPriority w:val="99"/>
    <w:rPr>
      <w:color w:val="339900"/>
    </w:rPr>
  </w:style>
  <w:style w:type="character" w:customStyle="1" w:styleId="144">
    <w:name w:val="starting2"/>
    <w:qFormat/>
    <w:uiPriority w:val="99"/>
    <w:rPr>
      <w:color w:val="B60000"/>
    </w:rPr>
  </w:style>
  <w:style w:type="character" w:customStyle="1" w:styleId="145">
    <w:name w:val="red"/>
    <w:qFormat/>
    <w:uiPriority w:val="99"/>
    <w:rPr>
      <w:rFonts w:ascii="Arial" w:hAnsi="Arial"/>
      <w:color w:val="E50000"/>
    </w:rPr>
  </w:style>
  <w:style w:type="character" w:customStyle="1" w:styleId="146">
    <w:name w:val="Char Char4"/>
    <w:qFormat/>
    <w:uiPriority w:val="99"/>
    <w:rPr>
      <w:rFonts w:eastAsia="宋体"/>
      <w:b/>
      <w:kern w:val="44"/>
      <w:sz w:val="44"/>
      <w:lang w:val="en-US" w:eastAsia="zh-CN"/>
    </w:rPr>
  </w:style>
  <w:style w:type="character" w:customStyle="1" w:styleId="147">
    <w:name w:val="font161"/>
    <w:qFormat/>
    <w:uiPriority w:val="99"/>
    <w:rPr>
      <w:b/>
      <w:sz w:val="32"/>
    </w:rPr>
  </w:style>
  <w:style w:type="character" w:customStyle="1" w:styleId="148">
    <w:name w:val="Char Char8"/>
    <w:qFormat/>
    <w:uiPriority w:val="99"/>
    <w:rPr>
      <w:rFonts w:ascii="Arial" w:hAnsi="Arial" w:eastAsia="黑体"/>
      <w:b/>
      <w:kern w:val="2"/>
      <w:sz w:val="32"/>
      <w:lang w:val="en-US" w:eastAsia="zh-CN"/>
    </w:rPr>
  </w:style>
  <w:style w:type="character" w:customStyle="1" w:styleId="149">
    <w:name w:val="msg-box29"/>
    <w:basedOn w:val="48"/>
    <w:qFormat/>
    <w:uiPriority w:val="99"/>
    <w:rPr>
      <w:rFonts w:cs="Times New Roman"/>
    </w:rPr>
  </w:style>
  <w:style w:type="character" w:customStyle="1" w:styleId="150">
    <w:name w:val="over2"/>
    <w:qFormat/>
    <w:uiPriority w:val="99"/>
    <w:rPr>
      <w:color w:val="999999"/>
    </w:rPr>
  </w:style>
  <w:style w:type="character" w:customStyle="1" w:styleId="151">
    <w:name w:val="img_title7"/>
    <w:qFormat/>
    <w:uiPriority w:val="99"/>
    <w:rPr>
      <w:vanish/>
    </w:rPr>
  </w:style>
  <w:style w:type="character" w:customStyle="1" w:styleId="152">
    <w:name w:val="l7"/>
    <w:qFormat/>
    <w:uiPriority w:val="99"/>
    <w:rPr>
      <w:color w:val="999999"/>
    </w:rPr>
  </w:style>
  <w:style w:type="character" w:customStyle="1" w:styleId="153">
    <w:name w:val="l51"/>
    <w:qFormat/>
    <w:uiPriority w:val="99"/>
    <w:rPr>
      <w:color w:val="999999"/>
    </w:rPr>
  </w:style>
  <w:style w:type="character" w:customStyle="1" w:styleId="154">
    <w:name w:val="num81"/>
    <w:basedOn w:val="48"/>
    <w:qFormat/>
    <w:uiPriority w:val="99"/>
    <w:rPr>
      <w:rFonts w:cs="Times New Roman"/>
    </w:rPr>
  </w:style>
  <w:style w:type="character" w:customStyle="1" w:styleId="155">
    <w:name w:val="Char Char1"/>
    <w:qFormat/>
    <w:uiPriority w:val="99"/>
    <w:rPr>
      <w:rFonts w:eastAsia="宋体"/>
      <w:kern w:val="2"/>
      <w:sz w:val="24"/>
      <w:lang w:val="en-US" w:eastAsia="zh-CN"/>
    </w:rPr>
  </w:style>
  <w:style w:type="character" w:customStyle="1" w:styleId="156">
    <w:name w:val="zs"/>
    <w:qFormat/>
    <w:uiPriority w:val="99"/>
    <w:rPr>
      <w:color w:val="8D744B"/>
      <w:sz w:val="18"/>
    </w:rPr>
  </w:style>
  <w:style w:type="character" w:customStyle="1" w:styleId="157">
    <w:name w:val="bigfont"/>
    <w:basedOn w:val="48"/>
    <w:qFormat/>
    <w:uiPriority w:val="99"/>
    <w:rPr>
      <w:rFonts w:cs="Times New Roman"/>
    </w:rPr>
  </w:style>
  <w:style w:type="character" w:customStyle="1" w:styleId="158">
    <w:name w:val="txt"/>
    <w:qFormat/>
    <w:uiPriority w:val="99"/>
    <w:rPr>
      <w:color w:val="C0C0C0"/>
    </w:rPr>
  </w:style>
  <w:style w:type="character" w:customStyle="1" w:styleId="159">
    <w:name w:val="jg"/>
    <w:basedOn w:val="48"/>
    <w:qFormat/>
    <w:uiPriority w:val="99"/>
    <w:rPr>
      <w:rFonts w:cs="Times New Roman"/>
    </w:rPr>
  </w:style>
  <w:style w:type="character" w:customStyle="1" w:styleId="160">
    <w:name w:val="17"/>
    <w:qFormat/>
    <w:uiPriority w:val="99"/>
    <w:rPr>
      <w:rFonts w:ascii="仿宋_GB2312" w:eastAsia="仿宋_GB2312"/>
      <w:color w:val="auto"/>
      <w:sz w:val="28"/>
      <w:u w:val="single"/>
    </w:rPr>
  </w:style>
  <w:style w:type="character" w:customStyle="1" w:styleId="161">
    <w:name w:val="job"/>
    <w:basedOn w:val="48"/>
    <w:qFormat/>
    <w:uiPriority w:val="99"/>
    <w:rPr>
      <w:rFonts w:cs="Times New Roman"/>
    </w:rPr>
  </w:style>
  <w:style w:type="character" w:customStyle="1" w:styleId="162">
    <w:name w:val="job1"/>
    <w:basedOn w:val="48"/>
    <w:qFormat/>
    <w:uiPriority w:val="99"/>
    <w:rPr>
      <w:rFonts w:cs="Times New Roman"/>
    </w:rPr>
  </w:style>
  <w:style w:type="character" w:customStyle="1" w:styleId="163">
    <w:name w:val="标题 2 Char"/>
    <w:qFormat/>
    <w:uiPriority w:val="99"/>
    <w:rPr>
      <w:rFonts w:ascii="Arial" w:hAnsi="Arial" w:eastAsia="黑体"/>
      <w:b/>
      <w:kern w:val="2"/>
      <w:sz w:val="32"/>
      <w:lang w:val="en-US" w:eastAsia="zh-CN"/>
    </w:rPr>
  </w:style>
  <w:style w:type="character" w:customStyle="1" w:styleId="164">
    <w:name w:val="p05"/>
    <w:basedOn w:val="48"/>
    <w:qFormat/>
    <w:uiPriority w:val="99"/>
    <w:rPr>
      <w:rFonts w:cs="Times New Roman"/>
    </w:rPr>
  </w:style>
  <w:style w:type="character" w:customStyle="1" w:styleId="165">
    <w:name w:val="Char Char7"/>
    <w:qFormat/>
    <w:uiPriority w:val="99"/>
    <w:rPr>
      <w:rFonts w:ascii="Arial" w:hAnsi="Arial" w:eastAsia="黑体"/>
      <w:b/>
      <w:kern w:val="2"/>
      <w:sz w:val="32"/>
      <w:lang w:val="en-US" w:eastAsia="zh-CN"/>
    </w:rPr>
  </w:style>
  <w:style w:type="character" w:customStyle="1" w:styleId="166">
    <w:name w:val="over3"/>
    <w:basedOn w:val="48"/>
    <w:qFormat/>
    <w:uiPriority w:val="99"/>
    <w:rPr>
      <w:rFonts w:cs="Times New Roman"/>
    </w:rPr>
  </w:style>
  <w:style w:type="character" w:customStyle="1" w:styleId="167">
    <w:name w:val="Char Char3"/>
    <w:qFormat/>
    <w:uiPriority w:val="99"/>
    <w:rPr>
      <w:rFonts w:ascii="Arial" w:hAnsi="Arial" w:eastAsia="黑体"/>
      <w:b/>
      <w:kern w:val="2"/>
      <w:sz w:val="32"/>
      <w:lang w:val="en-US" w:eastAsia="zh-CN"/>
    </w:rPr>
  </w:style>
  <w:style w:type="character" w:customStyle="1" w:styleId="168">
    <w:name w:val="Char Char71"/>
    <w:qFormat/>
    <w:uiPriority w:val="99"/>
    <w:rPr>
      <w:rFonts w:ascii="Arial" w:hAnsi="Arial" w:eastAsia="黑体"/>
      <w:b/>
      <w:kern w:val="2"/>
      <w:sz w:val="32"/>
      <w:lang w:val="en-US" w:eastAsia="zh-CN"/>
    </w:rPr>
  </w:style>
  <w:style w:type="character" w:customStyle="1" w:styleId="169">
    <w:name w:val="num51"/>
    <w:basedOn w:val="48"/>
    <w:qFormat/>
    <w:uiPriority w:val="99"/>
    <w:rPr>
      <w:rFonts w:cs="Times New Roman"/>
    </w:rPr>
  </w:style>
  <w:style w:type="character" w:customStyle="1" w:styleId="170">
    <w:name w:val="Char Char Char"/>
    <w:qFormat/>
    <w:uiPriority w:val="99"/>
    <w:rPr>
      <w:rFonts w:eastAsia="宋体"/>
      <w:b/>
      <w:kern w:val="44"/>
      <w:sz w:val="44"/>
      <w:lang w:val="en-US" w:eastAsia="zh-CN"/>
    </w:rPr>
  </w:style>
  <w:style w:type="character" w:customStyle="1" w:styleId="171">
    <w:name w:val="msg-box31"/>
    <w:basedOn w:val="48"/>
    <w:qFormat/>
    <w:uiPriority w:val="99"/>
    <w:rPr>
      <w:rFonts w:cs="Times New Roman"/>
    </w:rPr>
  </w:style>
  <w:style w:type="character" w:customStyle="1" w:styleId="172">
    <w:name w:val="msg-box30"/>
    <w:basedOn w:val="48"/>
    <w:qFormat/>
    <w:uiPriority w:val="99"/>
    <w:rPr>
      <w:rFonts w:cs="Times New Roman"/>
    </w:rPr>
  </w:style>
  <w:style w:type="character" w:customStyle="1" w:styleId="173">
    <w:name w:val="标题 1 Char Char"/>
    <w:qFormat/>
    <w:uiPriority w:val="99"/>
    <w:rPr>
      <w:rFonts w:eastAsia="宋体"/>
      <w:b/>
      <w:kern w:val="44"/>
      <w:sz w:val="44"/>
      <w:lang w:val="en-US" w:eastAsia="zh-CN"/>
    </w:rPr>
  </w:style>
  <w:style w:type="character" w:customStyle="1" w:styleId="174">
    <w:name w:val="c1"/>
    <w:basedOn w:val="48"/>
    <w:qFormat/>
    <w:uiPriority w:val="99"/>
    <w:rPr>
      <w:rFonts w:cs="Times New Roman"/>
    </w:rPr>
  </w:style>
  <w:style w:type="character" w:customStyle="1" w:styleId="175">
    <w:name w:val="纯文本 Char1"/>
    <w:qFormat/>
    <w:uiPriority w:val="99"/>
    <w:rPr>
      <w:rFonts w:ascii="Courier New" w:hAnsi="Courier New" w:eastAsia="宋体"/>
      <w:kern w:val="2"/>
      <w:sz w:val="21"/>
      <w:lang w:val="en-US" w:eastAsia="zh-CN"/>
    </w:rPr>
  </w:style>
  <w:style w:type="character" w:customStyle="1" w:styleId="176">
    <w:name w:val="Char Char Char1"/>
    <w:qFormat/>
    <w:uiPriority w:val="99"/>
    <w:rPr>
      <w:rFonts w:ascii="Arial" w:hAnsi="Arial" w:eastAsia="黑体"/>
      <w:b/>
      <w:kern w:val="2"/>
      <w:sz w:val="32"/>
      <w:lang w:val="en-US" w:eastAsia="zh-CN"/>
    </w:rPr>
  </w:style>
  <w:style w:type="character" w:customStyle="1" w:styleId="177">
    <w:name w:val="l3"/>
    <w:qFormat/>
    <w:uiPriority w:val="99"/>
    <w:rPr>
      <w:color w:val="999999"/>
    </w:rPr>
  </w:style>
  <w:style w:type="character" w:customStyle="1" w:styleId="178">
    <w:name w:val="tit14"/>
    <w:qFormat/>
    <w:uiPriority w:val="99"/>
    <w:rPr>
      <w:color w:val="B60000"/>
    </w:rPr>
  </w:style>
  <w:style w:type="character" w:customStyle="1" w:styleId="179">
    <w:name w:val="tit10"/>
    <w:qFormat/>
    <w:uiPriority w:val="99"/>
    <w:rPr>
      <w:color w:val="B60000"/>
    </w:rPr>
  </w:style>
  <w:style w:type="character" w:customStyle="1" w:styleId="180">
    <w:name w:val="l21"/>
    <w:qFormat/>
    <w:uiPriority w:val="99"/>
    <w:rPr>
      <w:color w:val="999999"/>
    </w:rPr>
  </w:style>
  <w:style w:type="character" w:customStyle="1" w:styleId="181">
    <w:name w:val="num71"/>
    <w:basedOn w:val="48"/>
    <w:qFormat/>
    <w:uiPriority w:val="99"/>
    <w:rPr>
      <w:rFonts w:cs="Times New Roman"/>
    </w:rPr>
  </w:style>
  <w:style w:type="character" w:customStyle="1" w:styleId="182">
    <w:name w:val="标题 2 Char Char"/>
    <w:qFormat/>
    <w:uiPriority w:val="99"/>
    <w:rPr>
      <w:rFonts w:ascii="Arial" w:hAnsi="Arial" w:eastAsia="黑体"/>
      <w:b/>
      <w:kern w:val="2"/>
      <w:sz w:val="32"/>
      <w:lang w:val="en-US" w:eastAsia="zh-CN"/>
    </w:rPr>
  </w:style>
  <w:style w:type="character" w:customStyle="1" w:styleId="183">
    <w:name w:val="buvis"/>
    <w:qFormat/>
    <w:uiPriority w:val="99"/>
    <w:rPr>
      <w:color w:val="999999"/>
    </w:rPr>
  </w:style>
  <w:style w:type="character" w:customStyle="1" w:styleId="184">
    <w:name w:val="name"/>
    <w:qFormat/>
    <w:uiPriority w:val="99"/>
    <w:rPr>
      <w:color w:val="444444"/>
      <w:sz w:val="21"/>
    </w:rPr>
  </w:style>
  <w:style w:type="character" w:customStyle="1" w:styleId="185">
    <w:name w:val="layui-this"/>
    <w:qFormat/>
    <w:uiPriority w:val="99"/>
    <w:rPr>
      <w:bdr w:val="single" w:color="EEEEEE" w:sz="6" w:space="0"/>
      <w:shd w:val="clear" w:color="auto" w:fill="FFFFFF"/>
    </w:rPr>
  </w:style>
  <w:style w:type="character" w:customStyle="1" w:styleId="186">
    <w:name w:val="标题 2 Char1"/>
    <w:qFormat/>
    <w:uiPriority w:val="99"/>
    <w:rPr>
      <w:rFonts w:ascii="Arial" w:hAnsi="Arial" w:eastAsia="黑体"/>
      <w:b/>
      <w:kern w:val="2"/>
      <w:sz w:val="32"/>
      <w:lang w:val="en-US" w:eastAsia="zh-CN"/>
    </w:rPr>
  </w:style>
  <w:style w:type="character" w:customStyle="1" w:styleId="187">
    <w:name w:val="zw"/>
    <w:qFormat/>
    <w:uiPriority w:val="99"/>
    <w:rPr>
      <w:color w:val="BD1E22"/>
      <w:sz w:val="22"/>
    </w:rPr>
  </w:style>
  <w:style w:type="character" w:customStyle="1" w:styleId="188">
    <w:name w:val="name1"/>
    <w:qFormat/>
    <w:uiPriority w:val="99"/>
    <w:rPr>
      <w:color w:val="695435"/>
      <w:sz w:val="24"/>
    </w:rPr>
  </w:style>
  <w:style w:type="character" w:customStyle="1" w:styleId="189">
    <w:name w:val="num61"/>
    <w:basedOn w:val="48"/>
    <w:qFormat/>
    <w:uiPriority w:val="99"/>
    <w:rPr>
      <w:rFonts w:cs="Times New Roman"/>
    </w:rPr>
  </w:style>
  <w:style w:type="character" w:customStyle="1" w:styleId="190">
    <w:name w:val="mesg-myd"/>
    <w:qFormat/>
    <w:uiPriority w:val="99"/>
    <w:rPr>
      <w:color w:val="EE0000"/>
    </w:rPr>
  </w:style>
  <w:style w:type="character" w:customStyle="1" w:styleId="191">
    <w:name w:val="c2"/>
    <w:basedOn w:val="48"/>
    <w:qFormat/>
    <w:uiPriority w:val="99"/>
    <w:rPr>
      <w:rFonts w:cs="Times New Roman"/>
    </w:rPr>
  </w:style>
  <w:style w:type="character" w:customStyle="1" w:styleId="192">
    <w:name w:val="c3"/>
    <w:basedOn w:val="48"/>
    <w:qFormat/>
    <w:uiPriority w:val="99"/>
    <w:rPr>
      <w:rFonts w:cs="Times New Roman"/>
    </w:rPr>
  </w:style>
  <w:style w:type="character" w:customStyle="1" w:styleId="193">
    <w:name w:val="over1"/>
    <w:qFormat/>
    <w:uiPriority w:val="99"/>
    <w:rPr>
      <w:color w:val="B60000"/>
    </w:rPr>
  </w:style>
  <w:style w:type="character" w:customStyle="1" w:styleId="194">
    <w:name w:val="tit13"/>
    <w:qFormat/>
    <w:uiPriority w:val="99"/>
    <w:rPr>
      <w:color w:val="FFFFFF"/>
    </w:rPr>
  </w:style>
  <w:style w:type="character" w:customStyle="1" w:styleId="195">
    <w:name w:val="Char Char21"/>
    <w:qFormat/>
    <w:uiPriority w:val="99"/>
    <w:rPr>
      <w:rFonts w:eastAsia="宋体"/>
      <w:kern w:val="2"/>
      <w:sz w:val="24"/>
      <w:lang w:val="en-US" w:eastAsia="zh-CN"/>
    </w:rPr>
  </w:style>
  <w:style w:type="character" w:customStyle="1" w:styleId="196">
    <w:name w:val="l41"/>
    <w:qFormat/>
    <w:uiPriority w:val="99"/>
    <w:rPr>
      <w:color w:val="999999"/>
    </w:rPr>
  </w:style>
  <w:style w:type="character" w:customStyle="1" w:styleId="197">
    <w:name w:val="16"/>
    <w:qFormat/>
    <w:uiPriority w:val="99"/>
    <w:rPr>
      <w:rFonts w:ascii="仿宋_GB2312" w:eastAsia="仿宋_GB2312"/>
      <w:color w:val="auto"/>
      <w:sz w:val="28"/>
    </w:rPr>
  </w:style>
  <w:style w:type="character" w:customStyle="1" w:styleId="198">
    <w:name w:val="num31"/>
    <w:basedOn w:val="48"/>
    <w:qFormat/>
    <w:uiPriority w:val="99"/>
    <w:rPr>
      <w:rFonts w:cs="Times New Roman"/>
    </w:rPr>
  </w:style>
  <w:style w:type="character" w:customStyle="1" w:styleId="199">
    <w:name w:val="starting4"/>
    <w:basedOn w:val="48"/>
    <w:qFormat/>
    <w:uiPriority w:val="99"/>
    <w:rPr>
      <w:rFonts w:cs="Times New Roman"/>
    </w:rPr>
  </w:style>
  <w:style w:type="character" w:customStyle="1" w:styleId="200">
    <w:name w:val="bsharetext"/>
    <w:basedOn w:val="48"/>
    <w:qFormat/>
    <w:uiPriority w:val="99"/>
    <w:rPr>
      <w:rFonts w:cs="Times New Roman"/>
    </w:rPr>
  </w:style>
  <w:style w:type="character" w:customStyle="1" w:styleId="201">
    <w:name w:val="unit"/>
    <w:qFormat/>
    <w:uiPriority w:val="99"/>
    <w:rPr>
      <w:color w:val="999999"/>
    </w:rPr>
  </w:style>
  <w:style w:type="character" w:customStyle="1" w:styleId="202">
    <w:name w:val="nostart2"/>
    <w:qFormat/>
    <w:uiPriority w:val="99"/>
    <w:rPr>
      <w:color w:val="B60000"/>
    </w:rPr>
  </w:style>
  <w:style w:type="character" w:customStyle="1" w:styleId="203">
    <w:name w:val="纯文本 Char"/>
    <w:qFormat/>
    <w:uiPriority w:val="99"/>
    <w:rPr>
      <w:rFonts w:ascii="Courier New" w:hAnsi="Courier New" w:eastAsia="宋体"/>
      <w:kern w:val="2"/>
      <w:sz w:val="21"/>
      <w:lang w:val="en-US" w:eastAsia="zh-CN"/>
    </w:rPr>
  </w:style>
  <w:style w:type="character" w:customStyle="1" w:styleId="204">
    <w:name w:val="Char Char81"/>
    <w:qFormat/>
    <w:uiPriority w:val="99"/>
    <w:rPr>
      <w:rFonts w:ascii="Arial" w:hAnsi="Arial" w:eastAsia="黑体"/>
      <w:b/>
      <w:kern w:val="2"/>
      <w:sz w:val="32"/>
      <w:lang w:val="en-US" w:eastAsia="zh-CN"/>
    </w:rPr>
  </w:style>
  <w:style w:type="character" w:customStyle="1" w:styleId="205">
    <w:name w:val="starting"/>
    <w:qFormat/>
    <w:uiPriority w:val="99"/>
    <w:rPr>
      <w:color w:val="339900"/>
    </w:rPr>
  </w:style>
  <w:style w:type="character" w:customStyle="1" w:styleId="206">
    <w:name w:val="nostart1"/>
    <w:qFormat/>
    <w:uiPriority w:val="99"/>
    <w:rPr>
      <w:color w:val="FF0000"/>
    </w:rPr>
  </w:style>
  <w:style w:type="character" w:customStyle="1" w:styleId="207">
    <w:name w:val="num210"/>
    <w:basedOn w:val="48"/>
    <w:qFormat/>
    <w:uiPriority w:val="99"/>
    <w:rPr>
      <w:rFonts w:cs="Times New Roman"/>
    </w:rPr>
  </w:style>
  <w:style w:type="character" w:customStyle="1" w:styleId="208">
    <w:name w:val="buvis1"/>
    <w:qFormat/>
    <w:uiPriority w:val="99"/>
    <w:rPr>
      <w:color w:val="CC0000"/>
    </w:rPr>
  </w:style>
  <w:style w:type="character" w:customStyle="1" w:styleId="209">
    <w:name w:val="starting3"/>
    <w:basedOn w:val="48"/>
    <w:qFormat/>
    <w:uiPriority w:val="99"/>
    <w:rPr>
      <w:rFonts w:cs="Times New Roman"/>
    </w:rPr>
  </w:style>
  <w:style w:type="character" w:customStyle="1" w:styleId="210">
    <w:name w:val="textcontents"/>
    <w:basedOn w:val="48"/>
    <w:qFormat/>
    <w:uiPriority w:val="99"/>
    <w:rPr>
      <w:rFonts w:cs="Times New Roman"/>
    </w:rPr>
  </w:style>
  <w:style w:type="character" w:customStyle="1" w:styleId="211">
    <w:name w:val="num41"/>
    <w:basedOn w:val="48"/>
    <w:qFormat/>
    <w:uiPriority w:val="99"/>
    <w:rPr>
      <w:rFonts w:cs="Times New Roman"/>
    </w:rPr>
  </w:style>
  <w:style w:type="character" w:customStyle="1" w:styleId="212">
    <w:name w:val="tit9"/>
    <w:qFormat/>
    <w:uiPriority w:val="99"/>
    <w:rPr>
      <w:color w:val="B60000"/>
      <w:sz w:val="27"/>
      <w:bdr w:val="single" w:color="DFCEB8" w:sz="6" w:space="0"/>
      <w:shd w:val="clear" w:color="auto" w:fill="FFFFFF"/>
    </w:rPr>
  </w:style>
  <w:style w:type="character" w:customStyle="1" w:styleId="213">
    <w:name w:val="name2"/>
    <w:qFormat/>
    <w:uiPriority w:val="99"/>
    <w:rPr>
      <w:color w:val="000000"/>
      <w:sz w:val="39"/>
    </w:rPr>
  </w:style>
  <w:style w:type="character" w:customStyle="1" w:styleId="214">
    <w:name w:val="img_title8"/>
    <w:qFormat/>
    <w:uiPriority w:val="99"/>
    <w:rPr>
      <w:vanish/>
    </w:rPr>
  </w:style>
  <w:style w:type="character" w:customStyle="1" w:styleId="215">
    <w:name w:val="tit15"/>
    <w:qFormat/>
    <w:uiPriority w:val="99"/>
    <w:rPr>
      <w:b/>
      <w:color w:val="B60000"/>
    </w:rPr>
  </w:style>
  <w:style w:type="character" w:customStyle="1" w:styleId="216">
    <w:name w:val="img_title9"/>
    <w:qFormat/>
    <w:uiPriority w:val="99"/>
    <w:rPr>
      <w:vanish/>
    </w:rPr>
  </w:style>
  <w:style w:type="table" w:customStyle="1" w:styleId="217">
    <w:name w:val="Table Normal"/>
    <w:unhideWhenUsed/>
    <w:qFormat/>
    <w:uiPriority w:val="0"/>
    <w:tblPr>
      <w:tblCellMar>
        <w:top w:w="0" w:type="dxa"/>
        <w:left w:w="0" w:type="dxa"/>
        <w:bottom w:w="0" w:type="dxa"/>
        <w:right w:w="0" w:type="dxa"/>
      </w:tblCellMar>
    </w:tblPr>
  </w:style>
  <w:style w:type="paragraph" w:customStyle="1" w:styleId="218">
    <w:name w:val="正文 New"/>
    <w:next w:val="219"/>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219">
    <w:name w:val="正文缩进1"/>
    <w:basedOn w:val="1"/>
    <w:next w:val="14"/>
    <w:qFormat/>
    <w:uiPriority w:val="0"/>
    <w:pPr>
      <w:widowControl w:val="0"/>
      <w:autoSpaceDE/>
      <w:autoSpaceDN/>
      <w:spacing w:before="0" w:after="0" w:line="360" w:lineRule="atLeast"/>
      <w:ind w:left="0" w:firstLine="482"/>
      <w:jc w:val="both"/>
    </w:pPr>
    <w:rPr>
      <w:rFonts w:ascii="Times New Roman" w:eastAsia="宋体"/>
      <w:sz w:val="24"/>
    </w:rPr>
  </w:style>
  <w:style w:type="character" w:customStyle="1" w:styleId="220">
    <w:name w:val="hover"/>
    <w:basedOn w:val="48"/>
    <w:qFormat/>
    <w:uiPriority w:val="0"/>
    <w:rPr>
      <w:color w:val="2590EB"/>
    </w:rPr>
  </w:style>
  <w:style w:type="character" w:customStyle="1" w:styleId="221">
    <w:name w:val="hover1"/>
    <w:basedOn w:val="48"/>
    <w:qFormat/>
    <w:uiPriority w:val="0"/>
    <w:rPr>
      <w:color w:val="2590EB"/>
    </w:rPr>
  </w:style>
  <w:style w:type="character" w:customStyle="1" w:styleId="222">
    <w:name w:val="hover2"/>
    <w:basedOn w:val="48"/>
    <w:qFormat/>
    <w:uiPriority w:val="0"/>
    <w:rPr>
      <w:color w:val="2590EB"/>
      <w:shd w:val="clear" w:fill="E9F4FD"/>
    </w:rPr>
  </w:style>
  <w:style w:type="character" w:customStyle="1" w:styleId="223">
    <w:name w:val="hover3"/>
    <w:basedOn w:val="48"/>
    <w:qFormat/>
    <w:uiPriority w:val="0"/>
  </w:style>
  <w:style w:type="character" w:customStyle="1" w:styleId="224">
    <w:name w:val="mini-outputtext1"/>
    <w:basedOn w:val="48"/>
    <w:qFormat/>
    <w:uiPriority w:val="0"/>
  </w:style>
  <w:style w:type="character" w:customStyle="1" w:styleId="225">
    <w:name w:val="hover4"/>
    <w:basedOn w:val="48"/>
    <w:qFormat/>
    <w:uiPriority w:val="0"/>
    <w:rPr>
      <w:color w:val="2590EB"/>
    </w:rPr>
  </w:style>
  <w:style w:type="paragraph" w:styleId="226">
    <w:name w:val="List Paragraph"/>
    <w:basedOn w:val="1"/>
    <w:qFormat/>
    <w:uiPriority w:val="34"/>
    <w:pPr>
      <w:ind w:firstLine="420" w:firstLineChars="200"/>
    </w:pPr>
  </w:style>
  <w:style w:type="paragraph" w:customStyle="1" w:styleId="2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90</Pages>
  <Words>23122</Words>
  <Characters>24793</Characters>
  <Lines>0</Lines>
  <Paragraphs>0</Paragraphs>
  <TotalTime>23</TotalTime>
  <ScaleCrop>false</ScaleCrop>
  <LinksUpToDate>false</LinksUpToDate>
  <CharactersWithSpaces>25181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2016-05-17T16:29:00Z</dcterms:created>
  <dc:creator>dengxiaochun</dc:creator>
  <cp:lastModifiedBy>韦韦</cp:lastModifiedBy>
  <cp:lastPrinted>2025-07-01T08:29:00Z</cp:lastPrinted>
  <dcterms:modified xsi:type="dcterms:W3CDTF">2025-08-20T08:42:20Z</dcterms:modified>
  <dc:title>标准交易文件</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E180D6C4BA0E4DE480849D92F5A48AD0_13</vt:lpwstr>
  </property>
  <property fmtid="{D5CDD505-2E9C-101B-9397-08002B2CF9AE}" pid="4" name="KSOTemplateDocerSaveRecord">
    <vt:lpwstr>eyJoZGlkIjoiZmQ5MGI3YTdkMjVkZTZjM2ZjZTQ5YjMxYTJjZjRlOWEiLCJ1c2VySWQiOiIzNjE4MjQ5In0=</vt:lpwstr>
  </property>
</Properties>
</file>