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54153C">
      <w:pPr>
        <w:tabs>
          <w:tab w:val="left" w:pos="315"/>
          <w:tab w:val="left" w:pos="8820"/>
        </w:tabs>
        <w:spacing w:before="240" w:beforeLines="100" w:after="120" w:afterLines="50" w:line="500" w:lineRule="exact"/>
        <w:ind w:right="254" w:rightChars="127"/>
        <w:jc w:val="center"/>
        <w:rPr>
          <w:b/>
          <w:bCs/>
          <w:color w:val="auto"/>
          <w:sz w:val="52"/>
          <w:szCs w:val="52"/>
          <w:highlight w:val="none"/>
          <w:vertAlign w:val="superscript"/>
        </w:rPr>
      </w:pPr>
    </w:p>
    <w:p w14:paraId="33F1B1EB">
      <w:pPr>
        <w:jc w:val="center"/>
        <w:rPr>
          <w:rFonts w:hint="eastAsia" w:cs="宋体"/>
          <w:b/>
          <w:color w:val="auto"/>
          <w:kern w:val="0"/>
          <w:sz w:val="52"/>
          <w:szCs w:val="52"/>
          <w:highlight w:val="none"/>
          <w:lang w:eastAsia="zh-CN"/>
        </w:rPr>
      </w:pPr>
    </w:p>
    <w:p w14:paraId="60BBE7F3">
      <w:pPr>
        <w:jc w:val="center"/>
        <w:rPr>
          <w:rFonts w:hint="eastAsia" w:hAnsi="宋体" w:cs="宋体"/>
          <w:b/>
          <w:color w:val="auto"/>
          <w:kern w:val="0"/>
          <w:sz w:val="52"/>
          <w:szCs w:val="52"/>
          <w:highlight w:val="none"/>
          <w:lang w:eastAsia="zh-CN"/>
        </w:rPr>
      </w:pPr>
      <w:r>
        <w:rPr>
          <w:rFonts w:hint="eastAsia" w:cs="宋体"/>
          <w:b/>
          <w:color w:val="auto"/>
          <w:kern w:val="0"/>
          <w:sz w:val="52"/>
          <w:szCs w:val="52"/>
          <w:highlight w:val="none"/>
          <w:lang w:eastAsia="zh-CN"/>
        </w:rPr>
        <w:t>湖畔云庭小区人防防倒塌棚架项目</w:t>
      </w:r>
    </w:p>
    <w:p w14:paraId="5F699F35">
      <w:pPr>
        <w:pStyle w:val="54"/>
        <w:ind w:left="0" w:leftChars="0" w:firstLine="0" w:firstLineChars="0"/>
        <w:rPr>
          <w:rFonts w:hint="eastAsia" w:hAnsi="宋体" w:cs="宋体"/>
          <w:b/>
          <w:color w:val="auto"/>
          <w:kern w:val="0"/>
          <w:sz w:val="56"/>
          <w:szCs w:val="56"/>
          <w:highlight w:val="none"/>
          <w:lang w:eastAsia="zh-CN"/>
        </w:rPr>
      </w:pPr>
    </w:p>
    <w:p w14:paraId="0A99CD2A">
      <w:pPr>
        <w:rPr>
          <w:rFonts w:hint="eastAsia"/>
          <w:color w:val="auto"/>
          <w:highlight w:val="none"/>
        </w:rPr>
      </w:pPr>
    </w:p>
    <w:p w14:paraId="78C3F65C">
      <w:pPr>
        <w:jc w:val="both"/>
        <w:rPr>
          <w:rFonts w:hint="eastAsia" w:ascii="宋体" w:hAnsi="宋体" w:cs="宋体"/>
          <w:b/>
          <w:color w:val="auto"/>
          <w:sz w:val="72"/>
          <w:szCs w:val="72"/>
          <w:highlight w:val="none"/>
        </w:rPr>
      </w:pPr>
      <w:bookmarkStart w:id="707" w:name="_GoBack"/>
      <w:bookmarkEnd w:id="707"/>
    </w:p>
    <w:p w14:paraId="6342EC3C">
      <w:pPr>
        <w:pStyle w:val="54"/>
        <w:rPr>
          <w:rFonts w:hint="eastAsia"/>
          <w:color w:val="auto"/>
          <w:highlight w:val="none"/>
        </w:rPr>
      </w:pPr>
    </w:p>
    <w:p w14:paraId="167C5F64">
      <w:pPr>
        <w:jc w:val="center"/>
        <w:rPr>
          <w:rFonts w:hint="eastAsia" w:ascii="宋体" w:hAnsi="宋体" w:cs="宋体"/>
          <w:b/>
          <w:color w:val="auto"/>
          <w:sz w:val="84"/>
          <w:szCs w:val="84"/>
          <w:highlight w:val="none"/>
        </w:rPr>
      </w:pPr>
      <w:r>
        <w:rPr>
          <w:rFonts w:hint="eastAsia" w:ascii="宋体" w:hAnsi="宋体" w:cs="宋体"/>
          <w:b/>
          <w:color w:val="auto"/>
          <w:sz w:val="84"/>
          <w:szCs w:val="84"/>
          <w:highlight w:val="none"/>
        </w:rPr>
        <w:t>竞争性</w:t>
      </w:r>
      <w:r>
        <w:rPr>
          <w:rFonts w:hint="eastAsia" w:ascii="宋体" w:hAnsi="宋体" w:cs="宋体"/>
          <w:b/>
          <w:color w:val="auto"/>
          <w:sz w:val="84"/>
          <w:szCs w:val="84"/>
          <w:highlight w:val="none"/>
          <w:lang w:val="en-US" w:eastAsia="zh-CN"/>
        </w:rPr>
        <w:t>谈判</w:t>
      </w:r>
      <w:r>
        <w:rPr>
          <w:rFonts w:hint="eastAsia" w:ascii="宋体" w:hAnsi="宋体" w:cs="宋体"/>
          <w:b/>
          <w:color w:val="auto"/>
          <w:sz w:val="84"/>
          <w:szCs w:val="84"/>
          <w:highlight w:val="none"/>
        </w:rPr>
        <w:t>文件</w:t>
      </w:r>
    </w:p>
    <w:p w14:paraId="6FEB5B7A">
      <w:pPr>
        <w:widowControl/>
        <w:spacing w:line="360" w:lineRule="auto"/>
        <w:jc w:val="center"/>
        <w:rPr>
          <w:rFonts w:hint="eastAsia" w:ascii="宋体" w:hAnsi="宋体" w:cs="宋体"/>
          <w:b w:val="0"/>
          <w:bCs/>
          <w:color w:val="auto"/>
          <w:sz w:val="28"/>
          <w:szCs w:val="28"/>
          <w:highlight w:val="none"/>
          <w:lang w:val="en-US" w:eastAsia="zh-CN"/>
        </w:rPr>
      </w:pPr>
    </w:p>
    <w:p w14:paraId="179DB784">
      <w:pPr>
        <w:spacing w:after="156" w:afterLines="50"/>
        <w:ind w:left="-810" w:leftChars="-405" w:right="-625"/>
        <w:jc w:val="center"/>
        <w:rPr>
          <w:rFonts w:hint="eastAsia" w:ascii="宋体" w:hAnsi="宋体"/>
          <w:color w:val="auto"/>
          <w:sz w:val="40"/>
          <w:szCs w:val="36"/>
          <w:highlight w:val="none"/>
        </w:rPr>
      </w:pPr>
      <w:r>
        <w:rPr>
          <w:rFonts w:hint="eastAsia" w:ascii="宋体" w:hAnsi="宋体"/>
          <w:color w:val="auto"/>
          <w:sz w:val="40"/>
          <w:szCs w:val="36"/>
          <w:highlight w:val="none"/>
        </w:rPr>
        <w:t>（电子招标投标）</w:t>
      </w:r>
    </w:p>
    <w:p w14:paraId="6A412B5A">
      <w:pPr>
        <w:spacing w:after="156" w:afterLines="50"/>
        <w:ind w:left="-810" w:leftChars="-405" w:right="-625"/>
        <w:jc w:val="center"/>
        <w:rPr>
          <w:rFonts w:hint="eastAsia" w:ascii="宋体" w:hAnsi="宋体" w:cs="宋体"/>
          <w:b/>
          <w:color w:val="auto"/>
          <w:sz w:val="24"/>
          <w:szCs w:val="24"/>
          <w:highlight w:val="none"/>
        </w:rPr>
      </w:pPr>
      <w:r>
        <w:rPr>
          <w:rFonts w:hint="eastAsia" w:ascii="宋体" w:hAnsi="宋体" w:cs="宋体"/>
          <w:color w:val="auto"/>
          <w:sz w:val="28"/>
          <w:szCs w:val="28"/>
          <w:highlight w:val="none"/>
        </w:rPr>
        <w:t>招标项目编</w:t>
      </w:r>
      <w:r>
        <w:rPr>
          <w:rFonts w:hint="eastAsia" w:ascii="宋体" w:hAnsi="宋体" w:eastAsia="宋体" w:cs="宋体"/>
          <w:color w:val="auto"/>
          <w:sz w:val="28"/>
          <w:szCs w:val="28"/>
          <w:highlight w:val="none"/>
        </w:rPr>
        <w:t>号：HXJY1110001066066001</w:t>
      </w:r>
    </w:p>
    <w:p w14:paraId="3809CE2F">
      <w:pPr>
        <w:widowControl/>
        <w:wordWrap w:val="0"/>
        <w:ind w:firstLine="2200" w:firstLineChars="1100"/>
        <w:rPr>
          <w:rFonts w:hint="eastAsia" w:ascii="宋体" w:hAnsi="宋体" w:cs="宋体"/>
          <w:color w:val="auto"/>
          <w:szCs w:val="21"/>
          <w:highlight w:val="none"/>
        </w:rPr>
      </w:pPr>
    </w:p>
    <w:p w14:paraId="6F72E014">
      <w:pPr>
        <w:widowControl/>
        <w:spacing w:line="360" w:lineRule="auto"/>
        <w:ind w:firstLine="1968" w:firstLineChars="700"/>
        <w:rPr>
          <w:rFonts w:hint="eastAsia" w:ascii="宋体" w:hAnsi="宋体" w:cs="宋体"/>
          <w:b/>
          <w:color w:val="auto"/>
          <w:sz w:val="28"/>
          <w:szCs w:val="28"/>
          <w:highlight w:val="none"/>
        </w:rPr>
      </w:pPr>
    </w:p>
    <w:p w14:paraId="662FDA11">
      <w:pPr>
        <w:pStyle w:val="278"/>
        <w:rPr>
          <w:rFonts w:hint="eastAsia" w:ascii="宋体" w:hAnsi="宋体"/>
          <w:color w:val="auto"/>
          <w:highlight w:val="none"/>
        </w:rPr>
      </w:pPr>
    </w:p>
    <w:p w14:paraId="5B54AE8C">
      <w:pPr>
        <w:pStyle w:val="278"/>
        <w:rPr>
          <w:rFonts w:hint="eastAsia" w:ascii="宋体" w:hAnsi="宋体"/>
          <w:color w:val="auto"/>
          <w:highlight w:val="none"/>
        </w:rPr>
      </w:pPr>
    </w:p>
    <w:p w14:paraId="59F343B0">
      <w:pPr>
        <w:pStyle w:val="278"/>
        <w:rPr>
          <w:rFonts w:hint="eastAsia" w:ascii="宋体" w:hAnsi="宋体"/>
          <w:color w:val="auto"/>
          <w:highlight w:val="none"/>
        </w:rPr>
      </w:pPr>
    </w:p>
    <w:p w14:paraId="39B71F6E">
      <w:pPr>
        <w:pStyle w:val="278"/>
        <w:rPr>
          <w:rFonts w:hint="eastAsia" w:ascii="宋体" w:hAnsi="宋体"/>
          <w:color w:val="auto"/>
          <w:highlight w:val="none"/>
        </w:rPr>
      </w:pPr>
    </w:p>
    <w:p w14:paraId="1155F28F">
      <w:pPr>
        <w:rPr>
          <w:rFonts w:hint="eastAsia" w:ascii="宋体" w:hAnsi="宋体" w:cs="宋体"/>
          <w:b/>
          <w:color w:val="auto"/>
          <w:sz w:val="30"/>
          <w:szCs w:val="30"/>
          <w:highlight w:val="none"/>
        </w:rPr>
      </w:pPr>
    </w:p>
    <w:p w14:paraId="4BFB3644">
      <w:pPr>
        <w:rPr>
          <w:rFonts w:hint="eastAsia" w:ascii="宋体" w:hAnsi="宋体" w:cs="宋体"/>
          <w:b/>
          <w:color w:val="auto"/>
          <w:sz w:val="30"/>
          <w:szCs w:val="30"/>
          <w:highlight w:val="none"/>
        </w:rPr>
      </w:pPr>
    </w:p>
    <w:p w14:paraId="21BCADBB">
      <w:pPr>
        <w:spacing w:line="600" w:lineRule="auto"/>
        <w:ind w:firstLine="321" w:firstLineChars="100"/>
        <w:jc w:val="both"/>
        <w:rPr>
          <w:rFonts w:hint="eastAsia" w:ascii="宋体" w:hAnsi="宋体" w:eastAsia="宋体" w:cs="宋体"/>
          <w:b/>
          <w:color w:val="auto"/>
          <w:sz w:val="32"/>
          <w:szCs w:val="28"/>
          <w:highlight w:val="none"/>
        </w:rPr>
      </w:pPr>
      <w:r>
        <w:rPr>
          <w:rFonts w:hint="eastAsia" w:ascii="宋体" w:hAnsi="宋体" w:eastAsia="宋体" w:cs="宋体"/>
          <w:b/>
          <w:color w:val="auto"/>
          <w:sz w:val="32"/>
          <w:szCs w:val="28"/>
          <w:highlight w:val="none"/>
        </w:rPr>
        <w:t>采</w:t>
      </w:r>
      <w:r>
        <w:rPr>
          <w:rFonts w:hint="eastAsia" w:ascii="宋体" w:hAnsi="宋体" w:eastAsia="宋体" w:cs="宋体"/>
          <w:b/>
          <w:color w:val="auto"/>
          <w:sz w:val="32"/>
          <w:szCs w:val="28"/>
          <w:highlight w:val="none"/>
          <w:lang w:val="en-US" w:eastAsia="zh-CN"/>
        </w:rPr>
        <w:t xml:space="preserve">   </w:t>
      </w:r>
      <w:r>
        <w:rPr>
          <w:rFonts w:hint="eastAsia" w:ascii="宋体" w:hAnsi="宋体" w:eastAsia="宋体" w:cs="宋体"/>
          <w:b/>
          <w:color w:val="auto"/>
          <w:sz w:val="32"/>
          <w:szCs w:val="28"/>
          <w:highlight w:val="none"/>
        </w:rPr>
        <w:t>购</w:t>
      </w:r>
      <w:r>
        <w:rPr>
          <w:rFonts w:hint="eastAsia" w:ascii="宋体" w:hAnsi="宋体" w:eastAsia="宋体" w:cs="宋体"/>
          <w:b/>
          <w:color w:val="auto"/>
          <w:sz w:val="32"/>
          <w:szCs w:val="28"/>
          <w:highlight w:val="none"/>
          <w:lang w:val="en-US" w:eastAsia="zh-CN"/>
        </w:rPr>
        <w:t xml:space="preserve">   </w:t>
      </w:r>
      <w:r>
        <w:rPr>
          <w:rFonts w:hint="eastAsia" w:ascii="宋体" w:hAnsi="宋体" w:eastAsia="宋体" w:cs="宋体"/>
          <w:b/>
          <w:color w:val="auto"/>
          <w:sz w:val="32"/>
          <w:szCs w:val="28"/>
          <w:highlight w:val="none"/>
        </w:rPr>
        <w:t>人：</w:t>
      </w:r>
      <w:r>
        <w:rPr>
          <w:rFonts w:hint="eastAsia" w:cs="宋体"/>
          <w:b/>
          <w:color w:val="auto"/>
          <w:sz w:val="32"/>
          <w:szCs w:val="28"/>
          <w:highlight w:val="none"/>
          <w:u w:val="single"/>
          <w:lang w:val="en-US" w:eastAsia="zh-CN"/>
        </w:rPr>
        <w:t>滁州市琅琊国有资产运营有限公司</w:t>
      </w:r>
      <w:r>
        <w:rPr>
          <w:rFonts w:hint="eastAsia" w:ascii="宋体" w:hAnsi="宋体" w:eastAsia="宋体" w:cs="宋体"/>
          <w:b/>
          <w:color w:val="auto"/>
          <w:sz w:val="32"/>
          <w:szCs w:val="28"/>
          <w:highlight w:val="none"/>
          <w:u w:val="single"/>
          <w:lang w:val="en-US" w:eastAsia="zh-CN"/>
        </w:rPr>
        <w:t>（</w:t>
      </w:r>
      <w:r>
        <w:rPr>
          <w:rFonts w:hint="eastAsia" w:ascii="宋体" w:hAnsi="宋体" w:eastAsia="宋体" w:cs="宋体"/>
          <w:b/>
          <w:color w:val="auto"/>
          <w:sz w:val="32"/>
          <w:szCs w:val="28"/>
          <w:highlight w:val="none"/>
          <w:u w:val="single"/>
        </w:rPr>
        <w:t>盖章）</w:t>
      </w:r>
    </w:p>
    <w:p w14:paraId="5C3A846E">
      <w:pPr>
        <w:spacing w:line="600" w:lineRule="auto"/>
        <w:ind w:firstLine="321" w:firstLineChars="100"/>
        <w:jc w:val="both"/>
        <w:rPr>
          <w:rFonts w:hint="eastAsia" w:ascii="宋体" w:hAnsi="宋体" w:eastAsia="宋体" w:cs="宋体"/>
          <w:b/>
          <w:color w:val="auto"/>
          <w:sz w:val="28"/>
          <w:szCs w:val="28"/>
          <w:highlight w:val="none"/>
        </w:rPr>
      </w:pPr>
      <w:r>
        <w:rPr>
          <w:rFonts w:hint="eastAsia" w:ascii="宋体" w:hAnsi="宋体" w:eastAsia="宋体" w:cs="宋体"/>
          <w:b/>
          <w:color w:val="auto"/>
          <w:sz w:val="32"/>
          <w:szCs w:val="28"/>
          <w:highlight w:val="none"/>
        </w:rPr>
        <w:t>采购代理机构：</w:t>
      </w:r>
      <w:r>
        <w:rPr>
          <w:rFonts w:hint="eastAsia" w:ascii="宋体" w:hAnsi="宋体" w:eastAsia="宋体" w:cs="宋体"/>
          <w:b/>
          <w:color w:val="auto"/>
          <w:sz w:val="32"/>
          <w:szCs w:val="28"/>
          <w:highlight w:val="none"/>
          <w:u w:val="single"/>
          <w:lang w:val="en-US" w:eastAsia="zh-CN"/>
        </w:rPr>
        <w:t>滁州市城投工程咨询管理有限公司</w:t>
      </w:r>
      <w:r>
        <w:rPr>
          <w:rFonts w:hint="eastAsia" w:ascii="宋体" w:hAnsi="宋体" w:eastAsia="宋体" w:cs="宋体"/>
          <w:b/>
          <w:color w:val="auto"/>
          <w:sz w:val="32"/>
          <w:szCs w:val="28"/>
          <w:highlight w:val="none"/>
          <w:u w:val="single"/>
        </w:rPr>
        <w:t>（盖章）</w:t>
      </w:r>
    </w:p>
    <w:p w14:paraId="39E693CD">
      <w:pPr>
        <w:spacing w:line="600" w:lineRule="auto"/>
        <w:jc w:val="center"/>
        <w:rPr>
          <w:rFonts w:hint="eastAsia" w:ascii="宋体" w:hAnsi="宋体" w:eastAsia="宋体" w:cs="宋体"/>
          <w:b/>
          <w:color w:val="auto"/>
          <w:sz w:val="32"/>
          <w:szCs w:val="28"/>
          <w:highlight w:val="none"/>
          <w:u w:val="single"/>
          <w:lang w:val="en-US" w:eastAsia="zh-CN"/>
        </w:rPr>
      </w:pPr>
      <w:r>
        <w:rPr>
          <w:rFonts w:hint="eastAsia" w:cs="宋体"/>
          <w:b/>
          <w:color w:val="auto"/>
          <w:sz w:val="32"/>
          <w:szCs w:val="28"/>
          <w:highlight w:val="none"/>
          <w:u w:val="single"/>
          <w:lang w:val="en-US" w:eastAsia="zh-CN"/>
        </w:rPr>
        <w:t>2026年11月</w:t>
      </w:r>
    </w:p>
    <w:p w14:paraId="03AA45EE">
      <w:pPr>
        <w:tabs>
          <w:tab w:val="left" w:pos="2410"/>
        </w:tabs>
        <w:autoSpaceDE w:val="0"/>
        <w:autoSpaceDN w:val="0"/>
        <w:adjustRightInd w:val="0"/>
        <w:snapToGrid w:val="0"/>
        <w:spacing w:line="360" w:lineRule="auto"/>
        <w:jc w:val="center"/>
        <w:rPr>
          <w:b/>
          <w:color w:val="auto"/>
          <w:sz w:val="28"/>
          <w:highlight w:val="none"/>
        </w:rPr>
      </w:pPr>
      <w:r>
        <w:rPr>
          <w:rFonts w:hint="eastAsia"/>
          <w:b/>
          <w:color w:val="auto"/>
          <w:sz w:val="28"/>
          <w:highlight w:val="none"/>
        </w:rPr>
        <w:t>目  录</w:t>
      </w:r>
    </w:p>
    <w:p w14:paraId="3B1E3C6E">
      <w:pPr>
        <w:tabs>
          <w:tab w:val="left" w:pos="2410"/>
        </w:tabs>
        <w:autoSpaceDE w:val="0"/>
        <w:autoSpaceDN w:val="0"/>
        <w:adjustRightInd w:val="0"/>
        <w:snapToGrid w:val="0"/>
        <w:spacing w:line="360" w:lineRule="auto"/>
        <w:jc w:val="center"/>
        <w:rPr>
          <w:b/>
          <w:color w:val="auto"/>
          <w:sz w:val="28"/>
          <w:highlight w:val="none"/>
        </w:rPr>
      </w:pPr>
    </w:p>
    <w:p w14:paraId="53A0B8B2">
      <w:pPr>
        <w:pStyle w:val="35"/>
        <w:tabs>
          <w:tab w:val="right" w:leader="dot" w:pos="8279"/>
        </w:tabs>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TOC \o "1-2" \h \z \u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Cs/>
          <w:color w:val="auto"/>
          <w:sz w:val="24"/>
          <w:szCs w:val="24"/>
          <w:highlight w:val="none"/>
        </w:rPr>
        <w:fldChar w:fldCharType="begin"/>
      </w:r>
      <w:r>
        <w:rPr>
          <w:rFonts w:hint="eastAsia" w:ascii="宋体" w:hAnsi="宋体" w:eastAsia="宋体" w:cs="宋体"/>
          <w:bCs/>
          <w:color w:val="auto"/>
          <w:sz w:val="24"/>
          <w:szCs w:val="24"/>
          <w:highlight w:val="none"/>
        </w:rPr>
        <w:instrText xml:space="preserve"> HYPERLINK \l _Toc12523 </w:instrText>
      </w:r>
      <w:r>
        <w:rPr>
          <w:rFonts w:hint="eastAsia" w:ascii="宋体" w:hAnsi="宋体" w:eastAsia="宋体" w:cs="宋体"/>
          <w:bCs/>
          <w:color w:val="auto"/>
          <w:sz w:val="24"/>
          <w:szCs w:val="24"/>
          <w:highlight w:val="none"/>
        </w:rPr>
        <w:fldChar w:fldCharType="separate"/>
      </w:r>
      <w:r>
        <w:rPr>
          <w:rFonts w:hint="eastAsia" w:ascii="宋体" w:hAnsi="宋体" w:eastAsia="宋体" w:cs="宋体"/>
          <w:color w:val="auto"/>
          <w:sz w:val="24"/>
          <w:szCs w:val="24"/>
          <w:highlight w:val="none"/>
        </w:rPr>
        <w:t>第一章  谈判邀请</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_Toc12523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rPr>
        <w:fldChar w:fldCharType="end"/>
      </w:r>
      <w:r>
        <w:rPr>
          <w:rFonts w:hint="eastAsia" w:ascii="宋体" w:hAnsi="宋体" w:eastAsia="宋体" w:cs="宋体"/>
          <w:bCs/>
          <w:color w:val="auto"/>
          <w:sz w:val="24"/>
          <w:szCs w:val="24"/>
          <w:highlight w:val="none"/>
        </w:rPr>
        <w:fldChar w:fldCharType="end"/>
      </w:r>
    </w:p>
    <w:p w14:paraId="254DE9AA">
      <w:pPr>
        <w:pStyle w:val="35"/>
        <w:tabs>
          <w:tab w:val="right" w:leader="dot" w:pos="8279"/>
        </w:tabs>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fldChar w:fldCharType="begin"/>
      </w:r>
      <w:r>
        <w:rPr>
          <w:rFonts w:hint="eastAsia" w:ascii="宋体" w:hAnsi="宋体" w:eastAsia="宋体" w:cs="宋体"/>
          <w:bCs/>
          <w:color w:val="auto"/>
          <w:sz w:val="24"/>
          <w:szCs w:val="24"/>
          <w:highlight w:val="none"/>
        </w:rPr>
        <w:instrText xml:space="preserve"> HYPERLINK \l _Toc32399 </w:instrText>
      </w:r>
      <w:r>
        <w:rPr>
          <w:rFonts w:hint="eastAsia" w:ascii="宋体" w:hAnsi="宋体" w:eastAsia="宋体" w:cs="宋体"/>
          <w:bCs/>
          <w:color w:val="auto"/>
          <w:sz w:val="24"/>
          <w:szCs w:val="24"/>
          <w:highlight w:val="none"/>
        </w:rPr>
        <w:fldChar w:fldCharType="separate"/>
      </w:r>
      <w:r>
        <w:rPr>
          <w:rFonts w:hint="eastAsia" w:ascii="宋体" w:hAnsi="宋体" w:eastAsia="宋体" w:cs="宋体"/>
          <w:color w:val="auto"/>
          <w:sz w:val="24"/>
          <w:szCs w:val="24"/>
          <w:highlight w:val="none"/>
        </w:rPr>
        <w:t>第二章  供应商须知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_Toc32399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rPr>
        <w:fldChar w:fldCharType="end"/>
      </w:r>
      <w:r>
        <w:rPr>
          <w:rFonts w:hint="eastAsia" w:ascii="宋体" w:hAnsi="宋体" w:eastAsia="宋体" w:cs="宋体"/>
          <w:bCs/>
          <w:color w:val="auto"/>
          <w:sz w:val="24"/>
          <w:szCs w:val="24"/>
          <w:highlight w:val="none"/>
        </w:rPr>
        <w:fldChar w:fldCharType="end"/>
      </w:r>
    </w:p>
    <w:p w14:paraId="4C169DC6">
      <w:pPr>
        <w:pStyle w:val="35"/>
        <w:tabs>
          <w:tab w:val="right" w:leader="dot" w:pos="8279"/>
        </w:tabs>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fldChar w:fldCharType="begin"/>
      </w:r>
      <w:r>
        <w:rPr>
          <w:rFonts w:hint="eastAsia" w:ascii="宋体" w:hAnsi="宋体" w:eastAsia="宋体" w:cs="宋体"/>
          <w:bCs/>
          <w:color w:val="auto"/>
          <w:sz w:val="24"/>
          <w:szCs w:val="24"/>
          <w:highlight w:val="none"/>
        </w:rPr>
        <w:instrText xml:space="preserve"> HYPERLINK \l _Toc6146 </w:instrText>
      </w:r>
      <w:r>
        <w:rPr>
          <w:rFonts w:hint="eastAsia" w:ascii="宋体" w:hAnsi="宋体" w:eastAsia="宋体" w:cs="宋体"/>
          <w:bCs/>
          <w:color w:val="auto"/>
          <w:sz w:val="24"/>
          <w:szCs w:val="24"/>
          <w:highlight w:val="none"/>
        </w:rPr>
        <w:fldChar w:fldCharType="separate"/>
      </w:r>
      <w:r>
        <w:rPr>
          <w:rFonts w:hint="eastAsia" w:ascii="宋体" w:hAnsi="宋体" w:eastAsia="宋体" w:cs="宋体"/>
          <w:color w:val="auto"/>
          <w:sz w:val="24"/>
          <w:szCs w:val="24"/>
          <w:highlight w:val="none"/>
        </w:rPr>
        <w:t>第三章  采购需求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_Toc6146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rPr>
        <w:fldChar w:fldCharType="end"/>
      </w:r>
      <w:r>
        <w:rPr>
          <w:rFonts w:hint="eastAsia" w:ascii="宋体" w:hAnsi="宋体" w:eastAsia="宋体" w:cs="宋体"/>
          <w:bCs/>
          <w:color w:val="auto"/>
          <w:sz w:val="24"/>
          <w:szCs w:val="24"/>
          <w:highlight w:val="none"/>
        </w:rPr>
        <w:fldChar w:fldCharType="end"/>
      </w:r>
    </w:p>
    <w:p w14:paraId="0314B464">
      <w:pPr>
        <w:pStyle w:val="35"/>
        <w:tabs>
          <w:tab w:val="right" w:leader="dot" w:pos="8279"/>
        </w:tabs>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fldChar w:fldCharType="begin"/>
      </w:r>
      <w:r>
        <w:rPr>
          <w:rFonts w:hint="eastAsia" w:ascii="宋体" w:hAnsi="宋体" w:eastAsia="宋体" w:cs="宋体"/>
          <w:bCs/>
          <w:color w:val="auto"/>
          <w:sz w:val="24"/>
          <w:szCs w:val="24"/>
          <w:highlight w:val="none"/>
        </w:rPr>
        <w:instrText xml:space="preserve"> HYPERLINK \l _Toc28266 </w:instrText>
      </w:r>
      <w:r>
        <w:rPr>
          <w:rFonts w:hint="eastAsia" w:ascii="宋体" w:hAnsi="宋体" w:eastAsia="宋体" w:cs="宋体"/>
          <w:bCs/>
          <w:color w:val="auto"/>
          <w:sz w:val="24"/>
          <w:szCs w:val="24"/>
          <w:highlight w:val="none"/>
        </w:rPr>
        <w:fldChar w:fldCharType="separate"/>
      </w:r>
      <w:r>
        <w:rPr>
          <w:rFonts w:hint="eastAsia" w:ascii="宋体" w:hAnsi="宋体" w:eastAsia="宋体" w:cs="宋体"/>
          <w:color w:val="auto"/>
          <w:sz w:val="24"/>
          <w:szCs w:val="24"/>
          <w:highlight w:val="none"/>
        </w:rPr>
        <w:t>第四章  评审方法和标准</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_Toc28266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23</w:t>
      </w:r>
      <w:r>
        <w:rPr>
          <w:rFonts w:hint="eastAsia" w:ascii="宋体" w:hAnsi="宋体" w:eastAsia="宋体" w:cs="宋体"/>
          <w:color w:val="auto"/>
          <w:sz w:val="24"/>
          <w:szCs w:val="24"/>
          <w:highlight w:val="none"/>
        </w:rPr>
        <w:fldChar w:fldCharType="end"/>
      </w:r>
      <w:r>
        <w:rPr>
          <w:rFonts w:hint="eastAsia" w:ascii="宋体" w:hAnsi="宋体" w:eastAsia="宋体" w:cs="宋体"/>
          <w:bCs/>
          <w:color w:val="auto"/>
          <w:sz w:val="24"/>
          <w:szCs w:val="24"/>
          <w:highlight w:val="none"/>
        </w:rPr>
        <w:fldChar w:fldCharType="end"/>
      </w:r>
    </w:p>
    <w:p w14:paraId="18755E1F">
      <w:pPr>
        <w:pStyle w:val="35"/>
        <w:tabs>
          <w:tab w:val="right" w:leader="dot" w:pos="8279"/>
        </w:tabs>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fldChar w:fldCharType="begin"/>
      </w:r>
      <w:r>
        <w:rPr>
          <w:rFonts w:hint="eastAsia" w:ascii="宋体" w:hAnsi="宋体" w:eastAsia="宋体" w:cs="宋体"/>
          <w:bCs/>
          <w:color w:val="auto"/>
          <w:sz w:val="24"/>
          <w:szCs w:val="24"/>
          <w:highlight w:val="none"/>
        </w:rPr>
        <w:instrText xml:space="preserve"> HYPERLINK \l _Toc32646 </w:instrText>
      </w:r>
      <w:r>
        <w:rPr>
          <w:rFonts w:hint="eastAsia" w:ascii="宋体" w:hAnsi="宋体" w:eastAsia="宋体" w:cs="宋体"/>
          <w:bCs/>
          <w:color w:val="auto"/>
          <w:sz w:val="24"/>
          <w:szCs w:val="24"/>
          <w:highlight w:val="none"/>
        </w:rPr>
        <w:fldChar w:fldCharType="separate"/>
      </w:r>
      <w:r>
        <w:rPr>
          <w:rFonts w:hint="eastAsia" w:ascii="宋体" w:hAnsi="宋体" w:eastAsia="宋体" w:cs="宋体"/>
          <w:color w:val="auto"/>
          <w:sz w:val="24"/>
          <w:szCs w:val="24"/>
          <w:highlight w:val="none"/>
        </w:rPr>
        <w:t>第五章  政府采购合同</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_Toc32646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29</w:t>
      </w:r>
      <w:r>
        <w:rPr>
          <w:rFonts w:hint="eastAsia" w:ascii="宋体" w:hAnsi="宋体" w:eastAsia="宋体" w:cs="宋体"/>
          <w:color w:val="auto"/>
          <w:sz w:val="24"/>
          <w:szCs w:val="24"/>
          <w:highlight w:val="none"/>
        </w:rPr>
        <w:fldChar w:fldCharType="end"/>
      </w:r>
      <w:r>
        <w:rPr>
          <w:rFonts w:hint="eastAsia" w:ascii="宋体" w:hAnsi="宋体" w:eastAsia="宋体" w:cs="宋体"/>
          <w:bCs/>
          <w:color w:val="auto"/>
          <w:sz w:val="24"/>
          <w:szCs w:val="24"/>
          <w:highlight w:val="none"/>
        </w:rPr>
        <w:fldChar w:fldCharType="end"/>
      </w:r>
    </w:p>
    <w:p w14:paraId="7E6B8483">
      <w:pPr>
        <w:pStyle w:val="35"/>
        <w:tabs>
          <w:tab w:val="right" w:leader="dot" w:pos="8279"/>
        </w:tabs>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fldChar w:fldCharType="begin"/>
      </w:r>
      <w:r>
        <w:rPr>
          <w:rFonts w:hint="eastAsia" w:ascii="宋体" w:hAnsi="宋体" w:eastAsia="宋体" w:cs="宋体"/>
          <w:bCs/>
          <w:color w:val="auto"/>
          <w:sz w:val="24"/>
          <w:szCs w:val="24"/>
          <w:highlight w:val="none"/>
        </w:rPr>
        <w:instrText xml:space="preserve"> HYPERLINK \l _Toc16770 </w:instrText>
      </w:r>
      <w:r>
        <w:rPr>
          <w:rFonts w:hint="eastAsia" w:ascii="宋体" w:hAnsi="宋体" w:eastAsia="宋体" w:cs="宋体"/>
          <w:bCs/>
          <w:color w:val="auto"/>
          <w:sz w:val="24"/>
          <w:szCs w:val="24"/>
          <w:highlight w:val="none"/>
        </w:rPr>
        <w:fldChar w:fldCharType="separate"/>
      </w:r>
      <w:r>
        <w:rPr>
          <w:rFonts w:hint="eastAsia" w:ascii="宋体" w:hAnsi="宋体" w:eastAsia="宋体" w:cs="宋体"/>
          <w:color w:val="auto"/>
          <w:sz w:val="24"/>
          <w:szCs w:val="24"/>
          <w:highlight w:val="none"/>
        </w:rPr>
        <w:t>第六章  响应文件格式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_Toc16770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80</w:t>
      </w:r>
      <w:r>
        <w:rPr>
          <w:rFonts w:hint="eastAsia" w:ascii="宋体" w:hAnsi="宋体" w:eastAsia="宋体" w:cs="宋体"/>
          <w:color w:val="auto"/>
          <w:sz w:val="24"/>
          <w:szCs w:val="24"/>
          <w:highlight w:val="none"/>
        </w:rPr>
        <w:fldChar w:fldCharType="end"/>
      </w:r>
      <w:r>
        <w:rPr>
          <w:rFonts w:hint="eastAsia" w:ascii="宋体" w:hAnsi="宋体" w:eastAsia="宋体" w:cs="宋体"/>
          <w:bCs/>
          <w:color w:val="auto"/>
          <w:sz w:val="24"/>
          <w:szCs w:val="24"/>
          <w:highlight w:val="none"/>
        </w:rPr>
        <w:fldChar w:fldCharType="end"/>
      </w:r>
    </w:p>
    <w:p w14:paraId="6BC60794">
      <w:pPr>
        <w:pStyle w:val="35"/>
        <w:tabs>
          <w:tab w:val="right" w:leader="dot" w:pos="8279"/>
        </w:tabs>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fldChar w:fldCharType="begin"/>
      </w:r>
      <w:r>
        <w:rPr>
          <w:rFonts w:hint="eastAsia" w:ascii="宋体" w:hAnsi="宋体" w:eastAsia="宋体" w:cs="宋体"/>
          <w:bCs/>
          <w:color w:val="auto"/>
          <w:sz w:val="24"/>
          <w:szCs w:val="24"/>
          <w:highlight w:val="none"/>
        </w:rPr>
        <w:instrText xml:space="preserve"> HYPERLINK \l _Toc25478 </w:instrText>
      </w:r>
      <w:r>
        <w:rPr>
          <w:rFonts w:hint="eastAsia" w:ascii="宋体" w:hAnsi="宋体" w:eastAsia="宋体" w:cs="宋体"/>
          <w:bCs/>
          <w:color w:val="auto"/>
          <w:sz w:val="24"/>
          <w:szCs w:val="24"/>
          <w:highlight w:val="none"/>
        </w:rPr>
        <w:fldChar w:fldCharType="separate"/>
      </w:r>
      <w:r>
        <w:rPr>
          <w:rFonts w:hint="eastAsia" w:ascii="宋体" w:hAnsi="宋体" w:eastAsia="宋体" w:cs="宋体"/>
          <w:bCs/>
          <w:color w:val="auto"/>
          <w:sz w:val="24"/>
          <w:szCs w:val="24"/>
          <w:highlight w:val="none"/>
        </w:rPr>
        <w:t>第</w:t>
      </w:r>
      <w:r>
        <w:rPr>
          <w:rFonts w:hint="eastAsia" w:ascii="宋体" w:hAnsi="宋体" w:eastAsia="宋体" w:cs="宋体"/>
          <w:bCs/>
          <w:color w:val="auto"/>
          <w:sz w:val="24"/>
          <w:szCs w:val="24"/>
          <w:highlight w:val="none"/>
          <w:lang w:val="en-US" w:eastAsia="zh-CN"/>
        </w:rPr>
        <w:t>七</w:t>
      </w:r>
      <w:r>
        <w:rPr>
          <w:rFonts w:hint="eastAsia" w:ascii="宋体" w:hAnsi="宋体" w:eastAsia="宋体" w:cs="宋体"/>
          <w:bCs/>
          <w:color w:val="auto"/>
          <w:sz w:val="24"/>
          <w:szCs w:val="24"/>
          <w:highlight w:val="none"/>
        </w:rPr>
        <w:t>章  政府采购</w:t>
      </w:r>
      <w:r>
        <w:rPr>
          <w:rFonts w:hint="eastAsia" w:ascii="宋体" w:hAnsi="宋体" w:eastAsia="宋体" w:cs="宋体"/>
          <w:color w:val="auto"/>
          <w:sz w:val="24"/>
          <w:szCs w:val="24"/>
          <w:highlight w:val="none"/>
        </w:rPr>
        <w:t>供应</w:t>
      </w:r>
      <w:r>
        <w:rPr>
          <w:rFonts w:hint="eastAsia" w:ascii="宋体" w:hAnsi="宋体" w:eastAsia="宋体" w:cs="宋体"/>
          <w:bCs/>
          <w:color w:val="auto"/>
          <w:sz w:val="24"/>
          <w:szCs w:val="24"/>
          <w:highlight w:val="none"/>
        </w:rPr>
        <w:t>商询问函和质疑函范本</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_Toc25478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96</w:t>
      </w:r>
      <w:r>
        <w:rPr>
          <w:rFonts w:hint="eastAsia" w:ascii="宋体" w:hAnsi="宋体" w:eastAsia="宋体" w:cs="宋体"/>
          <w:color w:val="auto"/>
          <w:sz w:val="24"/>
          <w:szCs w:val="24"/>
          <w:highlight w:val="none"/>
        </w:rPr>
        <w:fldChar w:fldCharType="end"/>
      </w:r>
      <w:r>
        <w:rPr>
          <w:rFonts w:hint="eastAsia" w:ascii="宋体" w:hAnsi="宋体" w:eastAsia="宋体" w:cs="宋体"/>
          <w:bCs/>
          <w:color w:val="auto"/>
          <w:sz w:val="24"/>
          <w:szCs w:val="24"/>
          <w:highlight w:val="none"/>
        </w:rPr>
        <w:fldChar w:fldCharType="end"/>
      </w:r>
    </w:p>
    <w:p w14:paraId="4968A42E">
      <w:pPr>
        <w:pStyle w:val="45"/>
        <w:tabs>
          <w:tab w:val="right" w:leader="dot" w:pos="8296"/>
        </w:tabs>
        <w:rPr>
          <w:rFonts w:asciiTheme="minorEastAsia" w:hAnsiTheme="minorEastAsia"/>
          <w:b/>
          <w:color w:val="auto"/>
          <w:sz w:val="32"/>
          <w:highlight w:val="none"/>
        </w:rPr>
      </w:pPr>
      <w:r>
        <w:rPr>
          <w:rFonts w:hint="eastAsia" w:ascii="宋体" w:hAnsi="宋体" w:eastAsia="宋体" w:cs="宋体"/>
          <w:bCs/>
          <w:color w:val="auto"/>
          <w:sz w:val="24"/>
          <w:szCs w:val="24"/>
          <w:highlight w:val="none"/>
        </w:rPr>
        <w:fldChar w:fldCharType="end"/>
      </w:r>
    </w:p>
    <w:p w14:paraId="3E2E4AD6">
      <w:pPr>
        <w:spacing w:line="360" w:lineRule="auto"/>
        <w:jc w:val="center"/>
        <w:outlineLvl w:val="1"/>
        <w:rPr>
          <w:rFonts w:asciiTheme="minorEastAsia" w:hAnsiTheme="minorEastAsia" w:eastAsiaTheme="minorEastAsia"/>
          <w:b/>
          <w:color w:val="auto"/>
          <w:sz w:val="28"/>
          <w:highlight w:val="none"/>
        </w:rPr>
        <w:sectPr>
          <w:headerReference r:id="rId3" w:type="default"/>
          <w:footerReference r:id="rId4" w:type="default"/>
          <w:pgSz w:w="11907" w:h="16840"/>
          <w:pgMar w:top="1474" w:right="1814" w:bottom="1474" w:left="1814" w:header="851" w:footer="992" w:gutter="0"/>
          <w:cols w:space="720" w:num="1"/>
          <w:docGrid w:linePitch="462" w:charSpace="0"/>
        </w:sectPr>
      </w:pPr>
    </w:p>
    <w:p w14:paraId="29845134">
      <w:pPr>
        <w:spacing w:line="360" w:lineRule="auto"/>
        <w:jc w:val="center"/>
        <w:outlineLvl w:val="0"/>
        <w:rPr>
          <w:rFonts w:asciiTheme="minorEastAsia" w:hAnsiTheme="minorEastAsia" w:eastAsiaTheme="minorEastAsia"/>
          <w:b/>
          <w:color w:val="auto"/>
          <w:sz w:val="28"/>
          <w:highlight w:val="none"/>
        </w:rPr>
      </w:pPr>
      <w:bookmarkStart w:id="0" w:name="_Toc12523"/>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谈判邀请</w:t>
      </w:r>
      <w:bookmarkEnd w:id="0"/>
    </w:p>
    <w:p w14:paraId="64E08145">
      <w:pPr>
        <w:spacing w:line="360" w:lineRule="auto"/>
        <w:ind w:firstLine="435"/>
        <w:rPr>
          <w:rFonts w:hint="eastAsia" w:asciiTheme="minorEastAsia" w:hAnsiTheme="minorEastAsia" w:eastAsiaTheme="minorEastAsia"/>
          <w:color w:val="auto"/>
          <w:sz w:val="24"/>
          <w:highlight w:val="none"/>
        </w:rPr>
      </w:pPr>
      <w:bookmarkStart w:id="1" w:name="_Toc8980"/>
      <w:bookmarkStart w:id="2" w:name="_Toc29179"/>
      <w:r>
        <w:rPr>
          <w:rFonts w:hint="eastAsia" w:asciiTheme="minorEastAsia" w:hAnsiTheme="minorEastAsia" w:eastAsiaTheme="minorEastAsia"/>
          <w:color w:val="auto"/>
          <w:sz w:val="24"/>
          <w:highlight w:val="none"/>
        </w:rPr>
        <w:t>项目概况</w:t>
      </w:r>
    </w:p>
    <w:p w14:paraId="452C5EFB">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u w:val="none"/>
          <w:lang w:eastAsia="zh-CN"/>
        </w:rPr>
        <w:t>湖畔云庭小区人防防倒塌棚架项目</w:t>
      </w:r>
      <w:r>
        <w:rPr>
          <w:rFonts w:hint="eastAsia" w:asciiTheme="minorEastAsia" w:hAnsiTheme="minorEastAsia" w:eastAsiaTheme="minorEastAsia"/>
          <w:color w:val="auto"/>
          <w:sz w:val="24"/>
          <w:highlight w:val="none"/>
        </w:rPr>
        <w:t>的潜在供应商在</w:t>
      </w:r>
      <w:r>
        <w:rPr>
          <w:rFonts w:hint="eastAsia" w:asciiTheme="minorEastAsia" w:hAnsiTheme="minorEastAsia" w:eastAsiaTheme="minorEastAsia"/>
          <w:color w:val="auto"/>
          <w:sz w:val="24"/>
          <w:highlight w:val="none"/>
          <w:u w:val="none"/>
          <w:lang w:eastAsia="zh-CN"/>
        </w:rPr>
        <w:t>滁州市琅琊区人民政府（https://www.lyq.gov.cn/）、滁州市城投工程咨询管理有限公司（ https://www.czctgczx.com/）</w:t>
      </w:r>
      <w:r>
        <w:rPr>
          <w:rFonts w:hint="eastAsia" w:asciiTheme="minorEastAsia" w:hAnsiTheme="minorEastAsia" w:eastAsiaTheme="minorEastAsia"/>
          <w:color w:val="auto"/>
          <w:sz w:val="24"/>
          <w:highlight w:val="none"/>
          <w:u w:val="none"/>
        </w:rPr>
        <w:t>网站获</w:t>
      </w:r>
      <w:r>
        <w:rPr>
          <w:rFonts w:hint="eastAsia" w:asciiTheme="minorEastAsia" w:hAnsiTheme="minorEastAsia" w:eastAsiaTheme="minorEastAsia"/>
          <w:color w:val="auto"/>
          <w:sz w:val="24"/>
          <w:highlight w:val="none"/>
        </w:rPr>
        <w:t>取采购文件，并于</w:t>
      </w:r>
      <w:r>
        <w:rPr>
          <w:rFonts w:hint="eastAsia" w:asciiTheme="minorEastAsia" w:hAnsiTheme="minorEastAsia" w:eastAsiaTheme="minorEastAsia"/>
          <w:color w:val="auto"/>
          <w:sz w:val="24"/>
          <w:highlight w:val="none"/>
          <w:lang w:eastAsia="zh-CN"/>
        </w:rPr>
        <w:t>2026年11月</w:t>
      </w: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日</w:t>
      </w:r>
      <w:r>
        <w:rPr>
          <w:rFonts w:hint="eastAsia" w:asciiTheme="minorEastAsia" w:hAnsiTheme="minorEastAsia" w:eastAsiaTheme="minorEastAsia"/>
          <w:color w:val="auto"/>
          <w:sz w:val="24"/>
          <w:highlight w:val="none"/>
          <w:lang w:val="en-US" w:eastAsia="zh-CN"/>
        </w:rPr>
        <w:t>14</w:t>
      </w:r>
      <w:r>
        <w:rPr>
          <w:rFonts w:hint="eastAsia" w:asciiTheme="minorEastAsia" w:hAnsiTheme="minorEastAsia" w:eastAsiaTheme="minorEastAsia"/>
          <w:color w:val="auto"/>
          <w:sz w:val="24"/>
          <w:highlight w:val="none"/>
        </w:rPr>
        <w:t>时</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0分（北京时间）前递交响应文件。</w:t>
      </w:r>
    </w:p>
    <w:p w14:paraId="46DC12B2">
      <w:pPr>
        <w:spacing w:line="360" w:lineRule="auto"/>
        <w:ind w:firstLine="435"/>
        <w:outlineLvl w:val="1"/>
        <w:rPr>
          <w:b/>
          <w:bCs/>
          <w:color w:val="auto"/>
          <w:sz w:val="24"/>
          <w:szCs w:val="18"/>
          <w:highlight w:val="none"/>
        </w:rPr>
      </w:pPr>
      <w:r>
        <w:rPr>
          <w:rFonts w:hint="eastAsia"/>
          <w:b/>
          <w:bCs/>
          <w:color w:val="auto"/>
          <w:sz w:val="24"/>
          <w:szCs w:val="18"/>
          <w:highlight w:val="none"/>
        </w:rPr>
        <w:t>一、</w:t>
      </w:r>
      <w:bookmarkEnd w:id="1"/>
      <w:bookmarkEnd w:id="2"/>
      <w:r>
        <w:rPr>
          <w:rFonts w:hint="eastAsia"/>
          <w:b/>
          <w:bCs/>
          <w:color w:val="auto"/>
          <w:sz w:val="24"/>
          <w:szCs w:val="18"/>
          <w:highlight w:val="none"/>
        </w:rPr>
        <w:t>项目基本情况</w:t>
      </w:r>
    </w:p>
    <w:p w14:paraId="14564E6D">
      <w:pPr>
        <w:spacing w:line="360" w:lineRule="auto"/>
        <w:ind w:firstLine="435"/>
        <w:rPr>
          <w:rFonts w:hint="eastAsia" w:asciiTheme="minorEastAsia" w:hAnsiTheme="minorEastAsia" w:eastAsiaTheme="minorEastAsia"/>
          <w:color w:val="auto"/>
          <w:sz w:val="24"/>
          <w:highlight w:val="none"/>
        </w:rPr>
      </w:pPr>
      <w:bookmarkStart w:id="3" w:name="_Toc20729"/>
      <w:r>
        <w:rPr>
          <w:rFonts w:hint="eastAsia" w:asciiTheme="minorEastAsia" w:hAnsiTheme="minorEastAsia" w:eastAsiaTheme="minorEastAsia"/>
          <w:color w:val="auto"/>
          <w:sz w:val="24"/>
          <w:highlight w:val="none"/>
        </w:rPr>
        <w:t>项目编号：HXJY1110001066066001</w:t>
      </w:r>
    </w:p>
    <w:p w14:paraId="7CBBBA07">
      <w:pPr>
        <w:spacing w:line="360" w:lineRule="auto"/>
        <w:ind w:firstLine="435"/>
        <w:rPr>
          <w:rFonts w:hint="eastAsia" w:asciiTheme="minorEastAsia" w:hAnsiTheme="minorEastAsia" w:eastAsiaTheme="minorEastAsia"/>
          <w:color w:val="auto"/>
          <w:sz w:val="24"/>
          <w:highlight w:val="none"/>
          <w:u w:val="none"/>
          <w:lang w:eastAsia="zh-CN"/>
        </w:rPr>
      </w:pPr>
      <w:r>
        <w:rPr>
          <w:rFonts w:hint="eastAsia" w:asciiTheme="minorEastAsia" w:hAnsiTheme="minorEastAsia" w:eastAsiaTheme="minorEastAsia"/>
          <w:color w:val="auto"/>
          <w:sz w:val="24"/>
          <w:highlight w:val="none"/>
          <w:u w:val="none"/>
        </w:rPr>
        <w:t>项目名称：</w:t>
      </w:r>
      <w:r>
        <w:rPr>
          <w:rFonts w:hint="eastAsia"/>
          <w:color w:val="auto"/>
          <w:sz w:val="24"/>
          <w:szCs w:val="18"/>
          <w:highlight w:val="none"/>
          <w:u w:val="none"/>
          <w:lang w:eastAsia="zh-CN"/>
        </w:rPr>
        <w:t>湖畔云庭小区人防防倒塌棚架项目</w:t>
      </w:r>
    </w:p>
    <w:p w14:paraId="4BF6FBC4">
      <w:pPr>
        <w:spacing w:line="360" w:lineRule="auto"/>
        <w:ind w:firstLine="435"/>
        <w:rPr>
          <w:rFonts w:hint="eastAsia" w:asciiTheme="minorEastAsia" w:hAnsiTheme="minorEastAsia" w:eastAsiaTheme="minorEastAsia"/>
          <w:color w:val="auto"/>
          <w:sz w:val="24"/>
          <w:highlight w:val="none"/>
          <w:u w:val="none"/>
        </w:rPr>
      </w:pPr>
      <w:r>
        <w:rPr>
          <w:rFonts w:hint="eastAsia" w:asciiTheme="minorEastAsia" w:hAnsiTheme="minorEastAsia" w:eastAsiaTheme="minorEastAsia"/>
          <w:color w:val="auto"/>
          <w:sz w:val="24"/>
          <w:highlight w:val="none"/>
          <w:u w:val="none"/>
        </w:rPr>
        <w:t>采购方式：竞争性谈判</w:t>
      </w:r>
    </w:p>
    <w:p w14:paraId="205FF49C">
      <w:pPr>
        <w:spacing w:line="360" w:lineRule="auto"/>
        <w:ind w:firstLine="435"/>
        <w:rPr>
          <w:rFonts w:hint="eastAsia" w:asciiTheme="minorEastAsia" w:hAnsiTheme="minorEastAsia" w:eastAsiaTheme="minorEastAsia"/>
          <w:color w:val="auto"/>
          <w:sz w:val="24"/>
          <w:highlight w:val="none"/>
          <w:u w:val="none"/>
        </w:rPr>
      </w:pPr>
      <w:r>
        <w:rPr>
          <w:rFonts w:hint="eastAsia" w:asciiTheme="minorEastAsia" w:hAnsiTheme="minorEastAsia" w:eastAsiaTheme="minorEastAsia"/>
          <w:color w:val="auto"/>
          <w:sz w:val="24"/>
          <w:highlight w:val="none"/>
          <w:u w:val="none"/>
        </w:rPr>
        <w:t>预算金额：</w:t>
      </w:r>
      <w:r>
        <w:rPr>
          <w:rFonts w:hint="eastAsia"/>
          <w:color w:val="auto"/>
          <w:sz w:val="24"/>
          <w:szCs w:val="18"/>
          <w:highlight w:val="none"/>
          <w:u w:val="none"/>
          <w:lang w:eastAsia="zh-CN"/>
        </w:rPr>
        <w:t>212786.62元</w:t>
      </w:r>
      <w:r>
        <w:rPr>
          <w:rFonts w:ascii="宋体" w:hAnsi="宋体" w:eastAsia="宋体"/>
          <w:color w:val="auto"/>
          <w:sz w:val="24"/>
          <w:szCs w:val="18"/>
          <w:highlight w:val="none"/>
          <w:u w:val="none"/>
        </w:rPr>
        <w:t xml:space="preserve"> </w:t>
      </w:r>
    </w:p>
    <w:p w14:paraId="3EC8BE71">
      <w:pPr>
        <w:spacing w:line="360" w:lineRule="auto"/>
        <w:ind w:firstLine="435"/>
        <w:rPr>
          <w:rFonts w:hint="eastAsia" w:asciiTheme="minorEastAsia" w:hAnsiTheme="minorEastAsia" w:eastAsiaTheme="minorEastAsia"/>
          <w:color w:val="auto"/>
          <w:sz w:val="24"/>
          <w:highlight w:val="none"/>
          <w:u w:val="none"/>
        </w:rPr>
      </w:pPr>
      <w:r>
        <w:rPr>
          <w:rFonts w:hint="eastAsia" w:asciiTheme="minorEastAsia" w:hAnsiTheme="minorEastAsia" w:eastAsiaTheme="minorEastAsia"/>
          <w:color w:val="auto"/>
          <w:sz w:val="24"/>
          <w:highlight w:val="none"/>
          <w:u w:val="none"/>
        </w:rPr>
        <w:t>最高限价：</w:t>
      </w:r>
      <w:r>
        <w:rPr>
          <w:rFonts w:hint="eastAsia"/>
          <w:color w:val="auto"/>
          <w:sz w:val="24"/>
          <w:szCs w:val="18"/>
          <w:highlight w:val="none"/>
          <w:u w:val="none"/>
          <w:lang w:eastAsia="zh-CN"/>
        </w:rPr>
        <w:t>212786.62元</w:t>
      </w:r>
      <w:r>
        <w:rPr>
          <w:rFonts w:hint="eastAsia"/>
          <w:color w:val="auto"/>
          <w:sz w:val="24"/>
          <w:szCs w:val="18"/>
          <w:highlight w:val="none"/>
          <w:u w:val="none"/>
          <w:lang w:val="en-US" w:eastAsia="zh-CN"/>
        </w:rPr>
        <w:t>，响应报价不得高于最高限价，否则按无效响应处理</w:t>
      </w:r>
    </w:p>
    <w:p w14:paraId="5F6F4DB6">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采购需求</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本项目</w:t>
      </w:r>
      <w:r>
        <w:rPr>
          <w:rFonts w:hint="eastAsia" w:asciiTheme="minorEastAsia" w:hAnsiTheme="minorEastAsia" w:eastAsiaTheme="minorEastAsia"/>
          <w:color w:val="auto"/>
          <w:sz w:val="24"/>
          <w:highlight w:val="none"/>
        </w:rPr>
        <w:t>需要在湖畔云亭小区人防区域汽车坡道口位置设置防倒塌棚架设施。具体内容详见工程量清单</w:t>
      </w:r>
      <w:r>
        <w:rPr>
          <w:rFonts w:hint="eastAsia" w:asciiTheme="minorEastAsia" w:hAnsiTheme="minorEastAsia" w:eastAsiaTheme="minorEastAsia"/>
          <w:color w:val="auto"/>
          <w:sz w:val="24"/>
          <w:highlight w:val="none"/>
          <w:lang w:eastAsia="zh-CN"/>
        </w:rPr>
        <w:t>。</w:t>
      </w:r>
    </w:p>
    <w:p w14:paraId="01C5499E">
      <w:pPr>
        <w:spacing w:line="360" w:lineRule="auto"/>
        <w:ind w:firstLine="435"/>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合同履行期限：</w:t>
      </w:r>
      <w:r>
        <w:rPr>
          <w:rFonts w:hint="eastAsia"/>
          <w:color w:val="auto"/>
          <w:sz w:val="24"/>
          <w:szCs w:val="18"/>
          <w:highlight w:val="none"/>
          <w:u w:val="none"/>
          <w:lang w:eastAsia="zh-CN"/>
        </w:rPr>
        <w:t>合同签订后不高于40个日历天内完工。</w:t>
      </w:r>
    </w:p>
    <w:p w14:paraId="3EE96F6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w:t>
      </w:r>
      <w:r>
        <w:rPr>
          <w:rFonts w:hint="eastAsia" w:asciiTheme="minorEastAsia" w:hAnsiTheme="minorEastAsia" w:eastAsiaTheme="minorEastAsia"/>
          <w:color w:val="auto"/>
          <w:sz w:val="24"/>
          <w:highlight w:val="none"/>
          <w:lang w:val="en-US" w:eastAsia="zh-CN"/>
        </w:rPr>
        <w:t>不</w:t>
      </w:r>
      <w:r>
        <w:rPr>
          <w:rFonts w:hint="eastAsia" w:asciiTheme="minorEastAsia" w:hAnsiTheme="minorEastAsia" w:eastAsiaTheme="minorEastAsia"/>
          <w:color w:val="auto"/>
          <w:sz w:val="24"/>
          <w:highlight w:val="none"/>
        </w:rPr>
        <w:t>接受联合体。</w:t>
      </w:r>
    </w:p>
    <w:bookmarkEnd w:id="3"/>
    <w:p w14:paraId="418B5452">
      <w:pPr>
        <w:spacing w:line="360" w:lineRule="auto"/>
        <w:ind w:firstLine="435"/>
        <w:outlineLvl w:val="1"/>
        <w:rPr>
          <w:rFonts w:hint="eastAsia" w:eastAsia="宋体"/>
          <w:b/>
          <w:bCs/>
          <w:color w:val="auto"/>
          <w:sz w:val="24"/>
          <w:szCs w:val="18"/>
          <w:highlight w:val="none"/>
          <w:lang w:val="en-US" w:eastAsia="zh-CN"/>
        </w:rPr>
      </w:pPr>
      <w:bookmarkStart w:id="4" w:name="_Toc28946"/>
      <w:bookmarkStart w:id="5" w:name="_Toc8411"/>
      <w:r>
        <w:rPr>
          <w:rFonts w:hint="eastAsia"/>
          <w:b/>
          <w:bCs/>
          <w:color w:val="auto"/>
          <w:sz w:val="24"/>
          <w:szCs w:val="18"/>
          <w:highlight w:val="none"/>
        </w:rPr>
        <w:t>二</w:t>
      </w:r>
      <w:r>
        <w:rPr>
          <w:rFonts w:hint="eastAsia"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申请人的</w:t>
      </w:r>
      <w:r>
        <w:rPr>
          <w:rFonts w:hint="eastAsia"/>
          <w:b/>
          <w:bCs/>
          <w:color w:val="auto"/>
          <w:sz w:val="24"/>
          <w:szCs w:val="18"/>
          <w:highlight w:val="none"/>
        </w:rPr>
        <w:t>资格</w:t>
      </w:r>
      <w:r>
        <w:rPr>
          <w:rFonts w:hint="eastAsia"/>
          <w:b/>
          <w:bCs/>
          <w:color w:val="auto"/>
          <w:sz w:val="24"/>
          <w:szCs w:val="18"/>
          <w:highlight w:val="none"/>
          <w:lang w:val="en-US" w:eastAsia="zh-CN"/>
        </w:rPr>
        <w:t>要求</w:t>
      </w:r>
      <w:bookmarkEnd w:id="4"/>
    </w:p>
    <w:p w14:paraId="0E4C88AD">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1.满足《中华人民共和国政府采购法》第二十二条规定；</w:t>
      </w:r>
    </w:p>
    <w:p w14:paraId="452FEA98">
      <w:pPr>
        <w:spacing w:line="420" w:lineRule="exact"/>
        <w:ind w:firstLine="435"/>
        <w:jc w:val="left"/>
        <w:rPr>
          <w:rFonts w:hint="eastAsia"/>
          <w:color w:val="auto"/>
          <w:highlight w:val="none"/>
          <w:lang w:eastAsia="zh-CN"/>
        </w:rPr>
      </w:pPr>
      <w:r>
        <w:rPr>
          <w:rFonts w:hint="eastAsia" w:asciiTheme="minorEastAsia" w:hAnsiTheme="minorEastAsia" w:eastAsiaTheme="minorEastAsia"/>
          <w:color w:val="auto"/>
          <w:sz w:val="24"/>
          <w:highlight w:val="none"/>
        </w:rPr>
        <w:t>2.</w:t>
      </w:r>
      <w:r>
        <w:rPr>
          <w:rFonts w:hint="eastAsia" w:ascii="宋体" w:hAnsi="宋体" w:eastAsia="宋体" w:cs="宋体"/>
          <w:color w:val="auto"/>
          <w:kern w:val="2"/>
          <w:sz w:val="24"/>
          <w:szCs w:val="24"/>
          <w:highlight w:val="none"/>
          <w:lang w:val="en-US" w:eastAsia="zh-CN" w:bidi="ar"/>
        </w:rPr>
        <w:t>落实政府采购政策需满足的资格要求：按照财政部、工业和信息化部制定的《政府采购促进中小企业发展管理办法》第六条第二款（因确需使用不可替代的专利、专有技术，基础设施限制，或者提供特定公共服务等原因，只能从中小企业之外的供应商处采购的）之规定，</w:t>
      </w:r>
      <w:r>
        <w:rPr>
          <w:rFonts w:hint="eastAsia" w:ascii="宋体" w:hAnsi="宋体" w:eastAsia="宋体" w:cs="宋体"/>
          <w:color w:val="auto"/>
          <w:kern w:val="2"/>
          <w:sz w:val="24"/>
          <w:szCs w:val="24"/>
          <w:highlight w:val="none"/>
          <w:lang w:val="en-US" w:eastAsia="zh-CN" w:bidi="ar"/>
        </w:rPr>
        <w:t>本项目为非专门面向中小企业采购项目。</w:t>
      </w:r>
      <w:r>
        <w:rPr>
          <w:rFonts w:hint="eastAsia" w:ascii="宋体" w:hAnsi="宋体" w:eastAsia="宋体" w:cs="宋体"/>
          <w:color w:val="auto"/>
          <w:sz w:val="24"/>
          <w:highlight w:val="none"/>
        </w:rPr>
        <w:t>若中小企业对此有质疑，可按以下渠道递交质疑：①以书面材料递交至采购人或采购代理机构处；②在滁州市公共资源交易中心网电子交易系统中进行质疑，具体操作步骤和程序请参见服务指南&gt;交易须知&gt;在线异议、质疑和投诉操作手册；</w:t>
      </w:r>
    </w:p>
    <w:p w14:paraId="5F8F2A4B">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3.本项目的特定资格要求：①</w:t>
      </w:r>
      <w:r>
        <w:rPr>
          <w:rFonts w:hint="eastAsia" w:asciiTheme="minorEastAsia" w:hAnsiTheme="minorEastAsia" w:eastAsiaTheme="minorEastAsia"/>
          <w:color w:val="auto"/>
          <w:sz w:val="24"/>
          <w:highlight w:val="none"/>
          <w:lang w:eastAsia="zh-CN"/>
        </w:rPr>
        <w:t>供应商须</w:t>
      </w:r>
      <w:r>
        <w:rPr>
          <w:rFonts w:hint="eastAsia" w:asciiTheme="minorEastAsia" w:hAnsiTheme="minorEastAsia" w:eastAsiaTheme="minorEastAsia"/>
          <w:color w:val="auto"/>
          <w:sz w:val="24"/>
          <w:highlight w:val="none"/>
        </w:rPr>
        <w:t>具有建设行政主管部门颁发的</w:t>
      </w:r>
      <w:r>
        <w:rPr>
          <w:rFonts w:hint="eastAsia" w:asciiTheme="minorEastAsia" w:hAnsiTheme="minorEastAsia" w:eastAsiaTheme="minorEastAsia"/>
          <w:color w:val="auto"/>
          <w:sz w:val="24"/>
          <w:highlight w:val="none"/>
          <w:lang w:eastAsia="zh-CN"/>
        </w:rPr>
        <w:t>建筑工程施工总承包三级（或以上）资质</w:t>
      </w:r>
      <w:r>
        <w:rPr>
          <w:rFonts w:hint="eastAsia" w:asciiTheme="minorEastAsia" w:hAnsiTheme="minorEastAsia" w:eastAsiaTheme="minorEastAsia"/>
          <w:color w:val="auto"/>
          <w:sz w:val="24"/>
          <w:highlight w:val="none"/>
        </w:rPr>
        <w:t>和有效的安全生产许可证；</w:t>
      </w:r>
    </w:p>
    <w:p w14:paraId="1916C494">
      <w:pPr>
        <w:spacing w:line="360" w:lineRule="auto"/>
        <w:ind w:firstLine="435"/>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②项目负责人</w:t>
      </w:r>
      <w:r>
        <w:rPr>
          <w:rFonts w:hint="eastAsia" w:asciiTheme="minorEastAsia" w:hAnsiTheme="minorEastAsia" w:eastAsiaTheme="minorEastAsia"/>
          <w:color w:val="auto"/>
          <w:sz w:val="24"/>
          <w:highlight w:val="none"/>
          <w:lang w:eastAsia="zh-CN"/>
        </w:rPr>
        <w:t>须</w:t>
      </w:r>
      <w:r>
        <w:rPr>
          <w:rFonts w:hint="eastAsia" w:asciiTheme="minorEastAsia" w:hAnsiTheme="minorEastAsia" w:eastAsiaTheme="minorEastAsia"/>
          <w:color w:val="auto"/>
          <w:sz w:val="24"/>
          <w:highlight w:val="none"/>
        </w:rPr>
        <w:t>具有注册在投标单位的</w:t>
      </w:r>
      <w:r>
        <w:rPr>
          <w:rFonts w:hint="eastAsia" w:asciiTheme="minorEastAsia" w:hAnsiTheme="minorEastAsia" w:eastAsiaTheme="minorEastAsia"/>
          <w:color w:val="auto"/>
          <w:sz w:val="24"/>
          <w:highlight w:val="none"/>
          <w:lang w:eastAsia="zh-CN"/>
        </w:rPr>
        <w:t>建筑工程专业二级（或以上）注册建造师资格</w:t>
      </w:r>
      <w:r>
        <w:rPr>
          <w:rFonts w:hint="eastAsia" w:asciiTheme="minorEastAsia" w:hAnsiTheme="minorEastAsia" w:eastAsiaTheme="minorEastAsia"/>
          <w:color w:val="auto"/>
          <w:sz w:val="24"/>
          <w:highlight w:val="none"/>
        </w:rPr>
        <w:t>，具备有效的安全生产考核合格(B类)证书</w:t>
      </w:r>
      <w:r>
        <w:rPr>
          <w:rFonts w:hint="eastAsia" w:asciiTheme="minorEastAsia" w:hAnsiTheme="minorEastAsia" w:eastAsiaTheme="minorEastAsia"/>
          <w:color w:val="auto"/>
          <w:sz w:val="24"/>
          <w:highlight w:val="none"/>
          <w:lang w:val="en-US" w:eastAsia="zh-CN"/>
        </w:rPr>
        <w:t>。</w:t>
      </w:r>
    </w:p>
    <w:bookmarkEnd w:id="5"/>
    <w:p w14:paraId="7DDD1FE7">
      <w:pPr>
        <w:spacing w:line="360" w:lineRule="auto"/>
        <w:ind w:firstLine="435"/>
        <w:outlineLvl w:val="1"/>
        <w:rPr>
          <w:rFonts w:hint="eastAsia"/>
          <w:b/>
          <w:bCs/>
          <w:color w:val="auto"/>
          <w:sz w:val="24"/>
          <w:highlight w:val="none"/>
        </w:rPr>
      </w:pPr>
      <w:bookmarkStart w:id="6" w:name="_Toc32362"/>
      <w:bookmarkStart w:id="7" w:name="_Toc310"/>
      <w:r>
        <w:rPr>
          <w:rFonts w:hint="eastAsia"/>
          <w:b/>
          <w:bCs/>
          <w:color w:val="auto"/>
          <w:sz w:val="24"/>
          <w:highlight w:val="none"/>
        </w:rPr>
        <w:t>三、获取采购文件</w:t>
      </w:r>
      <w:bookmarkEnd w:id="6"/>
    </w:p>
    <w:p w14:paraId="23892888">
      <w:pPr>
        <w:spacing w:line="360" w:lineRule="auto"/>
        <w:ind w:firstLine="54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时间：</w:t>
      </w:r>
      <w:r>
        <w:rPr>
          <w:rFonts w:hint="eastAsia" w:cs="宋体"/>
          <w:color w:val="auto"/>
          <w:sz w:val="24"/>
          <w:szCs w:val="24"/>
          <w:highlight w:val="none"/>
          <w:u w:val="none"/>
          <w:lang w:eastAsia="zh-CN"/>
        </w:rPr>
        <w:t>2026年11月</w:t>
      </w:r>
      <w:r>
        <w:rPr>
          <w:rFonts w:hint="eastAsia" w:cs="宋体"/>
          <w:color w:val="auto"/>
          <w:sz w:val="24"/>
          <w:szCs w:val="24"/>
          <w:highlight w:val="none"/>
          <w:u w:val="none"/>
          <w:lang w:val="en-US" w:eastAsia="zh-CN"/>
        </w:rPr>
        <w:t>2</w:t>
      </w:r>
      <w:r>
        <w:rPr>
          <w:rFonts w:hint="eastAsia" w:ascii="宋体" w:hAnsi="宋体" w:eastAsia="宋体" w:cs="宋体"/>
          <w:color w:val="auto"/>
          <w:sz w:val="24"/>
          <w:szCs w:val="24"/>
          <w:highlight w:val="none"/>
          <w:u w:val="none"/>
        </w:rPr>
        <w:t>日至</w:t>
      </w:r>
      <w:r>
        <w:rPr>
          <w:rFonts w:hint="eastAsia" w:cs="宋体"/>
          <w:color w:val="auto"/>
          <w:sz w:val="24"/>
          <w:szCs w:val="24"/>
          <w:highlight w:val="none"/>
          <w:u w:val="none"/>
          <w:lang w:eastAsia="zh-CN"/>
        </w:rPr>
        <w:t>2026年11月</w:t>
      </w:r>
      <w:r>
        <w:rPr>
          <w:rFonts w:hint="eastAsia" w:cs="宋体"/>
          <w:color w:val="auto"/>
          <w:sz w:val="24"/>
          <w:szCs w:val="24"/>
          <w:highlight w:val="none"/>
          <w:u w:val="none"/>
          <w:lang w:val="en-US" w:eastAsia="zh-CN"/>
        </w:rPr>
        <w:t>6</w:t>
      </w:r>
      <w:r>
        <w:rPr>
          <w:rFonts w:hint="eastAsia" w:ascii="宋体" w:hAnsi="宋体" w:eastAsia="宋体" w:cs="宋体"/>
          <w:color w:val="auto"/>
          <w:sz w:val="24"/>
          <w:szCs w:val="24"/>
          <w:highlight w:val="none"/>
          <w:u w:val="none"/>
        </w:rPr>
        <w:t>日</w:t>
      </w:r>
    </w:p>
    <w:p w14:paraId="407AF36C">
      <w:pPr>
        <w:spacing w:line="360" w:lineRule="auto"/>
        <w:ind w:firstLine="54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地点：</w:t>
      </w:r>
      <w:r>
        <w:rPr>
          <w:rFonts w:hint="eastAsia"/>
          <w:color w:val="auto"/>
          <w:sz w:val="24"/>
          <w:szCs w:val="18"/>
          <w:highlight w:val="none"/>
          <w:u w:val="none"/>
          <w:lang w:eastAsia="zh-CN"/>
        </w:rPr>
        <w:t>滁州市琅琊区人民政府（https://www.lyq.gov.cn/）、滁州市城投工程咨询管理有限公司（ https://www.czctgczx.com/）</w:t>
      </w:r>
      <w:r>
        <w:rPr>
          <w:rFonts w:hint="eastAsia" w:ascii="宋体" w:hAnsi="宋体" w:eastAsia="宋体"/>
          <w:color w:val="auto"/>
          <w:sz w:val="24"/>
          <w:szCs w:val="18"/>
          <w:highlight w:val="none"/>
          <w:u w:val="none"/>
        </w:rPr>
        <w:t>网站</w:t>
      </w:r>
    </w:p>
    <w:p w14:paraId="21FF878D">
      <w:pPr>
        <w:spacing w:line="360" w:lineRule="auto"/>
        <w:ind w:firstLine="540"/>
        <w:rPr>
          <w:rFonts w:ascii="宋体" w:hAnsi="宋体" w:eastAsia="宋体"/>
          <w:color w:val="auto"/>
          <w:sz w:val="24"/>
          <w:szCs w:val="18"/>
          <w:highlight w:val="none"/>
          <w:u w:val="none"/>
        </w:rPr>
      </w:pPr>
      <w:r>
        <w:rPr>
          <w:rFonts w:hint="eastAsia" w:ascii="宋体" w:hAnsi="宋体" w:eastAsia="宋体" w:cs="宋体"/>
          <w:color w:val="auto"/>
          <w:sz w:val="24"/>
          <w:szCs w:val="24"/>
          <w:highlight w:val="none"/>
          <w:u w:val="none"/>
        </w:rPr>
        <w:t>方式：</w:t>
      </w:r>
      <w:r>
        <w:rPr>
          <w:rFonts w:hint="eastAsia" w:ascii="宋体" w:hAnsi="宋体" w:eastAsia="宋体"/>
          <w:color w:val="auto"/>
          <w:sz w:val="24"/>
          <w:szCs w:val="18"/>
          <w:highlight w:val="none"/>
          <w:u w:val="none"/>
        </w:rPr>
        <w:t xml:space="preserve"> 网上下载</w:t>
      </w:r>
    </w:p>
    <w:p w14:paraId="37BCD28A">
      <w:pPr>
        <w:spacing w:line="360" w:lineRule="auto"/>
        <w:ind w:firstLine="540"/>
        <w:rPr>
          <w:rFonts w:hint="eastAsia" w:ascii="宋体" w:hAnsi="宋体" w:eastAsia="宋体" w:cs="宋体"/>
          <w:color w:val="auto"/>
          <w:sz w:val="24"/>
          <w:szCs w:val="24"/>
          <w:highlight w:val="none"/>
          <w:u w:val="single"/>
        </w:rPr>
      </w:pPr>
      <w:r>
        <w:rPr>
          <w:rFonts w:hint="eastAsia" w:ascii="宋体" w:hAnsi="宋体" w:eastAsia="宋体"/>
          <w:color w:val="auto"/>
          <w:sz w:val="24"/>
          <w:szCs w:val="18"/>
          <w:highlight w:val="none"/>
          <w:u w:val="none"/>
        </w:rPr>
        <w:t>售价：0元</w:t>
      </w:r>
    </w:p>
    <w:bookmarkEnd w:id="7"/>
    <w:p w14:paraId="1278A287">
      <w:pPr>
        <w:spacing w:line="360" w:lineRule="auto"/>
        <w:ind w:firstLine="435"/>
        <w:outlineLvl w:val="1"/>
        <w:rPr>
          <w:rFonts w:hint="eastAsia"/>
          <w:b/>
          <w:bCs/>
          <w:color w:val="auto"/>
          <w:sz w:val="24"/>
          <w:highlight w:val="none"/>
        </w:rPr>
      </w:pPr>
      <w:bookmarkStart w:id="8" w:name="_Toc566"/>
      <w:r>
        <w:rPr>
          <w:rFonts w:hint="eastAsia"/>
          <w:b/>
          <w:bCs/>
          <w:color w:val="auto"/>
          <w:sz w:val="24"/>
          <w:highlight w:val="none"/>
        </w:rPr>
        <w:t>四、响应文件提交</w:t>
      </w:r>
      <w:bookmarkEnd w:id="8"/>
    </w:p>
    <w:p w14:paraId="77F7F8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bookmarkStart w:id="9" w:name="_Toc11944"/>
      <w:r>
        <w:rPr>
          <w:rFonts w:hint="eastAsia" w:asciiTheme="minorEastAsia" w:hAnsiTheme="minorEastAsia" w:eastAsiaTheme="minorEastAsia" w:cstheme="minorEastAsia"/>
          <w:color w:val="auto"/>
          <w:sz w:val="24"/>
          <w:szCs w:val="24"/>
          <w:highlight w:val="none"/>
        </w:rPr>
        <w:t>截止时间</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single"/>
          <w:lang w:val="en-US" w:eastAsia="zh-CN"/>
        </w:rPr>
        <w:t>2026</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none"/>
        </w:rPr>
        <w:t>年</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single"/>
          <w:lang w:val="en-US" w:eastAsia="zh-CN"/>
        </w:rPr>
        <w:t>11</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none"/>
        </w:rPr>
        <w:t>月</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single"/>
          <w:lang w:val="en-US" w:eastAsia="zh-CN"/>
        </w:rPr>
        <w:t>6</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none"/>
        </w:rPr>
        <w:t>日</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single"/>
          <w:lang w:val="en-US" w:eastAsia="zh-CN"/>
        </w:rPr>
        <w:t>14</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none"/>
          <w:lang w:val="en-US" w:eastAsia="zh-CN"/>
        </w:rPr>
        <w:t>时</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single"/>
          <w:lang w:val="en-US" w:eastAsia="zh-CN"/>
        </w:rPr>
        <w:t>30</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none"/>
        </w:rPr>
        <w:t>分</w:t>
      </w:r>
      <w:r>
        <w:rPr>
          <w:rFonts w:hint="eastAsia" w:asciiTheme="minorEastAsia" w:hAnsiTheme="minorEastAsia" w:eastAsiaTheme="minorEastAsia" w:cstheme="minorEastAsia"/>
          <w:bCs/>
          <w:color w:val="auto"/>
          <w:sz w:val="24"/>
          <w:szCs w:val="24"/>
          <w:highlight w:val="none"/>
        </w:rPr>
        <w:t>（北京时间）</w:t>
      </w:r>
    </w:p>
    <w:p w14:paraId="555ECD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olor w:val="auto"/>
          <w:sz w:val="24"/>
          <w:szCs w:val="18"/>
          <w:highlight w:val="none"/>
          <w:u w:val="single"/>
        </w:rPr>
      </w:pPr>
      <w:r>
        <w:rPr>
          <w:rFonts w:hint="eastAsia" w:asciiTheme="minorEastAsia" w:hAnsiTheme="minorEastAsia" w:eastAsiaTheme="minorEastAsia" w:cstheme="minorEastAsia"/>
          <w:color w:val="auto"/>
          <w:sz w:val="24"/>
          <w:szCs w:val="24"/>
          <w:highlight w:val="none"/>
        </w:rPr>
        <w:t>地点：</w:t>
      </w:r>
      <w:r>
        <w:rPr>
          <w:rFonts w:hint="eastAsia" w:ascii="宋体" w:hAnsi="宋体" w:eastAsia="宋体"/>
          <w:color w:val="auto"/>
          <w:sz w:val="24"/>
          <w:szCs w:val="18"/>
          <w:highlight w:val="none"/>
          <w:u w:val="single"/>
        </w:rPr>
        <w:t>供应商应在响应文件提交截止时间之前，登录滁州市城投工程咨询管理有限公司新点电子交易平台【滁州专区】上传响应文件</w:t>
      </w:r>
    </w:p>
    <w:p w14:paraId="32E94956">
      <w:pPr>
        <w:spacing w:line="360" w:lineRule="auto"/>
        <w:ind w:firstLine="435"/>
        <w:outlineLvl w:val="1"/>
        <w:rPr>
          <w:rFonts w:hint="eastAsia"/>
          <w:b/>
          <w:bCs/>
          <w:color w:val="auto"/>
          <w:sz w:val="24"/>
          <w:highlight w:val="none"/>
        </w:rPr>
      </w:pPr>
      <w:bookmarkStart w:id="10" w:name="_Toc28359016"/>
      <w:bookmarkStart w:id="11" w:name="_Toc20554"/>
      <w:bookmarkStart w:id="12" w:name="_Toc28359093"/>
      <w:bookmarkStart w:id="13" w:name="_Toc35393633"/>
      <w:bookmarkStart w:id="14" w:name="_Toc35393802"/>
      <w:r>
        <w:rPr>
          <w:rFonts w:hint="eastAsia"/>
          <w:b/>
          <w:bCs/>
          <w:color w:val="auto"/>
          <w:sz w:val="24"/>
          <w:highlight w:val="none"/>
        </w:rPr>
        <w:t>五、开启</w:t>
      </w:r>
      <w:bookmarkEnd w:id="10"/>
      <w:bookmarkEnd w:id="11"/>
      <w:bookmarkEnd w:id="12"/>
      <w:bookmarkEnd w:id="13"/>
      <w:bookmarkEnd w:id="14"/>
    </w:p>
    <w:p w14:paraId="19B0B1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时间：</w:t>
      </w:r>
      <w:r>
        <w:rPr>
          <w:rFonts w:hint="eastAsia" w:ascii="宋体" w:hAnsi="宋体" w:eastAsia="宋体" w:cs="宋体"/>
          <w:color w:val="auto"/>
          <w:sz w:val="24"/>
          <w:szCs w:val="24"/>
          <w:highlight w:val="none"/>
          <w:u w:val="single"/>
        </w:rPr>
        <w:t xml:space="preserve"> </w:t>
      </w:r>
      <w:r>
        <w:rPr>
          <w:rFonts w:hint="eastAsia" w:cs="宋体"/>
          <w:color w:val="auto"/>
          <w:sz w:val="24"/>
          <w:szCs w:val="24"/>
          <w:highlight w:val="none"/>
          <w:u w:val="single"/>
          <w:lang w:val="en-US" w:eastAsia="zh-CN"/>
        </w:rPr>
        <w:t>2026</w:t>
      </w:r>
      <w:r>
        <w:rPr>
          <w:rFonts w:hint="eastAsia" w:ascii="宋体" w:hAnsi="宋体" w:eastAsia="宋体" w:cs="宋体"/>
          <w:color w:val="auto"/>
          <w:sz w:val="24"/>
          <w:szCs w:val="24"/>
          <w:highlight w:val="none"/>
          <w:u w:val="single"/>
        </w:rPr>
        <w:t xml:space="preserve"> </w:t>
      </w:r>
      <w:r>
        <w:rPr>
          <w:rFonts w:hint="eastAsia" w:ascii="宋体" w:hAnsi="宋体" w:eastAsia="宋体" w:cs="宋体"/>
          <w:bCs/>
          <w:color w:val="auto"/>
          <w:sz w:val="24"/>
          <w:szCs w:val="24"/>
          <w:highlight w:val="none"/>
          <w:u w:val="none"/>
        </w:rPr>
        <w:t>年</w:t>
      </w:r>
      <w:r>
        <w:rPr>
          <w:rFonts w:hint="eastAsia" w:ascii="宋体" w:hAnsi="宋体" w:eastAsia="宋体" w:cs="宋体"/>
          <w:bCs/>
          <w:color w:val="auto"/>
          <w:sz w:val="24"/>
          <w:szCs w:val="24"/>
          <w:highlight w:val="none"/>
          <w:u w:val="single"/>
        </w:rPr>
        <w:t xml:space="preserve"> </w:t>
      </w:r>
      <w:r>
        <w:rPr>
          <w:rFonts w:hint="eastAsia" w:cs="宋体"/>
          <w:bCs/>
          <w:color w:val="auto"/>
          <w:sz w:val="24"/>
          <w:szCs w:val="24"/>
          <w:highlight w:val="none"/>
          <w:u w:val="single"/>
          <w:lang w:val="en-US" w:eastAsia="zh-CN"/>
        </w:rPr>
        <w:t>11</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none"/>
        </w:rPr>
        <w:t>月</w:t>
      </w:r>
      <w:r>
        <w:rPr>
          <w:rFonts w:hint="eastAsia" w:ascii="宋体" w:hAnsi="宋体" w:eastAsia="宋体" w:cs="宋体"/>
          <w:bCs/>
          <w:color w:val="auto"/>
          <w:sz w:val="24"/>
          <w:szCs w:val="24"/>
          <w:highlight w:val="none"/>
          <w:u w:val="single"/>
        </w:rPr>
        <w:t xml:space="preserve"> </w:t>
      </w:r>
      <w:r>
        <w:rPr>
          <w:rFonts w:hint="eastAsia"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none"/>
        </w:rPr>
        <w:t>日</w:t>
      </w:r>
      <w:r>
        <w:rPr>
          <w:rFonts w:hint="eastAsia" w:ascii="宋体" w:hAnsi="宋体" w:eastAsia="宋体" w:cs="宋体"/>
          <w:bCs/>
          <w:color w:val="auto"/>
          <w:sz w:val="24"/>
          <w:szCs w:val="24"/>
          <w:highlight w:val="none"/>
          <w:u w:val="single"/>
        </w:rPr>
        <w:t xml:space="preserve"> </w:t>
      </w:r>
      <w:r>
        <w:rPr>
          <w:rFonts w:hint="eastAsia" w:cs="宋体"/>
          <w:bCs/>
          <w:color w:val="auto"/>
          <w:sz w:val="24"/>
          <w:szCs w:val="24"/>
          <w:highlight w:val="none"/>
          <w:u w:val="single"/>
          <w:lang w:val="en-US" w:eastAsia="zh-CN"/>
        </w:rPr>
        <w:t>14</w:t>
      </w:r>
      <w:r>
        <w:rPr>
          <w:rFonts w:hint="eastAsia" w:ascii="宋体" w:hAnsi="宋体" w:eastAsia="宋体" w:cs="宋体"/>
          <w:bCs/>
          <w:color w:val="auto"/>
          <w:sz w:val="24"/>
          <w:szCs w:val="24"/>
          <w:highlight w:val="none"/>
          <w:u w:val="single"/>
        </w:rPr>
        <w:t xml:space="preserve"> </w:t>
      </w:r>
      <w:r>
        <w:rPr>
          <w:rFonts w:hint="eastAsia" w:cs="宋体"/>
          <w:bCs/>
          <w:color w:val="auto"/>
          <w:sz w:val="24"/>
          <w:szCs w:val="24"/>
          <w:highlight w:val="none"/>
          <w:u w:val="none"/>
          <w:lang w:val="en-US" w:eastAsia="zh-CN"/>
        </w:rPr>
        <w:t>时</w:t>
      </w:r>
      <w:r>
        <w:rPr>
          <w:rFonts w:hint="eastAsia" w:ascii="宋体" w:hAnsi="宋体" w:eastAsia="宋体" w:cs="宋体"/>
          <w:bCs/>
          <w:color w:val="auto"/>
          <w:sz w:val="24"/>
          <w:szCs w:val="24"/>
          <w:highlight w:val="none"/>
          <w:u w:val="single"/>
        </w:rPr>
        <w:t xml:space="preserve"> </w:t>
      </w:r>
      <w:r>
        <w:rPr>
          <w:rFonts w:hint="eastAsia" w:cs="宋体"/>
          <w:bCs/>
          <w:color w:val="auto"/>
          <w:sz w:val="24"/>
          <w:szCs w:val="24"/>
          <w:highlight w:val="none"/>
          <w:u w:val="single"/>
          <w:lang w:val="en-US" w:eastAsia="zh-CN"/>
        </w:rPr>
        <w:t>30</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none"/>
        </w:rPr>
        <w:t>分</w:t>
      </w:r>
      <w:r>
        <w:rPr>
          <w:rFonts w:hint="eastAsia" w:ascii="宋体" w:hAnsi="宋体" w:eastAsia="宋体" w:cs="宋体"/>
          <w:bCs/>
          <w:color w:val="auto"/>
          <w:sz w:val="24"/>
          <w:szCs w:val="24"/>
          <w:highlight w:val="none"/>
        </w:rPr>
        <w:t>（北京时间）</w:t>
      </w:r>
    </w:p>
    <w:p w14:paraId="5E9C916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color w:val="auto"/>
          <w:highlight w:val="none"/>
        </w:rPr>
      </w:pPr>
      <w:r>
        <w:rPr>
          <w:rFonts w:hint="eastAsia" w:ascii="宋体" w:hAnsi="宋体" w:eastAsia="宋体" w:cs="宋体"/>
          <w:color w:val="auto"/>
          <w:sz w:val="24"/>
          <w:szCs w:val="24"/>
          <w:highlight w:val="none"/>
        </w:rPr>
        <w:t>地点：</w:t>
      </w:r>
      <w:r>
        <w:rPr>
          <w:rFonts w:hint="eastAsia" w:ascii="宋体" w:hAnsi="宋体" w:eastAsia="宋体" w:cs="宋体"/>
          <w:color w:val="auto"/>
          <w:sz w:val="24"/>
          <w:szCs w:val="24"/>
          <w:highlight w:val="none"/>
          <w:u w:val="single"/>
        </w:rPr>
        <w:t>网上开标，供应商登录滁州市城投工程咨询管理有限公司不见面开标系统参与网上开标(http://js.etrading.cn/EpointBidOpening/bidopeninghallaction/hall/login)</w:t>
      </w:r>
    </w:p>
    <w:p w14:paraId="1BC97293">
      <w:pPr>
        <w:spacing w:line="360" w:lineRule="auto"/>
        <w:ind w:firstLine="435"/>
        <w:outlineLvl w:val="1"/>
        <w:rPr>
          <w:rFonts w:hint="eastAsia"/>
          <w:b/>
          <w:bCs/>
          <w:color w:val="auto"/>
          <w:sz w:val="24"/>
          <w:highlight w:val="none"/>
        </w:rPr>
      </w:pPr>
      <w:bookmarkStart w:id="15" w:name="_Toc724"/>
      <w:r>
        <w:rPr>
          <w:rFonts w:hint="eastAsia"/>
          <w:b/>
          <w:bCs/>
          <w:color w:val="auto"/>
          <w:sz w:val="24"/>
          <w:highlight w:val="none"/>
          <w:lang w:val="en-US" w:eastAsia="zh-CN"/>
        </w:rPr>
        <w:t>六</w:t>
      </w:r>
      <w:r>
        <w:rPr>
          <w:rFonts w:hint="eastAsia"/>
          <w:b/>
          <w:bCs/>
          <w:color w:val="auto"/>
          <w:sz w:val="24"/>
          <w:highlight w:val="none"/>
        </w:rPr>
        <w:t>、</w:t>
      </w:r>
      <w:bookmarkEnd w:id="9"/>
      <w:r>
        <w:rPr>
          <w:rFonts w:hint="eastAsia"/>
          <w:b/>
          <w:bCs/>
          <w:color w:val="auto"/>
          <w:sz w:val="24"/>
          <w:highlight w:val="none"/>
        </w:rPr>
        <w:t>公告期限</w:t>
      </w:r>
      <w:bookmarkEnd w:id="15"/>
    </w:p>
    <w:p w14:paraId="7FF5D6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bookmarkStart w:id="16" w:name="_Toc7722"/>
      <w:r>
        <w:rPr>
          <w:rFonts w:hint="eastAsia" w:ascii="宋体" w:hAnsi="宋体" w:eastAsia="宋体" w:cs="宋体"/>
          <w:color w:val="auto"/>
          <w:sz w:val="24"/>
          <w:szCs w:val="24"/>
          <w:highlight w:val="none"/>
        </w:rPr>
        <w:t>自本公告发布之日起3个工作日。</w:t>
      </w:r>
    </w:p>
    <w:p w14:paraId="5F16125A">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rPr>
      </w:pPr>
      <w:bookmarkStart w:id="17" w:name="_Toc35393795"/>
      <w:bookmarkStart w:id="18" w:name="_Toc35393626"/>
      <w:bookmarkStart w:id="19" w:name="_Toc22869"/>
      <w:r>
        <w:rPr>
          <w:rFonts w:hint="eastAsia"/>
          <w:b/>
          <w:bCs/>
          <w:color w:val="auto"/>
          <w:sz w:val="24"/>
          <w:szCs w:val="18"/>
          <w:highlight w:val="none"/>
          <w:lang w:val="en-US" w:eastAsia="zh-CN"/>
        </w:rPr>
        <w:t>七</w:t>
      </w:r>
      <w:r>
        <w:rPr>
          <w:rFonts w:hint="eastAsia" w:ascii="宋体" w:hAnsi="宋体" w:eastAsia="宋体"/>
          <w:b/>
          <w:bCs/>
          <w:color w:val="auto"/>
          <w:sz w:val="24"/>
          <w:szCs w:val="18"/>
          <w:highlight w:val="none"/>
        </w:rPr>
        <w:t>、其他补充事宜</w:t>
      </w:r>
      <w:bookmarkEnd w:id="17"/>
      <w:bookmarkEnd w:id="18"/>
      <w:bookmarkEnd w:id="19"/>
    </w:p>
    <w:p w14:paraId="4A04AA95">
      <w:pPr>
        <w:pStyle w:val="19"/>
        <w:keepNext w:val="0"/>
        <w:keepLines w:val="0"/>
        <w:pageBreakBefore w:val="0"/>
        <w:widowControl w:val="0"/>
        <w:kinsoku/>
        <w:wordWrap w:val="0"/>
        <w:overflowPunct/>
        <w:topLinePunct w:val="0"/>
        <w:autoSpaceDE/>
        <w:autoSpaceDN/>
        <w:bidi w:val="0"/>
        <w:adjustRightInd/>
        <w:snapToGrid/>
        <w:spacing w:after="0" w:line="360" w:lineRule="auto"/>
        <w:ind w:firstLine="480" w:firstLineChars="200"/>
        <w:jc w:val="both"/>
        <w:textAlignment w:val="auto"/>
        <w:rPr>
          <w:rFonts w:hint="eastAsia" w:ascii="宋体" w:hAnsi="宋体" w:eastAsia="宋体"/>
          <w:b w:val="0"/>
          <w:bCs w:val="0"/>
          <w:color w:val="auto"/>
          <w:sz w:val="24"/>
          <w:szCs w:val="18"/>
          <w:highlight w:val="none"/>
        </w:rPr>
      </w:pPr>
      <w:r>
        <w:rPr>
          <w:rFonts w:hint="eastAsia" w:ascii="宋体" w:hAnsi="宋体" w:eastAsia="宋体"/>
          <w:color w:val="auto"/>
          <w:sz w:val="24"/>
          <w:szCs w:val="18"/>
          <w:highlight w:val="none"/>
          <w:lang w:val="en-US" w:eastAsia="zh-CN"/>
        </w:rPr>
        <w:t>1</w:t>
      </w:r>
      <w:r>
        <w:rPr>
          <w:rFonts w:hint="eastAsia" w:ascii="宋体" w:hAnsi="宋体" w:eastAsia="宋体"/>
          <w:color w:val="auto"/>
          <w:sz w:val="24"/>
          <w:szCs w:val="18"/>
          <w:highlight w:val="none"/>
        </w:rPr>
        <w:t>.</w:t>
      </w:r>
      <w:r>
        <w:rPr>
          <w:rFonts w:hint="eastAsia" w:ascii="宋体" w:hAnsi="宋体" w:eastAsia="宋体"/>
          <w:b w:val="0"/>
          <w:bCs w:val="0"/>
          <w:color w:val="auto"/>
          <w:sz w:val="24"/>
          <w:szCs w:val="18"/>
          <w:highlight w:val="none"/>
        </w:rPr>
        <w:t>本项目采用电子招投标方式，请供应商在“新点电子交易平台”办事指南下载“新点电子交易平台专用投标文件制作软件”，仔细阅读采购文件要求和相关操作手册，以免影响投标文件编制，因供应商未及时关注相关信息对投标造成的不利后果由其自行承担。投标软件制作工具下载：https://download.bqpoint.com/download/downloaddetail.html?SourceFrom=Ztb&amp;ZtbSoftXiaQuCode=0128&amp;ZtbSoftType=tballinclusive。</w:t>
      </w:r>
    </w:p>
    <w:p w14:paraId="6DE8D546">
      <w:pPr>
        <w:pStyle w:val="19"/>
        <w:keepNext w:val="0"/>
        <w:keepLines w:val="0"/>
        <w:pageBreakBefore w:val="0"/>
        <w:widowControl w:val="0"/>
        <w:kinsoku/>
        <w:wordWrap w:val="0"/>
        <w:overflowPunct/>
        <w:topLinePunct w:val="0"/>
        <w:autoSpaceDE/>
        <w:autoSpaceDN/>
        <w:bidi w:val="0"/>
        <w:adjustRightInd/>
        <w:snapToGrid/>
        <w:spacing w:after="0" w:line="360" w:lineRule="auto"/>
        <w:ind w:firstLine="480" w:firstLineChars="200"/>
        <w:jc w:val="both"/>
        <w:textAlignment w:val="auto"/>
        <w:rPr>
          <w:rFonts w:hint="eastAsia" w:ascii="宋体" w:hAnsi="宋体" w:eastAsia="宋体"/>
          <w:b w:val="0"/>
          <w:bCs w:val="0"/>
          <w:color w:val="auto"/>
          <w:sz w:val="24"/>
          <w:szCs w:val="18"/>
          <w:highlight w:val="none"/>
        </w:rPr>
      </w:pPr>
      <w:r>
        <w:rPr>
          <w:rFonts w:hint="eastAsia" w:ascii="宋体" w:hAnsi="宋体" w:eastAsia="宋体"/>
          <w:b w:val="0"/>
          <w:bCs w:val="0"/>
          <w:color w:val="auto"/>
          <w:sz w:val="24"/>
          <w:szCs w:val="18"/>
          <w:highlight w:val="none"/>
        </w:rPr>
        <w:t>2.请于公告发布之日起从滁州市城投工程咨询管理有限公司（https://www.czctgczx.com/）网站下载本项目采购文件，或从滁州市城投工程咨询管理有限公司（https://www.czctgczx.com/）网站，点击项目招标公告下方【我要投标】，登录新点电子交易平台后在【滁州专区】（https://www.etrading.cn/BREpointSSO/login/oauth2login?regioncode=DQ_ChuZhou）下载本项目采购文件。</w:t>
      </w:r>
    </w:p>
    <w:p w14:paraId="2FBA7114">
      <w:pPr>
        <w:pStyle w:val="19"/>
        <w:keepNext w:val="0"/>
        <w:keepLines w:val="0"/>
        <w:pageBreakBefore w:val="0"/>
        <w:widowControl w:val="0"/>
        <w:kinsoku/>
        <w:wordWrap w:val="0"/>
        <w:overflowPunct/>
        <w:topLinePunct w:val="0"/>
        <w:autoSpaceDE/>
        <w:autoSpaceDN/>
        <w:bidi w:val="0"/>
        <w:adjustRightInd/>
        <w:snapToGrid/>
        <w:spacing w:after="0" w:line="360" w:lineRule="auto"/>
        <w:ind w:firstLine="480" w:firstLineChars="200"/>
        <w:jc w:val="both"/>
        <w:textAlignment w:val="auto"/>
        <w:rPr>
          <w:rFonts w:hint="eastAsia" w:ascii="宋体" w:hAnsi="宋体" w:eastAsia="宋体"/>
          <w:b w:val="0"/>
          <w:bCs w:val="0"/>
          <w:color w:val="auto"/>
          <w:sz w:val="24"/>
          <w:szCs w:val="18"/>
          <w:highlight w:val="none"/>
        </w:rPr>
      </w:pPr>
      <w:r>
        <w:rPr>
          <w:rFonts w:hint="eastAsia" w:ascii="宋体" w:hAnsi="宋体" w:eastAsia="宋体"/>
          <w:b w:val="0"/>
          <w:bCs w:val="0"/>
          <w:color w:val="auto"/>
          <w:sz w:val="24"/>
          <w:szCs w:val="18"/>
          <w:highlight w:val="none"/>
        </w:rPr>
        <w:t>3.供应商参与</w:t>
      </w:r>
      <w:r>
        <w:rPr>
          <w:rFonts w:hint="eastAsia" w:ascii="宋体" w:hAnsi="宋体" w:eastAsia="宋体"/>
          <w:b w:val="0"/>
          <w:bCs w:val="0"/>
          <w:color w:val="auto"/>
          <w:sz w:val="24"/>
          <w:szCs w:val="18"/>
          <w:highlight w:val="none"/>
          <w:lang w:val="en-US" w:eastAsia="zh-CN"/>
        </w:rPr>
        <w:t>谈判</w:t>
      </w:r>
      <w:r>
        <w:rPr>
          <w:rFonts w:hint="eastAsia" w:ascii="宋体" w:hAnsi="宋体" w:eastAsia="宋体"/>
          <w:b w:val="0"/>
          <w:bCs w:val="0"/>
          <w:color w:val="auto"/>
          <w:sz w:val="24"/>
          <w:szCs w:val="18"/>
          <w:highlight w:val="none"/>
        </w:rPr>
        <w:t>的，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标正通使用相关问题请拨打服务电话：0512-58188013。</w:t>
      </w:r>
    </w:p>
    <w:p w14:paraId="53DA3E91">
      <w:pPr>
        <w:pStyle w:val="19"/>
        <w:keepNext w:val="0"/>
        <w:keepLines w:val="0"/>
        <w:pageBreakBefore w:val="0"/>
        <w:widowControl w:val="0"/>
        <w:kinsoku/>
        <w:wordWrap w:val="0"/>
        <w:overflowPunct/>
        <w:topLinePunct w:val="0"/>
        <w:autoSpaceDE/>
        <w:autoSpaceDN/>
        <w:bidi w:val="0"/>
        <w:adjustRightInd/>
        <w:snapToGrid/>
        <w:spacing w:after="0" w:line="360" w:lineRule="auto"/>
        <w:ind w:firstLine="480" w:firstLineChars="200"/>
        <w:jc w:val="both"/>
        <w:textAlignment w:val="auto"/>
        <w:rPr>
          <w:rFonts w:hint="eastAsia" w:ascii="宋体" w:hAnsi="宋体" w:eastAsia="宋体"/>
          <w:b w:val="0"/>
          <w:bCs w:val="0"/>
          <w:color w:val="auto"/>
          <w:sz w:val="24"/>
          <w:szCs w:val="18"/>
          <w:highlight w:val="none"/>
        </w:rPr>
      </w:pPr>
      <w:r>
        <w:rPr>
          <w:rFonts w:hint="eastAsia" w:ascii="宋体" w:hAnsi="宋体" w:eastAsia="宋体"/>
          <w:b w:val="0"/>
          <w:bCs w:val="0"/>
          <w:color w:val="auto"/>
          <w:sz w:val="24"/>
          <w:szCs w:val="18"/>
          <w:highlight w:val="none"/>
        </w:rPr>
        <w:t>4.供应商登录新点电子交易平台【滁州专区】获取采购文件及其它资料（含澄清和补充说明等）。如在采购文件获取过程中遇到系统问题，请拨打技术支持服务热线0512-58151515或者网站首页在线客服。供应商自行承担因未按要求获取采购文件导致无法上传电子响应文件的风险。</w:t>
      </w:r>
    </w:p>
    <w:p w14:paraId="0140C3EE">
      <w:pPr>
        <w:pStyle w:val="19"/>
        <w:keepNext w:val="0"/>
        <w:keepLines w:val="0"/>
        <w:pageBreakBefore w:val="0"/>
        <w:widowControl w:val="0"/>
        <w:kinsoku/>
        <w:wordWrap w:val="0"/>
        <w:overflowPunct/>
        <w:topLinePunct w:val="0"/>
        <w:autoSpaceDE/>
        <w:autoSpaceDN/>
        <w:bidi w:val="0"/>
        <w:adjustRightInd/>
        <w:snapToGrid/>
        <w:spacing w:after="0" w:line="360" w:lineRule="auto"/>
        <w:ind w:firstLine="480" w:firstLineChars="200"/>
        <w:jc w:val="both"/>
        <w:textAlignment w:val="auto"/>
        <w:rPr>
          <w:rFonts w:hint="eastAsia" w:ascii="宋体" w:hAnsi="宋体" w:eastAsia="宋体"/>
          <w:b w:val="0"/>
          <w:bCs w:val="0"/>
          <w:color w:val="auto"/>
          <w:sz w:val="24"/>
          <w:szCs w:val="18"/>
          <w:highlight w:val="none"/>
        </w:rPr>
      </w:pPr>
      <w:r>
        <w:rPr>
          <w:rFonts w:hint="eastAsia" w:ascii="宋体" w:hAnsi="宋体" w:eastAsia="宋体"/>
          <w:b w:val="0"/>
          <w:bCs w:val="0"/>
          <w:color w:val="auto"/>
          <w:sz w:val="24"/>
          <w:szCs w:val="18"/>
          <w:highlight w:val="none"/>
        </w:rPr>
        <w:t>5.本项目采用不见面开标，供应商登录滁州市城投工程咨询管理有限公司不见面开标系统参与网上开标（网址：http://js.etrading.cn/EpointBidOpening/bidopeninghallaction/hall/login）。</w:t>
      </w:r>
    </w:p>
    <w:p w14:paraId="635BA735">
      <w:pPr>
        <w:pStyle w:val="19"/>
        <w:keepNext w:val="0"/>
        <w:keepLines w:val="0"/>
        <w:pageBreakBefore w:val="0"/>
        <w:widowControl w:val="0"/>
        <w:kinsoku/>
        <w:wordWrap w:val="0"/>
        <w:overflowPunct/>
        <w:topLinePunct w:val="0"/>
        <w:autoSpaceDE/>
        <w:autoSpaceDN/>
        <w:bidi w:val="0"/>
        <w:adjustRightInd/>
        <w:snapToGrid/>
        <w:spacing w:after="0" w:line="360" w:lineRule="auto"/>
        <w:ind w:firstLine="480" w:firstLineChars="200"/>
        <w:jc w:val="both"/>
        <w:textAlignment w:val="auto"/>
        <w:rPr>
          <w:rFonts w:hint="eastAsia" w:ascii="宋体" w:hAnsi="宋体" w:eastAsia="宋体"/>
          <w:b w:val="0"/>
          <w:bCs w:val="0"/>
          <w:color w:val="auto"/>
          <w:sz w:val="24"/>
          <w:szCs w:val="18"/>
          <w:highlight w:val="none"/>
        </w:rPr>
      </w:pPr>
      <w:r>
        <w:rPr>
          <w:rFonts w:hint="eastAsia" w:ascii="宋体" w:hAnsi="宋体" w:eastAsia="宋体"/>
          <w:b w:val="0"/>
          <w:bCs w:val="0"/>
          <w:color w:val="auto"/>
          <w:sz w:val="24"/>
          <w:szCs w:val="18"/>
          <w:highlight w:val="none"/>
        </w:rPr>
        <w:t>6.供应商应在响应文件提交截止时间之前，登录新点电子交易平台【滁州专区】上传响应文件。供应商逾期上传响应文件的，电子系统不予受理。</w:t>
      </w:r>
    </w:p>
    <w:p w14:paraId="0E884EF4">
      <w:pPr>
        <w:pStyle w:val="19"/>
        <w:keepNext w:val="0"/>
        <w:keepLines w:val="0"/>
        <w:pageBreakBefore w:val="0"/>
        <w:widowControl w:val="0"/>
        <w:kinsoku/>
        <w:wordWrap w:val="0"/>
        <w:overflowPunct/>
        <w:topLinePunct w:val="0"/>
        <w:autoSpaceDE/>
        <w:autoSpaceDN/>
        <w:bidi w:val="0"/>
        <w:adjustRightInd/>
        <w:snapToGrid/>
        <w:spacing w:after="0" w:line="360" w:lineRule="auto"/>
        <w:ind w:firstLine="480" w:firstLineChars="200"/>
        <w:jc w:val="both"/>
        <w:textAlignment w:val="auto"/>
        <w:rPr>
          <w:rFonts w:hint="eastAsia" w:ascii="宋体" w:hAnsi="宋体" w:eastAsia="宋体"/>
          <w:b w:val="0"/>
          <w:bCs w:val="0"/>
          <w:color w:val="auto"/>
          <w:sz w:val="24"/>
          <w:szCs w:val="18"/>
          <w:highlight w:val="none"/>
        </w:rPr>
      </w:pPr>
      <w:r>
        <w:rPr>
          <w:rFonts w:hint="eastAsia" w:ascii="宋体" w:hAnsi="宋体" w:eastAsia="宋体"/>
          <w:b w:val="0"/>
          <w:bCs w:val="0"/>
          <w:color w:val="auto"/>
          <w:sz w:val="24"/>
          <w:szCs w:val="18"/>
          <w:highlight w:val="none"/>
        </w:rPr>
        <w:t>7.本项目开评标实行全流程电子化，在线完成开评标活动。开启时供应商无需到达开启现场，不接受现场解密，实行远程解密和在线询标。各供应商认真学习《新点电子交易平台投标人操作手册》，务必掌握远程解密方法和在线回复询标方法。</w:t>
      </w:r>
    </w:p>
    <w:p w14:paraId="79149291">
      <w:pPr>
        <w:pStyle w:val="19"/>
        <w:keepNext w:val="0"/>
        <w:keepLines w:val="0"/>
        <w:pageBreakBefore w:val="0"/>
        <w:widowControl w:val="0"/>
        <w:kinsoku/>
        <w:wordWrap w:val="0"/>
        <w:overflowPunct/>
        <w:topLinePunct w:val="0"/>
        <w:autoSpaceDE/>
        <w:autoSpaceDN/>
        <w:bidi w:val="0"/>
        <w:adjustRightInd/>
        <w:snapToGrid/>
        <w:spacing w:after="0" w:line="360" w:lineRule="auto"/>
        <w:ind w:firstLine="480" w:firstLineChars="200"/>
        <w:jc w:val="both"/>
        <w:textAlignment w:val="auto"/>
        <w:rPr>
          <w:rFonts w:hint="eastAsia" w:ascii="宋体" w:hAnsi="宋体" w:eastAsia="宋体"/>
          <w:color w:val="auto"/>
          <w:sz w:val="24"/>
          <w:szCs w:val="18"/>
          <w:highlight w:val="none"/>
          <w:lang w:val="en-US" w:eastAsia="zh-CN"/>
        </w:rPr>
      </w:pPr>
      <w:r>
        <w:rPr>
          <w:rFonts w:hint="eastAsia" w:ascii="宋体" w:hAnsi="宋体" w:eastAsia="宋体"/>
          <w:b w:val="0"/>
          <w:bCs w:val="0"/>
          <w:color w:val="auto"/>
          <w:sz w:val="24"/>
          <w:szCs w:val="18"/>
          <w:highlight w:val="none"/>
        </w:rPr>
        <w:t>8.供应商的联系人电话(手机)、电子邮箱等通讯方式在开启过程中必须保持畅通，否则因上述原因造成的后果，责任自负</w:t>
      </w:r>
      <w:r>
        <w:rPr>
          <w:rFonts w:hint="eastAsia" w:ascii="宋体" w:hAnsi="宋体" w:eastAsia="宋体"/>
          <w:b w:val="0"/>
          <w:bCs w:val="0"/>
          <w:color w:val="auto"/>
          <w:sz w:val="24"/>
          <w:szCs w:val="18"/>
          <w:highlight w:val="none"/>
          <w:lang w:eastAsia="zh-CN"/>
        </w:rPr>
        <w:t>。</w:t>
      </w:r>
    </w:p>
    <w:p w14:paraId="6DA454EC">
      <w:pPr>
        <w:spacing w:line="360" w:lineRule="auto"/>
        <w:ind w:firstLine="437"/>
        <w:outlineLvl w:val="1"/>
        <w:rPr>
          <w:b/>
          <w:bCs/>
          <w:color w:val="auto"/>
          <w:sz w:val="24"/>
          <w:szCs w:val="18"/>
          <w:highlight w:val="none"/>
        </w:rPr>
      </w:pPr>
      <w:bookmarkStart w:id="20" w:name="_Toc32298"/>
      <w:r>
        <w:rPr>
          <w:rFonts w:hint="eastAsia" w:asciiTheme="minorEastAsia" w:hAnsiTheme="minorEastAsia" w:eastAsiaTheme="minorEastAsia"/>
          <w:b/>
          <w:color w:val="auto"/>
          <w:sz w:val="24"/>
          <w:highlight w:val="none"/>
          <w:lang w:val="en-US" w:eastAsia="zh-CN"/>
        </w:rPr>
        <w:t>八</w:t>
      </w:r>
      <w:r>
        <w:rPr>
          <w:rFonts w:hint="eastAsia" w:asciiTheme="minorEastAsia" w:hAnsiTheme="minorEastAsia" w:eastAsiaTheme="minorEastAsia"/>
          <w:b/>
          <w:color w:val="auto"/>
          <w:sz w:val="24"/>
          <w:highlight w:val="none"/>
        </w:rPr>
        <w:t>、</w:t>
      </w:r>
      <w:bookmarkEnd w:id="16"/>
      <w:r>
        <w:rPr>
          <w:rFonts w:hint="eastAsia" w:ascii="宋体" w:hAnsi="宋体" w:eastAsia="宋体"/>
          <w:b/>
          <w:bCs/>
          <w:color w:val="auto"/>
          <w:sz w:val="24"/>
          <w:szCs w:val="18"/>
          <w:highlight w:val="none"/>
        </w:rPr>
        <w:t>对本次</w:t>
      </w:r>
      <w:r>
        <w:rPr>
          <w:rFonts w:hint="eastAsia"/>
          <w:b/>
          <w:bCs/>
          <w:color w:val="auto"/>
          <w:sz w:val="24"/>
          <w:szCs w:val="18"/>
          <w:highlight w:val="none"/>
          <w:lang w:val="en-US" w:eastAsia="zh-CN"/>
        </w:rPr>
        <w:t>采购</w:t>
      </w:r>
      <w:r>
        <w:rPr>
          <w:rFonts w:hint="eastAsia" w:ascii="宋体" w:hAnsi="宋体" w:eastAsia="宋体"/>
          <w:b/>
          <w:bCs/>
          <w:color w:val="auto"/>
          <w:sz w:val="24"/>
          <w:szCs w:val="18"/>
          <w:highlight w:val="none"/>
        </w:rPr>
        <w:t>提出询问，请按以下方式联系</w:t>
      </w:r>
      <w:bookmarkEnd w:id="20"/>
    </w:p>
    <w:p w14:paraId="3F522D12">
      <w:pPr>
        <w:spacing w:line="360" w:lineRule="auto"/>
        <w:ind w:firstLine="437"/>
        <w:outlineLvl w:val="2"/>
        <w:rPr>
          <w:rFonts w:hint="eastAsia" w:ascii="宋体" w:hAnsi="宋体" w:eastAsia="宋体"/>
          <w:color w:val="auto"/>
          <w:sz w:val="24"/>
          <w:szCs w:val="18"/>
          <w:highlight w:val="none"/>
          <w:lang w:val="en-US" w:eastAsia="zh-CN"/>
        </w:rPr>
      </w:pPr>
      <w:bookmarkStart w:id="21" w:name="_Toc13220"/>
      <w:r>
        <w:rPr>
          <w:rFonts w:hint="eastAsia" w:ascii="宋体" w:hAnsi="宋体" w:eastAsia="宋体"/>
          <w:color w:val="auto"/>
          <w:sz w:val="24"/>
          <w:szCs w:val="18"/>
          <w:highlight w:val="none"/>
        </w:rPr>
        <w:t>1.采购人</w:t>
      </w:r>
      <w:r>
        <w:rPr>
          <w:rFonts w:hint="eastAsia" w:ascii="宋体" w:hAnsi="宋体" w:eastAsia="宋体"/>
          <w:color w:val="auto"/>
          <w:sz w:val="24"/>
          <w:szCs w:val="18"/>
          <w:highlight w:val="none"/>
          <w:lang w:val="en-US" w:eastAsia="zh-CN"/>
        </w:rPr>
        <w:t>信息</w:t>
      </w:r>
    </w:p>
    <w:p w14:paraId="18F8547D">
      <w:pPr>
        <w:spacing w:line="360" w:lineRule="auto"/>
        <w:ind w:firstLine="435"/>
        <w:rPr>
          <w:rFonts w:hint="eastAsia" w:ascii="宋体" w:hAnsi="宋体" w:eastAsia="宋体"/>
          <w:color w:val="auto"/>
          <w:sz w:val="24"/>
          <w:szCs w:val="18"/>
          <w:highlight w:val="none"/>
          <w:lang w:eastAsia="zh-CN"/>
        </w:rPr>
      </w:pPr>
      <w:r>
        <w:rPr>
          <w:rFonts w:hint="eastAsia" w:ascii="宋体" w:hAnsi="宋体" w:eastAsia="宋体" w:cs="宋体"/>
          <w:color w:val="auto"/>
          <w:sz w:val="24"/>
          <w:szCs w:val="24"/>
          <w:highlight w:val="none"/>
          <w:lang w:val="en-US" w:eastAsia="zh-CN"/>
        </w:rPr>
        <w:t>名  称</w:t>
      </w:r>
      <w:r>
        <w:rPr>
          <w:rFonts w:hint="eastAsia" w:ascii="宋体" w:hAnsi="宋体" w:eastAsia="宋体"/>
          <w:color w:val="auto"/>
          <w:sz w:val="24"/>
          <w:szCs w:val="18"/>
          <w:highlight w:val="none"/>
        </w:rPr>
        <w:t>：</w:t>
      </w:r>
      <w:r>
        <w:rPr>
          <w:rFonts w:hint="eastAsia"/>
          <w:color w:val="auto"/>
          <w:sz w:val="24"/>
          <w:szCs w:val="18"/>
          <w:highlight w:val="none"/>
          <w:u w:val="single"/>
          <w:lang w:eastAsia="zh-CN"/>
        </w:rPr>
        <w:t>滁州市琅琊国有资产运营有限公司</w:t>
      </w:r>
    </w:p>
    <w:p w14:paraId="5808E84A">
      <w:pPr>
        <w:spacing w:line="360" w:lineRule="auto"/>
        <w:ind w:firstLine="435"/>
        <w:rPr>
          <w:rFonts w:ascii="宋体" w:hAnsi="宋体" w:eastAsia="宋体"/>
          <w:color w:val="auto"/>
          <w:sz w:val="24"/>
          <w:szCs w:val="18"/>
          <w:highlight w:val="none"/>
          <w:u w:val="single"/>
        </w:rPr>
      </w:pPr>
      <w:r>
        <w:rPr>
          <w:rFonts w:hint="eastAsia" w:ascii="宋体" w:hAnsi="宋体" w:eastAsia="宋体"/>
          <w:color w:val="auto"/>
          <w:sz w:val="24"/>
          <w:szCs w:val="18"/>
          <w:highlight w:val="none"/>
        </w:rPr>
        <w:t xml:space="preserve">地 </w:t>
      </w:r>
      <w:r>
        <w:rPr>
          <w:rFonts w:ascii="宋体" w:hAnsi="宋体" w:eastAsia="宋体"/>
          <w:color w:val="auto"/>
          <w:sz w:val="24"/>
          <w:szCs w:val="18"/>
          <w:highlight w:val="none"/>
        </w:rPr>
        <w:t xml:space="preserve"> </w:t>
      </w:r>
      <w:r>
        <w:rPr>
          <w:rFonts w:hint="eastAsia" w:ascii="宋体" w:hAnsi="宋体" w:eastAsia="宋体"/>
          <w:color w:val="auto"/>
          <w:sz w:val="24"/>
          <w:szCs w:val="18"/>
          <w:highlight w:val="none"/>
        </w:rPr>
        <w:t>址：</w:t>
      </w:r>
      <w:r>
        <w:rPr>
          <w:rFonts w:hint="eastAsia" w:ascii="宋体" w:hAnsi="宋体" w:eastAsia="宋体"/>
          <w:color w:val="auto"/>
          <w:sz w:val="24"/>
          <w:szCs w:val="18"/>
          <w:highlight w:val="none"/>
          <w:u w:val="single"/>
        </w:rPr>
        <w:t>滁州市琅琊区濠河路99号</w:t>
      </w:r>
    </w:p>
    <w:p w14:paraId="30E01B90">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联系人：</w:t>
      </w:r>
      <w:r>
        <w:rPr>
          <w:rFonts w:hint="eastAsia"/>
          <w:color w:val="auto"/>
          <w:sz w:val="24"/>
          <w:szCs w:val="18"/>
          <w:highlight w:val="none"/>
          <w:u w:val="single"/>
          <w:lang w:eastAsia="zh-CN"/>
        </w:rPr>
        <w:t>黎天畅</w:t>
      </w:r>
    </w:p>
    <w:p w14:paraId="7958FEC6">
      <w:pPr>
        <w:spacing w:line="360" w:lineRule="auto"/>
        <w:ind w:firstLine="435"/>
        <w:rPr>
          <w:rFonts w:hint="eastAsia" w:ascii="宋体" w:hAnsi="宋体" w:eastAsia="宋体"/>
          <w:color w:val="auto"/>
          <w:sz w:val="24"/>
          <w:szCs w:val="18"/>
          <w:highlight w:val="none"/>
          <w:lang w:eastAsia="zh-CN"/>
        </w:rPr>
      </w:pPr>
      <w:r>
        <w:rPr>
          <w:rFonts w:hint="eastAsia" w:ascii="宋体" w:hAnsi="宋体" w:eastAsia="宋体"/>
          <w:color w:val="auto"/>
          <w:sz w:val="24"/>
          <w:szCs w:val="18"/>
          <w:highlight w:val="none"/>
        </w:rPr>
        <w:t>联系</w:t>
      </w:r>
      <w:r>
        <w:rPr>
          <w:rFonts w:hint="eastAsia" w:ascii="宋体" w:hAnsi="宋体" w:eastAsia="宋体"/>
          <w:color w:val="auto"/>
          <w:sz w:val="24"/>
          <w:szCs w:val="18"/>
          <w:highlight w:val="none"/>
          <w:lang w:val="en-US" w:eastAsia="zh-CN"/>
        </w:rPr>
        <w:t>方式</w:t>
      </w:r>
      <w:r>
        <w:rPr>
          <w:rFonts w:hint="eastAsia" w:ascii="宋体" w:hAnsi="宋体" w:eastAsia="宋体"/>
          <w:color w:val="auto"/>
          <w:sz w:val="24"/>
          <w:szCs w:val="18"/>
          <w:highlight w:val="none"/>
        </w:rPr>
        <w:t>：</w:t>
      </w:r>
      <w:r>
        <w:rPr>
          <w:rFonts w:hint="eastAsia"/>
          <w:color w:val="auto"/>
          <w:sz w:val="24"/>
          <w:szCs w:val="18"/>
          <w:highlight w:val="none"/>
          <w:u w:val="single"/>
          <w:lang w:eastAsia="zh-CN"/>
        </w:rPr>
        <w:t>0550-3318150</w:t>
      </w:r>
    </w:p>
    <w:p w14:paraId="52C8D433">
      <w:pPr>
        <w:spacing w:line="360" w:lineRule="auto"/>
        <w:ind w:firstLine="437"/>
        <w:outlineLvl w:val="2"/>
        <w:rPr>
          <w:rFonts w:hint="eastAsia" w:ascii="宋体" w:hAnsi="宋体" w:eastAsia="宋体"/>
          <w:color w:val="auto"/>
          <w:sz w:val="24"/>
          <w:szCs w:val="18"/>
          <w:highlight w:val="none"/>
          <w:lang w:val="en-US" w:eastAsia="zh-CN"/>
        </w:rPr>
      </w:pPr>
      <w:r>
        <w:rPr>
          <w:rFonts w:ascii="宋体" w:hAnsi="宋体" w:eastAsia="宋体"/>
          <w:color w:val="auto"/>
          <w:sz w:val="24"/>
          <w:szCs w:val="18"/>
          <w:highlight w:val="none"/>
        </w:rPr>
        <w:t>2.采购代理机构</w:t>
      </w:r>
      <w:r>
        <w:rPr>
          <w:rFonts w:hint="eastAsia" w:ascii="宋体" w:hAnsi="宋体" w:eastAsia="宋体"/>
          <w:color w:val="auto"/>
          <w:sz w:val="24"/>
          <w:szCs w:val="18"/>
          <w:highlight w:val="none"/>
          <w:lang w:val="en-US" w:eastAsia="zh-CN"/>
        </w:rPr>
        <w:t>信息</w:t>
      </w:r>
    </w:p>
    <w:p w14:paraId="2588EECE">
      <w:pPr>
        <w:spacing w:line="360" w:lineRule="auto"/>
        <w:ind w:firstLine="435"/>
        <w:rPr>
          <w:rFonts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名  称</w:t>
      </w:r>
      <w:r>
        <w:rPr>
          <w:rFonts w:hint="eastAsia" w:ascii="宋体" w:hAnsi="宋体" w:eastAsia="宋体"/>
          <w:color w:val="auto"/>
          <w:sz w:val="24"/>
          <w:szCs w:val="18"/>
          <w:highlight w:val="none"/>
        </w:rPr>
        <w:t>：</w:t>
      </w:r>
      <w:r>
        <w:rPr>
          <w:rFonts w:hint="eastAsia" w:ascii="宋体" w:hAnsi="宋体" w:eastAsia="宋体"/>
          <w:color w:val="auto"/>
          <w:sz w:val="24"/>
          <w:szCs w:val="18"/>
          <w:highlight w:val="none"/>
          <w:u w:val="single"/>
        </w:rPr>
        <w:t>滁州市城投工程咨询管理有限公司</w:t>
      </w:r>
    </w:p>
    <w:p w14:paraId="0775996B">
      <w:pPr>
        <w:spacing w:line="360" w:lineRule="auto"/>
        <w:ind w:firstLine="435"/>
        <w:rPr>
          <w:rFonts w:ascii="宋体" w:hAnsi="宋体" w:eastAsia="宋体"/>
          <w:color w:val="auto"/>
          <w:sz w:val="24"/>
          <w:szCs w:val="18"/>
          <w:highlight w:val="none"/>
          <w:u w:val="single"/>
        </w:rPr>
      </w:pPr>
      <w:r>
        <w:rPr>
          <w:rFonts w:hint="eastAsia" w:ascii="宋体" w:hAnsi="宋体" w:eastAsia="宋体"/>
          <w:color w:val="auto"/>
          <w:sz w:val="24"/>
          <w:szCs w:val="18"/>
          <w:highlight w:val="none"/>
        </w:rPr>
        <w:t>地</w:t>
      </w:r>
      <w:r>
        <w:rPr>
          <w:rFonts w:ascii="宋体" w:hAnsi="宋体" w:eastAsia="宋体"/>
          <w:color w:val="auto"/>
          <w:sz w:val="24"/>
          <w:szCs w:val="18"/>
          <w:highlight w:val="none"/>
        </w:rPr>
        <w:t xml:space="preserve">  址：</w:t>
      </w:r>
      <w:r>
        <w:rPr>
          <w:rFonts w:hint="eastAsia" w:ascii="宋体" w:hAnsi="宋体" w:eastAsia="宋体"/>
          <w:color w:val="auto"/>
          <w:sz w:val="24"/>
          <w:szCs w:val="18"/>
          <w:highlight w:val="none"/>
          <w:u w:val="single"/>
        </w:rPr>
        <w:t>滁州市龙蟠大道房产商务大厦6楼605室</w:t>
      </w:r>
    </w:p>
    <w:p w14:paraId="6B8D1EBF">
      <w:pPr>
        <w:spacing w:line="360" w:lineRule="auto"/>
        <w:ind w:firstLine="435"/>
        <w:rPr>
          <w:rFonts w:hint="eastAsia" w:eastAsia="宋体"/>
          <w:color w:val="auto"/>
          <w:highlight w:val="none"/>
          <w:lang w:eastAsia="zh-CN"/>
        </w:rPr>
      </w:pPr>
      <w:r>
        <w:rPr>
          <w:rFonts w:hint="eastAsia" w:ascii="宋体" w:hAnsi="宋体" w:eastAsia="宋体"/>
          <w:color w:val="auto"/>
          <w:sz w:val="24"/>
          <w:szCs w:val="18"/>
          <w:highlight w:val="none"/>
          <w:lang w:val="en-US" w:eastAsia="zh-CN"/>
        </w:rPr>
        <w:t>联系人：</w:t>
      </w:r>
      <w:r>
        <w:rPr>
          <w:rFonts w:hint="eastAsia"/>
          <w:color w:val="auto"/>
          <w:sz w:val="24"/>
          <w:szCs w:val="18"/>
          <w:highlight w:val="none"/>
          <w:u w:val="single"/>
          <w:lang w:eastAsia="zh-CN"/>
        </w:rPr>
        <w:t>周晓培</w:t>
      </w:r>
    </w:p>
    <w:p w14:paraId="063C5C94">
      <w:pPr>
        <w:spacing w:line="360" w:lineRule="auto"/>
        <w:ind w:firstLine="435"/>
        <w:rPr>
          <w:color w:val="auto"/>
          <w:sz w:val="24"/>
          <w:szCs w:val="18"/>
          <w:highlight w:val="none"/>
        </w:rPr>
      </w:pPr>
      <w:r>
        <w:rPr>
          <w:rFonts w:hint="eastAsia" w:ascii="宋体" w:hAnsi="宋体" w:eastAsia="宋体"/>
          <w:color w:val="auto"/>
          <w:sz w:val="24"/>
          <w:szCs w:val="18"/>
          <w:highlight w:val="none"/>
        </w:rPr>
        <w:t>联系</w:t>
      </w:r>
      <w:r>
        <w:rPr>
          <w:rFonts w:hint="eastAsia" w:ascii="宋体" w:hAnsi="宋体" w:eastAsia="宋体"/>
          <w:color w:val="auto"/>
          <w:sz w:val="24"/>
          <w:szCs w:val="18"/>
          <w:highlight w:val="none"/>
          <w:lang w:val="en-US" w:eastAsia="zh-CN"/>
        </w:rPr>
        <w:t>方式</w:t>
      </w:r>
      <w:r>
        <w:rPr>
          <w:rFonts w:hint="eastAsia" w:ascii="宋体" w:hAnsi="宋体" w:eastAsia="宋体"/>
          <w:color w:val="auto"/>
          <w:sz w:val="24"/>
          <w:szCs w:val="18"/>
          <w:highlight w:val="none"/>
        </w:rPr>
        <w:t>：</w:t>
      </w:r>
      <w:r>
        <w:rPr>
          <w:rFonts w:hint="eastAsia"/>
          <w:color w:val="auto"/>
          <w:sz w:val="24"/>
          <w:szCs w:val="18"/>
          <w:highlight w:val="none"/>
          <w:u w:val="single"/>
          <w:lang w:eastAsia="zh-CN"/>
        </w:rPr>
        <w:t>0550-3519512</w:t>
      </w:r>
      <w:r>
        <w:rPr>
          <w:rFonts w:hint="eastAsia" w:ascii="宋体" w:hAnsi="宋体" w:eastAsia="宋体"/>
          <w:color w:val="auto"/>
          <w:sz w:val="24"/>
          <w:szCs w:val="18"/>
          <w:highlight w:val="none"/>
          <w:u w:val="single"/>
        </w:rPr>
        <w:t>、</w:t>
      </w:r>
      <w:r>
        <w:rPr>
          <w:rFonts w:hint="eastAsia"/>
          <w:color w:val="auto"/>
          <w:sz w:val="24"/>
          <w:szCs w:val="18"/>
          <w:highlight w:val="none"/>
          <w:u w:val="single"/>
          <w:lang w:eastAsia="zh-CN"/>
        </w:rPr>
        <w:t>18255055896</w:t>
      </w:r>
      <w:bookmarkEnd w:id="21"/>
      <w:r>
        <w:rPr>
          <w:color w:val="auto"/>
          <w:sz w:val="24"/>
          <w:szCs w:val="18"/>
          <w:highlight w:val="none"/>
        </w:rPr>
        <w:br w:type="page"/>
      </w:r>
    </w:p>
    <w:p w14:paraId="0ADAE945">
      <w:pPr>
        <w:spacing w:line="360" w:lineRule="auto"/>
        <w:jc w:val="center"/>
        <w:outlineLvl w:val="0"/>
        <w:rPr>
          <w:rFonts w:asciiTheme="minorEastAsia" w:hAnsiTheme="minorEastAsia" w:eastAsiaTheme="minorEastAsia"/>
          <w:b/>
          <w:color w:val="auto"/>
          <w:sz w:val="28"/>
          <w:highlight w:val="none"/>
        </w:rPr>
      </w:pPr>
      <w:bookmarkStart w:id="22" w:name="_Toc32399"/>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供应商</w:t>
      </w:r>
      <w:r>
        <w:rPr>
          <w:rFonts w:asciiTheme="minorEastAsia" w:hAnsiTheme="minorEastAsia" w:eastAsiaTheme="minorEastAsia"/>
          <w:b/>
          <w:color w:val="auto"/>
          <w:sz w:val="28"/>
          <w:highlight w:val="none"/>
        </w:rPr>
        <w:t>须知</w:t>
      </w:r>
      <w:bookmarkEnd w:id="22"/>
    </w:p>
    <w:p w14:paraId="6A6555EE">
      <w:pPr>
        <w:spacing w:line="360" w:lineRule="auto"/>
        <w:jc w:val="center"/>
        <w:outlineLvl w:val="1"/>
        <w:rPr>
          <w:rFonts w:asciiTheme="minorEastAsia" w:hAnsiTheme="minorEastAsia" w:eastAsiaTheme="minorEastAsia"/>
          <w:b/>
          <w:color w:val="auto"/>
          <w:sz w:val="24"/>
          <w:highlight w:val="none"/>
        </w:rPr>
      </w:pPr>
      <w:bookmarkStart w:id="23" w:name="_Toc14562"/>
      <w:bookmarkStart w:id="24" w:name="_Toc8634"/>
      <w:r>
        <w:rPr>
          <w:rFonts w:hint="eastAsia" w:asciiTheme="minorEastAsia" w:hAnsiTheme="minorEastAsia" w:eastAsiaTheme="minorEastAsia"/>
          <w:b/>
          <w:color w:val="auto"/>
          <w:sz w:val="24"/>
          <w:highlight w:val="none"/>
        </w:rPr>
        <w:t>一、供应商</w:t>
      </w:r>
      <w:r>
        <w:rPr>
          <w:rFonts w:asciiTheme="minorEastAsia" w:hAnsiTheme="minorEastAsia" w:eastAsiaTheme="minorEastAsia"/>
          <w:b/>
          <w:color w:val="auto"/>
          <w:sz w:val="24"/>
          <w:highlight w:val="none"/>
        </w:rPr>
        <w:t>须知前附表</w:t>
      </w:r>
      <w:bookmarkEnd w:id="23"/>
      <w:bookmarkEnd w:id="24"/>
    </w:p>
    <w:p w14:paraId="116407B0">
      <w:pPr>
        <w:spacing w:line="360" w:lineRule="auto"/>
        <w:ind w:firstLine="435"/>
        <w:rPr>
          <w:color w:val="auto"/>
          <w:sz w:val="24"/>
          <w:szCs w:val="18"/>
          <w:highlight w:val="none"/>
        </w:rPr>
      </w:pPr>
      <w:r>
        <w:rPr>
          <w:rFonts w:hint="eastAsia"/>
          <w:b/>
          <w:bCs/>
          <w:color w:val="auto"/>
          <w:sz w:val="24"/>
          <w:szCs w:val="18"/>
          <w:highlight w:val="none"/>
        </w:rPr>
        <w:t>注：</w:t>
      </w:r>
      <w:r>
        <w:rPr>
          <w:rFonts w:hint="eastAsia"/>
          <w:color w:val="auto"/>
          <w:sz w:val="24"/>
          <w:szCs w:val="18"/>
          <w:highlight w:val="none"/>
        </w:rPr>
        <w:t>本表是本项目的具体要求，是对供应商须知的具体补充和修改，如有不一致，以本表为准。</w:t>
      </w:r>
    </w:p>
    <w:tbl>
      <w:tblPr>
        <w:tblStyle w:val="55"/>
        <w:tblW w:w="51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5"/>
        <w:gridCol w:w="1756"/>
        <w:gridCol w:w="6393"/>
      </w:tblGrid>
      <w:tr w14:paraId="01096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09C7EBDE">
            <w:pPr>
              <w:pStyle w:val="76"/>
              <w:widowControl w:val="0"/>
              <w:spacing w:before="0" w:beforeAutospacing="0" w:after="0" w:afterAutospacing="0" w:line="360" w:lineRule="auto"/>
              <w:rPr>
                <w:bCs w:val="0"/>
                <w:color w:val="auto"/>
                <w:kern w:val="2"/>
                <w:sz w:val="24"/>
                <w:szCs w:val="20"/>
                <w:highlight w:val="none"/>
              </w:rPr>
            </w:pPr>
            <w:r>
              <w:rPr>
                <w:rFonts w:hint="eastAsia"/>
                <w:bCs w:val="0"/>
                <w:color w:val="auto"/>
                <w:kern w:val="2"/>
                <w:sz w:val="24"/>
                <w:szCs w:val="20"/>
                <w:highlight w:val="none"/>
              </w:rPr>
              <w:t>条款号</w:t>
            </w:r>
          </w:p>
        </w:tc>
        <w:tc>
          <w:tcPr>
            <w:tcW w:w="977" w:type="pct"/>
            <w:vAlign w:val="center"/>
          </w:tcPr>
          <w:p w14:paraId="0C91C4C0">
            <w:pPr>
              <w:pStyle w:val="76"/>
              <w:widowControl w:val="0"/>
              <w:spacing w:before="0" w:beforeAutospacing="0" w:after="0" w:afterAutospacing="0" w:line="360" w:lineRule="auto"/>
              <w:rPr>
                <w:bCs w:val="0"/>
                <w:color w:val="auto"/>
                <w:kern w:val="2"/>
                <w:sz w:val="24"/>
                <w:szCs w:val="20"/>
                <w:highlight w:val="none"/>
              </w:rPr>
            </w:pPr>
            <w:r>
              <w:rPr>
                <w:rFonts w:hint="eastAsia"/>
                <w:bCs w:val="0"/>
                <w:color w:val="auto"/>
                <w:kern w:val="2"/>
                <w:sz w:val="24"/>
                <w:szCs w:val="20"/>
                <w:highlight w:val="none"/>
              </w:rPr>
              <w:t>条款名称</w:t>
            </w:r>
          </w:p>
        </w:tc>
        <w:tc>
          <w:tcPr>
            <w:tcW w:w="3556" w:type="pct"/>
            <w:vAlign w:val="center"/>
          </w:tcPr>
          <w:p w14:paraId="3F211920">
            <w:pPr>
              <w:pStyle w:val="76"/>
              <w:widowControl w:val="0"/>
              <w:spacing w:before="0" w:beforeAutospacing="0" w:after="0" w:afterAutospacing="0" w:line="360" w:lineRule="auto"/>
              <w:rPr>
                <w:bCs w:val="0"/>
                <w:color w:val="auto"/>
                <w:kern w:val="2"/>
                <w:sz w:val="24"/>
                <w:szCs w:val="20"/>
                <w:highlight w:val="none"/>
              </w:rPr>
            </w:pPr>
            <w:r>
              <w:rPr>
                <w:rFonts w:hint="eastAsia"/>
                <w:bCs w:val="0"/>
                <w:color w:val="auto"/>
                <w:kern w:val="2"/>
                <w:sz w:val="24"/>
                <w:szCs w:val="20"/>
                <w:highlight w:val="none"/>
              </w:rPr>
              <w:t>内容、说明与要求</w:t>
            </w:r>
          </w:p>
        </w:tc>
      </w:tr>
      <w:tr w14:paraId="463C2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748A085E">
            <w:pPr>
              <w:pStyle w:val="77"/>
              <w:pBdr>
                <w:bottom w:val="none" w:color="auto" w:sz="0" w:space="0"/>
              </w:pBdr>
              <w:tabs>
                <w:tab w:val="clear" w:pos="4153"/>
                <w:tab w:val="clear" w:pos="8306"/>
              </w:tabs>
              <w:adjustRightInd/>
              <w:spacing w:line="360" w:lineRule="auto"/>
              <w:textAlignment w:val="auto"/>
              <w:rPr>
                <w:rFonts w:hint="eastAsia" w:eastAsia="宋体"/>
                <w:bCs/>
                <w:color w:val="auto"/>
                <w:kern w:val="2"/>
                <w:highlight w:val="none"/>
                <w:lang w:eastAsia="zh-CN"/>
              </w:rPr>
            </w:pPr>
            <w:r>
              <w:rPr>
                <w:rFonts w:hint="eastAsia"/>
                <w:bCs/>
                <w:color w:val="auto"/>
                <w:kern w:val="2"/>
                <w:highlight w:val="none"/>
                <w:lang w:val="en-US" w:eastAsia="zh-CN"/>
              </w:rPr>
              <w:t>5</w:t>
            </w:r>
            <w:r>
              <w:rPr>
                <w:bCs/>
                <w:color w:val="auto"/>
                <w:kern w:val="2"/>
                <w:highlight w:val="none"/>
              </w:rPr>
              <w:t>.</w:t>
            </w:r>
            <w:r>
              <w:rPr>
                <w:rFonts w:hint="eastAsia"/>
                <w:bCs/>
                <w:color w:val="auto"/>
                <w:kern w:val="2"/>
                <w:highlight w:val="none"/>
                <w:lang w:val="en-US" w:eastAsia="zh-CN"/>
              </w:rPr>
              <w:t>2</w:t>
            </w:r>
          </w:p>
        </w:tc>
        <w:tc>
          <w:tcPr>
            <w:tcW w:w="977" w:type="pct"/>
            <w:vAlign w:val="center"/>
          </w:tcPr>
          <w:p w14:paraId="51F58959">
            <w:pPr>
              <w:pStyle w:val="76"/>
              <w:widowControl w:val="0"/>
              <w:spacing w:before="0" w:beforeAutospacing="0" w:after="0" w:afterAutospacing="0" w:line="360" w:lineRule="auto"/>
              <w:jc w:val="left"/>
              <w:rPr>
                <w:b w:val="0"/>
                <w:color w:val="auto"/>
                <w:sz w:val="24"/>
                <w:highlight w:val="none"/>
              </w:rPr>
            </w:pPr>
            <w:r>
              <w:rPr>
                <w:rFonts w:hint="eastAsia" w:ascii="宋体" w:hAnsi="宋体" w:eastAsia="宋体" w:cs="@仿宋_GB2312"/>
                <w:b w:val="0"/>
                <w:bCs/>
                <w:color w:val="auto"/>
                <w:kern w:val="2"/>
                <w:sz w:val="24"/>
                <w:szCs w:val="22"/>
                <w:highlight w:val="none"/>
                <w:lang w:val="en-US" w:eastAsia="zh-CN" w:bidi="ar-SA"/>
              </w:rPr>
              <w:t>现场考察或标前答疑会</w:t>
            </w:r>
          </w:p>
        </w:tc>
        <w:tc>
          <w:tcPr>
            <w:tcW w:w="3556" w:type="pct"/>
            <w:vAlign w:val="center"/>
          </w:tcPr>
          <w:p w14:paraId="62339049">
            <w:pPr>
              <w:spacing w:line="360" w:lineRule="auto"/>
              <w:rPr>
                <w:rFonts w:ascii="宋体" w:hAnsi="宋体" w:eastAsia="宋体"/>
                <w:bCs/>
                <w:color w:val="auto"/>
                <w:sz w:val="24"/>
                <w:highlight w:val="none"/>
              </w:rPr>
            </w:pPr>
            <w:r>
              <w:rPr>
                <w:rFonts w:hint="eastAsia"/>
                <w:bCs/>
                <w:color w:val="auto"/>
                <w:sz w:val="24"/>
                <w:szCs w:val="24"/>
                <w:highlight w:val="none"/>
                <w:lang w:eastAsia="zh-CN"/>
              </w:rPr>
              <w:t>☑</w:t>
            </w: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67B60B1B">
            <w:pPr>
              <w:spacing w:line="360" w:lineRule="auto"/>
              <w:rPr>
                <w:rFonts w:ascii="宋体" w:hAnsi="宋体" w:eastAsia="宋体"/>
                <w:bCs/>
                <w:color w:val="auto"/>
                <w:sz w:val="24"/>
                <w:highlight w:val="none"/>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w:t>
            </w:r>
          </w:p>
          <w:p w14:paraId="7D8B3B48">
            <w:pPr>
              <w:spacing w:line="360" w:lineRule="auto"/>
              <w:rPr>
                <w:rFonts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u w:val="single"/>
              </w:rPr>
              <w:t xml:space="preserve"> </w:t>
            </w:r>
            <w:r>
              <w:rPr>
                <w:rFonts w:hint="eastAsia"/>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u w:val="single"/>
              </w:rPr>
              <w:t xml:space="preserve"> </w:t>
            </w:r>
            <w:r>
              <w:rPr>
                <w:rFonts w:hint="eastAsia"/>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u w:val="single"/>
              </w:rPr>
              <w:t xml:space="preserve"> </w:t>
            </w:r>
            <w:r>
              <w:rPr>
                <w:rFonts w:hint="eastAsia"/>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u w:val="single"/>
              </w:rPr>
              <w:t xml:space="preserve"> </w:t>
            </w:r>
            <w:r>
              <w:rPr>
                <w:rFonts w:hint="eastAsia"/>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u w:val="single"/>
              </w:rPr>
              <w:t xml:space="preserve"> </w:t>
            </w:r>
            <w:r>
              <w:rPr>
                <w:rFonts w:hint="eastAsia"/>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分</w:t>
            </w:r>
          </w:p>
          <w:p w14:paraId="39A1A200">
            <w:pPr>
              <w:spacing w:line="360" w:lineRule="auto"/>
              <w:rPr>
                <w:rFonts w:ascii="宋体" w:hAnsi="宋体" w:eastAsia="宋体"/>
                <w:bCs/>
                <w:color w:val="auto"/>
                <w:sz w:val="24"/>
                <w:highlight w:val="none"/>
                <w:u w:val="single"/>
              </w:rPr>
            </w:pPr>
            <w:r>
              <w:rPr>
                <w:rFonts w:hint="eastAsia" w:ascii="宋体" w:hAnsi="宋体" w:eastAsia="宋体"/>
                <w:bCs/>
                <w:color w:val="auto"/>
                <w:sz w:val="24"/>
                <w:highlight w:val="none"/>
              </w:rPr>
              <w:t>地点：</w:t>
            </w:r>
            <w:r>
              <w:rPr>
                <w:rFonts w:hint="eastAsia" w:ascii="宋体" w:hAnsi="宋体" w:eastAsia="宋体"/>
                <w:bCs/>
                <w:color w:val="auto"/>
                <w:sz w:val="24"/>
                <w:highlight w:val="none"/>
                <w:u w:val="single"/>
              </w:rPr>
              <w:t xml:space="preserve"> </w:t>
            </w:r>
            <w:r>
              <w:rPr>
                <w:rFonts w:hint="eastAsia"/>
                <w:bCs/>
                <w:color w:val="auto"/>
                <w:sz w:val="24"/>
                <w:highlight w:val="none"/>
                <w:u w:val="single"/>
                <w:lang w:val="en-US" w:eastAsia="zh-CN"/>
              </w:rPr>
              <w:t>/</w:t>
            </w:r>
            <w:r>
              <w:rPr>
                <w:rFonts w:ascii="宋体" w:hAnsi="宋体" w:eastAsia="宋体"/>
                <w:bCs/>
                <w:color w:val="auto"/>
                <w:sz w:val="24"/>
                <w:highlight w:val="none"/>
                <w:u w:val="single"/>
              </w:rPr>
              <w:t xml:space="preserve">                    </w:t>
            </w:r>
          </w:p>
          <w:p w14:paraId="2A0163D2">
            <w:pPr>
              <w:spacing w:line="360" w:lineRule="auto"/>
              <w:rPr>
                <w:rFonts w:ascii="宋体" w:hAnsi="宋体" w:eastAsia="宋体"/>
                <w:bCs/>
                <w:color w:val="auto"/>
                <w:sz w:val="24"/>
                <w:highlight w:val="none"/>
                <w:u w:val="single"/>
              </w:rPr>
            </w:pPr>
            <w:r>
              <w:rPr>
                <w:rFonts w:hint="eastAsia" w:ascii="宋体" w:hAnsi="宋体" w:eastAsia="宋体"/>
                <w:bCs/>
                <w:color w:val="auto"/>
                <w:sz w:val="24"/>
                <w:highlight w:val="none"/>
              </w:rPr>
              <w:t>联系人及联系电话：</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bCs/>
                <w:color w:val="auto"/>
                <w:sz w:val="24"/>
                <w:highlight w:val="none"/>
                <w:u w:val="single"/>
                <w:lang w:val="en-US" w:eastAsia="zh-CN"/>
              </w:rPr>
              <w:t xml:space="preserve">/ </w:t>
            </w:r>
            <w:r>
              <w:rPr>
                <w:rFonts w:ascii="宋体" w:hAnsi="宋体" w:eastAsia="宋体"/>
                <w:bCs/>
                <w:color w:val="auto"/>
                <w:sz w:val="24"/>
                <w:highlight w:val="none"/>
                <w:u w:val="single"/>
              </w:rPr>
              <w:t xml:space="preserve">     </w:t>
            </w:r>
          </w:p>
          <w:p w14:paraId="71A7C695">
            <w:pPr>
              <w:pStyle w:val="76"/>
              <w:widowControl w:val="0"/>
              <w:spacing w:before="0" w:beforeAutospacing="0" w:after="0" w:afterAutospacing="0" w:line="360" w:lineRule="auto"/>
              <w:jc w:val="both"/>
              <w:rPr>
                <w:color w:val="auto"/>
                <w:sz w:val="24"/>
                <w:highlight w:val="none"/>
              </w:rPr>
            </w:pPr>
            <w:r>
              <w:rPr>
                <w:rFonts w:hint="eastAsia" w:ascii="宋体" w:hAnsi="宋体" w:eastAsia="宋体"/>
                <w:bCs w:val="0"/>
                <w:color w:val="auto"/>
                <w:sz w:val="24"/>
                <w:highlight w:val="none"/>
                <w:lang w:eastAsia="zh-CN"/>
              </w:rPr>
              <w:t>注：</w:t>
            </w:r>
            <w:r>
              <w:rPr>
                <w:rFonts w:hint="eastAsia" w:ascii="宋体" w:hAnsi="宋体" w:eastAsia="宋体"/>
                <w:bCs w:val="0"/>
                <w:color w:val="auto"/>
                <w:sz w:val="24"/>
                <w:highlight w:val="none"/>
              </w:rPr>
              <w:t>如供应商未参加采购人统一组织的现场考察</w:t>
            </w:r>
            <w:r>
              <w:rPr>
                <w:rFonts w:hint="eastAsia" w:ascii="宋体" w:hAnsi="宋体" w:eastAsia="宋体"/>
                <w:bCs w:val="0"/>
                <w:color w:val="auto"/>
                <w:sz w:val="24"/>
                <w:highlight w:val="none"/>
                <w:lang w:val="en-US" w:eastAsia="zh-CN"/>
              </w:rPr>
              <w:t>或采购人统一召开的标前答疑会</w:t>
            </w:r>
            <w:r>
              <w:rPr>
                <w:rFonts w:hint="eastAsia" w:ascii="宋体" w:hAnsi="宋体" w:eastAsia="宋体"/>
                <w:bCs w:val="0"/>
                <w:color w:val="auto"/>
                <w:sz w:val="24"/>
                <w:highlight w:val="none"/>
              </w:rPr>
              <w:t>，视同放弃现场考察</w:t>
            </w:r>
            <w:r>
              <w:rPr>
                <w:rFonts w:hint="eastAsia" w:ascii="宋体" w:hAnsi="宋体" w:eastAsia="宋体"/>
                <w:bCs w:val="0"/>
                <w:color w:val="auto"/>
                <w:sz w:val="24"/>
                <w:highlight w:val="none"/>
                <w:lang w:val="en-US" w:eastAsia="zh-CN"/>
              </w:rPr>
              <w:t>或标前答疑会</w:t>
            </w:r>
            <w:r>
              <w:rPr>
                <w:rFonts w:hint="eastAsia" w:ascii="宋体" w:hAnsi="宋体" w:eastAsia="宋体"/>
                <w:bCs w:val="0"/>
                <w:color w:val="auto"/>
                <w:sz w:val="24"/>
                <w:highlight w:val="none"/>
              </w:rPr>
              <w:t>，由此引起的一切责任由供应商自行承担。</w:t>
            </w:r>
          </w:p>
        </w:tc>
      </w:tr>
      <w:tr w14:paraId="11435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406FDED0">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lang w:val="en-US" w:eastAsia="zh-CN"/>
              </w:rPr>
              <w:t>6</w:t>
            </w:r>
            <w:r>
              <w:rPr>
                <w:bCs/>
                <w:color w:val="auto"/>
                <w:kern w:val="2"/>
                <w:highlight w:val="none"/>
              </w:rPr>
              <w:t>.1</w:t>
            </w:r>
          </w:p>
        </w:tc>
        <w:tc>
          <w:tcPr>
            <w:tcW w:w="977" w:type="pct"/>
            <w:vAlign w:val="center"/>
          </w:tcPr>
          <w:p w14:paraId="59C3BDCB">
            <w:pPr>
              <w:pStyle w:val="76"/>
              <w:widowControl w:val="0"/>
              <w:spacing w:before="0" w:beforeAutospacing="0" w:after="0" w:afterAutospacing="0" w:line="360" w:lineRule="auto"/>
              <w:jc w:val="left"/>
              <w:rPr>
                <w:b w:val="0"/>
                <w:color w:val="auto"/>
                <w:sz w:val="24"/>
                <w:highlight w:val="none"/>
              </w:rPr>
            </w:pPr>
            <w:r>
              <w:rPr>
                <w:rFonts w:hint="eastAsia"/>
                <w:b w:val="0"/>
                <w:color w:val="auto"/>
                <w:sz w:val="24"/>
                <w:highlight w:val="none"/>
              </w:rPr>
              <w:t>网上询问截止时间</w:t>
            </w:r>
          </w:p>
        </w:tc>
        <w:tc>
          <w:tcPr>
            <w:tcW w:w="3556" w:type="pct"/>
            <w:vAlign w:val="center"/>
          </w:tcPr>
          <w:p w14:paraId="30BC76A3">
            <w:pPr>
              <w:pStyle w:val="76"/>
              <w:widowControl w:val="0"/>
              <w:spacing w:before="0" w:beforeAutospacing="0" w:after="0" w:afterAutospacing="0" w:line="360" w:lineRule="auto"/>
              <w:jc w:val="both"/>
              <w:rPr>
                <w:b w:val="0"/>
                <w:color w:val="auto"/>
                <w:sz w:val="24"/>
                <w:highlight w:val="none"/>
              </w:rPr>
            </w:pPr>
            <w:r>
              <w:rPr>
                <w:b w:val="0"/>
                <w:color w:val="auto"/>
                <w:sz w:val="24"/>
                <w:highlight w:val="none"/>
                <w:u w:val="single"/>
              </w:rPr>
              <w:t xml:space="preserve"> </w:t>
            </w:r>
            <w:r>
              <w:rPr>
                <w:rFonts w:hint="eastAsia"/>
                <w:b w:val="0"/>
                <w:color w:val="auto"/>
                <w:sz w:val="24"/>
                <w:highlight w:val="none"/>
                <w:u w:val="single"/>
                <w:lang w:val="en-US" w:eastAsia="zh-CN"/>
              </w:rPr>
              <w:t>2026</w:t>
            </w:r>
            <w:r>
              <w:rPr>
                <w:b w:val="0"/>
                <w:color w:val="auto"/>
                <w:sz w:val="24"/>
                <w:highlight w:val="none"/>
                <w:u w:val="single"/>
              </w:rPr>
              <w:t xml:space="preserve"> </w:t>
            </w:r>
            <w:r>
              <w:rPr>
                <w:b w:val="0"/>
                <w:color w:val="auto"/>
                <w:sz w:val="24"/>
                <w:highlight w:val="none"/>
              </w:rPr>
              <w:t>年</w:t>
            </w:r>
            <w:r>
              <w:rPr>
                <w:b w:val="0"/>
                <w:color w:val="auto"/>
                <w:sz w:val="24"/>
                <w:highlight w:val="none"/>
                <w:u w:val="single"/>
              </w:rPr>
              <w:t xml:space="preserve"> </w:t>
            </w:r>
            <w:r>
              <w:rPr>
                <w:rFonts w:hint="eastAsia"/>
                <w:b w:val="0"/>
                <w:color w:val="auto"/>
                <w:sz w:val="24"/>
                <w:highlight w:val="none"/>
                <w:u w:val="single"/>
                <w:lang w:val="en-US" w:eastAsia="zh-CN"/>
              </w:rPr>
              <w:t>11</w:t>
            </w:r>
            <w:r>
              <w:rPr>
                <w:b w:val="0"/>
                <w:color w:val="auto"/>
                <w:sz w:val="24"/>
                <w:highlight w:val="none"/>
                <w:u w:val="single"/>
              </w:rPr>
              <w:t xml:space="preserve"> </w:t>
            </w:r>
            <w:r>
              <w:rPr>
                <w:b w:val="0"/>
                <w:color w:val="auto"/>
                <w:sz w:val="24"/>
                <w:highlight w:val="none"/>
              </w:rPr>
              <w:t>月</w:t>
            </w:r>
            <w:r>
              <w:rPr>
                <w:b w:val="0"/>
                <w:color w:val="auto"/>
                <w:sz w:val="24"/>
                <w:highlight w:val="none"/>
                <w:u w:val="single"/>
              </w:rPr>
              <w:t xml:space="preserve"> </w:t>
            </w:r>
            <w:r>
              <w:rPr>
                <w:rFonts w:hint="eastAsia"/>
                <w:b w:val="0"/>
                <w:color w:val="auto"/>
                <w:sz w:val="24"/>
                <w:highlight w:val="none"/>
                <w:u w:val="single"/>
                <w:lang w:val="en-US" w:eastAsia="zh-CN"/>
              </w:rPr>
              <w:t>5</w:t>
            </w:r>
            <w:r>
              <w:rPr>
                <w:b w:val="0"/>
                <w:color w:val="auto"/>
                <w:sz w:val="24"/>
                <w:highlight w:val="none"/>
                <w:u w:val="single"/>
              </w:rPr>
              <w:t xml:space="preserve"> </w:t>
            </w:r>
            <w:r>
              <w:rPr>
                <w:b w:val="0"/>
                <w:color w:val="auto"/>
                <w:sz w:val="24"/>
                <w:highlight w:val="none"/>
              </w:rPr>
              <w:t>日</w:t>
            </w:r>
            <w:r>
              <w:rPr>
                <w:b w:val="0"/>
                <w:color w:val="auto"/>
                <w:sz w:val="24"/>
                <w:highlight w:val="none"/>
                <w:u w:val="single"/>
              </w:rPr>
              <w:t xml:space="preserve"> </w:t>
            </w:r>
            <w:r>
              <w:rPr>
                <w:rFonts w:hint="eastAsia"/>
                <w:b w:val="0"/>
                <w:color w:val="auto"/>
                <w:sz w:val="24"/>
                <w:highlight w:val="none"/>
                <w:u w:val="single"/>
                <w:lang w:val="en-US" w:eastAsia="zh-CN"/>
              </w:rPr>
              <w:t>17</w:t>
            </w:r>
            <w:r>
              <w:rPr>
                <w:b w:val="0"/>
                <w:color w:val="auto"/>
                <w:sz w:val="24"/>
                <w:highlight w:val="none"/>
                <w:u w:val="single"/>
              </w:rPr>
              <w:t xml:space="preserve"> </w:t>
            </w:r>
            <w:r>
              <w:rPr>
                <w:b w:val="0"/>
                <w:color w:val="auto"/>
                <w:sz w:val="24"/>
                <w:highlight w:val="none"/>
              </w:rPr>
              <w:t>时</w:t>
            </w:r>
            <w:r>
              <w:rPr>
                <w:b w:val="0"/>
                <w:color w:val="auto"/>
                <w:sz w:val="24"/>
                <w:highlight w:val="none"/>
                <w:u w:val="single"/>
              </w:rPr>
              <w:t xml:space="preserve"> </w:t>
            </w:r>
            <w:r>
              <w:rPr>
                <w:rFonts w:hint="eastAsia"/>
                <w:b w:val="0"/>
                <w:color w:val="auto"/>
                <w:sz w:val="24"/>
                <w:highlight w:val="none"/>
                <w:u w:val="single"/>
                <w:lang w:val="en-US" w:eastAsia="zh-CN"/>
              </w:rPr>
              <w:t>30</w:t>
            </w:r>
            <w:r>
              <w:rPr>
                <w:b w:val="0"/>
                <w:color w:val="auto"/>
                <w:sz w:val="24"/>
                <w:highlight w:val="none"/>
                <w:u w:val="single"/>
              </w:rPr>
              <w:t xml:space="preserve"> </w:t>
            </w:r>
            <w:r>
              <w:rPr>
                <w:rFonts w:hint="eastAsia"/>
                <w:b w:val="0"/>
                <w:color w:val="auto"/>
                <w:sz w:val="24"/>
                <w:highlight w:val="none"/>
              </w:rPr>
              <w:t>分</w:t>
            </w:r>
          </w:p>
        </w:tc>
      </w:tr>
      <w:tr w14:paraId="0AC9D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465" w:type="pct"/>
            <w:vAlign w:val="center"/>
          </w:tcPr>
          <w:p w14:paraId="427C2F75">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lang w:val="en-US" w:eastAsia="zh-CN"/>
              </w:rPr>
              <w:t>7</w:t>
            </w:r>
            <w:r>
              <w:rPr>
                <w:bCs/>
                <w:color w:val="auto"/>
                <w:kern w:val="2"/>
                <w:highlight w:val="none"/>
              </w:rPr>
              <w:t>.1</w:t>
            </w:r>
          </w:p>
        </w:tc>
        <w:tc>
          <w:tcPr>
            <w:tcW w:w="977" w:type="pct"/>
            <w:vAlign w:val="center"/>
          </w:tcPr>
          <w:p w14:paraId="5EDA745A">
            <w:pPr>
              <w:pStyle w:val="76"/>
              <w:widowControl w:val="0"/>
              <w:spacing w:before="0" w:beforeAutospacing="0" w:after="0" w:afterAutospacing="0" w:line="360" w:lineRule="auto"/>
              <w:jc w:val="left"/>
              <w:rPr>
                <w:b w:val="0"/>
                <w:color w:val="auto"/>
                <w:sz w:val="24"/>
                <w:highlight w:val="none"/>
              </w:rPr>
            </w:pPr>
            <w:r>
              <w:rPr>
                <w:rFonts w:hint="eastAsia"/>
                <w:b w:val="0"/>
                <w:color w:val="auto"/>
                <w:sz w:val="24"/>
                <w:highlight w:val="none"/>
              </w:rPr>
              <w:t>包别划分</w:t>
            </w:r>
          </w:p>
        </w:tc>
        <w:tc>
          <w:tcPr>
            <w:tcW w:w="3556" w:type="pct"/>
            <w:vAlign w:val="center"/>
          </w:tcPr>
          <w:p w14:paraId="20D81A6D">
            <w:pPr>
              <w:pStyle w:val="76"/>
              <w:widowControl w:val="0"/>
              <w:spacing w:before="0" w:beforeAutospacing="0" w:after="0" w:afterAutospacing="0" w:line="360" w:lineRule="auto"/>
              <w:jc w:val="both"/>
              <w:rPr>
                <w:b w:val="0"/>
                <w:color w:val="auto"/>
                <w:sz w:val="24"/>
                <w:highlight w:val="none"/>
              </w:rPr>
            </w:pPr>
            <w:r>
              <w:rPr>
                <w:rFonts w:hint="eastAsia"/>
                <w:b w:val="0"/>
                <w:bCs w:val="0"/>
                <w:color w:val="auto"/>
                <w:sz w:val="24"/>
                <w:szCs w:val="24"/>
                <w:highlight w:val="none"/>
                <w:lang w:eastAsia="zh-CN"/>
              </w:rPr>
              <w:t>☑</w:t>
            </w:r>
            <w:r>
              <w:rPr>
                <w:b w:val="0"/>
                <w:color w:val="auto"/>
                <w:sz w:val="24"/>
                <w:highlight w:val="none"/>
              </w:rPr>
              <w:t xml:space="preserve">不分包     □分为 </w:t>
            </w:r>
            <w:r>
              <w:rPr>
                <w:rFonts w:hint="eastAsia"/>
                <w:b w:val="0"/>
                <w:color w:val="auto"/>
                <w:sz w:val="24"/>
                <w:highlight w:val="none"/>
                <w:lang w:val="en-US" w:eastAsia="zh-CN"/>
              </w:rPr>
              <w:t>/</w:t>
            </w:r>
            <w:r>
              <w:rPr>
                <w:b w:val="0"/>
                <w:color w:val="auto"/>
                <w:sz w:val="24"/>
                <w:highlight w:val="none"/>
              </w:rPr>
              <w:t xml:space="preserve"> 个包</w:t>
            </w:r>
          </w:p>
          <w:p w14:paraId="5D3718AB">
            <w:pPr>
              <w:pStyle w:val="76"/>
              <w:widowControl w:val="0"/>
              <w:spacing w:before="0" w:beforeAutospacing="0" w:after="0" w:afterAutospacing="0" w:line="360" w:lineRule="auto"/>
              <w:jc w:val="both"/>
              <w:rPr>
                <w:b w:val="0"/>
                <w:color w:val="auto"/>
                <w:sz w:val="24"/>
                <w:highlight w:val="none"/>
              </w:rPr>
            </w:pPr>
            <w:r>
              <w:rPr>
                <w:rFonts w:hint="eastAsia"/>
                <w:b w:val="0"/>
                <w:bCs w:val="0"/>
                <w:color w:val="auto"/>
                <w:sz w:val="24"/>
                <w:szCs w:val="24"/>
                <w:highlight w:val="none"/>
              </w:rPr>
              <w:t>供应商参加多个包谈判的成交</w:t>
            </w:r>
            <w:r>
              <w:rPr>
                <w:b w:val="0"/>
                <w:bCs w:val="0"/>
                <w:color w:val="auto"/>
                <w:sz w:val="24"/>
                <w:szCs w:val="24"/>
                <w:highlight w:val="none"/>
              </w:rPr>
              <w:t>包</w:t>
            </w:r>
            <w:r>
              <w:rPr>
                <w:rFonts w:hint="eastAsia"/>
                <w:b w:val="0"/>
                <w:bCs w:val="0"/>
                <w:color w:val="auto"/>
                <w:sz w:val="24"/>
                <w:szCs w:val="24"/>
                <w:highlight w:val="none"/>
              </w:rPr>
              <w:t>数规定：</w:t>
            </w:r>
            <w:r>
              <w:rPr>
                <w:rFonts w:hint="eastAsia"/>
                <w:b w:val="0"/>
                <w:bCs w:val="0"/>
                <w:color w:val="auto"/>
                <w:sz w:val="24"/>
                <w:szCs w:val="18"/>
                <w:highlight w:val="none"/>
                <w:u w:val="single"/>
              </w:rPr>
              <w:t xml:space="preserve"> </w:t>
            </w:r>
            <w:r>
              <w:rPr>
                <w:b w:val="0"/>
                <w:bCs w:val="0"/>
                <w:color w:val="auto"/>
                <w:sz w:val="24"/>
                <w:szCs w:val="18"/>
                <w:highlight w:val="none"/>
                <w:u w:val="single"/>
              </w:rPr>
              <w:t xml:space="preserve"> </w:t>
            </w:r>
            <w:r>
              <w:rPr>
                <w:rFonts w:hint="eastAsia"/>
                <w:b w:val="0"/>
                <w:bCs w:val="0"/>
                <w:color w:val="auto"/>
                <w:sz w:val="24"/>
                <w:szCs w:val="18"/>
                <w:highlight w:val="none"/>
                <w:u w:val="single"/>
                <w:lang w:val="en-US" w:eastAsia="zh-CN"/>
              </w:rPr>
              <w:t>/</w:t>
            </w:r>
            <w:r>
              <w:rPr>
                <w:b w:val="0"/>
                <w:bCs w:val="0"/>
                <w:color w:val="auto"/>
                <w:sz w:val="24"/>
                <w:szCs w:val="18"/>
                <w:highlight w:val="none"/>
                <w:u w:val="single"/>
              </w:rPr>
              <w:t xml:space="preserve">    </w:t>
            </w:r>
          </w:p>
        </w:tc>
      </w:tr>
      <w:tr w14:paraId="51CE2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465" w:type="pct"/>
            <w:vAlign w:val="center"/>
          </w:tcPr>
          <w:p w14:paraId="6E2106DC">
            <w:pPr>
              <w:pStyle w:val="77"/>
              <w:pBdr>
                <w:bottom w:val="none" w:color="auto" w:sz="0" w:space="0"/>
              </w:pBdr>
              <w:tabs>
                <w:tab w:val="clear" w:pos="4153"/>
                <w:tab w:val="clear" w:pos="8306"/>
              </w:tabs>
              <w:adjustRightInd/>
              <w:spacing w:line="240" w:lineRule="auto"/>
              <w:textAlignment w:val="auto"/>
              <w:rPr>
                <w:bCs/>
                <w:color w:val="auto"/>
                <w:kern w:val="2"/>
                <w:highlight w:val="none"/>
              </w:rPr>
            </w:pPr>
            <w:r>
              <w:rPr>
                <w:rFonts w:hint="eastAsia"/>
                <w:bCs/>
                <w:color w:val="auto"/>
                <w:kern w:val="2"/>
                <w:highlight w:val="none"/>
              </w:rPr>
              <w:t>1</w:t>
            </w:r>
            <w:r>
              <w:rPr>
                <w:rFonts w:hint="eastAsia"/>
                <w:bCs/>
                <w:color w:val="auto"/>
                <w:kern w:val="2"/>
                <w:highlight w:val="none"/>
                <w:lang w:val="en-US" w:eastAsia="zh-CN"/>
              </w:rPr>
              <w:t>0</w:t>
            </w:r>
            <w:r>
              <w:rPr>
                <w:bCs/>
                <w:color w:val="auto"/>
                <w:kern w:val="2"/>
                <w:highlight w:val="none"/>
              </w:rPr>
              <w:t>.1</w:t>
            </w:r>
          </w:p>
        </w:tc>
        <w:tc>
          <w:tcPr>
            <w:tcW w:w="977" w:type="pct"/>
            <w:vAlign w:val="center"/>
          </w:tcPr>
          <w:p w14:paraId="1D8125DE">
            <w:pPr>
              <w:pStyle w:val="76"/>
              <w:widowControl w:val="0"/>
              <w:spacing w:before="0" w:beforeAutospacing="0" w:after="0" w:afterAutospacing="0" w:line="360" w:lineRule="auto"/>
              <w:jc w:val="left"/>
              <w:rPr>
                <w:b w:val="0"/>
                <w:color w:val="auto"/>
                <w:sz w:val="24"/>
                <w:highlight w:val="none"/>
              </w:rPr>
            </w:pPr>
            <w:r>
              <w:rPr>
                <w:rFonts w:hint="eastAsia"/>
                <w:b w:val="0"/>
                <w:color w:val="auto"/>
                <w:sz w:val="24"/>
                <w:highlight w:val="none"/>
              </w:rPr>
              <w:t>谈判保证金</w:t>
            </w:r>
          </w:p>
        </w:tc>
        <w:tc>
          <w:tcPr>
            <w:tcW w:w="3556" w:type="pct"/>
            <w:vAlign w:val="center"/>
          </w:tcPr>
          <w:p w14:paraId="4D82D9E0">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不收取</w:t>
            </w:r>
          </w:p>
        </w:tc>
      </w:tr>
      <w:tr w14:paraId="3AB0C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2749B2B8">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rPr>
              <w:t>1</w:t>
            </w:r>
            <w:r>
              <w:rPr>
                <w:rFonts w:hint="eastAsia"/>
                <w:bCs/>
                <w:color w:val="auto"/>
                <w:kern w:val="2"/>
                <w:highlight w:val="none"/>
                <w:lang w:val="en-US" w:eastAsia="zh-CN"/>
              </w:rPr>
              <w:t>1</w:t>
            </w:r>
            <w:r>
              <w:rPr>
                <w:bCs/>
                <w:color w:val="auto"/>
                <w:kern w:val="2"/>
                <w:highlight w:val="none"/>
              </w:rPr>
              <w:t>.1</w:t>
            </w:r>
          </w:p>
        </w:tc>
        <w:tc>
          <w:tcPr>
            <w:tcW w:w="977" w:type="pct"/>
            <w:vAlign w:val="center"/>
          </w:tcPr>
          <w:p w14:paraId="7B17347E">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谈判有效期</w:t>
            </w:r>
          </w:p>
        </w:tc>
        <w:tc>
          <w:tcPr>
            <w:tcW w:w="3556" w:type="pct"/>
            <w:vAlign w:val="center"/>
          </w:tcPr>
          <w:p w14:paraId="3FD54C4C">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u w:val="single"/>
              </w:rPr>
              <w:t xml:space="preserve"> </w:t>
            </w:r>
            <w:r>
              <w:rPr>
                <w:rFonts w:hint="eastAsia"/>
                <w:b w:val="0"/>
                <w:color w:val="auto"/>
                <w:sz w:val="24"/>
                <w:highlight w:val="none"/>
                <w:u w:val="single"/>
                <w:lang w:val="en-US" w:eastAsia="zh-CN"/>
              </w:rPr>
              <w:t>90</w:t>
            </w:r>
            <w:r>
              <w:rPr>
                <w:rFonts w:hint="eastAsia"/>
                <w:b w:val="0"/>
                <w:color w:val="auto"/>
                <w:sz w:val="24"/>
                <w:highlight w:val="none"/>
                <w:u w:val="single"/>
              </w:rPr>
              <w:t xml:space="preserve"> </w:t>
            </w:r>
            <w:r>
              <w:rPr>
                <w:rFonts w:hint="eastAsia"/>
                <w:b w:val="0"/>
                <w:color w:val="auto"/>
                <w:sz w:val="24"/>
                <w:highlight w:val="none"/>
              </w:rPr>
              <w:t>日历日</w:t>
            </w:r>
          </w:p>
        </w:tc>
      </w:tr>
      <w:tr w14:paraId="5F9CD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016B802A">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rPr>
              <w:t>1</w:t>
            </w:r>
            <w:r>
              <w:rPr>
                <w:rFonts w:hint="eastAsia"/>
                <w:bCs/>
                <w:color w:val="auto"/>
                <w:kern w:val="2"/>
                <w:highlight w:val="none"/>
                <w:lang w:val="en-US" w:eastAsia="zh-CN"/>
              </w:rPr>
              <w:t>2</w:t>
            </w:r>
            <w:r>
              <w:rPr>
                <w:bCs/>
                <w:color w:val="auto"/>
                <w:kern w:val="2"/>
                <w:highlight w:val="none"/>
              </w:rPr>
              <w:t>.3</w:t>
            </w:r>
          </w:p>
        </w:tc>
        <w:tc>
          <w:tcPr>
            <w:tcW w:w="977" w:type="pct"/>
            <w:vAlign w:val="center"/>
          </w:tcPr>
          <w:p w14:paraId="60F56268">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响应文件解密时间</w:t>
            </w:r>
          </w:p>
        </w:tc>
        <w:tc>
          <w:tcPr>
            <w:tcW w:w="3556" w:type="pct"/>
            <w:vAlign w:val="center"/>
          </w:tcPr>
          <w:p w14:paraId="4296DC7F">
            <w:pPr>
              <w:pStyle w:val="76"/>
              <w:widowControl w:val="0"/>
              <w:spacing w:before="0" w:beforeAutospacing="0" w:after="0" w:afterAutospacing="0" w:line="360" w:lineRule="auto"/>
              <w:jc w:val="both"/>
              <w:rPr>
                <w:rFonts w:hint="eastAsia" w:eastAsia="宋体"/>
                <w:b w:val="0"/>
                <w:color w:val="auto"/>
                <w:sz w:val="24"/>
                <w:highlight w:val="none"/>
                <w:u w:val="single"/>
                <w:lang w:val="en-US" w:eastAsia="zh-CN"/>
              </w:rPr>
            </w:pPr>
            <w:r>
              <w:rPr>
                <w:rFonts w:hint="eastAsia"/>
                <w:b w:val="0"/>
                <w:color w:val="auto"/>
                <w:sz w:val="24"/>
                <w:highlight w:val="none"/>
                <w:u w:val="none"/>
              </w:rPr>
              <w:t>响应文件提交截止时间后</w:t>
            </w:r>
            <w:r>
              <w:rPr>
                <w:rFonts w:hint="eastAsia"/>
                <w:b w:val="0"/>
                <w:color w:val="auto"/>
                <w:sz w:val="24"/>
                <w:highlight w:val="none"/>
                <w:u w:val="single"/>
                <w:lang w:val="en-US" w:eastAsia="zh-CN"/>
              </w:rPr>
              <w:t xml:space="preserve"> 30 </w:t>
            </w:r>
            <w:r>
              <w:rPr>
                <w:rFonts w:hint="eastAsia"/>
                <w:b w:val="0"/>
                <w:color w:val="auto"/>
                <w:sz w:val="24"/>
                <w:highlight w:val="none"/>
                <w:u w:val="none"/>
              </w:rPr>
              <w:t>分钟内（以本项目网上</w:t>
            </w:r>
            <w:r>
              <w:rPr>
                <w:rFonts w:hint="eastAsia"/>
                <w:b w:val="0"/>
                <w:color w:val="auto"/>
                <w:sz w:val="24"/>
                <w:highlight w:val="none"/>
                <w:u w:val="none"/>
                <w:lang w:val="en-US" w:eastAsia="zh-CN"/>
              </w:rPr>
              <w:t>电子交易平台</w:t>
            </w:r>
            <w:r>
              <w:rPr>
                <w:rFonts w:hint="eastAsia"/>
                <w:b w:val="0"/>
                <w:color w:val="auto"/>
                <w:sz w:val="24"/>
                <w:highlight w:val="none"/>
                <w:u w:val="none"/>
              </w:rPr>
              <w:t>系统解密倒计时为准）</w:t>
            </w:r>
            <w:r>
              <w:rPr>
                <w:rFonts w:hint="eastAsia"/>
                <w:b w:val="0"/>
                <w:color w:val="auto"/>
                <w:sz w:val="24"/>
                <w:highlight w:val="none"/>
                <w:u w:val="none"/>
                <w:lang w:eastAsia="zh-CN"/>
              </w:rPr>
              <w:t>。</w:t>
            </w:r>
          </w:p>
        </w:tc>
      </w:tr>
      <w:tr w14:paraId="59DB0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4AC551F2">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rPr>
              <w:t>1</w:t>
            </w:r>
            <w:r>
              <w:rPr>
                <w:rFonts w:hint="eastAsia"/>
                <w:bCs/>
                <w:color w:val="auto"/>
                <w:kern w:val="2"/>
                <w:highlight w:val="none"/>
                <w:lang w:val="en-US" w:eastAsia="zh-CN"/>
              </w:rPr>
              <w:t>4</w:t>
            </w:r>
            <w:r>
              <w:rPr>
                <w:rFonts w:hint="eastAsia"/>
                <w:bCs/>
                <w:color w:val="auto"/>
                <w:kern w:val="2"/>
                <w:highlight w:val="none"/>
              </w:rPr>
              <w:t>.3</w:t>
            </w:r>
          </w:p>
        </w:tc>
        <w:tc>
          <w:tcPr>
            <w:tcW w:w="977" w:type="pct"/>
            <w:vAlign w:val="center"/>
          </w:tcPr>
          <w:p w14:paraId="0EC5B27F">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评审方法</w:t>
            </w:r>
          </w:p>
        </w:tc>
        <w:tc>
          <w:tcPr>
            <w:tcW w:w="3556" w:type="pct"/>
            <w:vAlign w:val="center"/>
          </w:tcPr>
          <w:p w14:paraId="70099C8F">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u w:val="none"/>
              </w:rPr>
              <w:t>最低评标价法</w:t>
            </w:r>
          </w:p>
        </w:tc>
      </w:tr>
      <w:tr w14:paraId="7601C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3142DF76">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lang w:val="en-US" w:eastAsia="zh-CN"/>
              </w:rPr>
              <w:t>17</w:t>
            </w:r>
            <w:r>
              <w:rPr>
                <w:bCs/>
                <w:color w:val="auto"/>
                <w:kern w:val="2"/>
                <w:highlight w:val="none"/>
              </w:rPr>
              <w:t>.</w:t>
            </w:r>
            <w:r>
              <w:rPr>
                <w:rFonts w:hint="eastAsia"/>
                <w:bCs/>
                <w:color w:val="auto"/>
                <w:kern w:val="2"/>
                <w:highlight w:val="none"/>
              </w:rPr>
              <w:t>4</w:t>
            </w:r>
          </w:p>
        </w:tc>
        <w:tc>
          <w:tcPr>
            <w:tcW w:w="977" w:type="pct"/>
            <w:vAlign w:val="center"/>
          </w:tcPr>
          <w:p w14:paraId="79AEAA74">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最后报价扣除</w:t>
            </w:r>
          </w:p>
          <w:p w14:paraId="53283B8B">
            <w:pPr>
              <w:pStyle w:val="76"/>
              <w:widowControl w:val="0"/>
              <w:spacing w:before="0" w:beforeAutospacing="0" w:after="0" w:afterAutospacing="0" w:line="360" w:lineRule="auto"/>
              <w:jc w:val="both"/>
              <w:rPr>
                <w:b w:val="0"/>
                <w:color w:val="auto"/>
                <w:sz w:val="24"/>
                <w:highlight w:val="none"/>
              </w:rPr>
            </w:pPr>
            <w:r>
              <w:rPr>
                <w:rFonts w:hint="eastAsia"/>
                <w:b w:val="0"/>
                <w:i/>
                <w:color w:val="auto"/>
                <w:sz w:val="24"/>
                <w:highlight w:val="none"/>
              </w:rPr>
              <w:t>（非专门面向中小企业采购项目适用）</w:t>
            </w:r>
          </w:p>
        </w:tc>
        <w:tc>
          <w:tcPr>
            <w:tcW w:w="3556" w:type="pct"/>
            <w:vAlign w:val="center"/>
          </w:tcPr>
          <w:p w14:paraId="02933765">
            <w:pPr>
              <w:pStyle w:val="7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（1）</w:t>
            </w:r>
            <w:r>
              <w:rPr>
                <w:rFonts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b w:val="0"/>
                <w:color w:val="auto"/>
                <w:sz w:val="24"/>
                <w:highlight w:val="none"/>
                <w:u w:val="single"/>
              </w:rPr>
              <w:t>对小型和微型企业的价格给予10%的扣除后参与评审；其评审价=最终响应报价*（90%）</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b w:val="0"/>
                <w:color w:val="auto"/>
                <w:sz w:val="24"/>
                <w:highlight w:val="none"/>
              </w:rPr>
              <w:t>。</w:t>
            </w:r>
          </w:p>
          <w:p w14:paraId="65321CC1">
            <w:pPr>
              <w:pStyle w:val="7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（2）监狱企业价格扣除：</w:t>
            </w:r>
            <w:r>
              <w:rPr>
                <w:rFonts w:hint="eastAsia" w:ascii="宋体" w:hAnsi="宋体" w:eastAsia="宋体"/>
                <w:b w:val="0"/>
                <w:color w:val="auto"/>
                <w:sz w:val="24"/>
                <w:highlight w:val="none"/>
                <w:u w:val="single"/>
              </w:rPr>
              <w:t>同</w:t>
            </w:r>
            <w:r>
              <w:rPr>
                <w:rFonts w:ascii="宋体" w:hAnsi="宋体" w:eastAsia="宋体"/>
                <w:b w:val="0"/>
                <w:color w:val="auto"/>
                <w:sz w:val="24"/>
                <w:highlight w:val="none"/>
                <w:u w:val="single"/>
              </w:rPr>
              <w:t>小型和微型企业</w:t>
            </w:r>
            <w:r>
              <w:rPr>
                <w:rFonts w:hint="eastAsia" w:ascii="宋体" w:hAnsi="宋体" w:eastAsia="宋体"/>
                <w:b w:val="0"/>
                <w:color w:val="auto"/>
                <w:sz w:val="24"/>
                <w:highlight w:val="none"/>
              </w:rPr>
              <w:t>。</w:t>
            </w:r>
          </w:p>
          <w:p w14:paraId="67AE0551">
            <w:pPr>
              <w:pStyle w:val="7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w:t>
            </w:r>
            <w:r>
              <w:rPr>
                <w:rFonts w:hint="eastAsia" w:ascii="宋体" w:hAnsi="宋体" w:eastAsia="宋体"/>
                <w:b w:val="0"/>
                <w:color w:val="auto"/>
                <w:sz w:val="24"/>
                <w:highlight w:val="none"/>
                <w:u w:val="single"/>
              </w:rPr>
              <w:t>同</w:t>
            </w:r>
            <w:r>
              <w:rPr>
                <w:rFonts w:ascii="宋体" w:hAnsi="宋体" w:eastAsia="宋体"/>
                <w:b w:val="0"/>
                <w:color w:val="auto"/>
                <w:sz w:val="24"/>
                <w:highlight w:val="none"/>
                <w:u w:val="single"/>
              </w:rPr>
              <w:t>小型和微型企业</w:t>
            </w:r>
            <w:r>
              <w:rPr>
                <w:rFonts w:hint="eastAsia" w:ascii="宋体" w:hAnsi="宋体" w:eastAsia="宋体"/>
                <w:b w:val="0"/>
                <w:color w:val="auto"/>
                <w:sz w:val="24"/>
                <w:highlight w:val="none"/>
              </w:rPr>
              <w:t>。</w:t>
            </w:r>
          </w:p>
          <w:p w14:paraId="7647B7DF">
            <w:pPr>
              <w:pStyle w:val="7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lang w:val="en-US" w:eastAsia="zh-CN"/>
              </w:rPr>
              <w:t xml:space="preserve">  </w:t>
            </w:r>
            <w:r>
              <w:rPr>
                <w:rFonts w:hint="eastAsia"/>
                <w:b w:val="0"/>
                <w:color w:val="auto"/>
                <w:sz w:val="24"/>
                <w:highlight w:val="none"/>
                <w:u w:val="single"/>
                <w:lang w:val="en-US" w:eastAsia="zh-CN"/>
              </w:rPr>
              <w:t>/</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b w:val="0"/>
                <w:color w:val="auto"/>
                <w:sz w:val="24"/>
                <w:highlight w:val="none"/>
              </w:rPr>
              <w:t>。</w:t>
            </w:r>
          </w:p>
          <w:p w14:paraId="4C5BC6DB">
            <w:pPr>
              <w:pStyle w:val="76"/>
              <w:widowControl w:val="0"/>
              <w:spacing w:before="0" w:beforeAutospacing="0" w:after="0" w:afterAutospacing="0" w:line="360" w:lineRule="auto"/>
              <w:jc w:val="both"/>
              <w:rPr>
                <w:b w:val="0"/>
                <w:color w:val="auto"/>
                <w:sz w:val="24"/>
                <w:highlight w:val="none"/>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lang w:val="en-US" w:eastAsia="zh-CN"/>
              </w:rPr>
              <w:t xml:space="preserve">  </w:t>
            </w:r>
            <w:r>
              <w:rPr>
                <w:rFonts w:hint="eastAsia"/>
                <w:b w:val="0"/>
                <w:color w:val="auto"/>
                <w:sz w:val="24"/>
                <w:highlight w:val="none"/>
                <w:u w:val="single"/>
                <w:lang w:val="en-US" w:eastAsia="zh-CN"/>
              </w:rPr>
              <w:t>/</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b w:val="0"/>
                <w:color w:val="auto"/>
                <w:sz w:val="24"/>
                <w:highlight w:val="none"/>
              </w:rPr>
              <w:t>。</w:t>
            </w:r>
            <w:r>
              <w:rPr>
                <w:rFonts w:hint="eastAsia" w:ascii="宋体" w:hAnsi="宋体" w:eastAsia="宋体"/>
                <w:b w:val="0"/>
                <w:i/>
                <w:color w:val="auto"/>
                <w:sz w:val="24"/>
                <w:highlight w:val="none"/>
              </w:rPr>
              <w:t>（允许大中型企业向小微企业分包的项目适用）</w:t>
            </w:r>
          </w:p>
        </w:tc>
      </w:tr>
      <w:tr w14:paraId="28275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Merge w:val="restart"/>
            <w:vAlign w:val="center"/>
          </w:tcPr>
          <w:p w14:paraId="22C7B357">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lang w:val="en-US" w:eastAsia="zh-CN"/>
              </w:rPr>
              <w:t>19</w:t>
            </w:r>
            <w:r>
              <w:rPr>
                <w:bCs/>
                <w:color w:val="auto"/>
                <w:kern w:val="2"/>
                <w:highlight w:val="none"/>
              </w:rPr>
              <w:t>.</w:t>
            </w:r>
            <w:r>
              <w:rPr>
                <w:rFonts w:hint="eastAsia"/>
                <w:bCs/>
                <w:color w:val="auto"/>
                <w:kern w:val="2"/>
                <w:highlight w:val="none"/>
              </w:rPr>
              <w:t>1</w:t>
            </w:r>
          </w:p>
        </w:tc>
        <w:tc>
          <w:tcPr>
            <w:tcW w:w="977" w:type="pct"/>
            <w:vMerge w:val="restart"/>
            <w:vAlign w:val="center"/>
          </w:tcPr>
          <w:p w14:paraId="7B3C0CC6">
            <w:pPr>
              <w:pStyle w:val="76"/>
              <w:widowControl w:val="0"/>
              <w:spacing w:before="0" w:beforeAutospacing="0" w:after="0" w:afterAutospacing="0" w:line="360" w:lineRule="auto"/>
              <w:jc w:val="both"/>
              <w:rPr>
                <w:b w:val="0"/>
                <w:color w:val="auto"/>
                <w:sz w:val="24"/>
                <w:highlight w:val="none"/>
              </w:rPr>
            </w:pPr>
            <w:r>
              <w:rPr>
                <w:rFonts w:hint="eastAsia" w:asciiTheme="minorEastAsia" w:hAnsiTheme="minorEastAsia" w:eastAsiaTheme="minorEastAsia"/>
                <w:b w:val="0"/>
                <w:color w:val="auto"/>
                <w:sz w:val="24"/>
                <w:highlight w:val="none"/>
              </w:rPr>
              <w:t>确定成交候选供应商和成交供应商</w:t>
            </w:r>
          </w:p>
        </w:tc>
        <w:tc>
          <w:tcPr>
            <w:tcW w:w="3556" w:type="pct"/>
            <w:vAlign w:val="center"/>
          </w:tcPr>
          <w:p w14:paraId="3C75FE5D">
            <w:pPr>
              <w:pStyle w:val="76"/>
              <w:widowControl w:val="0"/>
              <w:spacing w:before="0" w:beforeAutospacing="0" w:after="0" w:afterAutospacing="0" w:line="360" w:lineRule="auto"/>
              <w:jc w:val="both"/>
              <w:rPr>
                <w:rFonts w:hint="eastAsia" w:ascii="宋体" w:hAnsi="宋体" w:eastAsia="宋体"/>
                <w:b w:val="0"/>
                <w:color w:val="auto"/>
                <w:sz w:val="24"/>
                <w:highlight w:val="none"/>
                <w:lang w:val="en-US" w:eastAsia="zh-CN"/>
              </w:rPr>
            </w:pPr>
            <w:r>
              <w:rPr>
                <w:rFonts w:hint="eastAsia"/>
                <w:b w:val="0"/>
                <w:color w:val="auto"/>
                <w:sz w:val="24"/>
                <w:highlight w:val="none"/>
              </w:rPr>
              <w:t>谈判小组推荐成交</w:t>
            </w:r>
            <w:r>
              <w:rPr>
                <w:b w:val="0"/>
                <w:color w:val="auto"/>
                <w:sz w:val="24"/>
                <w:highlight w:val="none"/>
              </w:rPr>
              <w:t>候选</w:t>
            </w:r>
            <w:r>
              <w:rPr>
                <w:rFonts w:hint="eastAsia"/>
                <w:b w:val="0"/>
                <w:color w:val="auto"/>
                <w:sz w:val="24"/>
                <w:highlight w:val="none"/>
              </w:rPr>
              <w:t>供应商的</w:t>
            </w:r>
            <w:r>
              <w:rPr>
                <w:b w:val="0"/>
                <w:color w:val="auto"/>
                <w:sz w:val="24"/>
                <w:highlight w:val="none"/>
              </w:rPr>
              <w:t>数量</w:t>
            </w:r>
            <w:r>
              <w:rPr>
                <w:rFonts w:hint="eastAsia"/>
                <w:b w:val="0"/>
                <w:color w:val="auto"/>
                <w:sz w:val="24"/>
                <w:highlight w:val="none"/>
              </w:rPr>
              <w:t>：</w:t>
            </w:r>
            <w:r>
              <w:rPr>
                <w:rFonts w:hint="eastAsia" w:ascii="宋体" w:hAnsi="宋体" w:eastAsia="宋体"/>
                <w:b w:val="0"/>
                <w:color w:val="auto"/>
                <w:sz w:val="24"/>
                <w:highlight w:val="none"/>
              </w:rPr>
              <w:t>3家</w:t>
            </w:r>
          </w:p>
          <w:p w14:paraId="5949D84F">
            <w:pPr>
              <w:pStyle w:val="76"/>
              <w:widowControl w:val="0"/>
              <w:spacing w:before="0" w:beforeAutospacing="0" w:after="0" w:afterAutospacing="0" w:line="360" w:lineRule="auto"/>
              <w:jc w:val="both"/>
              <w:rPr>
                <w:b w:val="0"/>
                <w:color w:val="auto"/>
                <w:sz w:val="24"/>
                <w:highlight w:val="none"/>
                <w:u w:val="single"/>
              </w:rPr>
            </w:pPr>
            <w:r>
              <w:rPr>
                <w:rFonts w:hint="eastAsia" w:ascii="宋体" w:hAnsi="宋体" w:eastAsia="宋体"/>
                <w:b w:val="0"/>
                <w:color w:val="auto"/>
                <w:sz w:val="24"/>
                <w:highlight w:val="none"/>
                <w:lang w:val="en-US" w:eastAsia="zh-CN"/>
              </w:rPr>
              <w:t>注：法律、法规另有规定的，从其规定</w:t>
            </w:r>
          </w:p>
        </w:tc>
      </w:tr>
      <w:tr w14:paraId="6D4BC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Merge w:val="continue"/>
            <w:vAlign w:val="center"/>
          </w:tcPr>
          <w:p w14:paraId="53C43950">
            <w:pPr>
              <w:pStyle w:val="77"/>
              <w:pBdr>
                <w:bottom w:val="none" w:color="auto" w:sz="0" w:space="0"/>
              </w:pBdr>
              <w:tabs>
                <w:tab w:val="clear" w:pos="4153"/>
                <w:tab w:val="clear" w:pos="8306"/>
              </w:tabs>
              <w:adjustRightInd/>
              <w:spacing w:line="360" w:lineRule="auto"/>
              <w:textAlignment w:val="auto"/>
              <w:rPr>
                <w:bCs/>
                <w:color w:val="auto"/>
                <w:kern w:val="2"/>
                <w:highlight w:val="none"/>
              </w:rPr>
            </w:pPr>
          </w:p>
        </w:tc>
        <w:tc>
          <w:tcPr>
            <w:tcW w:w="977" w:type="pct"/>
            <w:vMerge w:val="continue"/>
            <w:vAlign w:val="center"/>
          </w:tcPr>
          <w:p w14:paraId="0BF9055B">
            <w:pPr>
              <w:pStyle w:val="76"/>
              <w:widowControl w:val="0"/>
              <w:spacing w:before="0" w:beforeAutospacing="0" w:after="0" w:afterAutospacing="0" w:line="360" w:lineRule="auto"/>
              <w:jc w:val="both"/>
              <w:rPr>
                <w:b w:val="0"/>
                <w:color w:val="auto"/>
                <w:sz w:val="24"/>
                <w:highlight w:val="none"/>
              </w:rPr>
            </w:pPr>
          </w:p>
        </w:tc>
        <w:tc>
          <w:tcPr>
            <w:tcW w:w="3556" w:type="pct"/>
            <w:vAlign w:val="center"/>
          </w:tcPr>
          <w:p w14:paraId="4A320CC9">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确定成交供应商：</w:t>
            </w:r>
          </w:p>
          <w:p w14:paraId="264631F0">
            <w:pPr>
              <w:pStyle w:val="76"/>
              <w:widowControl w:val="0"/>
              <w:spacing w:before="0" w:beforeAutospacing="0" w:after="0" w:afterAutospacing="0" w:line="360" w:lineRule="auto"/>
              <w:jc w:val="both"/>
              <w:rPr>
                <w:b w:val="0"/>
                <w:color w:val="auto"/>
                <w:sz w:val="24"/>
                <w:highlight w:val="none"/>
              </w:rPr>
            </w:pPr>
            <w:r>
              <w:rPr>
                <w:rFonts w:hint="eastAsia" w:asciiTheme="minorEastAsia" w:hAnsiTheme="minorEastAsia"/>
                <w:color w:val="auto"/>
                <w:sz w:val="24"/>
                <w:szCs w:val="24"/>
                <w:highlight w:val="none"/>
              </w:rPr>
              <w:sym w:font="Wingdings" w:char="00A8"/>
            </w:r>
            <w:r>
              <w:rPr>
                <w:rFonts w:hint="eastAsia"/>
                <w:b w:val="0"/>
                <w:color w:val="auto"/>
                <w:sz w:val="24"/>
                <w:highlight w:val="none"/>
              </w:rPr>
              <w:t xml:space="preserve">采购人委托谈判小组确定 </w:t>
            </w:r>
            <w:r>
              <w:rPr>
                <w:b w:val="0"/>
                <w:color w:val="auto"/>
                <w:sz w:val="24"/>
                <w:highlight w:val="none"/>
              </w:rPr>
              <w:t xml:space="preserve">   </w:t>
            </w:r>
            <w:r>
              <w:rPr>
                <w:rFonts w:hint="eastAsia"/>
                <w:b w:val="0"/>
                <w:color w:val="auto"/>
                <w:sz w:val="24"/>
                <w:highlight w:val="none"/>
              </w:rPr>
              <w:t xml:space="preserve"> </w:t>
            </w:r>
            <w:r>
              <w:rPr>
                <w:rFonts w:hint="eastAsia"/>
                <w:b w:val="0"/>
                <w:color w:val="auto"/>
                <w:sz w:val="24"/>
                <w:highlight w:val="none"/>
                <w:lang w:eastAsia="zh-CN"/>
              </w:rPr>
              <w:t>☑</w:t>
            </w:r>
            <w:r>
              <w:rPr>
                <w:rFonts w:hint="eastAsia"/>
                <w:b w:val="0"/>
                <w:color w:val="auto"/>
                <w:sz w:val="24"/>
                <w:highlight w:val="none"/>
              </w:rPr>
              <w:t>采购人确定</w:t>
            </w:r>
          </w:p>
        </w:tc>
      </w:tr>
      <w:tr w14:paraId="44FC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406D5EA2">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bCs/>
                <w:color w:val="auto"/>
                <w:kern w:val="2"/>
                <w:highlight w:val="none"/>
              </w:rPr>
              <w:t>2</w:t>
            </w:r>
            <w:r>
              <w:rPr>
                <w:rFonts w:hint="eastAsia"/>
                <w:bCs/>
                <w:color w:val="auto"/>
                <w:kern w:val="2"/>
                <w:highlight w:val="none"/>
                <w:lang w:val="en-US" w:eastAsia="zh-CN"/>
              </w:rPr>
              <w:t>2</w:t>
            </w:r>
            <w:r>
              <w:rPr>
                <w:bCs/>
                <w:color w:val="auto"/>
                <w:kern w:val="2"/>
                <w:highlight w:val="none"/>
              </w:rPr>
              <w:t>.</w:t>
            </w:r>
            <w:r>
              <w:rPr>
                <w:rFonts w:hint="eastAsia"/>
                <w:bCs/>
                <w:color w:val="auto"/>
                <w:kern w:val="2"/>
                <w:highlight w:val="none"/>
              </w:rPr>
              <w:t>2</w:t>
            </w:r>
          </w:p>
        </w:tc>
        <w:tc>
          <w:tcPr>
            <w:tcW w:w="977" w:type="pct"/>
            <w:vAlign w:val="center"/>
          </w:tcPr>
          <w:p w14:paraId="703AA66A">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随成交结果公告同时公告的内容</w:t>
            </w:r>
          </w:p>
        </w:tc>
        <w:tc>
          <w:tcPr>
            <w:tcW w:w="3556" w:type="pct"/>
            <w:vAlign w:val="center"/>
          </w:tcPr>
          <w:p w14:paraId="7D472B27">
            <w:pPr>
              <w:pStyle w:val="76"/>
              <w:widowControl w:val="0"/>
              <w:spacing w:before="0" w:beforeAutospacing="0" w:after="0" w:afterAutospacing="0" w:line="360" w:lineRule="auto"/>
              <w:jc w:val="both"/>
              <w:rPr>
                <w:rFonts w:ascii="宋体" w:hAnsi="宋体" w:eastAsia="宋体"/>
                <w:b w:val="0"/>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1</w:t>
            </w:r>
            <w:r>
              <w:rPr>
                <w:rFonts w:hint="eastAsia" w:ascii="宋体" w:hAnsi="宋体" w:eastAsia="宋体"/>
                <w:b w:val="0"/>
                <w:color w:val="auto"/>
                <w:sz w:val="24"/>
                <w:highlight w:val="none"/>
                <w:u w:val="none"/>
              </w:rPr>
              <w:t>）中小企业声明函；</w:t>
            </w:r>
            <w:r>
              <w:rPr>
                <w:rFonts w:hint="eastAsia" w:ascii="宋体" w:hAnsi="宋体" w:eastAsia="宋体"/>
                <w:b w:val="0"/>
                <w:i/>
                <w:iCs/>
                <w:color w:val="auto"/>
                <w:sz w:val="24"/>
                <w:highlight w:val="none"/>
                <w:u w:val="none"/>
              </w:rPr>
              <w:t>（如有）</w:t>
            </w:r>
          </w:p>
          <w:p w14:paraId="5D108ECD">
            <w:pPr>
              <w:pStyle w:val="76"/>
              <w:widowControl w:val="0"/>
              <w:spacing w:before="0" w:beforeAutospacing="0" w:after="0" w:afterAutospacing="0" w:line="360" w:lineRule="auto"/>
              <w:jc w:val="both"/>
              <w:rPr>
                <w:rFonts w:ascii="宋体" w:hAnsi="宋体" w:eastAsia="宋体"/>
                <w:b w:val="0"/>
                <w:i/>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2）</w:t>
            </w:r>
            <w:r>
              <w:rPr>
                <w:rFonts w:hint="eastAsia" w:ascii="宋体" w:hAnsi="宋体" w:eastAsia="宋体"/>
                <w:b w:val="0"/>
                <w:color w:val="auto"/>
                <w:sz w:val="24"/>
                <w:highlight w:val="none"/>
                <w:u w:val="none"/>
              </w:rPr>
              <w:t>残疾人福利性单位声明函；</w:t>
            </w:r>
            <w:r>
              <w:rPr>
                <w:rFonts w:hint="eastAsia" w:ascii="宋体" w:hAnsi="宋体" w:eastAsia="宋体"/>
                <w:b w:val="0"/>
                <w:i/>
                <w:iCs/>
                <w:color w:val="auto"/>
                <w:sz w:val="24"/>
                <w:highlight w:val="none"/>
                <w:u w:val="none"/>
              </w:rPr>
              <w:t>（如有）</w:t>
            </w:r>
          </w:p>
          <w:p w14:paraId="67B7DFFF">
            <w:pPr>
              <w:pStyle w:val="76"/>
              <w:widowControl w:val="0"/>
              <w:spacing w:before="0" w:beforeAutospacing="0" w:after="0" w:afterAutospacing="0" w:line="360" w:lineRule="auto"/>
              <w:jc w:val="both"/>
              <w:rPr>
                <w:rFonts w:hint="eastAsia" w:eastAsia="宋体"/>
                <w:b w:val="0"/>
                <w:bCs w:val="0"/>
                <w:color w:val="auto"/>
                <w:sz w:val="24"/>
                <w:szCs w:val="24"/>
                <w:highlight w:val="none"/>
                <w:lang w:val="en-US" w:eastAsia="zh-CN"/>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3</w:t>
            </w:r>
            <w:r>
              <w:rPr>
                <w:rFonts w:hint="eastAsia" w:ascii="宋体" w:hAnsi="宋体" w:eastAsia="宋体"/>
                <w:b w:val="0"/>
                <w:color w:val="auto"/>
                <w:sz w:val="24"/>
                <w:highlight w:val="none"/>
                <w:u w:val="none"/>
              </w:rPr>
              <w:t>）因落实政府采购政策等原因进行价格扣除后中标</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成交</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供应商的评审报价</w:t>
            </w:r>
            <w:r>
              <w:rPr>
                <w:rFonts w:hint="eastAsia"/>
                <w:b w:val="0"/>
                <w:color w:val="auto"/>
                <w:sz w:val="24"/>
                <w:highlight w:val="none"/>
                <w:u w:val="none"/>
                <w:lang w:eastAsia="zh-CN"/>
              </w:rPr>
              <w:t>。</w:t>
            </w:r>
          </w:p>
        </w:tc>
      </w:tr>
      <w:tr w14:paraId="563B0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1D994CAF">
            <w:pPr>
              <w:pStyle w:val="77"/>
              <w:pBdr>
                <w:bottom w:val="none" w:color="auto" w:sz="0" w:space="0"/>
              </w:pBdr>
              <w:tabs>
                <w:tab w:val="clear" w:pos="4153"/>
                <w:tab w:val="clear" w:pos="8306"/>
              </w:tabs>
              <w:adjustRightInd/>
              <w:spacing w:line="240" w:lineRule="auto"/>
              <w:textAlignment w:val="auto"/>
              <w:rPr>
                <w:bCs/>
                <w:color w:val="auto"/>
                <w:kern w:val="2"/>
                <w:highlight w:val="none"/>
              </w:rPr>
            </w:pPr>
            <w:r>
              <w:rPr>
                <w:rFonts w:hint="eastAsia"/>
                <w:bCs/>
                <w:color w:val="auto"/>
                <w:kern w:val="2"/>
                <w:highlight w:val="none"/>
              </w:rPr>
              <w:t>2</w:t>
            </w:r>
            <w:r>
              <w:rPr>
                <w:rFonts w:hint="eastAsia"/>
                <w:bCs/>
                <w:color w:val="auto"/>
                <w:kern w:val="2"/>
                <w:highlight w:val="none"/>
                <w:lang w:val="en-US" w:eastAsia="zh-CN"/>
              </w:rPr>
              <w:t>3</w:t>
            </w:r>
            <w:r>
              <w:rPr>
                <w:bCs/>
                <w:color w:val="auto"/>
                <w:kern w:val="2"/>
                <w:highlight w:val="none"/>
              </w:rPr>
              <w:t>.1</w:t>
            </w:r>
          </w:p>
        </w:tc>
        <w:tc>
          <w:tcPr>
            <w:tcW w:w="977" w:type="pct"/>
            <w:vAlign w:val="center"/>
          </w:tcPr>
          <w:p w14:paraId="6DE63D52">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成交通知书发出的形式</w:t>
            </w:r>
          </w:p>
        </w:tc>
        <w:tc>
          <w:tcPr>
            <w:tcW w:w="3556" w:type="pct"/>
            <w:vAlign w:val="center"/>
          </w:tcPr>
          <w:p w14:paraId="67DF36F2">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lang w:eastAsia="zh-CN"/>
              </w:rPr>
              <w:t>☑</w:t>
            </w:r>
            <w:r>
              <w:rPr>
                <w:rFonts w:hint="eastAsia"/>
                <w:b w:val="0"/>
                <w:color w:val="auto"/>
                <w:sz w:val="24"/>
                <w:highlight w:val="none"/>
              </w:rPr>
              <w:t xml:space="preserve">书面 </w:t>
            </w:r>
            <w:r>
              <w:rPr>
                <w:b w:val="0"/>
                <w:color w:val="auto"/>
                <w:sz w:val="24"/>
                <w:highlight w:val="none"/>
              </w:rPr>
              <w:t xml:space="preserve">    </w:t>
            </w:r>
            <w:r>
              <w:rPr>
                <w:rFonts w:hint="eastAsia"/>
                <w:b w:val="0"/>
                <w:bCs w:val="0"/>
                <w:color w:val="auto"/>
                <w:sz w:val="24"/>
                <w:szCs w:val="24"/>
                <w:highlight w:val="none"/>
              </w:rPr>
              <w:sym w:font="Wingdings" w:char="00A8"/>
            </w:r>
            <w:r>
              <w:rPr>
                <w:rFonts w:hint="eastAsia"/>
                <w:b w:val="0"/>
                <w:color w:val="auto"/>
                <w:sz w:val="24"/>
                <w:highlight w:val="none"/>
              </w:rPr>
              <w:t>数据电文</w:t>
            </w:r>
          </w:p>
        </w:tc>
      </w:tr>
      <w:tr w14:paraId="3CC26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4D879EF4">
            <w:pPr>
              <w:pStyle w:val="77"/>
              <w:pBdr>
                <w:bottom w:val="none" w:color="auto" w:sz="0" w:space="0"/>
              </w:pBdr>
              <w:tabs>
                <w:tab w:val="clear" w:pos="4153"/>
                <w:tab w:val="clear" w:pos="8306"/>
              </w:tabs>
              <w:adjustRightInd/>
              <w:spacing w:line="240" w:lineRule="auto"/>
              <w:textAlignment w:val="auto"/>
              <w:rPr>
                <w:rFonts w:hint="eastAsia" w:ascii="宋体" w:hAnsi="宋体" w:eastAsia="宋体" w:cstheme="minorBidi"/>
                <w:bCs/>
                <w:color w:val="auto"/>
                <w:kern w:val="2"/>
                <w:sz w:val="24"/>
                <w:szCs w:val="20"/>
                <w:highlight w:val="none"/>
                <w:lang w:val="en-US" w:eastAsia="zh-CN" w:bidi="ar-SA"/>
              </w:rPr>
            </w:pPr>
            <w:r>
              <w:rPr>
                <w:rFonts w:hint="eastAsia" w:ascii="宋体" w:hAnsi="宋体" w:eastAsia="宋体" w:cs="宋体"/>
                <w:b w:val="0"/>
                <w:bCs/>
                <w:color w:val="auto"/>
                <w:sz w:val="24"/>
                <w:szCs w:val="24"/>
                <w:highlight w:val="none"/>
                <w:lang w:val="en-US" w:eastAsia="zh-CN"/>
              </w:rPr>
              <w:t>2</w:t>
            </w:r>
            <w:r>
              <w:rPr>
                <w:rFonts w:hint="eastAsia" w:cs="宋体"/>
                <w:b w:val="0"/>
                <w:bCs/>
                <w:color w:val="auto"/>
                <w:sz w:val="24"/>
                <w:szCs w:val="24"/>
                <w:highlight w:val="none"/>
                <w:lang w:val="en-US" w:eastAsia="zh-CN"/>
              </w:rPr>
              <w:t>4</w:t>
            </w:r>
            <w:r>
              <w:rPr>
                <w:rFonts w:hint="eastAsia" w:ascii="宋体" w:hAnsi="宋体" w:eastAsia="宋体" w:cs="宋体"/>
                <w:b w:val="0"/>
                <w:bCs/>
                <w:color w:val="auto"/>
                <w:sz w:val="24"/>
                <w:szCs w:val="24"/>
                <w:highlight w:val="none"/>
                <w:lang w:val="en-US" w:eastAsia="zh-CN"/>
              </w:rPr>
              <w:t>.1</w:t>
            </w:r>
          </w:p>
        </w:tc>
        <w:tc>
          <w:tcPr>
            <w:tcW w:w="977" w:type="pct"/>
            <w:vAlign w:val="center"/>
          </w:tcPr>
          <w:p w14:paraId="5805A565">
            <w:pPr>
              <w:pStyle w:val="76"/>
              <w:widowControl w:val="0"/>
              <w:spacing w:before="0" w:beforeAutospacing="0" w:after="0" w:afterAutospacing="0" w:line="360" w:lineRule="auto"/>
              <w:jc w:val="both"/>
              <w:rPr>
                <w:rFonts w:hint="eastAsia" w:ascii="宋体" w:hAnsi="宋体" w:eastAsia="宋体" w:cstheme="minorBidi"/>
                <w:b w:val="0"/>
                <w:bCs/>
                <w:color w:val="auto"/>
                <w:sz w:val="24"/>
                <w:szCs w:val="28"/>
                <w:highlight w:val="none"/>
                <w:lang w:val="en-US" w:eastAsia="zh-CN" w:bidi="ar-SA"/>
              </w:rPr>
            </w:pPr>
            <w:r>
              <w:rPr>
                <w:rFonts w:hint="eastAsia" w:ascii="宋体" w:hAnsi="宋体" w:eastAsia="宋体" w:cs="宋体"/>
                <w:b w:val="0"/>
                <w:bCs/>
                <w:color w:val="auto"/>
                <w:sz w:val="24"/>
                <w:szCs w:val="24"/>
                <w:highlight w:val="none"/>
                <w:lang w:val="en-US" w:eastAsia="zh-CN"/>
              </w:rPr>
              <w:t>告知谈判结果的形式</w:t>
            </w:r>
          </w:p>
        </w:tc>
        <w:tc>
          <w:tcPr>
            <w:tcW w:w="3556" w:type="pct"/>
            <w:vAlign w:val="center"/>
          </w:tcPr>
          <w:p w14:paraId="672421D7">
            <w:pPr>
              <w:pStyle w:val="76"/>
              <w:widowControl w:val="0"/>
              <w:spacing w:before="0" w:beforeAutospacing="0" w:after="0" w:afterAutospacing="0" w:line="360" w:lineRule="auto"/>
              <w:jc w:val="both"/>
              <w:rPr>
                <w:rFonts w:hint="eastAsia" w:ascii="宋体" w:hAnsi="宋体" w:eastAsia="宋体" w:cs="宋体"/>
                <w:b w:val="0"/>
                <w:bCs/>
                <w:color w:val="auto"/>
                <w:sz w:val="24"/>
                <w:szCs w:val="24"/>
                <w:highlight w:val="none"/>
                <w:lang w:val="en-US" w:eastAsia="zh-CN"/>
              </w:rPr>
            </w:pPr>
            <w:r>
              <w:rPr>
                <w:rFonts w:hint="eastAsia" w:asciiTheme="minorEastAsia" w:hAnsiTheme="minorEastAsia" w:eastAsiaTheme="minorEastAsia"/>
                <w:b w:val="0"/>
                <w:bCs w:val="0"/>
                <w:color w:val="auto"/>
                <w:kern w:val="2"/>
                <w:sz w:val="24"/>
                <w:szCs w:val="24"/>
                <w:highlight w:val="none"/>
                <w:lang w:eastAsia="zh-CN"/>
              </w:rPr>
              <w:t>☑</w:t>
            </w:r>
            <w:r>
              <w:rPr>
                <w:rFonts w:hint="eastAsia" w:ascii="宋体" w:hAnsi="宋体" w:eastAsia="宋体" w:cs="宋体"/>
                <w:b w:val="0"/>
                <w:bCs/>
                <w:color w:val="auto"/>
                <w:sz w:val="24"/>
                <w:szCs w:val="24"/>
                <w:highlight w:val="none"/>
                <w:lang w:val="en-US" w:eastAsia="zh-CN"/>
              </w:rPr>
              <w:t>供应商自行登录电子</w:t>
            </w:r>
            <w:r>
              <w:rPr>
                <w:rFonts w:hint="eastAsia" w:ascii="宋体" w:hAnsi="宋体" w:eastAsia="宋体" w:cs="宋体"/>
                <w:b w:val="0"/>
                <w:bCs w:val="0"/>
                <w:color w:val="auto"/>
                <w:sz w:val="24"/>
                <w:szCs w:val="24"/>
                <w:highlight w:val="none"/>
                <w:lang w:val="en-US" w:eastAsia="zh-CN"/>
              </w:rPr>
              <w:t>交易</w:t>
            </w:r>
            <w:r>
              <w:rPr>
                <w:rFonts w:hint="eastAsia" w:ascii="宋体" w:hAnsi="宋体" w:eastAsia="宋体" w:cs="宋体"/>
                <w:b w:val="0"/>
                <w:bCs/>
                <w:color w:val="auto"/>
                <w:sz w:val="24"/>
                <w:szCs w:val="24"/>
                <w:highlight w:val="none"/>
                <w:lang w:val="en-US" w:eastAsia="zh-CN"/>
              </w:rPr>
              <w:t>系统查看</w:t>
            </w:r>
          </w:p>
          <w:p w14:paraId="56FB7CFC">
            <w:pPr>
              <w:pStyle w:val="76"/>
              <w:widowControl w:val="0"/>
              <w:spacing w:before="0" w:beforeAutospacing="0" w:after="0" w:afterAutospacing="0" w:line="360" w:lineRule="auto"/>
              <w:jc w:val="both"/>
              <w:rPr>
                <w:rFonts w:hint="eastAsia" w:ascii="宋体" w:hAnsi="宋体" w:eastAsia="宋体"/>
                <w:b w:val="0"/>
                <w:color w:val="auto"/>
                <w:sz w:val="24"/>
                <w:highlight w:val="none"/>
                <w:lang w:val="en-US" w:eastAsia="zh-CN"/>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b w:val="0"/>
                <w:color w:val="auto"/>
                <w:sz w:val="24"/>
                <w:highlight w:val="none"/>
                <w:lang w:val="en-US" w:eastAsia="zh-CN"/>
              </w:rPr>
              <w:t>谈判现场告知</w:t>
            </w:r>
          </w:p>
        </w:tc>
      </w:tr>
      <w:tr w14:paraId="386E3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21FD45EB">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lang w:val="en-US" w:eastAsia="zh-CN"/>
              </w:rPr>
              <w:t>25</w:t>
            </w:r>
            <w:r>
              <w:rPr>
                <w:bCs/>
                <w:color w:val="auto"/>
                <w:kern w:val="2"/>
                <w:highlight w:val="none"/>
              </w:rPr>
              <w:t>.1</w:t>
            </w:r>
          </w:p>
        </w:tc>
        <w:tc>
          <w:tcPr>
            <w:tcW w:w="977" w:type="pct"/>
            <w:vAlign w:val="center"/>
          </w:tcPr>
          <w:p w14:paraId="6CB0998D">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履约保证金</w:t>
            </w:r>
          </w:p>
        </w:tc>
        <w:tc>
          <w:tcPr>
            <w:tcW w:w="3556" w:type="pct"/>
          </w:tcPr>
          <w:p w14:paraId="0FEE1612">
            <w:pPr>
              <w:spacing w:line="360" w:lineRule="auto"/>
              <w:rPr>
                <w:rFonts w:cs="@仿宋_GB2312"/>
                <w:bCs/>
                <w:color w:val="auto"/>
                <w:sz w:val="24"/>
                <w:szCs w:val="28"/>
                <w:highlight w:val="none"/>
              </w:rPr>
            </w:pPr>
            <w:r>
              <w:rPr>
                <w:rFonts w:hint="eastAsia" w:cs="@仿宋_GB2312"/>
                <w:bCs/>
                <w:color w:val="auto"/>
                <w:sz w:val="24"/>
                <w:szCs w:val="28"/>
                <w:highlight w:val="none"/>
              </w:rPr>
              <w:t>（1）金额：</w:t>
            </w:r>
          </w:p>
          <w:p w14:paraId="58099F16">
            <w:pPr>
              <w:spacing w:line="360" w:lineRule="auto"/>
              <w:rPr>
                <w:rFonts w:cs="@仿宋_GB2312"/>
                <w:bCs/>
                <w:color w:val="auto"/>
                <w:sz w:val="24"/>
                <w:szCs w:val="28"/>
                <w:highlight w:val="none"/>
              </w:rPr>
            </w:pPr>
            <w:r>
              <w:rPr>
                <w:rFonts w:hint="eastAsia" w:cs="@仿宋_GB2312"/>
                <w:bCs/>
                <w:color w:val="auto"/>
                <w:sz w:val="24"/>
                <w:szCs w:val="28"/>
                <w:highlight w:val="none"/>
                <w:lang w:eastAsia="zh-CN"/>
              </w:rPr>
              <w:t>☑</w:t>
            </w:r>
            <w:r>
              <w:rPr>
                <w:rFonts w:hint="eastAsia" w:cs="@仿宋_GB2312"/>
                <w:bCs/>
                <w:color w:val="auto"/>
                <w:sz w:val="24"/>
                <w:szCs w:val="28"/>
                <w:highlight w:val="none"/>
              </w:rPr>
              <w:t>免收</w:t>
            </w:r>
          </w:p>
          <w:p w14:paraId="251E4953">
            <w:pPr>
              <w:spacing w:line="360" w:lineRule="auto"/>
              <w:rPr>
                <w:rFonts w:cs="@仿宋_GB2312"/>
                <w:bCs/>
                <w:color w:val="auto"/>
                <w:sz w:val="24"/>
                <w:szCs w:val="28"/>
                <w:highlight w:val="none"/>
              </w:rPr>
            </w:pPr>
            <w:r>
              <w:rPr>
                <w:rFonts w:cs="@仿宋_GB2312"/>
                <w:bCs/>
                <w:color w:val="auto"/>
                <w:sz w:val="24"/>
                <w:szCs w:val="28"/>
                <w:highlight w:val="none"/>
              </w:rPr>
              <w:t>□</w:t>
            </w:r>
            <w:r>
              <w:rPr>
                <w:rFonts w:hint="eastAsia" w:cs="@仿宋_GB2312"/>
                <w:bCs/>
                <w:color w:val="auto"/>
                <w:sz w:val="24"/>
                <w:szCs w:val="28"/>
                <w:highlight w:val="none"/>
              </w:rPr>
              <w:t>合同价的</w:t>
            </w:r>
            <w:r>
              <w:rPr>
                <w:rFonts w:cs="@仿宋_GB2312"/>
                <w:bCs/>
                <w:color w:val="auto"/>
                <w:sz w:val="24"/>
                <w:szCs w:val="28"/>
                <w:highlight w:val="none"/>
                <w:u w:val="single"/>
              </w:rPr>
              <w:t xml:space="preserve"> </w:t>
            </w:r>
            <w:r>
              <w:rPr>
                <w:rFonts w:hint="eastAsia" w:cs="@仿宋_GB2312"/>
                <w:bCs/>
                <w:color w:val="auto"/>
                <w:sz w:val="24"/>
                <w:szCs w:val="28"/>
                <w:highlight w:val="none"/>
                <w:u w:val="single"/>
                <w:lang w:val="en-US" w:eastAsia="zh-CN"/>
              </w:rPr>
              <w:t>/</w:t>
            </w:r>
            <w:r>
              <w:rPr>
                <w:rFonts w:cs="@仿宋_GB2312"/>
                <w:bCs/>
                <w:color w:val="auto"/>
                <w:sz w:val="24"/>
                <w:szCs w:val="28"/>
                <w:highlight w:val="none"/>
                <w:u w:val="single"/>
              </w:rPr>
              <w:t xml:space="preserve"> </w:t>
            </w:r>
            <w:r>
              <w:rPr>
                <w:rFonts w:cs="@仿宋_GB2312"/>
                <w:bCs/>
                <w:color w:val="auto"/>
                <w:sz w:val="24"/>
                <w:szCs w:val="28"/>
                <w:highlight w:val="none"/>
              </w:rPr>
              <w:t>%</w:t>
            </w:r>
          </w:p>
          <w:p w14:paraId="411947E8">
            <w:pPr>
              <w:spacing w:line="360" w:lineRule="auto"/>
              <w:rPr>
                <w:rFonts w:cs="@仿宋_GB2312"/>
                <w:bCs/>
                <w:color w:val="auto"/>
                <w:sz w:val="24"/>
                <w:szCs w:val="28"/>
                <w:highlight w:val="none"/>
              </w:rPr>
            </w:pPr>
            <w:r>
              <w:rPr>
                <w:rFonts w:cs="@仿宋_GB2312"/>
                <w:bCs/>
                <w:color w:val="auto"/>
                <w:sz w:val="24"/>
                <w:szCs w:val="28"/>
                <w:highlight w:val="none"/>
              </w:rPr>
              <w:t>□</w:t>
            </w:r>
            <w:r>
              <w:rPr>
                <w:rFonts w:hint="eastAsia" w:cs="@仿宋_GB2312"/>
                <w:bCs/>
                <w:color w:val="auto"/>
                <w:sz w:val="24"/>
                <w:szCs w:val="28"/>
                <w:highlight w:val="none"/>
              </w:rPr>
              <w:t>定额收取：人民币</w:t>
            </w:r>
            <w:r>
              <w:rPr>
                <w:rFonts w:hint="eastAsia" w:cs="@仿宋_GB2312"/>
                <w:bCs/>
                <w:color w:val="auto"/>
                <w:sz w:val="24"/>
                <w:szCs w:val="28"/>
                <w:highlight w:val="none"/>
                <w:u w:val="single"/>
              </w:rPr>
              <w:t xml:space="preserve">     </w:t>
            </w:r>
            <w:r>
              <w:rPr>
                <w:rFonts w:hint="eastAsia" w:cs="@仿宋_GB2312"/>
                <w:bCs/>
                <w:color w:val="auto"/>
                <w:sz w:val="24"/>
                <w:szCs w:val="28"/>
                <w:highlight w:val="none"/>
                <w:u w:val="single"/>
                <w:lang w:val="en-US" w:eastAsia="zh-CN"/>
              </w:rPr>
              <w:t>/</w:t>
            </w:r>
            <w:r>
              <w:rPr>
                <w:rFonts w:hint="eastAsia" w:cs="@仿宋_GB2312"/>
                <w:bCs/>
                <w:color w:val="auto"/>
                <w:sz w:val="24"/>
                <w:szCs w:val="28"/>
                <w:highlight w:val="none"/>
                <w:u w:val="single"/>
              </w:rPr>
              <w:t xml:space="preserve">   </w:t>
            </w:r>
            <w:r>
              <w:rPr>
                <w:rFonts w:hint="eastAsia" w:cs="@仿宋_GB2312"/>
                <w:bCs/>
                <w:color w:val="auto"/>
                <w:sz w:val="24"/>
                <w:szCs w:val="28"/>
                <w:highlight w:val="none"/>
              </w:rPr>
              <w:t>元</w:t>
            </w:r>
          </w:p>
          <w:p w14:paraId="267F1048">
            <w:pPr>
              <w:spacing w:line="360" w:lineRule="auto"/>
              <w:rPr>
                <w:rFonts w:cs="@仿宋_GB2312"/>
                <w:bCs/>
                <w:color w:val="auto"/>
                <w:sz w:val="24"/>
                <w:szCs w:val="28"/>
                <w:highlight w:val="none"/>
              </w:rPr>
            </w:pPr>
            <w:r>
              <w:rPr>
                <w:rFonts w:hint="eastAsia" w:cs="@仿宋_GB2312"/>
                <w:bCs/>
                <w:color w:val="auto"/>
                <w:sz w:val="24"/>
                <w:szCs w:val="28"/>
                <w:highlight w:val="none"/>
              </w:rPr>
              <w:t>（2）支付方式：</w:t>
            </w:r>
          </w:p>
          <w:p w14:paraId="0DC9A10D">
            <w:pPr>
              <w:spacing w:line="360" w:lineRule="auto"/>
              <w:rPr>
                <w:rFonts w:cs="@仿宋_GB2312"/>
                <w:bCs/>
                <w:color w:val="auto"/>
                <w:sz w:val="24"/>
                <w:szCs w:val="28"/>
                <w:highlight w:val="none"/>
              </w:rPr>
            </w:pPr>
            <w:r>
              <w:rPr>
                <w:rFonts w:hint="eastAsia" w:cs="@仿宋_GB2312"/>
                <w:bCs/>
                <w:color w:val="auto"/>
                <w:sz w:val="24"/>
                <w:szCs w:val="28"/>
                <w:highlight w:val="none"/>
              </w:rPr>
              <w:sym w:font="Wingdings" w:char="00A8"/>
            </w:r>
            <w:r>
              <w:rPr>
                <w:rFonts w:cs="@仿宋_GB2312"/>
                <w:bCs/>
                <w:color w:val="auto"/>
                <w:sz w:val="24"/>
                <w:szCs w:val="28"/>
                <w:highlight w:val="none"/>
              </w:rPr>
              <w:t>转账/电汇</w:t>
            </w:r>
            <w:r>
              <w:rPr>
                <w:rFonts w:hint="eastAsia" w:cs="@仿宋_GB2312"/>
                <w:bCs/>
                <w:color w:val="auto"/>
                <w:sz w:val="24"/>
                <w:szCs w:val="28"/>
                <w:highlight w:val="none"/>
              </w:rPr>
              <w:t xml:space="preserve"> </w:t>
            </w:r>
            <w:r>
              <w:rPr>
                <w:rFonts w:hint="eastAsia" w:cs="@仿宋_GB2312"/>
                <w:bCs/>
                <w:color w:val="auto"/>
                <w:sz w:val="24"/>
                <w:szCs w:val="28"/>
                <w:highlight w:val="none"/>
              </w:rPr>
              <w:sym w:font="Wingdings" w:char="00A8"/>
            </w:r>
            <w:r>
              <w:rPr>
                <w:rFonts w:cs="@仿宋_GB2312"/>
                <w:bCs/>
                <w:color w:val="auto"/>
                <w:sz w:val="24"/>
                <w:szCs w:val="28"/>
                <w:highlight w:val="none"/>
              </w:rPr>
              <w:t xml:space="preserve">支票 </w:t>
            </w:r>
            <w:r>
              <w:rPr>
                <w:rFonts w:hint="eastAsia" w:cs="@仿宋_GB2312"/>
                <w:bCs/>
                <w:color w:val="auto"/>
                <w:sz w:val="24"/>
                <w:szCs w:val="28"/>
                <w:highlight w:val="none"/>
              </w:rPr>
              <w:sym w:font="Wingdings" w:char="00A8"/>
            </w:r>
            <w:r>
              <w:rPr>
                <w:rFonts w:cs="@仿宋_GB2312"/>
                <w:bCs/>
                <w:color w:val="auto"/>
                <w:sz w:val="24"/>
                <w:szCs w:val="28"/>
                <w:highlight w:val="none"/>
              </w:rPr>
              <w:t>汇票</w:t>
            </w:r>
            <w:r>
              <w:rPr>
                <w:rFonts w:hint="eastAsia" w:cs="@仿宋_GB2312"/>
                <w:bCs/>
                <w:color w:val="auto"/>
                <w:sz w:val="24"/>
                <w:szCs w:val="28"/>
                <w:highlight w:val="none"/>
              </w:rPr>
              <w:t xml:space="preserve"> </w:t>
            </w:r>
            <w:r>
              <w:rPr>
                <w:rFonts w:hint="eastAsia" w:cs="@仿宋_GB2312"/>
                <w:bCs/>
                <w:color w:val="auto"/>
                <w:sz w:val="24"/>
                <w:szCs w:val="28"/>
                <w:highlight w:val="none"/>
              </w:rPr>
              <w:sym w:font="Wingdings" w:char="00A8"/>
            </w:r>
            <w:r>
              <w:rPr>
                <w:rFonts w:hint="eastAsia" w:cs="@仿宋_GB2312"/>
                <w:bCs/>
                <w:color w:val="auto"/>
                <w:sz w:val="24"/>
                <w:szCs w:val="28"/>
                <w:highlight w:val="none"/>
              </w:rPr>
              <w:t xml:space="preserve">本票 </w:t>
            </w:r>
            <w:r>
              <w:rPr>
                <w:rFonts w:hint="eastAsia" w:cs="@仿宋_GB2312"/>
                <w:bCs/>
                <w:color w:val="auto"/>
                <w:sz w:val="24"/>
                <w:szCs w:val="28"/>
                <w:highlight w:val="none"/>
              </w:rPr>
              <w:sym w:font="Wingdings" w:char="00A8"/>
            </w:r>
            <w:r>
              <w:rPr>
                <w:rFonts w:cs="@仿宋_GB2312"/>
                <w:bCs/>
                <w:color w:val="auto"/>
                <w:sz w:val="24"/>
                <w:szCs w:val="28"/>
                <w:highlight w:val="none"/>
              </w:rPr>
              <w:t>保</w:t>
            </w:r>
            <w:r>
              <w:rPr>
                <w:rFonts w:hint="eastAsia" w:cs="@仿宋_GB2312"/>
                <w:bCs/>
                <w:color w:val="auto"/>
                <w:sz w:val="24"/>
                <w:szCs w:val="28"/>
                <w:highlight w:val="none"/>
              </w:rPr>
              <w:t xml:space="preserve">险 </w:t>
            </w:r>
            <w:r>
              <w:rPr>
                <w:rFonts w:hint="eastAsia" w:cs="@仿宋_GB2312"/>
                <w:bCs/>
                <w:color w:val="auto"/>
                <w:sz w:val="24"/>
                <w:szCs w:val="28"/>
                <w:highlight w:val="none"/>
              </w:rPr>
              <w:sym w:font="Wingdings" w:char="00A8"/>
            </w:r>
            <w:r>
              <w:rPr>
                <w:rFonts w:hint="eastAsia" w:cs="@仿宋_GB2312"/>
                <w:bCs/>
                <w:color w:val="auto"/>
                <w:sz w:val="24"/>
                <w:szCs w:val="28"/>
                <w:highlight w:val="none"/>
              </w:rPr>
              <w:t>保</w:t>
            </w:r>
            <w:r>
              <w:rPr>
                <w:rFonts w:cs="@仿宋_GB2312"/>
                <w:bCs/>
                <w:color w:val="auto"/>
                <w:sz w:val="24"/>
                <w:szCs w:val="28"/>
                <w:highlight w:val="none"/>
              </w:rPr>
              <w:t>函</w:t>
            </w:r>
          </w:p>
          <w:p w14:paraId="1D5EEB9A">
            <w:pPr>
              <w:numPr>
                <w:ilvl w:val="0"/>
                <w:numId w:val="0"/>
              </w:num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3</w:t>
            </w: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收取单位：</w:t>
            </w:r>
            <w:r>
              <w:rPr>
                <w:rFonts w:hint="eastAsia" w:ascii="宋体" w:hAnsi="宋体" w:eastAsia="宋体"/>
                <w:bCs/>
                <w:color w:val="auto"/>
                <w:kern w:val="0"/>
                <w:sz w:val="24"/>
                <w:szCs w:val="28"/>
                <w:highlight w:val="none"/>
                <w:u w:val="single"/>
              </w:rPr>
              <w:t xml:space="preserve">     </w:t>
            </w:r>
            <w:r>
              <w:rPr>
                <w:rFonts w:hint="eastAsia"/>
                <w:bCs/>
                <w:color w:val="auto"/>
                <w:kern w:val="0"/>
                <w:sz w:val="24"/>
                <w:szCs w:val="28"/>
                <w:highlight w:val="none"/>
                <w:u w:val="single"/>
                <w:lang w:val="en-US" w:eastAsia="zh-CN"/>
              </w:rPr>
              <w:t>/</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rPr>
              <w:t xml:space="preserve">              </w:t>
            </w:r>
          </w:p>
          <w:p w14:paraId="4F3466F8">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val="en-US" w:eastAsia="zh-CN"/>
              </w:rPr>
              <w:t>（4）收取账号：</w:t>
            </w:r>
            <w:r>
              <w:rPr>
                <w:rFonts w:hint="eastAsia" w:ascii="宋体" w:hAnsi="宋体" w:eastAsia="宋体"/>
                <w:bCs/>
                <w:color w:val="auto"/>
                <w:kern w:val="0"/>
                <w:sz w:val="24"/>
                <w:szCs w:val="28"/>
                <w:highlight w:val="none"/>
                <w:u w:val="single"/>
              </w:rPr>
              <w:t xml:space="preserve">     </w:t>
            </w:r>
            <w:r>
              <w:rPr>
                <w:rFonts w:hint="eastAsia"/>
                <w:bCs/>
                <w:color w:val="auto"/>
                <w:kern w:val="0"/>
                <w:sz w:val="24"/>
                <w:szCs w:val="28"/>
                <w:highlight w:val="none"/>
                <w:u w:val="single"/>
                <w:lang w:val="en-US" w:eastAsia="zh-CN"/>
              </w:rPr>
              <w:t>/</w:t>
            </w:r>
            <w:r>
              <w:rPr>
                <w:rFonts w:hint="eastAsia" w:ascii="宋体" w:hAnsi="宋体" w:eastAsia="宋体"/>
                <w:bCs/>
                <w:color w:val="auto"/>
                <w:kern w:val="0"/>
                <w:sz w:val="24"/>
                <w:szCs w:val="28"/>
                <w:highlight w:val="none"/>
                <w:u w:val="single"/>
              </w:rPr>
              <w:t xml:space="preserve">        </w:t>
            </w:r>
          </w:p>
          <w:p w14:paraId="71639C4C">
            <w:pPr>
              <w:spacing w:line="360" w:lineRule="auto"/>
              <w:rPr>
                <w:rFonts w:ascii="宋体" w:hAnsi="宋体" w:eastAsia="宋体"/>
                <w:color w:val="auto"/>
                <w:sz w:val="24"/>
                <w:highlight w:val="none"/>
              </w:rPr>
            </w:pPr>
            <w:r>
              <w:rPr>
                <w:rFonts w:hint="eastAsia"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lang w:val="en-US" w:eastAsia="zh-CN"/>
              </w:rPr>
              <w:t>5</w:t>
            </w:r>
            <w:r>
              <w:rPr>
                <w:rFonts w:hint="eastAsia" w:ascii="宋体" w:hAnsi="宋体" w:eastAsia="宋体"/>
                <w:bCs/>
                <w:color w:val="auto"/>
                <w:kern w:val="0"/>
                <w:sz w:val="24"/>
                <w:szCs w:val="28"/>
                <w:highlight w:val="none"/>
              </w:rPr>
              <w:t>）</w:t>
            </w:r>
            <w:r>
              <w:rPr>
                <w:rFonts w:hint="eastAsia" w:ascii="宋体" w:hAnsi="宋体" w:eastAsia="宋体"/>
                <w:color w:val="auto"/>
                <w:sz w:val="24"/>
                <w:highlight w:val="none"/>
              </w:rPr>
              <w:t>退还时间：</w:t>
            </w:r>
            <w:r>
              <w:rPr>
                <w:rFonts w:hint="eastAsia" w:ascii="宋体" w:hAnsi="宋体" w:eastAsia="宋体"/>
                <w:bCs/>
                <w:color w:val="auto"/>
                <w:kern w:val="0"/>
                <w:sz w:val="24"/>
                <w:szCs w:val="28"/>
                <w:highlight w:val="none"/>
                <w:u w:val="single"/>
              </w:rPr>
              <w:t xml:space="preserve">     </w:t>
            </w:r>
            <w:r>
              <w:rPr>
                <w:rFonts w:hint="eastAsia"/>
                <w:bCs/>
                <w:color w:val="auto"/>
                <w:kern w:val="0"/>
                <w:sz w:val="24"/>
                <w:szCs w:val="28"/>
                <w:highlight w:val="none"/>
                <w:u w:val="single"/>
                <w:lang w:val="en-US" w:eastAsia="zh-CN"/>
              </w:rPr>
              <w:t>/</w:t>
            </w:r>
            <w:r>
              <w:rPr>
                <w:rFonts w:hint="eastAsia" w:ascii="宋体" w:hAnsi="宋体" w:eastAsia="宋体"/>
                <w:bCs/>
                <w:color w:val="auto"/>
                <w:kern w:val="0"/>
                <w:sz w:val="24"/>
                <w:szCs w:val="28"/>
                <w:highlight w:val="none"/>
                <w:u w:val="single"/>
              </w:rPr>
              <w:t xml:space="preserve">        </w:t>
            </w:r>
          </w:p>
          <w:p w14:paraId="1D5CD9C3">
            <w:pPr>
              <w:spacing w:line="360" w:lineRule="auto"/>
              <w:rPr>
                <w:rFonts w:cs="@仿宋_GB2312"/>
                <w:b/>
                <w:bCs/>
                <w:color w:val="auto"/>
                <w:sz w:val="24"/>
                <w:szCs w:val="24"/>
                <w:highlight w:val="none"/>
              </w:rPr>
            </w:pPr>
            <w:r>
              <w:rPr>
                <w:rFonts w:hint="eastAsia" w:cs="@仿宋_GB2312"/>
                <w:b/>
                <w:bCs/>
                <w:color w:val="auto"/>
                <w:sz w:val="24"/>
                <w:szCs w:val="24"/>
                <w:highlight w:val="none"/>
              </w:rPr>
              <w:t>注意事项：</w:t>
            </w:r>
          </w:p>
          <w:p w14:paraId="3684A74C">
            <w:pPr>
              <w:spacing w:line="360" w:lineRule="auto"/>
              <w:rPr>
                <w:rFonts w:cs="@仿宋_GB2312"/>
                <w:b/>
                <w:bCs/>
                <w:color w:val="auto"/>
                <w:sz w:val="24"/>
                <w:szCs w:val="24"/>
                <w:highlight w:val="none"/>
              </w:rPr>
            </w:pPr>
            <w:r>
              <w:rPr>
                <w:rFonts w:hint="eastAsia" w:cs="@仿宋_GB2312"/>
                <w:b/>
                <w:bCs/>
                <w:color w:val="auto"/>
                <w:sz w:val="24"/>
                <w:szCs w:val="24"/>
                <w:highlight w:val="none"/>
              </w:rPr>
              <w:t>（1）以上各类机构出具的以担保函、保证保险承担责任的方式均须满足无条件见索即付条件。</w:t>
            </w:r>
          </w:p>
          <w:p w14:paraId="7D3446E7">
            <w:pPr>
              <w:pStyle w:val="76"/>
              <w:widowControl w:val="0"/>
              <w:spacing w:before="0" w:beforeAutospacing="0" w:after="0" w:afterAutospacing="0" w:line="360" w:lineRule="auto"/>
              <w:jc w:val="both"/>
              <w:rPr>
                <w:color w:val="auto"/>
                <w:sz w:val="24"/>
                <w:highlight w:val="none"/>
              </w:rPr>
            </w:pPr>
            <w:r>
              <w:rPr>
                <w:rFonts w:hint="eastAsia" w:cs="@仿宋_GB2312"/>
                <w:bCs w:val="0"/>
                <w:color w:val="auto"/>
                <w:sz w:val="24"/>
                <w:szCs w:val="24"/>
                <w:highlight w:val="none"/>
              </w:rPr>
              <w:t>（2）以担保函、保证保险形式缴纳履约保证金的，受益人和收取单位须为采购人。</w:t>
            </w:r>
          </w:p>
        </w:tc>
      </w:tr>
      <w:tr w14:paraId="66118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16A21895">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lang w:val="en-US" w:eastAsia="zh-CN"/>
              </w:rPr>
              <w:t>26.1</w:t>
            </w:r>
          </w:p>
        </w:tc>
        <w:tc>
          <w:tcPr>
            <w:tcW w:w="977" w:type="pct"/>
            <w:vAlign w:val="center"/>
          </w:tcPr>
          <w:p w14:paraId="04B4F0F8">
            <w:pPr>
              <w:pStyle w:val="76"/>
              <w:widowControl w:val="0"/>
              <w:spacing w:before="0" w:beforeAutospacing="0" w:after="0" w:afterAutospacing="0" w:line="360" w:lineRule="auto"/>
              <w:jc w:val="both"/>
              <w:rPr>
                <w:b w:val="0"/>
                <w:color w:val="auto"/>
                <w:sz w:val="24"/>
                <w:highlight w:val="none"/>
              </w:rPr>
            </w:pPr>
            <w:r>
              <w:rPr>
                <w:rFonts w:hint="eastAsia" w:ascii="宋体" w:hAnsi="宋体" w:eastAsia="宋体"/>
                <w:b w:val="0"/>
                <w:color w:val="auto"/>
                <w:sz w:val="24"/>
                <w:highlight w:val="none"/>
                <w:lang w:val="en-US" w:eastAsia="zh-CN"/>
              </w:rPr>
              <w:t>代理费用</w:t>
            </w:r>
          </w:p>
        </w:tc>
        <w:tc>
          <w:tcPr>
            <w:tcW w:w="3556" w:type="pct"/>
            <w:vAlign w:val="center"/>
          </w:tcPr>
          <w:p w14:paraId="4BCCB96B">
            <w:pPr>
              <w:keepNext w:val="0"/>
              <w:keepLines w:val="0"/>
              <w:pageBreakBefore w:val="0"/>
              <w:widowControl w:val="0"/>
              <w:kinsoku/>
              <w:wordWrap/>
              <w:overflowPunct/>
              <w:topLinePunct w:val="0"/>
              <w:autoSpaceDE/>
              <w:autoSpaceDN/>
              <w:bidi w:val="0"/>
              <w:adjustRightInd/>
              <w:snapToGrid/>
              <w:spacing w:before="39" w:line="360" w:lineRule="auto"/>
              <w:textAlignment w:val="auto"/>
              <w:rPr>
                <w:rFonts w:hint="default" w:ascii="宋体" w:hAnsi="宋体" w:eastAsia="宋体" w:cs="宋体"/>
                <w:color w:val="auto"/>
                <w:sz w:val="24"/>
                <w:szCs w:val="24"/>
                <w:highlight w:val="none"/>
                <w:lang w:val="en-US" w:eastAsia="zh-CN"/>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1</w:t>
            </w:r>
            <w:r>
              <w:rPr>
                <w:rFonts w:hint="eastAsia" w:ascii="宋体" w:hAnsi="宋体" w:eastAsia="宋体"/>
                <w:bCs/>
                <w:color w:val="auto"/>
                <w:kern w:val="0"/>
                <w:sz w:val="24"/>
                <w:szCs w:val="28"/>
                <w:highlight w:val="none"/>
                <w:lang w:eastAsia="zh-CN"/>
              </w:rPr>
              <w:t>）</w:t>
            </w:r>
            <w:r>
              <w:rPr>
                <w:rFonts w:hint="default"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t>□</w:t>
            </w:r>
            <w:r>
              <w:rPr>
                <w:rFonts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lang w:val="en-US" w:eastAsia="zh-CN"/>
              </w:rPr>
              <w:t xml:space="preserve">   </w:t>
            </w:r>
            <w:r>
              <w:rPr>
                <w:rFonts w:hint="eastAsia"/>
                <w:bCs/>
                <w:color w:val="auto"/>
                <w:kern w:val="0"/>
                <w:sz w:val="24"/>
                <w:szCs w:val="28"/>
                <w:highlight w:val="none"/>
                <w:lang w:eastAsia="zh-CN"/>
              </w:rPr>
              <w:t>☑</w:t>
            </w:r>
            <w:r>
              <w:rPr>
                <w:rFonts w:hint="eastAsia"/>
                <w:bCs/>
                <w:color w:val="auto"/>
                <w:kern w:val="0"/>
                <w:sz w:val="24"/>
                <w:szCs w:val="28"/>
                <w:highlight w:val="none"/>
                <w:lang w:val="en-US" w:eastAsia="zh-CN"/>
              </w:rPr>
              <w:t>成交供应商</w:t>
            </w:r>
          </w:p>
          <w:p w14:paraId="4E765F44">
            <w:pPr>
              <w:keepNext w:val="0"/>
              <w:keepLines w:val="0"/>
              <w:pageBreakBefore w:val="0"/>
              <w:widowControl w:val="0"/>
              <w:kinsoku/>
              <w:wordWrap/>
              <w:overflowPunct/>
              <w:topLinePunct w:val="0"/>
              <w:autoSpaceDE/>
              <w:autoSpaceDN/>
              <w:bidi w:val="0"/>
              <w:adjustRightInd/>
              <w:snapToGrid/>
              <w:spacing w:before="24" w:line="360" w:lineRule="auto"/>
              <w:textAlignment w:val="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hint="default"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color="auto"/>
              </w:rPr>
              <w:t>转账</w:t>
            </w:r>
            <w:r>
              <w:rPr>
                <w:rFonts w:hint="eastAsia" w:cs="宋体"/>
                <w:color w:val="auto"/>
                <w:sz w:val="24"/>
                <w:szCs w:val="24"/>
                <w:highlight w:val="none"/>
                <w:u w:val="single" w:color="auto"/>
                <w:lang w:eastAsia="zh-CN"/>
              </w:rPr>
              <w:t>，成交供应商在获取成交通知书时一次性支付给代理机构。</w:t>
            </w:r>
            <w:r>
              <w:rPr>
                <w:rFonts w:ascii="宋体" w:hAnsi="宋体" w:eastAsia="宋体" w:cs="宋体"/>
                <w:color w:val="auto"/>
                <w:sz w:val="24"/>
                <w:szCs w:val="24"/>
                <w:highlight w:val="none"/>
                <w:u w:val="single" w:color="auto"/>
              </w:rPr>
              <w:t xml:space="preserve"> </w:t>
            </w:r>
          </w:p>
          <w:p w14:paraId="469B97A4">
            <w:pPr>
              <w:pStyle w:val="7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bCs/>
                <w:color w:val="auto"/>
                <w:sz w:val="24"/>
                <w:szCs w:val="28"/>
                <w:highlight w:val="none"/>
              </w:rPr>
            </w:pPr>
            <w:r>
              <w:rPr>
                <w:rFonts w:hint="eastAsia" w:ascii="宋体" w:hAnsi="宋体" w:eastAsia="宋体"/>
                <w:b w:val="0"/>
                <w:bCs w:val="0"/>
                <w:color w:val="auto"/>
                <w:kern w:val="0"/>
                <w:sz w:val="24"/>
                <w:szCs w:val="28"/>
                <w:highlight w:val="none"/>
              </w:rPr>
              <w:t>（3）</w:t>
            </w:r>
            <w:r>
              <w:rPr>
                <w:rFonts w:hint="default" w:ascii="宋体" w:hAnsi="宋体" w:eastAsia="宋体" w:cs="@仿宋_GB2312"/>
                <w:b w:val="0"/>
                <w:bCs/>
                <w:color w:val="auto"/>
                <w:kern w:val="0"/>
                <w:sz w:val="24"/>
                <w:szCs w:val="28"/>
                <w:highlight w:val="none"/>
                <w:lang w:val="en-US" w:eastAsia="zh-CN" w:bidi="ar-SA"/>
              </w:rPr>
              <w:t>收费标准：</w:t>
            </w:r>
            <w:r>
              <w:rPr>
                <w:rFonts w:hint="eastAsia" w:ascii="宋体" w:hAnsi="宋体" w:eastAsia="宋体" w:cs="宋体"/>
                <w:b w:val="0"/>
                <w:bCs w:val="0"/>
                <w:color w:val="auto"/>
                <w:sz w:val="24"/>
                <w:szCs w:val="24"/>
                <w:highlight w:val="none"/>
                <w:u w:val="single" w:color="auto"/>
              </w:rPr>
              <w:t>本项目代理费为</w:t>
            </w:r>
            <w:r>
              <w:rPr>
                <w:rFonts w:hint="eastAsia" w:cs="宋体"/>
                <w:b w:val="0"/>
                <w:bCs w:val="0"/>
                <w:color w:val="auto"/>
                <w:sz w:val="24"/>
                <w:szCs w:val="24"/>
                <w:highlight w:val="none"/>
                <w:u w:val="single" w:color="auto"/>
                <w:lang w:val="en-US" w:eastAsia="zh-CN"/>
              </w:rPr>
              <w:t>3</w:t>
            </w:r>
            <w:r>
              <w:rPr>
                <w:rFonts w:hint="eastAsia" w:ascii="宋体" w:hAnsi="宋体" w:eastAsia="宋体" w:cs="宋体"/>
                <w:b w:val="0"/>
                <w:bCs w:val="0"/>
                <w:color w:val="auto"/>
                <w:sz w:val="24"/>
                <w:szCs w:val="24"/>
                <w:highlight w:val="none"/>
                <w:u w:val="single" w:color="auto"/>
              </w:rPr>
              <w:t>000元。</w:t>
            </w:r>
            <w:r>
              <w:rPr>
                <w:rFonts w:ascii="宋体" w:hAnsi="宋体" w:eastAsia="宋体" w:cs="宋体"/>
                <w:b w:val="0"/>
                <w:bCs w:val="0"/>
                <w:color w:val="auto"/>
                <w:sz w:val="24"/>
                <w:szCs w:val="24"/>
                <w:highlight w:val="none"/>
                <w:u w:val="single" w:color="auto"/>
              </w:rPr>
              <w:t xml:space="preserve"> </w:t>
            </w:r>
          </w:p>
        </w:tc>
      </w:tr>
      <w:tr w14:paraId="788DC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42295D0C">
            <w:pPr>
              <w:pStyle w:val="77"/>
              <w:pBdr>
                <w:bottom w:val="none" w:color="auto" w:sz="0" w:space="0"/>
              </w:pBdr>
              <w:tabs>
                <w:tab w:val="clear" w:pos="4153"/>
                <w:tab w:val="clear" w:pos="8306"/>
              </w:tabs>
              <w:adjustRightInd/>
              <w:spacing w:line="360" w:lineRule="auto"/>
              <w:textAlignment w:val="auto"/>
              <w:rPr>
                <w:rFonts w:hint="default" w:ascii="宋体" w:hAnsi="宋体" w:eastAsia="宋体" w:cs="@仿宋_GB2312"/>
                <w:bCs/>
                <w:color w:val="auto"/>
                <w:kern w:val="2"/>
                <w:sz w:val="24"/>
                <w:szCs w:val="20"/>
                <w:highlight w:val="none"/>
                <w:lang w:val="en-US" w:eastAsia="zh-CN" w:bidi="ar-SA"/>
              </w:rPr>
            </w:pPr>
            <w:r>
              <w:rPr>
                <w:rFonts w:hint="eastAsia"/>
                <w:bCs/>
                <w:color w:val="auto"/>
                <w:kern w:val="2"/>
                <w:highlight w:val="none"/>
                <w:lang w:val="en-US" w:eastAsia="zh-CN"/>
              </w:rPr>
              <w:t>27.1</w:t>
            </w:r>
          </w:p>
        </w:tc>
        <w:tc>
          <w:tcPr>
            <w:tcW w:w="977" w:type="pct"/>
            <w:vAlign w:val="center"/>
          </w:tcPr>
          <w:p w14:paraId="20109D72">
            <w:pPr>
              <w:pStyle w:val="76"/>
              <w:widowControl w:val="0"/>
              <w:spacing w:before="0" w:beforeAutospacing="0" w:after="0" w:afterAutospacing="0" w:line="360" w:lineRule="auto"/>
              <w:jc w:val="both"/>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b w:val="0"/>
                <w:color w:val="auto"/>
                <w:sz w:val="24"/>
                <w:highlight w:val="none"/>
                <w:lang w:val="en-US" w:eastAsia="zh-CN"/>
              </w:rPr>
              <w:t>签订合同</w:t>
            </w:r>
          </w:p>
        </w:tc>
        <w:tc>
          <w:tcPr>
            <w:tcW w:w="3556" w:type="pct"/>
            <w:vAlign w:val="center"/>
          </w:tcPr>
          <w:p w14:paraId="4DFFE19F">
            <w:pPr>
              <w:pStyle w:val="76"/>
              <w:widowControl w:val="0"/>
              <w:spacing w:before="0" w:beforeAutospacing="0" w:after="0" w:afterAutospacing="0" w:line="360" w:lineRule="auto"/>
              <w:jc w:val="both"/>
              <w:rPr>
                <w:rFonts w:hint="eastAsia" w:ascii="宋体" w:hAnsi="宋体" w:eastAsia="宋体"/>
                <w:b w:val="0"/>
                <w:color w:val="auto"/>
                <w:sz w:val="24"/>
                <w:highlight w:val="none"/>
                <w:lang w:val="en-US" w:eastAsia="zh-CN"/>
              </w:rPr>
            </w:pPr>
            <w:r>
              <w:rPr>
                <w:rFonts w:hint="eastAsia" w:ascii="宋体" w:hAnsi="宋体" w:eastAsia="宋体"/>
                <w:b w:val="0"/>
                <w:bCs/>
                <w:color w:val="auto"/>
                <w:sz w:val="24"/>
                <w:highlight w:val="none"/>
                <w:lang w:val="en-US" w:eastAsia="zh-CN"/>
              </w:rPr>
              <w:t>采购人与成交供应商应当自发出成交通知书之日起</w:t>
            </w:r>
            <w:r>
              <w:rPr>
                <w:rFonts w:hint="eastAsia"/>
                <w:b w:val="0"/>
                <w:bCs/>
                <w:color w:val="auto"/>
                <w:sz w:val="24"/>
                <w:highlight w:val="none"/>
                <w:lang w:val="en-US" w:eastAsia="zh-CN"/>
              </w:rPr>
              <w:t>30</w:t>
            </w:r>
            <w:r>
              <w:rPr>
                <w:rFonts w:hint="eastAsia" w:ascii="宋体" w:hAnsi="宋体" w:eastAsia="宋体"/>
                <w:b w:val="0"/>
                <w:bCs/>
                <w:color w:val="auto"/>
                <w:sz w:val="24"/>
                <w:highlight w:val="none"/>
                <w:lang w:val="en-US" w:eastAsia="zh-CN"/>
              </w:rPr>
              <w:t>日内签订合同。</w:t>
            </w:r>
          </w:p>
        </w:tc>
      </w:tr>
      <w:tr w14:paraId="5B785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6AED4C51">
            <w:pPr>
              <w:pStyle w:val="77"/>
              <w:pBdr>
                <w:bottom w:val="none" w:color="auto" w:sz="0" w:space="0"/>
              </w:pBdr>
              <w:tabs>
                <w:tab w:val="clear" w:pos="4153"/>
                <w:tab w:val="clear" w:pos="8306"/>
              </w:tabs>
              <w:adjustRightInd/>
              <w:spacing w:line="360" w:lineRule="auto"/>
              <w:textAlignment w:val="auto"/>
              <w:rPr>
                <w:rFonts w:hint="default" w:eastAsia="宋体"/>
                <w:bCs/>
                <w:color w:val="auto"/>
                <w:kern w:val="2"/>
                <w:highlight w:val="none"/>
                <w:lang w:val="en-US" w:eastAsia="zh-CN"/>
              </w:rPr>
            </w:pPr>
            <w:r>
              <w:rPr>
                <w:rFonts w:hint="eastAsia"/>
                <w:bCs/>
                <w:color w:val="auto"/>
                <w:kern w:val="2"/>
                <w:highlight w:val="none"/>
                <w:lang w:val="en-US" w:eastAsia="zh-CN"/>
              </w:rPr>
              <w:t>29.3</w:t>
            </w:r>
          </w:p>
        </w:tc>
        <w:tc>
          <w:tcPr>
            <w:tcW w:w="977" w:type="pct"/>
            <w:vAlign w:val="center"/>
          </w:tcPr>
          <w:p w14:paraId="4F960EC8">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质疑函递交方式、接收部门、联系电话和通讯地址</w:t>
            </w:r>
          </w:p>
        </w:tc>
        <w:tc>
          <w:tcPr>
            <w:tcW w:w="3556" w:type="pct"/>
            <w:vAlign w:val="center"/>
          </w:tcPr>
          <w:p w14:paraId="7EE65A50">
            <w:pPr>
              <w:pStyle w:val="76"/>
              <w:widowControl w:val="0"/>
              <w:spacing w:before="0" w:beforeAutospacing="0" w:after="0" w:afterAutospacing="0" w:line="360" w:lineRule="auto"/>
              <w:jc w:val="both"/>
              <w:rPr>
                <w:rFonts w:hint="eastAsia" w:ascii="宋体" w:hAnsi="宋体" w:eastAsia="宋体"/>
                <w:bCs/>
                <w:color w:val="auto"/>
                <w:kern w:val="0"/>
                <w:sz w:val="24"/>
                <w:szCs w:val="28"/>
                <w:highlight w:val="none"/>
                <w:u w:val="single"/>
              </w:rPr>
            </w:pPr>
            <w:r>
              <w:rPr>
                <w:rFonts w:hint="eastAsia" w:ascii="宋体" w:hAnsi="宋体" w:eastAsia="宋体"/>
                <w:b w:val="0"/>
                <w:color w:val="auto"/>
                <w:sz w:val="24"/>
                <w:highlight w:val="none"/>
              </w:rPr>
              <w:t>递交方式：</w:t>
            </w:r>
            <w:r>
              <w:rPr>
                <w:rFonts w:hint="eastAsia" w:ascii="宋体" w:hAnsi="宋体" w:eastAsia="宋体"/>
                <w:bCs/>
                <w:color w:val="auto"/>
                <w:kern w:val="0"/>
                <w:sz w:val="24"/>
                <w:szCs w:val="28"/>
                <w:highlight w:val="none"/>
                <w:u w:val="single"/>
              </w:rPr>
              <w:t>如供应商对采购文件有质疑，依据中华人民共和国财政部令第 94 号《政府采购质疑和投诉办法》规定提出质疑；</w:t>
            </w:r>
          </w:p>
          <w:p w14:paraId="5F15ACDE">
            <w:pPr>
              <w:pStyle w:val="7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Cs/>
                <w:color w:val="auto"/>
                <w:kern w:val="0"/>
                <w:sz w:val="24"/>
                <w:szCs w:val="28"/>
                <w:highlight w:val="none"/>
                <w:u w:val="single"/>
              </w:rPr>
              <w:t>供应商可以通过书面形式提出，也可以通过登录新点电子交易平台【滁州专区】线上提出。一份质疑函只能针对一个项目提出质疑，且针对同一采购程序环节的质疑应当一次性提出。</w:t>
            </w:r>
          </w:p>
          <w:p w14:paraId="2D8B7A57">
            <w:pPr>
              <w:pStyle w:val="76"/>
              <w:widowControl w:val="0"/>
              <w:spacing w:before="0" w:beforeAutospacing="0" w:after="0" w:afterAutospacing="0" w:line="360" w:lineRule="auto"/>
              <w:jc w:val="both"/>
              <w:rPr>
                <w:rFonts w:ascii="宋体" w:hAnsi="宋体" w:eastAsia="宋体"/>
                <w:b w:val="0"/>
                <w:bCs w:val="0"/>
                <w:color w:val="auto"/>
                <w:sz w:val="24"/>
                <w:szCs w:val="18"/>
                <w:highlight w:val="none"/>
              </w:rPr>
            </w:pPr>
            <w:r>
              <w:rPr>
                <w:rFonts w:hint="eastAsia" w:ascii="宋体" w:hAnsi="宋体" w:eastAsia="宋体"/>
                <w:b w:val="0"/>
                <w:color w:val="auto"/>
                <w:sz w:val="24"/>
                <w:highlight w:val="none"/>
              </w:rPr>
              <w:t>接收部门：</w:t>
            </w:r>
            <w:r>
              <w:rPr>
                <w:rFonts w:hint="eastAsia"/>
                <w:bCs/>
                <w:color w:val="auto"/>
                <w:kern w:val="0"/>
                <w:sz w:val="24"/>
                <w:szCs w:val="28"/>
                <w:highlight w:val="none"/>
                <w:u w:val="single"/>
                <w:lang w:eastAsia="zh-CN"/>
              </w:rPr>
              <w:t>滁州市琅琊国有资产运营有限公司</w:t>
            </w:r>
            <w:r>
              <w:rPr>
                <w:rFonts w:hint="eastAsia" w:ascii="宋体" w:hAnsi="宋体" w:eastAsia="宋体"/>
                <w:bCs/>
                <w:color w:val="auto"/>
                <w:kern w:val="0"/>
                <w:sz w:val="24"/>
                <w:szCs w:val="28"/>
                <w:highlight w:val="none"/>
                <w:u w:val="single"/>
              </w:rPr>
              <w:t xml:space="preserve">或滁州市城投工程咨询管理有限公司 </w:t>
            </w:r>
          </w:p>
          <w:p w14:paraId="498C4940">
            <w:pPr>
              <w:pStyle w:val="76"/>
              <w:widowControl w:val="0"/>
              <w:spacing w:before="0" w:beforeAutospacing="0" w:after="0" w:afterAutospacing="0" w:line="360" w:lineRule="auto"/>
              <w:jc w:val="both"/>
              <w:rPr>
                <w:rFonts w:hint="eastAsia" w:ascii="宋体" w:hAnsi="宋体" w:eastAsia="宋体"/>
                <w:bCs/>
                <w:color w:val="auto"/>
                <w:kern w:val="0"/>
                <w:sz w:val="24"/>
                <w:szCs w:val="28"/>
                <w:highlight w:val="none"/>
                <w:u w:val="single"/>
                <w:lang w:eastAsia="zh-CN"/>
              </w:rPr>
            </w:pPr>
            <w:r>
              <w:rPr>
                <w:rFonts w:ascii="宋体" w:hAnsi="宋体" w:eastAsia="宋体"/>
                <w:b w:val="0"/>
                <w:color w:val="auto"/>
                <w:sz w:val="24"/>
                <w:highlight w:val="none"/>
              </w:rPr>
              <w:t>联系电话：</w:t>
            </w:r>
            <w:r>
              <w:rPr>
                <w:rFonts w:hint="eastAsia"/>
                <w:bCs/>
                <w:color w:val="auto"/>
                <w:kern w:val="0"/>
                <w:sz w:val="24"/>
                <w:szCs w:val="28"/>
                <w:highlight w:val="none"/>
                <w:u w:val="single"/>
                <w:lang w:eastAsia="zh-CN"/>
              </w:rPr>
              <w:t>0550-3318150、0550-3519512</w:t>
            </w:r>
            <w:r>
              <w:rPr>
                <w:rFonts w:hint="eastAsia" w:ascii="宋体" w:hAnsi="宋体" w:eastAsia="宋体"/>
                <w:bCs/>
                <w:color w:val="auto"/>
                <w:kern w:val="0"/>
                <w:sz w:val="24"/>
                <w:szCs w:val="28"/>
                <w:highlight w:val="none"/>
                <w:u w:val="single"/>
              </w:rPr>
              <w:t>、</w:t>
            </w:r>
            <w:r>
              <w:rPr>
                <w:rFonts w:hint="eastAsia"/>
                <w:bCs/>
                <w:color w:val="auto"/>
                <w:kern w:val="0"/>
                <w:sz w:val="24"/>
                <w:szCs w:val="28"/>
                <w:highlight w:val="none"/>
                <w:u w:val="single"/>
                <w:lang w:eastAsia="zh-CN"/>
              </w:rPr>
              <w:t>18255055896</w:t>
            </w:r>
          </w:p>
          <w:p w14:paraId="473995E6">
            <w:pPr>
              <w:pStyle w:val="76"/>
              <w:widowControl w:val="0"/>
              <w:spacing w:before="0" w:beforeAutospacing="0" w:after="0" w:afterAutospacing="0" w:line="360" w:lineRule="auto"/>
              <w:jc w:val="both"/>
              <w:rPr>
                <w:b w:val="0"/>
                <w:color w:val="auto"/>
                <w:sz w:val="24"/>
                <w:highlight w:val="none"/>
              </w:rPr>
            </w:pPr>
            <w:r>
              <w:rPr>
                <w:rFonts w:hint="eastAsia" w:ascii="宋体" w:hAnsi="宋体" w:eastAsia="宋体"/>
                <w:b w:val="0"/>
                <w:color w:val="auto"/>
                <w:sz w:val="24"/>
                <w:highlight w:val="none"/>
              </w:rPr>
              <w:t>通讯地址：</w:t>
            </w:r>
            <w:r>
              <w:rPr>
                <w:rFonts w:hint="eastAsia" w:ascii="宋体" w:hAnsi="宋体" w:eastAsia="宋体"/>
                <w:bCs/>
                <w:color w:val="auto"/>
                <w:kern w:val="0"/>
                <w:sz w:val="24"/>
                <w:szCs w:val="28"/>
                <w:highlight w:val="none"/>
                <w:u w:val="single"/>
              </w:rPr>
              <w:t>滁州市琅琊区濠河路99号</w:t>
            </w:r>
            <w:r>
              <w:rPr>
                <w:rFonts w:hint="eastAsia"/>
                <w:bCs/>
                <w:color w:val="auto"/>
                <w:kern w:val="0"/>
                <w:sz w:val="24"/>
                <w:szCs w:val="28"/>
                <w:highlight w:val="none"/>
                <w:u w:val="single"/>
                <w:lang w:eastAsia="zh-CN"/>
              </w:rPr>
              <w:t>、</w:t>
            </w:r>
            <w:r>
              <w:rPr>
                <w:rFonts w:hint="eastAsia" w:ascii="宋体" w:hAnsi="宋体" w:eastAsia="宋体"/>
                <w:bCs/>
                <w:color w:val="auto"/>
                <w:kern w:val="0"/>
                <w:sz w:val="24"/>
                <w:szCs w:val="28"/>
                <w:highlight w:val="none"/>
                <w:u w:val="single"/>
              </w:rPr>
              <w:t xml:space="preserve">滁州市龙蟠大道房产商务大厦6楼605室 </w:t>
            </w:r>
          </w:p>
        </w:tc>
      </w:tr>
      <w:tr w14:paraId="383E2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1EE0AB30">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rPr>
              <w:t>3</w:t>
            </w:r>
            <w:r>
              <w:rPr>
                <w:rFonts w:hint="eastAsia"/>
                <w:bCs/>
                <w:color w:val="auto"/>
                <w:kern w:val="2"/>
                <w:highlight w:val="none"/>
                <w:lang w:val="en-US" w:eastAsia="zh-CN"/>
              </w:rPr>
              <w:t>0</w:t>
            </w:r>
          </w:p>
        </w:tc>
        <w:tc>
          <w:tcPr>
            <w:tcW w:w="4534" w:type="pct"/>
            <w:gridSpan w:val="2"/>
            <w:vAlign w:val="center"/>
          </w:tcPr>
          <w:p w14:paraId="77DD2C73">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其他内容</w:t>
            </w:r>
          </w:p>
        </w:tc>
      </w:tr>
      <w:tr w14:paraId="22BDE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3202F17B">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w:t>
            </w:r>
            <w:r>
              <w:rPr>
                <w:rFonts w:hint="eastAsia"/>
                <w:bCs/>
                <w:color w:val="auto"/>
                <w:kern w:val="2"/>
                <w:highlight w:val="none"/>
              </w:rPr>
              <w:t>1</w:t>
            </w:r>
          </w:p>
        </w:tc>
        <w:tc>
          <w:tcPr>
            <w:tcW w:w="977" w:type="pct"/>
            <w:vAlign w:val="center"/>
          </w:tcPr>
          <w:p w14:paraId="49AEC236">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承包方式</w:t>
            </w:r>
          </w:p>
        </w:tc>
        <w:tc>
          <w:tcPr>
            <w:tcW w:w="3556" w:type="pct"/>
            <w:vAlign w:val="center"/>
          </w:tcPr>
          <w:p w14:paraId="421F7558">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lang w:eastAsia="zh-CN"/>
              </w:rPr>
              <w:t>☑</w:t>
            </w:r>
            <w:r>
              <w:rPr>
                <w:rFonts w:hint="eastAsia"/>
                <w:b w:val="0"/>
                <w:color w:val="auto"/>
                <w:sz w:val="24"/>
                <w:highlight w:val="none"/>
              </w:rPr>
              <w:t xml:space="preserve">施工总承包 </w:t>
            </w:r>
            <w:r>
              <w:rPr>
                <w:rFonts w:hint="eastAsia"/>
                <w:b w:val="0"/>
                <w:color w:val="auto"/>
                <w:sz w:val="24"/>
                <w:highlight w:val="none"/>
              </w:rPr>
              <w:t xml:space="preserve"> </w:t>
            </w:r>
            <w:r>
              <w:rPr>
                <w:rFonts w:hint="eastAsia"/>
                <w:b w:val="0"/>
                <w:color w:val="auto"/>
                <w:sz w:val="24"/>
                <w:highlight w:val="none"/>
                <w:lang w:eastAsia="zh-CN"/>
              </w:rPr>
              <w:t>□</w:t>
            </w:r>
            <w:r>
              <w:rPr>
                <w:rFonts w:hint="eastAsia"/>
                <w:b w:val="0"/>
                <w:color w:val="auto"/>
                <w:sz w:val="24"/>
                <w:highlight w:val="none"/>
              </w:rPr>
              <w:t>专业承包</w:t>
            </w:r>
          </w:p>
        </w:tc>
      </w:tr>
      <w:tr w14:paraId="14185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02FBCCB0">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w:t>
            </w:r>
            <w:r>
              <w:rPr>
                <w:rFonts w:hint="eastAsia"/>
                <w:bCs/>
                <w:color w:val="auto"/>
                <w:kern w:val="2"/>
                <w:highlight w:val="none"/>
              </w:rPr>
              <w:t>2</w:t>
            </w:r>
          </w:p>
        </w:tc>
        <w:tc>
          <w:tcPr>
            <w:tcW w:w="977" w:type="pct"/>
            <w:vAlign w:val="center"/>
          </w:tcPr>
          <w:p w14:paraId="431E8E9D">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计价方式</w:t>
            </w:r>
          </w:p>
        </w:tc>
        <w:tc>
          <w:tcPr>
            <w:tcW w:w="3556" w:type="pct"/>
            <w:vAlign w:val="center"/>
          </w:tcPr>
          <w:p w14:paraId="7CD456DD">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lang w:eastAsia="zh-CN"/>
              </w:rPr>
              <w:t>☑</w:t>
            </w:r>
            <w:r>
              <w:rPr>
                <w:rFonts w:hint="eastAsia"/>
                <w:b w:val="0"/>
                <w:color w:val="auto"/>
                <w:sz w:val="24"/>
                <w:highlight w:val="none"/>
              </w:rPr>
              <w:t>工程量清单综合单价报价法</w:t>
            </w:r>
          </w:p>
          <w:p w14:paraId="4C925E6E">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□全费用综合单价报价法</w:t>
            </w:r>
          </w:p>
        </w:tc>
      </w:tr>
      <w:tr w14:paraId="2BC6C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003E31AA">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w:t>
            </w:r>
            <w:r>
              <w:rPr>
                <w:rFonts w:hint="eastAsia"/>
                <w:bCs/>
                <w:color w:val="auto"/>
                <w:kern w:val="2"/>
                <w:highlight w:val="none"/>
              </w:rPr>
              <w:t>3</w:t>
            </w:r>
          </w:p>
        </w:tc>
        <w:tc>
          <w:tcPr>
            <w:tcW w:w="977" w:type="pct"/>
            <w:vAlign w:val="center"/>
          </w:tcPr>
          <w:p w14:paraId="2AAE3E66">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计划</w:t>
            </w:r>
            <w:r>
              <w:rPr>
                <w:b w:val="0"/>
                <w:color w:val="auto"/>
                <w:sz w:val="24"/>
                <w:highlight w:val="none"/>
              </w:rPr>
              <w:t>工期</w:t>
            </w:r>
          </w:p>
        </w:tc>
        <w:tc>
          <w:tcPr>
            <w:tcW w:w="3556" w:type="pct"/>
            <w:vAlign w:val="center"/>
          </w:tcPr>
          <w:p w14:paraId="413A69C5">
            <w:pPr>
              <w:pStyle w:val="76"/>
              <w:widowControl w:val="0"/>
              <w:spacing w:before="0" w:beforeAutospacing="0" w:after="0" w:afterAutospacing="0" w:line="360" w:lineRule="auto"/>
              <w:jc w:val="both"/>
              <w:rPr>
                <w:rFonts w:hint="eastAsia" w:eastAsia="宋体"/>
                <w:b w:val="0"/>
                <w:color w:val="auto"/>
                <w:sz w:val="24"/>
                <w:highlight w:val="none"/>
                <w:lang w:eastAsia="zh-CN"/>
              </w:rPr>
            </w:pPr>
            <w:r>
              <w:rPr>
                <w:rFonts w:hint="eastAsia"/>
                <w:b w:val="0"/>
                <w:color w:val="auto"/>
                <w:sz w:val="24"/>
                <w:highlight w:val="none"/>
              </w:rPr>
              <w:t>计划</w:t>
            </w:r>
            <w:r>
              <w:rPr>
                <w:b w:val="0"/>
                <w:color w:val="auto"/>
                <w:sz w:val="24"/>
                <w:highlight w:val="none"/>
              </w:rPr>
              <w:t>工期：</w:t>
            </w:r>
            <w:r>
              <w:rPr>
                <w:rFonts w:hint="eastAsia"/>
                <w:b w:val="0"/>
                <w:color w:val="auto"/>
                <w:sz w:val="24"/>
                <w:highlight w:val="none"/>
                <w:lang w:eastAsia="zh-CN"/>
              </w:rPr>
              <w:t>合同签订后不高于40个日历天内完工</w:t>
            </w:r>
          </w:p>
          <w:p w14:paraId="03DDC0FE">
            <w:pPr>
              <w:pStyle w:val="76"/>
              <w:widowControl w:val="0"/>
              <w:spacing w:before="0" w:beforeAutospacing="0" w:after="0" w:afterAutospacing="0" w:line="360" w:lineRule="auto"/>
              <w:jc w:val="both"/>
              <w:rPr>
                <w:b w:val="0"/>
                <w:color w:val="auto"/>
                <w:sz w:val="24"/>
                <w:highlight w:val="none"/>
              </w:rPr>
            </w:pPr>
            <w:r>
              <w:rPr>
                <w:b w:val="0"/>
                <w:color w:val="auto"/>
                <w:sz w:val="24"/>
                <w:highlight w:val="none"/>
              </w:rPr>
              <w:t>计划开工日期：</w:t>
            </w:r>
            <w:r>
              <w:rPr>
                <w:rFonts w:hint="eastAsia" w:ascii="宋体" w:hAnsi="宋体" w:eastAsia="宋体" w:cs="宋体"/>
                <w:b w:val="0"/>
                <w:color w:val="auto"/>
                <w:sz w:val="24"/>
                <w:szCs w:val="24"/>
                <w:highlight w:val="none"/>
                <w:u w:val="single"/>
              </w:rPr>
              <w:t xml:space="preserve"> </w:t>
            </w:r>
            <w:r>
              <w:rPr>
                <w:rFonts w:hint="eastAsia" w:ascii="宋体" w:hAnsi="宋体" w:eastAsia="宋体" w:cs="宋体"/>
                <w:b w:val="0"/>
                <w:color w:val="auto"/>
                <w:sz w:val="24"/>
                <w:szCs w:val="24"/>
                <w:highlight w:val="none"/>
                <w:u w:val="single"/>
                <w:lang w:val="en-US" w:eastAsia="zh-CN"/>
              </w:rPr>
              <w:t>/</w:t>
            </w:r>
            <w:r>
              <w:rPr>
                <w:rFonts w:hint="eastAsia" w:ascii="宋体" w:hAnsi="宋体" w:eastAsia="宋体" w:cs="宋体"/>
                <w:b w:val="0"/>
                <w:color w:val="auto"/>
                <w:sz w:val="24"/>
                <w:szCs w:val="24"/>
                <w:highlight w:val="none"/>
                <w:u w:val="single"/>
              </w:rPr>
              <w:t xml:space="preserve"> </w:t>
            </w:r>
            <w:r>
              <w:rPr>
                <w:rFonts w:hint="eastAsia" w:ascii="宋体" w:hAnsi="宋体" w:eastAsia="宋体" w:cs="宋体"/>
                <w:b w:val="0"/>
                <w:color w:val="auto"/>
                <w:sz w:val="24"/>
                <w:szCs w:val="24"/>
                <w:highlight w:val="none"/>
              </w:rPr>
              <w:t>年</w:t>
            </w:r>
            <w:r>
              <w:rPr>
                <w:rFonts w:hint="eastAsia" w:ascii="宋体" w:hAnsi="宋体" w:eastAsia="宋体" w:cs="宋体"/>
                <w:b w:val="0"/>
                <w:color w:val="auto"/>
                <w:sz w:val="24"/>
                <w:szCs w:val="24"/>
                <w:highlight w:val="none"/>
                <w:u w:val="single"/>
              </w:rPr>
              <w:t xml:space="preserve">  </w:t>
            </w:r>
            <w:r>
              <w:rPr>
                <w:rFonts w:hint="eastAsia" w:ascii="宋体" w:hAnsi="宋体" w:eastAsia="宋体" w:cs="宋体"/>
                <w:b w:val="0"/>
                <w:color w:val="auto"/>
                <w:sz w:val="24"/>
                <w:szCs w:val="24"/>
                <w:highlight w:val="none"/>
                <w:u w:val="single"/>
                <w:lang w:val="en-US" w:eastAsia="zh-CN"/>
              </w:rPr>
              <w:t>/</w:t>
            </w:r>
            <w:r>
              <w:rPr>
                <w:rFonts w:hint="eastAsia" w:ascii="宋体" w:hAnsi="宋体" w:eastAsia="宋体" w:cs="宋体"/>
                <w:b w:val="0"/>
                <w:color w:val="auto"/>
                <w:sz w:val="24"/>
                <w:szCs w:val="24"/>
                <w:highlight w:val="none"/>
                <w:u w:val="single"/>
              </w:rPr>
              <w:t xml:space="preserve"> </w:t>
            </w:r>
            <w:r>
              <w:rPr>
                <w:rFonts w:hint="eastAsia" w:ascii="宋体" w:hAnsi="宋体" w:eastAsia="宋体" w:cs="宋体"/>
                <w:b w:val="0"/>
                <w:color w:val="auto"/>
                <w:sz w:val="24"/>
                <w:szCs w:val="24"/>
                <w:highlight w:val="none"/>
              </w:rPr>
              <w:t>月</w:t>
            </w:r>
            <w:r>
              <w:rPr>
                <w:rFonts w:hint="eastAsia" w:ascii="宋体" w:hAnsi="宋体" w:eastAsia="宋体" w:cs="宋体"/>
                <w:b w:val="0"/>
                <w:color w:val="auto"/>
                <w:sz w:val="24"/>
                <w:szCs w:val="24"/>
                <w:highlight w:val="none"/>
                <w:u w:val="single"/>
              </w:rPr>
              <w:t xml:space="preserve">  </w:t>
            </w:r>
            <w:r>
              <w:rPr>
                <w:rFonts w:hint="eastAsia" w:ascii="宋体" w:hAnsi="宋体" w:eastAsia="宋体" w:cs="宋体"/>
                <w:b w:val="0"/>
                <w:color w:val="auto"/>
                <w:sz w:val="24"/>
                <w:szCs w:val="24"/>
                <w:highlight w:val="none"/>
                <w:u w:val="single"/>
                <w:lang w:val="en-US" w:eastAsia="zh-CN"/>
              </w:rPr>
              <w:t>/</w:t>
            </w:r>
            <w:r>
              <w:rPr>
                <w:rFonts w:hint="eastAsia" w:ascii="宋体" w:hAnsi="宋体" w:eastAsia="宋体" w:cs="宋体"/>
                <w:b w:val="0"/>
                <w:color w:val="auto"/>
                <w:sz w:val="24"/>
                <w:szCs w:val="24"/>
                <w:highlight w:val="none"/>
                <w:u w:val="single"/>
              </w:rPr>
              <w:t xml:space="preserve"> </w:t>
            </w:r>
            <w:r>
              <w:rPr>
                <w:rFonts w:hint="eastAsia" w:ascii="宋体" w:hAnsi="宋体" w:eastAsia="宋体" w:cs="宋体"/>
                <w:b w:val="0"/>
                <w:color w:val="auto"/>
                <w:sz w:val="24"/>
                <w:szCs w:val="24"/>
                <w:highlight w:val="none"/>
              </w:rPr>
              <w:t>日</w:t>
            </w:r>
            <w:r>
              <w:rPr>
                <w:rFonts w:hint="eastAsia"/>
                <w:b w:val="0"/>
                <w:color w:val="auto"/>
                <w:sz w:val="24"/>
                <w:highlight w:val="none"/>
              </w:rPr>
              <w:t>，</w:t>
            </w:r>
            <w:bookmarkStart w:id="25" w:name="EB2a2e1a22d449405a860670c095486ab8"/>
            <w:r>
              <w:rPr>
                <w:rFonts w:hint="eastAsia"/>
                <w:b w:val="0"/>
                <w:color w:val="auto"/>
                <w:sz w:val="24"/>
                <w:highlight w:val="none"/>
              </w:rPr>
              <w:t>具体开工时间以开工令为准。</w:t>
            </w:r>
            <w:bookmarkEnd w:id="25"/>
          </w:p>
        </w:tc>
      </w:tr>
      <w:tr w14:paraId="39049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1E4CAC9B">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w:t>
            </w:r>
            <w:r>
              <w:rPr>
                <w:rFonts w:hint="eastAsia"/>
                <w:bCs/>
                <w:color w:val="auto"/>
                <w:kern w:val="2"/>
                <w:highlight w:val="none"/>
              </w:rPr>
              <w:t>4</w:t>
            </w:r>
          </w:p>
        </w:tc>
        <w:tc>
          <w:tcPr>
            <w:tcW w:w="977" w:type="pct"/>
            <w:vAlign w:val="center"/>
          </w:tcPr>
          <w:p w14:paraId="7A0900A6">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质量标准要求</w:t>
            </w:r>
          </w:p>
        </w:tc>
        <w:tc>
          <w:tcPr>
            <w:tcW w:w="3556" w:type="pct"/>
            <w:vAlign w:val="center"/>
          </w:tcPr>
          <w:p w14:paraId="3D1C0FE3">
            <w:pPr>
              <w:pStyle w:val="103"/>
              <w:tabs>
                <w:tab w:val="left" w:pos="1152"/>
              </w:tabs>
              <w:spacing w:before="0" w:beforeAutospacing="0" w:after="0" w:afterAutospacing="0" w:line="360" w:lineRule="auto"/>
              <w:rPr>
                <w:b/>
                <w:color w:val="auto"/>
                <w:highlight w:val="none"/>
              </w:rPr>
            </w:pPr>
            <w:r>
              <w:rPr>
                <w:rFonts w:hint="eastAsia" w:cs="@仿宋_GB2312"/>
                <w:bCs/>
                <w:color w:val="auto"/>
                <w:szCs w:val="28"/>
                <w:highlight w:val="none"/>
              </w:rPr>
              <w:t>质量标准：合格</w:t>
            </w:r>
          </w:p>
        </w:tc>
      </w:tr>
      <w:tr w14:paraId="09F96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45106DAD">
            <w:pPr>
              <w:pStyle w:val="77"/>
              <w:pBdr>
                <w:bottom w:val="none" w:color="auto" w:sz="0" w:space="0"/>
              </w:pBdr>
              <w:tabs>
                <w:tab w:val="clear" w:pos="4153"/>
                <w:tab w:val="clear" w:pos="8306"/>
              </w:tabs>
              <w:adjustRightInd/>
              <w:spacing w:line="360" w:lineRule="auto"/>
              <w:textAlignment w:val="auto"/>
              <w:rPr>
                <w:rFonts w:hint="eastAsia" w:eastAsia="宋体"/>
                <w:bCs/>
                <w:color w:val="auto"/>
                <w:kern w:val="2"/>
                <w:highlight w:val="none"/>
                <w:lang w:val="en-US" w:eastAsia="zh-CN"/>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w:t>
            </w:r>
            <w:r>
              <w:rPr>
                <w:rFonts w:hint="eastAsia"/>
                <w:bCs/>
                <w:color w:val="auto"/>
                <w:kern w:val="2"/>
                <w:highlight w:val="none"/>
                <w:lang w:val="en-US" w:eastAsia="zh-CN"/>
              </w:rPr>
              <w:t>5</w:t>
            </w:r>
          </w:p>
        </w:tc>
        <w:tc>
          <w:tcPr>
            <w:tcW w:w="977" w:type="pct"/>
            <w:vAlign w:val="center"/>
          </w:tcPr>
          <w:p w14:paraId="75694E6D">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安全文明要求</w:t>
            </w:r>
          </w:p>
        </w:tc>
        <w:tc>
          <w:tcPr>
            <w:tcW w:w="3556" w:type="pct"/>
            <w:vAlign w:val="center"/>
          </w:tcPr>
          <w:p w14:paraId="33E2959C">
            <w:pPr>
              <w:pStyle w:val="76"/>
              <w:widowControl w:val="0"/>
              <w:spacing w:before="0" w:beforeAutospacing="0" w:after="0" w:afterAutospacing="0" w:line="360" w:lineRule="auto"/>
              <w:jc w:val="both"/>
              <w:rPr>
                <w:b w:val="0"/>
                <w:color w:val="auto"/>
                <w:sz w:val="24"/>
                <w:highlight w:val="none"/>
              </w:rPr>
            </w:pPr>
            <w:r>
              <w:rPr>
                <w:rFonts w:hint="eastAsia"/>
                <w:color w:val="auto"/>
                <w:sz w:val="24"/>
                <w:highlight w:val="none"/>
              </w:rPr>
              <w:t>必须确保安全文明施工，符合国家和项目所在地现行相关规定</w:t>
            </w:r>
          </w:p>
        </w:tc>
      </w:tr>
      <w:tr w14:paraId="51229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777045FB">
            <w:pPr>
              <w:pStyle w:val="77"/>
              <w:pBdr>
                <w:bottom w:val="none" w:color="auto" w:sz="0" w:space="0"/>
              </w:pBdr>
              <w:tabs>
                <w:tab w:val="clear" w:pos="4153"/>
                <w:tab w:val="clear" w:pos="8306"/>
              </w:tabs>
              <w:adjustRightInd/>
              <w:spacing w:line="360" w:lineRule="auto"/>
              <w:textAlignment w:val="auto"/>
              <w:rPr>
                <w:rFonts w:hint="eastAsia" w:eastAsia="宋体"/>
                <w:bCs/>
                <w:color w:val="auto"/>
                <w:kern w:val="2"/>
                <w:highlight w:val="none"/>
                <w:lang w:val="en-US" w:eastAsia="zh-CN"/>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w:t>
            </w:r>
            <w:r>
              <w:rPr>
                <w:rFonts w:hint="eastAsia"/>
                <w:bCs/>
                <w:color w:val="auto"/>
                <w:kern w:val="2"/>
                <w:highlight w:val="none"/>
                <w:lang w:val="en-US" w:eastAsia="zh-CN"/>
              </w:rPr>
              <w:t>6</w:t>
            </w:r>
          </w:p>
        </w:tc>
        <w:tc>
          <w:tcPr>
            <w:tcW w:w="977" w:type="pct"/>
            <w:vAlign w:val="center"/>
          </w:tcPr>
          <w:p w14:paraId="6A6E7595">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总包及分包规定</w:t>
            </w:r>
          </w:p>
        </w:tc>
        <w:tc>
          <w:tcPr>
            <w:tcW w:w="3556" w:type="pct"/>
            <w:vAlign w:val="center"/>
          </w:tcPr>
          <w:p w14:paraId="536D5D8D">
            <w:pPr>
              <w:spacing w:line="360" w:lineRule="auto"/>
              <w:rPr>
                <w:rFonts w:ascii="Calibri" w:hAnsi="Calibri" w:cs="Times New Roman"/>
                <w:b/>
                <w:bCs/>
                <w:color w:val="auto"/>
                <w:kern w:val="2"/>
                <w:sz w:val="24"/>
                <w:szCs w:val="28"/>
                <w:highlight w:val="none"/>
              </w:rPr>
            </w:pPr>
            <w:r>
              <w:rPr>
                <w:rFonts w:hint="eastAsia" w:ascii="Calibri" w:hAnsi="Calibri" w:cs="Times New Roman"/>
                <w:b/>
                <w:bCs/>
                <w:color w:val="auto"/>
                <w:kern w:val="2"/>
                <w:sz w:val="24"/>
                <w:szCs w:val="28"/>
                <w:highlight w:val="none"/>
              </w:rPr>
              <w:t>供应商不得在成交后将工程转包给其它施工单位。</w:t>
            </w:r>
          </w:p>
          <w:p w14:paraId="441E8D4A">
            <w:pPr>
              <w:spacing w:line="360" w:lineRule="auto"/>
              <w:jc w:val="left"/>
              <w:rPr>
                <w:rFonts w:cs="Times New Roman"/>
                <w:b/>
                <w:color w:val="auto"/>
                <w:kern w:val="2"/>
                <w:sz w:val="24"/>
                <w:szCs w:val="22"/>
                <w:highlight w:val="none"/>
              </w:rPr>
            </w:pPr>
            <w:r>
              <w:rPr>
                <w:rFonts w:hint="eastAsia" w:cs="Times New Roman"/>
                <w:b/>
                <w:color w:val="auto"/>
                <w:kern w:val="2"/>
                <w:sz w:val="24"/>
                <w:szCs w:val="22"/>
                <w:highlight w:val="none"/>
              </w:rPr>
              <w:t>分包情况</w:t>
            </w:r>
          </w:p>
          <w:p w14:paraId="702ACFB1">
            <w:pPr>
              <w:spacing w:line="360" w:lineRule="auto"/>
              <w:jc w:val="left"/>
              <w:rPr>
                <w:rFonts w:cs="Times New Roman"/>
                <w:color w:val="auto"/>
                <w:kern w:val="2"/>
                <w:sz w:val="24"/>
                <w:szCs w:val="22"/>
                <w:highlight w:val="none"/>
              </w:rPr>
            </w:pPr>
            <w:r>
              <w:rPr>
                <w:rFonts w:hint="eastAsia" w:cs="Times New Roman"/>
                <w:color w:val="auto"/>
                <w:kern w:val="2"/>
                <w:sz w:val="24"/>
                <w:szCs w:val="22"/>
                <w:highlight w:val="none"/>
              </w:rPr>
              <w:t>□允许专业分包，</w:t>
            </w:r>
            <w:r>
              <w:rPr>
                <w:rFonts w:hint="eastAsia" w:ascii="Calibri" w:hAnsi="Calibri" w:cs="Times New Roman"/>
                <w:color w:val="auto"/>
                <w:kern w:val="2"/>
                <w:sz w:val="24"/>
                <w:szCs w:val="22"/>
                <w:highlight w:val="none"/>
              </w:rPr>
              <w:t>分包项目、内容及分包商须经采购人及监理单位同意和认可</w:t>
            </w:r>
          </w:p>
          <w:p w14:paraId="3A0A62D9">
            <w:pPr>
              <w:pStyle w:val="76"/>
              <w:widowControl w:val="0"/>
              <w:spacing w:before="0" w:beforeAutospacing="0" w:after="0" w:afterAutospacing="0" w:line="360" w:lineRule="auto"/>
              <w:jc w:val="both"/>
              <w:rPr>
                <w:b w:val="0"/>
                <w:color w:val="auto"/>
                <w:sz w:val="24"/>
                <w:highlight w:val="none"/>
              </w:rPr>
            </w:pPr>
            <w:r>
              <w:rPr>
                <w:rFonts w:hint="eastAsia" w:cs="Times New Roman"/>
                <w:b w:val="0"/>
                <w:bCs w:val="0"/>
                <w:color w:val="auto"/>
                <w:kern w:val="2"/>
                <w:sz w:val="24"/>
                <w:szCs w:val="22"/>
                <w:highlight w:val="none"/>
                <w:lang w:eastAsia="zh-CN"/>
              </w:rPr>
              <w:t>☑</w:t>
            </w:r>
            <w:r>
              <w:rPr>
                <w:rFonts w:hint="eastAsia" w:cs="Times New Roman"/>
                <w:b w:val="0"/>
                <w:bCs w:val="0"/>
                <w:color w:val="auto"/>
                <w:kern w:val="2"/>
                <w:sz w:val="24"/>
                <w:szCs w:val="22"/>
                <w:highlight w:val="none"/>
              </w:rPr>
              <w:t>不允许</w:t>
            </w:r>
          </w:p>
        </w:tc>
      </w:tr>
      <w:tr w14:paraId="0C4ED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753E4D8E">
            <w:pPr>
              <w:pStyle w:val="77"/>
              <w:pBdr>
                <w:bottom w:val="none" w:color="auto" w:sz="0" w:space="0"/>
              </w:pBdr>
              <w:tabs>
                <w:tab w:val="clear" w:pos="4153"/>
                <w:tab w:val="clear" w:pos="8306"/>
              </w:tabs>
              <w:adjustRightInd/>
              <w:spacing w:line="360" w:lineRule="auto"/>
              <w:textAlignment w:val="auto"/>
              <w:rPr>
                <w:rFonts w:hint="eastAsia" w:eastAsia="宋体"/>
                <w:bCs/>
                <w:color w:val="auto"/>
                <w:kern w:val="2"/>
                <w:highlight w:val="none"/>
                <w:lang w:val="en-US" w:eastAsia="zh-CN"/>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w:t>
            </w:r>
            <w:r>
              <w:rPr>
                <w:rFonts w:hint="eastAsia"/>
                <w:bCs/>
                <w:color w:val="auto"/>
                <w:kern w:val="2"/>
                <w:highlight w:val="none"/>
                <w:lang w:val="en-US" w:eastAsia="zh-CN"/>
              </w:rPr>
              <w:t>7</w:t>
            </w:r>
          </w:p>
        </w:tc>
        <w:tc>
          <w:tcPr>
            <w:tcW w:w="977" w:type="pct"/>
            <w:vAlign w:val="center"/>
          </w:tcPr>
          <w:p w14:paraId="0C4B1F99">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现场条件</w:t>
            </w:r>
          </w:p>
        </w:tc>
        <w:tc>
          <w:tcPr>
            <w:tcW w:w="3556" w:type="pct"/>
            <w:vAlign w:val="center"/>
          </w:tcPr>
          <w:p w14:paraId="26B910B7">
            <w:pPr>
              <w:pStyle w:val="76"/>
              <w:widowControl w:val="0"/>
              <w:spacing w:before="0" w:beforeAutospacing="0" w:after="0" w:afterAutospacing="0" w:line="360" w:lineRule="auto"/>
              <w:jc w:val="both"/>
              <w:rPr>
                <w:b w:val="0"/>
                <w:color w:val="auto"/>
                <w:sz w:val="24"/>
                <w:highlight w:val="none"/>
              </w:rPr>
            </w:pPr>
            <w:r>
              <w:rPr>
                <w:rFonts w:hint="eastAsia"/>
                <w:color w:val="auto"/>
                <w:sz w:val="24"/>
                <w:highlight w:val="none"/>
              </w:rPr>
              <w:t>具备开工条件</w:t>
            </w:r>
          </w:p>
        </w:tc>
      </w:tr>
      <w:tr w14:paraId="258BE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710ACE18">
            <w:pPr>
              <w:pStyle w:val="77"/>
              <w:pBdr>
                <w:bottom w:val="none" w:color="auto" w:sz="0" w:space="0"/>
              </w:pBdr>
              <w:tabs>
                <w:tab w:val="clear" w:pos="4153"/>
                <w:tab w:val="clear" w:pos="8306"/>
              </w:tabs>
              <w:adjustRightInd/>
              <w:spacing w:line="360" w:lineRule="auto"/>
              <w:textAlignment w:val="auto"/>
              <w:rPr>
                <w:rFonts w:hint="eastAsia" w:eastAsia="宋体"/>
                <w:bCs/>
                <w:color w:val="auto"/>
                <w:kern w:val="2"/>
                <w:highlight w:val="none"/>
                <w:lang w:val="en-US" w:eastAsia="zh-CN"/>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w:t>
            </w:r>
            <w:r>
              <w:rPr>
                <w:rFonts w:hint="eastAsia"/>
                <w:bCs/>
                <w:color w:val="auto"/>
                <w:kern w:val="2"/>
                <w:highlight w:val="none"/>
                <w:lang w:val="en-US" w:eastAsia="zh-CN"/>
              </w:rPr>
              <w:t>8</w:t>
            </w:r>
          </w:p>
        </w:tc>
        <w:tc>
          <w:tcPr>
            <w:tcW w:w="977" w:type="pct"/>
            <w:vAlign w:val="center"/>
          </w:tcPr>
          <w:p w14:paraId="4FFF08CE">
            <w:pPr>
              <w:pStyle w:val="76"/>
              <w:widowControl w:val="0"/>
              <w:spacing w:before="0" w:beforeAutospacing="0" w:after="0" w:afterAutospacing="0" w:line="360" w:lineRule="auto"/>
              <w:jc w:val="both"/>
              <w:rPr>
                <w:b w:val="0"/>
                <w:color w:val="auto"/>
                <w:sz w:val="24"/>
                <w:highlight w:val="none"/>
              </w:rPr>
            </w:pPr>
            <w:r>
              <w:rPr>
                <w:rFonts w:hint="eastAsia"/>
                <w:b w:val="0"/>
                <w:bCs w:val="0"/>
                <w:color w:val="auto"/>
                <w:sz w:val="24"/>
                <w:highlight w:val="none"/>
              </w:rPr>
              <w:t>采购人提供的资料</w:t>
            </w:r>
          </w:p>
        </w:tc>
        <w:tc>
          <w:tcPr>
            <w:tcW w:w="3556" w:type="pct"/>
            <w:vAlign w:val="center"/>
          </w:tcPr>
          <w:p w14:paraId="4960A9C6">
            <w:pPr>
              <w:adjustRightInd w:val="0"/>
              <w:snapToGrid w:val="0"/>
              <w:spacing w:line="360" w:lineRule="auto"/>
              <w:jc w:val="left"/>
              <w:rPr>
                <w:bCs/>
                <w:color w:val="auto"/>
                <w:sz w:val="24"/>
                <w:szCs w:val="28"/>
                <w:highlight w:val="none"/>
              </w:rPr>
            </w:pPr>
            <w:r>
              <w:rPr>
                <w:rFonts w:hint="eastAsia"/>
                <w:bCs/>
                <w:color w:val="auto"/>
                <w:sz w:val="24"/>
                <w:szCs w:val="28"/>
                <w:highlight w:val="none"/>
                <w:lang w:eastAsia="zh-CN"/>
              </w:rPr>
              <w:t>☑</w:t>
            </w:r>
            <w:r>
              <w:rPr>
                <w:rFonts w:hint="eastAsia"/>
                <w:bCs/>
                <w:color w:val="auto"/>
                <w:sz w:val="24"/>
                <w:szCs w:val="28"/>
                <w:highlight w:val="none"/>
              </w:rPr>
              <w:t>谈判文件</w:t>
            </w:r>
          </w:p>
          <w:p w14:paraId="57070105">
            <w:pPr>
              <w:adjustRightInd w:val="0"/>
              <w:snapToGrid w:val="0"/>
              <w:spacing w:line="360" w:lineRule="auto"/>
              <w:jc w:val="left"/>
              <w:rPr>
                <w:bCs/>
                <w:color w:val="auto"/>
                <w:sz w:val="24"/>
                <w:szCs w:val="28"/>
                <w:highlight w:val="none"/>
              </w:rPr>
            </w:pPr>
            <w:r>
              <w:rPr>
                <w:rFonts w:hint="eastAsia"/>
                <w:bCs/>
                <w:color w:val="auto"/>
                <w:sz w:val="24"/>
                <w:szCs w:val="28"/>
                <w:highlight w:val="none"/>
                <w:lang w:eastAsia="zh-CN"/>
              </w:rPr>
              <w:t>☑</w:t>
            </w:r>
            <w:r>
              <w:rPr>
                <w:rFonts w:hint="eastAsia"/>
                <w:bCs/>
                <w:color w:val="auto"/>
                <w:sz w:val="24"/>
                <w:szCs w:val="28"/>
                <w:highlight w:val="none"/>
              </w:rPr>
              <w:t>工程量清单</w:t>
            </w:r>
          </w:p>
          <w:p w14:paraId="1F62BD6C">
            <w:pPr>
              <w:adjustRightInd w:val="0"/>
              <w:snapToGrid w:val="0"/>
              <w:spacing w:line="360" w:lineRule="auto"/>
              <w:jc w:val="left"/>
              <w:rPr>
                <w:bCs/>
                <w:color w:val="auto"/>
                <w:sz w:val="24"/>
                <w:szCs w:val="28"/>
                <w:highlight w:val="none"/>
              </w:rPr>
            </w:pPr>
            <w:r>
              <w:rPr>
                <w:rFonts w:hint="eastAsia"/>
                <w:bCs/>
                <w:color w:val="auto"/>
                <w:sz w:val="24"/>
                <w:szCs w:val="28"/>
                <w:highlight w:val="none"/>
                <w:lang w:eastAsia="zh-CN"/>
              </w:rPr>
              <w:t>☑</w:t>
            </w:r>
            <w:r>
              <w:rPr>
                <w:rFonts w:hint="eastAsia"/>
                <w:bCs/>
                <w:color w:val="auto"/>
                <w:sz w:val="24"/>
                <w:szCs w:val="28"/>
                <w:highlight w:val="none"/>
              </w:rPr>
              <w:t>最高投标限价</w:t>
            </w:r>
          </w:p>
          <w:p w14:paraId="2C288B3B">
            <w:pPr>
              <w:adjustRightInd w:val="0"/>
              <w:snapToGrid w:val="0"/>
              <w:spacing w:line="360" w:lineRule="auto"/>
              <w:jc w:val="left"/>
              <w:rPr>
                <w:bCs/>
                <w:color w:val="auto"/>
                <w:sz w:val="24"/>
                <w:szCs w:val="28"/>
                <w:highlight w:val="none"/>
              </w:rPr>
            </w:pPr>
            <w:r>
              <w:rPr>
                <w:rFonts w:hint="eastAsia"/>
                <w:bCs/>
                <w:color w:val="auto"/>
                <w:sz w:val="24"/>
                <w:szCs w:val="28"/>
                <w:highlight w:val="none"/>
              </w:rPr>
              <w:t>□电子版图纸</w:t>
            </w:r>
          </w:p>
          <w:p w14:paraId="2E46A5F5">
            <w:pPr>
              <w:adjustRightInd w:val="0"/>
              <w:snapToGrid w:val="0"/>
              <w:spacing w:line="360" w:lineRule="auto"/>
              <w:jc w:val="left"/>
              <w:rPr>
                <w:bCs/>
                <w:color w:val="auto"/>
                <w:sz w:val="24"/>
                <w:szCs w:val="28"/>
                <w:highlight w:val="none"/>
              </w:rPr>
            </w:pPr>
            <w:r>
              <w:rPr>
                <w:rFonts w:hint="eastAsia"/>
                <w:bCs/>
                <w:color w:val="auto"/>
                <w:sz w:val="24"/>
                <w:szCs w:val="28"/>
                <w:highlight w:val="none"/>
              </w:rPr>
              <w:t>获得方式：</w:t>
            </w:r>
          </w:p>
          <w:p w14:paraId="0638D47D">
            <w:pPr>
              <w:pStyle w:val="76"/>
              <w:widowControl w:val="0"/>
              <w:spacing w:before="0" w:beforeAutospacing="0" w:after="0" w:afterAutospacing="0" w:line="360" w:lineRule="auto"/>
              <w:jc w:val="both"/>
              <w:rPr>
                <w:b w:val="0"/>
                <w:color w:val="auto"/>
                <w:sz w:val="24"/>
                <w:highlight w:val="none"/>
              </w:rPr>
            </w:pPr>
            <w:r>
              <w:rPr>
                <w:rFonts w:hint="eastAsia"/>
                <w:color w:val="auto"/>
                <w:sz w:val="24"/>
                <w:highlight w:val="none"/>
              </w:rPr>
              <w:t>上述资料请供应商在获取谈判文件后，自行登录电子交易系统下载本项目附件。</w:t>
            </w:r>
          </w:p>
        </w:tc>
      </w:tr>
      <w:tr w14:paraId="43608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5BBCB68F">
            <w:pPr>
              <w:pStyle w:val="77"/>
              <w:pBdr>
                <w:bottom w:val="none" w:color="auto" w:sz="0" w:space="0"/>
              </w:pBdr>
              <w:tabs>
                <w:tab w:val="clear" w:pos="4153"/>
                <w:tab w:val="clear" w:pos="8306"/>
              </w:tabs>
              <w:adjustRightInd/>
              <w:spacing w:line="360" w:lineRule="auto"/>
              <w:textAlignment w:val="auto"/>
              <w:rPr>
                <w:rFonts w:hint="eastAsia" w:eastAsia="宋体"/>
                <w:bCs/>
                <w:color w:val="auto"/>
                <w:kern w:val="2"/>
                <w:highlight w:val="none"/>
                <w:lang w:val="en-US" w:eastAsia="zh-CN"/>
              </w:rPr>
            </w:pPr>
            <w:r>
              <w:rPr>
                <w:rFonts w:hint="eastAsia"/>
                <w:bCs/>
                <w:color w:val="auto"/>
                <w:kern w:val="2"/>
                <w:highlight w:val="none"/>
                <w:lang w:val="en-US" w:eastAsia="zh-CN"/>
              </w:rPr>
              <w:t>30</w:t>
            </w:r>
            <w:r>
              <w:rPr>
                <w:bCs/>
                <w:color w:val="auto"/>
                <w:kern w:val="2"/>
                <w:highlight w:val="none"/>
              </w:rPr>
              <w:t>.</w:t>
            </w:r>
            <w:r>
              <w:rPr>
                <w:rFonts w:hint="eastAsia"/>
                <w:bCs/>
                <w:color w:val="auto"/>
                <w:kern w:val="2"/>
                <w:highlight w:val="none"/>
                <w:lang w:val="en-US" w:eastAsia="zh-CN"/>
              </w:rPr>
              <w:t>9</w:t>
            </w:r>
          </w:p>
        </w:tc>
        <w:tc>
          <w:tcPr>
            <w:tcW w:w="977" w:type="pct"/>
            <w:vAlign w:val="center"/>
          </w:tcPr>
          <w:p w14:paraId="0712F22D">
            <w:pPr>
              <w:pStyle w:val="76"/>
              <w:widowControl w:val="0"/>
              <w:spacing w:before="0" w:beforeAutospacing="0" w:after="0" w:afterAutospacing="0" w:line="360" w:lineRule="auto"/>
              <w:jc w:val="both"/>
              <w:rPr>
                <w:b w:val="0"/>
                <w:color w:val="auto"/>
                <w:sz w:val="24"/>
                <w:highlight w:val="none"/>
              </w:rPr>
            </w:pPr>
            <w:r>
              <w:rPr>
                <w:rFonts w:hint="eastAsia"/>
                <w:b w:val="0"/>
                <w:bCs w:val="0"/>
                <w:color w:val="auto"/>
                <w:sz w:val="24"/>
                <w:highlight w:val="none"/>
              </w:rPr>
              <w:t>工程量清单和最高投标限价编制费</w:t>
            </w:r>
          </w:p>
        </w:tc>
        <w:tc>
          <w:tcPr>
            <w:tcW w:w="3556" w:type="pct"/>
            <w:vAlign w:val="center"/>
          </w:tcPr>
          <w:p w14:paraId="2F58828E">
            <w:pPr>
              <w:keepNext w:val="0"/>
              <w:keepLines w:val="0"/>
              <w:pageBreakBefore w:val="0"/>
              <w:widowControl w:val="0"/>
              <w:kinsoku/>
              <w:wordWrap/>
              <w:overflowPunct/>
              <w:topLinePunct w:val="0"/>
              <w:autoSpaceDE/>
              <w:autoSpaceDN/>
              <w:bidi w:val="0"/>
              <w:adjustRightInd/>
              <w:snapToGrid/>
              <w:spacing w:before="39" w:line="360" w:lineRule="auto"/>
              <w:textAlignment w:val="auto"/>
              <w:rPr>
                <w:rFonts w:ascii="宋体" w:hAnsi="宋体" w:eastAsia="宋体" w:cs="宋体"/>
                <w:color w:val="auto"/>
                <w:sz w:val="24"/>
                <w:szCs w:val="24"/>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1</w:t>
            </w:r>
            <w:r>
              <w:rPr>
                <w:rFonts w:hint="eastAsia" w:ascii="宋体" w:hAnsi="宋体" w:eastAsia="宋体"/>
                <w:bCs/>
                <w:color w:val="auto"/>
                <w:kern w:val="0"/>
                <w:sz w:val="24"/>
                <w:szCs w:val="28"/>
                <w:highlight w:val="none"/>
                <w:lang w:eastAsia="zh-CN"/>
              </w:rPr>
              <w:t>）</w:t>
            </w:r>
            <w:r>
              <w:rPr>
                <w:rFonts w:hint="default"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ascii="宋体" w:hAnsi="宋体" w:eastAsia="宋体" w:cs="宋体"/>
                <w:color w:val="auto"/>
                <w:sz w:val="24"/>
                <w:szCs w:val="24"/>
                <w:highlight w:val="none"/>
                <w:u w:val="single" w:color="auto"/>
              </w:rPr>
              <w:t xml:space="preserve">  </w:t>
            </w:r>
            <w:r>
              <w:rPr>
                <w:rFonts w:hint="eastAsia" w:cs="宋体"/>
                <w:color w:val="auto"/>
                <w:sz w:val="24"/>
                <w:szCs w:val="24"/>
                <w:highlight w:val="none"/>
                <w:u w:val="single" w:color="auto"/>
                <w:lang w:val="en-US" w:eastAsia="zh-CN"/>
              </w:rPr>
              <w:t>/</w:t>
            </w:r>
            <w:r>
              <w:rPr>
                <w:rFonts w:ascii="宋体" w:hAnsi="宋体" w:eastAsia="宋体" w:cs="宋体"/>
                <w:color w:val="auto"/>
                <w:sz w:val="24"/>
                <w:szCs w:val="24"/>
                <w:highlight w:val="none"/>
                <w:u w:val="single" w:color="auto"/>
              </w:rPr>
              <w:t xml:space="preserve">       </w:t>
            </w:r>
          </w:p>
          <w:p w14:paraId="56C44BC5">
            <w:pPr>
              <w:keepNext w:val="0"/>
              <w:keepLines w:val="0"/>
              <w:pageBreakBefore w:val="0"/>
              <w:widowControl w:val="0"/>
              <w:kinsoku/>
              <w:wordWrap/>
              <w:overflowPunct/>
              <w:topLinePunct w:val="0"/>
              <w:autoSpaceDE/>
              <w:autoSpaceDN/>
              <w:bidi w:val="0"/>
              <w:adjustRightInd/>
              <w:snapToGrid/>
              <w:spacing w:before="24" w:line="360" w:lineRule="auto"/>
              <w:textAlignment w:val="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hint="default"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ascii="宋体" w:hAnsi="宋体" w:eastAsia="宋体" w:cs="宋体"/>
                <w:color w:val="auto"/>
                <w:sz w:val="24"/>
                <w:szCs w:val="24"/>
                <w:highlight w:val="none"/>
                <w:u w:val="single" w:color="auto"/>
              </w:rPr>
              <w:t xml:space="preserve"> </w:t>
            </w:r>
            <w:r>
              <w:rPr>
                <w:rFonts w:hint="eastAsia" w:cs="宋体"/>
                <w:color w:val="auto"/>
                <w:sz w:val="24"/>
                <w:szCs w:val="24"/>
                <w:highlight w:val="none"/>
                <w:u w:val="single" w:color="auto"/>
                <w:lang w:val="en-US" w:eastAsia="zh-CN"/>
              </w:rPr>
              <w:t xml:space="preserve"> /</w:t>
            </w:r>
            <w:r>
              <w:rPr>
                <w:rFonts w:ascii="宋体" w:hAnsi="宋体" w:eastAsia="宋体" w:cs="宋体"/>
                <w:color w:val="auto"/>
                <w:sz w:val="24"/>
                <w:szCs w:val="24"/>
                <w:highlight w:val="none"/>
                <w:u w:val="single" w:color="auto"/>
              </w:rPr>
              <w:t xml:space="preserve">    </w:t>
            </w:r>
            <w:r>
              <w:rPr>
                <w:rFonts w:hint="eastAsia" w:cs="宋体"/>
                <w:color w:val="auto"/>
                <w:sz w:val="24"/>
                <w:szCs w:val="24"/>
                <w:highlight w:val="none"/>
                <w:u w:val="single" w:color="auto"/>
                <w:lang w:val="en-US" w:eastAsia="zh-CN"/>
              </w:rPr>
              <w:t xml:space="preserve"> </w:t>
            </w:r>
            <w:r>
              <w:rPr>
                <w:rFonts w:ascii="宋体" w:hAnsi="宋体" w:eastAsia="宋体" w:cs="宋体"/>
                <w:color w:val="auto"/>
                <w:sz w:val="24"/>
                <w:szCs w:val="24"/>
                <w:highlight w:val="none"/>
                <w:u w:val="single" w:color="auto"/>
              </w:rPr>
              <w:t xml:space="preserve">  </w:t>
            </w:r>
          </w:p>
          <w:p w14:paraId="19EA7261">
            <w:pPr>
              <w:pStyle w:val="76"/>
              <w:widowControl w:val="0"/>
              <w:spacing w:before="0" w:beforeAutospacing="0" w:after="0" w:afterAutospacing="0" w:line="360" w:lineRule="auto"/>
              <w:jc w:val="both"/>
              <w:rPr>
                <w:b w:val="0"/>
                <w:color w:val="auto"/>
                <w:sz w:val="24"/>
                <w:highlight w:val="none"/>
              </w:rPr>
            </w:pPr>
            <w:r>
              <w:rPr>
                <w:rFonts w:hint="eastAsia" w:ascii="宋体" w:hAnsi="宋体" w:eastAsia="宋体"/>
                <w:b w:val="0"/>
                <w:bCs w:val="0"/>
                <w:color w:val="auto"/>
                <w:kern w:val="0"/>
                <w:sz w:val="24"/>
                <w:szCs w:val="28"/>
                <w:highlight w:val="none"/>
              </w:rPr>
              <w:t>（3）</w:t>
            </w:r>
            <w:r>
              <w:rPr>
                <w:rFonts w:hint="default" w:ascii="宋体" w:hAnsi="宋体" w:eastAsia="宋体" w:cs="@仿宋_GB2312"/>
                <w:b w:val="0"/>
                <w:bCs/>
                <w:color w:val="auto"/>
                <w:kern w:val="0"/>
                <w:sz w:val="24"/>
                <w:szCs w:val="28"/>
                <w:highlight w:val="none"/>
                <w:lang w:val="en-US" w:eastAsia="zh-CN" w:bidi="ar-SA"/>
              </w:rPr>
              <w:t>收费标准：</w:t>
            </w:r>
            <w:r>
              <w:rPr>
                <w:rFonts w:ascii="宋体" w:hAnsi="宋体" w:eastAsia="宋体" w:cs="宋体"/>
                <w:color w:val="auto"/>
                <w:sz w:val="24"/>
                <w:szCs w:val="24"/>
                <w:highlight w:val="none"/>
                <w:u w:val="single" w:color="auto"/>
              </w:rPr>
              <w:t xml:space="preserve">  </w:t>
            </w:r>
            <w:r>
              <w:rPr>
                <w:rFonts w:hint="eastAsia" w:cs="宋体"/>
                <w:color w:val="auto"/>
                <w:sz w:val="24"/>
                <w:szCs w:val="24"/>
                <w:highlight w:val="none"/>
                <w:u w:val="single" w:color="auto"/>
                <w:lang w:val="en-US" w:eastAsia="zh-CN"/>
              </w:rPr>
              <w:t>/</w:t>
            </w:r>
            <w:r>
              <w:rPr>
                <w:rFonts w:ascii="宋体" w:hAnsi="宋体" w:eastAsia="宋体" w:cs="宋体"/>
                <w:color w:val="auto"/>
                <w:sz w:val="24"/>
                <w:szCs w:val="24"/>
                <w:highlight w:val="none"/>
                <w:u w:val="single" w:color="auto"/>
              </w:rPr>
              <w:t xml:space="preserve">    </w:t>
            </w:r>
            <w:r>
              <w:rPr>
                <w:rFonts w:hint="eastAsia" w:cs="宋体"/>
                <w:color w:val="auto"/>
                <w:sz w:val="24"/>
                <w:szCs w:val="24"/>
                <w:highlight w:val="none"/>
                <w:u w:val="single" w:color="auto"/>
                <w:lang w:val="en-US" w:eastAsia="zh-CN"/>
              </w:rPr>
              <w:t xml:space="preserve"> </w:t>
            </w:r>
            <w:r>
              <w:rPr>
                <w:rFonts w:ascii="宋体" w:hAnsi="宋体" w:eastAsia="宋体" w:cs="宋体"/>
                <w:color w:val="auto"/>
                <w:sz w:val="24"/>
                <w:szCs w:val="24"/>
                <w:highlight w:val="none"/>
                <w:u w:val="single" w:color="auto"/>
              </w:rPr>
              <w:t xml:space="preserve">  </w:t>
            </w:r>
          </w:p>
        </w:tc>
      </w:tr>
      <w:tr w14:paraId="52D8A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07B7CF1E">
            <w:pPr>
              <w:pStyle w:val="77"/>
              <w:pBdr>
                <w:bottom w:val="none" w:color="auto" w:sz="0" w:space="0"/>
              </w:pBdr>
              <w:tabs>
                <w:tab w:val="clear" w:pos="4153"/>
                <w:tab w:val="clear" w:pos="8306"/>
              </w:tabs>
              <w:adjustRightInd/>
              <w:spacing w:line="360" w:lineRule="auto"/>
              <w:textAlignment w:val="auto"/>
              <w:rPr>
                <w:rFonts w:hint="eastAsia" w:eastAsia="宋体"/>
                <w:bCs/>
                <w:color w:val="auto"/>
                <w:kern w:val="2"/>
                <w:highlight w:val="none"/>
                <w:lang w:val="en-US" w:eastAsia="zh-CN"/>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.1</w:t>
            </w:r>
            <w:r>
              <w:rPr>
                <w:rFonts w:hint="eastAsia"/>
                <w:bCs/>
                <w:color w:val="auto"/>
                <w:kern w:val="2"/>
                <w:highlight w:val="none"/>
                <w:lang w:val="en-US" w:eastAsia="zh-CN"/>
              </w:rPr>
              <w:t>0</w:t>
            </w:r>
          </w:p>
        </w:tc>
        <w:tc>
          <w:tcPr>
            <w:tcW w:w="977" w:type="pct"/>
            <w:vAlign w:val="center"/>
          </w:tcPr>
          <w:p w14:paraId="623167AA">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其他补充说明</w:t>
            </w:r>
          </w:p>
        </w:tc>
        <w:tc>
          <w:tcPr>
            <w:tcW w:w="3556" w:type="pct"/>
            <w:vAlign w:val="center"/>
          </w:tcPr>
          <w:p w14:paraId="0A43038A">
            <w:pPr>
              <w:numPr>
                <w:ilvl w:val="0"/>
                <w:numId w:val="0"/>
              </w:numPr>
              <w:spacing w:line="360" w:lineRule="auto"/>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lang w:val="en-US" w:eastAsia="zh-CN"/>
              </w:rPr>
              <w:t>1.解释权：</w:t>
            </w:r>
          </w:p>
          <w:p w14:paraId="719D2DCE">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w:t>
            </w:r>
            <w:r>
              <w:rPr>
                <w:rFonts w:hint="eastAsia" w:asciiTheme="minorEastAsia" w:hAnsiTheme="minorEastAsia" w:eastAsiaTheme="minorEastAsia"/>
                <w:bCs/>
                <w:color w:val="auto"/>
                <w:sz w:val="24"/>
                <w:szCs w:val="24"/>
                <w:highlight w:val="none"/>
              </w:rPr>
              <w:t>谈判</w:t>
            </w:r>
            <w:r>
              <w:rPr>
                <w:rFonts w:asciiTheme="minorEastAsia" w:hAnsiTheme="minorEastAsia" w:eastAsiaTheme="minorEastAsia"/>
                <w:bCs/>
                <w:color w:val="auto"/>
                <w:sz w:val="24"/>
                <w:szCs w:val="24"/>
                <w:highlight w:val="none"/>
              </w:rPr>
              <w:t>文件的各个组成文件应互为解释，互为说明；</w:t>
            </w:r>
          </w:p>
          <w:p w14:paraId="6519BDC5">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7714D7BF">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43CC208C">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w:t>
            </w:r>
            <w:r>
              <w:rPr>
                <w:rFonts w:hint="eastAsia" w:asciiTheme="minorEastAsia" w:hAnsiTheme="minorEastAsia" w:eastAsiaTheme="minorEastAsia"/>
                <w:bCs/>
                <w:color w:val="auto"/>
                <w:sz w:val="24"/>
                <w:szCs w:val="24"/>
                <w:highlight w:val="none"/>
              </w:rPr>
              <w:t>谈判</w:t>
            </w:r>
            <w:r>
              <w:rPr>
                <w:rFonts w:asciiTheme="minorEastAsia" w:hAnsiTheme="minorEastAsia" w:eastAsiaTheme="minorEastAsia"/>
                <w:bCs/>
                <w:color w:val="auto"/>
                <w:sz w:val="24"/>
                <w:szCs w:val="24"/>
                <w:highlight w:val="none"/>
              </w:rPr>
              <w:t>文件中有特别规定外，仅适用于</w:t>
            </w:r>
            <w:r>
              <w:rPr>
                <w:rFonts w:hint="eastAsia" w:asciiTheme="minorEastAsia" w:hAnsiTheme="minorEastAsia" w:eastAsiaTheme="minorEastAsia"/>
                <w:bCs/>
                <w:color w:val="auto"/>
                <w:sz w:val="24"/>
                <w:szCs w:val="24"/>
                <w:highlight w:val="none"/>
              </w:rPr>
              <w:t>谈判及响应文件提交</w:t>
            </w:r>
            <w:r>
              <w:rPr>
                <w:rFonts w:asciiTheme="minorEastAsia" w:hAnsiTheme="minorEastAsia" w:eastAsiaTheme="minorEastAsia"/>
                <w:bCs/>
                <w:color w:val="auto"/>
                <w:sz w:val="24"/>
                <w:szCs w:val="24"/>
                <w:highlight w:val="none"/>
              </w:rPr>
              <w:t>阶段的规定，按</w:t>
            </w:r>
            <w:r>
              <w:rPr>
                <w:rFonts w:hint="eastAsia" w:asciiTheme="minorEastAsia" w:hAnsiTheme="minorEastAsia" w:eastAsiaTheme="minorEastAsia"/>
                <w:bCs/>
                <w:color w:val="auto"/>
                <w:sz w:val="24"/>
                <w:szCs w:val="24"/>
                <w:highlight w:val="none"/>
              </w:rPr>
              <w:t>竞争性谈判</w:t>
            </w:r>
            <w:r>
              <w:rPr>
                <w:rFonts w:asciiTheme="minorEastAsia" w:hAnsiTheme="minorEastAsia" w:eastAsiaTheme="minorEastAsia"/>
                <w:bCs/>
                <w:color w:val="auto"/>
                <w:sz w:val="24"/>
                <w:szCs w:val="24"/>
                <w:highlight w:val="none"/>
              </w:rPr>
              <w:t>公告、</w:t>
            </w:r>
            <w:r>
              <w:rPr>
                <w:rFonts w:hint="eastAsia" w:asciiTheme="minorEastAsia" w:hAnsiTheme="minorEastAsia" w:eastAsiaTheme="minorEastAsia"/>
                <w:bCs/>
                <w:color w:val="auto"/>
                <w:sz w:val="24"/>
                <w:szCs w:val="24"/>
                <w:highlight w:val="none"/>
              </w:rPr>
              <w:t>谈判邀请、供应商</w:t>
            </w:r>
            <w:r>
              <w:rPr>
                <w:rFonts w:asciiTheme="minorEastAsia" w:hAnsiTheme="minorEastAsia" w:eastAsiaTheme="minorEastAsia"/>
                <w:bCs/>
                <w:color w:val="auto"/>
                <w:sz w:val="24"/>
                <w:szCs w:val="24"/>
                <w:highlight w:val="none"/>
              </w:rPr>
              <w:t>须知、评</w:t>
            </w:r>
            <w:r>
              <w:rPr>
                <w:rFonts w:hint="eastAsia" w:asciiTheme="minorEastAsia" w:hAnsiTheme="minorEastAsia" w:eastAsiaTheme="minorEastAsia"/>
                <w:bCs/>
                <w:color w:val="auto"/>
                <w:sz w:val="24"/>
                <w:szCs w:val="24"/>
                <w:highlight w:val="none"/>
              </w:rPr>
              <w:t>审方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w:t>
            </w:r>
            <w:r>
              <w:rPr>
                <w:rFonts w:hint="eastAsia" w:asciiTheme="minorEastAsia" w:hAnsiTheme="minorEastAsia" w:eastAsiaTheme="minorEastAsia"/>
                <w:bCs/>
                <w:color w:val="auto"/>
                <w:sz w:val="24"/>
                <w:szCs w:val="24"/>
                <w:highlight w:val="none"/>
              </w:rPr>
              <w:t>响应</w:t>
            </w:r>
            <w:r>
              <w:rPr>
                <w:rFonts w:asciiTheme="minorEastAsia" w:hAnsiTheme="minorEastAsia" w:eastAsiaTheme="minorEastAsia"/>
                <w:bCs/>
                <w:color w:val="auto"/>
                <w:sz w:val="24"/>
                <w:szCs w:val="24"/>
                <w:highlight w:val="none"/>
              </w:rPr>
              <w:t>文件格式的先后顺序解释；</w:t>
            </w:r>
          </w:p>
          <w:p w14:paraId="0F3DE934">
            <w:pPr>
              <w:pStyle w:val="76"/>
              <w:widowControl w:val="0"/>
              <w:spacing w:before="0" w:beforeAutospacing="0" w:after="0" w:afterAutospacing="0" w:line="360" w:lineRule="auto"/>
              <w:jc w:val="both"/>
              <w:rPr>
                <w:rFonts w:asciiTheme="minorEastAsia" w:hAnsiTheme="minorEastAsia" w:eastAsiaTheme="minorEastAsia"/>
                <w:b w:val="0"/>
                <w:color w:val="auto"/>
                <w:sz w:val="24"/>
                <w:szCs w:val="24"/>
                <w:highlight w:val="none"/>
              </w:rPr>
            </w:pPr>
            <w:r>
              <w:rPr>
                <w:rFonts w:hint="eastAsia" w:asciiTheme="minorEastAsia" w:hAnsiTheme="minorEastAsia" w:eastAsiaTheme="minorEastAsia"/>
                <w:b w:val="0"/>
                <w:color w:val="auto"/>
                <w:sz w:val="24"/>
                <w:szCs w:val="24"/>
                <w:highlight w:val="none"/>
              </w:rPr>
              <w:t>（5）</w:t>
            </w:r>
            <w:r>
              <w:rPr>
                <w:rFonts w:asciiTheme="minorEastAsia" w:hAnsiTheme="minorEastAsia" w:eastAsiaTheme="minorEastAsia"/>
                <w:b w:val="0"/>
                <w:color w:val="auto"/>
                <w:sz w:val="24"/>
                <w:szCs w:val="24"/>
                <w:highlight w:val="none"/>
              </w:rPr>
              <w:t>按本款前述规定仍不能形成结论的，由</w:t>
            </w:r>
            <w:r>
              <w:rPr>
                <w:rFonts w:hint="eastAsia" w:asciiTheme="minorEastAsia" w:hAnsiTheme="minorEastAsia" w:eastAsiaTheme="minorEastAsia"/>
                <w:b w:val="0"/>
                <w:color w:val="auto"/>
                <w:sz w:val="24"/>
                <w:szCs w:val="24"/>
                <w:highlight w:val="none"/>
              </w:rPr>
              <w:t>采购</w:t>
            </w:r>
            <w:r>
              <w:rPr>
                <w:rFonts w:asciiTheme="minorEastAsia" w:hAnsiTheme="minorEastAsia" w:eastAsiaTheme="minorEastAsia"/>
                <w:b w:val="0"/>
                <w:color w:val="auto"/>
                <w:sz w:val="24"/>
                <w:szCs w:val="24"/>
                <w:highlight w:val="none"/>
              </w:rPr>
              <w:t>人负责解释。</w:t>
            </w:r>
          </w:p>
          <w:p w14:paraId="4180A637">
            <w:pPr>
              <w:pStyle w:val="76"/>
              <w:widowControl w:val="0"/>
              <w:spacing w:before="0" w:beforeAutospacing="0" w:after="0" w:afterAutospacing="0" w:line="360" w:lineRule="auto"/>
              <w:jc w:val="both"/>
              <w:rPr>
                <w:rFonts w:hint="eastAsia"/>
                <w:b w:val="0"/>
                <w:color w:val="auto"/>
                <w:sz w:val="24"/>
                <w:highlight w:val="none"/>
              </w:rPr>
            </w:pPr>
            <w:r>
              <w:rPr>
                <w:rFonts w:hint="eastAsia"/>
                <w:b w:val="0"/>
                <w:color w:val="auto"/>
                <w:sz w:val="24"/>
                <w:highlight w:val="none"/>
                <w:lang w:val="en-US" w:eastAsia="zh-CN"/>
              </w:rPr>
              <w:t>2.</w:t>
            </w:r>
            <w:r>
              <w:rPr>
                <w:rFonts w:hint="eastAsia"/>
                <w:b w:val="0"/>
                <w:color w:val="auto"/>
                <w:sz w:val="24"/>
                <w:highlight w:val="none"/>
              </w:rPr>
              <w:t>评标过程中的澄清、说明或补正：</w:t>
            </w:r>
          </w:p>
          <w:p w14:paraId="26FB80BE">
            <w:pPr>
              <w:pStyle w:val="76"/>
              <w:widowControl w:val="0"/>
              <w:spacing w:before="0" w:beforeAutospacing="0" w:after="0" w:afterAutospacing="0" w:line="360" w:lineRule="auto"/>
              <w:jc w:val="both"/>
              <w:rPr>
                <w:rFonts w:hint="eastAsia"/>
                <w:b w:val="0"/>
                <w:color w:val="auto"/>
                <w:sz w:val="24"/>
                <w:highlight w:val="none"/>
              </w:rPr>
            </w:pPr>
            <w:r>
              <w:rPr>
                <w:rFonts w:hint="eastAsia"/>
                <w:b w:val="0"/>
                <w:color w:val="auto"/>
                <w:sz w:val="24"/>
                <w:highlight w:val="none"/>
              </w:rPr>
              <w:t>（1）谈判小组通过书面形式将需要澄清、说明或补正的内容以询标函的形式给供应商，供应商应安排专人登录网上招投标系统并保持在线状态，以便及时接收评审小组可能发出的询标函。</w:t>
            </w:r>
          </w:p>
          <w:p w14:paraId="2B9C0A47">
            <w:pPr>
              <w:pStyle w:val="76"/>
              <w:widowControl w:val="0"/>
              <w:spacing w:before="0" w:beforeAutospacing="0" w:after="0" w:afterAutospacing="0" w:line="360" w:lineRule="auto"/>
              <w:jc w:val="both"/>
              <w:rPr>
                <w:rFonts w:asciiTheme="minorEastAsia" w:hAnsiTheme="minorEastAsia" w:eastAsiaTheme="minorEastAsia"/>
                <w:b w:val="0"/>
                <w:color w:val="auto"/>
                <w:sz w:val="24"/>
                <w:szCs w:val="24"/>
                <w:highlight w:val="none"/>
              </w:rPr>
            </w:pPr>
            <w:r>
              <w:rPr>
                <w:rFonts w:hint="eastAsia"/>
                <w:b w:val="0"/>
                <w:color w:val="auto"/>
                <w:sz w:val="24"/>
                <w:highlight w:val="none"/>
              </w:rPr>
              <w:t>（2）因供应商原因导致无法及时接收询标函（远程网上询标）或未在规定时间内按谈判小组要求进行澄清、说明或补正内容的视同供应商放弃澄清、说明或补正内容的权利，谈判小组可按对供应商不利的解释进行判定。</w:t>
            </w:r>
          </w:p>
        </w:tc>
      </w:tr>
    </w:tbl>
    <w:p w14:paraId="4FBA7814">
      <w:pPr>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26" w:name="_Toc19323"/>
      <w:bookmarkStart w:id="27" w:name="_Toc32464"/>
      <w:r>
        <w:rPr>
          <w:rFonts w:hint="eastAsia" w:asciiTheme="minorEastAsia" w:hAnsiTheme="minorEastAsia" w:eastAsiaTheme="minorEastAsia"/>
          <w:b/>
          <w:color w:val="auto"/>
          <w:sz w:val="24"/>
          <w:highlight w:val="none"/>
        </w:rPr>
        <w:t>二、供应商</w:t>
      </w:r>
      <w:r>
        <w:rPr>
          <w:rFonts w:asciiTheme="minorEastAsia" w:hAnsiTheme="minorEastAsia" w:eastAsiaTheme="minorEastAsia"/>
          <w:b/>
          <w:color w:val="auto"/>
          <w:sz w:val="24"/>
          <w:highlight w:val="none"/>
        </w:rPr>
        <w:t>须知</w:t>
      </w:r>
      <w:r>
        <w:rPr>
          <w:rFonts w:hint="eastAsia" w:asciiTheme="minorEastAsia" w:hAnsiTheme="minorEastAsia" w:eastAsiaTheme="minorEastAsia"/>
          <w:b/>
          <w:color w:val="auto"/>
          <w:sz w:val="24"/>
          <w:highlight w:val="none"/>
        </w:rPr>
        <w:t>正文</w:t>
      </w:r>
      <w:bookmarkEnd w:id="26"/>
      <w:bookmarkEnd w:id="27"/>
    </w:p>
    <w:p w14:paraId="2691015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7385C076">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.1采购人：是指依法开展政府采购活动的国家机关、事业单位、团体组织。</w:t>
      </w:r>
    </w:p>
    <w:p w14:paraId="07B79DE4">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.2采购代理机构：是指集中采购机构或从事采购代理业务的社会中介机构。</w:t>
      </w:r>
    </w:p>
    <w:p w14:paraId="635536E6">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.3政府采购监督管理部门：</w:t>
      </w:r>
      <w:r>
        <w:rPr>
          <w:rFonts w:hint="eastAsia"/>
          <w:color w:val="auto"/>
          <w:sz w:val="24"/>
          <w:highlight w:val="none"/>
        </w:rPr>
        <w:t>各级人民政府指定的有关部门依法履行与政府采购活动有关的监督管理职责。</w:t>
      </w:r>
    </w:p>
    <w:p w14:paraId="1058DC74">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.4</w:t>
      </w:r>
      <w:r>
        <w:rPr>
          <w:rFonts w:hint="eastAsia"/>
          <w:color w:val="auto"/>
          <w:sz w:val="24"/>
          <w:highlight w:val="none"/>
        </w:rPr>
        <w:t>供应商</w:t>
      </w:r>
      <w:r>
        <w:rPr>
          <w:color w:val="auto"/>
          <w:sz w:val="24"/>
          <w:highlight w:val="none"/>
        </w:rPr>
        <w:t>：是指向采购人提供货物、工程或者服务的法人、</w:t>
      </w:r>
      <w:r>
        <w:rPr>
          <w:rFonts w:hint="eastAsia"/>
          <w:color w:val="auto"/>
          <w:sz w:val="24"/>
          <w:highlight w:val="none"/>
          <w:lang w:val="en-US" w:eastAsia="zh-CN"/>
        </w:rPr>
        <w:t>其他</w:t>
      </w:r>
      <w:r>
        <w:rPr>
          <w:color w:val="auto"/>
          <w:sz w:val="24"/>
          <w:highlight w:val="none"/>
        </w:rPr>
        <w:t>组织或者自然人。</w:t>
      </w:r>
      <w:r>
        <w:rPr>
          <w:rFonts w:hint="eastAsia"/>
          <w:color w:val="auto"/>
          <w:sz w:val="24"/>
          <w:highlight w:val="none"/>
        </w:rPr>
        <w:t>分支机构不得参加政府采购活动，但银行、保险、石油石化、电力、电信等特殊行业除外。</w:t>
      </w:r>
      <w:r>
        <w:rPr>
          <w:color w:val="auto"/>
          <w:sz w:val="24"/>
          <w:highlight w:val="none"/>
        </w:rPr>
        <w:t>本项目的</w:t>
      </w:r>
      <w:r>
        <w:rPr>
          <w:rFonts w:hint="eastAsia"/>
          <w:color w:val="auto"/>
          <w:sz w:val="24"/>
          <w:highlight w:val="none"/>
        </w:rPr>
        <w:t>供应商</w:t>
      </w:r>
      <w:r>
        <w:rPr>
          <w:color w:val="auto"/>
          <w:sz w:val="24"/>
          <w:highlight w:val="none"/>
        </w:rPr>
        <w:t>须满足以下条件：</w:t>
      </w:r>
    </w:p>
    <w:p w14:paraId="27D57A1E">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.4.</w:t>
      </w:r>
      <w:r>
        <w:rPr>
          <w:rFonts w:hint="eastAsia"/>
          <w:color w:val="auto"/>
          <w:sz w:val="24"/>
          <w:highlight w:val="none"/>
          <w:lang w:val="en-US" w:eastAsia="zh-CN"/>
        </w:rPr>
        <w:t>1</w:t>
      </w:r>
      <w:r>
        <w:rPr>
          <w:color w:val="auto"/>
          <w:sz w:val="24"/>
          <w:highlight w:val="none"/>
        </w:rPr>
        <w:t>具备《中华人民共和国政府采购法》第二十二条关于供应商条件的规定，遵守本项目采购人本级和上级财政部门政府采购的有关规定。</w:t>
      </w:r>
    </w:p>
    <w:p w14:paraId="1BA9BAFC">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.4.</w:t>
      </w:r>
      <w:r>
        <w:rPr>
          <w:rFonts w:hint="eastAsia"/>
          <w:color w:val="auto"/>
          <w:sz w:val="24"/>
          <w:highlight w:val="none"/>
          <w:lang w:val="en-US" w:eastAsia="zh-CN"/>
        </w:rPr>
        <w:t>2</w:t>
      </w:r>
      <w:r>
        <w:rPr>
          <w:color w:val="auto"/>
          <w:sz w:val="24"/>
          <w:highlight w:val="none"/>
        </w:rPr>
        <w:t>以采购代理机构认可的方式获得了本项目的</w:t>
      </w:r>
      <w:r>
        <w:rPr>
          <w:rFonts w:hint="eastAsia"/>
          <w:color w:val="auto"/>
          <w:sz w:val="24"/>
          <w:highlight w:val="none"/>
        </w:rPr>
        <w:t>谈判</w:t>
      </w:r>
      <w:r>
        <w:rPr>
          <w:color w:val="auto"/>
          <w:sz w:val="24"/>
          <w:highlight w:val="none"/>
        </w:rPr>
        <w:t>文件。</w:t>
      </w:r>
    </w:p>
    <w:p w14:paraId="47262D3E">
      <w:pPr>
        <w:spacing w:line="360" w:lineRule="auto"/>
        <w:ind w:firstLine="435"/>
        <w:rPr>
          <w:color w:val="auto"/>
          <w:sz w:val="24"/>
          <w:highlight w:val="none"/>
        </w:rPr>
      </w:pPr>
      <w:r>
        <w:rPr>
          <w:rFonts w:hint="eastAsia"/>
          <w:bCs/>
          <w:color w:val="auto"/>
          <w:sz w:val="24"/>
          <w:szCs w:val="28"/>
          <w:highlight w:val="none"/>
          <w:lang w:val="en-US" w:eastAsia="zh-CN"/>
        </w:rPr>
        <w:t>1</w:t>
      </w:r>
      <w:r>
        <w:rPr>
          <w:bCs/>
          <w:color w:val="auto"/>
          <w:sz w:val="24"/>
          <w:szCs w:val="28"/>
          <w:highlight w:val="none"/>
        </w:rPr>
        <w:t>.5</w:t>
      </w:r>
      <w:r>
        <w:rPr>
          <w:rFonts w:hint="eastAsia"/>
          <w:bCs/>
          <w:color w:val="auto"/>
          <w:sz w:val="24"/>
          <w:szCs w:val="28"/>
          <w:highlight w:val="none"/>
        </w:rPr>
        <w:t>若竞争性谈判公告</w:t>
      </w:r>
      <w:r>
        <w:rPr>
          <w:bCs/>
          <w:color w:val="auto"/>
          <w:sz w:val="24"/>
          <w:szCs w:val="28"/>
          <w:highlight w:val="none"/>
        </w:rPr>
        <w:t>中允许联合体</w:t>
      </w:r>
      <w:r>
        <w:rPr>
          <w:rFonts w:hint="eastAsia"/>
          <w:bCs/>
          <w:color w:val="auto"/>
          <w:sz w:val="24"/>
          <w:szCs w:val="28"/>
          <w:highlight w:val="none"/>
        </w:rPr>
        <w:t>参加谈判</w:t>
      </w:r>
      <w:r>
        <w:rPr>
          <w:bCs/>
          <w:color w:val="auto"/>
          <w:sz w:val="24"/>
          <w:szCs w:val="28"/>
          <w:highlight w:val="none"/>
        </w:rPr>
        <w:t>，对联合体规定如下：</w:t>
      </w:r>
    </w:p>
    <w:p w14:paraId="40262F0D">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w:t>
      </w:r>
      <w:r>
        <w:rPr>
          <w:rFonts w:hint="eastAsia"/>
          <w:color w:val="auto"/>
          <w:sz w:val="24"/>
          <w:highlight w:val="none"/>
        </w:rPr>
        <w:t>5</w:t>
      </w:r>
      <w:r>
        <w:rPr>
          <w:color w:val="auto"/>
          <w:sz w:val="24"/>
          <w:highlight w:val="none"/>
        </w:rPr>
        <w:t>.1</w:t>
      </w:r>
      <w:r>
        <w:rPr>
          <w:rFonts w:hint="eastAsia"/>
          <w:color w:val="auto"/>
          <w:sz w:val="24"/>
          <w:highlight w:val="none"/>
        </w:rPr>
        <w:t>两个以上供应商可以组成一个谈判联合体，以一个供应商的身份谈判</w:t>
      </w:r>
      <w:r>
        <w:rPr>
          <w:color w:val="auto"/>
          <w:sz w:val="24"/>
          <w:highlight w:val="none"/>
        </w:rPr>
        <w:t>。</w:t>
      </w:r>
      <w:r>
        <w:rPr>
          <w:b w:val="0"/>
          <w:color w:val="auto"/>
          <w:sz w:val="24"/>
          <w:highlight w:val="none"/>
        </w:rPr>
        <w:t>联合体参加谈判的，</w:t>
      </w:r>
      <w:r>
        <w:rPr>
          <w:rFonts w:hint="eastAsia"/>
          <w:b w:val="0"/>
          <w:color w:val="auto"/>
          <w:sz w:val="24"/>
          <w:highlight w:val="none"/>
        </w:rPr>
        <w:t>谈判文件获取</w:t>
      </w:r>
      <w:r>
        <w:rPr>
          <w:b w:val="0"/>
          <w:color w:val="auto"/>
          <w:sz w:val="24"/>
          <w:highlight w:val="none"/>
        </w:rPr>
        <w:t>手续由联合体</w:t>
      </w:r>
      <w:r>
        <w:rPr>
          <w:rFonts w:hint="eastAsia"/>
          <w:b w:val="0"/>
          <w:color w:val="auto"/>
          <w:sz w:val="24"/>
          <w:highlight w:val="none"/>
        </w:rPr>
        <w:t>中</w:t>
      </w:r>
      <w:r>
        <w:rPr>
          <w:b w:val="0"/>
          <w:color w:val="auto"/>
          <w:sz w:val="24"/>
          <w:highlight w:val="none"/>
        </w:rPr>
        <w:t>任一</w:t>
      </w:r>
      <w:r>
        <w:rPr>
          <w:rFonts w:hint="eastAsia"/>
          <w:b w:val="0"/>
          <w:color w:val="auto"/>
          <w:sz w:val="24"/>
          <w:highlight w:val="none"/>
        </w:rPr>
        <w:t>成员单位</w:t>
      </w:r>
      <w:r>
        <w:rPr>
          <w:b w:val="0"/>
          <w:color w:val="auto"/>
          <w:sz w:val="24"/>
          <w:highlight w:val="none"/>
        </w:rPr>
        <w:t>办理均可。</w:t>
      </w:r>
    </w:p>
    <w:p w14:paraId="74EA75F9">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w:t>
      </w:r>
      <w:r>
        <w:rPr>
          <w:rFonts w:hint="eastAsia"/>
          <w:color w:val="auto"/>
          <w:sz w:val="24"/>
          <w:highlight w:val="none"/>
        </w:rPr>
        <w:t>5</w:t>
      </w:r>
      <w:r>
        <w:rPr>
          <w:color w:val="auto"/>
          <w:sz w:val="24"/>
          <w:highlight w:val="none"/>
        </w:rPr>
        <w:t>.2联合体各方均应符合《中华人民共和国政府采购法》第二十二条规定的条件。</w:t>
      </w:r>
    </w:p>
    <w:p w14:paraId="345496E1">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w:t>
      </w:r>
      <w:r>
        <w:rPr>
          <w:rFonts w:hint="eastAsia"/>
          <w:color w:val="auto"/>
          <w:sz w:val="24"/>
          <w:highlight w:val="none"/>
        </w:rPr>
        <w:t>5</w:t>
      </w:r>
      <w:r>
        <w:rPr>
          <w:color w:val="auto"/>
          <w:sz w:val="24"/>
          <w:highlight w:val="none"/>
        </w:rPr>
        <w:t>.3采购人根据采购项目对</w:t>
      </w:r>
      <w:r>
        <w:rPr>
          <w:rFonts w:hint="eastAsia"/>
          <w:color w:val="auto"/>
          <w:sz w:val="24"/>
          <w:highlight w:val="none"/>
        </w:rPr>
        <w:t>供应商</w:t>
      </w:r>
      <w:r>
        <w:rPr>
          <w:color w:val="auto"/>
          <w:sz w:val="24"/>
          <w:highlight w:val="none"/>
        </w:rPr>
        <w:t>的特殊要求，联合体中至少应当有一方符合相关规定。</w:t>
      </w:r>
    </w:p>
    <w:p w14:paraId="5589AFF8">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w:t>
      </w:r>
      <w:r>
        <w:rPr>
          <w:rFonts w:hint="eastAsia"/>
          <w:color w:val="auto"/>
          <w:sz w:val="24"/>
          <w:highlight w:val="none"/>
        </w:rPr>
        <w:t>5</w:t>
      </w:r>
      <w:r>
        <w:rPr>
          <w:color w:val="auto"/>
          <w:sz w:val="24"/>
          <w:highlight w:val="none"/>
        </w:rPr>
        <w:t>.4联合体各方应签订</w:t>
      </w:r>
      <w:r>
        <w:rPr>
          <w:rFonts w:hint="eastAsia"/>
          <w:color w:val="auto"/>
          <w:sz w:val="24"/>
          <w:highlight w:val="none"/>
        </w:rPr>
        <w:t>联合协议</w:t>
      </w:r>
      <w:r>
        <w:rPr>
          <w:color w:val="auto"/>
          <w:sz w:val="24"/>
          <w:highlight w:val="none"/>
        </w:rPr>
        <w:t>，明确约定联合体各方承担的工作和相应的责任，并将</w:t>
      </w:r>
      <w:r>
        <w:rPr>
          <w:rFonts w:hint="eastAsia"/>
          <w:color w:val="auto"/>
          <w:sz w:val="24"/>
          <w:highlight w:val="none"/>
        </w:rPr>
        <w:t>联合协议</w:t>
      </w:r>
      <w:r>
        <w:rPr>
          <w:color w:val="auto"/>
          <w:sz w:val="24"/>
          <w:highlight w:val="none"/>
        </w:rPr>
        <w:t>作为</w:t>
      </w:r>
      <w:r>
        <w:rPr>
          <w:rFonts w:hint="eastAsia"/>
          <w:color w:val="auto"/>
          <w:sz w:val="24"/>
          <w:highlight w:val="none"/>
        </w:rPr>
        <w:t>响应</w:t>
      </w:r>
      <w:r>
        <w:rPr>
          <w:color w:val="auto"/>
          <w:sz w:val="24"/>
          <w:highlight w:val="none"/>
        </w:rPr>
        <w:t>文件</w:t>
      </w:r>
      <w:r>
        <w:rPr>
          <w:rFonts w:hint="eastAsia"/>
          <w:color w:val="auto"/>
          <w:sz w:val="24"/>
          <w:highlight w:val="none"/>
        </w:rPr>
        <w:t>的</w:t>
      </w:r>
      <w:r>
        <w:rPr>
          <w:color w:val="auto"/>
          <w:sz w:val="24"/>
          <w:highlight w:val="none"/>
        </w:rPr>
        <w:t>一部分提交。</w:t>
      </w:r>
    </w:p>
    <w:p w14:paraId="32E12BA4">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w:t>
      </w:r>
      <w:r>
        <w:rPr>
          <w:rFonts w:hint="eastAsia"/>
          <w:color w:val="auto"/>
          <w:sz w:val="24"/>
          <w:highlight w:val="none"/>
        </w:rPr>
        <w:t>5</w:t>
      </w:r>
      <w:r>
        <w:rPr>
          <w:color w:val="auto"/>
          <w:sz w:val="24"/>
          <w:highlight w:val="none"/>
        </w:rPr>
        <w:t>.5大中型企业、其他自然人、法人或者非法人组织与小型、微型企业组成联合体共同参加</w:t>
      </w:r>
      <w:r>
        <w:rPr>
          <w:rFonts w:hint="eastAsia"/>
          <w:color w:val="auto"/>
          <w:sz w:val="24"/>
          <w:highlight w:val="none"/>
        </w:rPr>
        <w:t>谈判</w:t>
      </w:r>
      <w:r>
        <w:rPr>
          <w:color w:val="auto"/>
          <w:sz w:val="24"/>
          <w:highlight w:val="none"/>
        </w:rPr>
        <w:t>，</w:t>
      </w:r>
      <w:r>
        <w:rPr>
          <w:rFonts w:hint="eastAsia"/>
          <w:color w:val="auto"/>
          <w:sz w:val="24"/>
          <w:highlight w:val="none"/>
        </w:rPr>
        <w:t>联合协议中</w:t>
      </w:r>
      <w:r>
        <w:rPr>
          <w:color w:val="auto"/>
          <w:sz w:val="24"/>
          <w:highlight w:val="none"/>
        </w:rPr>
        <w:t>应写明小型、微型企业的协议合同金额占到</w:t>
      </w:r>
      <w:r>
        <w:rPr>
          <w:rFonts w:hint="eastAsia"/>
          <w:color w:val="auto"/>
          <w:sz w:val="24"/>
          <w:highlight w:val="none"/>
        </w:rPr>
        <w:t>联合协议合同</w:t>
      </w:r>
      <w:r>
        <w:rPr>
          <w:color w:val="auto"/>
          <w:sz w:val="24"/>
          <w:highlight w:val="none"/>
        </w:rPr>
        <w:t>总金额的比例。</w:t>
      </w:r>
    </w:p>
    <w:p w14:paraId="1324E270">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.5.6</w:t>
      </w:r>
      <w:r>
        <w:rPr>
          <w:rFonts w:hint="eastAsia"/>
          <w:color w:val="auto"/>
          <w:sz w:val="24"/>
          <w:highlight w:val="none"/>
        </w:rPr>
        <w:t>联合体中有同类资质的供应商按照联合体分工承担相同工作的，</w:t>
      </w:r>
      <w:r>
        <w:rPr>
          <w:color w:val="auto"/>
          <w:sz w:val="24"/>
          <w:highlight w:val="none"/>
        </w:rPr>
        <w:t>应当按照</w:t>
      </w:r>
      <w:r>
        <w:rPr>
          <w:rFonts w:hint="eastAsia"/>
          <w:color w:val="auto"/>
          <w:sz w:val="24"/>
          <w:highlight w:val="none"/>
        </w:rPr>
        <w:t>资质等级较低的供应商确定资质等级。</w:t>
      </w:r>
    </w:p>
    <w:p w14:paraId="4D822167">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w:t>
      </w:r>
      <w:r>
        <w:rPr>
          <w:rFonts w:hint="eastAsia"/>
          <w:color w:val="auto"/>
          <w:sz w:val="24"/>
          <w:highlight w:val="none"/>
        </w:rPr>
        <w:t>5</w:t>
      </w:r>
      <w:r>
        <w:rPr>
          <w:color w:val="auto"/>
          <w:sz w:val="24"/>
          <w:highlight w:val="none"/>
        </w:rPr>
        <w:t>.7以联合体形式参加政府采购活动的，联合体各方不得再单独参加或者与其他供应商另外组成联合体参加本项目</w:t>
      </w:r>
      <w:r>
        <w:rPr>
          <w:rFonts w:hint="eastAsia"/>
          <w:color w:val="auto"/>
          <w:sz w:val="24"/>
          <w:highlight w:val="none"/>
        </w:rPr>
        <w:t>谈判</w:t>
      </w:r>
      <w:r>
        <w:rPr>
          <w:color w:val="auto"/>
          <w:sz w:val="24"/>
          <w:highlight w:val="none"/>
        </w:rPr>
        <w:t>，否则相关</w:t>
      </w:r>
      <w:r>
        <w:rPr>
          <w:rFonts w:hint="eastAsia"/>
          <w:color w:val="auto"/>
          <w:sz w:val="24"/>
          <w:highlight w:val="none"/>
        </w:rPr>
        <w:t>响应文件将被认定为</w:t>
      </w:r>
      <w:r>
        <w:rPr>
          <w:rFonts w:hint="eastAsia"/>
          <w:b/>
          <w:color w:val="auto"/>
          <w:sz w:val="24"/>
          <w:highlight w:val="none"/>
        </w:rPr>
        <w:t>响应无效</w:t>
      </w:r>
      <w:r>
        <w:rPr>
          <w:color w:val="auto"/>
          <w:sz w:val="24"/>
          <w:highlight w:val="none"/>
        </w:rPr>
        <w:t>。</w:t>
      </w:r>
    </w:p>
    <w:p w14:paraId="33138B25">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w:t>
      </w:r>
      <w:r>
        <w:rPr>
          <w:rFonts w:hint="eastAsia"/>
          <w:color w:val="auto"/>
          <w:sz w:val="24"/>
          <w:highlight w:val="none"/>
        </w:rPr>
        <w:t>5</w:t>
      </w:r>
      <w:r>
        <w:rPr>
          <w:color w:val="auto"/>
          <w:sz w:val="24"/>
          <w:highlight w:val="none"/>
        </w:rPr>
        <w:t>.8对联合体参加谈判的其他资格要求见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color w:val="auto"/>
          <w:sz w:val="24"/>
          <w:highlight w:val="none"/>
        </w:rPr>
        <w:t>。</w:t>
      </w:r>
    </w:p>
    <w:p w14:paraId="2A682948">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资金</w:t>
      </w:r>
      <w:r>
        <w:rPr>
          <w:rFonts w:hint="eastAsia" w:asciiTheme="minorEastAsia" w:hAnsiTheme="minorEastAsia" w:eastAsiaTheme="minorEastAsia"/>
          <w:b/>
          <w:color w:val="auto"/>
          <w:sz w:val="24"/>
          <w:highlight w:val="none"/>
          <w:lang w:val="en-US" w:eastAsia="zh-CN"/>
        </w:rPr>
        <w:t>落实情况</w:t>
      </w:r>
    </w:p>
    <w:p w14:paraId="4280E54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.1本项目的采购人已获得足以支付本次谈判后所签订的合同项下的资金。</w:t>
      </w:r>
    </w:p>
    <w:p w14:paraId="0BA97BE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谈判费用</w:t>
      </w:r>
    </w:p>
    <w:p w14:paraId="04B83825">
      <w:pPr>
        <w:spacing w:line="360" w:lineRule="auto"/>
        <w:ind w:firstLine="437"/>
        <w:rPr>
          <w:color w:val="auto"/>
          <w:sz w:val="24"/>
          <w:highlight w:val="none"/>
        </w:rPr>
      </w:pPr>
      <w:r>
        <w:rPr>
          <w:rFonts w:hint="eastAsia"/>
          <w:color w:val="auto"/>
          <w:sz w:val="24"/>
          <w:highlight w:val="none"/>
        </w:rPr>
        <w:t>不论谈判的结果如何，供应商应承担其所有与准备和参加谈判有关的费用。</w:t>
      </w:r>
    </w:p>
    <w:p w14:paraId="57C9096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适用法律</w:t>
      </w:r>
    </w:p>
    <w:p w14:paraId="6E16B6CD">
      <w:pPr>
        <w:spacing w:line="360" w:lineRule="auto"/>
        <w:ind w:firstLine="435"/>
        <w:rPr>
          <w:rFonts w:asciiTheme="minorEastAsia" w:hAnsiTheme="minorEastAsia" w:eastAsiaTheme="minorEastAsia"/>
          <w:color w:val="auto"/>
          <w:sz w:val="24"/>
          <w:highlight w:val="none"/>
        </w:rPr>
      </w:pPr>
      <w:r>
        <w:rPr>
          <w:rFonts w:hint="eastAsia"/>
          <w:color w:val="auto"/>
          <w:sz w:val="24"/>
          <w:highlight w:val="none"/>
        </w:rPr>
        <w:t>本项目采购人、采购代理机构、供应商、谈判小组的相关行为均受《中华人民共和国政府采购法》、《中华人民共和国政府采购法实施条例》及本项目本级和上级财政部门、政府采购监督管理部门的政府采购有关规定的约束，其权利受到上述法律法规的保护。</w:t>
      </w:r>
    </w:p>
    <w:p w14:paraId="7302FA8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谈判文件构成</w:t>
      </w:r>
    </w:p>
    <w:p w14:paraId="30B62AB9">
      <w:pPr>
        <w:spacing w:line="360" w:lineRule="auto"/>
        <w:ind w:firstLine="435"/>
        <w:rPr>
          <w:color w:val="auto"/>
          <w:sz w:val="24"/>
          <w:highlight w:val="none"/>
        </w:rPr>
      </w:pPr>
      <w:r>
        <w:rPr>
          <w:rFonts w:hint="eastAsia"/>
          <w:color w:val="auto"/>
          <w:sz w:val="24"/>
          <w:highlight w:val="none"/>
          <w:lang w:val="en-US" w:eastAsia="zh-CN"/>
        </w:rPr>
        <w:t>5</w:t>
      </w:r>
      <w:r>
        <w:rPr>
          <w:rFonts w:hint="eastAsia"/>
          <w:color w:val="auto"/>
          <w:sz w:val="24"/>
          <w:highlight w:val="none"/>
        </w:rPr>
        <w:t>.1谈判文件包括下列内容：</w:t>
      </w:r>
    </w:p>
    <w:p w14:paraId="105A8536">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谈判邀请</w:t>
      </w:r>
    </w:p>
    <w:p w14:paraId="0E4B2CAD">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须知</w:t>
      </w:r>
    </w:p>
    <w:p w14:paraId="6CD27D58">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0D468345">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评审方法</w:t>
      </w:r>
      <w:r>
        <w:rPr>
          <w:rFonts w:asciiTheme="minorEastAsia" w:hAnsiTheme="minorEastAsia" w:eastAsiaTheme="minorEastAsia"/>
          <w:color w:val="auto"/>
          <w:sz w:val="24"/>
          <w:highlight w:val="none"/>
        </w:rPr>
        <w:t>和标准</w:t>
      </w:r>
    </w:p>
    <w:p w14:paraId="5E716FF5">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0736864E">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文件格式</w:t>
      </w:r>
    </w:p>
    <w:p w14:paraId="0EB873DE">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政府采购供应商</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47EF0B9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踏勘</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0F8B5FB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应认真阅读</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文件所有的事项、格式、条款和技术规范等。</w:t>
      </w:r>
    </w:p>
    <w:p w14:paraId="33A256CC">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谈判文件的澄清与修改</w:t>
      </w:r>
    </w:p>
    <w:p w14:paraId="3E7A215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1供应商</w:t>
      </w:r>
      <w:r>
        <w:rPr>
          <w:rFonts w:asciiTheme="minorEastAsia" w:hAnsiTheme="minorEastAsia" w:eastAsiaTheme="minorEastAsia"/>
          <w:color w:val="auto"/>
          <w:sz w:val="24"/>
          <w:highlight w:val="none"/>
        </w:rPr>
        <w:t>如对</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文件内容有疑问，必须在</w:t>
      </w:r>
      <w:r>
        <w:rPr>
          <w:color w:val="auto"/>
          <w:sz w:val="24"/>
          <w:highlight w:val="none"/>
          <w:u w:val="single"/>
        </w:rPr>
        <w:t>供应商须知前附表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7D10B79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在滁州市城投工程咨询管理有限公司</w:t>
      </w:r>
      <w:r>
        <w:rPr>
          <w:rFonts w:hint="eastAsia" w:asciiTheme="minorEastAsia" w:hAnsiTheme="minorEastAsia" w:eastAsiaTheme="minorEastAsia"/>
          <w:color w:val="auto"/>
          <w:sz w:val="24"/>
          <w:highlight w:val="none"/>
          <w:lang w:val="en-US" w:eastAsia="zh-CN"/>
        </w:rPr>
        <w:t>网站</w:t>
      </w:r>
      <w:r>
        <w:rPr>
          <w:rFonts w:hint="eastAsia" w:asciiTheme="minorEastAsia" w:hAnsiTheme="minorEastAsia" w:eastAsiaTheme="minorEastAsia"/>
          <w:color w:val="auto"/>
          <w:sz w:val="24"/>
          <w:highlight w:val="none"/>
        </w:rPr>
        <w:t>发布更正公告的方式澄清或者修改谈判文件，更正公告的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26917918">
      <w:pPr>
        <w:spacing w:line="360" w:lineRule="auto"/>
        <w:ind w:firstLine="435"/>
        <w:rPr>
          <w:color w:val="auto"/>
          <w:sz w:val="24"/>
          <w:highlight w:val="none"/>
        </w:rPr>
      </w:pPr>
      <w:r>
        <w:rPr>
          <w:rFonts w:hint="eastAsia"/>
          <w:color w:val="auto"/>
          <w:sz w:val="24"/>
          <w:highlight w:val="none"/>
          <w:lang w:val="en-US" w:eastAsia="zh-CN"/>
        </w:rPr>
        <w:t>6</w:t>
      </w:r>
      <w:r>
        <w:rPr>
          <w:rFonts w:hint="eastAsia"/>
          <w:color w:val="auto"/>
          <w:sz w:val="24"/>
          <w:highlight w:val="none"/>
        </w:rPr>
        <w:t>.3任何人或任何组织向供应商提供的任何书面或口头资料，未经采购代理机构在网上发布或书面通知，均作无效处理，不得作为谈判文件的组成部分。采购代理机构对供应商由此而做出的推论、理解和结论概不负责。</w:t>
      </w:r>
    </w:p>
    <w:p w14:paraId="3A040FBE">
      <w:pPr>
        <w:spacing w:line="360" w:lineRule="auto"/>
        <w:ind w:firstLine="435"/>
        <w:rPr>
          <w:rFonts w:hint="eastAsia" w:asciiTheme="minorEastAsia" w:hAnsiTheme="minorEastAsia" w:eastAsiaTheme="minorEastAsia"/>
          <w:iCs/>
          <w:color w:val="auto"/>
          <w:sz w:val="24"/>
          <w:highlight w:val="none"/>
          <w:lang w:eastAsia="zh-CN"/>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询问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本谈判</w:t>
      </w:r>
      <w:r>
        <w:rPr>
          <w:rFonts w:asciiTheme="minorEastAsia" w:hAnsiTheme="minorEastAsia" w:eastAsiaTheme="minorEastAsia"/>
          <w:color w:val="auto"/>
          <w:sz w:val="24"/>
          <w:highlight w:val="none"/>
        </w:rPr>
        <w:t>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lang w:eastAsia="zh-CN"/>
        </w:rPr>
        <w:t>。</w:t>
      </w:r>
    </w:p>
    <w:p w14:paraId="4C99F7E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谈判范围及响应文件中标准和计量单位的使用</w:t>
      </w:r>
    </w:p>
    <w:p w14:paraId="4A78C55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.1项目有分包的，供应商可</w:t>
      </w:r>
      <w:r>
        <w:rPr>
          <w:rFonts w:hint="eastAsia" w:asciiTheme="minorEastAsia" w:hAnsiTheme="minorEastAsia" w:eastAsiaTheme="minorEastAsia"/>
          <w:color w:val="auto"/>
          <w:sz w:val="24"/>
          <w:highlight w:val="none"/>
        </w:rPr>
        <w:t>参与</w:t>
      </w:r>
      <w:r>
        <w:rPr>
          <w:rFonts w:asciiTheme="minorEastAsia" w:hAnsiTheme="minorEastAsia" w:eastAsiaTheme="minorEastAsia"/>
          <w:color w:val="auto"/>
          <w:sz w:val="24"/>
          <w:highlight w:val="none"/>
        </w:rPr>
        <w:t>其中某一个或</w:t>
      </w:r>
      <w:r>
        <w:rPr>
          <w:rFonts w:hint="eastAsia" w:asciiTheme="minorEastAsia" w:hAnsiTheme="minorEastAsia" w:eastAsiaTheme="minorEastAsia"/>
          <w:color w:val="auto"/>
          <w:sz w:val="24"/>
          <w:highlight w:val="none"/>
        </w:rPr>
        <w:t>多</w:t>
      </w:r>
      <w:r>
        <w:rPr>
          <w:rFonts w:asciiTheme="minorEastAsia" w:hAnsiTheme="minorEastAsia" w:eastAsiaTheme="minorEastAsia"/>
          <w:color w:val="auto"/>
          <w:sz w:val="24"/>
          <w:highlight w:val="none"/>
        </w:rPr>
        <w:t>个分包</w:t>
      </w:r>
      <w:r>
        <w:rPr>
          <w:rFonts w:hint="eastAsia" w:asciiTheme="minorEastAsia" w:hAnsiTheme="minorEastAsia" w:eastAsiaTheme="minorEastAsia"/>
          <w:color w:val="auto"/>
          <w:sz w:val="24"/>
          <w:highlight w:val="none"/>
        </w:rPr>
        <w:t>的谈判</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成交包数详见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中规定。</w:t>
      </w:r>
    </w:p>
    <w:p w14:paraId="5C000B9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无论谈判文件中是否要求，供应商所</w:t>
      </w:r>
      <w:r>
        <w:rPr>
          <w:rFonts w:hint="eastAsia" w:asciiTheme="minorEastAsia" w:hAnsiTheme="minorEastAsia" w:eastAsiaTheme="minorEastAsia"/>
          <w:color w:val="auto"/>
          <w:sz w:val="24"/>
          <w:highlight w:val="none"/>
        </w:rPr>
        <w:t>承担</w:t>
      </w:r>
      <w:r>
        <w:rPr>
          <w:rFonts w:asciiTheme="minorEastAsia" w:hAnsiTheme="minorEastAsia" w:eastAsiaTheme="minorEastAsia"/>
          <w:color w:val="auto"/>
          <w:sz w:val="24"/>
          <w:highlight w:val="none"/>
        </w:rPr>
        <w:t>工程及伴随的货物和</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均应符合国家强制性标准。</w:t>
      </w:r>
    </w:p>
    <w:p w14:paraId="41F4AE1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供应商与采购代理机构之间与谈判有关的所有往来通知、函件和响应文件均用中文表述。供应商随响应文件提供的证明文件和资料可以为其他语言，但必须附中文译文。翻译的中文资料与外文资料如果出现差异时，以中文为准。</w:t>
      </w:r>
    </w:p>
    <w:p w14:paraId="1D27B95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除谈判文件中有特殊要求外，响应文件中所使用的计量单位，应采用中华人民共和国法定计量单位。</w:t>
      </w:r>
    </w:p>
    <w:p w14:paraId="7AFA7543">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响应文件构成</w:t>
      </w:r>
    </w:p>
    <w:p w14:paraId="2D9BF40F">
      <w:pPr>
        <w:spacing w:line="360" w:lineRule="auto"/>
        <w:ind w:firstLine="437"/>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.1供应商应完整地按谈判文件提供的响应文件格式及要求编写响应文件，具体内容详见第六章响应文件格式的相关内容。</w:t>
      </w:r>
    </w:p>
    <w:p w14:paraId="619B9C3B">
      <w:pPr>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.2</w:t>
      </w:r>
      <w:r>
        <w:rPr>
          <w:rFonts w:hint="eastAsia"/>
          <w:color w:val="auto"/>
          <w:sz w:val="24"/>
          <w:highlight w:val="none"/>
        </w:rPr>
        <w:t>供应商应提交谈判文件要求的证明文件，证明其响应内容符合谈判文件规定。该证明文件是响应文件的一部分</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28" w:name="_Hlk11703583"/>
      <w:r>
        <w:rPr>
          <w:rFonts w:hint="eastAsia" w:asciiTheme="minorEastAsia" w:hAnsiTheme="minorEastAsia" w:eastAsiaTheme="minorEastAsia"/>
          <w:color w:val="auto"/>
          <w:sz w:val="24"/>
          <w:highlight w:val="none"/>
        </w:rPr>
        <w:t>。</w:t>
      </w:r>
    </w:p>
    <w:bookmarkEnd w:id="28"/>
    <w:p w14:paraId="61402C7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8.3</w:t>
      </w:r>
      <w:r>
        <w:rPr>
          <w:rFonts w:asciiTheme="minorEastAsia" w:hAnsiTheme="minorEastAsia" w:eastAsiaTheme="minorEastAsia"/>
          <w:color w:val="auto"/>
          <w:sz w:val="24"/>
          <w:highlight w:val="none"/>
        </w:rPr>
        <w:t>为保证</w:t>
      </w:r>
      <w:r>
        <w:rPr>
          <w:color w:val="auto"/>
          <w:sz w:val="24"/>
          <w:highlight w:val="none"/>
        </w:rPr>
        <w:t>公平</w:t>
      </w:r>
      <w:r>
        <w:rPr>
          <w:rFonts w:asciiTheme="minorEastAsia" w:hAnsiTheme="minorEastAsia" w:eastAsiaTheme="minorEastAsia"/>
          <w:color w:val="auto"/>
          <w:sz w:val="24"/>
          <w:highlight w:val="none"/>
        </w:rPr>
        <w:t>公正，除非谈判文件另有规定或说明，</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对同一项目</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时，不得同时提供</w:t>
      </w:r>
      <w:r>
        <w:rPr>
          <w:rFonts w:hint="eastAsia" w:asciiTheme="minorEastAsia" w:hAnsiTheme="minorEastAsia" w:eastAsiaTheme="minorEastAsia"/>
          <w:color w:val="auto"/>
          <w:sz w:val="24"/>
          <w:highlight w:val="none"/>
        </w:rPr>
        <w:t>备选谈判</w:t>
      </w:r>
      <w:r>
        <w:rPr>
          <w:rFonts w:asciiTheme="minorEastAsia" w:hAnsiTheme="minorEastAsia" w:eastAsiaTheme="minorEastAsia"/>
          <w:color w:val="auto"/>
          <w:sz w:val="24"/>
          <w:highlight w:val="none"/>
        </w:rPr>
        <w:t>方案。</w:t>
      </w:r>
    </w:p>
    <w:p w14:paraId="31499FF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报价</w:t>
      </w:r>
    </w:p>
    <w:p w14:paraId="65BB1EB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的报价应当包括满足本次</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全部</w:t>
      </w:r>
      <w:r>
        <w:rPr>
          <w:rFonts w:hint="eastAsia" w:asciiTheme="minorEastAsia" w:hAnsiTheme="minorEastAsia" w:eastAsiaTheme="minorEastAsia"/>
          <w:color w:val="auto"/>
          <w:sz w:val="24"/>
          <w:highlight w:val="none"/>
        </w:rPr>
        <w:t>内容。所有报价均应以人民币报价，供应商的谈判报价应遵守《中华人民共和国价格法》。</w:t>
      </w:r>
    </w:p>
    <w:p w14:paraId="7B4CC5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最后报价均不得高于谈判文件（公告）列明的项目预算</w:t>
      </w:r>
      <w:r>
        <w:rPr>
          <w:rFonts w:hint="eastAsia" w:asciiTheme="minorEastAsia" w:hAnsiTheme="minorEastAsia" w:eastAsiaTheme="minorEastAsia"/>
          <w:color w:val="auto"/>
          <w:sz w:val="24"/>
          <w:highlight w:val="none"/>
        </w:rPr>
        <w:t>、最高投标限价</w:t>
      </w:r>
      <w:r>
        <w:rPr>
          <w:rFonts w:asciiTheme="minorEastAsia" w:hAnsiTheme="minorEastAsia" w:eastAsiaTheme="minorEastAsia"/>
          <w:color w:val="auto"/>
          <w:sz w:val="24"/>
          <w:highlight w:val="none"/>
        </w:rPr>
        <w:t>，否则其响应文件将被认定为</w:t>
      </w:r>
      <w:r>
        <w:rPr>
          <w:rFonts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5343158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rPr>
        <w:t>报价</w:t>
      </w:r>
      <w:r>
        <w:rPr>
          <w:rFonts w:asciiTheme="minorEastAsia" w:hAnsiTheme="minorEastAsia" w:eastAsiaTheme="minorEastAsia"/>
          <w:color w:val="auto"/>
          <w:sz w:val="24"/>
          <w:highlight w:val="none"/>
        </w:rPr>
        <w:t>，其</w:t>
      </w:r>
      <w:r>
        <w:rPr>
          <w:rFonts w:hint="eastAsia" w:asciiTheme="minorEastAsia" w:hAnsiTheme="minorEastAsia" w:eastAsiaTheme="minorEastAsia"/>
          <w:color w:val="auto"/>
          <w:sz w:val="24"/>
          <w:highlight w:val="none"/>
        </w:rPr>
        <w:t>响应文件将被认定为</w:t>
      </w:r>
      <w:r>
        <w:rPr>
          <w:rFonts w:hint="eastAsia"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4F7D84A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3B057C03">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谈判保证金</w:t>
      </w:r>
    </w:p>
    <w:p w14:paraId="2A74DA7B">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rPr>
        <w:t>1</w:t>
      </w:r>
      <w:r>
        <w:rPr>
          <w:rFonts w:hint="eastAsia" w:cs="@仿宋_GB2312" w:asciiTheme="minorEastAsia" w:hAnsiTheme="minorEastAsia" w:eastAsiaTheme="minorEastAsia"/>
          <w:color w:val="auto"/>
          <w:kern w:val="2"/>
          <w:sz w:val="24"/>
          <w:highlight w:val="none"/>
          <w:lang w:val="en-US" w:eastAsia="zh-CN"/>
        </w:rPr>
        <w:t>0</w:t>
      </w:r>
      <w:r>
        <w:rPr>
          <w:rFonts w:hint="eastAsia" w:cs="@仿宋_GB2312" w:asciiTheme="minorEastAsia" w:hAnsiTheme="minorEastAsia" w:eastAsiaTheme="minorEastAsia"/>
          <w:color w:val="auto"/>
          <w:kern w:val="2"/>
          <w:sz w:val="24"/>
          <w:highlight w:val="none"/>
        </w:rPr>
        <w:t>.1本项目不收取谈判保证金。</w:t>
      </w:r>
    </w:p>
    <w:p w14:paraId="6D467802">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谈判有效期</w:t>
      </w:r>
    </w:p>
    <w:p w14:paraId="39F8C10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.1谈判有效期为从响应文件提交截止之日算起的日历天数，谈判有效期详见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61F13B19">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.2在谈判有效期内，供应商的谈判保持有效，供应商不得要求撤销或修改其响应文件。谈判有效期不满足要求的响应，其响应文件将被认定为</w:t>
      </w:r>
      <w:r>
        <w:rPr>
          <w:rFonts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57BFDD4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为保证有充分时间签订合同，采购人或采购代理机构可根据实际情况，在原谈判有效期截止之前，要求供应商延长谈判有效期。接受该要求的供应商将不会被要求和允许修正其响应文件。供应商可以拒绝延长谈判有效期的要求，且不承担任何责任。上述要求和答复都应以书面形式提交。</w:t>
      </w:r>
    </w:p>
    <w:p w14:paraId="6768CE0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响应文件的提交、修改与撤回</w:t>
      </w:r>
    </w:p>
    <w:p w14:paraId="1B3134B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.1供应商应当在</w:t>
      </w:r>
      <w:r>
        <w:rPr>
          <w:rFonts w:hint="eastAsia" w:asciiTheme="minorEastAsia" w:hAnsiTheme="minorEastAsia" w:eastAsiaTheme="minorEastAsia"/>
          <w:color w:val="auto"/>
          <w:sz w:val="24"/>
          <w:highlight w:val="none"/>
          <w:lang w:val="en-US" w:eastAsia="zh-CN"/>
        </w:rPr>
        <w:t>竞争性谈判公告</w:t>
      </w:r>
      <w:r>
        <w:rPr>
          <w:rFonts w:hint="eastAsia" w:asciiTheme="minorEastAsia" w:hAnsiTheme="minorEastAsia" w:eastAsiaTheme="minorEastAsia"/>
          <w:color w:val="auto"/>
          <w:sz w:val="24"/>
          <w:highlight w:val="none"/>
        </w:rPr>
        <w:t>规定的响应文件提交截止时间前</w:t>
      </w:r>
      <w:r>
        <w:rPr>
          <w:rFonts w:asciiTheme="minorEastAsia" w:hAnsiTheme="minorEastAsia" w:eastAsiaTheme="minorEastAsia"/>
          <w:color w:val="auto"/>
          <w:sz w:val="24"/>
          <w:highlight w:val="none"/>
        </w:rPr>
        <w:t>，将加密的</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510ABF8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2供应商应当在响应文件提交截止时间前完成响应文件的传输提交（以接收到电子签收凭证为准），并可以补充、修改或者撤回响应文件。响应文件提交截止时间前未完成响应文件传输的，视为撤回响应文件。未按规定加密或响应文件提交截止时间后送达的响应文件，电子交易系统应当拒收。</w:t>
      </w:r>
    </w:p>
    <w:p w14:paraId="0286E032">
      <w:pPr>
        <w:spacing w:line="360" w:lineRule="auto"/>
        <w:ind w:firstLine="435"/>
        <w:rPr>
          <w:rFonts w:hint="eastAsia" w:asciiTheme="minorEastAsia" w:hAnsiTheme="minorEastAsia" w:eastAsiaTheme="minorEastAsia"/>
          <w:color w:val="auto"/>
          <w:sz w:val="24"/>
          <w:highlight w:val="none"/>
          <w:lang w:eastAsia="zh-CN"/>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供应商应在</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规定的解密时间前对</w:t>
      </w:r>
      <w:r>
        <w:rPr>
          <w:rFonts w:hint="eastAsia" w:asciiTheme="minorEastAsia" w:hAnsiTheme="minorEastAsia" w:eastAsiaTheme="minorEastAsia"/>
          <w:color w:val="auto"/>
          <w:sz w:val="24"/>
          <w:highlight w:val="none"/>
          <w:lang w:val="en-US" w:eastAsia="zh-CN"/>
        </w:rPr>
        <w:t>其</w:t>
      </w:r>
      <w:r>
        <w:rPr>
          <w:rFonts w:hint="eastAsia" w:asciiTheme="minorEastAsia" w:hAnsiTheme="minorEastAsia" w:eastAsiaTheme="minorEastAsia"/>
          <w:color w:val="auto"/>
          <w:sz w:val="24"/>
          <w:highlight w:val="none"/>
        </w:rPr>
        <w:t>响应文件进行解密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未在规定时间内进行解密的，</w:t>
      </w:r>
      <w:r>
        <w:rPr>
          <w:rFonts w:hint="eastAsia" w:asciiTheme="minorEastAsia" w:hAnsiTheme="minorEastAsia" w:eastAsiaTheme="minorEastAsia"/>
          <w:b/>
          <w:color w:val="auto"/>
          <w:sz w:val="24"/>
          <w:highlight w:val="none"/>
        </w:rPr>
        <w:t>响应无效</w:t>
      </w:r>
      <w:r>
        <w:rPr>
          <w:rFonts w:hint="eastAsia" w:asciiTheme="minorEastAsia" w:hAnsiTheme="minorEastAsia" w:eastAsiaTheme="minorEastAsia"/>
          <w:b/>
          <w:color w:val="auto"/>
          <w:sz w:val="24"/>
          <w:highlight w:val="none"/>
          <w:lang w:eastAsia="zh-CN"/>
        </w:rPr>
        <w:t>。</w:t>
      </w:r>
    </w:p>
    <w:p w14:paraId="254EE214">
      <w:pPr>
        <w:spacing w:line="360" w:lineRule="auto"/>
        <w:ind w:firstLine="435"/>
        <w:rPr>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.4在响应文件提交截止时间之后，供应商不得对其响应文件做任何修改。</w:t>
      </w:r>
      <w:r>
        <w:rPr>
          <w:rFonts w:hint="eastAsia"/>
          <w:color w:val="auto"/>
          <w:sz w:val="24"/>
          <w:highlight w:val="none"/>
        </w:rPr>
        <w:t>但属于谈判小组在评审中发现的计算错误并进行核实的修改、按照谈判文件的变动情况和谈判小组的要求重新提交响应文件的，不在此列。</w:t>
      </w:r>
    </w:p>
    <w:p w14:paraId="2CD9B12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asciiTheme="minorEastAsia" w:hAnsiTheme="minorEastAsia" w:eastAsiaTheme="minorEastAsia"/>
          <w:b/>
          <w:color w:val="auto"/>
          <w:sz w:val="24"/>
          <w:highlight w:val="none"/>
        </w:rPr>
        <w:t>8.</w:t>
      </w:r>
      <w:r>
        <w:rPr>
          <w:rFonts w:hint="eastAsia" w:asciiTheme="minorEastAsia" w:hAnsiTheme="minorEastAsia" w:eastAsiaTheme="minorEastAsia"/>
          <w:b/>
          <w:color w:val="auto"/>
          <w:sz w:val="24"/>
          <w:highlight w:val="none"/>
        </w:rPr>
        <w:t>谈判小组</w:t>
      </w:r>
    </w:p>
    <w:p w14:paraId="0C0B5AA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.1本项目将依法组建谈判小组，谈判小组成员由3人以上单数组成，谈判小组及其成员应当依照政府采购的有关规定履行相关职责和义务。</w:t>
      </w:r>
    </w:p>
    <w:p w14:paraId="5B17E4C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.2谈判小组依法对响应文件进行评审，并根据谈判文件规定的程序、评定成交的标准等事项与实质性响应谈判文件要求的供应商进行谈判。</w:t>
      </w:r>
    </w:p>
    <w:p w14:paraId="0C8FD8B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.3谈判小组应当从质量和服务均能满足谈判文件实质性响应要求的供应商中，按照评审</w:t>
      </w:r>
      <w:r>
        <w:rPr>
          <w:rFonts w:hint="eastAsia" w:asciiTheme="minorEastAsia" w:hAnsiTheme="minorEastAsia" w:eastAsiaTheme="minorEastAsia"/>
          <w:color w:val="auto"/>
          <w:sz w:val="24"/>
          <w:highlight w:val="none"/>
        </w:rPr>
        <w:t>方</w:t>
      </w:r>
      <w:r>
        <w:rPr>
          <w:rFonts w:asciiTheme="minorEastAsia" w:hAnsiTheme="minorEastAsia" w:eastAsiaTheme="minorEastAsia"/>
          <w:color w:val="auto"/>
          <w:sz w:val="24"/>
          <w:highlight w:val="none"/>
        </w:rPr>
        <w:t>法</w:t>
      </w:r>
      <w:r>
        <w:rPr>
          <w:rFonts w:hint="eastAsia" w:asciiTheme="minorEastAsia" w:hAnsiTheme="minorEastAsia" w:eastAsiaTheme="minorEastAsia"/>
          <w:color w:val="auto"/>
          <w:sz w:val="24"/>
          <w:highlight w:val="none"/>
        </w:rPr>
        <w:t>和标准推荐</w:t>
      </w:r>
      <w:r>
        <w:rPr>
          <w:rFonts w:asciiTheme="minorEastAsia" w:hAnsiTheme="minorEastAsia" w:eastAsiaTheme="minorEastAsia"/>
          <w:color w:val="auto"/>
          <w:sz w:val="24"/>
          <w:highlight w:val="none"/>
        </w:rPr>
        <w:t>成交候选供应商，并编写</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报告。</w:t>
      </w:r>
    </w:p>
    <w:p w14:paraId="4E63474B">
      <w:pPr>
        <w:spacing w:line="360" w:lineRule="auto"/>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.响应文件的评审与谈判</w:t>
      </w:r>
    </w:p>
    <w:p w14:paraId="5810FC71">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rPr>
        <w:t>1</w:t>
      </w:r>
      <w:r>
        <w:rPr>
          <w:rFonts w:hint="eastAsia" w:cs="@仿宋_GB2312" w:asciiTheme="minorEastAsia" w:hAnsiTheme="minorEastAsia" w:eastAsiaTheme="minorEastAsia"/>
          <w:color w:val="auto"/>
          <w:kern w:val="2"/>
          <w:sz w:val="24"/>
          <w:highlight w:val="none"/>
          <w:lang w:val="en-US" w:eastAsia="zh-CN"/>
        </w:rPr>
        <w:t>4</w:t>
      </w:r>
      <w:r>
        <w:rPr>
          <w:rFonts w:cs="@仿宋_GB2312" w:asciiTheme="minorEastAsia" w:hAnsiTheme="minorEastAsia" w:eastAsiaTheme="minorEastAsia"/>
          <w:color w:val="auto"/>
          <w:kern w:val="2"/>
          <w:sz w:val="24"/>
          <w:highlight w:val="none"/>
        </w:rPr>
        <w:t>.</w:t>
      </w:r>
      <w:r>
        <w:rPr>
          <w:rFonts w:hint="eastAsia" w:cs="@仿宋_GB2312" w:asciiTheme="minorEastAsia" w:hAnsiTheme="minorEastAsia" w:eastAsiaTheme="minorEastAsia"/>
          <w:color w:val="auto"/>
          <w:kern w:val="2"/>
          <w:sz w:val="24"/>
          <w:highlight w:val="none"/>
        </w:rPr>
        <w:t>1采购人和采购代理机构将在</w:t>
      </w:r>
      <w:r>
        <w:rPr>
          <w:rFonts w:hint="eastAsia" w:cs="@仿宋_GB2312" w:asciiTheme="minorEastAsia" w:hAnsiTheme="minorEastAsia" w:eastAsiaTheme="minorEastAsia"/>
          <w:color w:val="auto"/>
          <w:kern w:val="2"/>
          <w:sz w:val="24"/>
          <w:highlight w:val="none"/>
          <w:u w:val="none"/>
          <w:lang w:val="en-US" w:eastAsia="zh-CN"/>
        </w:rPr>
        <w:t>竞争性谈判公告</w:t>
      </w:r>
      <w:r>
        <w:rPr>
          <w:rFonts w:hint="eastAsia" w:cs="@仿宋_GB2312" w:asciiTheme="minorEastAsia" w:hAnsiTheme="minorEastAsia" w:eastAsiaTheme="minorEastAsia"/>
          <w:color w:val="auto"/>
          <w:kern w:val="2"/>
          <w:sz w:val="24"/>
          <w:highlight w:val="none"/>
        </w:rPr>
        <w:t>规定的时间和地点组织谈判。</w:t>
      </w:r>
    </w:p>
    <w:p w14:paraId="025074F3">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rPr>
        <w:t>1</w:t>
      </w:r>
      <w:r>
        <w:rPr>
          <w:rFonts w:hint="eastAsia" w:cs="@仿宋_GB2312" w:asciiTheme="minorEastAsia" w:hAnsiTheme="minorEastAsia" w:eastAsiaTheme="minorEastAsia"/>
          <w:color w:val="auto"/>
          <w:kern w:val="2"/>
          <w:sz w:val="24"/>
          <w:highlight w:val="none"/>
          <w:lang w:val="en-US" w:eastAsia="zh-CN"/>
        </w:rPr>
        <w:t>4</w:t>
      </w:r>
      <w:r>
        <w:rPr>
          <w:rFonts w:cs="@仿宋_GB2312" w:asciiTheme="minorEastAsia" w:hAnsiTheme="minorEastAsia" w:eastAsiaTheme="minorEastAsia"/>
          <w:color w:val="auto"/>
          <w:kern w:val="2"/>
          <w:sz w:val="24"/>
          <w:highlight w:val="none"/>
        </w:rPr>
        <w:t>.</w:t>
      </w:r>
      <w:r>
        <w:rPr>
          <w:rFonts w:hint="eastAsia" w:cs="@仿宋_GB2312" w:asciiTheme="minorEastAsia" w:hAnsiTheme="minorEastAsia" w:eastAsiaTheme="minorEastAsia"/>
          <w:color w:val="auto"/>
          <w:kern w:val="2"/>
          <w:sz w:val="24"/>
          <w:highlight w:val="none"/>
        </w:rPr>
        <w:t>2竞争性谈判采用最低评标价法评审。</w:t>
      </w:r>
    </w:p>
    <w:p w14:paraId="3CC2907B">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rPr>
        <w:t>最低评标价法，是指响应文件满足谈判文件全部实质性要求且最后报价最低的供应商为成交候选人的评审办法。</w:t>
      </w:r>
    </w:p>
    <w:p w14:paraId="2911639F">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rPr>
        <w:t>1</w:t>
      </w:r>
      <w:r>
        <w:rPr>
          <w:rFonts w:hint="eastAsia" w:cs="@仿宋_GB2312" w:asciiTheme="minorEastAsia" w:hAnsiTheme="minorEastAsia" w:eastAsiaTheme="minorEastAsia"/>
          <w:color w:val="auto"/>
          <w:kern w:val="2"/>
          <w:sz w:val="24"/>
          <w:highlight w:val="none"/>
          <w:lang w:val="en-US" w:eastAsia="zh-CN"/>
        </w:rPr>
        <w:t>4</w:t>
      </w:r>
      <w:r>
        <w:rPr>
          <w:rFonts w:hint="eastAsia" w:cs="@仿宋_GB2312" w:asciiTheme="minorEastAsia" w:hAnsiTheme="minorEastAsia" w:eastAsiaTheme="minorEastAsia"/>
          <w:color w:val="auto"/>
          <w:kern w:val="2"/>
          <w:sz w:val="24"/>
          <w:highlight w:val="none"/>
        </w:rPr>
        <w:t>.3谈判小组将按照谈判文件规定的评审办法和</w:t>
      </w:r>
      <w:r>
        <w:rPr>
          <w:rFonts w:cs="@仿宋_GB2312" w:asciiTheme="minorEastAsia" w:hAnsiTheme="minorEastAsia" w:eastAsiaTheme="minorEastAsia"/>
          <w:color w:val="auto"/>
          <w:kern w:val="2"/>
          <w:sz w:val="24"/>
          <w:highlight w:val="none"/>
        </w:rPr>
        <w:t>标准</w:t>
      </w:r>
      <w:r>
        <w:rPr>
          <w:rFonts w:hint="eastAsia" w:cs="@仿宋_GB2312" w:asciiTheme="minorEastAsia" w:hAnsiTheme="minorEastAsia" w:eastAsiaTheme="minorEastAsia"/>
          <w:color w:val="auto"/>
          <w:kern w:val="2"/>
          <w:sz w:val="24"/>
          <w:highlight w:val="none"/>
        </w:rPr>
        <w:t>对供应商独立进行评审。评审程序如下：</w:t>
      </w:r>
    </w:p>
    <w:p w14:paraId="2FF6567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.3.1</w:t>
      </w:r>
      <w:r>
        <w:rPr>
          <w:rFonts w:hint="eastAsia" w:asciiTheme="minorEastAsia" w:hAnsiTheme="minorEastAsia" w:eastAsiaTheme="minorEastAsia"/>
          <w:b/>
          <w:color w:val="auto"/>
          <w:sz w:val="24"/>
          <w:highlight w:val="none"/>
        </w:rPr>
        <w:t>初审</w:t>
      </w:r>
      <w:r>
        <w:rPr>
          <w:rFonts w:hint="eastAsia" w:asciiTheme="minorEastAsia" w:hAnsiTheme="minorEastAsia" w:eastAsiaTheme="minorEastAsia"/>
          <w:color w:val="auto"/>
          <w:sz w:val="24"/>
          <w:highlight w:val="none"/>
        </w:rPr>
        <w:t>。谈判小组对供应商必须满足和实质性响应的内容进行评审，供应商未实质性响应谈判文件要求导致响应无效的，谈判小组将以书面询标的方式告知有关供应商。</w:t>
      </w:r>
    </w:p>
    <w:p w14:paraId="50D897F2">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采购人或采购代理机构将在响应文件提交截止时间后至评审结束前通过“信用中国”网站(www.creditchina.gov.cn)、中国政府采购网(www.ccgp.gov.cn)查询相关</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并对供应商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响应文件将被认定为</w:t>
      </w:r>
      <w:r>
        <w:rPr>
          <w:rFonts w:hint="eastAsia" w:ascii="宋体" w:hAnsi="宋体" w:eastAsia="宋体" w:cs="宋体"/>
          <w:b/>
          <w:color w:val="auto"/>
          <w:sz w:val="24"/>
          <w:szCs w:val="24"/>
          <w:highlight w:val="none"/>
        </w:rPr>
        <w:t>响应无效</w:t>
      </w:r>
      <w:r>
        <w:rPr>
          <w:rFonts w:hint="eastAsia" w:ascii="宋体" w:hAnsi="宋体" w:eastAsia="宋体" w:cs="宋体"/>
          <w:color w:val="auto"/>
          <w:sz w:val="24"/>
          <w:szCs w:val="24"/>
          <w:highlight w:val="none"/>
        </w:rPr>
        <w:t>。</w:t>
      </w:r>
    </w:p>
    <w:p w14:paraId="0C543594">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w:t>
      </w:r>
      <w:r>
        <w:rPr>
          <w:rFonts w:hint="eastAsia" w:cs="宋体"/>
          <w:color w:val="auto"/>
          <w:sz w:val="24"/>
          <w:szCs w:val="24"/>
          <w:highlight w:val="none"/>
          <w:lang w:val="en-US" w:eastAsia="zh-CN"/>
        </w:rPr>
        <w:t>谈判</w:t>
      </w:r>
      <w:r>
        <w:rPr>
          <w:rFonts w:hint="eastAsia" w:ascii="宋体" w:hAnsi="宋体" w:eastAsia="宋体" w:cs="宋体"/>
          <w:color w:val="auto"/>
          <w:sz w:val="24"/>
          <w:szCs w:val="24"/>
          <w:highlight w:val="none"/>
        </w:rPr>
        <w:t>的，联合体成员存在以上不良信用记录的，联合体</w:t>
      </w:r>
      <w:r>
        <w:rPr>
          <w:rFonts w:hint="eastAsia" w:cs="宋体"/>
          <w:color w:val="auto"/>
          <w:sz w:val="24"/>
          <w:szCs w:val="24"/>
          <w:highlight w:val="none"/>
          <w:lang w:val="en-US" w:eastAsia="zh-CN"/>
        </w:rPr>
        <w:t>谈判</w:t>
      </w:r>
      <w:r>
        <w:rPr>
          <w:rFonts w:hint="eastAsia" w:ascii="宋体" w:hAnsi="宋体" w:eastAsia="宋体" w:cs="宋体"/>
          <w:color w:val="auto"/>
          <w:sz w:val="24"/>
          <w:szCs w:val="24"/>
          <w:highlight w:val="none"/>
        </w:rPr>
        <w:t>将被认定为</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无效</w:t>
      </w:r>
      <w:r>
        <w:rPr>
          <w:rFonts w:hint="eastAsia" w:ascii="宋体" w:hAnsi="宋体" w:eastAsia="宋体" w:cs="宋体"/>
          <w:color w:val="auto"/>
          <w:sz w:val="24"/>
          <w:szCs w:val="24"/>
          <w:highlight w:val="none"/>
        </w:rPr>
        <w:t>。</w:t>
      </w:r>
    </w:p>
    <w:p w14:paraId="477D2BC4">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不良信用记录以采购人或采购代理机构查询结果为准。在本</w:t>
      </w:r>
      <w:r>
        <w:rPr>
          <w:rFonts w:hint="eastAsia" w:cs="宋体"/>
          <w:color w:val="auto"/>
          <w:sz w:val="24"/>
          <w:szCs w:val="24"/>
          <w:highlight w:val="none"/>
          <w:lang w:val="en-US" w:eastAsia="zh-CN"/>
        </w:rPr>
        <w:t>采购</w:t>
      </w:r>
      <w:r>
        <w:rPr>
          <w:rFonts w:hint="eastAsia" w:ascii="宋体" w:hAnsi="宋体" w:eastAsia="宋体" w:cs="宋体"/>
          <w:color w:val="auto"/>
          <w:sz w:val="24"/>
          <w:szCs w:val="24"/>
          <w:highlight w:val="none"/>
        </w:rPr>
        <w:t>文件规定的查询时间之外，网站信息发生的任何变更均不作为初审依据。</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自行提供的与网站信息不一致的其他证明材料亦不作为</w:t>
      </w:r>
      <w:r>
        <w:rPr>
          <w:rFonts w:hint="eastAsia" w:ascii="宋体" w:hAnsi="宋体" w:eastAsia="宋体" w:cs="宋体"/>
          <w:color w:val="auto"/>
          <w:sz w:val="24"/>
          <w:szCs w:val="24"/>
          <w:highlight w:val="none"/>
          <w:lang w:val="en-US" w:eastAsia="zh-CN"/>
        </w:rPr>
        <w:t>初审</w:t>
      </w:r>
      <w:r>
        <w:rPr>
          <w:rFonts w:hint="eastAsia" w:ascii="宋体" w:hAnsi="宋体" w:eastAsia="宋体" w:cs="宋体"/>
          <w:color w:val="auto"/>
          <w:sz w:val="24"/>
          <w:szCs w:val="24"/>
          <w:highlight w:val="none"/>
        </w:rPr>
        <w:t>依据。</w:t>
      </w:r>
    </w:p>
    <w:p w14:paraId="6CE9D72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.3.2</w:t>
      </w:r>
      <w:r>
        <w:rPr>
          <w:rFonts w:hint="eastAsia" w:asciiTheme="minorEastAsia" w:hAnsiTheme="minorEastAsia" w:eastAsiaTheme="minorEastAsia"/>
          <w:b/>
          <w:color w:val="auto"/>
          <w:sz w:val="24"/>
          <w:highlight w:val="none"/>
        </w:rPr>
        <w:t>谈判</w:t>
      </w:r>
      <w:r>
        <w:rPr>
          <w:rFonts w:hint="eastAsia" w:asciiTheme="minorEastAsia" w:hAnsiTheme="minorEastAsia" w:eastAsiaTheme="minorEastAsia"/>
          <w:color w:val="auto"/>
          <w:sz w:val="24"/>
          <w:highlight w:val="none"/>
        </w:rPr>
        <w:t>。初审合格后，谈判小组将按网上加密电子响应文件提交顺序集中与单一供应商分别进行谈判，并给予所有参加谈判的供应商平等的谈判机会。</w:t>
      </w:r>
    </w:p>
    <w:p w14:paraId="3896278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.3.3</w:t>
      </w:r>
      <w:r>
        <w:rPr>
          <w:rFonts w:asciiTheme="minorEastAsia" w:hAnsiTheme="minorEastAsia" w:eastAsiaTheme="minorEastAsia"/>
          <w:b/>
          <w:color w:val="auto"/>
          <w:sz w:val="24"/>
          <w:highlight w:val="none"/>
        </w:rPr>
        <w:t>报价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谈判结束后，谈判小组应当要求所有</w:t>
      </w:r>
      <w:r>
        <w:rPr>
          <w:rFonts w:hint="eastAsia" w:asciiTheme="minorEastAsia" w:hAnsiTheme="minorEastAsia" w:eastAsiaTheme="minorEastAsia"/>
          <w:color w:val="auto"/>
          <w:sz w:val="24"/>
          <w:highlight w:val="none"/>
        </w:rPr>
        <w:t>继续参加谈判</w:t>
      </w:r>
      <w:r>
        <w:rPr>
          <w:rFonts w:asciiTheme="minorEastAsia" w:hAnsiTheme="minorEastAsia" w:eastAsiaTheme="minorEastAsia"/>
          <w:color w:val="auto"/>
          <w:sz w:val="24"/>
          <w:highlight w:val="none"/>
        </w:rPr>
        <w:t>的供应商在规定时间内提交最后报价</w:t>
      </w:r>
      <w:r>
        <w:rPr>
          <w:rFonts w:hint="eastAsia"/>
          <w:color w:val="auto"/>
          <w:sz w:val="24"/>
          <w:highlight w:val="none"/>
        </w:rPr>
        <w:t>。</w:t>
      </w:r>
    </w:p>
    <w:p w14:paraId="02FB9D84">
      <w:pPr>
        <w:spacing w:line="360" w:lineRule="auto"/>
        <w:ind w:firstLine="435"/>
        <w:rPr>
          <w:color w:val="auto"/>
          <w:highlight w:val="none"/>
        </w:rPr>
      </w:pPr>
      <w:r>
        <w:rPr>
          <w:rFonts w:hint="eastAsia" w:asciiTheme="minorEastAsia" w:hAnsiTheme="minorEastAsia" w:eastAsiaTheme="minorEastAsia"/>
          <w:color w:val="auto"/>
          <w:sz w:val="24"/>
          <w:highlight w:val="none"/>
          <w:lang w:val="en-US" w:eastAsia="zh-CN"/>
        </w:rPr>
        <w:t xml:space="preserve">14.3.4 </w:t>
      </w:r>
      <w:r>
        <w:rPr>
          <w:rFonts w:hint="eastAsia" w:asciiTheme="minorEastAsia" w:hAnsiTheme="minorEastAsia" w:eastAsiaTheme="minorEastAsia"/>
          <w:b/>
          <w:bCs/>
          <w:color w:val="auto"/>
          <w:sz w:val="24"/>
          <w:highlight w:val="none"/>
          <w:lang w:val="en-US" w:eastAsia="zh-CN"/>
        </w:rPr>
        <w:t>异常低价响应审查。</w:t>
      </w:r>
      <w:r>
        <w:rPr>
          <w:rFonts w:hint="eastAsia" w:ascii="宋体" w:hAnsi="宋体" w:eastAsia="宋体"/>
          <w:color w:val="auto"/>
          <w:sz w:val="24"/>
          <w:highlight w:val="none"/>
        </w:rPr>
        <w:t>根据《</w:t>
      </w:r>
      <w:r>
        <w:rPr>
          <w:rFonts w:hint="eastAsia" w:ascii="宋体" w:hAnsi="宋体" w:eastAsia="宋体"/>
          <w:color w:val="auto"/>
          <w:sz w:val="24"/>
          <w:highlight w:val="none"/>
          <w:lang w:val="en-US" w:eastAsia="zh-CN"/>
        </w:rPr>
        <w:t>关于推进解决政府采购异常低价问题的通知</w:t>
      </w:r>
      <w:r>
        <w:rPr>
          <w:rFonts w:hint="eastAsia" w:ascii="宋体" w:hAnsi="宋体" w:eastAsia="宋体"/>
          <w:color w:val="auto"/>
          <w:sz w:val="24"/>
          <w:highlight w:val="none"/>
        </w:rPr>
        <w:t>》（财库〔</w:t>
      </w:r>
      <w:r>
        <w:rPr>
          <w:rFonts w:ascii="宋体" w:hAnsi="宋体" w:eastAsia="宋体"/>
          <w:color w:val="auto"/>
          <w:sz w:val="24"/>
          <w:highlight w:val="none"/>
        </w:rPr>
        <w:t>202</w:t>
      </w:r>
      <w:r>
        <w:rPr>
          <w:rFonts w:hint="eastAsia" w:ascii="宋体" w:hAnsi="宋体" w:eastAsia="宋体"/>
          <w:color w:val="auto"/>
          <w:sz w:val="24"/>
          <w:highlight w:val="none"/>
          <w:lang w:val="en-US" w:eastAsia="zh-CN"/>
        </w:rPr>
        <w:t>6</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号</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w:t>
      </w:r>
      <w:r>
        <w:rPr>
          <w:rFonts w:hint="eastAsia"/>
          <w:color w:val="auto"/>
          <w:sz w:val="24"/>
          <w:highlight w:val="none"/>
          <w:lang w:val="en-US" w:eastAsia="zh-CN"/>
        </w:rPr>
        <w:t>谈判</w:t>
      </w:r>
      <w:r>
        <w:rPr>
          <w:rFonts w:hint="eastAsia" w:ascii="宋体" w:hAnsi="宋体" w:eastAsia="宋体"/>
          <w:color w:val="auto"/>
          <w:sz w:val="24"/>
          <w:highlight w:val="none"/>
          <w:lang w:val="en-US" w:eastAsia="zh-CN"/>
        </w:rPr>
        <w:t>小组进行异常低价响应审查。</w:t>
      </w:r>
    </w:p>
    <w:p w14:paraId="2B2F955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.4相关说明。</w:t>
      </w:r>
    </w:p>
    <w:p w14:paraId="132A657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.4.1为保证谈判活动顺利进行，供应商可派相关技术人员进行网上答疑；</w:t>
      </w:r>
    </w:p>
    <w:p w14:paraId="1744148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.4.2谈判</w:t>
      </w:r>
      <w:r>
        <w:rPr>
          <w:rFonts w:asciiTheme="minorEastAsia" w:hAnsiTheme="minorEastAsia" w:eastAsiaTheme="minorEastAsia"/>
          <w:color w:val="auto"/>
          <w:sz w:val="24"/>
          <w:highlight w:val="none"/>
        </w:rPr>
        <w:t>小组根据与</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谈判情况可能实质性变动</w:t>
      </w:r>
      <w:r>
        <w:rPr>
          <w:rFonts w:hint="eastAsia" w:asciiTheme="minorEastAsia" w:hAnsiTheme="minorEastAsia" w:eastAsiaTheme="minorEastAsia"/>
          <w:color w:val="auto"/>
          <w:sz w:val="24"/>
          <w:highlight w:val="none"/>
        </w:rPr>
        <w:t>谈判文件</w:t>
      </w:r>
      <w:r>
        <w:rPr>
          <w:rFonts w:asciiTheme="minorEastAsia" w:hAnsiTheme="minorEastAsia" w:eastAsiaTheme="minorEastAsia"/>
          <w:color w:val="auto"/>
          <w:sz w:val="24"/>
          <w:highlight w:val="none"/>
        </w:rPr>
        <w:t>的内容，包括采购需求中的技术、服务要求以及合同草案条款。谈判文件有实质性变动的，</w:t>
      </w:r>
      <w:r>
        <w:rPr>
          <w:rFonts w:hint="eastAsia" w:asciiTheme="minorEastAsia" w:hAnsiTheme="minorEastAsia" w:eastAsiaTheme="minorEastAsia"/>
          <w:color w:val="auto"/>
          <w:sz w:val="24"/>
          <w:highlight w:val="none"/>
        </w:rPr>
        <w:t>经采购人代表确认作为谈判文件的有效组成部分，</w:t>
      </w:r>
      <w:r>
        <w:rPr>
          <w:rFonts w:asciiTheme="minorEastAsia" w:hAnsiTheme="minorEastAsia" w:eastAsiaTheme="minorEastAsia"/>
          <w:color w:val="auto"/>
          <w:sz w:val="24"/>
          <w:highlight w:val="none"/>
        </w:rPr>
        <w:t>谈判小组</w:t>
      </w:r>
      <w:r>
        <w:rPr>
          <w:rFonts w:hint="eastAsia" w:asciiTheme="minorEastAsia" w:hAnsiTheme="minorEastAsia" w:eastAsiaTheme="minorEastAsia"/>
          <w:color w:val="auto"/>
          <w:sz w:val="24"/>
          <w:highlight w:val="none"/>
        </w:rPr>
        <w:t>将</w:t>
      </w:r>
      <w:r>
        <w:rPr>
          <w:rFonts w:asciiTheme="minorEastAsia" w:hAnsiTheme="minorEastAsia" w:eastAsiaTheme="minorEastAsia"/>
          <w:color w:val="auto"/>
          <w:sz w:val="24"/>
          <w:highlight w:val="none"/>
        </w:rPr>
        <w:t>以书面形式通知所有参加谈判的供应商。</w:t>
      </w:r>
    </w:p>
    <w:p w14:paraId="3D72007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无论何种原因，即使供应商</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时携带了证书材料的原件，但响应文件中未提供与之内容完全一致的</w:t>
      </w:r>
      <w:r>
        <w:rPr>
          <w:rFonts w:hint="eastAsia" w:asciiTheme="minorEastAsia" w:hAnsiTheme="minorEastAsia" w:eastAsiaTheme="minorEastAsia"/>
          <w:color w:val="auto"/>
          <w:sz w:val="24"/>
          <w:highlight w:val="none"/>
        </w:rPr>
        <w:t>扫描件</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小组可以视同其未提供。</w:t>
      </w:r>
    </w:p>
    <w:p w14:paraId="0F6494C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小组决定响应文件的响应性及符合性只根据响应文件本身的内容，而不寻求其他外部证据。</w:t>
      </w:r>
    </w:p>
    <w:p w14:paraId="6C7758D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供应商</w:t>
      </w:r>
      <w:r>
        <w:rPr>
          <w:rFonts w:hint="eastAsia" w:asciiTheme="minorEastAsia" w:hAnsiTheme="minorEastAsia" w:eastAsiaTheme="minorEastAsia"/>
          <w:color w:val="auto"/>
          <w:sz w:val="24"/>
          <w:highlight w:val="none"/>
        </w:rPr>
        <w:t>授权</w:t>
      </w:r>
      <w:r>
        <w:rPr>
          <w:rFonts w:asciiTheme="minorEastAsia" w:hAnsiTheme="minorEastAsia" w:eastAsiaTheme="minorEastAsia"/>
          <w:color w:val="auto"/>
          <w:sz w:val="24"/>
          <w:highlight w:val="none"/>
        </w:rPr>
        <w:t>代表对</w:t>
      </w:r>
      <w:r>
        <w:rPr>
          <w:rFonts w:hint="eastAsia" w:asciiTheme="minorEastAsia" w:hAnsiTheme="minorEastAsia" w:eastAsiaTheme="minorEastAsia"/>
          <w:color w:val="auto"/>
          <w:sz w:val="24"/>
          <w:highlight w:val="none"/>
        </w:rPr>
        <w:t>谈判过程</w:t>
      </w:r>
      <w:r>
        <w:rPr>
          <w:rFonts w:asciiTheme="minorEastAsia" w:hAnsiTheme="minorEastAsia" w:eastAsiaTheme="minorEastAsia"/>
          <w:color w:val="auto"/>
          <w:sz w:val="24"/>
          <w:highlight w:val="none"/>
        </w:rPr>
        <w:t>有疑义，以及认为采购人、采购代理机构相关工作人员有需要回避的情形的，应当场提出询问或者回避申请</w:t>
      </w:r>
      <w:r>
        <w:rPr>
          <w:rFonts w:hint="eastAsia" w:asciiTheme="minorEastAsia" w:hAnsiTheme="minorEastAsia" w:eastAsiaTheme="minorEastAsia"/>
          <w:color w:val="auto"/>
          <w:sz w:val="24"/>
          <w:highlight w:val="none"/>
        </w:rPr>
        <w:t>，并说明理由。</w:t>
      </w:r>
      <w:r>
        <w:rPr>
          <w:rFonts w:asciiTheme="minorEastAsia" w:hAnsiTheme="minorEastAsia" w:eastAsiaTheme="minorEastAsia"/>
          <w:color w:val="auto"/>
          <w:sz w:val="24"/>
          <w:highlight w:val="none"/>
        </w:rPr>
        <w:t xml:space="preserve"> </w:t>
      </w:r>
    </w:p>
    <w:p w14:paraId="2F562C3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.终止竞争性谈判</w:t>
      </w:r>
    </w:p>
    <w:p w14:paraId="17778E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hint="eastAsia" w:asciiTheme="minorEastAsia" w:hAnsiTheme="minorEastAsia" w:eastAsiaTheme="minorEastAsia"/>
          <w:color w:val="auto"/>
          <w:sz w:val="24"/>
          <w:highlight w:val="none"/>
        </w:rPr>
        <w:t>.1出现下列情况之一时，采购人和采购代理机构有权宣布终止竞争性谈判采购，并将理由通知所有供应商：</w:t>
      </w:r>
    </w:p>
    <w:p w14:paraId="1544EE6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（1）有效供应商数量不足，导致本次谈判缺乏竞争的；</w:t>
      </w:r>
    </w:p>
    <w:p w14:paraId="2CDFBFE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（2）出现影响采购公正的违法、违规行为的；</w:t>
      </w:r>
    </w:p>
    <w:p w14:paraId="6D66323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（3）因重大变故，采购任务取消的；</w:t>
      </w:r>
    </w:p>
    <w:p w14:paraId="43F4738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（4）政府采购法律法规规定的其他情形。</w:t>
      </w:r>
    </w:p>
    <w:p w14:paraId="713A6FE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16</w:t>
      </w:r>
      <w:r>
        <w:rPr>
          <w:rFonts w:asciiTheme="minorEastAsia" w:hAnsiTheme="minorEastAsia" w:eastAsiaTheme="minorEastAsia"/>
          <w:b/>
          <w:color w:val="auto"/>
          <w:sz w:val="24"/>
          <w:highlight w:val="none"/>
        </w:rPr>
        <w:t>.响应文件的澄清、说明或</w:t>
      </w:r>
      <w:r>
        <w:rPr>
          <w:rFonts w:hint="eastAsia" w:asciiTheme="minorEastAsia" w:hAnsiTheme="minorEastAsia" w:eastAsiaTheme="minorEastAsia"/>
          <w:b/>
          <w:color w:val="auto"/>
          <w:sz w:val="24"/>
          <w:highlight w:val="none"/>
        </w:rPr>
        <w:t>更正</w:t>
      </w:r>
    </w:p>
    <w:p w14:paraId="67ADFBD9">
      <w:pPr>
        <w:spacing w:line="360" w:lineRule="auto"/>
        <w:ind w:firstLine="470" w:firstLineChars="196"/>
        <w:rPr>
          <w:color w:val="auto"/>
          <w:sz w:val="24"/>
          <w:highlight w:val="none"/>
        </w:rPr>
      </w:pPr>
      <w:r>
        <w:rPr>
          <w:rFonts w:hint="eastAsia"/>
          <w:color w:val="auto"/>
          <w:sz w:val="24"/>
          <w:highlight w:val="none"/>
          <w:lang w:val="en-US" w:eastAsia="zh-CN"/>
        </w:rPr>
        <w:t>16</w:t>
      </w:r>
      <w:r>
        <w:rPr>
          <w:rFonts w:hint="eastAsia"/>
          <w:color w:val="auto"/>
          <w:sz w:val="24"/>
          <w:highlight w:val="none"/>
        </w:rPr>
        <w:t>.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2B8B6109">
      <w:pPr>
        <w:spacing w:line="360" w:lineRule="auto"/>
        <w:ind w:firstLine="470" w:firstLineChars="196"/>
        <w:rPr>
          <w:color w:val="auto"/>
          <w:sz w:val="24"/>
          <w:highlight w:val="none"/>
        </w:rPr>
      </w:pPr>
      <w:r>
        <w:rPr>
          <w:rFonts w:hint="eastAsia"/>
          <w:color w:val="auto"/>
          <w:sz w:val="24"/>
          <w:highlight w:val="none"/>
          <w:lang w:val="en-US" w:eastAsia="zh-CN"/>
        </w:rPr>
        <w:t>16</w:t>
      </w:r>
      <w:r>
        <w:rPr>
          <w:rFonts w:hint="eastAsia"/>
          <w:color w:val="auto"/>
          <w:sz w:val="24"/>
          <w:highlight w:val="none"/>
        </w:rPr>
        <w:t>.2谈判小组要求供应商澄清、说明或者更正响应文件应当以书面形式（询标）作出。供应商的澄清、说明或者更正应当由法定代表人或其授权代表签字或者加盖公章</w:t>
      </w:r>
      <w:r>
        <w:rPr>
          <w:rFonts w:hint="eastAsia"/>
          <w:color w:val="auto"/>
          <w:sz w:val="24"/>
          <w:highlight w:val="none"/>
          <w:lang w:eastAsia="zh-CN"/>
        </w:rPr>
        <w:t>（</w:t>
      </w:r>
      <w:r>
        <w:rPr>
          <w:rFonts w:hint="eastAsia"/>
          <w:color w:val="auto"/>
          <w:sz w:val="24"/>
          <w:highlight w:val="none"/>
          <w:lang w:val="en-US" w:eastAsia="zh-CN"/>
        </w:rPr>
        <w:t>电子签章</w:t>
      </w:r>
      <w:r>
        <w:rPr>
          <w:rFonts w:hint="eastAsia"/>
          <w:color w:val="auto"/>
          <w:sz w:val="24"/>
          <w:highlight w:val="none"/>
          <w:lang w:eastAsia="zh-CN"/>
        </w:rPr>
        <w:t>）</w:t>
      </w:r>
      <w:r>
        <w:rPr>
          <w:rFonts w:hint="eastAsia"/>
          <w:color w:val="auto"/>
          <w:sz w:val="24"/>
          <w:highlight w:val="none"/>
        </w:rPr>
        <w:t>。</w:t>
      </w:r>
    </w:p>
    <w:p w14:paraId="57918F92">
      <w:pPr>
        <w:spacing w:line="360" w:lineRule="auto"/>
        <w:ind w:firstLine="435"/>
        <w:rPr>
          <w:rFonts w:hint="eastAsia"/>
          <w:b/>
          <w:color w:val="auto"/>
          <w:sz w:val="24"/>
          <w:highlight w:val="none"/>
        </w:rPr>
      </w:pPr>
      <w:r>
        <w:rPr>
          <w:rFonts w:hint="eastAsia"/>
          <w:b/>
          <w:color w:val="auto"/>
          <w:sz w:val="24"/>
          <w:highlight w:val="none"/>
        </w:rPr>
        <w:t>如有询标，授权代表（或法定代表人）可通过远程登录的方式接受网上询标，也可凭本人有效身份证明参加询标。因授权代表联系不上</w:t>
      </w:r>
      <w:r>
        <w:rPr>
          <w:rFonts w:hint="eastAsia"/>
          <w:b/>
          <w:bCs/>
          <w:color w:val="auto"/>
          <w:sz w:val="24"/>
          <w:highlight w:val="none"/>
        </w:rPr>
        <w:t>、没有及时登录系统等情形</w:t>
      </w:r>
      <w:r>
        <w:rPr>
          <w:rFonts w:hint="eastAsia"/>
          <w:b/>
          <w:color w:val="auto"/>
          <w:sz w:val="24"/>
          <w:highlight w:val="none"/>
        </w:rPr>
        <w:t>而无法接受谈判小组询标的，供应商自行承担相关风险。</w:t>
      </w:r>
    </w:p>
    <w:p w14:paraId="79AFD74E">
      <w:pPr>
        <w:spacing w:line="360" w:lineRule="auto"/>
        <w:ind w:firstLine="435"/>
        <w:rPr>
          <w:color w:val="auto"/>
          <w:sz w:val="24"/>
          <w:highlight w:val="none"/>
        </w:rPr>
      </w:pPr>
      <w:r>
        <w:rPr>
          <w:rFonts w:hint="eastAsia"/>
          <w:b/>
          <w:color w:val="auto"/>
          <w:sz w:val="24"/>
          <w:highlight w:val="none"/>
        </w:rPr>
        <w:t>本项目采用远程开标，各投标人认真学习《新点电子交易平台投标人操作手册》，务必掌握远程解密方法和在线回复询标方法。</w:t>
      </w:r>
    </w:p>
    <w:p w14:paraId="7D7FE4A3">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17</w:t>
      </w:r>
      <w:r>
        <w:rPr>
          <w:rFonts w:asciiTheme="minorEastAsia" w:hAnsiTheme="minorEastAsia" w:eastAsiaTheme="minorEastAsia"/>
          <w:b/>
          <w:color w:val="auto"/>
          <w:sz w:val="24"/>
          <w:highlight w:val="none"/>
        </w:rPr>
        <w:t>.最后报价</w:t>
      </w:r>
    </w:p>
    <w:p w14:paraId="0938B2B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谈判并不限定只进行二轮报价，如果谈判小组认为有必要，可以要求供应商进行多轮报价。</w:t>
      </w:r>
      <w:r>
        <w:rPr>
          <w:rFonts w:hint="eastAsia" w:asciiTheme="minorEastAsia" w:hAnsiTheme="minorEastAsia" w:eastAsiaTheme="minorEastAsia"/>
          <w:b/>
          <w:bCs/>
          <w:color w:val="auto"/>
          <w:sz w:val="24"/>
          <w:highlight w:val="none"/>
          <w:lang w:val="en-US" w:eastAsia="zh-CN"/>
        </w:rPr>
        <w:t>(</w:t>
      </w:r>
      <w:r>
        <w:rPr>
          <w:rFonts w:hint="eastAsia" w:asciiTheme="minorEastAsia" w:hAnsiTheme="minorEastAsia" w:eastAsiaTheme="minorEastAsia"/>
          <w:b/>
          <w:bCs/>
          <w:color w:val="auto"/>
          <w:sz w:val="24"/>
          <w:highlight w:val="none"/>
        </w:rPr>
        <w:t>本项目仅进行二轮报价</w:t>
      </w:r>
      <w:r>
        <w:rPr>
          <w:rFonts w:hint="eastAsia" w:asciiTheme="minorEastAsia" w:hAnsiTheme="minorEastAsia" w:eastAsiaTheme="minorEastAsia"/>
          <w:b/>
          <w:bCs/>
          <w:color w:val="auto"/>
          <w:sz w:val="24"/>
          <w:highlight w:val="none"/>
          <w:lang w:val="en-US" w:eastAsia="zh-CN"/>
        </w:rPr>
        <w:t>)</w:t>
      </w:r>
      <w:r>
        <w:rPr>
          <w:rFonts w:hint="eastAsia" w:asciiTheme="minorEastAsia" w:hAnsiTheme="minorEastAsia" w:eastAsiaTheme="minorEastAsia"/>
          <w:b/>
          <w:bCs/>
          <w:color w:val="auto"/>
          <w:sz w:val="24"/>
          <w:highlight w:val="none"/>
        </w:rPr>
        <w:t>。</w:t>
      </w:r>
    </w:p>
    <w:p w14:paraId="38F96CBB">
      <w:pPr>
        <w:spacing w:line="360" w:lineRule="auto"/>
        <w:ind w:firstLine="435"/>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本次谈判实行二轮报价。第一次报价为供应商在响应文件中填报的报价，第二次报价在响应文件通过评审后，由谈判小组通过评标系统以询标方式，向响应文件评审有效的各供应商进行询标，各供应商应在评标系统询标规定的时间内，通过“评标澄清回复”进行二次报价。各供应商应及时查看系统质询问题并及时进行二次报价，第二次报价即为最后报价。供应商最后报价均不得高于谈判文件（公告）列明的项目预算、最高限价，否则其响应文件将被认定为响应无效。若第二轮报价（最后报价）被谈判小组认为不符合要求的，按无效响应处理。谈判价格以供应商的最后报价为准。望各供应商务必全程在线，及时进行回复，否则，因此给其造成相关后果，自行承担。采用分项报价的项目，最后报价的各分项结合一次报价中的各项单价按总价同比例下浮，价款结算时按成交下浮比率进行调整。</w:t>
      </w:r>
    </w:p>
    <w:p w14:paraId="5206EAE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在谈判内容不做实质性变更或重大调整的前提下，供应商下轮报价不得高于上一轮报价</w:t>
      </w:r>
      <w:r>
        <w:rPr>
          <w:rFonts w:hint="eastAsia" w:asciiTheme="minorEastAsia" w:hAnsiTheme="minorEastAsia" w:eastAsiaTheme="minorEastAsia"/>
          <w:color w:val="auto"/>
          <w:sz w:val="24"/>
          <w:highlight w:val="none"/>
        </w:rPr>
        <w:t>。</w:t>
      </w:r>
    </w:p>
    <w:p w14:paraId="493DED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最后报价是供应商响应文件的有效组成部分，最后报价也是签订合同的依据。</w:t>
      </w:r>
    </w:p>
    <w:p w14:paraId="7C95EBB0">
      <w:pPr>
        <w:spacing w:line="360" w:lineRule="auto"/>
        <w:ind w:firstLine="435"/>
        <w:rPr>
          <w:rFonts w:asciiTheme="majorEastAsia" w:hAnsiTheme="majorEastAsia" w:eastAsiaTheme="majorEastAsia"/>
          <w:color w:val="auto"/>
          <w:sz w:val="24"/>
          <w:highlight w:val="none"/>
        </w:rPr>
      </w:pPr>
      <w:bookmarkStart w:id="29" w:name="_Hlk60607655"/>
      <w:r>
        <w:rPr>
          <w:rFonts w:hint="eastAsia" w:asciiTheme="majorEastAsia" w:hAnsiTheme="majorEastAsia" w:eastAsiaTheme="majorEastAsia"/>
          <w:color w:val="auto"/>
          <w:sz w:val="24"/>
          <w:highlight w:val="none"/>
          <w:lang w:val="en-US" w:eastAsia="zh-CN"/>
        </w:rPr>
        <w:t>17</w:t>
      </w:r>
      <w:r>
        <w:rPr>
          <w:rFonts w:hint="eastAsia" w:asciiTheme="majorEastAsia" w:hAnsiTheme="majorEastAsia" w:eastAsiaTheme="majorEastAsia"/>
          <w:color w:val="auto"/>
          <w:sz w:val="24"/>
          <w:highlight w:val="none"/>
        </w:rPr>
        <w:t>.</w:t>
      </w:r>
      <w:r>
        <w:rPr>
          <w:rFonts w:asciiTheme="majorEastAsia" w:hAnsiTheme="majorEastAsia" w:eastAsiaTheme="majorEastAsia"/>
          <w:color w:val="auto"/>
          <w:sz w:val="24"/>
          <w:highlight w:val="none"/>
        </w:rPr>
        <w:t>4</w:t>
      </w:r>
      <w:r>
        <w:rPr>
          <w:rFonts w:hint="eastAsia" w:asciiTheme="majorEastAsia" w:hAnsiTheme="majorEastAsia" w:eastAsiaTheme="majorEastAsia"/>
          <w:color w:val="auto"/>
          <w:sz w:val="24"/>
          <w:highlight w:val="none"/>
        </w:rPr>
        <w:t>根据《政府采购促进中小企业发展管理办法》（财库〔</w:t>
      </w:r>
      <w:r>
        <w:rPr>
          <w:rFonts w:asciiTheme="majorEastAsia" w:hAnsiTheme="majorEastAsia" w:eastAsiaTheme="majorEastAsia"/>
          <w:color w:val="auto"/>
          <w:sz w:val="24"/>
          <w:highlight w:val="none"/>
        </w:rPr>
        <w:t>2020〕46号</w:t>
      </w:r>
      <w:r>
        <w:rPr>
          <w:rFonts w:hint="eastAsia" w:asciiTheme="majorEastAsia" w:hAnsiTheme="majorEastAsia" w:eastAsiaTheme="majorEastAsia"/>
          <w:color w:val="auto"/>
          <w:sz w:val="24"/>
          <w:highlight w:val="none"/>
        </w:rPr>
        <w:t>）、《三部门联合发布关于促进残疾人就业政府采购政策的通知》（财库〔2017〕141号）和《</w:t>
      </w:r>
      <w:r>
        <w:rPr>
          <w:rFonts w:asciiTheme="majorEastAsia" w:hAnsiTheme="majorEastAsia" w:eastAsiaTheme="majorEastAsia"/>
          <w:color w:val="auto"/>
          <w:sz w:val="24"/>
          <w:highlight w:val="none"/>
        </w:rPr>
        <w:t>财政部 司法部关于政府采购支持监狱企业发展有关问题的通知</w:t>
      </w:r>
      <w:r>
        <w:rPr>
          <w:rFonts w:hint="eastAsia" w:asciiTheme="majorEastAsia" w:hAnsiTheme="majorEastAsia" w:eastAsiaTheme="majorEastAsia"/>
          <w:color w:val="auto"/>
          <w:sz w:val="24"/>
          <w:highlight w:val="none"/>
        </w:rPr>
        <w:t>》（财库〔2014〕68号）的规定，对满足价格扣除条件且在响应文件中提交了</w:t>
      </w:r>
      <w:r>
        <w:rPr>
          <w:rFonts w:asciiTheme="majorEastAsia" w:hAnsiTheme="majorEastAsia" w:eastAsiaTheme="majorEastAsia"/>
          <w:color w:val="auto"/>
          <w:sz w:val="24"/>
          <w:highlight w:val="none"/>
        </w:rPr>
        <w:t>《中小企业声明函》</w:t>
      </w:r>
      <w:r>
        <w:rPr>
          <w:rFonts w:hint="eastAsia" w:asciiTheme="majorEastAsia" w:hAnsiTheme="majorEastAsia" w:eastAsiaTheme="majorEastAsia"/>
          <w:color w:val="auto"/>
          <w:sz w:val="24"/>
          <w:highlight w:val="none"/>
        </w:rPr>
        <w:t>、</w:t>
      </w:r>
      <w:r>
        <w:rPr>
          <w:rFonts w:asciiTheme="majorEastAsia" w:hAnsiTheme="majorEastAsia" w:eastAsiaTheme="majorEastAsia"/>
          <w:color w:val="auto"/>
          <w:sz w:val="24"/>
          <w:highlight w:val="none"/>
        </w:rPr>
        <w:t>《残疾人福利性单位声明函》</w:t>
      </w:r>
      <w:r>
        <w:rPr>
          <w:rFonts w:hint="eastAsia" w:asciiTheme="majorEastAsia" w:hAnsiTheme="majorEastAsia" w:eastAsiaTheme="majorEastAsia"/>
          <w:color w:val="auto"/>
          <w:sz w:val="24"/>
          <w:highlight w:val="none"/>
        </w:rPr>
        <w:t>或省级以上监狱管理局、戒毒管理局（含新疆生产建设兵团）出具的属于监狱企业的证明文件的供应商，其最后报价按照</w:t>
      </w:r>
      <w:r>
        <w:rPr>
          <w:rFonts w:hint="eastAsia" w:asciiTheme="majorEastAsia" w:hAnsiTheme="majorEastAsia" w:eastAsiaTheme="majorEastAsia"/>
          <w:color w:val="auto"/>
          <w:sz w:val="24"/>
          <w:highlight w:val="none"/>
          <w:u w:val="single"/>
        </w:rPr>
        <w:t>供应商须知前附表</w:t>
      </w:r>
      <w:r>
        <w:rPr>
          <w:rFonts w:hint="eastAsia" w:asciiTheme="majorEastAsia" w:hAnsiTheme="majorEastAsia" w:eastAsiaTheme="majorEastAsia"/>
          <w:color w:val="auto"/>
          <w:sz w:val="24"/>
          <w:highlight w:val="none"/>
        </w:rPr>
        <w:t>中规定的标准扣除后的价格参与评审。对于同时属于小微企业、监狱企业或残疾人福利性单位的，不重复进行最后报价扣除。</w:t>
      </w:r>
    </w:p>
    <w:p w14:paraId="14D5F451">
      <w:pPr>
        <w:spacing w:line="360" w:lineRule="auto"/>
        <w:ind w:firstLine="435"/>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Theme="majorEastAsia" w:hAnsiTheme="majorEastAsia" w:eastAsiaTheme="majorEastAsia"/>
          <w:color w:val="auto"/>
          <w:sz w:val="24"/>
          <w:highlight w:val="none"/>
        </w:rPr>
        <w:t>30%以上的，可给予联合体或者大中型企业的</w:t>
      </w:r>
      <w:r>
        <w:rPr>
          <w:rFonts w:hint="eastAsia" w:asciiTheme="majorEastAsia" w:hAnsiTheme="majorEastAsia" w:eastAsiaTheme="majorEastAsia"/>
          <w:color w:val="auto"/>
          <w:sz w:val="24"/>
          <w:highlight w:val="none"/>
        </w:rPr>
        <w:t>最后报价按照</w:t>
      </w:r>
      <w:r>
        <w:rPr>
          <w:rFonts w:hint="eastAsia" w:asciiTheme="majorEastAsia" w:hAnsiTheme="majorEastAsia" w:eastAsiaTheme="majorEastAsia"/>
          <w:color w:val="auto"/>
          <w:sz w:val="24"/>
          <w:highlight w:val="none"/>
          <w:u w:val="single"/>
        </w:rPr>
        <w:t>供应商须知前附表</w:t>
      </w:r>
      <w:r>
        <w:rPr>
          <w:rFonts w:hint="eastAsia" w:asciiTheme="majorEastAsia" w:hAnsiTheme="majorEastAsia" w:eastAsiaTheme="majorEastAsia"/>
          <w:color w:val="auto"/>
          <w:sz w:val="24"/>
          <w:highlight w:val="none"/>
        </w:rPr>
        <w:t>中规定的标准扣除后的价格参与评审</w:t>
      </w:r>
      <w:r>
        <w:rPr>
          <w:rFonts w:asciiTheme="majorEastAsia" w:hAnsiTheme="majorEastAsia" w:eastAsiaTheme="majorEastAsia"/>
          <w:color w:val="auto"/>
          <w:sz w:val="24"/>
          <w:highlight w:val="none"/>
        </w:rPr>
        <w:t>。</w:t>
      </w:r>
      <w:r>
        <w:rPr>
          <w:rFonts w:hint="eastAsia" w:asciiTheme="majorEastAsia" w:hAnsiTheme="majorEastAsia" w:eastAsiaTheme="majorEastAsia"/>
          <w:color w:val="auto"/>
          <w:sz w:val="24"/>
          <w:highlight w:val="none"/>
        </w:rPr>
        <w:t>组成联合体或者接受分包的小微企业与联合体内其他企业、分包企业之间存在直接控股、管理关系的，不享受价格扣除优惠政策。</w:t>
      </w:r>
    </w:p>
    <w:p w14:paraId="6762D60C">
      <w:pPr>
        <w:spacing w:line="360" w:lineRule="auto"/>
        <w:ind w:firstLine="435"/>
        <w:rPr>
          <w:rFonts w:cs="@仿宋_GB2312"/>
          <w:color w:val="auto"/>
          <w:kern w:val="2"/>
          <w:sz w:val="24"/>
          <w:szCs w:val="22"/>
          <w:highlight w:val="none"/>
        </w:rPr>
      </w:pPr>
      <w:r>
        <w:rPr>
          <w:rFonts w:hint="eastAsia" w:asciiTheme="majorEastAsia" w:hAnsiTheme="majorEastAsia" w:eastAsiaTheme="majorEastAsia"/>
          <w:color w:val="auto"/>
          <w:sz w:val="24"/>
          <w:highlight w:val="none"/>
        </w:rPr>
        <w:t>以联合体形式参加政府采购活动，联合体各方均为中小企业的，联合体视同中小企业。其中，联合体各方均为小微企业的，联合体视同小微企业。</w:t>
      </w:r>
      <w:bookmarkEnd w:id="29"/>
      <w:r>
        <w:rPr>
          <w:rFonts w:hint="eastAsia" w:cs="@仿宋_GB2312"/>
          <w:color w:val="auto"/>
          <w:kern w:val="2"/>
          <w:sz w:val="24"/>
          <w:szCs w:val="22"/>
          <w:highlight w:val="none"/>
        </w:rPr>
        <w:t xml:space="preserve"> </w:t>
      </w:r>
    </w:p>
    <w:p w14:paraId="3642DE69">
      <w:pPr>
        <w:spacing w:line="360" w:lineRule="auto"/>
        <w:ind w:firstLine="435"/>
        <w:rPr>
          <w:rFonts w:cs="@仿宋_GB2312"/>
          <w:color w:val="auto"/>
          <w:kern w:val="2"/>
          <w:sz w:val="24"/>
          <w:szCs w:val="22"/>
          <w:highlight w:val="none"/>
        </w:rPr>
      </w:pPr>
      <w:r>
        <w:rPr>
          <w:rFonts w:hint="eastAsia" w:cs="@仿宋_GB2312"/>
          <w:color w:val="auto"/>
          <w:kern w:val="2"/>
          <w:sz w:val="24"/>
          <w:szCs w:val="22"/>
          <w:highlight w:val="none"/>
          <w:lang w:val="en-US" w:eastAsia="zh-CN"/>
        </w:rPr>
        <w:t>17</w:t>
      </w:r>
      <w:r>
        <w:rPr>
          <w:rFonts w:hint="eastAsia" w:cs="@仿宋_GB2312"/>
          <w:color w:val="auto"/>
          <w:kern w:val="2"/>
          <w:sz w:val="24"/>
          <w:szCs w:val="22"/>
          <w:highlight w:val="none"/>
        </w:rPr>
        <w:t>.</w:t>
      </w:r>
      <w:r>
        <w:rPr>
          <w:rFonts w:hint="eastAsia" w:cs="@仿宋_GB2312"/>
          <w:color w:val="auto"/>
          <w:kern w:val="2"/>
          <w:sz w:val="24"/>
          <w:szCs w:val="22"/>
          <w:highlight w:val="none"/>
          <w:lang w:val="en-US" w:eastAsia="zh-CN"/>
        </w:rPr>
        <w:t>5</w:t>
      </w:r>
      <w:r>
        <w:rPr>
          <w:rFonts w:hint="eastAsia" w:cs="@仿宋_GB2312"/>
          <w:color w:val="auto"/>
          <w:kern w:val="2"/>
          <w:sz w:val="24"/>
          <w:szCs w:val="22"/>
          <w:highlight w:val="none"/>
        </w:rPr>
        <w:t>供应商应当按照企业定额或项目所在地最新建设工程计价依据以及材料市场价格信息等，结合自身实力、施工经验、现场环境以及谈判文件的要求自主报价。</w:t>
      </w:r>
    </w:p>
    <w:p w14:paraId="37136E46">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w:t>
      </w:r>
      <w:r>
        <w:rPr>
          <w:rFonts w:hint="eastAsia" w:cs="@仿宋_GB2312" w:asciiTheme="minorEastAsia" w:hAnsiTheme="minorEastAsia" w:eastAsiaTheme="minorEastAsia"/>
          <w:color w:val="auto"/>
          <w:kern w:val="2"/>
          <w:sz w:val="24"/>
          <w:highlight w:val="none"/>
        </w:rPr>
        <w:t>.</w:t>
      </w:r>
      <w:r>
        <w:rPr>
          <w:rFonts w:hint="eastAsia" w:cs="@仿宋_GB2312" w:asciiTheme="minorEastAsia" w:hAnsiTheme="minorEastAsia" w:eastAsiaTheme="minorEastAsia"/>
          <w:color w:val="auto"/>
          <w:kern w:val="2"/>
          <w:sz w:val="24"/>
          <w:highlight w:val="none"/>
          <w:lang w:val="en-US" w:eastAsia="zh-CN"/>
        </w:rPr>
        <w:t>6</w:t>
      </w:r>
      <w:r>
        <w:rPr>
          <w:rFonts w:hint="eastAsia" w:cs="@仿宋_GB2312" w:asciiTheme="minorEastAsia" w:hAnsiTheme="minorEastAsia" w:eastAsiaTheme="minorEastAsia"/>
          <w:color w:val="auto"/>
          <w:kern w:val="2"/>
          <w:sz w:val="24"/>
          <w:highlight w:val="none"/>
        </w:rPr>
        <w:t>除非采购人对谈判文件予以澄清、修改，否则供应商应按采购人提供的工程量清单中列出的工程项目和工程量逐项填报综合单价和合价。供应商不得在工程量清单中任意增删、修改清单项目与工程量及项目排列顺序。</w:t>
      </w:r>
    </w:p>
    <w:p w14:paraId="7C02B711">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17.7</w:t>
      </w:r>
      <w:r>
        <w:rPr>
          <w:rFonts w:hint="eastAsia" w:cs="@仿宋_GB2312" w:asciiTheme="minorEastAsia" w:hAnsiTheme="minorEastAsia" w:eastAsiaTheme="minorEastAsia"/>
          <w:color w:val="auto"/>
          <w:kern w:val="2"/>
          <w:sz w:val="24"/>
          <w:highlight w:val="none"/>
        </w:rPr>
        <w:t>除非合同中另有规定，供应商在工程量清单报价书中所报的价格包括完成谈判文件规定的全部工程内容及为达到质量和工期目标、安全文明、环境保护等要求的分部分项工程费，措施项目费，不可竞争费，其他项目费，税金等所有费用。为满足工程建设标准和技术规范要求所发生的费用应包括在报价中。报价为供应商在响应文件中提出的各项支付金额的总和。每一清单项目只允许有一个报价，任何有选择的报价将不予接受。供应商未填综合单价或合价的清单项目，将被视为该项费用已包括在其他有价款的综合单价或合价以及总价内，供应商必须按合同要求完成工程量清单中未填综合单价或合价的工程项目，任何与未填综合单价或合价的工程项目有关的工程价款，采购人将不再另行支付。</w:t>
      </w:r>
    </w:p>
    <w:p w14:paraId="11343D92">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w:t>
      </w:r>
      <w:r>
        <w:rPr>
          <w:rFonts w:hint="eastAsia" w:cs="@仿宋_GB2312" w:asciiTheme="minorEastAsia" w:hAnsiTheme="minorEastAsia" w:eastAsiaTheme="minorEastAsia"/>
          <w:color w:val="auto"/>
          <w:kern w:val="2"/>
          <w:sz w:val="24"/>
          <w:highlight w:val="none"/>
        </w:rPr>
        <w:t>.</w:t>
      </w:r>
      <w:r>
        <w:rPr>
          <w:rFonts w:hint="eastAsia" w:cs="@仿宋_GB2312" w:asciiTheme="minorEastAsia" w:hAnsiTheme="minorEastAsia" w:eastAsiaTheme="minorEastAsia"/>
          <w:color w:val="auto"/>
          <w:kern w:val="2"/>
          <w:sz w:val="24"/>
          <w:highlight w:val="none"/>
          <w:lang w:val="en-US" w:eastAsia="zh-CN"/>
        </w:rPr>
        <w:t>8</w:t>
      </w:r>
      <w:r>
        <w:rPr>
          <w:rFonts w:hint="eastAsia" w:cs="@仿宋_GB2312" w:asciiTheme="minorEastAsia" w:hAnsiTheme="minorEastAsia" w:eastAsiaTheme="minorEastAsia"/>
          <w:color w:val="auto"/>
          <w:kern w:val="2"/>
          <w:sz w:val="24"/>
          <w:highlight w:val="none"/>
        </w:rPr>
        <w:t>本项目的施工地点为本须知前附表所述，供应商可到施工现场踏勘以充分了解工地位置、情况、道路、储存空间、装卸限制及任何其它足以影响谈判报价的情况，任何因忽视或误解施工场地情况而导致的索赔或工期延长申请将不被批准。对于受施工现场场地限制，如需要另外寻找场地解决临时住宿、材料及设备堆放，由此所产生的费用应包含在谈判报价范围内，采购人不再承担该费用。</w:t>
      </w:r>
    </w:p>
    <w:p w14:paraId="5422345C">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17.9</w:t>
      </w:r>
      <w:r>
        <w:rPr>
          <w:rFonts w:hint="eastAsia" w:cs="@仿宋_GB2312" w:asciiTheme="minorEastAsia" w:hAnsiTheme="minorEastAsia" w:eastAsiaTheme="minorEastAsia"/>
          <w:color w:val="auto"/>
          <w:kern w:val="2"/>
          <w:sz w:val="24"/>
          <w:highlight w:val="none"/>
        </w:rPr>
        <w:t>工程造价的确定与控制</w:t>
      </w:r>
    </w:p>
    <w:p w14:paraId="5B34769D">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17.9</w:t>
      </w:r>
      <w:r>
        <w:rPr>
          <w:rFonts w:hint="eastAsia" w:cs="@仿宋_GB2312" w:asciiTheme="minorEastAsia" w:hAnsiTheme="minorEastAsia" w:eastAsiaTheme="minorEastAsia"/>
          <w:color w:val="auto"/>
          <w:kern w:val="2"/>
          <w:sz w:val="24"/>
          <w:highlight w:val="none"/>
        </w:rPr>
        <w:t>.1本工程确定成交供应商后，工程总造价在谈判范围内包定，除经批准的设计变更、经济签证外，其它工程造价增减均不予签证计价。</w:t>
      </w:r>
    </w:p>
    <w:p w14:paraId="172C139B">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17.9</w:t>
      </w:r>
      <w:r>
        <w:rPr>
          <w:rFonts w:hint="eastAsia" w:cs="@仿宋_GB2312" w:asciiTheme="minorEastAsia" w:hAnsiTheme="minorEastAsia" w:eastAsiaTheme="minorEastAsia"/>
          <w:color w:val="auto"/>
          <w:kern w:val="2"/>
          <w:sz w:val="24"/>
          <w:highlight w:val="none"/>
        </w:rPr>
        <w:t>.2谈判前，供应商应认真对照施工设计图纸等文件核对采购人提供的工程量清单，发现工程量存在项目划分误差、计量单位误差、数量误差、遗漏项目的，必须在网上询问截止时间前向采购人提出疑问，否则采购人可不予答复。</w:t>
      </w:r>
    </w:p>
    <w:p w14:paraId="203F7A89">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17.9</w:t>
      </w:r>
      <w:r>
        <w:rPr>
          <w:rFonts w:hint="eastAsia" w:cs="@仿宋_GB2312" w:asciiTheme="minorEastAsia" w:hAnsiTheme="minorEastAsia" w:eastAsiaTheme="minorEastAsia"/>
          <w:color w:val="auto"/>
          <w:kern w:val="2"/>
          <w:sz w:val="24"/>
          <w:highlight w:val="none"/>
        </w:rPr>
        <w:t>.3</w:t>
      </w:r>
      <w:r>
        <w:rPr>
          <w:rFonts w:hint="eastAsia" w:ascii="宋体" w:hAnsi="宋体" w:eastAsia="宋体" w:cs="宋体"/>
          <w:b w:val="0"/>
          <w:bCs w:val="0"/>
          <w:color w:val="auto"/>
          <w:kern w:val="2"/>
          <w:sz w:val="24"/>
          <w:szCs w:val="24"/>
          <w:highlight w:val="none"/>
        </w:rPr>
        <w:t>采购人对疑问应进行核实，确认工程量单项子目误差在±3%（含±3%）以内的，采购人可不予调整工程量，供应商应将其误差考虑在综合单价内；若有遗漏项目或单项子目工程量误差超过±3%的，采购人应进行修正并重新公布准确的工程量清单。</w:t>
      </w:r>
    </w:p>
    <w:p w14:paraId="45E44370">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17.9</w:t>
      </w:r>
      <w:r>
        <w:rPr>
          <w:rFonts w:cs="@仿宋_GB2312" w:asciiTheme="minorEastAsia" w:hAnsiTheme="minorEastAsia" w:eastAsiaTheme="minorEastAsia"/>
          <w:color w:val="auto"/>
          <w:kern w:val="2"/>
          <w:sz w:val="24"/>
          <w:highlight w:val="none"/>
        </w:rPr>
        <w:t>.</w:t>
      </w:r>
      <w:r>
        <w:rPr>
          <w:rFonts w:hint="eastAsia" w:cs="@仿宋_GB2312" w:asciiTheme="minorEastAsia" w:hAnsiTheme="minorEastAsia" w:eastAsiaTheme="minorEastAsia"/>
          <w:color w:val="auto"/>
          <w:kern w:val="2"/>
          <w:sz w:val="24"/>
          <w:highlight w:val="none"/>
        </w:rPr>
        <w:t>4供应商在规定时间内未对工程量清单提出疑问的，成交后，采购人不再对工程量清单的项目和数量进行校对调整。供应商必须按其报价完成竞争性谈判文件规定范围内的设计图纸规定的所有工程项目。</w:t>
      </w:r>
    </w:p>
    <w:p w14:paraId="46296671">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17.10</w:t>
      </w:r>
      <w:r>
        <w:rPr>
          <w:rFonts w:hint="eastAsia" w:cs="@仿宋_GB2312" w:asciiTheme="minorEastAsia" w:hAnsiTheme="minorEastAsia" w:eastAsiaTheme="minorEastAsia"/>
          <w:color w:val="auto"/>
          <w:kern w:val="2"/>
          <w:sz w:val="24"/>
          <w:highlight w:val="none"/>
        </w:rPr>
        <w:t>成交供应商在工程量清单报价书中所报的综合单价一律不予调整。</w:t>
      </w:r>
    </w:p>
    <w:p w14:paraId="16546C3E">
      <w:pPr>
        <w:spacing w:line="360" w:lineRule="auto"/>
        <w:ind w:firstLine="435"/>
        <w:rPr>
          <w:rFonts w:asciiTheme="minorEastAsia" w:hAnsiTheme="minorEastAsia" w:eastAsiaTheme="minorEastAsia"/>
          <w:color w:val="auto"/>
          <w:sz w:val="24"/>
          <w:highlight w:val="none"/>
        </w:rPr>
      </w:pPr>
      <w:r>
        <w:rPr>
          <w:rFonts w:hint="eastAsia" w:cs="@仿宋_GB2312" w:asciiTheme="minorEastAsia" w:hAnsiTheme="minorEastAsia" w:eastAsiaTheme="minorEastAsia"/>
          <w:color w:val="auto"/>
          <w:kern w:val="2"/>
          <w:sz w:val="24"/>
          <w:highlight w:val="none"/>
          <w:lang w:val="en-US" w:eastAsia="zh-CN"/>
        </w:rPr>
        <w:t>17.11</w:t>
      </w:r>
      <w:r>
        <w:rPr>
          <w:rFonts w:hint="eastAsia" w:cs="@仿宋_GB2312" w:asciiTheme="minorEastAsia" w:hAnsiTheme="minorEastAsia" w:eastAsiaTheme="minorEastAsia"/>
          <w:color w:val="auto"/>
          <w:kern w:val="2"/>
          <w:sz w:val="24"/>
          <w:highlight w:val="none"/>
        </w:rPr>
        <w:t>本工程不接受恶意不平衡报价，不保证最低价成交。</w:t>
      </w:r>
    </w:p>
    <w:p w14:paraId="21871D6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成交候选供应商的推荐原则及标准</w:t>
      </w:r>
    </w:p>
    <w:p w14:paraId="6B92A16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谈判小组</w:t>
      </w:r>
      <w:r>
        <w:rPr>
          <w:rFonts w:asciiTheme="minorEastAsia" w:hAnsiTheme="minorEastAsia" w:eastAsiaTheme="minorEastAsia"/>
          <w:color w:val="auto"/>
          <w:sz w:val="24"/>
          <w:highlight w:val="none"/>
        </w:rPr>
        <w:t>依据本项目</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文件所约定的</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方法</w:t>
      </w:r>
      <w:r>
        <w:rPr>
          <w:rFonts w:hint="eastAsia" w:asciiTheme="minorEastAsia" w:hAnsiTheme="minorEastAsia" w:eastAsiaTheme="minorEastAsia"/>
          <w:color w:val="auto"/>
          <w:sz w:val="24"/>
          <w:highlight w:val="none"/>
        </w:rPr>
        <w:t>和</w:t>
      </w:r>
      <w:r>
        <w:rPr>
          <w:rFonts w:asciiTheme="minorEastAsia" w:hAnsiTheme="minorEastAsia" w:eastAsiaTheme="minorEastAsia"/>
          <w:color w:val="auto"/>
          <w:sz w:val="24"/>
          <w:highlight w:val="none"/>
        </w:rPr>
        <w:t>标准，</w:t>
      </w:r>
      <w:r>
        <w:rPr>
          <w:rFonts w:hint="eastAsia" w:asciiTheme="minorEastAsia" w:hAnsiTheme="minorEastAsia" w:eastAsiaTheme="minorEastAsia"/>
          <w:color w:val="auto"/>
          <w:sz w:val="24"/>
          <w:highlight w:val="none"/>
        </w:rPr>
        <w:t>按照最后报价由低到高的顺序依次推荐成交候选人。最后报价相同的，</w:t>
      </w:r>
      <w:r>
        <w:rPr>
          <w:rFonts w:asciiTheme="minorEastAsia" w:hAnsiTheme="minorEastAsia" w:eastAsiaTheme="minorEastAsia"/>
          <w:color w:val="auto"/>
          <w:sz w:val="24"/>
          <w:highlight w:val="none"/>
        </w:rPr>
        <w:t>则</w:t>
      </w:r>
      <w:r>
        <w:rPr>
          <w:rFonts w:hint="eastAsia" w:asciiTheme="minorEastAsia" w:hAnsiTheme="minorEastAsia" w:eastAsiaTheme="minorEastAsia"/>
          <w:color w:val="auto"/>
          <w:sz w:val="24"/>
          <w:highlight w:val="none"/>
        </w:rPr>
        <w:t>由谈判小组采取随机抽取方式确定。</w:t>
      </w:r>
    </w:p>
    <w:p w14:paraId="2603FF4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确定成交候选供应商和成交供应商</w:t>
      </w:r>
    </w:p>
    <w:p w14:paraId="2CC313E7">
      <w:pPr>
        <w:spacing w:line="360" w:lineRule="auto"/>
        <w:ind w:firstLine="435"/>
        <w:rPr>
          <w:rFonts w:asciiTheme="minorEastAsia" w:hAnsiTheme="minorEastAsia" w:eastAsiaTheme="minorEastAsia"/>
          <w:color w:val="auto"/>
          <w:sz w:val="24"/>
          <w:highlight w:val="none"/>
        </w:rPr>
      </w:pPr>
      <w:r>
        <w:rPr>
          <w:rFonts w:hint="eastAsia"/>
          <w:color w:val="auto"/>
          <w:sz w:val="24"/>
          <w:highlight w:val="none"/>
          <w:lang w:val="en-US" w:eastAsia="zh-CN"/>
        </w:rPr>
        <w:t>19</w:t>
      </w:r>
      <w:r>
        <w:rPr>
          <w:rFonts w:hint="eastAsia"/>
          <w:color w:val="auto"/>
          <w:sz w:val="24"/>
          <w:highlight w:val="none"/>
        </w:rPr>
        <w:t>.1谈判小组按照最后报价由低到高的顺序和</w:t>
      </w:r>
      <w:r>
        <w:rPr>
          <w:rFonts w:hint="eastAsia" w:asciiTheme="minorEastAsia" w:hAnsiTheme="minorEastAsia" w:eastAsiaTheme="minorEastAsia"/>
          <w:color w:val="auto"/>
          <w:sz w:val="24"/>
          <w:highlight w:val="none"/>
          <w:u w:val="single"/>
        </w:rPr>
        <w:t>供应商</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w:t>
      </w:r>
      <w:r>
        <w:rPr>
          <w:rFonts w:hint="eastAsia"/>
          <w:color w:val="auto"/>
          <w:sz w:val="24"/>
          <w:highlight w:val="none"/>
        </w:rPr>
        <w:t>确定成交候选人，并标明排列顺序。</w:t>
      </w:r>
      <w:r>
        <w:rPr>
          <w:rFonts w:hint="eastAsia" w:asciiTheme="minorEastAsia" w:hAnsiTheme="minorEastAsia" w:eastAsiaTheme="minorEastAsia"/>
          <w:color w:val="auto"/>
          <w:sz w:val="24"/>
          <w:highlight w:val="none"/>
        </w:rPr>
        <w:t>按</w:t>
      </w:r>
      <w:r>
        <w:rPr>
          <w:rFonts w:hint="eastAsia" w:asciiTheme="minorEastAsia" w:hAnsiTheme="minorEastAsia" w:eastAsiaTheme="minorEastAsia"/>
          <w:color w:val="auto"/>
          <w:sz w:val="24"/>
          <w:highlight w:val="none"/>
          <w:u w:val="single"/>
          <w:lang w:val="en-US" w:eastAsia="zh-CN"/>
        </w:rPr>
        <w:t>供应商</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w:t>
      </w:r>
      <w:r>
        <w:rPr>
          <w:rFonts w:hint="eastAsia" w:asciiTheme="minorEastAsia" w:hAnsiTheme="minorEastAsia" w:eastAsiaTheme="minorEastAsia"/>
          <w:color w:val="auto"/>
          <w:sz w:val="24"/>
          <w:highlight w:val="none"/>
          <w:lang w:val="en-US" w:eastAsia="zh-CN"/>
        </w:rPr>
        <w:t>谈判小组</w:t>
      </w:r>
      <w:r>
        <w:rPr>
          <w:rFonts w:asciiTheme="minorEastAsia" w:hAnsiTheme="minorEastAsia" w:eastAsiaTheme="minorEastAsia"/>
          <w:color w:val="auto"/>
          <w:sz w:val="24"/>
          <w:highlight w:val="none"/>
        </w:rPr>
        <w:t>或采购人确定</w:t>
      </w:r>
      <w:r>
        <w:rPr>
          <w:rFonts w:hint="eastAsia" w:asciiTheme="minorEastAsia" w:hAnsiTheme="minorEastAsia" w:eastAsiaTheme="minorEastAsia"/>
          <w:color w:val="auto"/>
          <w:sz w:val="24"/>
          <w:highlight w:val="none"/>
          <w:lang w:val="en-US" w:eastAsia="zh-CN"/>
        </w:rPr>
        <w:t>成交供应商</w:t>
      </w:r>
      <w:r>
        <w:rPr>
          <w:rFonts w:asciiTheme="minorEastAsia" w:hAnsiTheme="minorEastAsia" w:eastAsiaTheme="minorEastAsia"/>
          <w:color w:val="auto"/>
          <w:sz w:val="24"/>
          <w:highlight w:val="none"/>
        </w:rPr>
        <w:t>。</w:t>
      </w:r>
    </w:p>
    <w:p w14:paraId="6D197D2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20</w:t>
      </w:r>
      <w:r>
        <w:rPr>
          <w:rFonts w:asciiTheme="minorEastAsia" w:hAnsiTheme="minorEastAsia" w:eastAsiaTheme="minorEastAsia"/>
          <w:b/>
          <w:color w:val="auto"/>
          <w:sz w:val="24"/>
          <w:highlight w:val="none"/>
        </w:rPr>
        <w:t>.编写评审报告</w:t>
      </w:r>
    </w:p>
    <w:p w14:paraId="6A09208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20</w:t>
      </w:r>
      <w:r>
        <w:rPr>
          <w:rFonts w:hint="eastAsia" w:asciiTheme="minorEastAsia" w:hAnsiTheme="minorEastAsia" w:eastAsiaTheme="minorEastAsia"/>
          <w:color w:val="auto"/>
          <w:sz w:val="24"/>
          <w:highlight w:val="none"/>
        </w:rPr>
        <w:t>.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w:t>
      </w:r>
    </w:p>
    <w:p w14:paraId="6C39381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7FD22819">
      <w:pPr>
        <w:spacing w:line="360" w:lineRule="auto"/>
        <w:ind w:firstLine="435"/>
        <w:rPr>
          <w:color w:val="auto"/>
          <w:sz w:val="24"/>
          <w:highlight w:val="none"/>
        </w:rPr>
      </w:pPr>
      <w:r>
        <w:rPr>
          <w:color w:val="auto"/>
          <w:sz w:val="24"/>
          <w:highlight w:val="none"/>
        </w:rPr>
        <w:t>2</w:t>
      </w:r>
      <w:r>
        <w:rPr>
          <w:rFonts w:hint="eastAsia"/>
          <w:color w:val="auto"/>
          <w:sz w:val="24"/>
          <w:highlight w:val="none"/>
          <w:lang w:val="en-US" w:eastAsia="zh-CN"/>
        </w:rPr>
        <w:t>1</w:t>
      </w:r>
      <w:r>
        <w:rPr>
          <w:rFonts w:hint="eastAsia"/>
          <w:color w:val="auto"/>
          <w:sz w:val="24"/>
          <w:highlight w:val="none"/>
        </w:rPr>
        <w:t>.1评审将在严格保密的情况下进行。</w:t>
      </w:r>
    </w:p>
    <w:p w14:paraId="43589B5D">
      <w:pPr>
        <w:spacing w:line="360" w:lineRule="auto"/>
        <w:ind w:firstLine="435"/>
        <w:rPr>
          <w:color w:val="auto"/>
          <w:sz w:val="24"/>
          <w:highlight w:val="none"/>
        </w:rPr>
      </w:pPr>
      <w:r>
        <w:rPr>
          <w:color w:val="auto"/>
          <w:sz w:val="24"/>
          <w:highlight w:val="none"/>
        </w:rPr>
        <w:t>2</w:t>
      </w:r>
      <w:r>
        <w:rPr>
          <w:rFonts w:hint="eastAsia"/>
          <w:color w:val="auto"/>
          <w:sz w:val="24"/>
          <w:highlight w:val="none"/>
          <w:lang w:val="en-US" w:eastAsia="zh-CN"/>
        </w:rPr>
        <w:t>1</w:t>
      </w:r>
      <w:r>
        <w:rPr>
          <w:rFonts w:hint="eastAsia"/>
          <w:color w:val="auto"/>
          <w:sz w:val="24"/>
          <w:highlight w:val="none"/>
        </w:rPr>
        <w:t>.2有关人员</w:t>
      </w:r>
      <w:r>
        <w:rPr>
          <w:color w:val="auto"/>
          <w:sz w:val="24"/>
          <w:highlight w:val="none"/>
        </w:rPr>
        <w:t>应当</w:t>
      </w:r>
      <w:r>
        <w:rPr>
          <w:rFonts w:hint="eastAsia"/>
          <w:color w:val="auto"/>
          <w:sz w:val="24"/>
          <w:highlight w:val="none"/>
        </w:rPr>
        <w:t>遵</w:t>
      </w:r>
      <w:r>
        <w:rPr>
          <w:color w:val="auto"/>
          <w:sz w:val="24"/>
          <w:highlight w:val="none"/>
        </w:rPr>
        <w:t>守</w:t>
      </w:r>
      <w:r>
        <w:rPr>
          <w:rFonts w:hint="eastAsia"/>
          <w:color w:val="auto"/>
          <w:sz w:val="24"/>
          <w:highlight w:val="none"/>
        </w:rPr>
        <w:t>评审</w:t>
      </w:r>
      <w:r>
        <w:rPr>
          <w:color w:val="auto"/>
          <w:sz w:val="24"/>
          <w:highlight w:val="none"/>
        </w:rPr>
        <w:t>工作纪律，不得</w:t>
      </w:r>
      <w:r>
        <w:rPr>
          <w:rFonts w:hint="eastAsia"/>
          <w:color w:val="auto"/>
          <w:sz w:val="24"/>
          <w:highlight w:val="none"/>
        </w:rPr>
        <w:t>泄露评审文件</w:t>
      </w:r>
      <w:r>
        <w:rPr>
          <w:color w:val="auto"/>
          <w:sz w:val="24"/>
          <w:highlight w:val="none"/>
        </w:rPr>
        <w:t>、</w:t>
      </w:r>
      <w:r>
        <w:rPr>
          <w:rFonts w:hint="eastAsia"/>
          <w:color w:val="auto"/>
          <w:sz w:val="24"/>
          <w:highlight w:val="none"/>
        </w:rPr>
        <w:t>评审</w:t>
      </w:r>
      <w:r>
        <w:rPr>
          <w:color w:val="auto"/>
          <w:sz w:val="24"/>
          <w:highlight w:val="none"/>
        </w:rPr>
        <w:t>情况和</w:t>
      </w:r>
      <w:r>
        <w:rPr>
          <w:rFonts w:hint="eastAsia"/>
          <w:color w:val="auto"/>
          <w:sz w:val="24"/>
          <w:highlight w:val="none"/>
        </w:rPr>
        <w:t>评审</w:t>
      </w:r>
      <w:r>
        <w:rPr>
          <w:color w:val="auto"/>
          <w:sz w:val="24"/>
          <w:highlight w:val="none"/>
        </w:rPr>
        <w:t>中获悉的</w:t>
      </w:r>
      <w:r>
        <w:rPr>
          <w:rFonts w:hint="eastAsia"/>
          <w:color w:val="auto"/>
          <w:sz w:val="24"/>
          <w:highlight w:val="none"/>
        </w:rPr>
        <w:t>国家秘密、</w:t>
      </w:r>
      <w:r>
        <w:rPr>
          <w:color w:val="auto"/>
          <w:sz w:val="24"/>
          <w:highlight w:val="none"/>
        </w:rPr>
        <w:t>商业秘密。</w:t>
      </w:r>
    </w:p>
    <w:p w14:paraId="11A5DC2E">
      <w:pPr>
        <w:spacing w:line="360" w:lineRule="auto"/>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.成交结果公告</w:t>
      </w:r>
    </w:p>
    <w:p w14:paraId="7876E11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.1为体现“公开、公平、公正”的原则，谈判结束后，</w:t>
      </w:r>
      <w:r>
        <w:rPr>
          <w:rFonts w:hint="eastAsia" w:asciiTheme="minorEastAsia" w:hAnsiTheme="minorEastAsia" w:eastAsiaTheme="minorEastAsia"/>
          <w:color w:val="auto"/>
          <w:sz w:val="24"/>
          <w:highlight w:val="none"/>
        </w:rPr>
        <w:t>采购代理机构将</w:t>
      </w:r>
      <w:r>
        <w:rPr>
          <w:rFonts w:hint="eastAsia"/>
          <w:color w:val="auto"/>
          <w:sz w:val="24"/>
          <w:szCs w:val="18"/>
          <w:highlight w:val="none"/>
        </w:rPr>
        <w:t>在滁州市城投工程咨询管理有限公司网站上</w:t>
      </w:r>
      <w:r>
        <w:rPr>
          <w:rFonts w:asciiTheme="minorEastAsia" w:hAnsiTheme="minorEastAsia" w:eastAsiaTheme="minorEastAsia"/>
          <w:color w:val="auto"/>
          <w:sz w:val="24"/>
          <w:highlight w:val="none"/>
        </w:rPr>
        <w:t>发布成交结果公告。</w:t>
      </w:r>
    </w:p>
    <w:p w14:paraId="03B500B9">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.2成交结果公告内容应当包括采购人及其委托的采购代理机构的名称、地址、联系方式，项目名称和项目编号，成交供应商名称、地址和成交金额，</w:t>
      </w:r>
      <w:r>
        <w:rPr>
          <w:rFonts w:hint="eastAsia" w:asciiTheme="minorEastAsia" w:hAnsiTheme="minorEastAsia" w:eastAsiaTheme="minorEastAsia"/>
          <w:color w:val="auto"/>
          <w:sz w:val="24"/>
          <w:highlight w:val="none"/>
        </w:rPr>
        <w:t>主要成交标的的名称、施工范围、施工工期、项目经理、执业证书信息</w:t>
      </w:r>
      <w:r>
        <w:rPr>
          <w:rFonts w:asciiTheme="minorEastAsia" w:hAnsiTheme="minorEastAsia" w:eastAsiaTheme="minorEastAsia"/>
          <w:color w:val="auto"/>
          <w:sz w:val="24"/>
          <w:highlight w:val="none"/>
        </w:rPr>
        <w:t>，成交结果公告期限、评审专家名单以及</w:t>
      </w:r>
      <w:r>
        <w:rPr>
          <w:rFonts w:hint="eastAsia"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中约定进行公告的内容。</w:t>
      </w:r>
    </w:p>
    <w:p w14:paraId="434D966C">
      <w:pPr>
        <w:spacing w:line="360" w:lineRule="auto"/>
        <w:ind w:firstLine="437"/>
        <w:outlineLvl w:val="2"/>
        <w:rPr>
          <w:b/>
          <w:color w:val="auto"/>
          <w:sz w:val="24"/>
          <w:highlight w:val="none"/>
        </w:rPr>
      </w:pPr>
      <w:r>
        <w:rPr>
          <w:b/>
          <w:color w:val="auto"/>
          <w:sz w:val="24"/>
          <w:highlight w:val="none"/>
        </w:rPr>
        <w:t>2</w:t>
      </w:r>
      <w:r>
        <w:rPr>
          <w:rFonts w:hint="eastAsia"/>
          <w:b/>
          <w:color w:val="auto"/>
          <w:sz w:val="24"/>
          <w:highlight w:val="none"/>
          <w:lang w:val="en-US" w:eastAsia="zh-CN"/>
        </w:rPr>
        <w:t>3</w:t>
      </w:r>
      <w:r>
        <w:rPr>
          <w:b/>
          <w:color w:val="auto"/>
          <w:sz w:val="24"/>
          <w:highlight w:val="none"/>
        </w:rPr>
        <w:t>.成交通知书</w:t>
      </w:r>
    </w:p>
    <w:p w14:paraId="17FB1898">
      <w:pPr>
        <w:spacing w:line="360" w:lineRule="auto"/>
        <w:ind w:firstLine="435"/>
        <w:rPr>
          <w:color w:val="auto"/>
          <w:sz w:val="24"/>
          <w:highlight w:val="none"/>
        </w:rPr>
      </w:pPr>
      <w:r>
        <w:rPr>
          <w:color w:val="auto"/>
          <w:sz w:val="24"/>
          <w:highlight w:val="none"/>
        </w:rPr>
        <w:t>2</w:t>
      </w:r>
      <w:r>
        <w:rPr>
          <w:rFonts w:hint="eastAsia"/>
          <w:color w:val="auto"/>
          <w:sz w:val="24"/>
          <w:highlight w:val="none"/>
          <w:lang w:val="en-US" w:eastAsia="zh-CN"/>
        </w:rPr>
        <w:t>3</w:t>
      </w:r>
      <w:r>
        <w:rPr>
          <w:color w:val="auto"/>
          <w:sz w:val="24"/>
          <w:highlight w:val="none"/>
        </w:rPr>
        <w:t>.1采购代理机构发布成交结果公告的同时</w:t>
      </w:r>
      <w:r>
        <w:rPr>
          <w:rFonts w:asciiTheme="minorEastAsia" w:hAnsiTheme="minorEastAsia" w:eastAsiaTheme="minorEastAsia"/>
          <w:color w:val="auto"/>
          <w:sz w:val="24"/>
          <w:highlight w:val="none"/>
        </w:rPr>
        <w:t>以</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color w:val="auto"/>
          <w:sz w:val="24"/>
          <w:highlight w:val="none"/>
        </w:rPr>
        <w:t>向成交供应商发出成交通知书。</w:t>
      </w:r>
    </w:p>
    <w:p w14:paraId="59F13778">
      <w:pPr>
        <w:spacing w:line="360" w:lineRule="auto"/>
        <w:ind w:firstLine="435"/>
        <w:rPr>
          <w:color w:val="auto"/>
          <w:sz w:val="24"/>
          <w:highlight w:val="none"/>
        </w:rPr>
      </w:pPr>
      <w:r>
        <w:rPr>
          <w:color w:val="auto"/>
          <w:sz w:val="24"/>
          <w:highlight w:val="none"/>
        </w:rPr>
        <w:t>2</w:t>
      </w:r>
      <w:r>
        <w:rPr>
          <w:rFonts w:hint="eastAsia"/>
          <w:color w:val="auto"/>
          <w:sz w:val="24"/>
          <w:highlight w:val="none"/>
          <w:lang w:val="en-US" w:eastAsia="zh-CN"/>
        </w:rPr>
        <w:t>3</w:t>
      </w:r>
      <w:r>
        <w:rPr>
          <w:color w:val="auto"/>
          <w:sz w:val="24"/>
          <w:highlight w:val="none"/>
        </w:rPr>
        <w:t>.2成交通知书对采购人和成交供应商具有同等法律效力。成交通知书发出以后，采购人改变成交结果或者成交供应商放弃成交资格，应当承担相应的法律责任。</w:t>
      </w:r>
    </w:p>
    <w:p w14:paraId="01561E53">
      <w:pPr>
        <w:spacing w:line="360" w:lineRule="auto"/>
        <w:ind w:firstLine="435"/>
        <w:rPr>
          <w:color w:val="auto"/>
          <w:sz w:val="24"/>
          <w:highlight w:val="none"/>
        </w:rPr>
      </w:pPr>
      <w:r>
        <w:rPr>
          <w:color w:val="auto"/>
          <w:sz w:val="24"/>
          <w:highlight w:val="none"/>
        </w:rPr>
        <w:t>2</w:t>
      </w:r>
      <w:r>
        <w:rPr>
          <w:rFonts w:hint="eastAsia"/>
          <w:color w:val="auto"/>
          <w:sz w:val="24"/>
          <w:highlight w:val="none"/>
          <w:lang w:val="en-US" w:eastAsia="zh-CN"/>
        </w:rPr>
        <w:t>3</w:t>
      </w:r>
      <w:r>
        <w:rPr>
          <w:color w:val="auto"/>
          <w:sz w:val="24"/>
          <w:highlight w:val="none"/>
        </w:rPr>
        <w:t>.3成交通知书是合同的组成部分。</w:t>
      </w:r>
    </w:p>
    <w:p w14:paraId="2145BF26">
      <w:pPr>
        <w:spacing w:line="360" w:lineRule="auto"/>
        <w:ind w:firstLine="437"/>
        <w:outlineLvl w:val="2"/>
        <w:rPr>
          <w:b/>
          <w:color w:val="auto"/>
          <w:sz w:val="24"/>
          <w:highlight w:val="none"/>
        </w:rPr>
      </w:pPr>
      <w:r>
        <w:rPr>
          <w:rFonts w:hint="eastAsia"/>
          <w:b/>
          <w:color w:val="auto"/>
          <w:sz w:val="24"/>
          <w:highlight w:val="none"/>
        </w:rPr>
        <w:t>2</w:t>
      </w:r>
      <w:r>
        <w:rPr>
          <w:rFonts w:hint="eastAsia"/>
          <w:b/>
          <w:color w:val="auto"/>
          <w:sz w:val="24"/>
          <w:highlight w:val="none"/>
          <w:lang w:val="en-US" w:eastAsia="zh-CN"/>
        </w:rPr>
        <w:t>4</w:t>
      </w:r>
      <w:r>
        <w:rPr>
          <w:b/>
          <w:color w:val="auto"/>
          <w:sz w:val="24"/>
          <w:highlight w:val="none"/>
        </w:rPr>
        <w:t>.告知</w:t>
      </w:r>
      <w:r>
        <w:rPr>
          <w:rFonts w:hint="eastAsia" w:asciiTheme="minorEastAsia" w:hAnsiTheme="minorEastAsia" w:eastAsiaTheme="minorEastAsia"/>
          <w:b/>
          <w:color w:val="auto"/>
          <w:sz w:val="24"/>
          <w:highlight w:val="none"/>
        </w:rPr>
        <w:t>谈判</w:t>
      </w:r>
      <w:r>
        <w:rPr>
          <w:b/>
          <w:color w:val="auto"/>
          <w:sz w:val="24"/>
          <w:highlight w:val="none"/>
        </w:rPr>
        <w:t>结果</w:t>
      </w:r>
    </w:p>
    <w:p w14:paraId="30DE9CD6">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cs="宋体"/>
          <w:color w:val="auto"/>
          <w:sz w:val="24"/>
          <w:szCs w:val="24"/>
          <w:highlight w:val="none"/>
          <w:lang w:val="en-US" w:eastAsia="zh-CN"/>
        </w:rPr>
        <w:t>4</w:t>
      </w:r>
      <w:r>
        <w:rPr>
          <w:rFonts w:hint="eastAsia" w:ascii="宋体" w:hAnsi="宋体" w:eastAsia="宋体" w:cs="宋体"/>
          <w:color w:val="auto"/>
          <w:sz w:val="24"/>
          <w:szCs w:val="24"/>
          <w:highlight w:val="none"/>
        </w:rPr>
        <w:t>.1在公告成交结果的同时，采购代理机构同时以</w:t>
      </w:r>
      <w:r>
        <w:rPr>
          <w:rFonts w:hint="eastAsia" w:ascii="宋体" w:hAnsi="宋体" w:eastAsia="宋体" w:cs="宋体"/>
          <w:color w:val="auto"/>
          <w:sz w:val="24"/>
          <w:szCs w:val="24"/>
          <w:highlight w:val="none"/>
          <w:u w:val="single"/>
        </w:rPr>
        <w:t>供应商须知前附表</w:t>
      </w:r>
      <w:r>
        <w:rPr>
          <w:rFonts w:hint="eastAsia" w:ascii="宋体" w:hAnsi="宋体" w:eastAsia="宋体" w:cs="宋体"/>
          <w:color w:val="auto"/>
          <w:sz w:val="24"/>
          <w:szCs w:val="24"/>
          <w:highlight w:val="none"/>
        </w:rPr>
        <w:t>规定的形式告知未成交供应商本人的排序。</w:t>
      </w:r>
    </w:p>
    <w:p w14:paraId="3D3F0B23">
      <w:pPr>
        <w:spacing w:line="360" w:lineRule="auto"/>
        <w:ind w:firstLine="480" w:firstLineChars="200"/>
        <w:rPr>
          <w:color w:val="auto"/>
          <w:sz w:val="24"/>
          <w:highlight w:val="none"/>
        </w:rPr>
      </w:pPr>
      <w:r>
        <w:rPr>
          <w:rFonts w:hint="eastAsia" w:ascii="宋体" w:hAnsi="宋体" w:eastAsia="宋体" w:cs="宋体"/>
          <w:color w:val="auto"/>
          <w:sz w:val="24"/>
          <w:szCs w:val="24"/>
          <w:highlight w:val="none"/>
        </w:rPr>
        <w:t>2</w:t>
      </w:r>
      <w:r>
        <w:rPr>
          <w:rFonts w:hint="eastAsia"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采购代理机构对未成交的供应商不做未成交原因的解释</w:t>
      </w:r>
      <w:r>
        <w:rPr>
          <w:color w:val="auto"/>
          <w:sz w:val="24"/>
          <w:highlight w:val="none"/>
        </w:rPr>
        <w:t>。</w:t>
      </w:r>
    </w:p>
    <w:p w14:paraId="390F4F1E">
      <w:pPr>
        <w:spacing w:line="360" w:lineRule="auto"/>
        <w:ind w:firstLine="437"/>
        <w:outlineLvl w:val="2"/>
        <w:rPr>
          <w:b/>
          <w:color w:val="auto"/>
          <w:sz w:val="24"/>
          <w:highlight w:val="none"/>
        </w:rPr>
      </w:pPr>
      <w:r>
        <w:rPr>
          <w:rFonts w:hint="eastAsia"/>
          <w:b/>
          <w:color w:val="auto"/>
          <w:sz w:val="24"/>
          <w:highlight w:val="none"/>
          <w:lang w:val="en-US" w:eastAsia="zh-CN"/>
        </w:rPr>
        <w:t>25</w:t>
      </w:r>
      <w:r>
        <w:rPr>
          <w:b/>
          <w:color w:val="auto"/>
          <w:sz w:val="24"/>
          <w:highlight w:val="none"/>
        </w:rPr>
        <w:t>.履约</w:t>
      </w:r>
      <w:r>
        <w:rPr>
          <w:rFonts w:asciiTheme="minorEastAsia" w:hAnsiTheme="minorEastAsia" w:eastAsiaTheme="minorEastAsia"/>
          <w:b/>
          <w:color w:val="auto"/>
          <w:sz w:val="24"/>
          <w:highlight w:val="none"/>
        </w:rPr>
        <w:t>保证金</w:t>
      </w:r>
    </w:p>
    <w:p w14:paraId="63E24A87">
      <w:pPr>
        <w:spacing w:line="360" w:lineRule="auto"/>
        <w:ind w:firstLine="435"/>
        <w:rPr>
          <w:color w:val="auto"/>
          <w:sz w:val="24"/>
          <w:highlight w:val="none"/>
        </w:rPr>
      </w:pPr>
      <w:r>
        <w:rPr>
          <w:rFonts w:hint="eastAsia"/>
          <w:color w:val="auto"/>
          <w:sz w:val="24"/>
          <w:highlight w:val="none"/>
          <w:lang w:val="en-US" w:eastAsia="zh-CN"/>
        </w:rPr>
        <w:t>25</w:t>
      </w:r>
      <w:r>
        <w:rPr>
          <w:color w:val="auto"/>
          <w:sz w:val="24"/>
          <w:highlight w:val="none"/>
        </w:rPr>
        <w:t>.1成交供应商应按照</w:t>
      </w:r>
      <w:r>
        <w:rPr>
          <w:color w:val="auto"/>
          <w:sz w:val="24"/>
          <w:highlight w:val="none"/>
          <w:u w:val="single"/>
        </w:rPr>
        <w:t>供应商须知前附表</w:t>
      </w:r>
      <w:r>
        <w:rPr>
          <w:color w:val="auto"/>
          <w:sz w:val="24"/>
          <w:highlight w:val="none"/>
        </w:rPr>
        <w:t>规定</w:t>
      </w:r>
      <w:r>
        <w:rPr>
          <w:rFonts w:hint="eastAsia"/>
          <w:color w:val="auto"/>
          <w:sz w:val="24"/>
          <w:highlight w:val="none"/>
        </w:rPr>
        <w:t>缴纳</w:t>
      </w:r>
      <w:r>
        <w:rPr>
          <w:color w:val="auto"/>
          <w:sz w:val="24"/>
          <w:highlight w:val="none"/>
        </w:rPr>
        <w:t>履约保证金。</w:t>
      </w:r>
    </w:p>
    <w:p w14:paraId="3BD16338">
      <w:pPr>
        <w:spacing w:line="360" w:lineRule="auto"/>
        <w:ind w:firstLine="435"/>
        <w:rPr>
          <w:color w:val="auto"/>
          <w:sz w:val="24"/>
          <w:highlight w:val="none"/>
        </w:rPr>
      </w:pPr>
      <w:r>
        <w:rPr>
          <w:rFonts w:hint="eastAsia"/>
          <w:color w:val="auto"/>
          <w:sz w:val="24"/>
          <w:highlight w:val="none"/>
          <w:lang w:val="en-US" w:eastAsia="zh-CN"/>
        </w:rPr>
        <w:t>25</w:t>
      </w:r>
      <w:r>
        <w:rPr>
          <w:color w:val="auto"/>
          <w:sz w:val="24"/>
          <w:highlight w:val="none"/>
        </w:rPr>
        <w:t>.2如果成交供应商没有按照上述履约保证金的规定执行，将视为放弃成交资格。在此情况下，采购人可确定下一成交候选供应商为成交供应商，也可以重新开展采购活动。</w:t>
      </w:r>
    </w:p>
    <w:p w14:paraId="57551AF6">
      <w:pPr>
        <w:spacing w:line="360" w:lineRule="auto"/>
        <w:ind w:firstLine="437"/>
        <w:outlineLvl w:val="2"/>
        <w:rPr>
          <w:rFonts w:hint="default" w:eastAsia="宋体"/>
          <w:b/>
          <w:color w:val="auto"/>
          <w:sz w:val="24"/>
          <w:highlight w:val="none"/>
          <w:lang w:val="en-US" w:eastAsia="zh-CN"/>
        </w:rPr>
      </w:pPr>
      <w:r>
        <w:rPr>
          <w:rFonts w:hint="eastAsia"/>
          <w:b/>
          <w:color w:val="auto"/>
          <w:sz w:val="24"/>
          <w:highlight w:val="none"/>
          <w:lang w:val="en-US" w:eastAsia="zh-CN"/>
        </w:rPr>
        <w:t>26</w:t>
      </w:r>
      <w:r>
        <w:rPr>
          <w:b/>
          <w:color w:val="auto"/>
          <w:sz w:val="24"/>
          <w:highlight w:val="none"/>
        </w:rPr>
        <w:t>.</w:t>
      </w:r>
      <w:r>
        <w:rPr>
          <w:rFonts w:hint="eastAsia"/>
          <w:b/>
          <w:color w:val="auto"/>
          <w:sz w:val="24"/>
          <w:highlight w:val="none"/>
          <w:lang w:val="en-US" w:eastAsia="zh-CN"/>
        </w:rPr>
        <w:t>代理费用</w:t>
      </w:r>
    </w:p>
    <w:p w14:paraId="1CF8F279">
      <w:pPr>
        <w:spacing w:line="360" w:lineRule="auto"/>
        <w:ind w:firstLine="435"/>
        <w:rPr>
          <w:color w:val="auto"/>
          <w:sz w:val="24"/>
          <w:highlight w:val="none"/>
        </w:rPr>
      </w:pPr>
      <w:r>
        <w:rPr>
          <w:rFonts w:hint="eastAsia"/>
          <w:color w:val="auto"/>
          <w:sz w:val="24"/>
          <w:highlight w:val="none"/>
          <w:lang w:val="en-US" w:eastAsia="zh-CN"/>
        </w:rPr>
        <w:t>26</w:t>
      </w:r>
      <w:r>
        <w:rPr>
          <w:color w:val="auto"/>
          <w:sz w:val="24"/>
          <w:highlight w:val="none"/>
        </w:rPr>
        <w:t>.1本项目</w:t>
      </w:r>
      <w:r>
        <w:rPr>
          <w:rFonts w:hint="eastAsia"/>
          <w:color w:val="auto"/>
          <w:sz w:val="24"/>
          <w:highlight w:val="none"/>
          <w:lang w:val="en-US" w:eastAsia="zh-CN"/>
        </w:rPr>
        <w:t>代理费用</w:t>
      </w:r>
      <w:r>
        <w:rPr>
          <w:color w:val="auto"/>
          <w:sz w:val="24"/>
          <w:highlight w:val="none"/>
        </w:rPr>
        <w:t>的收取按</w:t>
      </w:r>
      <w:r>
        <w:rPr>
          <w:rFonts w:hint="eastAsia"/>
          <w:color w:val="auto"/>
          <w:sz w:val="24"/>
          <w:highlight w:val="none"/>
          <w:u w:val="single"/>
        </w:rPr>
        <w:t>供应商</w:t>
      </w:r>
      <w:r>
        <w:rPr>
          <w:color w:val="auto"/>
          <w:sz w:val="24"/>
          <w:highlight w:val="none"/>
          <w:u w:val="single"/>
        </w:rPr>
        <w:t>须知前附表</w:t>
      </w:r>
      <w:r>
        <w:rPr>
          <w:color w:val="auto"/>
          <w:sz w:val="24"/>
          <w:highlight w:val="none"/>
        </w:rPr>
        <w:t>的规定执行。</w:t>
      </w:r>
    </w:p>
    <w:p w14:paraId="48725039">
      <w:pPr>
        <w:spacing w:line="360" w:lineRule="auto"/>
        <w:ind w:firstLine="437"/>
        <w:outlineLvl w:val="2"/>
        <w:rPr>
          <w:b/>
          <w:color w:val="auto"/>
          <w:sz w:val="24"/>
          <w:highlight w:val="none"/>
        </w:rPr>
      </w:pPr>
      <w:r>
        <w:rPr>
          <w:rFonts w:hint="eastAsia"/>
          <w:b/>
          <w:color w:val="auto"/>
          <w:sz w:val="24"/>
          <w:highlight w:val="none"/>
          <w:lang w:val="en-US" w:eastAsia="zh-CN"/>
        </w:rPr>
        <w:t>27</w:t>
      </w:r>
      <w:r>
        <w:rPr>
          <w:b/>
          <w:color w:val="auto"/>
          <w:sz w:val="24"/>
          <w:highlight w:val="none"/>
        </w:rPr>
        <w:t>.签订</w:t>
      </w:r>
      <w:r>
        <w:rPr>
          <w:rFonts w:asciiTheme="minorEastAsia" w:hAnsiTheme="minorEastAsia" w:eastAsiaTheme="minorEastAsia"/>
          <w:b/>
          <w:color w:val="auto"/>
          <w:sz w:val="24"/>
          <w:highlight w:val="none"/>
        </w:rPr>
        <w:t>合同</w:t>
      </w:r>
    </w:p>
    <w:p w14:paraId="395E0C46">
      <w:pPr>
        <w:spacing w:line="360" w:lineRule="auto"/>
        <w:ind w:firstLine="435"/>
        <w:rPr>
          <w:color w:val="auto"/>
          <w:sz w:val="24"/>
          <w:highlight w:val="none"/>
        </w:rPr>
      </w:pPr>
      <w:r>
        <w:rPr>
          <w:rFonts w:hint="eastAsia"/>
          <w:color w:val="auto"/>
          <w:sz w:val="24"/>
          <w:highlight w:val="none"/>
          <w:lang w:val="en-US" w:eastAsia="zh-CN"/>
        </w:rPr>
        <w:t>27</w:t>
      </w:r>
      <w:r>
        <w:rPr>
          <w:color w:val="auto"/>
          <w:sz w:val="24"/>
          <w:highlight w:val="none"/>
        </w:rPr>
        <w:t>.1</w:t>
      </w:r>
      <w:r>
        <w:rPr>
          <w:rFonts w:hint="eastAsia" w:ascii="宋体" w:hAnsi="宋体" w:eastAsia="宋体" w:cs="宋体"/>
          <w:color w:val="auto"/>
          <w:sz w:val="24"/>
          <w:szCs w:val="24"/>
          <w:highlight w:val="none"/>
          <w:u w:val="none"/>
          <w:lang w:val="en-US" w:eastAsia="zh-CN"/>
        </w:rPr>
        <w:t>采购人与成交供应商应当按照</w:t>
      </w:r>
      <w:r>
        <w:rPr>
          <w:rFonts w:hint="eastAsia" w:ascii="宋体" w:hAnsi="宋体" w:eastAsia="宋体" w:cs="宋体"/>
          <w:color w:val="auto"/>
          <w:sz w:val="24"/>
          <w:szCs w:val="24"/>
          <w:highlight w:val="none"/>
          <w:u w:val="single"/>
          <w:lang w:val="en-US" w:eastAsia="zh-CN"/>
        </w:rPr>
        <w:t>供应商</w:t>
      </w:r>
      <w:r>
        <w:rPr>
          <w:rFonts w:hint="eastAsia" w:ascii="宋体" w:hAnsi="宋体" w:eastAsia="宋体" w:cs="宋体"/>
          <w:color w:val="auto"/>
          <w:sz w:val="24"/>
          <w:szCs w:val="24"/>
          <w:highlight w:val="none"/>
          <w:u w:val="single"/>
        </w:rPr>
        <w:t>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w:t>
      </w:r>
    </w:p>
    <w:p w14:paraId="1733B3D1">
      <w:pPr>
        <w:spacing w:line="360" w:lineRule="auto"/>
        <w:ind w:firstLine="435"/>
        <w:rPr>
          <w:color w:val="auto"/>
          <w:sz w:val="24"/>
          <w:highlight w:val="none"/>
        </w:rPr>
      </w:pPr>
      <w:r>
        <w:rPr>
          <w:rFonts w:hint="eastAsia"/>
          <w:color w:val="auto"/>
          <w:sz w:val="24"/>
          <w:highlight w:val="none"/>
          <w:lang w:val="en-US" w:eastAsia="zh-CN"/>
        </w:rPr>
        <w:t>27</w:t>
      </w:r>
      <w:r>
        <w:rPr>
          <w:color w:val="auto"/>
          <w:sz w:val="24"/>
          <w:highlight w:val="none"/>
        </w:rPr>
        <w:t>.2谈判文件、成交供应商的响应文件及其澄清文件等，均为签订合同的依据。</w:t>
      </w:r>
    </w:p>
    <w:p w14:paraId="57F6F5CE">
      <w:pPr>
        <w:spacing w:line="360" w:lineRule="auto"/>
        <w:ind w:firstLine="470" w:firstLineChars="196"/>
        <w:rPr>
          <w:color w:val="auto"/>
          <w:sz w:val="24"/>
          <w:highlight w:val="none"/>
        </w:rPr>
      </w:pPr>
      <w:r>
        <w:rPr>
          <w:rFonts w:hint="eastAsia"/>
          <w:color w:val="auto"/>
          <w:sz w:val="24"/>
          <w:highlight w:val="none"/>
          <w:lang w:val="en-US" w:eastAsia="zh-CN"/>
        </w:rPr>
        <w:t>27</w:t>
      </w:r>
      <w:r>
        <w:rPr>
          <w:color w:val="auto"/>
          <w:sz w:val="24"/>
          <w:highlight w:val="none"/>
        </w:rPr>
        <w:t>.3成交供应商拒绝与采购人签订合同的，采购人可以按照评审报告推荐的成交候选供应商名单排序，确定下一成交候选供应商为成交供应商，也可以重新开展采购活动。</w:t>
      </w:r>
      <w:r>
        <w:rPr>
          <w:rFonts w:hint="eastAsia"/>
          <w:color w:val="auto"/>
          <w:sz w:val="24"/>
          <w:highlight w:val="none"/>
        </w:rPr>
        <w:t>成交供应商拒绝签订政府采购合同的不得参加对该项目重新开展的采购活动。</w:t>
      </w:r>
    </w:p>
    <w:p w14:paraId="6C55A343">
      <w:pPr>
        <w:spacing w:line="360" w:lineRule="auto"/>
        <w:ind w:firstLine="470" w:firstLineChars="196"/>
        <w:rPr>
          <w:color w:val="auto"/>
          <w:sz w:val="24"/>
          <w:highlight w:val="none"/>
        </w:rPr>
      </w:pPr>
      <w:bookmarkStart w:id="30" w:name="_Hlk60264926"/>
      <w:r>
        <w:rPr>
          <w:rFonts w:hint="eastAsia"/>
          <w:color w:val="auto"/>
          <w:sz w:val="24"/>
          <w:highlight w:val="none"/>
          <w:lang w:val="en-US" w:eastAsia="zh-CN"/>
        </w:rPr>
        <w:t>27</w:t>
      </w:r>
      <w:r>
        <w:rPr>
          <w:rFonts w:hint="eastAsia"/>
          <w:color w:val="auto"/>
          <w:sz w:val="24"/>
          <w:highlight w:val="none"/>
        </w:rPr>
        <w:t>.</w:t>
      </w:r>
      <w:r>
        <w:rPr>
          <w:color w:val="auto"/>
          <w:sz w:val="24"/>
          <w:highlight w:val="none"/>
        </w:rPr>
        <w:t>4</w:t>
      </w:r>
      <w:r>
        <w:rPr>
          <w:rFonts w:hint="eastAsia"/>
          <w:color w:val="auto"/>
          <w:sz w:val="24"/>
          <w:highlight w:val="none"/>
        </w:rPr>
        <w:t>依据《政府采购促进中小企业发展管理办法》（财库〔</w:t>
      </w:r>
      <w:r>
        <w:rPr>
          <w:color w:val="auto"/>
          <w:sz w:val="24"/>
          <w:highlight w:val="none"/>
        </w:rPr>
        <w:t>2020〕46号</w:t>
      </w:r>
      <w:r>
        <w:rPr>
          <w:rFonts w:hint="eastAsia"/>
          <w:color w:val="auto"/>
          <w:sz w:val="24"/>
          <w:highlight w:val="none"/>
        </w:rPr>
        <w:t>）规定享受扶持政策获得政府采购合同的，小微企业不得将合同分包给大中型企业，中型企业不得将合同分包给大型企业。</w:t>
      </w:r>
      <w:bookmarkEnd w:id="30"/>
    </w:p>
    <w:p w14:paraId="1F80FD09">
      <w:pPr>
        <w:spacing w:line="360" w:lineRule="auto"/>
        <w:ind w:firstLine="437"/>
        <w:outlineLvl w:val="2"/>
        <w:rPr>
          <w:b/>
          <w:color w:val="auto"/>
          <w:sz w:val="24"/>
          <w:highlight w:val="none"/>
        </w:rPr>
      </w:pPr>
      <w:r>
        <w:rPr>
          <w:rFonts w:hint="eastAsia"/>
          <w:b/>
          <w:color w:val="auto"/>
          <w:sz w:val="24"/>
          <w:highlight w:val="none"/>
          <w:lang w:val="en-US" w:eastAsia="zh-CN"/>
        </w:rPr>
        <w:t>28</w:t>
      </w:r>
      <w:r>
        <w:rPr>
          <w:b/>
          <w:color w:val="auto"/>
          <w:sz w:val="24"/>
          <w:highlight w:val="none"/>
        </w:rPr>
        <w:t>.廉洁</w:t>
      </w:r>
      <w:r>
        <w:rPr>
          <w:rFonts w:asciiTheme="minorEastAsia" w:hAnsiTheme="minorEastAsia" w:eastAsiaTheme="minorEastAsia"/>
          <w:b/>
          <w:color w:val="auto"/>
          <w:sz w:val="24"/>
          <w:highlight w:val="none"/>
        </w:rPr>
        <w:t>自律</w:t>
      </w:r>
      <w:r>
        <w:rPr>
          <w:b/>
          <w:color w:val="auto"/>
          <w:sz w:val="24"/>
          <w:highlight w:val="none"/>
        </w:rPr>
        <w:t>规定</w:t>
      </w:r>
    </w:p>
    <w:p w14:paraId="080852E7">
      <w:pPr>
        <w:spacing w:line="360" w:lineRule="auto"/>
        <w:ind w:firstLine="435"/>
        <w:rPr>
          <w:color w:val="auto"/>
          <w:sz w:val="24"/>
          <w:highlight w:val="none"/>
        </w:rPr>
      </w:pPr>
      <w:r>
        <w:rPr>
          <w:rFonts w:hint="eastAsia"/>
          <w:color w:val="auto"/>
          <w:sz w:val="24"/>
          <w:highlight w:val="none"/>
          <w:lang w:val="en-US" w:eastAsia="zh-CN"/>
        </w:rPr>
        <w:t>28</w:t>
      </w:r>
      <w:r>
        <w:rPr>
          <w:color w:val="auto"/>
          <w:sz w:val="24"/>
          <w:highlight w:val="none"/>
        </w:rPr>
        <w:t>.1采购代理机构工作人员不得以不正当手段获取政府采购代理业务，不得与采购人、供应商恶意串通。</w:t>
      </w:r>
    </w:p>
    <w:p w14:paraId="5254E11A">
      <w:pPr>
        <w:spacing w:line="360" w:lineRule="auto"/>
        <w:ind w:firstLine="435"/>
        <w:rPr>
          <w:color w:val="auto"/>
          <w:sz w:val="24"/>
          <w:highlight w:val="none"/>
        </w:rPr>
      </w:pPr>
      <w:r>
        <w:rPr>
          <w:rFonts w:hint="eastAsia"/>
          <w:color w:val="auto"/>
          <w:sz w:val="24"/>
          <w:highlight w:val="none"/>
          <w:lang w:val="en-US" w:eastAsia="zh-CN"/>
        </w:rPr>
        <w:t>28</w:t>
      </w:r>
      <w:r>
        <w:rPr>
          <w:color w:val="auto"/>
          <w:sz w:val="24"/>
          <w:highlight w:val="none"/>
        </w:rPr>
        <w:t>.2采购代理机构工作人员不得接受采购人或者供应商组织的宴请、旅游、娱乐，不得收受礼品、现金、有价证券等，不得向采购人或者供应商报销应当由个人承担的费用。</w:t>
      </w:r>
    </w:p>
    <w:p w14:paraId="24230B93">
      <w:pPr>
        <w:spacing w:line="360" w:lineRule="auto"/>
        <w:ind w:firstLine="437"/>
        <w:outlineLvl w:val="2"/>
        <w:rPr>
          <w:b/>
          <w:color w:val="auto"/>
          <w:sz w:val="24"/>
          <w:highlight w:val="none"/>
        </w:rPr>
      </w:pPr>
      <w:r>
        <w:rPr>
          <w:rFonts w:hint="eastAsia"/>
          <w:b/>
          <w:color w:val="auto"/>
          <w:sz w:val="24"/>
          <w:highlight w:val="none"/>
          <w:lang w:val="en-US" w:eastAsia="zh-CN"/>
        </w:rPr>
        <w:t>29</w:t>
      </w:r>
      <w:r>
        <w:rPr>
          <w:b/>
          <w:color w:val="auto"/>
          <w:sz w:val="24"/>
          <w:highlight w:val="none"/>
        </w:rPr>
        <w:t>.质疑的提出与接收</w:t>
      </w:r>
    </w:p>
    <w:p w14:paraId="09BCE05C">
      <w:pPr>
        <w:spacing w:line="360" w:lineRule="auto"/>
        <w:ind w:firstLine="435"/>
        <w:rPr>
          <w:color w:val="auto"/>
          <w:sz w:val="24"/>
          <w:highlight w:val="none"/>
        </w:rPr>
      </w:pPr>
      <w:r>
        <w:rPr>
          <w:rFonts w:hint="eastAsia"/>
          <w:color w:val="auto"/>
          <w:sz w:val="24"/>
          <w:highlight w:val="none"/>
          <w:lang w:val="en-US" w:eastAsia="zh-CN"/>
        </w:rPr>
        <w:t>29</w:t>
      </w:r>
      <w:r>
        <w:rPr>
          <w:rFonts w:hint="eastAsia"/>
          <w:color w:val="auto"/>
          <w:sz w:val="24"/>
          <w:highlight w:val="none"/>
        </w:rPr>
        <w:t>.1供应商认为谈判文件、采购过程和成交结果使自己的权益受到损害的，可以在知道或者应知其权益受到损害之日起七个工作日内，以书面形式向采购人或其委托的采购代理机构提出质疑。</w:t>
      </w:r>
    </w:p>
    <w:p w14:paraId="42F6E031">
      <w:pPr>
        <w:spacing w:line="360" w:lineRule="auto"/>
        <w:ind w:firstLine="435"/>
        <w:rPr>
          <w:color w:val="auto"/>
          <w:sz w:val="24"/>
          <w:highlight w:val="none"/>
        </w:rPr>
      </w:pPr>
      <w:r>
        <w:rPr>
          <w:rFonts w:hint="eastAsia"/>
          <w:color w:val="auto"/>
          <w:sz w:val="24"/>
          <w:highlight w:val="none"/>
          <w:lang w:val="en-US" w:eastAsia="zh-CN"/>
        </w:rPr>
        <w:t>29</w:t>
      </w:r>
      <w:r>
        <w:rPr>
          <w:rFonts w:hint="eastAsia"/>
          <w:color w:val="auto"/>
          <w:sz w:val="24"/>
          <w:highlight w:val="none"/>
        </w:rPr>
        <w:t>.</w:t>
      </w:r>
      <w:r>
        <w:rPr>
          <w:rFonts w:hint="eastAsia"/>
          <w:color w:val="auto"/>
          <w:sz w:val="24"/>
          <w:highlight w:val="none"/>
          <w:lang w:val="en-US" w:eastAsia="zh-CN"/>
        </w:rPr>
        <w:t>2</w:t>
      </w:r>
      <w:r>
        <w:rPr>
          <w:rFonts w:hint="eastAsia"/>
          <w:color w:val="auto"/>
          <w:sz w:val="24"/>
          <w:highlight w:val="none"/>
        </w:rPr>
        <w:t>质疑供应商应按照财政部制定的《政府采购质疑函范本》格式（详见谈判文件第八章）和《政府采购质疑和投诉办法》的要求，在法定质疑期内以书面形式提出质疑，超出法定质疑期提交的质疑将被拒绝。针对同一采购程序环节的质疑应一次性提出。</w:t>
      </w:r>
    </w:p>
    <w:p w14:paraId="4D1FC7EB">
      <w:pPr>
        <w:spacing w:line="360" w:lineRule="auto"/>
        <w:ind w:firstLine="435"/>
        <w:rPr>
          <w:rFonts w:hint="eastAsia"/>
          <w:color w:val="auto"/>
          <w:sz w:val="24"/>
          <w:highlight w:val="none"/>
        </w:rPr>
      </w:pPr>
      <w:r>
        <w:rPr>
          <w:rFonts w:hint="eastAsia"/>
          <w:color w:val="auto"/>
          <w:sz w:val="24"/>
          <w:highlight w:val="none"/>
          <w:lang w:val="en-US" w:eastAsia="zh-CN"/>
        </w:rPr>
        <w:t>29</w:t>
      </w:r>
      <w:r>
        <w:rPr>
          <w:rFonts w:hint="eastAsia"/>
          <w:color w:val="auto"/>
          <w:sz w:val="24"/>
          <w:highlight w:val="none"/>
        </w:rPr>
        <w:t>.</w:t>
      </w:r>
      <w:r>
        <w:rPr>
          <w:rFonts w:hint="eastAsia"/>
          <w:color w:val="auto"/>
          <w:sz w:val="24"/>
          <w:highlight w:val="none"/>
          <w:lang w:val="en-US" w:eastAsia="zh-CN"/>
        </w:rPr>
        <w:t>3</w:t>
      </w:r>
      <w:r>
        <w:rPr>
          <w:rFonts w:hint="eastAsia"/>
          <w:color w:val="auto"/>
          <w:sz w:val="24"/>
          <w:highlight w:val="none"/>
        </w:rPr>
        <w:t>采购代理机构质疑函接收部门、联系电话和通讯地址，见</w:t>
      </w:r>
      <w:r>
        <w:rPr>
          <w:rFonts w:hint="eastAsia"/>
          <w:color w:val="auto"/>
          <w:sz w:val="24"/>
          <w:highlight w:val="none"/>
          <w:u w:val="single"/>
        </w:rPr>
        <w:t>供应商须知前附表</w:t>
      </w:r>
      <w:r>
        <w:rPr>
          <w:rFonts w:hint="eastAsia"/>
          <w:color w:val="auto"/>
          <w:sz w:val="24"/>
          <w:highlight w:val="none"/>
        </w:rPr>
        <w:t>。</w:t>
      </w:r>
    </w:p>
    <w:p w14:paraId="25D99719">
      <w:pPr>
        <w:spacing w:line="360" w:lineRule="auto"/>
        <w:ind w:firstLine="435"/>
        <w:rPr>
          <w:color w:val="auto"/>
          <w:sz w:val="24"/>
          <w:highlight w:val="none"/>
        </w:rPr>
      </w:pPr>
      <w:r>
        <w:rPr>
          <w:rFonts w:hint="eastAsia" w:ascii="宋体" w:hAnsi="宋体" w:eastAsia="宋体"/>
          <w:color w:val="auto"/>
          <w:sz w:val="24"/>
          <w:highlight w:val="none"/>
          <w:lang w:val="en-US" w:eastAsia="zh-CN"/>
        </w:rPr>
        <w:t>注：上述条款中所要求的书面形式包含通过电子交易系统递交方式。</w:t>
      </w:r>
    </w:p>
    <w:p w14:paraId="5AF8E085">
      <w:pPr>
        <w:spacing w:line="360" w:lineRule="auto"/>
        <w:ind w:firstLine="437"/>
        <w:outlineLvl w:val="2"/>
        <w:rPr>
          <w:b/>
          <w:color w:val="auto"/>
          <w:sz w:val="24"/>
          <w:highlight w:val="none"/>
        </w:rPr>
      </w:pPr>
      <w:r>
        <w:rPr>
          <w:b/>
          <w:color w:val="auto"/>
          <w:sz w:val="24"/>
          <w:highlight w:val="none"/>
        </w:rPr>
        <w:t>3</w:t>
      </w:r>
      <w:r>
        <w:rPr>
          <w:rFonts w:hint="eastAsia"/>
          <w:b/>
          <w:color w:val="auto"/>
          <w:sz w:val="24"/>
          <w:highlight w:val="none"/>
          <w:lang w:val="en-US" w:eastAsia="zh-CN"/>
        </w:rPr>
        <w:t>0</w:t>
      </w:r>
      <w:r>
        <w:rPr>
          <w:b/>
          <w:color w:val="auto"/>
          <w:sz w:val="24"/>
          <w:highlight w:val="none"/>
        </w:rPr>
        <w:t>.需要补充的其他内容</w:t>
      </w:r>
    </w:p>
    <w:p w14:paraId="34A7E62A">
      <w:pPr>
        <w:spacing w:line="360" w:lineRule="auto"/>
        <w:ind w:firstLine="435"/>
        <w:rPr>
          <w:color w:val="auto"/>
          <w:sz w:val="24"/>
          <w:highlight w:val="none"/>
        </w:rPr>
      </w:pPr>
      <w:r>
        <w:rPr>
          <w:rFonts w:hint="eastAsia"/>
          <w:color w:val="auto"/>
          <w:sz w:val="24"/>
          <w:highlight w:val="none"/>
        </w:rPr>
        <w:t>需要补充的其他内容，见</w:t>
      </w:r>
      <w:r>
        <w:rPr>
          <w:rFonts w:hint="eastAsia"/>
          <w:color w:val="auto"/>
          <w:sz w:val="24"/>
          <w:highlight w:val="none"/>
          <w:u w:val="single"/>
        </w:rPr>
        <w:t>供应商须知前附表</w:t>
      </w:r>
      <w:r>
        <w:rPr>
          <w:rFonts w:hint="eastAsia"/>
          <w:color w:val="auto"/>
          <w:sz w:val="24"/>
          <w:highlight w:val="none"/>
        </w:rPr>
        <w:t>。</w:t>
      </w:r>
    </w:p>
    <w:p w14:paraId="2CA58182">
      <w:pPr>
        <w:widowControl/>
        <w:jc w:val="left"/>
        <w:rPr>
          <w:rFonts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65D1707A">
      <w:pPr>
        <w:spacing w:line="360" w:lineRule="auto"/>
        <w:jc w:val="center"/>
        <w:outlineLvl w:val="0"/>
        <w:rPr>
          <w:rFonts w:asciiTheme="minorEastAsia" w:hAnsiTheme="minorEastAsia" w:eastAsiaTheme="minorEastAsia"/>
          <w:b/>
          <w:color w:val="auto"/>
          <w:sz w:val="28"/>
          <w:highlight w:val="none"/>
        </w:rPr>
      </w:pPr>
      <w:bookmarkStart w:id="31" w:name="_Toc6146"/>
      <w:r>
        <w:rPr>
          <w:rFonts w:hint="eastAsia" w:asciiTheme="minorEastAsia" w:hAnsiTheme="minorEastAsia" w:eastAsiaTheme="minorEastAsia"/>
          <w:b/>
          <w:color w:val="auto"/>
          <w:sz w:val="28"/>
          <w:highlight w:val="none"/>
        </w:rPr>
        <w:t>第三章  采购需求</w:t>
      </w:r>
      <w:bookmarkEnd w:id="31"/>
    </w:p>
    <w:tbl>
      <w:tblPr>
        <w:tblStyle w:val="10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1310"/>
        <w:gridCol w:w="6451"/>
      </w:tblGrid>
      <w:tr w14:paraId="66589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7503F3CA">
            <w:pPr>
              <w:spacing w:line="360" w:lineRule="auto"/>
              <w:jc w:val="center"/>
              <w:rPr>
                <w:rFonts w:cs="@仿宋_GB2312" w:asciiTheme="minorEastAsia" w:hAnsiTheme="minorEastAsia" w:eastAsiaTheme="minorEastAsia"/>
                <w:b/>
                <w:color w:val="auto"/>
                <w:kern w:val="2"/>
                <w:sz w:val="24"/>
                <w:szCs w:val="22"/>
                <w:highlight w:val="none"/>
              </w:rPr>
            </w:pPr>
            <w:r>
              <w:rPr>
                <w:rFonts w:hint="eastAsia" w:cs="@仿宋_GB2312" w:asciiTheme="minorEastAsia" w:hAnsiTheme="minorEastAsia" w:eastAsiaTheme="minorEastAsia"/>
                <w:b/>
                <w:color w:val="auto"/>
                <w:kern w:val="2"/>
                <w:sz w:val="24"/>
                <w:szCs w:val="22"/>
                <w:highlight w:val="none"/>
              </w:rPr>
              <w:t>序号</w:t>
            </w:r>
          </w:p>
        </w:tc>
        <w:tc>
          <w:tcPr>
            <w:tcW w:w="749" w:type="pct"/>
            <w:vAlign w:val="center"/>
          </w:tcPr>
          <w:p w14:paraId="11E73D9D">
            <w:pPr>
              <w:spacing w:line="360" w:lineRule="auto"/>
              <w:ind w:firstLine="435"/>
              <w:jc w:val="center"/>
              <w:rPr>
                <w:rFonts w:cs="@仿宋_GB2312" w:asciiTheme="minorEastAsia" w:hAnsiTheme="minorEastAsia" w:eastAsiaTheme="minorEastAsia"/>
                <w:b/>
                <w:color w:val="auto"/>
                <w:kern w:val="2"/>
                <w:sz w:val="24"/>
                <w:szCs w:val="22"/>
                <w:highlight w:val="none"/>
              </w:rPr>
            </w:pPr>
            <w:r>
              <w:rPr>
                <w:rFonts w:hint="eastAsia" w:cs="@仿宋_GB2312" w:asciiTheme="minorEastAsia" w:hAnsiTheme="minorEastAsia" w:eastAsiaTheme="minorEastAsia"/>
                <w:b/>
                <w:color w:val="auto"/>
                <w:kern w:val="2"/>
                <w:sz w:val="24"/>
                <w:szCs w:val="22"/>
                <w:highlight w:val="none"/>
              </w:rPr>
              <w:t>内容</w:t>
            </w:r>
          </w:p>
        </w:tc>
        <w:tc>
          <w:tcPr>
            <w:tcW w:w="3688" w:type="pct"/>
            <w:vAlign w:val="center"/>
          </w:tcPr>
          <w:p w14:paraId="41B96D29">
            <w:pPr>
              <w:spacing w:line="360" w:lineRule="auto"/>
              <w:ind w:firstLine="435"/>
              <w:jc w:val="center"/>
              <w:rPr>
                <w:rFonts w:cs="@仿宋_GB2312" w:asciiTheme="minorEastAsia" w:hAnsiTheme="minorEastAsia" w:eastAsiaTheme="minorEastAsia"/>
                <w:b/>
                <w:color w:val="auto"/>
                <w:kern w:val="2"/>
                <w:sz w:val="24"/>
                <w:szCs w:val="22"/>
                <w:highlight w:val="none"/>
              </w:rPr>
            </w:pPr>
            <w:r>
              <w:rPr>
                <w:rFonts w:hint="eastAsia" w:cs="@仿宋_GB2312" w:asciiTheme="minorEastAsia" w:hAnsiTheme="minorEastAsia" w:eastAsiaTheme="minorEastAsia"/>
                <w:b/>
                <w:color w:val="auto"/>
                <w:kern w:val="2"/>
                <w:sz w:val="24"/>
                <w:szCs w:val="22"/>
                <w:highlight w:val="none"/>
              </w:rPr>
              <w:t>说明和要求</w:t>
            </w:r>
          </w:p>
        </w:tc>
      </w:tr>
      <w:tr w14:paraId="5F693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0F89C6BC">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1</w:t>
            </w:r>
          </w:p>
        </w:tc>
        <w:tc>
          <w:tcPr>
            <w:tcW w:w="749" w:type="pct"/>
            <w:vAlign w:val="center"/>
          </w:tcPr>
          <w:p w14:paraId="2E63A09C">
            <w:pPr>
              <w:spacing w:line="360" w:lineRule="auto"/>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人员到岗及履约要求</w:t>
            </w:r>
          </w:p>
        </w:tc>
        <w:tc>
          <w:tcPr>
            <w:tcW w:w="3688" w:type="pct"/>
            <w:vAlign w:val="center"/>
          </w:tcPr>
          <w:p w14:paraId="7B30694B">
            <w:pPr>
              <w:spacing w:line="360" w:lineRule="auto"/>
              <w:rPr>
                <w:rFonts w:hint="eastAsia"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1）供应商一旦成交，谈判时所报的本项目的项目经理、施工现场技术负责人、各专业负责工程师及施工机械等在整个项目施工期内必须在位，否则采购人有权终止合同。由此造成的损失，成交供应商自行承担并赔偿可能给采购人造成的损失。</w:t>
            </w:r>
          </w:p>
          <w:p w14:paraId="5BC3E38D">
            <w:pPr>
              <w:spacing w:line="360" w:lineRule="auto"/>
              <w:rPr>
                <w:rFonts w:hint="eastAsia"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2）成交供应商不得擅自更换谈判时所报项目经理及项目部主要管理人员。确需更换时，须报采购人同意，更换后人员不得低于成交供应商谈判时所报人员资质和技术水平。采购人如认为有必要，可要求对上述人员中的部分人员作出更好的调整。</w:t>
            </w:r>
          </w:p>
          <w:p w14:paraId="12B2D294">
            <w:pPr>
              <w:spacing w:line="360" w:lineRule="auto"/>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3）成交供应商未能按照承诺到岗尽职的，采购人将视情况严重程度对其作出相应处理，给予警告并发出整改通知。如仍未及时整改，采购人有权责令其停工整改、直至终止合同，引进新的承包人。采购人还将停止支付工程款项，扣留任何未付的工程进度款项补偿建设单位的有关损失或工期延误的损失，并就此向承包人索赔。</w:t>
            </w:r>
          </w:p>
        </w:tc>
      </w:tr>
      <w:tr w14:paraId="3C062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784715C2">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2</w:t>
            </w:r>
          </w:p>
        </w:tc>
        <w:tc>
          <w:tcPr>
            <w:tcW w:w="749" w:type="pct"/>
            <w:vAlign w:val="center"/>
          </w:tcPr>
          <w:p w14:paraId="0C9A1BF4">
            <w:pPr>
              <w:spacing w:line="360" w:lineRule="auto"/>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材料要求</w:t>
            </w:r>
          </w:p>
        </w:tc>
        <w:tc>
          <w:tcPr>
            <w:tcW w:w="3688" w:type="pct"/>
            <w:vAlign w:val="center"/>
          </w:tcPr>
          <w:p w14:paraId="7AACC428">
            <w:pPr>
              <w:spacing w:line="360" w:lineRule="auto"/>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所有进场材料必须符合国家质量标准、环保标准；所有货物（包括零部件）须为全新的、未使用过的原装正品，并完全符合国家质量标准，提供厂家出具的合格证书、有国家强制性认证要求的产品须提供相应证书。承包人采购的所有设备及主要材料进场报监理单位审核，经发包人认可后方可进场；</w:t>
            </w:r>
          </w:p>
        </w:tc>
      </w:tr>
      <w:tr w14:paraId="238DD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32EDE65A">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3</w:t>
            </w:r>
          </w:p>
        </w:tc>
        <w:tc>
          <w:tcPr>
            <w:tcW w:w="749" w:type="pct"/>
            <w:vAlign w:val="center"/>
          </w:tcPr>
          <w:p w14:paraId="30B4B100">
            <w:pPr>
              <w:spacing w:line="360" w:lineRule="auto"/>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工程施工重点难点</w:t>
            </w:r>
          </w:p>
        </w:tc>
        <w:tc>
          <w:tcPr>
            <w:tcW w:w="3688" w:type="pct"/>
            <w:vAlign w:val="center"/>
          </w:tcPr>
          <w:p w14:paraId="54DB141C">
            <w:pPr>
              <w:spacing w:line="360" w:lineRule="auto"/>
              <w:rPr>
                <w:rFonts w:hint="eastAsia" w:cs="@仿宋_GB2312" w:asciiTheme="minorEastAsia" w:hAnsiTheme="minorEastAsia" w:eastAsiaTheme="minorEastAsia"/>
                <w:color w:val="auto"/>
                <w:kern w:val="2"/>
                <w:sz w:val="24"/>
                <w:szCs w:val="22"/>
                <w:highlight w:val="none"/>
                <w:lang w:eastAsia="zh-CN"/>
              </w:rPr>
            </w:pPr>
            <w:r>
              <w:rPr>
                <w:rFonts w:hint="eastAsia" w:cs="@仿宋_GB2312" w:asciiTheme="minorEastAsia" w:hAnsiTheme="minorEastAsia" w:eastAsiaTheme="minorEastAsia"/>
                <w:color w:val="auto"/>
                <w:kern w:val="2"/>
                <w:sz w:val="24"/>
                <w:szCs w:val="22"/>
                <w:highlight w:val="none"/>
              </w:rPr>
              <w:t>供应商结合现场情况自行考虑</w:t>
            </w:r>
          </w:p>
        </w:tc>
      </w:tr>
      <w:tr w14:paraId="3C963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197EC7F7">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4</w:t>
            </w:r>
          </w:p>
        </w:tc>
        <w:tc>
          <w:tcPr>
            <w:tcW w:w="749" w:type="pct"/>
            <w:vAlign w:val="center"/>
          </w:tcPr>
          <w:p w14:paraId="0D45DB37">
            <w:pPr>
              <w:spacing w:line="360" w:lineRule="auto"/>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报价须知</w:t>
            </w:r>
          </w:p>
        </w:tc>
        <w:tc>
          <w:tcPr>
            <w:tcW w:w="3688" w:type="pct"/>
            <w:vAlign w:val="center"/>
          </w:tcPr>
          <w:p w14:paraId="6D42C246">
            <w:pPr>
              <w:spacing w:line="360" w:lineRule="auto"/>
              <w:rPr>
                <w:color w:val="auto"/>
                <w:kern w:val="2"/>
                <w:sz w:val="21"/>
                <w:szCs w:val="22"/>
                <w:highlight w:val="none"/>
              </w:rPr>
            </w:pPr>
            <w:r>
              <w:rPr>
                <w:rFonts w:hint="eastAsia" w:cs="@仿宋_GB2312" w:asciiTheme="minorEastAsia" w:hAnsiTheme="minorEastAsia" w:eastAsiaTheme="minorEastAsia"/>
                <w:color w:val="auto"/>
                <w:kern w:val="2"/>
                <w:sz w:val="24"/>
                <w:szCs w:val="22"/>
                <w:highlight w:val="none"/>
              </w:rPr>
              <w:t>供应商最后报价均不得高于谈判文件（公告）列明的项目预算、最高投标限价，否则其响应文件将被认定为响应无效。</w:t>
            </w:r>
          </w:p>
        </w:tc>
      </w:tr>
      <w:tr w14:paraId="6207D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07DC1D62">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5</w:t>
            </w:r>
          </w:p>
        </w:tc>
        <w:tc>
          <w:tcPr>
            <w:tcW w:w="749" w:type="pct"/>
            <w:vAlign w:val="center"/>
          </w:tcPr>
          <w:p w14:paraId="6B9EB0C5">
            <w:pPr>
              <w:spacing w:line="360" w:lineRule="auto"/>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重要说明</w:t>
            </w:r>
          </w:p>
        </w:tc>
        <w:tc>
          <w:tcPr>
            <w:tcW w:w="3688" w:type="pct"/>
            <w:vAlign w:val="center"/>
          </w:tcPr>
          <w:p w14:paraId="4742E962">
            <w:pPr>
              <w:spacing w:line="360" w:lineRule="auto"/>
              <w:rPr>
                <w:rFonts w:hint="eastAsia" w:ascii="宋体" w:hAnsi="宋体" w:eastAsia="宋体"/>
                <w:color w:val="auto"/>
                <w:kern w:val="2"/>
                <w:sz w:val="24"/>
                <w:szCs w:val="18"/>
                <w:highlight w:val="none"/>
              </w:rPr>
            </w:pPr>
            <w:r>
              <w:rPr>
                <w:rFonts w:ascii="宋体" w:hAnsi="宋体" w:eastAsia="宋体" w:cs="宋体"/>
                <w:color w:val="auto"/>
                <w:kern w:val="2"/>
                <w:sz w:val="24"/>
                <w:szCs w:val="24"/>
                <w:highlight w:val="none"/>
              </w:rPr>
              <w:t>政府采购政策（包括但不限于下列具体政策要求</w:t>
            </w:r>
            <w:r>
              <w:rPr>
                <w:rFonts w:hint="eastAsia" w:ascii="宋体" w:hAnsi="宋体" w:eastAsia="宋体" w:cs="宋体"/>
                <w:color w:val="auto"/>
                <w:kern w:val="2"/>
                <w:sz w:val="24"/>
                <w:szCs w:val="24"/>
                <w:highlight w:val="none"/>
                <w:lang w:eastAsia="zh-CN"/>
              </w:rPr>
              <w:t>）</w:t>
            </w:r>
            <w:r>
              <w:rPr>
                <w:rFonts w:hint="eastAsia" w:ascii="宋体" w:hAnsi="宋体" w:eastAsia="宋体"/>
                <w:color w:val="auto"/>
                <w:kern w:val="2"/>
                <w:sz w:val="24"/>
                <w:szCs w:val="18"/>
                <w:highlight w:val="none"/>
              </w:rPr>
              <w:t>：</w:t>
            </w:r>
          </w:p>
          <w:p w14:paraId="03466509">
            <w:pPr>
              <w:spacing w:line="360" w:lineRule="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（1）如属于《节能产品政府采购品目清单》中政府强制采购的节能产品，则</w:t>
            </w:r>
            <w:r>
              <w:rPr>
                <w:rFonts w:hint="eastAsia" w:cs="宋体"/>
                <w:color w:val="auto"/>
                <w:kern w:val="2"/>
                <w:sz w:val="24"/>
                <w:szCs w:val="24"/>
                <w:highlight w:val="none"/>
                <w:lang w:eastAsia="zh-CN"/>
              </w:rPr>
              <w:t>供应商</w:t>
            </w:r>
            <w:r>
              <w:rPr>
                <w:rFonts w:hint="eastAsia" w:ascii="宋体" w:hAnsi="宋体" w:eastAsia="宋体" w:cs="宋体"/>
                <w:color w:val="auto"/>
                <w:kern w:val="2"/>
                <w:sz w:val="24"/>
                <w:szCs w:val="24"/>
                <w:highlight w:val="none"/>
              </w:rPr>
              <w:t>所投产品须具有市场监管总局公布的《参与实施政府采购节能产品认证机构目录》中的认证机构出具的、处于有效期内的节能产品认证证书。</w:t>
            </w:r>
          </w:p>
          <w:p w14:paraId="1C82E3E7">
            <w:pPr>
              <w:spacing w:line="360" w:lineRule="auto"/>
              <w:rPr>
                <w:rFonts w:cs="@仿宋_GB2312" w:asciiTheme="minorEastAsia" w:hAnsiTheme="minorEastAsia" w:eastAsiaTheme="minorEastAsia"/>
                <w:color w:val="auto"/>
                <w:kern w:val="2"/>
                <w:sz w:val="24"/>
                <w:szCs w:val="22"/>
                <w:highlight w:val="none"/>
              </w:rPr>
            </w:pPr>
            <w:r>
              <w:rPr>
                <w:rFonts w:hint="eastAsia" w:ascii="宋体" w:hAnsi="宋体" w:eastAsia="宋体" w:cs="宋体"/>
                <w:color w:val="auto"/>
                <w:kern w:val="2"/>
                <w:sz w:val="24"/>
                <w:szCs w:val="24"/>
                <w:highlight w:val="none"/>
              </w:rPr>
              <w:t>（2）如涉及商品包装和快递包装，</w:t>
            </w:r>
            <w:r>
              <w:rPr>
                <w:rFonts w:hint="eastAsia" w:cs="宋体"/>
                <w:color w:val="auto"/>
                <w:kern w:val="2"/>
                <w:sz w:val="24"/>
                <w:szCs w:val="24"/>
                <w:highlight w:val="none"/>
                <w:lang w:val="en-US" w:eastAsia="zh-CN"/>
              </w:rPr>
              <w:t>供应商</w:t>
            </w:r>
            <w:r>
              <w:rPr>
                <w:rFonts w:hint="eastAsia" w:ascii="宋体" w:hAnsi="宋体" w:eastAsia="宋体" w:cs="宋体"/>
                <w:color w:val="auto"/>
                <w:kern w:val="2"/>
                <w:sz w:val="24"/>
                <w:szCs w:val="24"/>
                <w:highlight w:val="none"/>
              </w:rPr>
              <w:t>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tc>
      </w:tr>
      <w:tr w14:paraId="7A30C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26D4E2BD">
            <w:pPr>
              <w:spacing w:line="360" w:lineRule="auto"/>
              <w:jc w:val="center"/>
              <w:rPr>
                <w:rFonts w:cs="@仿宋_GB2312" w:asciiTheme="minorEastAsia" w:hAnsiTheme="minorEastAsia" w:eastAsiaTheme="minorEastAsia"/>
                <w:color w:val="auto"/>
                <w:kern w:val="2"/>
                <w:sz w:val="24"/>
                <w:szCs w:val="22"/>
                <w:highlight w:val="none"/>
              </w:rPr>
            </w:pPr>
            <w:r>
              <w:rPr>
                <w:rFonts w:cs="@仿宋_GB2312" w:asciiTheme="minorEastAsia" w:hAnsiTheme="minorEastAsia" w:eastAsiaTheme="minorEastAsia"/>
                <w:color w:val="auto"/>
                <w:kern w:val="2"/>
                <w:sz w:val="24"/>
                <w:szCs w:val="22"/>
                <w:highlight w:val="none"/>
              </w:rPr>
              <w:t>6</w:t>
            </w:r>
          </w:p>
        </w:tc>
        <w:tc>
          <w:tcPr>
            <w:tcW w:w="749" w:type="pct"/>
            <w:vAlign w:val="center"/>
          </w:tcPr>
          <w:p w14:paraId="15D1E940">
            <w:pPr>
              <w:spacing w:line="360" w:lineRule="auto"/>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项目经理</w:t>
            </w:r>
          </w:p>
        </w:tc>
        <w:tc>
          <w:tcPr>
            <w:tcW w:w="3688" w:type="pct"/>
            <w:vAlign w:val="center"/>
          </w:tcPr>
          <w:p w14:paraId="7E8E931A">
            <w:pPr>
              <w:spacing w:line="360" w:lineRule="auto"/>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bCs/>
                <w:color w:val="auto"/>
                <w:kern w:val="2"/>
                <w:sz w:val="24"/>
                <w:szCs w:val="28"/>
                <w:highlight w:val="none"/>
              </w:rPr>
              <w:t>见第一章《谈判邀请》</w:t>
            </w:r>
          </w:p>
        </w:tc>
      </w:tr>
      <w:tr w14:paraId="35C58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3E57151B">
            <w:pPr>
              <w:spacing w:line="360" w:lineRule="auto"/>
              <w:jc w:val="center"/>
              <w:rPr>
                <w:rFonts w:hint="eastAsia" w:cs="@仿宋_GB2312" w:asciiTheme="minorEastAsia" w:hAnsiTheme="minorEastAsia" w:eastAsiaTheme="minorEastAsia"/>
                <w:color w:val="auto"/>
                <w:kern w:val="2"/>
                <w:sz w:val="24"/>
                <w:szCs w:val="22"/>
                <w:highlight w:val="none"/>
                <w:lang w:val="en-US" w:eastAsia="zh-CN"/>
              </w:rPr>
            </w:pPr>
            <w:r>
              <w:rPr>
                <w:rFonts w:hint="eastAsia" w:cs="@仿宋_GB2312" w:asciiTheme="minorEastAsia" w:hAnsiTheme="minorEastAsia" w:eastAsiaTheme="minorEastAsia"/>
                <w:color w:val="auto"/>
                <w:kern w:val="2"/>
                <w:sz w:val="24"/>
                <w:szCs w:val="22"/>
                <w:highlight w:val="none"/>
                <w:lang w:val="en-US" w:eastAsia="zh-CN"/>
              </w:rPr>
              <w:t>7</w:t>
            </w:r>
          </w:p>
        </w:tc>
        <w:tc>
          <w:tcPr>
            <w:tcW w:w="749" w:type="pct"/>
            <w:vAlign w:val="center"/>
          </w:tcPr>
          <w:p w14:paraId="40B4608B">
            <w:pPr>
              <w:pStyle w:val="76"/>
              <w:widowControl w:val="0"/>
              <w:spacing w:before="0" w:beforeAutospacing="0" w:after="0" w:afterAutospacing="0" w:line="360" w:lineRule="auto"/>
              <w:rPr>
                <w:rFonts w:cs="@仿宋_GB2312" w:asciiTheme="minorEastAsia" w:hAnsiTheme="minorEastAsia" w:eastAsiaTheme="minorEastAsia"/>
                <w:color w:val="auto"/>
                <w:kern w:val="2"/>
                <w:sz w:val="24"/>
                <w:highlight w:val="none"/>
              </w:rPr>
            </w:pPr>
            <w:r>
              <w:rPr>
                <w:rFonts w:hint="eastAsia" w:asciiTheme="minorHAnsi" w:hAnsiTheme="minorHAnsi" w:eastAsiaTheme="minorEastAsia"/>
                <w:b w:val="0"/>
                <w:color w:val="auto"/>
                <w:kern w:val="2"/>
                <w:sz w:val="24"/>
                <w:highlight w:val="none"/>
              </w:rPr>
              <w:t>本项目采购标的名称及所属行业</w:t>
            </w:r>
          </w:p>
        </w:tc>
        <w:tc>
          <w:tcPr>
            <w:tcW w:w="3688" w:type="pct"/>
            <w:vAlign w:val="center"/>
          </w:tcPr>
          <w:p w14:paraId="3DB992B7">
            <w:pPr>
              <w:spacing w:line="360" w:lineRule="auto"/>
              <w:jc w:val="left"/>
              <w:rPr>
                <w:rFonts w:hint="eastAsia" w:asciiTheme="minorEastAsia" w:hAnsiTheme="minorEastAsia" w:eastAsiaTheme="minorEastAsia"/>
                <w:color w:val="auto"/>
                <w:kern w:val="2"/>
                <w:sz w:val="24"/>
                <w:szCs w:val="22"/>
                <w:highlight w:val="none"/>
                <w:lang w:eastAsia="zh-CN"/>
              </w:rPr>
            </w:pPr>
            <w:r>
              <w:rPr>
                <w:rFonts w:hint="eastAsia" w:asciiTheme="minorEastAsia" w:hAnsiTheme="minorEastAsia" w:eastAsiaTheme="minorEastAsia"/>
                <w:color w:val="auto"/>
                <w:kern w:val="2"/>
                <w:sz w:val="24"/>
                <w:szCs w:val="22"/>
                <w:highlight w:val="none"/>
              </w:rPr>
              <w:t>标的名称：</w:t>
            </w:r>
            <w:r>
              <w:rPr>
                <w:rFonts w:hint="eastAsia" w:asciiTheme="minorEastAsia" w:hAnsiTheme="minorEastAsia" w:eastAsiaTheme="minorEastAsia"/>
                <w:color w:val="auto"/>
                <w:kern w:val="2"/>
                <w:sz w:val="24"/>
                <w:szCs w:val="22"/>
                <w:highlight w:val="none"/>
                <w:lang w:eastAsia="zh-CN"/>
              </w:rPr>
              <w:t>湖畔云庭小区人防防倒塌棚架项目</w:t>
            </w:r>
          </w:p>
          <w:p w14:paraId="70F5C9E2">
            <w:pPr>
              <w:rPr>
                <w:rFonts w:asciiTheme="minorHAnsi" w:hAnsiTheme="minorHAnsi" w:eastAsiaTheme="minorEastAsia"/>
                <w:color w:val="auto"/>
                <w:kern w:val="2"/>
                <w:sz w:val="24"/>
                <w:szCs w:val="22"/>
                <w:highlight w:val="none"/>
              </w:rPr>
            </w:pPr>
            <w:r>
              <w:rPr>
                <w:rFonts w:hint="eastAsia" w:asciiTheme="minorEastAsia" w:hAnsiTheme="minorEastAsia" w:eastAsiaTheme="minorEastAsia"/>
                <w:color w:val="auto"/>
                <w:kern w:val="2"/>
                <w:sz w:val="24"/>
                <w:szCs w:val="22"/>
                <w:highlight w:val="none"/>
              </w:rPr>
              <w:t>所属行业：</w:t>
            </w:r>
            <w:r>
              <w:rPr>
                <w:rFonts w:hint="eastAsia" w:asciiTheme="minorEastAsia" w:hAnsiTheme="minorEastAsia" w:eastAsiaTheme="minorEastAsia"/>
                <w:b/>
                <w:bCs/>
                <w:color w:val="auto"/>
                <w:kern w:val="2"/>
                <w:sz w:val="24"/>
                <w:szCs w:val="22"/>
                <w:highlight w:val="none"/>
              </w:rPr>
              <w:t>建筑业</w:t>
            </w:r>
          </w:p>
        </w:tc>
      </w:tr>
      <w:tr w14:paraId="68DB5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068AA688">
            <w:pPr>
              <w:spacing w:line="360" w:lineRule="auto"/>
              <w:jc w:val="center"/>
              <w:rPr>
                <w:rFonts w:hint="default" w:cs="@仿宋_GB2312" w:asciiTheme="minorEastAsia" w:hAnsiTheme="minorEastAsia" w:eastAsiaTheme="minorEastAsia"/>
                <w:color w:val="auto"/>
                <w:kern w:val="2"/>
                <w:sz w:val="24"/>
                <w:szCs w:val="22"/>
                <w:highlight w:val="none"/>
                <w:lang w:val="en-US" w:eastAsia="zh-CN"/>
              </w:rPr>
            </w:pPr>
            <w:r>
              <w:rPr>
                <w:rFonts w:hint="eastAsia" w:cs="@仿宋_GB2312" w:asciiTheme="minorEastAsia" w:hAnsiTheme="minorEastAsia" w:eastAsiaTheme="minorEastAsia"/>
                <w:color w:val="auto"/>
                <w:kern w:val="2"/>
                <w:sz w:val="24"/>
                <w:szCs w:val="22"/>
                <w:highlight w:val="none"/>
                <w:lang w:val="en-US" w:eastAsia="zh-CN"/>
              </w:rPr>
              <w:t>8</w:t>
            </w:r>
          </w:p>
        </w:tc>
        <w:tc>
          <w:tcPr>
            <w:tcW w:w="749" w:type="pct"/>
            <w:vAlign w:val="center"/>
          </w:tcPr>
          <w:p w14:paraId="6551F01C">
            <w:pPr>
              <w:spacing w:line="360" w:lineRule="auto"/>
              <w:jc w:val="left"/>
              <w:rPr>
                <w:rFonts w:hint="default" w:cs="@仿宋_GB2312" w:asciiTheme="minorEastAsia" w:hAnsiTheme="minorEastAsia" w:eastAsiaTheme="minorEastAsia"/>
                <w:color w:val="auto"/>
                <w:kern w:val="2"/>
                <w:sz w:val="24"/>
                <w:szCs w:val="22"/>
                <w:highlight w:val="none"/>
                <w:lang w:val="en-US" w:eastAsia="zh-CN"/>
              </w:rPr>
            </w:pPr>
            <w:r>
              <w:rPr>
                <w:rFonts w:hint="eastAsia" w:cs="@仿宋_GB2312" w:asciiTheme="minorEastAsia" w:hAnsiTheme="minorEastAsia" w:eastAsiaTheme="minorEastAsia"/>
                <w:b/>
                <w:bCs/>
                <w:color w:val="auto"/>
                <w:kern w:val="2"/>
                <w:sz w:val="24"/>
                <w:szCs w:val="22"/>
                <w:highlight w:val="none"/>
                <w:lang w:val="en-US" w:eastAsia="zh-CN"/>
              </w:rPr>
              <w:t>特别说明</w:t>
            </w:r>
          </w:p>
        </w:tc>
        <w:tc>
          <w:tcPr>
            <w:tcW w:w="3688" w:type="pct"/>
            <w:vAlign w:val="center"/>
          </w:tcPr>
          <w:p w14:paraId="06C9777A">
            <w:pPr>
              <w:spacing w:line="360" w:lineRule="auto"/>
              <w:jc w:val="left"/>
              <w:rPr>
                <w:rFonts w:hint="eastAsia"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b/>
                <w:bCs/>
                <w:color w:val="auto"/>
                <w:kern w:val="2"/>
                <w:sz w:val="24"/>
                <w:szCs w:val="22"/>
                <w:highlight w:val="none"/>
              </w:rPr>
              <w:t>材料进场后，</w:t>
            </w:r>
            <w:r>
              <w:rPr>
                <w:rFonts w:hint="eastAsia" w:cs="@仿宋_GB2312" w:asciiTheme="minorEastAsia" w:hAnsiTheme="minorEastAsia" w:eastAsiaTheme="minorEastAsia"/>
                <w:b/>
                <w:bCs/>
                <w:color w:val="auto"/>
                <w:kern w:val="2"/>
                <w:sz w:val="24"/>
                <w:szCs w:val="22"/>
                <w:highlight w:val="none"/>
                <w:lang w:val="en-US" w:eastAsia="zh-CN"/>
              </w:rPr>
              <w:t>需</w:t>
            </w:r>
            <w:r>
              <w:rPr>
                <w:rFonts w:hint="eastAsia" w:cs="@仿宋_GB2312" w:asciiTheme="minorEastAsia" w:hAnsiTheme="minorEastAsia" w:eastAsiaTheme="minorEastAsia"/>
                <w:b/>
                <w:bCs/>
                <w:color w:val="auto"/>
                <w:kern w:val="2"/>
                <w:sz w:val="24"/>
                <w:szCs w:val="22"/>
                <w:highlight w:val="none"/>
              </w:rPr>
              <w:t>按</w:t>
            </w:r>
            <w:r>
              <w:rPr>
                <w:rFonts w:hint="eastAsia" w:cs="@仿宋_GB2312" w:asciiTheme="minorEastAsia" w:hAnsiTheme="minorEastAsia" w:eastAsiaTheme="minorEastAsia"/>
                <w:b/>
                <w:bCs/>
                <w:color w:val="auto"/>
                <w:kern w:val="2"/>
                <w:sz w:val="24"/>
                <w:szCs w:val="22"/>
                <w:highlight w:val="none"/>
                <w:lang w:val="en-US" w:eastAsia="zh-CN"/>
              </w:rPr>
              <w:t>采购人</w:t>
            </w:r>
            <w:r>
              <w:rPr>
                <w:rFonts w:hint="eastAsia" w:cs="@仿宋_GB2312" w:asciiTheme="minorEastAsia" w:hAnsiTheme="minorEastAsia" w:eastAsiaTheme="minorEastAsia"/>
                <w:b/>
                <w:bCs/>
                <w:color w:val="auto"/>
                <w:kern w:val="2"/>
                <w:sz w:val="24"/>
                <w:szCs w:val="22"/>
                <w:highlight w:val="none"/>
              </w:rPr>
              <w:t>要求进行试装，并留存完成的影像资料，试装完成后按</w:t>
            </w:r>
            <w:r>
              <w:rPr>
                <w:rFonts w:hint="eastAsia" w:cs="@仿宋_GB2312" w:asciiTheme="minorEastAsia" w:hAnsiTheme="minorEastAsia" w:eastAsiaTheme="minorEastAsia"/>
                <w:b/>
                <w:bCs/>
                <w:color w:val="auto"/>
                <w:kern w:val="2"/>
                <w:sz w:val="24"/>
                <w:szCs w:val="22"/>
                <w:highlight w:val="none"/>
                <w:lang w:val="en-US" w:eastAsia="zh-CN"/>
              </w:rPr>
              <w:t>采购</w:t>
            </w:r>
            <w:r>
              <w:rPr>
                <w:rFonts w:hint="eastAsia" w:cs="@仿宋_GB2312" w:asciiTheme="minorEastAsia" w:hAnsiTheme="minorEastAsia" w:eastAsiaTheme="minorEastAsia"/>
                <w:b/>
                <w:bCs/>
                <w:color w:val="auto"/>
                <w:kern w:val="2"/>
                <w:sz w:val="24"/>
                <w:szCs w:val="22"/>
                <w:highlight w:val="none"/>
              </w:rPr>
              <w:t>人要求存放在指定位置，并做好安全存放措施。</w:t>
            </w:r>
          </w:p>
        </w:tc>
      </w:tr>
      <w:tr w14:paraId="32052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75EC6534">
            <w:pPr>
              <w:spacing w:line="360" w:lineRule="auto"/>
              <w:jc w:val="center"/>
              <w:rPr>
                <w:rFonts w:hint="default" w:cs="@仿宋_GB2312" w:asciiTheme="minorEastAsia" w:hAnsiTheme="minorEastAsia" w:eastAsiaTheme="minorEastAsia"/>
                <w:color w:val="auto"/>
                <w:kern w:val="2"/>
                <w:sz w:val="24"/>
                <w:szCs w:val="22"/>
                <w:highlight w:val="none"/>
                <w:lang w:val="en-US" w:eastAsia="zh-CN"/>
              </w:rPr>
            </w:pPr>
            <w:r>
              <w:rPr>
                <w:rFonts w:hint="eastAsia" w:cs="@仿宋_GB2312" w:asciiTheme="minorEastAsia" w:hAnsiTheme="minorEastAsia" w:eastAsiaTheme="minorEastAsia"/>
                <w:color w:val="auto"/>
                <w:kern w:val="2"/>
                <w:sz w:val="24"/>
                <w:szCs w:val="22"/>
                <w:highlight w:val="none"/>
                <w:lang w:val="en-US" w:eastAsia="zh-CN"/>
              </w:rPr>
              <w:t>9</w:t>
            </w:r>
          </w:p>
        </w:tc>
        <w:tc>
          <w:tcPr>
            <w:tcW w:w="749" w:type="pct"/>
            <w:vAlign w:val="center"/>
          </w:tcPr>
          <w:p w14:paraId="4165B80F">
            <w:pPr>
              <w:spacing w:line="360" w:lineRule="auto"/>
              <w:jc w:val="left"/>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lang w:val="en-US" w:eastAsia="zh-CN"/>
              </w:rPr>
              <w:t>其他要求</w:t>
            </w:r>
          </w:p>
        </w:tc>
        <w:tc>
          <w:tcPr>
            <w:tcW w:w="3688" w:type="pct"/>
            <w:vAlign w:val="center"/>
          </w:tcPr>
          <w:p w14:paraId="4D986D42">
            <w:pPr>
              <w:spacing w:line="360" w:lineRule="auto"/>
              <w:jc w:val="left"/>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成交人在施工期间，做好采购人既有设施设备的保护和管理，因施工给采购人带来损失的，应予以修复或赔偿，赔偿款从工程结算款价中抵扣。工程结束后提交验收前应做好现场保洁，确保整洁干净。</w:t>
            </w:r>
          </w:p>
        </w:tc>
      </w:tr>
    </w:tbl>
    <w:p w14:paraId="19384BDE">
      <w:pPr>
        <w:spacing w:line="360" w:lineRule="auto"/>
        <w:ind w:firstLine="482" w:firstLineChars="200"/>
        <w:rPr>
          <w:rFonts w:hint="eastAsia" w:asciiTheme="minorEastAsia" w:hAnsiTheme="minorEastAsia" w:eastAsiaTheme="minorEastAsia"/>
          <w:b/>
          <w:bCs/>
          <w:color w:val="auto"/>
          <w:sz w:val="24"/>
          <w:highlight w:val="none"/>
          <w:lang w:eastAsia="zh-CN"/>
        </w:rPr>
      </w:pPr>
      <w:r>
        <w:rPr>
          <w:rFonts w:hint="eastAsia" w:asciiTheme="minorEastAsia" w:hAnsiTheme="minorEastAsia" w:eastAsiaTheme="minorEastAsia"/>
          <w:b/>
          <w:bCs/>
          <w:color w:val="auto"/>
          <w:sz w:val="24"/>
          <w:highlight w:val="none"/>
        </w:rPr>
        <w:t>工程量清单详见附件</w:t>
      </w:r>
      <w:r>
        <w:rPr>
          <w:rFonts w:hint="eastAsia" w:asciiTheme="minorEastAsia" w:hAnsiTheme="minorEastAsia" w:eastAsiaTheme="minorEastAsia"/>
          <w:b/>
          <w:bCs/>
          <w:color w:val="auto"/>
          <w:sz w:val="24"/>
          <w:highlight w:val="none"/>
          <w:lang w:eastAsia="zh-CN"/>
        </w:rPr>
        <w:t>。</w:t>
      </w:r>
    </w:p>
    <w:p w14:paraId="0195BF30">
      <w:pPr>
        <w:spacing w:line="360" w:lineRule="auto"/>
        <w:ind w:firstLine="480" w:firstLine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53DECDF0">
      <w:pPr>
        <w:spacing w:line="360" w:lineRule="auto"/>
        <w:jc w:val="center"/>
        <w:outlineLvl w:val="0"/>
        <w:rPr>
          <w:rFonts w:asciiTheme="minorEastAsia" w:hAnsiTheme="minorEastAsia" w:eastAsiaTheme="minorEastAsia"/>
          <w:b/>
          <w:color w:val="auto"/>
          <w:sz w:val="28"/>
          <w:highlight w:val="none"/>
        </w:rPr>
      </w:pPr>
      <w:bookmarkStart w:id="32" w:name="_Toc28266"/>
      <w:r>
        <w:rPr>
          <w:rFonts w:hint="eastAsia" w:asciiTheme="minorEastAsia" w:hAnsiTheme="minorEastAsia" w:eastAsiaTheme="minorEastAsia"/>
          <w:b/>
          <w:color w:val="auto"/>
          <w:sz w:val="28"/>
          <w:highlight w:val="none"/>
        </w:rPr>
        <w:t>第四章  评审方法和标准</w:t>
      </w:r>
      <w:bookmarkEnd w:id="32"/>
    </w:p>
    <w:p w14:paraId="505F2FB1">
      <w:pPr>
        <w:spacing w:line="360" w:lineRule="auto"/>
        <w:ind w:firstLine="437"/>
        <w:outlineLvl w:val="1"/>
        <w:rPr>
          <w:rFonts w:asciiTheme="minorEastAsia" w:hAnsiTheme="minorEastAsia" w:eastAsiaTheme="minorEastAsia"/>
          <w:b/>
          <w:color w:val="auto"/>
          <w:sz w:val="24"/>
          <w:highlight w:val="none"/>
        </w:rPr>
      </w:pPr>
      <w:bookmarkStart w:id="33" w:name="_Toc7817"/>
      <w:bookmarkStart w:id="34" w:name="_Toc7278"/>
      <w:r>
        <w:rPr>
          <w:rFonts w:hint="eastAsia" w:asciiTheme="minorEastAsia" w:hAnsiTheme="minorEastAsia" w:eastAsiaTheme="minorEastAsia"/>
          <w:b/>
          <w:color w:val="auto"/>
          <w:sz w:val="24"/>
          <w:highlight w:val="none"/>
        </w:rPr>
        <w:t>一、总则</w:t>
      </w:r>
      <w:bookmarkEnd w:id="33"/>
      <w:bookmarkEnd w:id="34"/>
    </w:p>
    <w:p w14:paraId="5336744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本项目将按照谈判文件第二章供应商须知的相关要求</w:t>
      </w:r>
      <w:r>
        <w:rPr>
          <w:rFonts w:asciiTheme="minorEastAsia" w:hAnsiTheme="minorEastAsia" w:eastAsiaTheme="minorEastAsia"/>
          <w:color w:val="auto"/>
          <w:sz w:val="24"/>
          <w:highlight w:val="none"/>
        </w:rPr>
        <w:t>及本章的规定</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w:t>
      </w:r>
    </w:p>
    <w:p w14:paraId="19C0FF9E">
      <w:pPr>
        <w:numPr>
          <w:ilvl w:val="0"/>
          <w:numId w:val="2"/>
        </w:numPr>
        <w:spacing w:line="360" w:lineRule="auto"/>
        <w:ind w:firstLine="437"/>
        <w:outlineLvl w:val="1"/>
        <w:rPr>
          <w:rFonts w:hint="eastAsia" w:asciiTheme="minorEastAsia" w:hAnsiTheme="minorEastAsia" w:eastAsiaTheme="minorEastAsia"/>
          <w:b/>
          <w:color w:val="auto"/>
          <w:sz w:val="24"/>
          <w:highlight w:val="none"/>
        </w:rPr>
      </w:pPr>
      <w:bookmarkStart w:id="35" w:name="_Toc31558"/>
      <w:bookmarkStart w:id="36" w:name="_Toc31007"/>
      <w:r>
        <w:rPr>
          <w:rFonts w:hint="eastAsia" w:asciiTheme="minorEastAsia" w:hAnsiTheme="minorEastAsia" w:eastAsiaTheme="minorEastAsia"/>
          <w:b/>
          <w:color w:val="auto"/>
          <w:sz w:val="24"/>
          <w:highlight w:val="none"/>
        </w:rPr>
        <w:t>评审方法</w:t>
      </w:r>
      <w:bookmarkEnd w:id="35"/>
      <w:bookmarkEnd w:id="36"/>
    </w:p>
    <w:p w14:paraId="6F0ECC2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2.1初审</w:t>
      </w:r>
    </w:p>
    <w:p w14:paraId="1CC6254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谈判小组对供应商的响应文件进行初审，以确定其是否满足谈判文件的实质性要求。初审表如下：</w:t>
      </w:r>
    </w:p>
    <w:tbl>
      <w:tblPr>
        <w:tblStyle w:val="55"/>
        <w:tblW w:w="505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1593"/>
        <w:gridCol w:w="3875"/>
        <w:gridCol w:w="2502"/>
      </w:tblGrid>
      <w:tr w14:paraId="65F1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5000" w:type="pct"/>
            <w:gridSpan w:val="4"/>
            <w:tcBorders>
              <w:bottom w:val="single" w:color="auto" w:sz="4" w:space="0"/>
            </w:tcBorders>
            <w:vAlign w:val="center"/>
          </w:tcPr>
          <w:p w14:paraId="18B3E0F7">
            <w:pPr>
              <w:adjustRightInd w:val="0"/>
              <w:snapToGrid w:val="0"/>
              <w:ind w:right="-10"/>
              <w:jc w:val="center"/>
              <w:rPr>
                <w:rFonts w:hint="eastAsia" w:ascii="Calibri" w:hAnsi="Calibri" w:cs="Times New Roman"/>
                <w:b/>
                <w:color w:val="auto"/>
                <w:kern w:val="2"/>
                <w:sz w:val="24"/>
                <w:szCs w:val="22"/>
                <w:highlight w:val="none"/>
              </w:rPr>
            </w:pPr>
            <w:r>
              <w:rPr>
                <w:rFonts w:hint="eastAsia" w:ascii="Calibri" w:hAnsi="Calibri" w:cs="Times New Roman"/>
                <w:b/>
                <w:color w:val="auto"/>
                <w:kern w:val="2"/>
                <w:sz w:val="24"/>
                <w:szCs w:val="22"/>
                <w:highlight w:val="none"/>
              </w:rPr>
              <w:t>初审表</w:t>
            </w:r>
          </w:p>
        </w:tc>
      </w:tr>
      <w:tr w14:paraId="323A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492" w:type="pct"/>
            <w:tcBorders>
              <w:bottom w:val="single" w:color="auto" w:sz="4" w:space="0"/>
            </w:tcBorders>
            <w:vAlign w:val="center"/>
          </w:tcPr>
          <w:p w14:paraId="42B9ED50">
            <w:pPr>
              <w:adjustRightInd w:val="0"/>
              <w:snapToGrid w:val="0"/>
              <w:spacing w:line="360" w:lineRule="auto"/>
              <w:ind w:right="-10" w:rightChars="0"/>
              <w:jc w:val="center"/>
              <w:rPr>
                <w:rFonts w:ascii="Calibri" w:hAnsi="Calibri" w:cs="Times New Roman"/>
                <w:b/>
                <w:bCs/>
                <w:color w:val="auto"/>
                <w:kern w:val="2"/>
                <w:sz w:val="24"/>
                <w:szCs w:val="22"/>
                <w:highlight w:val="none"/>
              </w:rPr>
            </w:pPr>
            <w:r>
              <w:rPr>
                <w:rFonts w:hint="eastAsia" w:ascii="宋体" w:hAnsi="宋体" w:eastAsia="宋体"/>
                <w:b/>
                <w:bCs/>
                <w:color w:val="auto"/>
                <w:sz w:val="24"/>
                <w:highlight w:val="none"/>
              </w:rPr>
              <w:t>序号</w:t>
            </w:r>
          </w:p>
        </w:tc>
        <w:tc>
          <w:tcPr>
            <w:tcW w:w="901" w:type="pct"/>
            <w:tcBorders>
              <w:bottom w:val="single" w:color="auto" w:sz="4" w:space="0"/>
            </w:tcBorders>
            <w:vAlign w:val="center"/>
          </w:tcPr>
          <w:p w14:paraId="5EEB0161">
            <w:pPr>
              <w:pStyle w:val="77"/>
              <w:pBdr>
                <w:bottom w:val="none" w:color="auto" w:sz="0" w:space="0"/>
              </w:pBdr>
              <w:tabs>
                <w:tab w:val="clear" w:pos="4153"/>
                <w:tab w:val="clear" w:pos="8306"/>
              </w:tabs>
              <w:snapToGrid w:val="0"/>
              <w:spacing w:line="360" w:lineRule="auto"/>
              <w:ind w:right="-10" w:rightChars="0"/>
              <w:textAlignment w:val="auto"/>
              <w:rPr>
                <w:rFonts w:ascii="Calibri" w:hAnsi="Calibri" w:cs="Times New Roman"/>
                <w:b/>
                <w:bCs/>
                <w:color w:val="auto"/>
                <w:kern w:val="2"/>
                <w:sz w:val="24"/>
                <w:szCs w:val="24"/>
                <w:highlight w:val="none"/>
              </w:rPr>
            </w:pPr>
            <w:r>
              <w:rPr>
                <w:rFonts w:hint="eastAsia" w:ascii="宋体" w:hAnsi="宋体" w:eastAsia="宋体"/>
                <w:b/>
                <w:bCs/>
                <w:color w:val="auto"/>
                <w:kern w:val="2"/>
                <w:szCs w:val="24"/>
                <w:highlight w:val="none"/>
                <w:lang w:val="en-US" w:eastAsia="zh-CN"/>
              </w:rPr>
              <w:t>审查因素</w:t>
            </w:r>
          </w:p>
        </w:tc>
        <w:tc>
          <w:tcPr>
            <w:tcW w:w="2191" w:type="pct"/>
            <w:tcBorders>
              <w:bottom w:val="single" w:color="auto" w:sz="4" w:space="0"/>
            </w:tcBorders>
            <w:vAlign w:val="center"/>
          </w:tcPr>
          <w:p w14:paraId="68ABB770">
            <w:pPr>
              <w:adjustRightInd w:val="0"/>
              <w:snapToGrid w:val="0"/>
              <w:spacing w:line="360" w:lineRule="auto"/>
              <w:ind w:right="-10" w:rightChars="0"/>
              <w:jc w:val="center"/>
              <w:rPr>
                <w:rFonts w:ascii="Calibri" w:hAnsi="Calibri" w:cs="Times New Roman"/>
                <w:b/>
                <w:bCs/>
                <w:color w:val="auto"/>
                <w:kern w:val="2"/>
                <w:sz w:val="24"/>
                <w:szCs w:val="22"/>
                <w:highlight w:val="none"/>
              </w:rPr>
            </w:pPr>
            <w:r>
              <w:rPr>
                <w:rFonts w:hint="eastAsia" w:ascii="宋体" w:hAnsi="宋体" w:eastAsia="宋体"/>
                <w:b/>
                <w:bCs/>
                <w:color w:val="auto"/>
                <w:sz w:val="24"/>
                <w:highlight w:val="none"/>
                <w:lang w:val="en-US" w:eastAsia="zh-CN"/>
              </w:rPr>
              <w:t>审查内容</w:t>
            </w:r>
          </w:p>
        </w:tc>
        <w:tc>
          <w:tcPr>
            <w:tcW w:w="1414" w:type="pct"/>
            <w:tcBorders>
              <w:bottom w:val="single" w:color="auto" w:sz="4" w:space="0"/>
            </w:tcBorders>
            <w:vAlign w:val="center"/>
          </w:tcPr>
          <w:p w14:paraId="71EA4505">
            <w:pPr>
              <w:adjustRightInd w:val="0"/>
              <w:snapToGrid w:val="0"/>
              <w:spacing w:line="360" w:lineRule="auto"/>
              <w:ind w:right="-10" w:rightChars="0"/>
              <w:jc w:val="center"/>
              <w:rPr>
                <w:rFonts w:hint="eastAsia" w:ascii="Calibri" w:hAnsi="Calibri" w:cs="Times New Roman"/>
                <w:b/>
                <w:bCs/>
                <w:color w:val="auto"/>
                <w:kern w:val="2"/>
                <w:sz w:val="24"/>
                <w:szCs w:val="22"/>
                <w:highlight w:val="none"/>
              </w:rPr>
            </w:pPr>
            <w:r>
              <w:rPr>
                <w:rFonts w:hint="eastAsia" w:ascii="宋体" w:hAnsi="宋体" w:eastAsia="宋体"/>
                <w:b/>
                <w:bCs/>
                <w:color w:val="auto"/>
                <w:sz w:val="24"/>
                <w:highlight w:val="none"/>
              </w:rPr>
              <w:t>格式要求</w:t>
            </w:r>
          </w:p>
        </w:tc>
      </w:tr>
      <w:tr w14:paraId="57C5F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tcBorders>
              <w:bottom w:val="single" w:color="auto" w:sz="4" w:space="0"/>
            </w:tcBorders>
            <w:vAlign w:val="center"/>
          </w:tcPr>
          <w:p w14:paraId="27A7CD81">
            <w:pPr>
              <w:adjustRightInd w:val="0"/>
              <w:snapToGrid w:val="0"/>
              <w:spacing w:line="360" w:lineRule="auto"/>
              <w:ind w:right="-10" w:rightChars="0"/>
              <w:jc w:val="center"/>
              <w:rPr>
                <w:rFonts w:cs="Times New Roman" w:asciiTheme="minorEastAsia" w:hAnsiTheme="minorEastAsia" w:eastAsiaTheme="minorEastAsia"/>
                <w:color w:val="auto"/>
                <w:kern w:val="2"/>
                <w:sz w:val="24"/>
                <w:szCs w:val="22"/>
                <w:highlight w:val="none"/>
              </w:rPr>
            </w:pPr>
            <w:r>
              <w:rPr>
                <w:rFonts w:hint="eastAsia" w:ascii="宋体" w:hAnsi="宋体" w:eastAsia="宋体"/>
                <w:color w:val="auto"/>
                <w:sz w:val="24"/>
                <w:highlight w:val="none"/>
              </w:rPr>
              <w:t>1</w:t>
            </w:r>
          </w:p>
        </w:tc>
        <w:tc>
          <w:tcPr>
            <w:tcW w:w="901" w:type="pct"/>
            <w:tcBorders>
              <w:bottom w:val="single" w:color="auto" w:sz="4" w:space="0"/>
            </w:tcBorders>
            <w:vAlign w:val="center"/>
          </w:tcPr>
          <w:p w14:paraId="614DAAC0">
            <w:pPr>
              <w:spacing w:after="50" w:line="360" w:lineRule="auto"/>
              <w:ind w:right="-10" w:rightChars="0"/>
              <w:jc w:val="center"/>
              <w:rPr>
                <w:rFonts w:ascii="Calibri" w:hAnsi="Calibri" w:cs="Times New Roman"/>
                <w:color w:val="auto"/>
                <w:kern w:val="2"/>
                <w:sz w:val="24"/>
                <w:szCs w:val="24"/>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191" w:type="pct"/>
            <w:tcBorders>
              <w:bottom w:val="single" w:color="auto" w:sz="4" w:space="0"/>
            </w:tcBorders>
            <w:vAlign w:val="center"/>
          </w:tcPr>
          <w:p w14:paraId="3584368E">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olor w:val="auto"/>
                <w:sz w:val="24"/>
                <w:szCs w:val="18"/>
                <w:highlight w:val="none"/>
                <w:lang w:val="en-US" w:eastAsia="zh-CN"/>
              </w:rPr>
              <w:t>供应商</w:t>
            </w:r>
            <w:r>
              <w:rPr>
                <w:rFonts w:ascii="宋体" w:hAnsi="宋体" w:eastAsia="宋体" w:cs="宋体"/>
                <w:color w:val="auto"/>
                <w:sz w:val="24"/>
                <w:szCs w:val="24"/>
                <w:highlight w:val="none"/>
              </w:rPr>
              <w:t>为企业（包括合伙企业）的，应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供有效的营业执照；</w:t>
            </w:r>
          </w:p>
          <w:p w14:paraId="6FA53440">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olor w:val="auto"/>
                <w:sz w:val="24"/>
                <w:szCs w:val="18"/>
                <w:highlight w:val="none"/>
                <w:lang w:val="en-US" w:eastAsia="zh-CN"/>
              </w:rPr>
              <w:t>供应商</w:t>
            </w:r>
            <w:r>
              <w:rPr>
                <w:rFonts w:ascii="宋体" w:hAnsi="宋体" w:eastAsia="宋体" w:cs="宋体"/>
                <w:color w:val="auto"/>
                <w:sz w:val="24"/>
                <w:szCs w:val="24"/>
                <w:highlight w:val="none"/>
              </w:rPr>
              <w:t>为事业单位的，应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供有效的事业单位法人证书；</w:t>
            </w:r>
          </w:p>
          <w:p w14:paraId="0E909C5A">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olor w:val="auto"/>
                <w:sz w:val="24"/>
                <w:szCs w:val="18"/>
                <w:highlight w:val="none"/>
                <w:lang w:val="en-US" w:eastAsia="zh-CN"/>
              </w:rPr>
              <w:t>供应商</w:t>
            </w:r>
            <w:r>
              <w:rPr>
                <w:rFonts w:ascii="宋体" w:hAnsi="宋体" w:eastAsia="宋体" w:cs="宋体"/>
                <w:color w:val="auto"/>
                <w:sz w:val="24"/>
                <w:szCs w:val="24"/>
                <w:highlight w:val="none"/>
              </w:rPr>
              <w:t>是非企业机构的，应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ascii="宋体" w:hAnsi="宋体" w:eastAsia="宋体" w:cs="宋体"/>
                <w:color w:val="auto"/>
                <w:sz w:val="24"/>
                <w:szCs w:val="24"/>
                <w:highlight w:val="none"/>
              </w:rPr>
              <w:t>登记证书等证明文件；</w:t>
            </w:r>
          </w:p>
          <w:p w14:paraId="3B16C0AC">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olor w:val="auto"/>
                <w:sz w:val="24"/>
                <w:szCs w:val="18"/>
                <w:highlight w:val="none"/>
                <w:lang w:val="en-US" w:eastAsia="zh-CN"/>
              </w:rPr>
              <w:t>供应商</w:t>
            </w:r>
            <w:r>
              <w:rPr>
                <w:rFonts w:ascii="宋体" w:hAnsi="宋体" w:eastAsia="宋体" w:cs="宋体"/>
                <w:color w:val="auto"/>
                <w:sz w:val="24"/>
                <w:szCs w:val="24"/>
                <w:highlight w:val="none"/>
              </w:rPr>
              <w:t>是个体工商户的，应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供有效的个体工商户营业执照；</w:t>
            </w:r>
          </w:p>
          <w:p w14:paraId="325DDE9D">
            <w:pPr>
              <w:spacing w:after="50" w:line="360" w:lineRule="auto"/>
              <w:ind w:right="-10" w:rightChars="0"/>
              <w:jc w:val="left"/>
              <w:rPr>
                <w:rFonts w:ascii="Calibri" w:hAnsi="Calibri" w:cs="Times New Roman"/>
                <w:color w:val="auto"/>
                <w:kern w:val="2"/>
                <w:sz w:val="24"/>
                <w:szCs w:val="22"/>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olor w:val="auto"/>
                <w:sz w:val="24"/>
                <w:szCs w:val="18"/>
                <w:highlight w:val="none"/>
                <w:lang w:val="en-US" w:eastAsia="zh-CN"/>
              </w:rPr>
              <w:t>供应商</w:t>
            </w:r>
            <w:r>
              <w:rPr>
                <w:rFonts w:ascii="宋体" w:hAnsi="宋体" w:eastAsia="宋体" w:cs="宋体"/>
                <w:color w:val="auto"/>
                <w:sz w:val="24"/>
                <w:szCs w:val="24"/>
                <w:highlight w:val="none"/>
              </w:rPr>
              <w:t>是自然人的，应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供有效的自然人身份证明。</w:t>
            </w:r>
          </w:p>
        </w:tc>
        <w:tc>
          <w:tcPr>
            <w:tcW w:w="1414" w:type="pct"/>
            <w:tcBorders>
              <w:bottom w:val="single" w:color="auto" w:sz="4" w:space="0"/>
            </w:tcBorders>
            <w:vAlign w:val="center"/>
          </w:tcPr>
          <w:p w14:paraId="0E7AE123">
            <w:pPr>
              <w:spacing w:line="360" w:lineRule="auto"/>
              <w:jc w:val="left"/>
              <w:rPr>
                <w:rFonts w:hint="eastAsia" w:cs="Times New Roman"/>
                <w:color w:val="auto"/>
                <w:kern w:val="2"/>
                <w:sz w:val="24"/>
                <w:szCs w:val="22"/>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全部内容。联合体投标的联合体各方均须提供。</w:t>
            </w:r>
          </w:p>
        </w:tc>
      </w:tr>
      <w:tr w14:paraId="062CF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vAlign w:val="center"/>
          </w:tcPr>
          <w:p w14:paraId="27C6C4F8">
            <w:pPr>
              <w:adjustRightInd w:val="0"/>
              <w:snapToGrid w:val="0"/>
              <w:spacing w:line="360" w:lineRule="auto"/>
              <w:ind w:right="-10" w:rightChars="0"/>
              <w:jc w:val="center"/>
              <w:rPr>
                <w:rFonts w:cs="Times New Roman" w:asciiTheme="minorEastAsia" w:hAnsiTheme="minorEastAsia" w:eastAsiaTheme="minorEastAsia"/>
                <w:color w:val="auto"/>
                <w:kern w:val="2"/>
                <w:sz w:val="24"/>
                <w:szCs w:val="22"/>
                <w:highlight w:val="none"/>
              </w:rPr>
            </w:pPr>
            <w:r>
              <w:rPr>
                <w:rFonts w:hint="eastAsia" w:ascii="宋体" w:hAnsi="宋体" w:eastAsia="宋体"/>
                <w:color w:val="auto"/>
                <w:sz w:val="24"/>
                <w:highlight w:val="none"/>
                <w:lang w:val="en-US" w:eastAsia="zh-CN"/>
              </w:rPr>
              <w:t>2</w:t>
            </w:r>
          </w:p>
        </w:tc>
        <w:tc>
          <w:tcPr>
            <w:tcW w:w="901" w:type="pct"/>
            <w:vAlign w:val="center"/>
          </w:tcPr>
          <w:p w14:paraId="05622CC6">
            <w:pPr>
              <w:spacing w:after="50" w:line="360" w:lineRule="auto"/>
              <w:ind w:right="-10" w:rightChars="0"/>
              <w:jc w:val="center"/>
              <w:rPr>
                <w:rFonts w:ascii="Calibri" w:hAnsi="Calibri" w:cs="Times New Roman"/>
                <w:color w:val="auto"/>
                <w:kern w:val="2"/>
                <w:sz w:val="24"/>
                <w:szCs w:val="24"/>
                <w:highlight w:val="none"/>
              </w:rPr>
            </w:pPr>
            <w:r>
              <w:rPr>
                <w:rFonts w:hint="eastAsia" w:ascii="宋体" w:hAnsi="宋体" w:eastAsia="宋体"/>
                <w:color w:val="auto"/>
                <w:sz w:val="24"/>
                <w:szCs w:val="18"/>
                <w:highlight w:val="none"/>
                <w:lang w:val="en-US" w:eastAsia="zh-CN"/>
              </w:rPr>
              <w:t>供应商资格声明书</w:t>
            </w:r>
          </w:p>
        </w:tc>
        <w:tc>
          <w:tcPr>
            <w:tcW w:w="2191" w:type="pct"/>
            <w:vAlign w:val="center"/>
          </w:tcPr>
          <w:p w14:paraId="4AB3C6EF">
            <w:pPr>
              <w:spacing w:after="50" w:line="360" w:lineRule="auto"/>
              <w:ind w:right="-10" w:rightChars="0"/>
              <w:jc w:val="left"/>
              <w:rPr>
                <w:rFonts w:ascii="Calibri" w:hAnsi="Calibri" w:cs="Times New Roman"/>
                <w:color w:val="auto"/>
                <w:kern w:val="2"/>
                <w:sz w:val="24"/>
                <w:szCs w:val="22"/>
                <w:highlight w:val="none"/>
              </w:rPr>
            </w:pP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供符合</w:t>
            </w:r>
            <w:r>
              <w:rPr>
                <w:rFonts w:hint="eastAsia" w:cs="宋体"/>
                <w:color w:val="auto"/>
                <w:sz w:val="24"/>
                <w:szCs w:val="24"/>
                <w:highlight w:val="none"/>
                <w:lang w:val="en-US" w:eastAsia="zh-CN"/>
              </w:rPr>
              <w:t>谈判</w:t>
            </w:r>
            <w:r>
              <w:rPr>
                <w:rFonts w:ascii="宋体" w:hAnsi="宋体" w:eastAsia="宋体" w:cs="宋体"/>
                <w:color w:val="auto"/>
                <w:sz w:val="24"/>
                <w:szCs w:val="24"/>
                <w:highlight w:val="none"/>
              </w:rPr>
              <w:t>文件要求的《</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资格声明书》</w:t>
            </w:r>
            <w:r>
              <w:rPr>
                <w:rFonts w:hint="eastAsia" w:ascii="宋体" w:hAnsi="宋体" w:eastAsia="宋体" w:cs="宋体"/>
                <w:color w:val="auto"/>
                <w:sz w:val="24"/>
                <w:szCs w:val="24"/>
                <w:highlight w:val="none"/>
                <w:lang w:eastAsia="zh-CN"/>
              </w:rPr>
              <w:t>。</w:t>
            </w:r>
          </w:p>
        </w:tc>
        <w:tc>
          <w:tcPr>
            <w:tcW w:w="1414" w:type="pct"/>
            <w:vAlign w:val="center"/>
          </w:tcPr>
          <w:p w14:paraId="437D4B04">
            <w:pPr>
              <w:spacing w:line="360" w:lineRule="auto"/>
              <w:jc w:val="left"/>
              <w:rPr>
                <w:rFonts w:hint="eastAsia" w:cs="Times New Roman"/>
                <w:color w:val="auto"/>
                <w:kern w:val="2"/>
                <w:sz w:val="24"/>
                <w:szCs w:val="22"/>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1E47A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vAlign w:val="center"/>
          </w:tcPr>
          <w:p w14:paraId="50414D2F">
            <w:pPr>
              <w:adjustRightInd w:val="0"/>
              <w:snapToGrid w:val="0"/>
              <w:spacing w:line="360" w:lineRule="auto"/>
              <w:ind w:right="-10" w:rightChars="0"/>
              <w:jc w:val="center"/>
              <w:rPr>
                <w:rFonts w:hint="eastAsia" w:cs="Times New Roman" w:asciiTheme="minorEastAsia" w:hAnsiTheme="minorEastAsia" w:eastAsiaTheme="minorEastAsia"/>
                <w:color w:val="auto"/>
                <w:kern w:val="2"/>
                <w:sz w:val="24"/>
                <w:szCs w:val="22"/>
                <w:highlight w:val="none"/>
                <w:lang w:eastAsia="zh-CN"/>
              </w:rPr>
            </w:pPr>
            <w:r>
              <w:rPr>
                <w:rFonts w:hint="eastAsia"/>
                <w:color w:val="auto"/>
                <w:sz w:val="24"/>
                <w:highlight w:val="none"/>
                <w:lang w:val="en-US" w:eastAsia="zh-CN"/>
              </w:rPr>
              <w:t>3</w:t>
            </w:r>
          </w:p>
        </w:tc>
        <w:tc>
          <w:tcPr>
            <w:tcW w:w="1553" w:type="dxa"/>
            <w:vAlign w:val="center"/>
          </w:tcPr>
          <w:p w14:paraId="1B128A1B">
            <w:pPr>
              <w:spacing w:after="50" w:line="360" w:lineRule="auto"/>
              <w:ind w:right="-10" w:rightChars="0"/>
              <w:jc w:val="center"/>
              <w:rPr>
                <w:rFonts w:ascii="Calibri" w:hAnsi="Calibri" w:cs="Times New Roman"/>
                <w:color w:val="auto"/>
                <w:kern w:val="2"/>
                <w:sz w:val="24"/>
                <w:szCs w:val="24"/>
                <w:highlight w:val="none"/>
              </w:rPr>
            </w:pPr>
            <w:r>
              <w:rPr>
                <w:rFonts w:hint="eastAsia" w:ascii="宋体" w:hAnsi="宋体" w:eastAsia="宋体" w:cs="宋体"/>
                <w:color w:val="auto"/>
                <w:sz w:val="24"/>
                <w:szCs w:val="24"/>
                <w:highlight w:val="none"/>
              </w:rPr>
              <w:t>中小企业证明文件（</w:t>
            </w:r>
            <w:r>
              <w:rPr>
                <w:rFonts w:hint="eastAsia" w:ascii="宋体" w:hAnsi="宋体" w:eastAsia="宋体" w:cs="宋体"/>
                <w:i/>
                <w:iCs/>
                <w:color w:val="auto"/>
                <w:sz w:val="24"/>
                <w:szCs w:val="24"/>
                <w:highlight w:val="none"/>
                <w:lang w:val="en-US" w:eastAsia="zh-CN"/>
              </w:rPr>
              <w:t>适用于</w:t>
            </w:r>
            <w:r>
              <w:rPr>
                <w:rFonts w:hint="eastAsia" w:ascii="宋体" w:hAnsi="宋体" w:eastAsia="宋体" w:cs="宋体"/>
                <w:i/>
                <w:iCs/>
                <w:color w:val="auto"/>
                <w:sz w:val="24"/>
                <w:szCs w:val="24"/>
                <w:highlight w:val="none"/>
              </w:rPr>
              <w:t>专门面向中小企业采购项目</w:t>
            </w:r>
            <w:r>
              <w:rPr>
                <w:rFonts w:hint="eastAsia" w:ascii="宋体" w:hAnsi="宋体" w:eastAsia="宋体" w:cs="宋体"/>
                <w:i/>
                <w:iCs/>
                <w:color w:val="auto"/>
                <w:sz w:val="24"/>
                <w:szCs w:val="24"/>
                <w:highlight w:val="none"/>
                <w:lang w:val="en-US" w:eastAsia="zh-CN"/>
              </w:rPr>
              <w:t>或预留中小企业采购份额项目</w:t>
            </w:r>
            <w:r>
              <w:rPr>
                <w:rFonts w:hint="eastAsia" w:ascii="宋体" w:hAnsi="宋体" w:eastAsia="宋体" w:cs="宋体"/>
                <w:color w:val="auto"/>
                <w:sz w:val="24"/>
                <w:szCs w:val="24"/>
                <w:highlight w:val="none"/>
              </w:rPr>
              <w:t>）</w:t>
            </w:r>
          </w:p>
        </w:tc>
        <w:tc>
          <w:tcPr>
            <w:tcW w:w="3777" w:type="dxa"/>
            <w:vAlign w:val="top"/>
          </w:tcPr>
          <w:p w14:paraId="484E1E1F">
            <w:pPr>
              <w:spacing w:after="50" w:line="360" w:lineRule="auto"/>
              <w:ind w:right="-10"/>
              <w:jc w:val="left"/>
              <w:rPr>
                <w:rFonts w:hint="eastAsia" w:ascii="宋体" w:hAnsi="宋体" w:eastAsia="宋体" w:cs="宋体"/>
                <w:color w:val="auto"/>
                <w:sz w:val="24"/>
                <w:szCs w:val="24"/>
                <w:highlight w:val="none"/>
                <w:lang w:eastAsia="zh-CN"/>
              </w:rPr>
            </w:pPr>
            <w:r>
              <w:rPr>
                <w:rFonts w:hint="eastAsia" w:ascii="宋体" w:hAnsi="宋体" w:eastAsia="宋体"/>
                <w:color w:val="auto"/>
                <w:sz w:val="24"/>
                <w:szCs w:val="28"/>
                <w:highlight w:val="none"/>
              </w:rPr>
              <w:t>符合</w:t>
            </w:r>
            <w:r>
              <w:rPr>
                <w:rFonts w:hint="eastAsia" w:ascii="宋体" w:hAnsi="宋体" w:eastAsia="宋体"/>
                <w:color w:val="auto"/>
                <w:sz w:val="24"/>
                <w:szCs w:val="28"/>
                <w:highlight w:val="none"/>
                <w:lang w:val="en-US" w:eastAsia="zh-CN"/>
              </w:rPr>
              <w:t>申请人的</w:t>
            </w:r>
            <w:r>
              <w:rPr>
                <w:rFonts w:hint="eastAsia" w:ascii="宋体" w:hAnsi="宋体" w:eastAsia="宋体"/>
                <w:color w:val="auto"/>
                <w:sz w:val="24"/>
                <w:szCs w:val="28"/>
                <w:highlight w:val="none"/>
              </w:rPr>
              <w:t>资格</w:t>
            </w:r>
            <w:r>
              <w:rPr>
                <w:rFonts w:hint="eastAsia" w:ascii="宋体" w:hAnsi="宋体" w:eastAsia="宋体"/>
                <w:color w:val="auto"/>
                <w:sz w:val="24"/>
                <w:szCs w:val="28"/>
                <w:highlight w:val="none"/>
                <w:lang w:val="en-US" w:eastAsia="zh-CN"/>
              </w:rPr>
              <w:t>要求</w:t>
            </w:r>
            <w:r>
              <w:rPr>
                <w:rFonts w:hint="eastAsia" w:ascii="宋体" w:hAnsi="宋体" w:eastAsia="宋体"/>
                <w:color w:val="auto"/>
                <w:sz w:val="24"/>
                <w:szCs w:val="28"/>
                <w:highlight w:val="none"/>
              </w:rPr>
              <w:t>中落实政府采购政策需满足的资格要求</w:t>
            </w:r>
            <w:r>
              <w:rPr>
                <w:rFonts w:hint="eastAsia" w:ascii="宋体" w:hAnsi="宋体" w:eastAsia="宋体"/>
                <w:color w:val="auto"/>
                <w:sz w:val="24"/>
                <w:szCs w:val="28"/>
                <w:highlight w:val="none"/>
                <w:lang w:eastAsia="zh-CN"/>
              </w:rPr>
              <w:t>：</w:t>
            </w:r>
          </w:p>
          <w:p w14:paraId="681601CB">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专门面向中小企业采购</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供《中小企业声明函》或《残疾人福利性单位声明函》或由省级以上监狱管理局、戒毒管理局（含新疆生产建设兵团）出具的属于监狱企业的证明文件。</w:t>
            </w:r>
          </w:p>
          <w:p w14:paraId="2F45EA59">
            <w:pPr>
              <w:spacing w:after="50" w:line="360" w:lineRule="auto"/>
              <w:ind w:right="-10" w:rightChars="0"/>
              <w:jc w:val="left"/>
              <w:rPr>
                <w:rFonts w:ascii="Calibri" w:hAnsi="Calibri" w:cs="Times New Roman"/>
                <w:color w:val="auto"/>
                <w:kern w:val="2"/>
                <w:sz w:val="24"/>
                <w:szCs w:val="22"/>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如</w:t>
            </w:r>
            <w:r>
              <w:rPr>
                <w:rFonts w:hint="eastAsia" w:ascii="宋体" w:hAnsi="宋体" w:eastAsia="宋体" w:cs="宋体"/>
                <w:color w:val="auto"/>
                <w:sz w:val="24"/>
                <w:szCs w:val="24"/>
                <w:highlight w:val="none"/>
                <w:lang w:val="en-US" w:eastAsia="zh-CN"/>
              </w:rPr>
              <w:t>谈判</w:t>
            </w:r>
            <w:r>
              <w:rPr>
                <w:rFonts w:hint="eastAsia" w:ascii="宋体" w:hAnsi="宋体" w:eastAsia="宋体" w:cs="宋体"/>
                <w:color w:val="auto"/>
                <w:sz w:val="24"/>
                <w:szCs w:val="24"/>
                <w:highlight w:val="none"/>
              </w:rPr>
              <w:t>文件要求以联合体形式参加或者要求合同分包的，且</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w:t>
            </w:r>
            <w:r>
              <w:rPr>
                <w:rFonts w:hint="eastAsia" w:ascii="宋体" w:hAnsi="宋体" w:eastAsia="宋体" w:cs="宋体"/>
                <w:color w:val="auto"/>
                <w:sz w:val="24"/>
                <w:szCs w:val="24"/>
                <w:highlight w:val="none"/>
                <w:lang w:val="en-US" w:eastAsia="zh-CN"/>
              </w:rPr>
              <w:t>谈判</w:t>
            </w:r>
            <w:r>
              <w:rPr>
                <w:rFonts w:hint="eastAsia" w:ascii="宋体" w:hAnsi="宋体" w:eastAsia="宋体" w:cs="宋体"/>
                <w:color w:val="auto"/>
                <w:sz w:val="24"/>
                <w:szCs w:val="24"/>
                <w:highlight w:val="none"/>
              </w:rPr>
              <w:t>文件关于预留份额的要求。</w:t>
            </w:r>
          </w:p>
        </w:tc>
        <w:tc>
          <w:tcPr>
            <w:tcW w:w="1414" w:type="pct"/>
            <w:vAlign w:val="center"/>
          </w:tcPr>
          <w:p w14:paraId="088E328E">
            <w:pPr>
              <w:spacing w:after="50" w:line="360" w:lineRule="auto"/>
              <w:ind w:right="-10" w:rightChars="0"/>
              <w:jc w:val="center"/>
              <w:rPr>
                <w:rFonts w:hint="eastAsia" w:cs="Times New Roman"/>
                <w:color w:val="auto"/>
                <w:kern w:val="2"/>
                <w:sz w:val="24"/>
                <w:szCs w:val="22"/>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572FA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vAlign w:val="center"/>
          </w:tcPr>
          <w:p w14:paraId="34B33DC9">
            <w:pPr>
              <w:adjustRightInd w:val="0"/>
              <w:snapToGrid w:val="0"/>
              <w:spacing w:line="360" w:lineRule="auto"/>
              <w:ind w:right="-10" w:rightChars="0"/>
              <w:jc w:val="center"/>
              <w:rPr>
                <w:rFonts w:hint="eastAsia" w:cs="Times New Roman" w:asciiTheme="minorEastAsia" w:hAnsiTheme="minorEastAsia" w:eastAsiaTheme="minorEastAsia"/>
                <w:color w:val="auto"/>
                <w:kern w:val="2"/>
                <w:sz w:val="24"/>
                <w:szCs w:val="22"/>
                <w:highlight w:val="none"/>
                <w:lang w:eastAsia="zh-CN"/>
              </w:rPr>
            </w:pPr>
            <w:r>
              <w:rPr>
                <w:rFonts w:hint="eastAsia"/>
                <w:color w:val="auto"/>
                <w:sz w:val="24"/>
                <w:highlight w:val="none"/>
                <w:lang w:val="en-US" w:eastAsia="zh-CN"/>
              </w:rPr>
              <w:t>4</w:t>
            </w:r>
          </w:p>
        </w:tc>
        <w:tc>
          <w:tcPr>
            <w:tcW w:w="901" w:type="pct"/>
            <w:shd w:val="clear" w:color="auto" w:fill="auto"/>
            <w:vAlign w:val="center"/>
          </w:tcPr>
          <w:p w14:paraId="1C475E22">
            <w:pPr>
              <w:spacing w:after="50" w:line="360" w:lineRule="auto"/>
              <w:ind w:right="-10" w:rightChars="0"/>
              <w:jc w:val="both"/>
              <w:rPr>
                <w:rFonts w:ascii="Calibri" w:hAnsi="Calibri" w:eastAsia="宋体" w:cs="Times New Roman"/>
                <w:color w:val="auto"/>
                <w:kern w:val="2"/>
                <w:sz w:val="24"/>
                <w:szCs w:val="24"/>
                <w:highlight w:val="none"/>
                <w:lang w:val="en-US" w:eastAsia="zh-CN" w:bidi="ar-SA"/>
              </w:rPr>
            </w:pPr>
            <w:r>
              <w:rPr>
                <w:rFonts w:ascii="宋体" w:hAnsi="宋体" w:eastAsia="宋体" w:cs="宋体"/>
                <w:color w:val="auto"/>
                <w:spacing w:val="10"/>
                <w:sz w:val="24"/>
                <w:szCs w:val="24"/>
                <w:highlight w:val="none"/>
              </w:rPr>
              <w:t>其它落实政府采</w:t>
            </w:r>
            <w:r>
              <w:rPr>
                <w:rFonts w:ascii="宋体" w:hAnsi="宋体" w:eastAsia="宋体" w:cs="宋体"/>
                <w:color w:val="auto"/>
                <w:spacing w:val="11"/>
                <w:sz w:val="24"/>
                <w:szCs w:val="24"/>
                <w:highlight w:val="none"/>
              </w:rPr>
              <w:t>购政策的资格要</w:t>
            </w:r>
            <w:r>
              <w:rPr>
                <w:rFonts w:ascii="宋体" w:hAnsi="宋体" w:eastAsia="宋体" w:cs="宋体"/>
                <w:color w:val="auto"/>
                <w:sz w:val="24"/>
                <w:szCs w:val="24"/>
                <w:highlight w:val="none"/>
              </w:rPr>
              <w:t>求</w:t>
            </w:r>
          </w:p>
        </w:tc>
        <w:tc>
          <w:tcPr>
            <w:tcW w:w="2191" w:type="pct"/>
            <w:shd w:val="clear" w:color="auto" w:fill="auto"/>
            <w:vAlign w:val="center"/>
          </w:tcPr>
          <w:p w14:paraId="489D9631">
            <w:pPr>
              <w:spacing w:after="50" w:line="360" w:lineRule="auto"/>
              <w:ind w:right="-10" w:rightChars="0"/>
              <w:jc w:val="both"/>
              <w:rPr>
                <w:rFonts w:ascii="Calibri" w:hAnsi="Calibri" w:eastAsia="宋体" w:cs="Times New Roman"/>
                <w:color w:val="auto"/>
                <w:kern w:val="2"/>
                <w:sz w:val="24"/>
                <w:szCs w:val="22"/>
                <w:highlight w:val="none"/>
                <w:lang w:val="en-US" w:eastAsia="zh-CN" w:bidi="ar-SA"/>
              </w:rPr>
            </w:pPr>
            <w:r>
              <w:rPr>
                <w:rFonts w:ascii="宋体" w:hAnsi="宋体" w:eastAsia="宋体" w:cs="宋体"/>
                <w:color w:val="auto"/>
                <w:spacing w:val="-2"/>
                <w:sz w:val="24"/>
                <w:szCs w:val="24"/>
                <w:highlight w:val="none"/>
              </w:rPr>
              <w:t>如有，见第一章《</w:t>
            </w:r>
            <w:r>
              <w:rPr>
                <w:rFonts w:hint="eastAsia" w:ascii="宋体" w:hAnsi="宋体" w:eastAsia="宋体" w:cs="宋体"/>
                <w:color w:val="auto"/>
                <w:spacing w:val="-2"/>
                <w:sz w:val="24"/>
                <w:szCs w:val="24"/>
                <w:highlight w:val="none"/>
                <w:lang w:val="en-US" w:eastAsia="zh-CN"/>
              </w:rPr>
              <w:t>谈判</w:t>
            </w:r>
            <w:r>
              <w:rPr>
                <w:rFonts w:ascii="宋体" w:hAnsi="宋体" w:eastAsia="宋体" w:cs="宋体"/>
                <w:color w:val="auto"/>
                <w:spacing w:val="-2"/>
                <w:sz w:val="24"/>
                <w:szCs w:val="24"/>
                <w:highlight w:val="none"/>
              </w:rPr>
              <w:t>邀请》</w:t>
            </w:r>
          </w:p>
        </w:tc>
        <w:tc>
          <w:tcPr>
            <w:tcW w:w="1414" w:type="pct"/>
            <w:shd w:val="clear" w:color="auto" w:fill="auto"/>
            <w:vAlign w:val="center"/>
          </w:tcPr>
          <w:p w14:paraId="71465D93">
            <w:pPr>
              <w:spacing w:after="50" w:line="360" w:lineRule="auto"/>
              <w:ind w:right="-10" w:rightChars="0"/>
              <w:jc w:val="both"/>
              <w:rPr>
                <w:rFonts w:hint="eastAsia" w:ascii="宋体" w:hAnsi="宋体" w:eastAsia="宋体" w:cs="Times New Roman"/>
                <w:color w:val="auto"/>
                <w:kern w:val="2"/>
                <w:sz w:val="24"/>
                <w:szCs w:val="22"/>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277DC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vAlign w:val="center"/>
          </w:tcPr>
          <w:p w14:paraId="01AB4F71">
            <w:pPr>
              <w:adjustRightInd w:val="0"/>
              <w:snapToGrid w:val="0"/>
              <w:spacing w:line="360" w:lineRule="auto"/>
              <w:ind w:right="-10" w:rightChars="0"/>
              <w:jc w:val="center"/>
              <w:rPr>
                <w:rFonts w:cs="Times New Roman" w:asciiTheme="minorEastAsia" w:hAnsiTheme="minorEastAsia" w:eastAsiaTheme="minorEastAsia"/>
                <w:color w:val="auto"/>
                <w:kern w:val="2"/>
                <w:sz w:val="24"/>
                <w:szCs w:val="22"/>
                <w:highlight w:val="none"/>
              </w:rPr>
            </w:pPr>
            <w:r>
              <w:rPr>
                <w:rFonts w:hint="eastAsia" w:ascii="宋体" w:hAnsi="宋体" w:eastAsia="宋体"/>
                <w:color w:val="auto"/>
                <w:sz w:val="24"/>
                <w:highlight w:val="none"/>
              </w:rPr>
              <w:t>5</w:t>
            </w:r>
          </w:p>
        </w:tc>
        <w:tc>
          <w:tcPr>
            <w:tcW w:w="901" w:type="pct"/>
            <w:shd w:val="clear" w:color="auto" w:fill="auto"/>
            <w:vAlign w:val="center"/>
          </w:tcPr>
          <w:p w14:paraId="41F81BE3">
            <w:pPr>
              <w:spacing w:after="50" w:line="360" w:lineRule="auto"/>
              <w:ind w:right="-10" w:rightChars="0"/>
              <w:jc w:val="both"/>
              <w:rPr>
                <w:rFonts w:ascii="Calibri" w:hAnsi="Calibri" w:eastAsia="宋体" w:cs="Times New Roman"/>
                <w:color w:val="auto"/>
                <w:kern w:val="2"/>
                <w:sz w:val="24"/>
                <w:szCs w:val="24"/>
                <w:highlight w:val="none"/>
                <w:lang w:val="en-US" w:eastAsia="zh-CN" w:bidi="ar-SA"/>
              </w:rPr>
            </w:pPr>
            <w:r>
              <w:rPr>
                <w:rFonts w:hint="eastAsia" w:ascii="宋体" w:hAnsi="宋体" w:eastAsia="宋体" w:cs="宋体"/>
                <w:color w:val="auto"/>
                <w:spacing w:val="10"/>
                <w:sz w:val="24"/>
                <w:szCs w:val="24"/>
                <w:highlight w:val="none"/>
                <w:lang w:eastAsia="zh-CN"/>
              </w:rPr>
              <w:t>本项目的</w:t>
            </w:r>
            <w:r>
              <w:rPr>
                <w:rFonts w:ascii="宋体" w:hAnsi="宋体" w:eastAsia="宋体" w:cs="宋体"/>
                <w:color w:val="auto"/>
                <w:spacing w:val="10"/>
                <w:sz w:val="24"/>
                <w:szCs w:val="24"/>
                <w:highlight w:val="none"/>
              </w:rPr>
              <w:t>特定资格要求</w:t>
            </w:r>
          </w:p>
        </w:tc>
        <w:tc>
          <w:tcPr>
            <w:tcW w:w="2191" w:type="pct"/>
            <w:shd w:val="clear" w:color="auto" w:fill="auto"/>
            <w:vAlign w:val="center"/>
          </w:tcPr>
          <w:p w14:paraId="3A8D1D35">
            <w:pPr>
              <w:spacing w:after="50" w:line="360" w:lineRule="auto"/>
              <w:ind w:right="-10" w:rightChars="0"/>
              <w:jc w:val="both"/>
              <w:rPr>
                <w:rFonts w:ascii="Calibri" w:hAnsi="Calibri" w:eastAsia="宋体" w:cs="Times New Roman"/>
                <w:color w:val="auto"/>
                <w:kern w:val="2"/>
                <w:sz w:val="24"/>
                <w:szCs w:val="22"/>
                <w:highlight w:val="none"/>
                <w:lang w:val="en-US" w:eastAsia="zh-CN" w:bidi="ar-SA"/>
              </w:rPr>
            </w:pPr>
            <w:r>
              <w:rPr>
                <w:rFonts w:ascii="宋体" w:hAnsi="宋体" w:eastAsia="宋体" w:cs="宋体"/>
                <w:color w:val="auto"/>
                <w:spacing w:val="10"/>
                <w:sz w:val="24"/>
                <w:szCs w:val="24"/>
                <w:highlight w:val="none"/>
              </w:rPr>
              <w:t>如有，见第一章《</w:t>
            </w:r>
            <w:r>
              <w:rPr>
                <w:rFonts w:hint="eastAsia" w:ascii="宋体" w:hAnsi="宋体" w:eastAsia="宋体" w:cs="宋体"/>
                <w:color w:val="auto"/>
                <w:spacing w:val="10"/>
                <w:sz w:val="24"/>
                <w:szCs w:val="24"/>
                <w:highlight w:val="none"/>
                <w:lang w:val="en-US" w:eastAsia="zh-CN"/>
              </w:rPr>
              <w:t>谈判</w:t>
            </w:r>
            <w:r>
              <w:rPr>
                <w:rFonts w:ascii="宋体" w:hAnsi="宋体" w:eastAsia="宋体" w:cs="宋体"/>
                <w:color w:val="auto"/>
                <w:spacing w:val="10"/>
                <w:sz w:val="24"/>
                <w:szCs w:val="24"/>
                <w:highlight w:val="none"/>
              </w:rPr>
              <w:t>邀请》</w:t>
            </w:r>
          </w:p>
        </w:tc>
        <w:tc>
          <w:tcPr>
            <w:tcW w:w="1414" w:type="pct"/>
            <w:shd w:val="clear" w:color="auto" w:fill="auto"/>
            <w:vAlign w:val="center"/>
          </w:tcPr>
          <w:p w14:paraId="411E3B59">
            <w:pPr>
              <w:spacing w:after="50" w:line="360" w:lineRule="auto"/>
              <w:ind w:right="-10" w:rightChars="0"/>
              <w:jc w:val="both"/>
              <w:rPr>
                <w:rFonts w:hint="eastAsia" w:ascii="宋体" w:hAnsi="宋体" w:eastAsia="宋体" w:cs="Times New Roman"/>
                <w:color w:val="auto"/>
                <w:kern w:val="2"/>
                <w:sz w:val="24"/>
                <w:szCs w:val="28"/>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38578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vAlign w:val="center"/>
          </w:tcPr>
          <w:p w14:paraId="7887EA25">
            <w:pPr>
              <w:adjustRightInd w:val="0"/>
              <w:snapToGrid w:val="0"/>
              <w:spacing w:line="360" w:lineRule="auto"/>
              <w:ind w:right="-10" w:rightChars="0"/>
              <w:jc w:val="center"/>
              <w:rPr>
                <w:rFonts w:cs="Times New Roman" w:asciiTheme="minorEastAsia" w:hAnsiTheme="minorEastAsia" w:eastAsiaTheme="minorEastAsia"/>
                <w:color w:val="auto"/>
                <w:kern w:val="2"/>
                <w:sz w:val="24"/>
                <w:szCs w:val="22"/>
                <w:highlight w:val="none"/>
              </w:rPr>
            </w:pPr>
            <w:r>
              <w:rPr>
                <w:rFonts w:hint="eastAsia" w:ascii="宋体" w:hAnsi="宋体" w:eastAsia="宋体"/>
                <w:color w:val="auto"/>
                <w:sz w:val="24"/>
                <w:highlight w:val="none"/>
              </w:rPr>
              <w:t>6</w:t>
            </w:r>
          </w:p>
        </w:tc>
        <w:tc>
          <w:tcPr>
            <w:tcW w:w="901" w:type="pct"/>
            <w:shd w:val="clear" w:color="auto" w:fill="auto"/>
            <w:vAlign w:val="center"/>
          </w:tcPr>
          <w:p w14:paraId="0B9F86D4">
            <w:pPr>
              <w:adjustRightInd w:val="0"/>
              <w:snapToGrid w:val="0"/>
              <w:spacing w:line="360" w:lineRule="auto"/>
              <w:ind w:right="-10" w:rightChars="0"/>
              <w:jc w:val="center"/>
              <w:rPr>
                <w:rFonts w:ascii="Calibri" w:hAnsi="Calibri" w:eastAsia="宋体" w:cs="Times New Roman"/>
                <w:color w:val="auto"/>
                <w:kern w:val="2"/>
                <w:sz w:val="24"/>
                <w:szCs w:val="24"/>
                <w:highlight w:val="none"/>
                <w:lang w:val="en-US" w:eastAsia="zh-CN" w:bidi="ar-SA"/>
              </w:rPr>
            </w:pPr>
            <w:r>
              <w:rPr>
                <w:rFonts w:hint="eastAsia" w:cs="Times New Roman"/>
                <w:color w:val="auto"/>
                <w:kern w:val="2"/>
                <w:sz w:val="24"/>
                <w:highlight w:val="none"/>
              </w:rPr>
              <w:t>授权书</w:t>
            </w:r>
          </w:p>
        </w:tc>
        <w:tc>
          <w:tcPr>
            <w:tcW w:w="2191" w:type="pct"/>
            <w:shd w:val="clear" w:color="auto" w:fill="auto"/>
            <w:vAlign w:val="center"/>
          </w:tcPr>
          <w:p w14:paraId="6D340419">
            <w:pPr>
              <w:adjustRightInd w:val="0"/>
              <w:snapToGrid w:val="0"/>
              <w:spacing w:line="360" w:lineRule="auto"/>
              <w:ind w:right="-10" w:rightChars="0"/>
              <w:jc w:val="left"/>
              <w:rPr>
                <w:rFonts w:ascii="Calibri" w:hAnsi="Calibri" w:eastAsia="宋体" w:cs="Times New Roman"/>
                <w:color w:val="auto"/>
                <w:kern w:val="2"/>
                <w:sz w:val="24"/>
                <w:szCs w:val="22"/>
                <w:highlight w:val="none"/>
                <w:lang w:val="en-US" w:eastAsia="zh-CN" w:bidi="ar-SA"/>
              </w:rPr>
            </w:pPr>
            <w:r>
              <w:rPr>
                <w:rFonts w:hint="eastAsia" w:cs="Times New Roman"/>
                <w:color w:val="auto"/>
                <w:kern w:val="2"/>
                <w:sz w:val="24"/>
                <w:szCs w:val="22"/>
                <w:highlight w:val="none"/>
              </w:rPr>
              <w:t>符合谈判文件要求。</w:t>
            </w:r>
          </w:p>
        </w:tc>
        <w:tc>
          <w:tcPr>
            <w:tcW w:w="1414" w:type="pct"/>
            <w:vAlign w:val="center"/>
          </w:tcPr>
          <w:p w14:paraId="1B8E0132">
            <w:pPr>
              <w:spacing w:after="50" w:line="360" w:lineRule="auto"/>
              <w:ind w:right="-10" w:rightChars="0"/>
              <w:jc w:val="both"/>
              <w:rPr>
                <w:rFonts w:hint="eastAsia" w:cs="Times New Roman"/>
                <w:color w:val="auto"/>
                <w:kern w:val="2"/>
                <w:sz w:val="24"/>
                <w:szCs w:val="22"/>
                <w:highlight w:val="none"/>
              </w:rPr>
            </w:pPr>
          </w:p>
        </w:tc>
      </w:tr>
      <w:tr w14:paraId="5959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vAlign w:val="center"/>
          </w:tcPr>
          <w:p w14:paraId="7DAF626E">
            <w:pPr>
              <w:adjustRightInd w:val="0"/>
              <w:snapToGrid w:val="0"/>
              <w:spacing w:line="360" w:lineRule="auto"/>
              <w:ind w:right="-10" w:rightChars="0"/>
              <w:jc w:val="center"/>
              <w:rPr>
                <w:rFonts w:cs="Times New Roman" w:asciiTheme="minorEastAsia" w:hAnsiTheme="minorEastAsia" w:eastAsiaTheme="minorEastAsia"/>
                <w:color w:val="auto"/>
                <w:kern w:val="2"/>
                <w:sz w:val="24"/>
                <w:szCs w:val="22"/>
                <w:highlight w:val="none"/>
              </w:rPr>
            </w:pPr>
            <w:r>
              <w:rPr>
                <w:rFonts w:hint="eastAsia" w:asciiTheme="majorEastAsia" w:hAnsiTheme="majorEastAsia" w:eastAsiaTheme="majorEastAsia"/>
                <w:color w:val="auto"/>
                <w:sz w:val="24"/>
                <w:highlight w:val="none"/>
              </w:rPr>
              <w:t>7</w:t>
            </w:r>
          </w:p>
        </w:tc>
        <w:tc>
          <w:tcPr>
            <w:tcW w:w="901" w:type="pct"/>
            <w:shd w:val="clear" w:color="auto" w:fill="auto"/>
            <w:vAlign w:val="center"/>
          </w:tcPr>
          <w:p w14:paraId="5C5B72BC">
            <w:pPr>
              <w:adjustRightInd w:val="0"/>
              <w:snapToGrid w:val="0"/>
              <w:spacing w:line="360" w:lineRule="auto"/>
              <w:ind w:right="-10" w:rightChars="0"/>
              <w:jc w:val="center"/>
              <w:rPr>
                <w:rFonts w:ascii="Calibri" w:hAnsi="Calibri" w:eastAsia="宋体" w:cs="Times New Roman"/>
                <w:color w:val="auto"/>
                <w:kern w:val="2"/>
                <w:sz w:val="24"/>
                <w:szCs w:val="24"/>
                <w:highlight w:val="none"/>
                <w:lang w:val="en-US" w:eastAsia="zh-CN" w:bidi="ar-SA"/>
              </w:rPr>
            </w:pPr>
            <w:r>
              <w:rPr>
                <w:rFonts w:hint="eastAsia" w:cs="Times New Roman"/>
                <w:color w:val="auto"/>
                <w:kern w:val="2"/>
                <w:sz w:val="24"/>
                <w:highlight w:val="none"/>
              </w:rPr>
              <w:t>谈判响应函</w:t>
            </w:r>
          </w:p>
        </w:tc>
        <w:tc>
          <w:tcPr>
            <w:tcW w:w="2191" w:type="pct"/>
            <w:shd w:val="clear" w:color="auto" w:fill="auto"/>
            <w:vAlign w:val="center"/>
          </w:tcPr>
          <w:p w14:paraId="5749B2A9">
            <w:pPr>
              <w:adjustRightInd w:val="0"/>
              <w:snapToGrid w:val="0"/>
              <w:spacing w:line="360" w:lineRule="auto"/>
              <w:ind w:right="-10" w:rightChars="0"/>
              <w:jc w:val="left"/>
              <w:rPr>
                <w:rFonts w:ascii="Calibri" w:hAnsi="Calibri" w:eastAsia="宋体" w:cs="Times New Roman"/>
                <w:color w:val="auto"/>
                <w:kern w:val="2"/>
                <w:sz w:val="24"/>
                <w:szCs w:val="22"/>
                <w:highlight w:val="none"/>
                <w:lang w:val="en-US" w:eastAsia="zh-CN" w:bidi="ar-SA"/>
              </w:rPr>
            </w:pPr>
            <w:r>
              <w:rPr>
                <w:rFonts w:hint="eastAsia" w:cs="Times New Roman"/>
                <w:color w:val="auto"/>
                <w:kern w:val="2"/>
                <w:sz w:val="24"/>
                <w:szCs w:val="22"/>
                <w:highlight w:val="none"/>
              </w:rPr>
              <w:t>符合谈判文件要求。</w:t>
            </w:r>
          </w:p>
        </w:tc>
        <w:tc>
          <w:tcPr>
            <w:tcW w:w="1414" w:type="pct"/>
            <w:vAlign w:val="center"/>
          </w:tcPr>
          <w:p w14:paraId="4E1AB3F4">
            <w:pPr>
              <w:spacing w:after="50" w:line="360" w:lineRule="auto"/>
              <w:ind w:right="-10" w:rightChars="0"/>
              <w:jc w:val="both"/>
              <w:rPr>
                <w:rFonts w:hint="eastAsia" w:cs="Times New Roman"/>
                <w:color w:val="auto"/>
                <w:kern w:val="2"/>
                <w:sz w:val="24"/>
                <w:szCs w:val="28"/>
                <w:highlight w:val="none"/>
              </w:rPr>
            </w:pPr>
          </w:p>
        </w:tc>
      </w:tr>
      <w:tr w14:paraId="451D8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vAlign w:val="center"/>
          </w:tcPr>
          <w:p w14:paraId="35299DD2">
            <w:pPr>
              <w:adjustRightInd w:val="0"/>
              <w:snapToGrid w:val="0"/>
              <w:spacing w:line="360" w:lineRule="auto"/>
              <w:ind w:right="-10" w:rightChars="0"/>
              <w:jc w:val="center"/>
              <w:rPr>
                <w:rFonts w:cs="Times New Roman" w:asciiTheme="minorEastAsia" w:hAnsiTheme="minorEastAsia" w:eastAsiaTheme="minorEastAsia"/>
                <w:color w:val="auto"/>
                <w:kern w:val="2"/>
                <w:sz w:val="24"/>
                <w:szCs w:val="22"/>
                <w:highlight w:val="none"/>
              </w:rPr>
            </w:pPr>
            <w:r>
              <w:rPr>
                <w:rFonts w:hint="eastAsia" w:asciiTheme="majorEastAsia" w:hAnsiTheme="majorEastAsia" w:eastAsiaTheme="majorEastAsia"/>
                <w:color w:val="auto"/>
                <w:sz w:val="24"/>
                <w:highlight w:val="none"/>
              </w:rPr>
              <w:t>8</w:t>
            </w:r>
          </w:p>
        </w:tc>
        <w:tc>
          <w:tcPr>
            <w:tcW w:w="901" w:type="pct"/>
            <w:shd w:val="clear" w:color="auto" w:fill="auto"/>
            <w:vAlign w:val="center"/>
          </w:tcPr>
          <w:p w14:paraId="277A8B42">
            <w:pPr>
              <w:spacing w:after="50" w:line="360" w:lineRule="auto"/>
              <w:ind w:right="-10" w:rightChars="0"/>
              <w:jc w:val="center"/>
              <w:rPr>
                <w:rFonts w:ascii="Calibri" w:hAnsi="Calibri" w:eastAsia="宋体" w:cs="Times New Roman"/>
                <w:color w:val="auto"/>
                <w:kern w:val="2"/>
                <w:sz w:val="24"/>
                <w:szCs w:val="24"/>
                <w:highlight w:val="none"/>
                <w:lang w:val="en-US" w:eastAsia="zh-CN" w:bidi="ar-SA"/>
              </w:rPr>
            </w:pPr>
            <w:r>
              <w:rPr>
                <w:rFonts w:hint="eastAsia" w:asciiTheme="minorEastAsia" w:hAnsiTheme="minorEastAsia" w:eastAsiaTheme="minorEastAsia"/>
                <w:color w:val="auto"/>
                <w:sz w:val="24"/>
                <w:szCs w:val="28"/>
                <w:highlight w:val="none"/>
                <w:lang w:val="en-US" w:eastAsia="zh-CN"/>
              </w:rPr>
              <w:t>谈判</w:t>
            </w:r>
            <w:r>
              <w:rPr>
                <w:rFonts w:hint="eastAsia" w:asciiTheme="minorEastAsia" w:hAnsiTheme="minorEastAsia" w:eastAsiaTheme="minorEastAsia"/>
                <w:color w:val="auto"/>
                <w:sz w:val="24"/>
                <w:szCs w:val="28"/>
                <w:highlight w:val="none"/>
              </w:rPr>
              <w:t>报价</w:t>
            </w:r>
          </w:p>
        </w:tc>
        <w:tc>
          <w:tcPr>
            <w:tcW w:w="2191" w:type="pct"/>
            <w:shd w:val="clear" w:color="auto" w:fill="auto"/>
            <w:vAlign w:val="center"/>
          </w:tcPr>
          <w:p w14:paraId="7D9C972D">
            <w:pPr>
              <w:spacing w:after="50" w:line="360" w:lineRule="auto"/>
              <w:ind w:right="-10" w:rightChars="0"/>
              <w:jc w:val="both"/>
              <w:rPr>
                <w:rFonts w:hint="eastAsia" w:ascii="Calibri" w:hAnsi="Calibri" w:cs="Times New Roman" w:eastAsiaTheme="minorEastAsia"/>
                <w:color w:val="auto"/>
                <w:kern w:val="2"/>
                <w:sz w:val="24"/>
                <w:szCs w:val="22"/>
                <w:highlight w:val="none"/>
                <w:lang w:val="en-US" w:eastAsia="zh-CN" w:bidi="ar-SA"/>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lang w:val="en-US" w:eastAsia="zh-CN"/>
              </w:rPr>
              <w:t>要求</w:t>
            </w:r>
          </w:p>
        </w:tc>
        <w:tc>
          <w:tcPr>
            <w:tcW w:w="1414" w:type="pct"/>
            <w:vAlign w:val="center"/>
          </w:tcPr>
          <w:p w14:paraId="6CA5BF64">
            <w:pPr>
              <w:adjustRightInd w:val="0"/>
              <w:snapToGrid w:val="0"/>
              <w:spacing w:line="360" w:lineRule="auto"/>
              <w:ind w:right="-10"/>
              <w:jc w:val="left"/>
              <w:rPr>
                <w:rFonts w:hint="eastAsia" w:cs="Times New Roman"/>
                <w:color w:val="auto"/>
                <w:kern w:val="2"/>
                <w:sz w:val="24"/>
                <w:szCs w:val="22"/>
                <w:highlight w:val="none"/>
              </w:rPr>
            </w:pPr>
          </w:p>
        </w:tc>
      </w:tr>
      <w:tr w14:paraId="75430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585" w:type="pct"/>
            <w:gridSpan w:val="3"/>
            <w:tcBorders>
              <w:bottom w:val="single" w:color="auto" w:sz="4" w:space="0"/>
            </w:tcBorders>
            <w:vAlign w:val="center"/>
          </w:tcPr>
          <w:p w14:paraId="20484E47">
            <w:pPr>
              <w:adjustRightInd w:val="0"/>
              <w:snapToGrid w:val="0"/>
              <w:ind w:right="-10"/>
              <w:jc w:val="left"/>
              <w:rPr>
                <w:rFonts w:ascii="Calibri" w:hAnsi="Calibri" w:cs="Times New Roman"/>
                <w:color w:val="auto"/>
                <w:kern w:val="2"/>
                <w:sz w:val="24"/>
                <w:szCs w:val="22"/>
                <w:highlight w:val="none"/>
              </w:rPr>
            </w:pPr>
            <w:r>
              <w:rPr>
                <w:rFonts w:hint="eastAsia" w:ascii="Calibri" w:hAnsi="Calibri" w:cs="Times New Roman"/>
                <w:color w:val="auto"/>
                <w:kern w:val="2"/>
                <w:sz w:val="24"/>
                <w:szCs w:val="22"/>
                <w:highlight w:val="none"/>
              </w:rPr>
              <w:t>评审指标通过标准：供应商必须通过上述全部指标。</w:t>
            </w:r>
          </w:p>
        </w:tc>
        <w:tc>
          <w:tcPr>
            <w:tcW w:w="1414" w:type="pct"/>
            <w:tcBorders>
              <w:bottom w:val="single" w:color="auto" w:sz="4" w:space="0"/>
            </w:tcBorders>
            <w:vAlign w:val="center"/>
          </w:tcPr>
          <w:p w14:paraId="35C2FB42">
            <w:pPr>
              <w:adjustRightInd w:val="0"/>
              <w:snapToGrid w:val="0"/>
              <w:ind w:right="-10"/>
              <w:jc w:val="left"/>
              <w:rPr>
                <w:rFonts w:hint="eastAsia" w:ascii="Calibri" w:hAnsi="Calibri" w:cs="Times New Roman"/>
                <w:color w:val="auto"/>
                <w:kern w:val="2"/>
                <w:sz w:val="24"/>
                <w:szCs w:val="22"/>
                <w:highlight w:val="none"/>
              </w:rPr>
            </w:pPr>
          </w:p>
        </w:tc>
      </w:tr>
    </w:tbl>
    <w:p w14:paraId="1CB8018B">
      <w:pPr>
        <w:spacing w:line="360" w:lineRule="auto"/>
        <w:ind w:firstLine="435"/>
        <w:outlineLvl w:val="2"/>
        <w:rPr>
          <w:rFonts w:hint="eastAsia"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注：供应商拟委任项目经理为注册建造师（含一级、二级）的，须提供有效的纸质版电子证书。一级建造师打印电子证书后，应在个人签名处手写本人签名，未手写签名或与签名图像笔迹不一致的，该电子证书无效。</w:t>
      </w:r>
    </w:p>
    <w:p w14:paraId="1984DE4F">
      <w:pPr>
        <w:spacing w:line="360" w:lineRule="auto"/>
        <w:ind w:firstLine="435"/>
        <w:outlineLvl w:val="2"/>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供应商提供的安徽省新版二级建造师电子注册证书纸质版需在安徽省住房和城乡建设执业资格注册管理系统中打印，打印后应由二级建造师本人在证书的个人签名处手写本人签名，或在新版二级建造师电子注册证书纸质版后附其本人知情承诺（视为个人签名处的手写本人签名），格式自拟。未手写个人签名或未提供二级建造师本人知情承诺的，个人签名或知情承诺签字与签名图片笔迹不一致，此证书无效。其他省份按各省相关规定执行。</w:t>
      </w:r>
    </w:p>
    <w:p w14:paraId="32A459D7">
      <w:pPr>
        <w:spacing w:line="360" w:lineRule="auto"/>
        <w:ind w:firstLine="435"/>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2.2</w:t>
      </w:r>
      <w:r>
        <w:rPr>
          <w:rFonts w:hint="eastAsia" w:asciiTheme="minorEastAsia" w:hAnsiTheme="minorEastAsia" w:eastAsiaTheme="minorEastAsia"/>
          <w:color w:val="auto"/>
          <w:sz w:val="24"/>
          <w:highlight w:val="none"/>
        </w:rPr>
        <w:t>异常低价</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审查</w:t>
      </w:r>
    </w:p>
    <w:tbl>
      <w:tblPr>
        <w:tblStyle w:val="55"/>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1488"/>
        <w:gridCol w:w="4554"/>
        <w:gridCol w:w="2319"/>
      </w:tblGrid>
      <w:tr w14:paraId="64ED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0A55AF2A">
            <w:pPr>
              <w:adjustRightInd w:val="0"/>
              <w:snapToGrid w:val="0"/>
              <w:spacing w:line="360" w:lineRule="auto"/>
              <w:ind w:right="-10" w:rightChars="0"/>
              <w:jc w:val="center"/>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异常低价响应审查表</w:t>
            </w:r>
          </w:p>
        </w:tc>
      </w:tr>
      <w:tr w14:paraId="5725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24C66339">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序号</w:t>
            </w:r>
          </w:p>
        </w:tc>
        <w:tc>
          <w:tcPr>
            <w:tcW w:w="1450" w:type="dxa"/>
            <w:tcBorders>
              <w:bottom w:val="single" w:color="auto" w:sz="4" w:space="0"/>
            </w:tcBorders>
            <w:vAlign w:val="center"/>
          </w:tcPr>
          <w:p w14:paraId="242D7536">
            <w:pPr>
              <w:spacing w:line="360" w:lineRule="auto"/>
              <w:ind w:firstLine="240" w:firstLineChars="100"/>
              <w:jc w:val="center"/>
              <w:rPr>
                <w:rFonts w:ascii="宋体" w:hAnsi="宋体" w:eastAsia="宋体"/>
                <w:color w:val="auto"/>
                <w:kern w:val="2"/>
                <w:szCs w:val="24"/>
                <w:highlight w:val="none"/>
              </w:rPr>
            </w:pPr>
            <w:r>
              <w:rPr>
                <w:rFonts w:hint="eastAsia" w:ascii="宋体" w:hAnsi="宋体" w:eastAsia="宋体" w:cs="Times New Roman"/>
                <w:color w:val="auto"/>
                <w:sz w:val="24"/>
                <w:highlight w:val="none"/>
                <w:lang w:val="en-US" w:eastAsia="zh-CN"/>
              </w:rPr>
              <w:t>评审指标</w:t>
            </w:r>
          </w:p>
        </w:tc>
        <w:tc>
          <w:tcPr>
            <w:tcW w:w="4439" w:type="dxa"/>
            <w:tcBorders>
              <w:bottom w:val="single" w:color="auto" w:sz="4" w:space="0"/>
            </w:tcBorders>
            <w:vAlign w:val="center"/>
          </w:tcPr>
          <w:p w14:paraId="63EC8315">
            <w:pPr>
              <w:spacing w:line="360" w:lineRule="auto"/>
              <w:ind w:firstLine="240" w:firstLineChars="100"/>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评审标准</w:t>
            </w:r>
          </w:p>
        </w:tc>
        <w:tc>
          <w:tcPr>
            <w:tcW w:w="2260" w:type="dxa"/>
            <w:tcBorders>
              <w:bottom w:val="single" w:color="auto" w:sz="4" w:space="0"/>
            </w:tcBorders>
            <w:vAlign w:val="center"/>
          </w:tcPr>
          <w:p w14:paraId="39E809DA">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格式及材料要求</w:t>
            </w:r>
          </w:p>
        </w:tc>
      </w:tr>
      <w:tr w14:paraId="63D0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5" w:type="dxa"/>
            <w:tcBorders>
              <w:bottom w:val="single" w:color="auto" w:sz="4" w:space="0"/>
            </w:tcBorders>
            <w:vAlign w:val="center"/>
          </w:tcPr>
          <w:p w14:paraId="53262601">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4828CEF5">
            <w:pPr>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异常低价响应审查</w:t>
            </w:r>
          </w:p>
        </w:tc>
        <w:tc>
          <w:tcPr>
            <w:tcW w:w="4439" w:type="dxa"/>
            <w:tcBorders>
              <w:bottom w:val="single" w:color="auto" w:sz="4" w:space="0"/>
            </w:tcBorders>
            <w:vAlign w:val="center"/>
          </w:tcPr>
          <w:p w14:paraId="14855D12">
            <w:pPr>
              <w:pStyle w:val="1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（1）报价＜全部通过初审供应商响应报价平均值×</w:t>
            </w:r>
            <w:r>
              <w:rPr>
                <w:rFonts w:hint="eastAsia" w:ascii="宋体" w:hAnsi="宋体" w:eastAsia="宋体" w:cs="宋体"/>
                <w:b w:val="0"/>
                <w:bCs w:val="0"/>
                <w:i w:val="0"/>
                <w:iCs w:val="0"/>
                <w:color w:val="auto"/>
                <w:sz w:val="24"/>
                <w:szCs w:val="24"/>
                <w:highlight w:val="none"/>
                <w:u w:val="single"/>
                <w:lang w:val="en-US" w:eastAsia="zh-CN"/>
              </w:rPr>
              <w:t>50%</w:t>
            </w:r>
            <w:r>
              <w:rPr>
                <w:rFonts w:hint="eastAsia" w:ascii="宋体" w:hAnsi="宋体" w:eastAsia="宋体" w:cs="宋体"/>
                <w:b w:val="0"/>
                <w:bCs w:val="0"/>
                <w:i w:val="0"/>
                <w:iCs w:val="0"/>
                <w:color w:val="auto"/>
                <w:sz w:val="24"/>
                <w:szCs w:val="24"/>
                <w:highlight w:val="none"/>
                <w:u w:val="none"/>
                <w:lang w:val="en-US" w:eastAsia="zh-CN"/>
              </w:rPr>
              <w:t>；</w:t>
            </w:r>
          </w:p>
          <w:p w14:paraId="12D6E1A2">
            <w:pPr>
              <w:pStyle w:val="1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（2）报价＜通过初审的次低报价供应商响应报价×</w:t>
            </w:r>
            <w:r>
              <w:rPr>
                <w:rFonts w:hint="eastAsia" w:ascii="宋体" w:hAnsi="宋体" w:eastAsia="宋体" w:cs="宋体"/>
                <w:b w:val="0"/>
                <w:bCs w:val="0"/>
                <w:i w:val="0"/>
                <w:iCs w:val="0"/>
                <w:color w:val="auto"/>
                <w:sz w:val="24"/>
                <w:szCs w:val="24"/>
                <w:highlight w:val="none"/>
                <w:u w:val="single"/>
                <w:lang w:val="en-US" w:eastAsia="zh-CN"/>
              </w:rPr>
              <w:t>50%</w:t>
            </w:r>
            <w:r>
              <w:rPr>
                <w:rFonts w:hint="eastAsia" w:ascii="宋体" w:hAnsi="宋体" w:eastAsia="宋体" w:cs="宋体"/>
                <w:b w:val="0"/>
                <w:bCs w:val="0"/>
                <w:i w:val="0"/>
                <w:iCs w:val="0"/>
                <w:color w:val="auto"/>
                <w:sz w:val="24"/>
                <w:szCs w:val="24"/>
                <w:highlight w:val="none"/>
                <w:u w:val="none"/>
                <w:lang w:val="en-US" w:eastAsia="zh-CN"/>
              </w:rPr>
              <w:t>；</w:t>
            </w:r>
          </w:p>
          <w:p w14:paraId="595C90C5">
            <w:pPr>
              <w:pStyle w:val="1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（3）报价＜采购项目最高限价（如采购项目未设定最高限价的，以采购项目预算金额作为最高限价）×</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6545F9B4">
            <w:pPr>
              <w:pStyle w:val="1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（4）谈判小组基于专业判断，认为供应商报价过低，有可能影响产品质量或者不能诚信履约的其他情形。</w:t>
            </w:r>
          </w:p>
          <w:p w14:paraId="14FCFEF9">
            <w:pPr>
              <w:pStyle w:val="1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提醒：</w:t>
            </w:r>
          </w:p>
          <w:p w14:paraId="0BE4D07D">
            <w:pPr>
              <w:pStyle w:val="1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（1）上述第（1）项数值计算：涉及总价、单价的精确到“分”并四舍五入，涉及费率的精确到小数点后两位，第三位四舍五入（例：如平均值为123.456元，即为123.46元；如平均值为80.126%，即为80.13%）。</w:t>
            </w:r>
          </w:p>
          <w:p w14:paraId="4095AB60">
            <w:pPr>
              <w:pStyle w:val="1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（2）上述报价均为供应商最后报价。</w:t>
            </w:r>
          </w:p>
        </w:tc>
        <w:tc>
          <w:tcPr>
            <w:tcW w:w="2260" w:type="dxa"/>
            <w:vAlign w:val="center"/>
          </w:tcPr>
          <w:p w14:paraId="4F4E35CC">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45C50771">
      <w:pPr>
        <w:spacing w:line="360" w:lineRule="auto"/>
        <w:rPr>
          <w:rFonts w:hint="eastAsia" w:ascii="宋体" w:hAnsi="宋体" w:eastAsia="宋体" w:cs="Arial"/>
          <w:color w:val="auto"/>
          <w:sz w:val="24"/>
          <w:highlight w:val="none"/>
          <w:lang w:val="en-US" w:eastAsia="zh-CN"/>
        </w:rPr>
      </w:pPr>
      <w:r>
        <w:rPr>
          <w:rFonts w:hint="eastAsia" w:ascii="宋体" w:hAnsi="宋体" w:eastAsia="宋体" w:cs="Times New Roman"/>
          <w:color w:val="auto"/>
          <w:sz w:val="24"/>
          <w:highlight w:val="none"/>
          <w:lang w:val="en-US" w:eastAsia="zh-CN"/>
        </w:rPr>
        <w:t>注：</w:t>
      </w:r>
    </w:p>
    <w:p w14:paraId="57170614">
      <w:pPr>
        <w:pStyle w:val="1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rPr>
        <w:t>根据《关于推进解决政府采购异常低价问题的通知》（财库〔2026〕2号），</w:t>
      </w:r>
      <w:r>
        <w:rPr>
          <w:rFonts w:hint="eastAsia" w:ascii="宋体" w:hAnsi="宋体" w:eastAsia="宋体"/>
          <w:color w:val="auto"/>
          <w:sz w:val="24"/>
          <w:highlight w:val="none"/>
          <w:lang w:val="en-US" w:eastAsia="zh-CN"/>
        </w:rPr>
        <w:t>采购人可以结合具体项目实际情况，提高上述</w:t>
      </w:r>
      <w:r>
        <w:rPr>
          <w:rFonts w:hint="eastAsia" w:ascii="宋体" w:hAnsi="宋体" w:eastAsia="宋体" w:cs="Times New Roman"/>
          <w:color w:val="auto"/>
          <w:sz w:val="24"/>
          <w:highlight w:val="none"/>
          <w:lang w:val="en-US" w:eastAsia="zh-CN"/>
        </w:rPr>
        <w:t>评审标准</w:t>
      </w:r>
      <w:r>
        <w:rPr>
          <w:rFonts w:hint="eastAsia" w:ascii="宋体" w:hAnsi="宋体" w:eastAsia="宋体"/>
          <w:color w:val="auto"/>
          <w:sz w:val="24"/>
          <w:highlight w:val="none"/>
          <w:lang w:val="en-US" w:eastAsia="zh-CN"/>
        </w:rPr>
        <w:t>第（1）项至第（3）项中的数值标准，但是最高不得超过65%。</w:t>
      </w:r>
    </w:p>
    <w:p w14:paraId="153DDD6B">
      <w:pPr>
        <w:pStyle w:val="1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谈判</w:t>
      </w:r>
      <w:r>
        <w:rPr>
          <w:rFonts w:hint="eastAsia" w:ascii="宋体" w:hAnsi="宋体" w:eastAsia="宋体"/>
          <w:color w:val="auto"/>
          <w:sz w:val="24"/>
          <w:highlight w:val="none"/>
        </w:rPr>
        <w:t>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项情形，供应商已随响应文件一并提交相关书面说明及必要的证明材料的，在评审现场可不再重复提交。</w:t>
      </w:r>
    </w:p>
    <w:p w14:paraId="0B411230">
      <w:pPr>
        <w:pStyle w:val="1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olor w:val="auto"/>
          <w:sz w:val="24"/>
          <w:highlight w:val="none"/>
        </w:rPr>
      </w:pPr>
      <w:r>
        <w:rPr>
          <w:rFonts w:hint="eastAsia" w:ascii="宋体" w:hAnsi="宋体" w:eastAsia="宋体"/>
          <w:color w:val="auto"/>
          <w:sz w:val="24"/>
          <w:highlight w:val="none"/>
          <w:lang w:val="en-US" w:eastAsia="zh-CN"/>
        </w:rPr>
        <w:t>谈判</w:t>
      </w:r>
      <w:r>
        <w:rPr>
          <w:rFonts w:hint="eastAsia" w:ascii="宋体" w:hAnsi="宋体" w:eastAsia="宋体"/>
          <w:color w:val="auto"/>
          <w:sz w:val="24"/>
          <w:highlight w:val="none"/>
        </w:rPr>
        <w:t>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宋体" w:hAnsi="宋体" w:eastAsia="宋体"/>
          <w:color w:val="auto"/>
          <w:sz w:val="24"/>
          <w:highlight w:val="none"/>
          <w:lang w:val="en-US" w:eastAsia="zh-CN"/>
        </w:rPr>
        <w:t>谈判</w:t>
      </w:r>
      <w:r>
        <w:rPr>
          <w:rFonts w:hint="eastAsia" w:ascii="宋体" w:hAnsi="宋体" w:eastAsia="宋体"/>
          <w:color w:val="auto"/>
          <w:sz w:val="24"/>
          <w:highlight w:val="none"/>
        </w:rPr>
        <w:t xml:space="preserve">小组应当将其作为无效响应处理。 </w:t>
      </w:r>
    </w:p>
    <w:p w14:paraId="653C6A8E">
      <w:pPr>
        <w:pStyle w:val="1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Arial"/>
          <w:color w:val="auto"/>
          <w:kern w:val="2"/>
          <w:sz w:val="24"/>
          <w:highlight w:val="none"/>
          <w:lang w:val="en-US" w:eastAsia="zh-CN" w:bidi="ar-SA"/>
        </w:rPr>
      </w:pPr>
      <w:r>
        <w:rPr>
          <w:rFonts w:hint="eastAsia" w:ascii="宋体" w:hAnsi="宋体" w:eastAsia="宋体" w:cs="Arial"/>
          <w:color w:val="auto"/>
          <w:kern w:val="2"/>
          <w:sz w:val="24"/>
          <w:highlight w:val="none"/>
          <w:lang w:val="en-US" w:eastAsia="zh-CN" w:bidi="ar-SA"/>
        </w:rPr>
        <w:t>谈判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谈判小组有关互联网浏览、查询历史一并归档。</w:t>
      </w:r>
    </w:p>
    <w:p w14:paraId="28AF74EC">
      <w:pPr>
        <w:keepNext w:val="0"/>
        <w:keepLines w:val="0"/>
        <w:widowControl w:val="0"/>
        <w:suppressLineNumbers w:val="0"/>
        <w:spacing w:before="0" w:beforeAutospacing="0" w:after="0" w:afterAutospacing="0" w:line="360" w:lineRule="auto"/>
        <w:ind w:left="0" w:right="0" w:firstLine="437"/>
        <w:jc w:val="both"/>
        <w:outlineLvl w:val="1"/>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三、无效响应条款</w:t>
      </w:r>
    </w:p>
    <w:p w14:paraId="6A08661F">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3.1响应文件有下列情形之一的,其响应文件拒收：</w:t>
      </w:r>
    </w:p>
    <w:p w14:paraId="205AC925">
      <w:pPr>
        <w:keepNext w:val="0"/>
        <w:keepLines w:val="0"/>
        <w:widowControl w:val="0"/>
        <w:numPr>
          <w:ilvl w:val="0"/>
          <w:numId w:val="0"/>
        </w:numPr>
        <w:suppressLineNumbers w:val="0"/>
        <w:spacing w:before="0" w:beforeAutospacing="0" w:after="0" w:afterAutospacing="0" w:line="360" w:lineRule="auto"/>
        <w:ind w:left="0" w:leftChars="0" w:right="0" w:rightChars="0" w:firstLine="480" w:firstLineChars="200"/>
        <w:jc w:val="both"/>
        <w:rPr>
          <w:rFonts w:hint="eastAsia" w:ascii="宋体" w:hAnsi="宋体" w:eastAsia="宋体" w:cs="宋体"/>
          <w:color w:val="auto"/>
          <w:kern w:val="2"/>
          <w:sz w:val="24"/>
          <w:szCs w:val="24"/>
          <w:highlight w:val="none"/>
        </w:rPr>
      </w:pPr>
      <w:r>
        <w:rPr>
          <w:rFonts w:hint="default" w:ascii="Times New Roman" w:hAnsi="Times New Roman" w:eastAsia="宋体" w:cs="Times New Roman"/>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
        </w:rPr>
        <w:t>未在响应文件递交截止时间前递交有效响应文件的，不予接收，其将被拒绝。</w:t>
      </w:r>
    </w:p>
    <w:p w14:paraId="4BA05B10">
      <w:pPr>
        <w:keepNext w:val="0"/>
        <w:keepLines w:val="0"/>
        <w:widowControl w:val="0"/>
        <w:numPr>
          <w:ilvl w:val="0"/>
          <w:numId w:val="0"/>
        </w:numPr>
        <w:suppressLineNumbers w:val="0"/>
        <w:spacing w:before="0" w:beforeAutospacing="0" w:after="0" w:afterAutospacing="0" w:line="360" w:lineRule="auto"/>
        <w:ind w:left="0" w:leftChars="0" w:right="0" w:rightChars="0" w:firstLine="480" w:firstLineChars="200"/>
        <w:jc w:val="both"/>
        <w:rPr>
          <w:rFonts w:hint="eastAsia" w:ascii="宋体" w:hAnsi="宋体" w:eastAsia="宋体" w:cs="宋体"/>
          <w:color w:val="auto"/>
          <w:kern w:val="2"/>
          <w:sz w:val="24"/>
          <w:szCs w:val="24"/>
          <w:highlight w:val="none"/>
        </w:rPr>
      </w:pPr>
      <w:r>
        <w:rPr>
          <w:rFonts w:hint="default" w:ascii="Times New Roman" w:hAnsi="Times New Roman" w:eastAsia="宋体" w:cs="Times New Roman"/>
          <w:color w:val="auto"/>
          <w:kern w:val="2"/>
          <w:sz w:val="24"/>
          <w:szCs w:val="24"/>
          <w:highlight w:val="none"/>
          <w:lang w:val="en-US" w:eastAsia="zh-CN" w:bidi="ar-SA"/>
        </w:rPr>
        <w:t>（2）</w:t>
      </w:r>
      <w:r>
        <w:rPr>
          <w:rFonts w:hint="eastAsia" w:ascii="宋体" w:hAnsi="宋体" w:eastAsia="宋体" w:cs="宋体"/>
          <w:color w:val="auto"/>
          <w:kern w:val="2"/>
          <w:sz w:val="24"/>
          <w:szCs w:val="24"/>
          <w:highlight w:val="none"/>
          <w:lang w:val="en-US" w:eastAsia="zh-CN" w:bidi="ar"/>
        </w:rPr>
        <w:t>未在规定时间内对加密响应文件进行解密。</w:t>
      </w:r>
    </w:p>
    <w:p w14:paraId="25748DF4">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3.2供应商有下列情形之一的,资格审查后其作无效响应处理：</w:t>
      </w:r>
    </w:p>
    <w:p w14:paraId="66F0579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（1）供应商为本项目提供采购代理服务的；</w:t>
      </w:r>
    </w:p>
    <w:p w14:paraId="2B737501">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（2）供应商与在本项目代理机构存在相互任职或工作的；</w:t>
      </w:r>
    </w:p>
    <w:p w14:paraId="10D73BF6">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（3）与采购人存在利害关系可能影响采购公正性的法人、其他组织或者个人；</w:t>
      </w:r>
    </w:p>
    <w:p w14:paraId="0F83C1AE">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（4）竞争性谈判公告写明专门面向中小企业采购，供应商提供的货物非中小企业制造的；</w:t>
      </w:r>
    </w:p>
    <w:p w14:paraId="685460D0">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（5）要求供应商以联合体形式参加采购活动，供应商非联合体或者联合协议中中小企业合同金额未达到应当达到的比例；</w:t>
      </w:r>
    </w:p>
    <w:p w14:paraId="02DE74F2">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（6）要求获得采购合同的供应商向中小企业分包，供应商未提供分包意向协议或者分包意向协议中中小企业合同金额未达到应当达到的比例；</w:t>
      </w:r>
    </w:p>
    <w:p w14:paraId="7C4E3445">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（7）无法查看并检验响应文件中相关资料的；</w:t>
      </w:r>
    </w:p>
    <w:p w14:paraId="61F5FF99">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（8）联合体参与未提交联合体协议的；</w:t>
      </w:r>
    </w:p>
    <w:p w14:paraId="76FDE9B2">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（9）责令停产停业的；</w:t>
      </w:r>
    </w:p>
    <w:p w14:paraId="5E64E179">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（10）暂停或者取消参与政府采购项目资格的；</w:t>
      </w:r>
    </w:p>
    <w:p w14:paraId="46E23C5B">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（11）单位负责人为同一人或者存在直接控股、管理关系的不同单位的；</w:t>
      </w:r>
    </w:p>
    <w:p w14:paraId="49137E22">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（12）供应商基本资格条件和特定资格条件中有一项及以上不符合要求的；</w:t>
      </w:r>
    </w:p>
    <w:p w14:paraId="24D7BECB">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（13）其它情形按无效响应处理，并经公共资源交易监督部门核准的；</w:t>
      </w:r>
    </w:p>
    <w:p w14:paraId="38A56D5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（14）供应商单方面出现其他供应商材料的；</w:t>
      </w:r>
    </w:p>
    <w:p w14:paraId="60EFD771">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（15）竞争性谈判公告未写明允许采购进口产品，供应商所投产品为进口产品的；</w:t>
      </w:r>
    </w:p>
    <w:p w14:paraId="29A03BCA">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（16）谈判文件规定的其它无效情形。</w:t>
      </w:r>
    </w:p>
    <w:p w14:paraId="58855372">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3.3 供应商有下列情形之一的,符合性审查后其按无效响应处理：</w:t>
      </w:r>
    </w:p>
    <w:p w14:paraId="4AE6D784">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（1）响应文件盖章不全，经谈判小组一致认定对响应内容有实质性影响的；</w:t>
      </w:r>
    </w:p>
    <w:p w14:paraId="1F20580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（2）未按规定的格式填写导致实质性内容不全以及实质上不响应，或者关键字迹模糊、无法辨认；</w:t>
      </w:r>
    </w:p>
    <w:p w14:paraId="6DB75FF3">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（3）同一供应商提交两个或以上不同的响应文件或者报价，但谈判文件规定提交备选方案的除外；</w:t>
      </w:r>
    </w:p>
    <w:p w14:paraId="3508990E">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（4）响应文件没有对谈判文件的实质性要求和条件作出响应；</w:t>
      </w:r>
    </w:p>
    <w:p w14:paraId="2AA93611">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（5）报价超出规定的最高限价或公布的采购预算的或供应商的报价各项单价高于谈判文件给定的单价最高限价；</w:t>
      </w:r>
    </w:p>
    <w:p w14:paraId="4881D268">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（6）不按谈判小组要求澄清、说明或补正的，或者谈判小组根据谈判文件的规定对响应文件的计算错误进行修正后，供应商不接受修正的报价的。</w:t>
      </w:r>
    </w:p>
    <w:p w14:paraId="0169E3F4">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（7）其它情形，经谈判小组提出按无效响应处理；</w:t>
      </w:r>
    </w:p>
    <w:p w14:paraId="0179EF26">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（8）响应文件含有采购人不能接受的附加条件的；</w:t>
      </w:r>
    </w:p>
    <w:p w14:paraId="5F45C3F8">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（9）谈判文件规定的其它无效响应情形。</w:t>
      </w:r>
    </w:p>
    <w:p w14:paraId="04C908E6">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3.4 供应商有下列情形之一的, 详细评审后其按无效响应处理：</w:t>
      </w:r>
    </w:p>
    <w:p w14:paraId="3E3FF80C">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（1）产品不符合必须强制执行的国家标准的；</w:t>
      </w:r>
    </w:p>
    <w:p w14:paraId="5EC5C9C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（2）供应商有串通、弄虚作假、行贿等违法行为；</w:t>
      </w:r>
    </w:p>
    <w:p w14:paraId="7603927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（3）响应文件含有违反国家法律、法规的内容，或附有采购人不能接受的条件的；</w:t>
      </w:r>
    </w:p>
    <w:p w14:paraId="5ECE510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（4）拒不确认谈判小组评审修正的响应无效；</w:t>
      </w:r>
    </w:p>
    <w:p w14:paraId="4D69FC60">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（5）其它情形，经谈判小组提出按无效响应处理的；</w:t>
      </w:r>
    </w:p>
    <w:p w14:paraId="721DBA76">
      <w:pPr>
        <w:pStyle w:val="1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Arial"/>
          <w:color w:val="auto"/>
          <w:kern w:val="2"/>
          <w:sz w:val="24"/>
          <w:highlight w:val="none"/>
          <w:lang w:val="en-US" w:eastAsia="zh-CN" w:bidi="ar-SA"/>
        </w:rPr>
      </w:pP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lang w:val="en-US" w:eastAsia="zh-CN"/>
        </w:rPr>
        <w:t>6</w:t>
      </w:r>
      <w:r>
        <w:rPr>
          <w:rFonts w:hint="eastAsia" w:ascii="宋体" w:hAnsi="宋体" w:eastAsia="宋体" w:cs="宋体"/>
          <w:color w:val="auto"/>
          <w:kern w:val="2"/>
          <w:sz w:val="24"/>
          <w:szCs w:val="24"/>
          <w:highlight w:val="none"/>
        </w:rPr>
        <w:t>）谈判文件规定的其它无效响应情形</w:t>
      </w:r>
      <w:r>
        <w:rPr>
          <w:rFonts w:hint="eastAsia" w:ascii="宋体" w:hAnsi="宋体" w:eastAsia="宋体" w:cs="宋体"/>
          <w:color w:val="auto"/>
          <w:kern w:val="2"/>
          <w:sz w:val="24"/>
          <w:szCs w:val="24"/>
          <w:highlight w:val="none"/>
          <w:lang w:eastAsia="zh-CN"/>
        </w:rPr>
        <w:t>。</w:t>
      </w:r>
    </w:p>
    <w:p w14:paraId="03E83FE5">
      <w:pPr>
        <w:pStyle w:val="1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color w:val="auto"/>
          <w:sz w:val="24"/>
          <w:highlight w:val="none"/>
        </w:rPr>
      </w:pPr>
    </w:p>
    <w:p w14:paraId="2C6E5E06">
      <w:pPr>
        <w:widowControl/>
        <w:jc w:val="left"/>
        <w:rPr>
          <w:rFonts w:asciiTheme="minorEastAsia" w:hAnsiTheme="minorEastAsia" w:eastAsiaTheme="minorEastAsia"/>
          <w:color w:val="auto"/>
          <w:sz w:val="24"/>
          <w:highlight w:val="none"/>
        </w:rPr>
      </w:pPr>
    </w:p>
    <w:p w14:paraId="708EE31F">
      <w:pPr>
        <w:rPr>
          <w:rFonts w:hint="eastAsia" w:asciiTheme="minorEastAsia" w:hAnsiTheme="minorEastAsia" w:eastAsiaTheme="minorEastAsia"/>
          <w:b/>
          <w:color w:val="auto"/>
          <w:sz w:val="28"/>
          <w:highlight w:val="none"/>
        </w:rPr>
      </w:pPr>
      <w:bookmarkStart w:id="37" w:name="_Toc32646"/>
      <w:r>
        <w:rPr>
          <w:rFonts w:hint="eastAsia" w:asciiTheme="minorEastAsia" w:hAnsiTheme="minorEastAsia" w:eastAsiaTheme="minorEastAsia"/>
          <w:b/>
          <w:color w:val="auto"/>
          <w:sz w:val="28"/>
          <w:highlight w:val="none"/>
        </w:rPr>
        <w:br w:type="page"/>
      </w:r>
    </w:p>
    <w:p w14:paraId="7D2009A0">
      <w:pPr>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 xml:space="preserve">第五章  </w:t>
      </w:r>
      <w:r>
        <w:rPr>
          <w:rFonts w:asciiTheme="minorEastAsia" w:hAnsiTheme="minorEastAsia" w:eastAsiaTheme="minorEastAsia"/>
          <w:b/>
          <w:color w:val="auto"/>
          <w:sz w:val="28"/>
          <w:highlight w:val="none"/>
        </w:rPr>
        <w:t>政府采购合同</w:t>
      </w:r>
      <w:bookmarkEnd w:id="37"/>
    </w:p>
    <w:p w14:paraId="08FC21A6">
      <w:pPr>
        <w:keepNext/>
        <w:keepLines/>
        <w:snapToGrid w:val="0"/>
        <w:spacing w:before="312" w:beforeLines="100" w:after="312" w:afterLines="100" w:line="360" w:lineRule="auto"/>
        <w:jc w:val="center"/>
        <w:outlineLvl w:val="1"/>
        <w:rPr>
          <w:rFonts w:cs="宋体"/>
          <w:b/>
          <w:bCs/>
          <w:color w:val="auto"/>
          <w:sz w:val="21"/>
          <w:szCs w:val="21"/>
          <w:highlight w:val="none"/>
        </w:rPr>
      </w:pPr>
      <w:bookmarkStart w:id="38" w:name="_Toc28799376"/>
      <w:bookmarkStart w:id="39" w:name="_Toc25807"/>
      <w:bookmarkStart w:id="40" w:name="_Toc130919120"/>
      <w:r>
        <w:rPr>
          <w:rFonts w:hint="eastAsia" w:cs="宋体"/>
          <w:b/>
          <w:bCs/>
          <w:color w:val="auto"/>
          <w:sz w:val="21"/>
          <w:szCs w:val="21"/>
          <w:highlight w:val="none"/>
        </w:rPr>
        <w:t>第一节  合同协议书</w:t>
      </w:r>
      <w:bookmarkEnd w:id="38"/>
      <w:bookmarkEnd w:id="39"/>
      <w:bookmarkEnd w:id="40"/>
    </w:p>
    <w:p w14:paraId="37E85EC4">
      <w:pPr>
        <w:spacing w:line="360" w:lineRule="auto"/>
        <w:rPr>
          <w:rFonts w:hint="eastAsia" w:eastAsia="宋体" w:cs="宋体"/>
          <w:b/>
          <w:color w:val="auto"/>
          <w:sz w:val="24"/>
          <w:szCs w:val="24"/>
          <w:highlight w:val="none"/>
          <w:u w:val="single"/>
          <w:lang w:eastAsia="zh-CN"/>
        </w:rPr>
      </w:pPr>
      <w:r>
        <w:rPr>
          <w:rFonts w:hint="eastAsia" w:cs="宋体"/>
          <w:b/>
          <w:color w:val="auto"/>
          <w:sz w:val="24"/>
          <w:szCs w:val="24"/>
          <w:highlight w:val="none"/>
        </w:rPr>
        <w:t>发包人（全称）：</w:t>
      </w:r>
      <w:r>
        <w:rPr>
          <w:rFonts w:hint="eastAsia" w:cs="宋体"/>
          <w:b/>
          <w:color w:val="auto"/>
          <w:sz w:val="24"/>
          <w:szCs w:val="24"/>
          <w:highlight w:val="none"/>
          <w:u w:val="single"/>
          <w:lang w:eastAsia="zh-CN"/>
        </w:rPr>
        <w:t>滁州市琅琊国有资产运营有限公司</w:t>
      </w:r>
    </w:p>
    <w:p w14:paraId="1E4D4E48">
      <w:pPr>
        <w:spacing w:line="360" w:lineRule="auto"/>
        <w:rPr>
          <w:rFonts w:cs="宋体"/>
          <w:b/>
          <w:color w:val="auto"/>
          <w:sz w:val="24"/>
          <w:szCs w:val="24"/>
          <w:highlight w:val="none"/>
          <w:u w:val="single"/>
        </w:rPr>
      </w:pPr>
      <w:r>
        <w:rPr>
          <w:rFonts w:hint="eastAsia" w:cs="宋体"/>
          <w:b/>
          <w:color w:val="auto"/>
          <w:sz w:val="24"/>
          <w:szCs w:val="24"/>
          <w:highlight w:val="none"/>
        </w:rPr>
        <w:t>承包人（全称）：</w:t>
      </w:r>
      <w:r>
        <w:rPr>
          <w:rFonts w:hint="eastAsia" w:cs="宋体"/>
          <w:b/>
          <w:color w:val="auto"/>
          <w:sz w:val="24"/>
          <w:szCs w:val="24"/>
          <w:highlight w:val="none"/>
          <w:u w:val="single"/>
        </w:rPr>
        <w:t xml:space="preserve">        </w:t>
      </w:r>
    </w:p>
    <w:p w14:paraId="6A73334D">
      <w:pPr>
        <w:spacing w:line="360" w:lineRule="auto"/>
        <w:rPr>
          <w:rFonts w:ascii="Times New Roman" w:hAnsi="Times New Roman" w:eastAsia="仿宋_GB2312" w:cs="Times New Roman"/>
          <w:b/>
          <w:color w:val="auto"/>
          <w:kern w:val="2"/>
          <w:sz w:val="30"/>
          <w:szCs w:val="30"/>
          <w:highlight w:val="none"/>
          <w:u w:val="single"/>
        </w:rPr>
      </w:pPr>
    </w:p>
    <w:p w14:paraId="54D4699F">
      <w:pPr>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根据《中华人民共和国民法典》《中华人民共和国建筑法》及有关法律规定，遵循平等、自愿、公平和诚实信用的原则，双方就</w:t>
      </w:r>
      <w:r>
        <w:rPr>
          <w:rFonts w:hint="eastAsia" w:cs="宋体"/>
          <w:color w:val="auto"/>
          <w:sz w:val="21"/>
          <w:szCs w:val="21"/>
          <w:highlight w:val="none"/>
          <w:u w:val="single"/>
        </w:rPr>
        <w:t xml:space="preserve"> </w:t>
      </w:r>
      <w:r>
        <w:rPr>
          <w:rFonts w:hint="eastAsia" w:cs="宋体"/>
          <w:color w:val="auto"/>
          <w:sz w:val="21"/>
          <w:szCs w:val="21"/>
          <w:highlight w:val="none"/>
          <w:u w:val="single"/>
          <w:lang w:eastAsia="zh-CN"/>
        </w:rPr>
        <w:t>湖畔云庭小区人防防倒塌棚架项目</w:t>
      </w:r>
      <w:r>
        <w:rPr>
          <w:rFonts w:hint="eastAsia" w:cs="宋体"/>
          <w:color w:val="auto"/>
          <w:sz w:val="21"/>
          <w:szCs w:val="21"/>
          <w:highlight w:val="none"/>
          <w:u w:val="single"/>
        </w:rPr>
        <w:t xml:space="preserve"> </w:t>
      </w:r>
      <w:r>
        <w:rPr>
          <w:rFonts w:hint="eastAsia" w:cs="宋体"/>
          <w:color w:val="auto"/>
          <w:sz w:val="21"/>
          <w:szCs w:val="21"/>
          <w:highlight w:val="none"/>
        </w:rPr>
        <w:t>工程施工及有关事项协商一致，共同达成如下协议：</w:t>
      </w:r>
    </w:p>
    <w:p w14:paraId="498DB4F7">
      <w:pPr>
        <w:snapToGrid w:val="0"/>
        <w:spacing w:line="360" w:lineRule="auto"/>
        <w:ind w:firstLine="422" w:firstLineChars="200"/>
        <w:rPr>
          <w:rFonts w:cs="宋体"/>
          <w:color w:val="auto"/>
          <w:sz w:val="21"/>
          <w:szCs w:val="21"/>
          <w:highlight w:val="none"/>
        </w:rPr>
      </w:pPr>
      <w:r>
        <w:rPr>
          <w:rFonts w:hint="eastAsia" w:cs="宋体"/>
          <w:b/>
          <w:color w:val="auto"/>
          <w:sz w:val="21"/>
          <w:szCs w:val="21"/>
          <w:highlight w:val="none"/>
        </w:rPr>
        <w:t>一、工程概况</w:t>
      </w:r>
    </w:p>
    <w:p w14:paraId="174DF2F6">
      <w:pPr>
        <w:snapToGrid w:val="0"/>
        <w:spacing w:line="360" w:lineRule="auto"/>
        <w:ind w:firstLine="411" w:firstLineChars="196"/>
        <w:rPr>
          <w:rFonts w:cs="宋体"/>
          <w:color w:val="auto"/>
          <w:sz w:val="21"/>
          <w:szCs w:val="21"/>
          <w:highlight w:val="none"/>
          <w:u w:val="single"/>
        </w:rPr>
      </w:pPr>
      <w:r>
        <w:rPr>
          <w:rFonts w:hint="eastAsia" w:cs="宋体"/>
          <w:bCs/>
          <w:color w:val="auto"/>
          <w:sz w:val="21"/>
          <w:szCs w:val="21"/>
          <w:highlight w:val="none"/>
        </w:rPr>
        <w:t>1. 工程名称</w:t>
      </w:r>
      <w:r>
        <w:rPr>
          <w:rFonts w:hint="eastAsia" w:cs="宋体"/>
          <w:color w:val="auto"/>
          <w:sz w:val="21"/>
          <w:szCs w:val="21"/>
          <w:highlight w:val="none"/>
        </w:rPr>
        <w:t>：</w:t>
      </w:r>
      <w:r>
        <w:rPr>
          <w:rFonts w:hint="eastAsia" w:cs="宋体"/>
          <w:color w:val="auto"/>
          <w:sz w:val="21"/>
          <w:szCs w:val="21"/>
          <w:highlight w:val="none"/>
          <w:u w:val="single"/>
          <w:lang w:eastAsia="zh-CN"/>
        </w:rPr>
        <w:t>湖畔云庭小区人防防倒塌棚架项目</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8567556">
      <w:pPr>
        <w:snapToGrid w:val="0"/>
        <w:spacing w:line="360" w:lineRule="auto"/>
        <w:ind w:firstLine="411" w:firstLineChars="196"/>
        <w:rPr>
          <w:rFonts w:cs="宋体"/>
          <w:bCs/>
          <w:color w:val="auto"/>
          <w:sz w:val="21"/>
          <w:szCs w:val="21"/>
          <w:highlight w:val="none"/>
        </w:rPr>
      </w:pPr>
      <w:r>
        <w:rPr>
          <w:rFonts w:hint="eastAsia" w:cs="宋体"/>
          <w:bCs/>
          <w:color w:val="auto"/>
          <w:sz w:val="21"/>
          <w:szCs w:val="21"/>
          <w:highlight w:val="none"/>
        </w:rPr>
        <w:t>2. 工程地点：</w:t>
      </w:r>
      <w:r>
        <w:rPr>
          <w:rFonts w:hint="eastAsia" w:cs="宋体"/>
          <w:color w:val="auto"/>
          <w:sz w:val="21"/>
          <w:szCs w:val="21"/>
          <w:highlight w:val="none"/>
          <w:u w:val="single"/>
        </w:rPr>
        <w:t></w:t>
      </w:r>
      <w:r>
        <w:rPr>
          <w:rFonts w:hint="eastAsia" w:cs="宋体"/>
          <w:color w:val="auto"/>
          <w:sz w:val="21"/>
          <w:szCs w:val="21"/>
          <w:highlight w:val="none"/>
          <w:u w:val="single"/>
          <w:lang w:val="en-US" w:eastAsia="zh-CN"/>
        </w:rPr>
        <w:t>滁州市内</w:t>
      </w:r>
      <w:r>
        <w:rPr>
          <w:rFonts w:hint="eastAsia" w:cs="宋体"/>
          <w:color w:val="auto"/>
          <w:sz w:val="21"/>
          <w:szCs w:val="21"/>
          <w:highlight w:val="none"/>
          <w:u w:val="single"/>
        </w:rPr>
        <w:t xml:space="preserve">       </w:t>
      </w:r>
      <w:r>
        <w:rPr>
          <w:rFonts w:hint="eastAsia" w:cs="宋体"/>
          <w:color w:val="auto"/>
          <w:sz w:val="21"/>
          <w:szCs w:val="21"/>
          <w:highlight w:val="none"/>
        </w:rPr>
        <w:t>。</w:t>
      </w:r>
    </w:p>
    <w:p w14:paraId="4A8C94BB">
      <w:pPr>
        <w:snapToGrid w:val="0"/>
        <w:spacing w:line="360" w:lineRule="auto"/>
        <w:ind w:firstLine="411" w:firstLineChars="196"/>
        <w:rPr>
          <w:rFonts w:cs="宋体"/>
          <w:bCs/>
          <w:color w:val="auto"/>
          <w:sz w:val="21"/>
          <w:szCs w:val="21"/>
          <w:highlight w:val="none"/>
        </w:rPr>
      </w:pPr>
      <w:r>
        <w:rPr>
          <w:rFonts w:hint="eastAsia" w:cs="宋体"/>
          <w:bCs/>
          <w:color w:val="auto"/>
          <w:sz w:val="21"/>
          <w:szCs w:val="21"/>
          <w:highlight w:val="none"/>
        </w:rPr>
        <w:t>3. 工程立项批准文号：</w:t>
      </w:r>
      <w:r>
        <w:rPr>
          <w:rFonts w:hint="eastAsia" w:cs="宋体"/>
          <w:color w:val="auto"/>
          <w:sz w:val="21"/>
          <w:szCs w:val="21"/>
          <w:highlight w:val="none"/>
          <w:u w:val="single"/>
        </w:rPr>
        <w:t xml:space="preserve">       </w:t>
      </w:r>
      <w:r>
        <w:rPr>
          <w:rFonts w:hint="eastAsia" w:cs="宋体"/>
          <w:bCs/>
          <w:color w:val="auto"/>
          <w:sz w:val="21"/>
          <w:szCs w:val="21"/>
          <w:highlight w:val="none"/>
        </w:rPr>
        <w:t>。</w:t>
      </w:r>
    </w:p>
    <w:p w14:paraId="67C02548">
      <w:pPr>
        <w:snapToGrid w:val="0"/>
        <w:spacing w:line="360" w:lineRule="auto"/>
        <w:ind w:firstLine="411" w:firstLineChars="196"/>
        <w:rPr>
          <w:rFonts w:cs="宋体"/>
          <w:bCs/>
          <w:color w:val="auto"/>
          <w:sz w:val="21"/>
          <w:szCs w:val="21"/>
          <w:highlight w:val="none"/>
        </w:rPr>
      </w:pPr>
      <w:r>
        <w:rPr>
          <w:rFonts w:hint="eastAsia" w:cs="宋体"/>
          <w:bCs/>
          <w:color w:val="auto"/>
          <w:sz w:val="21"/>
          <w:szCs w:val="21"/>
          <w:highlight w:val="none"/>
        </w:rPr>
        <w:t>4. 资金来源：</w:t>
      </w:r>
      <w:r>
        <w:rPr>
          <w:rFonts w:hint="eastAsia" w:cs="宋体"/>
          <w:color w:val="auto"/>
          <w:sz w:val="21"/>
          <w:szCs w:val="21"/>
          <w:highlight w:val="none"/>
          <w:u w:val="single"/>
        </w:rPr>
        <w:t></w:t>
      </w:r>
      <w:r>
        <w:rPr>
          <w:rFonts w:hint="eastAsia" w:cs="宋体"/>
          <w:color w:val="auto"/>
          <w:sz w:val="21"/>
          <w:szCs w:val="21"/>
          <w:highlight w:val="none"/>
          <w:u w:val="single"/>
          <w:lang w:val="en-US" w:eastAsia="zh-CN"/>
        </w:rPr>
        <w:t>自筹资金</w:t>
      </w:r>
      <w:r>
        <w:rPr>
          <w:rFonts w:hint="eastAsia" w:cs="宋体"/>
          <w:color w:val="auto"/>
          <w:sz w:val="21"/>
          <w:szCs w:val="21"/>
          <w:highlight w:val="none"/>
          <w:u w:val="single"/>
        </w:rPr>
        <w:t xml:space="preserve">       </w:t>
      </w:r>
      <w:r>
        <w:rPr>
          <w:rFonts w:hint="eastAsia" w:cs="宋体"/>
          <w:bCs/>
          <w:color w:val="auto"/>
          <w:sz w:val="21"/>
          <w:szCs w:val="21"/>
          <w:highlight w:val="none"/>
        </w:rPr>
        <w:t>。</w:t>
      </w:r>
    </w:p>
    <w:p w14:paraId="51043E0C">
      <w:pPr>
        <w:snapToGrid w:val="0"/>
        <w:spacing w:line="360" w:lineRule="auto"/>
        <w:ind w:firstLine="411" w:firstLineChars="196"/>
        <w:rPr>
          <w:rFonts w:cs="宋体"/>
          <w:bCs/>
          <w:color w:val="auto"/>
          <w:sz w:val="21"/>
          <w:szCs w:val="21"/>
          <w:highlight w:val="none"/>
        </w:rPr>
      </w:pPr>
      <w:r>
        <w:rPr>
          <w:rFonts w:hint="eastAsia" w:cs="宋体"/>
          <w:bCs/>
          <w:color w:val="auto"/>
          <w:sz w:val="21"/>
          <w:szCs w:val="21"/>
          <w:highlight w:val="none"/>
        </w:rPr>
        <w:t>5. 工程内容：</w:t>
      </w:r>
      <w:r>
        <w:rPr>
          <w:rFonts w:hint="eastAsia" w:cs="宋体"/>
          <w:color w:val="auto"/>
          <w:sz w:val="21"/>
          <w:szCs w:val="21"/>
          <w:highlight w:val="none"/>
          <w:u w:val="single"/>
        </w:rPr>
        <w:t></w:t>
      </w:r>
      <w:r>
        <w:rPr>
          <w:rFonts w:hint="eastAsia" w:cs="宋体"/>
          <w:color w:val="auto"/>
          <w:sz w:val="21"/>
          <w:szCs w:val="21"/>
          <w:highlight w:val="none"/>
          <w:u w:val="single"/>
          <w:lang w:val="en-US" w:eastAsia="zh-CN"/>
        </w:rPr>
        <w:t>以工程量清单内容为准</w:t>
      </w:r>
      <w:r>
        <w:rPr>
          <w:rFonts w:hint="eastAsia" w:cs="宋体"/>
          <w:color w:val="auto"/>
          <w:sz w:val="21"/>
          <w:szCs w:val="21"/>
          <w:highlight w:val="none"/>
          <w:u w:val="single"/>
        </w:rPr>
        <w:t xml:space="preserve"> </w:t>
      </w:r>
      <w:r>
        <w:rPr>
          <w:rFonts w:hint="eastAsia" w:cs="宋体"/>
          <w:bCs/>
          <w:color w:val="auto"/>
          <w:sz w:val="21"/>
          <w:szCs w:val="21"/>
          <w:highlight w:val="none"/>
        </w:rPr>
        <w:t>。</w:t>
      </w:r>
    </w:p>
    <w:p w14:paraId="6BFCEEBB">
      <w:pPr>
        <w:snapToGrid w:val="0"/>
        <w:spacing w:line="360" w:lineRule="auto"/>
        <w:ind w:firstLine="411" w:firstLineChars="196"/>
        <w:rPr>
          <w:rFonts w:cs="宋体"/>
          <w:bCs/>
          <w:color w:val="auto"/>
          <w:sz w:val="21"/>
          <w:szCs w:val="21"/>
          <w:highlight w:val="none"/>
        </w:rPr>
      </w:pPr>
      <w:r>
        <w:rPr>
          <w:rFonts w:hint="eastAsia" w:cs="宋体"/>
          <w:color w:val="auto"/>
          <w:sz w:val="21"/>
          <w:szCs w:val="21"/>
          <w:highlight w:val="none"/>
        </w:rPr>
        <w:t>群体工程应附《承包人承揽工程项目一览表》（附件1）。</w:t>
      </w:r>
    </w:p>
    <w:p w14:paraId="2DD5E201">
      <w:pPr>
        <w:snapToGrid w:val="0"/>
        <w:spacing w:line="360" w:lineRule="auto"/>
        <w:ind w:firstLine="411" w:firstLineChars="196"/>
        <w:rPr>
          <w:rFonts w:cs="宋体"/>
          <w:bCs/>
          <w:color w:val="auto"/>
          <w:sz w:val="21"/>
          <w:szCs w:val="21"/>
          <w:highlight w:val="none"/>
        </w:rPr>
      </w:pPr>
      <w:r>
        <w:rPr>
          <w:rFonts w:hint="eastAsia" w:cs="宋体"/>
          <w:bCs/>
          <w:color w:val="auto"/>
          <w:sz w:val="21"/>
          <w:szCs w:val="21"/>
          <w:highlight w:val="none"/>
        </w:rPr>
        <w:t>6. 工程承包范围：</w:t>
      </w:r>
    </w:p>
    <w:p w14:paraId="2E8546C3">
      <w:pPr>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u w:val="single"/>
        </w:rPr>
        <w:t>工程量清单载明的施工内容及施工过程中的变更调整内容。</w:t>
      </w:r>
    </w:p>
    <w:p w14:paraId="3A51B22D">
      <w:pPr>
        <w:snapToGrid w:val="0"/>
        <w:spacing w:line="360" w:lineRule="auto"/>
        <w:ind w:firstLine="422" w:firstLineChars="200"/>
        <w:rPr>
          <w:rFonts w:cs="宋体"/>
          <w:b/>
          <w:color w:val="auto"/>
          <w:sz w:val="21"/>
          <w:szCs w:val="21"/>
          <w:highlight w:val="none"/>
        </w:rPr>
      </w:pPr>
      <w:bookmarkStart w:id="41" w:name="_Toc351203482"/>
      <w:r>
        <w:rPr>
          <w:rFonts w:hint="eastAsia" w:cs="宋体"/>
          <w:b/>
          <w:color w:val="auto"/>
          <w:sz w:val="21"/>
          <w:szCs w:val="21"/>
          <w:highlight w:val="none"/>
        </w:rPr>
        <w:t>二、合同工期</w:t>
      </w:r>
      <w:bookmarkEnd w:id="41"/>
    </w:p>
    <w:p w14:paraId="25C28ABC">
      <w:pPr>
        <w:snapToGrid w:val="0"/>
        <w:spacing w:line="360" w:lineRule="auto"/>
        <w:ind w:firstLine="459"/>
        <w:rPr>
          <w:rFonts w:cs="宋体"/>
          <w:color w:val="auto"/>
          <w:sz w:val="21"/>
          <w:szCs w:val="21"/>
          <w:highlight w:val="none"/>
        </w:rPr>
      </w:pPr>
      <w:r>
        <w:rPr>
          <w:rFonts w:hint="eastAsia" w:cs="宋体"/>
          <w:color w:val="auto"/>
          <w:sz w:val="21"/>
          <w:szCs w:val="21"/>
          <w:highlight w:val="none"/>
        </w:rPr>
        <w:t>计划开工日期：</w:t>
      </w:r>
      <w:r>
        <w:rPr>
          <w:rFonts w:hint="eastAsia" w:cs="宋体"/>
          <w:color w:val="auto"/>
          <w:sz w:val="21"/>
          <w:szCs w:val="21"/>
          <w:highlight w:val="none"/>
          <w:u w:val="single"/>
        </w:rPr>
        <w:t></w:t>
      </w:r>
      <w:r>
        <w:rPr>
          <w:rFonts w:hint="eastAsia" w:cs="宋体"/>
          <w:color w:val="auto"/>
          <w:sz w:val="21"/>
          <w:szCs w:val="21"/>
          <w:highlight w:val="none"/>
        </w:rPr>
        <w:t>年</w:t>
      </w:r>
      <w:r>
        <w:rPr>
          <w:rFonts w:hint="eastAsia" w:cs="宋体"/>
          <w:color w:val="auto"/>
          <w:sz w:val="21"/>
          <w:szCs w:val="21"/>
          <w:highlight w:val="none"/>
          <w:u w:val="single"/>
        </w:rPr>
        <w:t></w:t>
      </w:r>
      <w:r>
        <w:rPr>
          <w:rFonts w:hint="eastAsia" w:cs="宋体"/>
          <w:color w:val="auto"/>
          <w:sz w:val="21"/>
          <w:szCs w:val="21"/>
          <w:highlight w:val="none"/>
        </w:rPr>
        <w:t>月</w:t>
      </w:r>
      <w:r>
        <w:rPr>
          <w:rFonts w:hint="eastAsia" w:cs="宋体"/>
          <w:color w:val="auto"/>
          <w:sz w:val="21"/>
          <w:szCs w:val="21"/>
          <w:highlight w:val="none"/>
          <w:u w:val="single"/>
        </w:rPr>
        <w:t></w:t>
      </w:r>
      <w:r>
        <w:rPr>
          <w:rFonts w:hint="eastAsia" w:cs="宋体"/>
          <w:color w:val="auto"/>
          <w:sz w:val="21"/>
          <w:szCs w:val="21"/>
          <w:highlight w:val="none"/>
        </w:rPr>
        <w:t>日。</w:t>
      </w:r>
    </w:p>
    <w:p w14:paraId="2F0E0609">
      <w:pPr>
        <w:snapToGrid w:val="0"/>
        <w:spacing w:line="360" w:lineRule="auto"/>
        <w:ind w:firstLine="459"/>
        <w:rPr>
          <w:rFonts w:cs="宋体"/>
          <w:color w:val="auto"/>
          <w:sz w:val="21"/>
          <w:szCs w:val="21"/>
          <w:highlight w:val="none"/>
        </w:rPr>
      </w:pPr>
      <w:r>
        <w:rPr>
          <w:rFonts w:hint="eastAsia" w:cs="宋体"/>
          <w:color w:val="auto"/>
          <w:sz w:val="21"/>
          <w:szCs w:val="21"/>
          <w:highlight w:val="none"/>
        </w:rPr>
        <w:t>计划竣工日期：</w:t>
      </w:r>
      <w:r>
        <w:rPr>
          <w:rFonts w:hint="eastAsia" w:cs="宋体"/>
          <w:color w:val="auto"/>
          <w:sz w:val="21"/>
          <w:szCs w:val="21"/>
          <w:highlight w:val="none"/>
          <w:u w:val="single"/>
        </w:rPr>
        <w:t></w:t>
      </w:r>
      <w:r>
        <w:rPr>
          <w:rFonts w:hint="eastAsia" w:cs="宋体"/>
          <w:color w:val="auto"/>
          <w:sz w:val="21"/>
          <w:szCs w:val="21"/>
          <w:highlight w:val="none"/>
        </w:rPr>
        <w:t>年</w:t>
      </w:r>
      <w:r>
        <w:rPr>
          <w:rFonts w:hint="eastAsia" w:cs="宋体"/>
          <w:color w:val="auto"/>
          <w:sz w:val="21"/>
          <w:szCs w:val="21"/>
          <w:highlight w:val="none"/>
          <w:u w:val="single"/>
        </w:rPr>
        <w:t></w:t>
      </w:r>
      <w:r>
        <w:rPr>
          <w:rFonts w:hint="eastAsia" w:cs="宋体"/>
          <w:color w:val="auto"/>
          <w:sz w:val="21"/>
          <w:szCs w:val="21"/>
          <w:highlight w:val="none"/>
        </w:rPr>
        <w:t>月</w:t>
      </w:r>
      <w:r>
        <w:rPr>
          <w:rFonts w:hint="eastAsia" w:cs="宋体"/>
          <w:color w:val="auto"/>
          <w:sz w:val="21"/>
          <w:szCs w:val="21"/>
          <w:highlight w:val="none"/>
          <w:u w:val="single"/>
        </w:rPr>
        <w:t></w:t>
      </w:r>
      <w:r>
        <w:rPr>
          <w:rFonts w:hint="eastAsia" w:cs="宋体"/>
          <w:color w:val="auto"/>
          <w:sz w:val="21"/>
          <w:szCs w:val="21"/>
          <w:highlight w:val="none"/>
        </w:rPr>
        <w:t>日。</w:t>
      </w:r>
    </w:p>
    <w:p w14:paraId="375D21B9">
      <w:pPr>
        <w:snapToGrid w:val="0"/>
        <w:spacing w:line="360" w:lineRule="auto"/>
        <w:ind w:firstLine="459"/>
        <w:rPr>
          <w:rFonts w:cs="宋体"/>
          <w:color w:val="auto"/>
          <w:sz w:val="21"/>
          <w:szCs w:val="21"/>
          <w:highlight w:val="none"/>
        </w:rPr>
      </w:pPr>
      <w:r>
        <w:rPr>
          <w:rFonts w:hint="eastAsia" w:cs="宋体"/>
          <w:color w:val="auto"/>
          <w:sz w:val="21"/>
          <w:szCs w:val="21"/>
          <w:highlight w:val="none"/>
        </w:rPr>
        <w:t>工期总日历天数：</w:t>
      </w:r>
      <w:r>
        <w:rPr>
          <w:rFonts w:hint="eastAsia" w:cs="宋体"/>
          <w:color w:val="auto"/>
          <w:sz w:val="21"/>
          <w:szCs w:val="21"/>
          <w:highlight w:val="none"/>
          <w:u w:val="single"/>
        </w:rPr>
        <w:t></w:t>
      </w:r>
      <w:r>
        <w:rPr>
          <w:rFonts w:hint="eastAsia" w:cs="宋体"/>
          <w:color w:val="auto"/>
          <w:sz w:val="21"/>
          <w:szCs w:val="21"/>
          <w:highlight w:val="none"/>
        </w:rPr>
        <w:t>天。工期总日历天数与根据前述计划开竣工日期计算的工期天数不一致的，以工期总日历天数为准。</w:t>
      </w:r>
    </w:p>
    <w:p w14:paraId="1A6BEDDD">
      <w:pPr>
        <w:snapToGrid w:val="0"/>
        <w:spacing w:line="360" w:lineRule="auto"/>
        <w:ind w:firstLine="422" w:firstLineChars="200"/>
        <w:rPr>
          <w:rFonts w:cs="宋体"/>
          <w:b/>
          <w:color w:val="auto"/>
          <w:sz w:val="21"/>
          <w:szCs w:val="21"/>
          <w:highlight w:val="none"/>
        </w:rPr>
      </w:pPr>
      <w:bookmarkStart w:id="42" w:name="_Toc351203483"/>
      <w:r>
        <w:rPr>
          <w:rFonts w:hint="eastAsia" w:cs="宋体"/>
          <w:b/>
          <w:color w:val="auto"/>
          <w:sz w:val="21"/>
          <w:szCs w:val="21"/>
          <w:highlight w:val="none"/>
        </w:rPr>
        <w:t>三、质量标准</w:t>
      </w:r>
      <w:bookmarkEnd w:id="42"/>
    </w:p>
    <w:p w14:paraId="5794E782">
      <w:pPr>
        <w:snapToGrid w:val="0"/>
        <w:spacing w:line="360" w:lineRule="auto"/>
        <w:ind w:firstLine="459"/>
        <w:rPr>
          <w:rFonts w:cs="宋体"/>
          <w:color w:val="auto"/>
          <w:sz w:val="21"/>
          <w:szCs w:val="21"/>
          <w:highlight w:val="none"/>
        </w:rPr>
      </w:pPr>
      <w:r>
        <w:rPr>
          <w:rFonts w:hint="eastAsia" w:cs="宋体"/>
          <w:color w:val="auto"/>
          <w:sz w:val="21"/>
          <w:szCs w:val="21"/>
          <w:highlight w:val="none"/>
        </w:rPr>
        <w:t>工程质量符合</w:t>
      </w:r>
      <w:r>
        <w:rPr>
          <w:rFonts w:hint="eastAsia" w:cs="宋体"/>
          <w:color w:val="auto"/>
          <w:sz w:val="21"/>
          <w:szCs w:val="21"/>
          <w:highlight w:val="none"/>
          <w:u w:val="single"/>
        </w:rPr>
        <w:t xml:space="preserve"> 合格 </w:t>
      </w:r>
      <w:r>
        <w:rPr>
          <w:rFonts w:hint="eastAsia" w:cs="宋体"/>
          <w:color w:val="auto"/>
          <w:sz w:val="21"/>
          <w:szCs w:val="21"/>
          <w:highlight w:val="none"/>
        </w:rPr>
        <w:t>标准。</w:t>
      </w:r>
    </w:p>
    <w:p w14:paraId="41673B29">
      <w:pPr>
        <w:snapToGrid w:val="0"/>
        <w:spacing w:line="360" w:lineRule="auto"/>
        <w:ind w:firstLine="422" w:firstLineChars="200"/>
        <w:rPr>
          <w:rFonts w:cs="宋体"/>
          <w:b/>
          <w:color w:val="auto"/>
          <w:sz w:val="21"/>
          <w:szCs w:val="21"/>
          <w:highlight w:val="none"/>
        </w:rPr>
      </w:pPr>
      <w:bookmarkStart w:id="43" w:name="_Toc351203484"/>
      <w:r>
        <w:rPr>
          <w:rFonts w:hint="eastAsia" w:cs="宋体"/>
          <w:b/>
          <w:color w:val="auto"/>
          <w:sz w:val="21"/>
          <w:szCs w:val="21"/>
          <w:highlight w:val="none"/>
        </w:rPr>
        <w:t>四、签约合同价与合同价格形式</w:t>
      </w:r>
      <w:bookmarkEnd w:id="43"/>
    </w:p>
    <w:p w14:paraId="1BAB5D2A">
      <w:pPr>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 签约合同价为：</w:t>
      </w:r>
    </w:p>
    <w:p w14:paraId="2D1262F1">
      <w:pPr>
        <w:snapToGrid w:val="0"/>
        <w:spacing w:line="360" w:lineRule="auto"/>
        <w:ind w:firstLine="525" w:firstLineChars="250"/>
        <w:rPr>
          <w:rFonts w:cs="宋体"/>
          <w:color w:val="auto"/>
          <w:sz w:val="21"/>
          <w:szCs w:val="21"/>
          <w:highlight w:val="none"/>
        </w:rPr>
      </w:pPr>
      <w:r>
        <w:rPr>
          <w:rFonts w:hint="eastAsia" w:cs="宋体"/>
          <w:color w:val="auto"/>
          <w:sz w:val="21"/>
          <w:szCs w:val="21"/>
          <w:highlight w:val="none"/>
        </w:rPr>
        <w:t>人民币（大写）</w:t>
      </w:r>
      <w:r>
        <w:rPr>
          <w:rFonts w:hint="eastAsia" w:cs="宋体"/>
          <w:color w:val="auto"/>
          <w:sz w:val="21"/>
          <w:szCs w:val="21"/>
          <w:highlight w:val="none"/>
          <w:u w:val="single"/>
        </w:rPr>
        <w:t xml:space="preserve">                 （</w:t>
      </w:r>
      <w:r>
        <w:rPr>
          <w:rFonts w:hint="eastAsia" w:cs="宋体"/>
          <w:color w:val="auto"/>
          <w:sz w:val="21"/>
          <w:szCs w:val="21"/>
          <w:highlight w:val="none"/>
        </w:rPr>
        <w:t>¥</w:t>
      </w:r>
      <w:r>
        <w:rPr>
          <w:rFonts w:hint="eastAsia" w:cs="宋体"/>
          <w:color w:val="auto"/>
          <w:sz w:val="21"/>
          <w:szCs w:val="21"/>
          <w:highlight w:val="none"/>
          <w:u w:val="single"/>
        </w:rPr>
        <w:t xml:space="preserve">            </w:t>
      </w:r>
      <w:r>
        <w:rPr>
          <w:rFonts w:hint="eastAsia" w:cs="宋体"/>
          <w:color w:val="auto"/>
          <w:sz w:val="21"/>
          <w:szCs w:val="21"/>
          <w:highlight w:val="none"/>
        </w:rPr>
        <w:t>元）；</w:t>
      </w:r>
    </w:p>
    <w:p w14:paraId="238CC126">
      <w:pPr>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其中：</w:t>
      </w:r>
    </w:p>
    <w:p w14:paraId="7A784991">
      <w:pPr>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（1）安全文明施工费：</w:t>
      </w:r>
    </w:p>
    <w:p w14:paraId="62246020">
      <w:pPr>
        <w:snapToGrid w:val="0"/>
        <w:spacing w:line="360" w:lineRule="auto"/>
        <w:ind w:firstLine="945" w:firstLineChars="450"/>
        <w:rPr>
          <w:rFonts w:cs="宋体"/>
          <w:color w:val="auto"/>
          <w:sz w:val="21"/>
          <w:szCs w:val="21"/>
          <w:highlight w:val="none"/>
        </w:rPr>
      </w:pPr>
      <w:r>
        <w:rPr>
          <w:rFonts w:hint="eastAsia" w:cs="宋体"/>
          <w:color w:val="auto"/>
          <w:sz w:val="21"/>
          <w:szCs w:val="21"/>
          <w:highlight w:val="none"/>
        </w:rPr>
        <w:t>人民币（大写）</w:t>
      </w:r>
      <w:r>
        <w:rPr>
          <w:rFonts w:hint="eastAsia" w:cs="宋体"/>
          <w:color w:val="auto"/>
          <w:sz w:val="21"/>
          <w:szCs w:val="21"/>
          <w:highlight w:val="none"/>
          <w:u w:val="single"/>
        </w:rPr>
        <w:t xml:space="preserve">              </w:t>
      </w:r>
      <w:r>
        <w:rPr>
          <w:rFonts w:hint="eastAsia" w:cs="宋体"/>
          <w:color w:val="auto"/>
          <w:sz w:val="21"/>
          <w:szCs w:val="21"/>
          <w:highlight w:val="none"/>
        </w:rPr>
        <w:t xml:space="preserve"> （¥</w:t>
      </w:r>
      <w:r>
        <w:rPr>
          <w:rFonts w:hint="eastAsia" w:cs="宋体"/>
          <w:color w:val="auto"/>
          <w:sz w:val="21"/>
          <w:szCs w:val="21"/>
          <w:highlight w:val="none"/>
          <w:u w:val="single"/>
        </w:rPr>
        <w:t xml:space="preserve">          </w:t>
      </w:r>
      <w:r>
        <w:rPr>
          <w:rFonts w:hint="eastAsia" w:cs="宋体"/>
          <w:color w:val="auto"/>
          <w:sz w:val="21"/>
          <w:szCs w:val="21"/>
          <w:highlight w:val="none"/>
        </w:rPr>
        <w:t>元）；</w:t>
      </w:r>
    </w:p>
    <w:p w14:paraId="109E1411">
      <w:pPr>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（2）材料和工程设备暂估价金额：</w:t>
      </w:r>
    </w:p>
    <w:p w14:paraId="76631296">
      <w:pPr>
        <w:snapToGrid w:val="0"/>
        <w:spacing w:line="360" w:lineRule="auto"/>
        <w:ind w:firstLine="945" w:firstLineChars="450"/>
        <w:rPr>
          <w:rFonts w:cs="宋体"/>
          <w:color w:val="auto"/>
          <w:sz w:val="21"/>
          <w:szCs w:val="21"/>
          <w:highlight w:val="none"/>
        </w:rPr>
      </w:pPr>
      <w:r>
        <w:rPr>
          <w:rFonts w:hint="eastAsia" w:cs="宋体"/>
          <w:color w:val="auto"/>
          <w:sz w:val="21"/>
          <w:szCs w:val="21"/>
          <w:highlight w:val="none"/>
        </w:rPr>
        <w:t>人民币（大写）</w:t>
      </w:r>
      <w:r>
        <w:rPr>
          <w:rFonts w:hint="eastAsia" w:cs="宋体"/>
          <w:color w:val="auto"/>
          <w:sz w:val="21"/>
          <w:szCs w:val="21"/>
          <w:highlight w:val="none"/>
          <w:u w:val="single"/>
        </w:rPr>
        <w:t xml:space="preserve">              </w:t>
      </w:r>
      <w:r>
        <w:rPr>
          <w:rFonts w:hint="eastAsia" w:cs="宋体"/>
          <w:color w:val="auto"/>
          <w:sz w:val="21"/>
          <w:szCs w:val="21"/>
          <w:highlight w:val="none"/>
        </w:rPr>
        <w:t xml:space="preserve"> （¥</w:t>
      </w:r>
      <w:r>
        <w:rPr>
          <w:rFonts w:hint="eastAsia" w:cs="宋体"/>
          <w:color w:val="auto"/>
          <w:sz w:val="21"/>
          <w:szCs w:val="21"/>
          <w:highlight w:val="none"/>
          <w:u w:val="single"/>
        </w:rPr>
        <w:t xml:space="preserve">          </w:t>
      </w:r>
      <w:r>
        <w:rPr>
          <w:rFonts w:hint="eastAsia" w:cs="宋体"/>
          <w:color w:val="auto"/>
          <w:sz w:val="21"/>
          <w:szCs w:val="21"/>
          <w:highlight w:val="none"/>
        </w:rPr>
        <w:t>元）；</w:t>
      </w:r>
    </w:p>
    <w:p w14:paraId="1832C126">
      <w:pPr>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（3）专业工程暂估价金额：</w:t>
      </w:r>
    </w:p>
    <w:p w14:paraId="0638A5AC">
      <w:pPr>
        <w:snapToGrid w:val="0"/>
        <w:spacing w:line="360" w:lineRule="auto"/>
        <w:ind w:firstLine="945" w:firstLineChars="450"/>
        <w:rPr>
          <w:rFonts w:cs="宋体"/>
          <w:color w:val="auto"/>
          <w:sz w:val="21"/>
          <w:szCs w:val="21"/>
          <w:highlight w:val="none"/>
        </w:rPr>
      </w:pPr>
      <w:r>
        <w:rPr>
          <w:rFonts w:hint="eastAsia" w:cs="宋体"/>
          <w:color w:val="auto"/>
          <w:sz w:val="21"/>
          <w:szCs w:val="21"/>
          <w:highlight w:val="none"/>
        </w:rPr>
        <w:t>人民币（大写）</w:t>
      </w:r>
      <w:r>
        <w:rPr>
          <w:rFonts w:hint="eastAsia" w:cs="宋体"/>
          <w:color w:val="auto"/>
          <w:sz w:val="21"/>
          <w:szCs w:val="21"/>
          <w:highlight w:val="none"/>
          <w:u w:val="single"/>
        </w:rPr>
        <w:t xml:space="preserve">              </w:t>
      </w:r>
      <w:r>
        <w:rPr>
          <w:rFonts w:hint="eastAsia" w:cs="宋体"/>
          <w:color w:val="auto"/>
          <w:sz w:val="21"/>
          <w:szCs w:val="21"/>
          <w:highlight w:val="none"/>
        </w:rPr>
        <w:t xml:space="preserve"> （¥</w:t>
      </w:r>
      <w:r>
        <w:rPr>
          <w:rFonts w:hint="eastAsia" w:cs="宋体"/>
          <w:color w:val="auto"/>
          <w:sz w:val="21"/>
          <w:szCs w:val="21"/>
          <w:highlight w:val="none"/>
          <w:u w:val="single"/>
        </w:rPr>
        <w:t xml:space="preserve">          </w:t>
      </w:r>
      <w:r>
        <w:rPr>
          <w:rFonts w:hint="eastAsia" w:cs="宋体"/>
          <w:color w:val="auto"/>
          <w:sz w:val="21"/>
          <w:szCs w:val="21"/>
          <w:highlight w:val="none"/>
        </w:rPr>
        <w:t>元）；</w:t>
      </w:r>
    </w:p>
    <w:p w14:paraId="78AF2313">
      <w:pPr>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（4）暂列金额：</w:t>
      </w:r>
    </w:p>
    <w:p w14:paraId="22876E63">
      <w:pPr>
        <w:snapToGrid w:val="0"/>
        <w:spacing w:line="360" w:lineRule="auto"/>
        <w:ind w:firstLine="945" w:firstLineChars="450"/>
        <w:rPr>
          <w:rFonts w:cs="宋体"/>
          <w:color w:val="auto"/>
          <w:sz w:val="21"/>
          <w:szCs w:val="21"/>
          <w:highlight w:val="none"/>
        </w:rPr>
      </w:pPr>
      <w:r>
        <w:rPr>
          <w:rFonts w:hint="eastAsia" w:cs="宋体"/>
          <w:color w:val="auto"/>
          <w:sz w:val="21"/>
          <w:szCs w:val="21"/>
          <w:highlight w:val="none"/>
        </w:rPr>
        <w:t>人民币（大写）</w:t>
      </w:r>
      <w:r>
        <w:rPr>
          <w:rFonts w:hint="eastAsia" w:cs="宋体"/>
          <w:color w:val="auto"/>
          <w:sz w:val="21"/>
          <w:szCs w:val="21"/>
          <w:highlight w:val="none"/>
          <w:u w:val="single"/>
        </w:rPr>
        <w:t xml:space="preserve">              </w:t>
      </w:r>
      <w:r>
        <w:rPr>
          <w:rFonts w:hint="eastAsia" w:cs="宋体"/>
          <w:color w:val="auto"/>
          <w:sz w:val="21"/>
          <w:szCs w:val="21"/>
          <w:highlight w:val="none"/>
        </w:rPr>
        <w:t xml:space="preserve"> （¥</w:t>
      </w:r>
      <w:r>
        <w:rPr>
          <w:rFonts w:hint="eastAsia" w:cs="宋体"/>
          <w:color w:val="auto"/>
          <w:sz w:val="21"/>
          <w:szCs w:val="21"/>
          <w:highlight w:val="none"/>
          <w:u w:val="single"/>
        </w:rPr>
        <w:t xml:space="preserve">          </w:t>
      </w:r>
      <w:r>
        <w:rPr>
          <w:rFonts w:hint="eastAsia" w:cs="宋体"/>
          <w:color w:val="auto"/>
          <w:sz w:val="21"/>
          <w:szCs w:val="21"/>
          <w:highlight w:val="none"/>
        </w:rPr>
        <w:t>元）。</w:t>
      </w:r>
    </w:p>
    <w:p w14:paraId="6E74C981">
      <w:pPr>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 合同价格形式：</w:t>
      </w:r>
      <w:r>
        <w:rPr>
          <w:rFonts w:hint="eastAsia" w:ascii="宋体" w:hAnsi="宋体" w:eastAsia="宋体" w:cs="宋体"/>
          <w:b w:val="0"/>
          <w:bCs w:val="0"/>
          <w:color w:val="auto"/>
          <w:kern w:val="2"/>
          <w:sz w:val="21"/>
          <w:szCs w:val="21"/>
          <w:highlight w:val="none"/>
          <w:u w:val="single"/>
          <w:lang w:val="en-US" w:eastAsia="zh-CN" w:bidi="ar"/>
        </w:rPr>
        <w:t>固定单价合同，采用工程量清单方式计价</w:t>
      </w:r>
      <w:r>
        <w:rPr>
          <w:rFonts w:hint="eastAsia" w:cs="宋体"/>
          <w:color w:val="auto"/>
          <w:sz w:val="21"/>
          <w:szCs w:val="21"/>
          <w:highlight w:val="none"/>
        </w:rPr>
        <w:t>。</w:t>
      </w:r>
    </w:p>
    <w:p w14:paraId="656A00B9">
      <w:pPr>
        <w:snapToGrid w:val="0"/>
        <w:spacing w:line="360" w:lineRule="auto"/>
        <w:ind w:firstLine="422" w:firstLineChars="200"/>
        <w:rPr>
          <w:rFonts w:cs="宋体"/>
          <w:b/>
          <w:color w:val="auto"/>
          <w:sz w:val="21"/>
          <w:szCs w:val="21"/>
          <w:highlight w:val="none"/>
        </w:rPr>
      </w:pPr>
      <w:bookmarkStart w:id="44" w:name="_Toc351203485"/>
      <w:r>
        <w:rPr>
          <w:rFonts w:hint="eastAsia" w:cs="宋体"/>
          <w:b/>
          <w:color w:val="auto"/>
          <w:sz w:val="21"/>
          <w:szCs w:val="21"/>
          <w:highlight w:val="none"/>
        </w:rPr>
        <w:t>五、</w:t>
      </w:r>
      <w:bookmarkEnd w:id="44"/>
      <w:r>
        <w:rPr>
          <w:rFonts w:hint="eastAsia" w:cs="宋体"/>
          <w:b/>
          <w:color w:val="auto"/>
          <w:sz w:val="21"/>
          <w:szCs w:val="21"/>
          <w:highlight w:val="none"/>
        </w:rPr>
        <w:t>项目经理</w:t>
      </w:r>
    </w:p>
    <w:p w14:paraId="5631FB45">
      <w:pPr>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承包人项目经理：</w:t>
      </w:r>
      <w:r>
        <w:rPr>
          <w:rFonts w:hint="eastAsia" w:cs="宋体"/>
          <w:color w:val="auto"/>
          <w:sz w:val="21"/>
          <w:szCs w:val="21"/>
          <w:highlight w:val="none"/>
          <w:u w:val="single"/>
        </w:rPr>
        <w:t>                     </w:t>
      </w:r>
      <w:r>
        <w:rPr>
          <w:rFonts w:hint="eastAsia" w:cs="宋体"/>
          <w:color w:val="auto"/>
          <w:sz w:val="21"/>
          <w:szCs w:val="21"/>
          <w:highlight w:val="none"/>
        </w:rPr>
        <w:t>。</w:t>
      </w:r>
    </w:p>
    <w:p w14:paraId="506F1526">
      <w:pPr>
        <w:snapToGrid w:val="0"/>
        <w:spacing w:line="360" w:lineRule="auto"/>
        <w:ind w:firstLine="422" w:firstLineChars="200"/>
        <w:rPr>
          <w:rFonts w:cs="宋体"/>
          <w:b/>
          <w:color w:val="auto"/>
          <w:sz w:val="21"/>
          <w:szCs w:val="21"/>
          <w:highlight w:val="none"/>
        </w:rPr>
      </w:pPr>
      <w:bookmarkStart w:id="45" w:name="_Toc351203486"/>
      <w:r>
        <w:rPr>
          <w:rFonts w:hint="eastAsia" w:cs="宋体"/>
          <w:b/>
          <w:color w:val="auto"/>
          <w:sz w:val="21"/>
          <w:szCs w:val="21"/>
          <w:highlight w:val="none"/>
        </w:rPr>
        <w:t>六、合同文件构成</w:t>
      </w:r>
      <w:bookmarkEnd w:id="45"/>
    </w:p>
    <w:p w14:paraId="4B890E52">
      <w:pPr>
        <w:snapToGrid w:val="0"/>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本协议书与下列文件一起构成合同文件：</w:t>
      </w:r>
    </w:p>
    <w:p w14:paraId="5C3B9D6C">
      <w:pPr>
        <w:autoSpaceDE w:val="0"/>
        <w:autoSpaceDN w:val="0"/>
        <w:adjustRightInd w:val="0"/>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（1）中标通知书（如果有）；</w:t>
      </w:r>
    </w:p>
    <w:p w14:paraId="5276F154">
      <w:pPr>
        <w:autoSpaceDE w:val="0"/>
        <w:autoSpaceDN w:val="0"/>
        <w:adjustRightInd w:val="0"/>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 xml:space="preserve">（2）投标函及其附录（如果有）； </w:t>
      </w:r>
    </w:p>
    <w:p w14:paraId="43DC31D1">
      <w:pPr>
        <w:autoSpaceDE w:val="0"/>
        <w:autoSpaceDN w:val="0"/>
        <w:adjustRightInd w:val="0"/>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（3）专用合同条款及其附件；</w:t>
      </w:r>
    </w:p>
    <w:p w14:paraId="1BC23EDD">
      <w:pPr>
        <w:autoSpaceDE w:val="0"/>
        <w:autoSpaceDN w:val="0"/>
        <w:adjustRightInd w:val="0"/>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（4）通用合同条款；</w:t>
      </w:r>
    </w:p>
    <w:p w14:paraId="284EDD0A">
      <w:pPr>
        <w:autoSpaceDE w:val="0"/>
        <w:autoSpaceDN w:val="0"/>
        <w:adjustRightInd w:val="0"/>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（5）技术标准和要求；</w:t>
      </w:r>
    </w:p>
    <w:p w14:paraId="6490633E">
      <w:pPr>
        <w:autoSpaceDE w:val="0"/>
        <w:autoSpaceDN w:val="0"/>
        <w:adjustRightInd w:val="0"/>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（6）图纸；</w:t>
      </w:r>
    </w:p>
    <w:p w14:paraId="7C20958B">
      <w:pPr>
        <w:autoSpaceDE w:val="0"/>
        <w:autoSpaceDN w:val="0"/>
        <w:adjustRightInd w:val="0"/>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（7）已标价工程量清单或预算书；</w:t>
      </w:r>
    </w:p>
    <w:p w14:paraId="5F692036">
      <w:pPr>
        <w:autoSpaceDE w:val="0"/>
        <w:autoSpaceDN w:val="0"/>
        <w:adjustRightInd w:val="0"/>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（8）其他合同文件。</w:t>
      </w:r>
    </w:p>
    <w:p w14:paraId="722351EC">
      <w:pPr>
        <w:autoSpaceDE w:val="0"/>
        <w:autoSpaceDN w:val="0"/>
        <w:adjustRightInd w:val="0"/>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在合同订立及履行过程中形成的与合同有关的文件均构成合同文件组成部分。</w:t>
      </w:r>
    </w:p>
    <w:p w14:paraId="383E7875">
      <w:pPr>
        <w:autoSpaceDE w:val="0"/>
        <w:autoSpaceDN w:val="0"/>
        <w:adjustRightInd w:val="0"/>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上述各项合同文件包括合同当事人就该项合同文件所作出的补充和修改，属于同一类内容的文件，应以最新签署的为准。专用合同条款及其附件须经合同当事人签字或盖章。</w:t>
      </w:r>
    </w:p>
    <w:p w14:paraId="23435B58">
      <w:pPr>
        <w:snapToGrid w:val="0"/>
        <w:spacing w:line="360" w:lineRule="auto"/>
        <w:ind w:firstLine="422" w:firstLineChars="200"/>
        <w:rPr>
          <w:rFonts w:cs="宋体"/>
          <w:b/>
          <w:color w:val="auto"/>
          <w:sz w:val="21"/>
          <w:szCs w:val="21"/>
          <w:highlight w:val="none"/>
        </w:rPr>
      </w:pPr>
      <w:bookmarkStart w:id="46" w:name="_Toc351203487"/>
      <w:r>
        <w:rPr>
          <w:rFonts w:hint="eastAsia" w:cs="宋体"/>
          <w:b/>
          <w:color w:val="auto"/>
          <w:sz w:val="21"/>
          <w:szCs w:val="21"/>
          <w:highlight w:val="none"/>
        </w:rPr>
        <w:t>七、承诺</w:t>
      </w:r>
      <w:bookmarkEnd w:id="46"/>
    </w:p>
    <w:p w14:paraId="5C3129F6">
      <w:pPr>
        <w:snapToGrid w:val="0"/>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1. 发包人承诺按照法律规定履行项目审批手续、筹集工程建设资金并按照合同约定的期限和方式支付合同价款。</w:t>
      </w:r>
    </w:p>
    <w:p w14:paraId="362B3ABA">
      <w:pPr>
        <w:snapToGrid w:val="0"/>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2. 承包人承诺按照法律规定及合同约定组织完成工程施工，确保工程质量和安全，不进行转包及违法分包，并在缺陷责任期及保修期内承担相应的工程维修责任。</w:t>
      </w:r>
    </w:p>
    <w:p w14:paraId="63EE384F">
      <w:pPr>
        <w:snapToGrid w:val="0"/>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3. 发包人和承包人通过招投标形式签订合同的，双方理解并承诺不再就同一工程另行签订与合同实质性内容相背离的协议。</w:t>
      </w:r>
    </w:p>
    <w:p w14:paraId="1042028E">
      <w:pPr>
        <w:snapToGrid w:val="0"/>
        <w:spacing w:line="360" w:lineRule="auto"/>
        <w:ind w:firstLine="422" w:firstLineChars="200"/>
        <w:rPr>
          <w:rFonts w:cs="宋体"/>
          <w:b/>
          <w:color w:val="auto"/>
          <w:sz w:val="21"/>
          <w:szCs w:val="21"/>
          <w:highlight w:val="none"/>
        </w:rPr>
      </w:pPr>
      <w:bookmarkStart w:id="47" w:name="_Toc351203488"/>
      <w:r>
        <w:rPr>
          <w:rFonts w:hint="eastAsia" w:cs="宋体"/>
          <w:b/>
          <w:color w:val="auto"/>
          <w:sz w:val="21"/>
          <w:szCs w:val="21"/>
          <w:highlight w:val="none"/>
        </w:rPr>
        <w:t>八、词语含义</w:t>
      </w:r>
      <w:bookmarkEnd w:id="47"/>
    </w:p>
    <w:p w14:paraId="4D001363">
      <w:pPr>
        <w:snapToGrid w:val="0"/>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本协议书中词语含义与第二部分通用合同条款中赋予的含义相同。</w:t>
      </w:r>
    </w:p>
    <w:p w14:paraId="4D4BF13C">
      <w:pPr>
        <w:snapToGrid w:val="0"/>
        <w:spacing w:line="360" w:lineRule="auto"/>
        <w:ind w:firstLine="422" w:firstLineChars="200"/>
        <w:rPr>
          <w:rFonts w:cs="宋体"/>
          <w:b/>
          <w:color w:val="auto"/>
          <w:sz w:val="21"/>
          <w:szCs w:val="21"/>
          <w:highlight w:val="none"/>
        </w:rPr>
      </w:pPr>
      <w:bookmarkStart w:id="48" w:name="_Toc351203489"/>
      <w:r>
        <w:rPr>
          <w:rFonts w:hint="eastAsia" w:cs="宋体"/>
          <w:b/>
          <w:color w:val="auto"/>
          <w:sz w:val="21"/>
          <w:szCs w:val="21"/>
          <w:highlight w:val="none"/>
        </w:rPr>
        <w:t>九、签订时间</w:t>
      </w:r>
      <w:bookmarkEnd w:id="48"/>
    </w:p>
    <w:p w14:paraId="035C1359">
      <w:pPr>
        <w:snapToGrid w:val="0"/>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本合同于</w:t>
      </w:r>
      <w:r>
        <w:rPr>
          <w:rFonts w:hint="eastAsia" w:cs="宋体"/>
          <w:bCs/>
          <w:color w:val="auto"/>
          <w:sz w:val="21"/>
          <w:szCs w:val="21"/>
          <w:highlight w:val="none"/>
          <w:u w:val="single"/>
        </w:rPr>
        <w:t xml:space="preserve">         </w:t>
      </w:r>
      <w:r>
        <w:rPr>
          <w:rFonts w:hint="eastAsia" w:cs="宋体"/>
          <w:bCs/>
          <w:color w:val="auto"/>
          <w:sz w:val="21"/>
          <w:szCs w:val="21"/>
          <w:highlight w:val="none"/>
        </w:rPr>
        <w:t>年</w:t>
      </w:r>
      <w:r>
        <w:rPr>
          <w:rFonts w:hint="eastAsia" w:cs="宋体"/>
          <w:bCs/>
          <w:color w:val="auto"/>
          <w:sz w:val="21"/>
          <w:szCs w:val="21"/>
          <w:highlight w:val="none"/>
          <w:u w:val="single"/>
        </w:rPr>
        <w:t xml:space="preserve">    </w:t>
      </w:r>
      <w:r>
        <w:rPr>
          <w:rFonts w:hint="eastAsia" w:cs="宋体"/>
          <w:bCs/>
          <w:color w:val="auto"/>
          <w:sz w:val="21"/>
          <w:szCs w:val="21"/>
          <w:highlight w:val="none"/>
        </w:rPr>
        <w:t>月</w:t>
      </w:r>
      <w:r>
        <w:rPr>
          <w:rFonts w:hint="eastAsia" w:cs="宋体"/>
          <w:bCs/>
          <w:color w:val="auto"/>
          <w:sz w:val="21"/>
          <w:szCs w:val="21"/>
          <w:highlight w:val="none"/>
          <w:u w:val="single"/>
        </w:rPr>
        <w:t xml:space="preserve">    </w:t>
      </w:r>
      <w:r>
        <w:rPr>
          <w:rFonts w:hint="eastAsia" w:cs="宋体"/>
          <w:bCs/>
          <w:color w:val="auto"/>
          <w:sz w:val="21"/>
          <w:szCs w:val="21"/>
          <w:highlight w:val="none"/>
        </w:rPr>
        <w:t>日签订。</w:t>
      </w:r>
    </w:p>
    <w:p w14:paraId="74F782BE">
      <w:pPr>
        <w:snapToGrid w:val="0"/>
        <w:spacing w:line="360" w:lineRule="auto"/>
        <w:ind w:firstLine="422" w:firstLineChars="200"/>
        <w:rPr>
          <w:rFonts w:cs="宋体"/>
          <w:b/>
          <w:color w:val="auto"/>
          <w:sz w:val="21"/>
          <w:szCs w:val="21"/>
          <w:highlight w:val="none"/>
        </w:rPr>
      </w:pPr>
      <w:bookmarkStart w:id="49" w:name="_Toc351203490"/>
      <w:r>
        <w:rPr>
          <w:rFonts w:hint="eastAsia" w:cs="宋体"/>
          <w:b/>
          <w:color w:val="auto"/>
          <w:sz w:val="21"/>
          <w:szCs w:val="21"/>
          <w:highlight w:val="none"/>
        </w:rPr>
        <w:t>十、签订地点</w:t>
      </w:r>
      <w:bookmarkEnd w:id="49"/>
    </w:p>
    <w:p w14:paraId="18FF2D62">
      <w:pPr>
        <w:snapToGrid w:val="0"/>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本合同在</w:t>
      </w:r>
      <w:r>
        <w:rPr>
          <w:rFonts w:hint="eastAsia" w:cs="宋体"/>
          <w:bCs/>
          <w:color w:val="auto"/>
          <w:sz w:val="21"/>
          <w:szCs w:val="21"/>
          <w:highlight w:val="none"/>
          <w:u w:val="single"/>
        </w:rPr>
        <w:t xml:space="preserve">                                    </w:t>
      </w:r>
      <w:r>
        <w:rPr>
          <w:rFonts w:hint="eastAsia" w:cs="宋体"/>
          <w:bCs/>
          <w:color w:val="auto"/>
          <w:sz w:val="21"/>
          <w:szCs w:val="21"/>
          <w:highlight w:val="none"/>
        </w:rPr>
        <w:t>签订。</w:t>
      </w:r>
    </w:p>
    <w:p w14:paraId="079F7040">
      <w:pPr>
        <w:snapToGrid w:val="0"/>
        <w:spacing w:line="360" w:lineRule="auto"/>
        <w:ind w:firstLine="422" w:firstLineChars="200"/>
        <w:rPr>
          <w:rFonts w:cs="宋体"/>
          <w:b/>
          <w:color w:val="auto"/>
          <w:sz w:val="21"/>
          <w:szCs w:val="21"/>
          <w:highlight w:val="none"/>
        </w:rPr>
      </w:pPr>
      <w:bookmarkStart w:id="50" w:name="_Toc351203491"/>
      <w:r>
        <w:rPr>
          <w:rFonts w:hint="eastAsia" w:cs="宋体"/>
          <w:b/>
          <w:color w:val="auto"/>
          <w:sz w:val="21"/>
          <w:szCs w:val="21"/>
          <w:highlight w:val="none"/>
        </w:rPr>
        <w:t>十一、补充协议</w:t>
      </w:r>
      <w:bookmarkEnd w:id="50"/>
    </w:p>
    <w:p w14:paraId="1705F22C">
      <w:pPr>
        <w:snapToGrid w:val="0"/>
        <w:spacing w:line="360" w:lineRule="auto"/>
        <w:ind w:firstLine="420" w:firstLineChars="200"/>
        <w:rPr>
          <w:rFonts w:cs="宋体"/>
          <w:b/>
          <w:bCs/>
          <w:color w:val="auto"/>
          <w:sz w:val="21"/>
          <w:szCs w:val="21"/>
          <w:highlight w:val="none"/>
        </w:rPr>
      </w:pPr>
      <w:r>
        <w:rPr>
          <w:rFonts w:hint="eastAsia" w:cs="宋体"/>
          <w:bCs/>
          <w:color w:val="auto"/>
          <w:sz w:val="21"/>
          <w:szCs w:val="21"/>
          <w:highlight w:val="none"/>
        </w:rPr>
        <w:t>合同未尽事宜，合同当事人另行签订补充协议，补充协议是合同的组成部分。</w:t>
      </w:r>
    </w:p>
    <w:p w14:paraId="1F6DF5D3">
      <w:pPr>
        <w:snapToGrid w:val="0"/>
        <w:spacing w:line="360" w:lineRule="auto"/>
        <w:ind w:firstLine="422" w:firstLineChars="200"/>
        <w:rPr>
          <w:rFonts w:cs="宋体"/>
          <w:b/>
          <w:color w:val="auto"/>
          <w:sz w:val="21"/>
          <w:szCs w:val="21"/>
          <w:highlight w:val="none"/>
        </w:rPr>
      </w:pPr>
      <w:bookmarkStart w:id="51" w:name="_Toc351203492"/>
      <w:r>
        <w:rPr>
          <w:rFonts w:hint="eastAsia" w:cs="宋体"/>
          <w:b/>
          <w:color w:val="auto"/>
          <w:sz w:val="21"/>
          <w:szCs w:val="21"/>
          <w:highlight w:val="none"/>
        </w:rPr>
        <w:t>十二、合同生效</w:t>
      </w:r>
      <w:bookmarkEnd w:id="51"/>
    </w:p>
    <w:p w14:paraId="55902A39">
      <w:pPr>
        <w:snapToGrid w:val="0"/>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本合同自</w:t>
      </w:r>
      <w:r>
        <w:rPr>
          <w:rFonts w:hint="eastAsia" w:cs="宋体"/>
          <w:bCs/>
          <w:color w:val="auto"/>
          <w:sz w:val="21"/>
          <w:szCs w:val="21"/>
          <w:highlight w:val="none"/>
          <w:u w:val="single"/>
        </w:rPr>
        <w:t xml:space="preserve">                                   </w:t>
      </w:r>
      <w:r>
        <w:rPr>
          <w:rFonts w:hint="eastAsia" w:cs="宋体"/>
          <w:bCs/>
          <w:color w:val="auto"/>
          <w:sz w:val="21"/>
          <w:szCs w:val="21"/>
          <w:highlight w:val="none"/>
        </w:rPr>
        <w:t>生效。</w:t>
      </w:r>
    </w:p>
    <w:p w14:paraId="76954526">
      <w:pPr>
        <w:snapToGrid w:val="0"/>
        <w:spacing w:line="360" w:lineRule="auto"/>
        <w:ind w:firstLine="422" w:firstLineChars="200"/>
        <w:rPr>
          <w:rFonts w:cs="宋体"/>
          <w:b/>
          <w:color w:val="auto"/>
          <w:sz w:val="21"/>
          <w:szCs w:val="21"/>
          <w:highlight w:val="none"/>
        </w:rPr>
      </w:pPr>
      <w:bookmarkStart w:id="52" w:name="_Toc351203493"/>
      <w:r>
        <w:rPr>
          <w:rFonts w:hint="eastAsia" w:cs="宋体"/>
          <w:b/>
          <w:color w:val="auto"/>
          <w:sz w:val="21"/>
          <w:szCs w:val="21"/>
          <w:highlight w:val="none"/>
        </w:rPr>
        <w:t>十三、合同份数</w:t>
      </w:r>
      <w:bookmarkEnd w:id="52"/>
    </w:p>
    <w:p w14:paraId="310E31B8">
      <w:pPr>
        <w:snapToGrid w:val="0"/>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本合同一式</w:t>
      </w:r>
      <w:r>
        <w:rPr>
          <w:rFonts w:hint="eastAsia" w:cs="宋体"/>
          <w:bCs/>
          <w:color w:val="auto"/>
          <w:sz w:val="21"/>
          <w:szCs w:val="21"/>
          <w:highlight w:val="none"/>
          <w:u w:val="single"/>
        </w:rPr>
        <w:t xml:space="preserve">    </w:t>
      </w:r>
      <w:r>
        <w:rPr>
          <w:rFonts w:hint="eastAsia" w:cs="宋体"/>
          <w:bCs/>
          <w:color w:val="auto"/>
          <w:sz w:val="21"/>
          <w:szCs w:val="21"/>
          <w:highlight w:val="none"/>
        </w:rPr>
        <w:t>份，均具有同等法律效力，发包人执</w:t>
      </w:r>
      <w:r>
        <w:rPr>
          <w:rFonts w:hint="eastAsia" w:cs="宋体"/>
          <w:bCs/>
          <w:color w:val="auto"/>
          <w:sz w:val="21"/>
          <w:szCs w:val="21"/>
          <w:highlight w:val="none"/>
          <w:u w:val="single"/>
        </w:rPr>
        <w:t xml:space="preserve">    </w:t>
      </w:r>
      <w:r>
        <w:rPr>
          <w:rFonts w:hint="eastAsia" w:cs="宋体"/>
          <w:bCs/>
          <w:color w:val="auto"/>
          <w:sz w:val="21"/>
          <w:szCs w:val="21"/>
          <w:highlight w:val="none"/>
        </w:rPr>
        <w:t>份，承包人执</w:t>
      </w:r>
      <w:r>
        <w:rPr>
          <w:rFonts w:hint="eastAsia" w:cs="宋体"/>
          <w:bCs/>
          <w:color w:val="auto"/>
          <w:sz w:val="21"/>
          <w:szCs w:val="21"/>
          <w:highlight w:val="none"/>
          <w:u w:val="single"/>
        </w:rPr>
        <w:t xml:space="preserve">    </w:t>
      </w:r>
      <w:r>
        <w:rPr>
          <w:rFonts w:hint="eastAsia" w:cs="宋体"/>
          <w:bCs/>
          <w:color w:val="auto"/>
          <w:sz w:val="21"/>
          <w:szCs w:val="21"/>
          <w:highlight w:val="none"/>
        </w:rPr>
        <w:t>份。</w:t>
      </w:r>
    </w:p>
    <w:p w14:paraId="43B4DBDA">
      <w:pPr>
        <w:snapToGrid w:val="0"/>
        <w:spacing w:line="360" w:lineRule="auto"/>
        <w:rPr>
          <w:rFonts w:cs="宋体"/>
          <w:bCs/>
          <w:color w:val="auto"/>
          <w:sz w:val="21"/>
          <w:szCs w:val="21"/>
          <w:highlight w:val="none"/>
        </w:rPr>
      </w:pPr>
    </w:p>
    <w:p w14:paraId="1DD69C45">
      <w:pPr>
        <w:snapToGrid w:val="0"/>
        <w:spacing w:line="360" w:lineRule="auto"/>
        <w:rPr>
          <w:rFonts w:cs="宋体"/>
          <w:color w:val="auto"/>
          <w:sz w:val="21"/>
          <w:szCs w:val="21"/>
          <w:highlight w:val="none"/>
        </w:rPr>
      </w:pPr>
      <w:r>
        <w:rPr>
          <w:rFonts w:hint="eastAsia" w:cs="宋体"/>
          <w:color w:val="auto"/>
          <w:sz w:val="21"/>
          <w:szCs w:val="21"/>
          <w:highlight w:val="none"/>
        </w:rPr>
        <w:t>发包人：</w:t>
      </w:r>
      <w:r>
        <w:rPr>
          <w:rFonts w:hint="eastAsia" w:cs="宋体"/>
          <w:color w:val="auto"/>
          <w:sz w:val="21"/>
          <w:szCs w:val="21"/>
          <w:highlight w:val="none"/>
          <w:u w:val="single"/>
        </w:rPr>
        <w:t>      （</w:t>
      </w:r>
      <w:r>
        <w:rPr>
          <w:rFonts w:hint="eastAsia" w:cs="宋体"/>
          <w:color w:val="auto"/>
          <w:sz w:val="21"/>
          <w:szCs w:val="21"/>
          <w:highlight w:val="none"/>
        </w:rPr>
        <w:t>公章）                 承包人：</w:t>
      </w:r>
      <w:r>
        <w:rPr>
          <w:rFonts w:hint="eastAsia" w:cs="宋体"/>
          <w:color w:val="auto"/>
          <w:sz w:val="21"/>
          <w:szCs w:val="21"/>
          <w:highlight w:val="none"/>
          <w:u w:val="single"/>
        </w:rPr>
        <w:t>        （</w:t>
      </w:r>
      <w:r>
        <w:rPr>
          <w:rFonts w:hint="eastAsia" w:cs="宋体"/>
          <w:color w:val="auto"/>
          <w:sz w:val="21"/>
          <w:szCs w:val="21"/>
          <w:highlight w:val="none"/>
        </w:rPr>
        <w:t>公章）</w:t>
      </w:r>
    </w:p>
    <w:p w14:paraId="1CAB98A9">
      <w:pPr>
        <w:snapToGrid w:val="0"/>
        <w:spacing w:line="360" w:lineRule="auto"/>
        <w:rPr>
          <w:rFonts w:cs="宋体"/>
          <w:color w:val="auto"/>
          <w:sz w:val="21"/>
          <w:szCs w:val="21"/>
          <w:highlight w:val="none"/>
        </w:rPr>
      </w:pPr>
      <w:r>
        <w:rPr>
          <w:rFonts w:hint="eastAsia" w:cs="宋体"/>
          <w:color w:val="auto"/>
          <w:sz w:val="21"/>
          <w:szCs w:val="21"/>
          <w:highlight w:val="none"/>
        </w:rPr>
        <w:t>法定代表人或其委托代理人：                 法定代表人或其委托代理人：</w:t>
      </w:r>
    </w:p>
    <w:p w14:paraId="02004EC9">
      <w:pPr>
        <w:snapToGrid w:val="0"/>
        <w:spacing w:line="360" w:lineRule="auto"/>
        <w:rPr>
          <w:rFonts w:cs="宋体"/>
          <w:color w:val="auto"/>
          <w:sz w:val="21"/>
          <w:szCs w:val="21"/>
          <w:highlight w:val="none"/>
        </w:rPr>
      </w:pPr>
      <w:r>
        <w:rPr>
          <w:rFonts w:hint="eastAsia" w:cs="宋体"/>
          <w:color w:val="auto"/>
          <w:sz w:val="21"/>
          <w:szCs w:val="21"/>
          <w:highlight w:val="none"/>
        </w:rPr>
        <w:t>（签字）</w:t>
      </w:r>
      <w:r>
        <w:rPr>
          <w:rFonts w:hint="eastAsia" w:cs="宋体"/>
          <w:color w:val="auto"/>
          <w:sz w:val="21"/>
          <w:szCs w:val="21"/>
          <w:highlight w:val="none"/>
          <w:u w:val="single"/>
        </w:rPr>
        <w:t xml:space="preserve">                    </w:t>
      </w:r>
      <w:r>
        <w:rPr>
          <w:rFonts w:hint="eastAsia" w:cs="宋体"/>
          <w:color w:val="auto"/>
          <w:sz w:val="21"/>
          <w:szCs w:val="21"/>
          <w:highlight w:val="none"/>
        </w:rPr>
        <w:t xml:space="preserve">              （签字）</w:t>
      </w:r>
      <w:r>
        <w:rPr>
          <w:rFonts w:hint="eastAsia" w:cs="宋体"/>
          <w:color w:val="auto"/>
          <w:sz w:val="21"/>
          <w:szCs w:val="21"/>
          <w:highlight w:val="none"/>
          <w:u w:val="single"/>
        </w:rPr>
        <w:t xml:space="preserve">                   </w:t>
      </w:r>
    </w:p>
    <w:p w14:paraId="575BD68D">
      <w:pPr>
        <w:tabs>
          <w:tab w:val="left" w:pos="4410"/>
        </w:tabs>
        <w:snapToGrid w:val="0"/>
        <w:spacing w:line="360" w:lineRule="auto"/>
        <w:rPr>
          <w:rFonts w:cs="宋体"/>
          <w:color w:val="auto"/>
          <w:sz w:val="21"/>
          <w:szCs w:val="21"/>
          <w:highlight w:val="none"/>
        </w:rPr>
      </w:pPr>
      <w:r>
        <w:rPr>
          <w:rFonts w:hint="eastAsia" w:cs="宋体"/>
          <w:color w:val="auto"/>
          <w:sz w:val="21"/>
          <w:szCs w:val="21"/>
          <w:highlight w:val="none"/>
        </w:rPr>
        <w:t>组织机构代码：</w:t>
      </w:r>
      <w:r>
        <w:rPr>
          <w:rFonts w:hint="eastAsia" w:cs="宋体"/>
          <w:color w:val="auto"/>
          <w:sz w:val="21"/>
          <w:szCs w:val="21"/>
          <w:highlight w:val="none"/>
          <w:u w:val="single"/>
        </w:rPr>
        <w:t xml:space="preserve">       </w:t>
      </w:r>
      <w:r>
        <w:rPr>
          <w:rFonts w:hint="eastAsia" w:cs="宋体"/>
          <w:color w:val="auto"/>
          <w:sz w:val="21"/>
          <w:szCs w:val="21"/>
          <w:highlight w:val="none"/>
        </w:rPr>
        <w:t xml:space="preserve">                组织机构代码：</w:t>
      </w:r>
      <w:r>
        <w:rPr>
          <w:rFonts w:hint="eastAsia" w:cs="宋体"/>
          <w:color w:val="auto"/>
          <w:sz w:val="21"/>
          <w:szCs w:val="21"/>
          <w:highlight w:val="none"/>
          <w:u w:val="single"/>
        </w:rPr>
        <w:t xml:space="preserve">        </w:t>
      </w:r>
    </w:p>
    <w:p w14:paraId="672E10C3">
      <w:pPr>
        <w:snapToGrid w:val="0"/>
        <w:spacing w:line="360" w:lineRule="auto"/>
        <w:rPr>
          <w:rFonts w:cs="宋体"/>
          <w:color w:val="auto"/>
          <w:sz w:val="21"/>
          <w:szCs w:val="21"/>
          <w:highlight w:val="none"/>
        </w:rPr>
      </w:pPr>
      <w:r>
        <w:rPr>
          <w:rFonts w:hint="eastAsia" w:cs="宋体"/>
          <w:color w:val="auto"/>
          <w:sz w:val="21"/>
          <w:szCs w:val="21"/>
          <w:highlight w:val="none"/>
        </w:rPr>
        <w:t>地  址：</w:t>
      </w:r>
      <w:r>
        <w:rPr>
          <w:rFonts w:hint="eastAsia" w:cs="宋体"/>
          <w:color w:val="auto"/>
          <w:sz w:val="21"/>
          <w:szCs w:val="21"/>
          <w:highlight w:val="none"/>
          <w:u w:val="single"/>
        </w:rPr>
        <w:t xml:space="preserve">     </w:t>
      </w:r>
      <w:r>
        <w:rPr>
          <w:rFonts w:hint="eastAsia" w:cs="宋体"/>
          <w:color w:val="auto"/>
          <w:sz w:val="21"/>
          <w:szCs w:val="21"/>
          <w:highlight w:val="none"/>
        </w:rPr>
        <w:t xml:space="preserve">                地  址：</w:t>
      </w:r>
      <w:r>
        <w:rPr>
          <w:rFonts w:hint="eastAsia" w:cs="宋体"/>
          <w:color w:val="auto"/>
          <w:sz w:val="21"/>
          <w:szCs w:val="21"/>
          <w:highlight w:val="none"/>
          <w:u w:val="single"/>
        </w:rPr>
        <w:t xml:space="preserve">     </w:t>
      </w:r>
    </w:p>
    <w:p w14:paraId="6BD7F2B2">
      <w:pPr>
        <w:snapToGrid w:val="0"/>
        <w:spacing w:line="360" w:lineRule="auto"/>
        <w:rPr>
          <w:rFonts w:cs="宋体"/>
          <w:color w:val="auto"/>
          <w:sz w:val="21"/>
          <w:szCs w:val="21"/>
          <w:highlight w:val="none"/>
        </w:rPr>
      </w:pPr>
      <w:r>
        <w:rPr>
          <w:rFonts w:hint="eastAsia" w:cs="宋体"/>
          <w:color w:val="auto"/>
          <w:sz w:val="21"/>
          <w:szCs w:val="21"/>
          <w:highlight w:val="none"/>
        </w:rPr>
        <w:t>邮政编码：</w:t>
      </w:r>
      <w:r>
        <w:rPr>
          <w:rFonts w:hint="eastAsia" w:cs="宋体"/>
          <w:color w:val="auto"/>
          <w:sz w:val="21"/>
          <w:szCs w:val="21"/>
          <w:highlight w:val="none"/>
          <w:u w:val="single"/>
        </w:rPr>
        <w:t xml:space="preserve">      </w:t>
      </w:r>
      <w:r>
        <w:rPr>
          <w:rFonts w:hint="eastAsia" w:cs="宋体"/>
          <w:color w:val="auto"/>
          <w:sz w:val="21"/>
          <w:szCs w:val="21"/>
          <w:highlight w:val="none"/>
        </w:rPr>
        <w:t xml:space="preserve">               邮政编码：</w:t>
      </w:r>
      <w:r>
        <w:rPr>
          <w:rFonts w:hint="eastAsia" w:cs="宋体"/>
          <w:color w:val="auto"/>
          <w:sz w:val="21"/>
          <w:szCs w:val="21"/>
          <w:highlight w:val="none"/>
          <w:u w:val="single"/>
        </w:rPr>
        <w:t xml:space="preserve"> </w:t>
      </w:r>
    </w:p>
    <w:p w14:paraId="0B72E779">
      <w:pPr>
        <w:snapToGrid w:val="0"/>
        <w:spacing w:line="360" w:lineRule="auto"/>
        <w:rPr>
          <w:rFonts w:cs="宋体"/>
          <w:color w:val="auto"/>
          <w:sz w:val="21"/>
          <w:szCs w:val="21"/>
          <w:highlight w:val="none"/>
        </w:rPr>
      </w:pPr>
      <w:r>
        <w:rPr>
          <w:rFonts w:hint="eastAsia" w:cs="宋体"/>
          <w:color w:val="auto"/>
          <w:sz w:val="21"/>
          <w:szCs w:val="21"/>
          <w:highlight w:val="none"/>
        </w:rPr>
        <w:t>法定代表人：</w:t>
      </w:r>
      <w:r>
        <w:rPr>
          <w:rFonts w:hint="eastAsia" w:cs="宋体"/>
          <w:color w:val="auto"/>
          <w:sz w:val="21"/>
          <w:szCs w:val="21"/>
          <w:highlight w:val="none"/>
          <w:u w:val="single"/>
        </w:rPr>
        <w:t xml:space="preserve">           </w:t>
      </w:r>
      <w:r>
        <w:rPr>
          <w:rFonts w:hint="eastAsia" w:cs="宋体"/>
          <w:color w:val="auto"/>
          <w:sz w:val="21"/>
          <w:szCs w:val="21"/>
          <w:highlight w:val="none"/>
        </w:rPr>
        <w:t xml:space="preserve">                法定代表人：</w:t>
      </w:r>
      <w:r>
        <w:rPr>
          <w:rFonts w:hint="eastAsia" w:cs="宋体"/>
          <w:color w:val="auto"/>
          <w:sz w:val="21"/>
          <w:szCs w:val="21"/>
          <w:highlight w:val="none"/>
          <w:u w:val="single"/>
        </w:rPr>
        <w:t xml:space="preserve">          </w:t>
      </w:r>
    </w:p>
    <w:p w14:paraId="630673D9">
      <w:pPr>
        <w:snapToGrid w:val="0"/>
        <w:spacing w:line="360" w:lineRule="auto"/>
        <w:rPr>
          <w:rFonts w:cs="宋体"/>
          <w:color w:val="auto"/>
          <w:sz w:val="21"/>
          <w:szCs w:val="21"/>
          <w:highlight w:val="none"/>
        </w:rPr>
      </w:pPr>
      <w:r>
        <w:rPr>
          <w:rFonts w:hint="eastAsia" w:cs="宋体"/>
          <w:color w:val="auto"/>
          <w:sz w:val="21"/>
          <w:szCs w:val="21"/>
          <w:highlight w:val="none"/>
        </w:rPr>
        <w:t>委托代理人：</w:t>
      </w:r>
      <w:r>
        <w:rPr>
          <w:rFonts w:hint="eastAsia" w:cs="宋体"/>
          <w:color w:val="auto"/>
          <w:sz w:val="21"/>
          <w:szCs w:val="21"/>
          <w:highlight w:val="none"/>
          <w:u w:val="single"/>
        </w:rPr>
        <w:t xml:space="preserve">           </w:t>
      </w:r>
      <w:r>
        <w:rPr>
          <w:rFonts w:hint="eastAsia" w:cs="宋体"/>
          <w:color w:val="auto"/>
          <w:sz w:val="21"/>
          <w:szCs w:val="21"/>
          <w:highlight w:val="none"/>
        </w:rPr>
        <w:t xml:space="preserve">                委托代理人：</w:t>
      </w:r>
      <w:r>
        <w:rPr>
          <w:rFonts w:hint="eastAsia" w:cs="宋体"/>
          <w:color w:val="auto"/>
          <w:sz w:val="21"/>
          <w:szCs w:val="21"/>
          <w:highlight w:val="none"/>
          <w:u w:val="single"/>
        </w:rPr>
        <w:t xml:space="preserve">          </w:t>
      </w:r>
    </w:p>
    <w:p w14:paraId="4EC486AF">
      <w:pPr>
        <w:snapToGrid w:val="0"/>
        <w:spacing w:line="360" w:lineRule="auto"/>
        <w:rPr>
          <w:rFonts w:cs="宋体"/>
          <w:color w:val="auto"/>
          <w:sz w:val="21"/>
          <w:szCs w:val="21"/>
          <w:highlight w:val="none"/>
        </w:rPr>
      </w:pPr>
      <w:r>
        <w:rPr>
          <w:rFonts w:hint="eastAsia" w:cs="宋体"/>
          <w:color w:val="auto"/>
          <w:sz w:val="21"/>
          <w:szCs w:val="21"/>
          <w:highlight w:val="none"/>
        </w:rPr>
        <w:t>电  话：</w:t>
      </w:r>
      <w:r>
        <w:rPr>
          <w:rFonts w:hint="eastAsia" w:cs="宋体"/>
          <w:color w:val="auto"/>
          <w:sz w:val="21"/>
          <w:szCs w:val="21"/>
          <w:highlight w:val="none"/>
          <w:u w:val="single"/>
        </w:rPr>
        <w:t xml:space="preserve">   </w:t>
      </w:r>
      <w:r>
        <w:rPr>
          <w:rFonts w:hint="eastAsia" w:cs="宋体"/>
          <w:color w:val="auto"/>
          <w:sz w:val="21"/>
          <w:szCs w:val="21"/>
          <w:highlight w:val="none"/>
        </w:rPr>
        <w:t xml:space="preserve">                电  话：</w:t>
      </w:r>
      <w:r>
        <w:rPr>
          <w:rFonts w:hint="eastAsia" w:cs="宋体"/>
          <w:color w:val="auto"/>
          <w:sz w:val="21"/>
          <w:szCs w:val="21"/>
          <w:highlight w:val="none"/>
          <w:u w:val="single"/>
        </w:rPr>
        <w:t xml:space="preserve">  </w:t>
      </w:r>
    </w:p>
    <w:p w14:paraId="06217F44">
      <w:pPr>
        <w:snapToGrid w:val="0"/>
        <w:spacing w:line="360" w:lineRule="auto"/>
        <w:rPr>
          <w:rFonts w:cs="宋体"/>
          <w:color w:val="auto"/>
          <w:sz w:val="21"/>
          <w:szCs w:val="21"/>
          <w:highlight w:val="none"/>
        </w:rPr>
      </w:pPr>
      <w:r>
        <w:rPr>
          <w:rFonts w:hint="eastAsia" w:cs="宋体"/>
          <w:color w:val="auto"/>
          <w:sz w:val="21"/>
          <w:szCs w:val="21"/>
          <w:highlight w:val="none"/>
        </w:rPr>
        <w:t>传  真：</w:t>
      </w:r>
      <w:r>
        <w:rPr>
          <w:rFonts w:hint="eastAsia" w:cs="宋体"/>
          <w:color w:val="auto"/>
          <w:sz w:val="21"/>
          <w:szCs w:val="21"/>
          <w:highlight w:val="none"/>
          <w:u w:val="single"/>
        </w:rPr>
        <w:t xml:space="preserve">   </w:t>
      </w:r>
      <w:r>
        <w:rPr>
          <w:rFonts w:hint="eastAsia" w:cs="宋体"/>
          <w:color w:val="auto"/>
          <w:sz w:val="21"/>
          <w:szCs w:val="21"/>
          <w:highlight w:val="none"/>
        </w:rPr>
        <w:t xml:space="preserve">                传  真：</w:t>
      </w:r>
      <w:r>
        <w:rPr>
          <w:rFonts w:hint="eastAsia" w:cs="宋体"/>
          <w:color w:val="auto"/>
          <w:sz w:val="21"/>
          <w:szCs w:val="21"/>
          <w:highlight w:val="none"/>
          <w:u w:val="single"/>
        </w:rPr>
        <w:t>  </w:t>
      </w:r>
    </w:p>
    <w:p w14:paraId="2C44A0DA">
      <w:pPr>
        <w:snapToGrid w:val="0"/>
        <w:spacing w:line="360" w:lineRule="auto"/>
        <w:rPr>
          <w:rFonts w:cs="宋体"/>
          <w:color w:val="auto"/>
          <w:sz w:val="21"/>
          <w:szCs w:val="21"/>
          <w:highlight w:val="none"/>
        </w:rPr>
      </w:pPr>
      <w:r>
        <w:rPr>
          <w:rFonts w:hint="eastAsia" w:cs="宋体"/>
          <w:color w:val="auto"/>
          <w:sz w:val="21"/>
          <w:szCs w:val="21"/>
          <w:highlight w:val="none"/>
        </w:rPr>
        <w:t>电子信箱：</w:t>
      </w:r>
      <w:r>
        <w:rPr>
          <w:rFonts w:hint="eastAsia" w:cs="宋体"/>
          <w:color w:val="auto"/>
          <w:sz w:val="21"/>
          <w:szCs w:val="21"/>
          <w:highlight w:val="none"/>
          <w:u w:val="single"/>
        </w:rPr>
        <w:t xml:space="preserve">                 </w:t>
      </w:r>
      <w:r>
        <w:rPr>
          <w:rFonts w:hint="eastAsia" w:cs="宋体"/>
          <w:color w:val="auto"/>
          <w:sz w:val="21"/>
          <w:szCs w:val="21"/>
          <w:highlight w:val="none"/>
        </w:rPr>
        <w:t xml:space="preserve">                电子信箱：</w:t>
      </w:r>
      <w:r>
        <w:rPr>
          <w:rFonts w:hint="eastAsia" w:cs="宋体"/>
          <w:color w:val="auto"/>
          <w:sz w:val="21"/>
          <w:szCs w:val="21"/>
          <w:highlight w:val="none"/>
          <w:u w:val="single"/>
        </w:rPr>
        <w:t></w:t>
      </w:r>
    </w:p>
    <w:p w14:paraId="70E74970">
      <w:pPr>
        <w:snapToGrid w:val="0"/>
        <w:spacing w:line="360" w:lineRule="auto"/>
        <w:rPr>
          <w:rFonts w:cs="宋体"/>
          <w:color w:val="auto"/>
          <w:sz w:val="21"/>
          <w:szCs w:val="21"/>
          <w:highlight w:val="none"/>
        </w:rPr>
      </w:pPr>
      <w:r>
        <w:rPr>
          <w:rFonts w:hint="eastAsia" w:cs="宋体"/>
          <w:color w:val="auto"/>
          <w:sz w:val="21"/>
          <w:szCs w:val="21"/>
          <w:highlight w:val="none"/>
        </w:rPr>
        <w:t>开户银行：</w:t>
      </w:r>
      <w:r>
        <w:rPr>
          <w:rFonts w:hint="eastAsia" w:cs="宋体"/>
          <w:color w:val="auto"/>
          <w:sz w:val="21"/>
          <w:szCs w:val="21"/>
          <w:highlight w:val="none"/>
          <w:u w:val="single"/>
        </w:rPr>
        <w:t xml:space="preserve">   </w:t>
      </w:r>
      <w:r>
        <w:rPr>
          <w:rFonts w:hint="eastAsia" w:cs="宋体"/>
          <w:color w:val="auto"/>
          <w:sz w:val="21"/>
          <w:szCs w:val="21"/>
          <w:highlight w:val="none"/>
        </w:rPr>
        <w:t xml:space="preserve">                开户银行：</w:t>
      </w:r>
      <w:r>
        <w:rPr>
          <w:rFonts w:hint="eastAsia" w:cs="宋体"/>
          <w:color w:val="auto"/>
          <w:sz w:val="21"/>
          <w:szCs w:val="21"/>
          <w:highlight w:val="none"/>
          <w:u w:val="single"/>
        </w:rPr>
        <w:t></w:t>
      </w:r>
    </w:p>
    <w:p w14:paraId="38365F93">
      <w:pPr>
        <w:snapToGrid w:val="0"/>
        <w:spacing w:line="360" w:lineRule="auto"/>
        <w:rPr>
          <w:rFonts w:cs="宋体"/>
          <w:color w:val="auto"/>
          <w:sz w:val="21"/>
          <w:szCs w:val="21"/>
          <w:highlight w:val="none"/>
        </w:rPr>
      </w:pPr>
      <w:r>
        <w:rPr>
          <w:rFonts w:hint="eastAsia" w:cs="宋体"/>
          <w:color w:val="auto"/>
          <w:sz w:val="21"/>
          <w:szCs w:val="21"/>
          <w:highlight w:val="none"/>
        </w:rPr>
        <w:t>账  号：</w:t>
      </w:r>
      <w:r>
        <w:rPr>
          <w:rFonts w:hint="eastAsia" w:cs="宋体"/>
          <w:color w:val="auto"/>
          <w:sz w:val="21"/>
          <w:szCs w:val="21"/>
          <w:highlight w:val="none"/>
          <w:u w:val="single"/>
        </w:rPr>
        <w:t xml:space="preserve">       </w:t>
      </w:r>
      <w:r>
        <w:rPr>
          <w:rFonts w:hint="eastAsia" w:cs="宋体"/>
          <w:color w:val="auto"/>
          <w:sz w:val="21"/>
          <w:szCs w:val="21"/>
          <w:highlight w:val="none"/>
        </w:rPr>
        <w:t xml:space="preserve">                账  号：</w:t>
      </w:r>
      <w:r>
        <w:rPr>
          <w:rFonts w:hint="eastAsia" w:cs="宋体"/>
          <w:color w:val="auto"/>
          <w:sz w:val="21"/>
          <w:szCs w:val="21"/>
          <w:highlight w:val="none"/>
          <w:u w:val="single"/>
        </w:rPr>
        <w:t xml:space="preserve">   </w:t>
      </w:r>
    </w:p>
    <w:p w14:paraId="57519705">
      <w:pPr>
        <w:keepNext/>
        <w:keepLines/>
        <w:snapToGrid w:val="0"/>
        <w:spacing w:before="312" w:beforeLines="100" w:after="312" w:afterLines="100" w:line="360" w:lineRule="auto"/>
        <w:jc w:val="center"/>
        <w:outlineLvl w:val="1"/>
        <w:rPr>
          <w:rFonts w:cs="宋体"/>
          <w:bCs/>
          <w:color w:val="auto"/>
          <w:sz w:val="21"/>
          <w:szCs w:val="21"/>
          <w:highlight w:val="none"/>
        </w:rPr>
      </w:pPr>
      <w:r>
        <w:rPr>
          <w:rFonts w:hint="eastAsia" w:cs="宋体"/>
          <w:b/>
          <w:bCs/>
          <w:color w:val="auto"/>
          <w:sz w:val="21"/>
          <w:szCs w:val="21"/>
          <w:highlight w:val="none"/>
        </w:rPr>
        <w:br w:type="page"/>
      </w:r>
      <w:bookmarkStart w:id="53" w:name="_Toc28799377"/>
      <w:bookmarkStart w:id="54" w:name="_Toc130919121"/>
      <w:bookmarkStart w:id="55" w:name="_Toc8613"/>
      <w:r>
        <w:rPr>
          <w:rFonts w:hint="eastAsia" w:ascii="等线" w:hAnsi="等线" w:eastAsia="等线" w:cs="@仿宋_GB2312"/>
          <w:b/>
          <w:color w:val="auto"/>
          <w:kern w:val="2"/>
          <w:sz w:val="24"/>
          <w:highlight w:val="none"/>
        </w:rPr>
        <w:t>第二节  通用合同条款</w:t>
      </w:r>
      <w:bookmarkEnd w:id="53"/>
      <w:bookmarkEnd w:id="54"/>
      <w:bookmarkEnd w:id="55"/>
    </w:p>
    <w:p w14:paraId="54FD32CA">
      <w:pPr>
        <w:spacing w:line="360" w:lineRule="auto"/>
        <w:ind w:firstLine="560" w:firstLineChars="200"/>
        <w:rPr>
          <w:rFonts w:cs="Times New Roman"/>
          <w:snapToGrid w:val="0"/>
          <w:color w:val="auto"/>
          <w:sz w:val="28"/>
          <w:szCs w:val="24"/>
          <w:highlight w:val="none"/>
        </w:rPr>
      </w:pPr>
      <w:r>
        <w:rPr>
          <w:rFonts w:hint="eastAsia" w:cs="Times New Roman"/>
          <w:snapToGrid w:val="0"/>
          <w:color w:val="auto"/>
          <w:sz w:val="28"/>
          <w:szCs w:val="24"/>
          <w:highlight w:val="none"/>
        </w:rPr>
        <w:t>采用《建设工程施工合同（示范文本）》（GF-2017-0201）中通用合同条款。上述资料由承包人自行准备。</w:t>
      </w:r>
    </w:p>
    <w:p w14:paraId="448269CB">
      <w:pPr>
        <w:keepNext/>
        <w:keepLines/>
        <w:snapToGrid w:val="0"/>
        <w:spacing w:before="312" w:beforeLines="100" w:after="312" w:afterLines="100" w:line="360" w:lineRule="auto"/>
        <w:jc w:val="center"/>
        <w:outlineLvl w:val="1"/>
        <w:rPr>
          <w:rFonts w:cs="宋体"/>
          <w:bCs/>
          <w:color w:val="auto"/>
          <w:sz w:val="21"/>
          <w:szCs w:val="21"/>
          <w:highlight w:val="none"/>
        </w:rPr>
      </w:pPr>
      <w:r>
        <w:rPr>
          <w:rFonts w:hint="eastAsia" w:cs="宋体"/>
          <w:b/>
          <w:bCs/>
          <w:color w:val="auto"/>
          <w:sz w:val="21"/>
          <w:szCs w:val="21"/>
          <w:highlight w:val="none"/>
        </w:rPr>
        <w:br w:type="page"/>
      </w:r>
      <w:bookmarkStart w:id="56" w:name="_Toc28799378"/>
      <w:bookmarkStart w:id="57" w:name="_Toc130919122"/>
      <w:bookmarkStart w:id="58" w:name="_Toc25217"/>
      <w:r>
        <w:rPr>
          <w:rFonts w:hint="eastAsia" w:ascii="等线" w:hAnsi="等线" w:eastAsia="等线" w:cs="@仿宋_GB2312"/>
          <w:b/>
          <w:color w:val="auto"/>
          <w:kern w:val="2"/>
          <w:sz w:val="24"/>
          <w:highlight w:val="none"/>
        </w:rPr>
        <w:t>第三节  专用合同条款</w:t>
      </w:r>
      <w:bookmarkEnd w:id="56"/>
      <w:bookmarkEnd w:id="57"/>
      <w:bookmarkEnd w:id="58"/>
    </w:p>
    <w:p w14:paraId="33A1B81E">
      <w:pPr>
        <w:snapToGrid w:val="0"/>
        <w:spacing w:before="312" w:beforeLines="100" w:after="312" w:afterLines="100" w:line="360" w:lineRule="auto"/>
        <w:jc w:val="center"/>
        <w:outlineLvl w:val="2"/>
        <w:rPr>
          <w:rFonts w:cs="宋体"/>
          <w:color w:val="auto"/>
          <w:sz w:val="21"/>
          <w:szCs w:val="21"/>
          <w:highlight w:val="none"/>
        </w:rPr>
      </w:pPr>
      <w:bookmarkStart w:id="59" w:name="_Toc351203633"/>
      <w:r>
        <w:rPr>
          <w:rFonts w:hint="eastAsia" w:cs="宋体"/>
          <w:color w:val="auto"/>
          <w:sz w:val="21"/>
          <w:szCs w:val="21"/>
          <w:highlight w:val="none"/>
        </w:rPr>
        <w:t>专用合同条款数据表</w:t>
      </w:r>
    </w:p>
    <w:p w14:paraId="146B8EE9">
      <w:pPr>
        <w:pStyle w:val="20"/>
        <w:snapToGrid w:val="0"/>
        <w:spacing w:line="360" w:lineRule="auto"/>
        <w:ind w:left="400" w:firstLine="480"/>
        <w:rPr>
          <w:rFonts w:ascii="宋体" w:hAnsi="宋体" w:cs="宋体"/>
          <w:color w:val="auto"/>
          <w:szCs w:val="21"/>
          <w:highlight w:val="none"/>
        </w:rPr>
      </w:pPr>
      <w:r>
        <w:rPr>
          <w:rFonts w:hint="eastAsia" w:ascii="宋体" w:hAnsi="宋体" w:cs="宋体"/>
          <w:color w:val="auto"/>
          <w:szCs w:val="21"/>
          <w:highlight w:val="none"/>
        </w:rPr>
        <w:t>说明：本数据表是项目专用合同条款中适用于本招标项目的信息和数据的归纳与提示，是项目专用合同条款的组成部分。</w:t>
      </w:r>
    </w:p>
    <w:tbl>
      <w:tblPr>
        <w:tblStyle w:val="55"/>
        <w:tblW w:w="90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9"/>
        <w:gridCol w:w="1111"/>
        <w:gridCol w:w="7304"/>
      </w:tblGrid>
      <w:tr w14:paraId="20BE6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629" w:type="dxa"/>
            <w:vAlign w:val="center"/>
          </w:tcPr>
          <w:p w14:paraId="42D8BBB0">
            <w:pPr>
              <w:snapToGrid w:val="0"/>
              <w:spacing w:before="100" w:beforeAutospacing="1" w:line="360" w:lineRule="auto"/>
              <w:ind w:left="-100" w:leftChars="-50" w:right="-100" w:rightChars="-50"/>
              <w:jc w:val="center"/>
              <w:rPr>
                <w:rFonts w:cs="宋体"/>
                <w:b/>
                <w:color w:val="auto"/>
                <w:sz w:val="21"/>
                <w:szCs w:val="21"/>
                <w:highlight w:val="none"/>
              </w:rPr>
            </w:pPr>
            <w:r>
              <w:rPr>
                <w:rFonts w:hint="eastAsia" w:cs="宋体"/>
                <w:b/>
                <w:color w:val="auto"/>
                <w:sz w:val="21"/>
                <w:szCs w:val="21"/>
                <w:highlight w:val="none"/>
              </w:rPr>
              <w:t>序号</w:t>
            </w:r>
          </w:p>
        </w:tc>
        <w:tc>
          <w:tcPr>
            <w:tcW w:w="1111" w:type="dxa"/>
            <w:vAlign w:val="center"/>
          </w:tcPr>
          <w:p w14:paraId="08EABC9A">
            <w:pPr>
              <w:snapToGrid w:val="0"/>
              <w:spacing w:line="360" w:lineRule="auto"/>
              <w:ind w:left="-100" w:leftChars="-50" w:right="-100" w:rightChars="-50"/>
              <w:jc w:val="center"/>
              <w:rPr>
                <w:rFonts w:cs="宋体"/>
                <w:b/>
                <w:color w:val="auto"/>
                <w:sz w:val="21"/>
                <w:szCs w:val="21"/>
                <w:highlight w:val="none"/>
              </w:rPr>
            </w:pPr>
            <w:r>
              <w:rPr>
                <w:rFonts w:hint="eastAsia" w:cs="宋体"/>
                <w:b/>
                <w:color w:val="auto"/>
                <w:sz w:val="21"/>
                <w:szCs w:val="21"/>
                <w:highlight w:val="none"/>
              </w:rPr>
              <w:t>条目号</w:t>
            </w:r>
          </w:p>
        </w:tc>
        <w:tc>
          <w:tcPr>
            <w:tcW w:w="7304" w:type="dxa"/>
            <w:vAlign w:val="center"/>
          </w:tcPr>
          <w:p w14:paraId="7F33D3A1">
            <w:pPr>
              <w:snapToGrid w:val="0"/>
              <w:spacing w:line="360" w:lineRule="auto"/>
              <w:jc w:val="center"/>
              <w:rPr>
                <w:rFonts w:cs="宋体"/>
                <w:b/>
                <w:color w:val="auto"/>
                <w:sz w:val="21"/>
                <w:szCs w:val="21"/>
                <w:highlight w:val="none"/>
              </w:rPr>
            </w:pPr>
            <w:r>
              <w:rPr>
                <w:rFonts w:hint="eastAsia" w:cs="宋体"/>
                <w:b/>
                <w:color w:val="auto"/>
                <w:sz w:val="21"/>
                <w:szCs w:val="21"/>
                <w:highlight w:val="none"/>
              </w:rPr>
              <w:t>信息或数据</w:t>
            </w:r>
          </w:p>
        </w:tc>
      </w:tr>
      <w:tr w14:paraId="56813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4C4675CE">
            <w:pPr>
              <w:numPr>
                <w:ilvl w:val="0"/>
                <w:numId w:val="3"/>
              </w:numPr>
              <w:snapToGrid w:val="0"/>
              <w:spacing w:line="360" w:lineRule="auto"/>
              <w:jc w:val="center"/>
              <w:rPr>
                <w:rFonts w:cs="宋体"/>
                <w:bCs/>
                <w:color w:val="auto"/>
                <w:kern w:val="2"/>
                <w:sz w:val="21"/>
                <w:szCs w:val="21"/>
                <w:highlight w:val="none"/>
              </w:rPr>
            </w:pPr>
          </w:p>
        </w:tc>
        <w:tc>
          <w:tcPr>
            <w:tcW w:w="1111" w:type="dxa"/>
            <w:vAlign w:val="center"/>
          </w:tcPr>
          <w:p w14:paraId="2847E258">
            <w:pPr>
              <w:snapToGrid w:val="0"/>
              <w:spacing w:line="360" w:lineRule="auto"/>
              <w:jc w:val="center"/>
              <w:rPr>
                <w:rFonts w:cs="宋体"/>
                <w:bCs/>
                <w:color w:val="auto"/>
                <w:sz w:val="21"/>
                <w:szCs w:val="21"/>
                <w:highlight w:val="none"/>
              </w:rPr>
            </w:pPr>
            <w:r>
              <w:rPr>
                <w:rFonts w:hint="eastAsia" w:cs="宋体"/>
                <w:bCs/>
                <w:color w:val="auto"/>
                <w:sz w:val="21"/>
                <w:szCs w:val="21"/>
                <w:highlight w:val="none"/>
              </w:rPr>
              <w:t>2.5</w:t>
            </w:r>
          </w:p>
        </w:tc>
        <w:tc>
          <w:tcPr>
            <w:tcW w:w="7304" w:type="dxa"/>
            <w:vAlign w:val="center"/>
          </w:tcPr>
          <w:p w14:paraId="4E325A2D">
            <w:pPr>
              <w:pageBreakBefore w:val="0"/>
              <w:widowControl w:val="0"/>
              <w:kinsoku/>
              <w:wordWrap/>
              <w:overflowPunct/>
              <w:topLinePunct w:val="0"/>
              <w:autoSpaceDE/>
              <w:autoSpaceDN/>
              <w:bidi w:val="0"/>
              <w:snapToGrid w:val="0"/>
              <w:spacing w:beforeAutospacing="0" w:line="360" w:lineRule="auto"/>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发包人提供资金来源证明的期限要求：</w:t>
            </w:r>
            <w:r>
              <w:rPr>
                <w:rFonts w:hint="eastAsia" w:cs="宋体"/>
                <w:bCs/>
                <w:color w:val="auto"/>
                <w:sz w:val="21"/>
                <w:szCs w:val="21"/>
                <w:highlight w:val="none"/>
                <w:u w:val="single"/>
                <w:lang w:val="en-US" w:eastAsia="zh-CN"/>
              </w:rPr>
              <w:t xml:space="preserve">    /      </w:t>
            </w:r>
          </w:p>
          <w:p w14:paraId="240AA769">
            <w:pPr>
              <w:pageBreakBefore w:val="0"/>
              <w:widowControl w:val="0"/>
              <w:kinsoku/>
              <w:wordWrap/>
              <w:overflowPunct/>
              <w:topLinePunct w:val="0"/>
              <w:autoSpaceDE/>
              <w:autoSpaceDN/>
              <w:bidi w:val="0"/>
              <w:snapToGrid w:val="0"/>
              <w:spacing w:beforeAutospacing="0" w:line="360" w:lineRule="auto"/>
              <w:textAlignment w:val="auto"/>
              <w:rPr>
                <w:rFonts w:hint="default" w:ascii="宋体" w:hAnsi="宋体" w:eastAsia="宋体" w:cs="宋体"/>
                <w:bCs/>
                <w:color w:val="auto"/>
                <w:sz w:val="21"/>
                <w:szCs w:val="21"/>
                <w:highlight w:val="none"/>
                <w:u w:val="single"/>
                <w:lang w:val="en-US" w:eastAsia="zh-CN"/>
              </w:rPr>
            </w:pPr>
            <w:r>
              <w:rPr>
                <w:rFonts w:hint="eastAsia" w:ascii="宋体" w:hAnsi="宋体" w:eastAsia="宋体" w:cs="宋体"/>
                <w:bCs/>
                <w:color w:val="auto"/>
                <w:sz w:val="21"/>
                <w:szCs w:val="21"/>
                <w:highlight w:val="none"/>
              </w:rPr>
              <w:t>发包人是否提供支付担保：</w:t>
            </w:r>
            <w:r>
              <w:rPr>
                <w:rFonts w:hint="eastAsia" w:cs="宋体"/>
                <w:bCs/>
                <w:color w:val="auto"/>
                <w:sz w:val="21"/>
                <w:szCs w:val="21"/>
                <w:highlight w:val="none"/>
                <w:u w:val="single"/>
                <w:lang w:val="en-US" w:eastAsia="zh-CN"/>
              </w:rPr>
              <w:t xml:space="preserve">  /      </w:t>
            </w:r>
          </w:p>
          <w:p w14:paraId="1E933AB5">
            <w:pPr>
              <w:snapToGrid w:val="0"/>
              <w:spacing w:line="360" w:lineRule="auto"/>
              <w:rPr>
                <w:rFonts w:cs="宋体"/>
                <w:bCs/>
                <w:color w:val="auto"/>
                <w:sz w:val="21"/>
                <w:szCs w:val="21"/>
                <w:highlight w:val="none"/>
                <w:u w:val="single"/>
              </w:rPr>
            </w:pPr>
            <w:r>
              <w:rPr>
                <w:rFonts w:hint="eastAsia" w:ascii="宋体" w:hAnsi="宋体" w:eastAsia="宋体" w:cs="宋体"/>
                <w:bCs/>
                <w:color w:val="auto"/>
                <w:sz w:val="21"/>
                <w:szCs w:val="21"/>
                <w:highlight w:val="none"/>
              </w:rPr>
              <w:t>发包人提供支付担保的形式</w:t>
            </w:r>
            <w:r>
              <w:rPr>
                <w:rFonts w:hint="eastAsia" w:cs="宋体"/>
                <w:bCs/>
                <w:color w:val="auto"/>
                <w:sz w:val="21"/>
                <w:szCs w:val="21"/>
                <w:highlight w:val="none"/>
                <w:lang w:val="en-US" w:eastAsia="zh-CN"/>
              </w:rPr>
              <w:t>:</w:t>
            </w:r>
            <w:r>
              <w:rPr>
                <w:rFonts w:hint="eastAsia" w:cs="宋体"/>
                <w:bCs/>
                <w:color w:val="auto"/>
                <w:sz w:val="21"/>
                <w:szCs w:val="21"/>
                <w:highlight w:val="none"/>
                <w:u w:val="single"/>
                <w:lang w:val="en-US" w:eastAsia="zh-CN"/>
              </w:rPr>
              <w:t xml:space="preserve">  /       </w:t>
            </w:r>
          </w:p>
        </w:tc>
      </w:tr>
      <w:tr w14:paraId="7FB4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48763284">
            <w:pPr>
              <w:numPr>
                <w:ilvl w:val="0"/>
                <w:numId w:val="3"/>
              </w:numPr>
              <w:snapToGrid w:val="0"/>
              <w:spacing w:line="360" w:lineRule="auto"/>
              <w:jc w:val="center"/>
              <w:rPr>
                <w:rFonts w:cs="宋体"/>
                <w:bCs/>
                <w:color w:val="auto"/>
                <w:kern w:val="2"/>
                <w:sz w:val="21"/>
                <w:szCs w:val="21"/>
                <w:highlight w:val="none"/>
              </w:rPr>
            </w:pPr>
          </w:p>
        </w:tc>
        <w:tc>
          <w:tcPr>
            <w:tcW w:w="1111" w:type="dxa"/>
            <w:vAlign w:val="center"/>
          </w:tcPr>
          <w:p w14:paraId="6AF152D0">
            <w:pPr>
              <w:snapToGrid w:val="0"/>
              <w:spacing w:line="360" w:lineRule="auto"/>
              <w:jc w:val="center"/>
              <w:rPr>
                <w:rFonts w:cs="宋体"/>
                <w:bCs/>
                <w:color w:val="auto"/>
                <w:kern w:val="2"/>
                <w:sz w:val="21"/>
                <w:szCs w:val="21"/>
                <w:highlight w:val="none"/>
              </w:rPr>
            </w:pPr>
            <w:r>
              <w:rPr>
                <w:rFonts w:hint="eastAsia" w:cs="宋体"/>
                <w:bCs/>
                <w:color w:val="auto"/>
                <w:sz w:val="21"/>
                <w:szCs w:val="21"/>
                <w:highlight w:val="none"/>
              </w:rPr>
              <w:t>3.2.1</w:t>
            </w:r>
          </w:p>
        </w:tc>
        <w:tc>
          <w:tcPr>
            <w:tcW w:w="7304" w:type="dxa"/>
            <w:vAlign w:val="center"/>
          </w:tcPr>
          <w:p w14:paraId="20943DC9">
            <w:pPr>
              <w:snapToGrid w:val="0"/>
              <w:spacing w:line="360" w:lineRule="auto"/>
              <w:rPr>
                <w:rFonts w:cs="宋体"/>
                <w:bCs/>
                <w:color w:val="auto"/>
                <w:sz w:val="21"/>
                <w:szCs w:val="21"/>
                <w:highlight w:val="none"/>
              </w:rPr>
            </w:pPr>
            <w:r>
              <w:rPr>
                <w:rFonts w:hint="eastAsia" w:cs="宋体"/>
                <w:bCs/>
                <w:color w:val="auto"/>
                <w:sz w:val="21"/>
                <w:szCs w:val="21"/>
                <w:highlight w:val="none"/>
              </w:rPr>
              <w:t>项目经理</w:t>
            </w:r>
          </w:p>
          <w:p w14:paraId="4132B37F">
            <w:pPr>
              <w:snapToGrid w:val="0"/>
              <w:spacing w:line="360" w:lineRule="auto"/>
              <w:rPr>
                <w:rFonts w:cs="宋体"/>
                <w:bCs/>
                <w:color w:val="auto"/>
                <w:sz w:val="21"/>
                <w:szCs w:val="21"/>
                <w:highlight w:val="none"/>
              </w:rPr>
            </w:pPr>
            <w:r>
              <w:rPr>
                <w:rFonts w:hint="eastAsia" w:cs="宋体"/>
                <w:bCs/>
                <w:color w:val="auto"/>
                <w:sz w:val="21"/>
                <w:szCs w:val="21"/>
                <w:highlight w:val="none"/>
              </w:rPr>
              <w:t>姓    名：</w:t>
            </w:r>
            <w:r>
              <w:rPr>
                <w:rFonts w:hint="eastAsia" w:cs="宋体"/>
                <w:bCs/>
                <w:color w:val="auto"/>
                <w:sz w:val="21"/>
                <w:szCs w:val="21"/>
                <w:highlight w:val="none"/>
                <w:u w:val="single"/>
              </w:rPr>
              <w:t xml:space="preserve">          </w:t>
            </w:r>
          </w:p>
          <w:p w14:paraId="1F7E4951">
            <w:pPr>
              <w:snapToGrid w:val="0"/>
              <w:spacing w:line="360" w:lineRule="auto"/>
              <w:rPr>
                <w:rFonts w:cs="宋体"/>
                <w:bCs/>
                <w:color w:val="auto"/>
                <w:sz w:val="21"/>
                <w:szCs w:val="21"/>
                <w:highlight w:val="none"/>
              </w:rPr>
            </w:pPr>
            <w:r>
              <w:rPr>
                <w:rFonts w:hint="eastAsia" w:cs="宋体"/>
                <w:bCs/>
                <w:color w:val="auto"/>
                <w:sz w:val="21"/>
                <w:szCs w:val="21"/>
                <w:highlight w:val="none"/>
              </w:rPr>
              <w:t>身份证号：</w:t>
            </w:r>
            <w:r>
              <w:rPr>
                <w:rFonts w:hint="eastAsia" w:cs="宋体"/>
                <w:bCs/>
                <w:color w:val="auto"/>
                <w:sz w:val="21"/>
                <w:szCs w:val="21"/>
                <w:highlight w:val="none"/>
                <w:u w:val="single"/>
              </w:rPr>
              <w:t xml:space="preserve">          </w:t>
            </w:r>
          </w:p>
          <w:p w14:paraId="092902C5">
            <w:pPr>
              <w:snapToGrid w:val="0"/>
              <w:spacing w:line="360" w:lineRule="auto"/>
              <w:rPr>
                <w:rFonts w:cs="宋体"/>
                <w:bCs/>
                <w:color w:val="auto"/>
                <w:sz w:val="21"/>
                <w:szCs w:val="21"/>
                <w:highlight w:val="none"/>
              </w:rPr>
            </w:pPr>
            <w:r>
              <w:rPr>
                <w:rFonts w:hint="eastAsia" w:cs="宋体"/>
                <w:bCs/>
                <w:color w:val="auto"/>
                <w:sz w:val="21"/>
                <w:szCs w:val="21"/>
                <w:highlight w:val="none"/>
              </w:rPr>
              <w:t>建造师执业资格等级：</w:t>
            </w:r>
            <w:r>
              <w:rPr>
                <w:rFonts w:hint="eastAsia" w:cs="宋体"/>
                <w:bCs/>
                <w:color w:val="auto"/>
                <w:sz w:val="21"/>
                <w:szCs w:val="21"/>
                <w:highlight w:val="none"/>
                <w:u w:val="single"/>
              </w:rPr>
              <w:t xml:space="preserve">          </w:t>
            </w:r>
          </w:p>
          <w:p w14:paraId="5FF473F2">
            <w:pPr>
              <w:snapToGrid w:val="0"/>
              <w:spacing w:line="360" w:lineRule="auto"/>
              <w:rPr>
                <w:rFonts w:cs="宋体"/>
                <w:bCs/>
                <w:color w:val="auto"/>
                <w:sz w:val="21"/>
                <w:szCs w:val="21"/>
                <w:highlight w:val="none"/>
              </w:rPr>
            </w:pPr>
            <w:r>
              <w:rPr>
                <w:rFonts w:hint="eastAsia" w:cs="宋体"/>
                <w:bCs/>
                <w:color w:val="auto"/>
                <w:sz w:val="21"/>
                <w:szCs w:val="21"/>
                <w:highlight w:val="none"/>
              </w:rPr>
              <w:t>建造师注册证书号：</w:t>
            </w:r>
            <w:r>
              <w:rPr>
                <w:rFonts w:hint="eastAsia" w:cs="宋体"/>
                <w:bCs/>
                <w:color w:val="auto"/>
                <w:sz w:val="21"/>
                <w:szCs w:val="21"/>
                <w:highlight w:val="none"/>
                <w:u w:val="single"/>
              </w:rPr>
              <w:t xml:space="preserve">            </w:t>
            </w:r>
          </w:p>
          <w:p w14:paraId="487B585D">
            <w:pPr>
              <w:snapToGrid w:val="0"/>
              <w:spacing w:line="360" w:lineRule="auto"/>
              <w:rPr>
                <w:rFonts w:cs="宋体"/>
                <w:bCs/>
                <w:color w:val="auto"/>
                <w:sz w:val="21"/>
                <w:szCs w:val="21"/>
                <w:highlight w:val="none"/>
                <w:u w:val="single"/>
              </w:rPr>
            </w:pPr>
            <w:r>
              <w:rPr>
                <w:rFonts w:hint="eastAsia" w:cs="宋体"/>
                <w:bCs/>
                <w:color w:val="auto"/>
                <w:sz w:val="21"/>
                <w:szCs w:val="21"/>
                <w:highlight w:val="none"/>
              </w:rPr>
              <w:t>承包人对项目经理的授权范围如下：</w:t>
            </w:r>
            <w:r>
              <w:rPr>
                <w:rFonts w:hint="eastAsia" w:cs="宋体"/>
                <w:bCs/>
                <w:color w:val="auto"/>
                <w:sz w:val="21"/>
                <w:szCs w:val="21"/>
                <w:highlight w:val="none"/>
                <w:u w:val="single"/>
              </w:rPr>
              <w:t xml:space="preserve">            </w:t>
            </w:r>
          </w:p>
          <w:p w14:paraId="48030BA3">
            <w:pPr>
              <w:snapToGrid w:val="0"/>
              <w:spacing w:line="360" w:lineRule="auto"/>
              <w:rPr>
                <w:rFonts w:cs="宋体"/>
                <w:bCs/>
                <w:color w:val="auto"/>
                <w:kern w:val="2"/>
                <w:sz w:val="21"/>
                <w:szCs w:val="21"/>
                <w:highlight w:val="none"/>
              </w:rPr>
            </w:pPr>
            <w:r>
              <w:rPr>
                <w:rFonts w:hint="eastAsia" w:cs="宋体"/>
                <w:bCs/>
                <w:color w:val="auto"/>
                <w:sz w:val="21"/>
                <w:szCs w:val="21"/>
                <w:highlight w:val="none"/>
              </w:rPr>
              <w:t>承包人项目经理每月在施工现场的时间：驻场时间每月不少于</w:t>
            </w:r>
            <w:r>
              <w:rPr>
                <w:rFonts w:hint="eastAsia" w:cs="宋体"/>
                <w:bCs/>
                <w:color w:val="auto"/>
                <w:sz w:val="21"/>
                <w:szCs w:val="21"/>
                <w:highlight w:val="none"/>
                <w:u w:val="single"/>
              </w:rPr>
              <w:t xml:space="preserve"> </w:t>
            </w:r>
            <w:r>
              <w:rPr>
                <w:rFonts w:hint="eastAsia" w:cs="宋体"/>
                <w:bCs/>
                <w:color w:val="auto"/>
                <w:sz w:val="21"/>
                <w:szCs w:val="21"/>
                <w:highlight w:val="none"/>
                <w:u w:val="single"/>
                <w:lang w:val="en-US" w:eastAsia="zh-CN"/>
              </w:rPr>
              <w:t>22</w:t>
            </w:r>
            <w:r>
              <w:rPr>
                <w:rFonts w:hint="eastAsia" w:cs="宋体"/>
                <w:bCs/>
                <w:color w:val="auto"/>
                <w:sz w:val="21"/>
                <w:szCs w:val="21"/>
                <w:highlight w:val="none"/>
                <w:u w:val="single"/>
              </w:rPr>
              <w:t xml:space="preserve"> </w:t>
            </w:r>
            <w:r>
              <w:rPr>
                <w:rFonts w:hint="eastAsia" w:cs="宋体"/>
                <w:bCs/>
                <w:color w:val="auto"/>
                <w:sz w:val="21"/>
                <w:szCs w:val="21"/>
                <w:highlight w:val="none"/>
              </w:rPr>
              <w:t>天，每天在岗工作时间不得少于</w:t>
            </w:r>
            <w:r>
              <w:rPr>
                <w:rFonts w:hint="eastAsia" w:cs="宋体"/>
                <w:bCs/>
                <w:color w:val="auto"/>
                <w:sz w:val="21"/>
                <w:szCs w:val="21"/>
                <w:highlight w:val="none"/>
                <w:u w:val="single"/>
              </w:rPr>
              <w:t xml:space="preserve"> </w:t>
            </w:r>
            <w:r>
              <w:rPr>
                <w:rFonts w:hint="eastAsia" w:cs="宋体"/>
                <w:bCs/>
                <w:color w:val="auto"/>
                <w:sz w:val="21"/>
                <w:szCs w:val="21"/>
                <w:highlight w:val="none"/>
                <w:u w:val="single"/>
                <w:lang w:val="en-US" w:eastAsia="zh-CN"/>
              </w:rPr>
              <w:t>8</w:t>
            </w:r>
            <w:r>
              <w:rPr>
                <w:rFonts w:hint="eastAsia" w:cs="宋体"/>
                <w:bCs/>
                <w:color w:val="auto"/>
                <w:sz w:val="21"/>
                <w:szCs w:val="21"/>
                <w:highlight w:val="none"/>
                <w:u w:val="single"/>
              </w:rPr>
              <w:t xml:space="preserve"> </w:t>
            </w:r>
            <w:r>
              <w:rPr>
                <w:rFonts w:hint="eastAsia" w:cs="宋体"/>
                <w:bCs/>
                <w:color w:val="auto"/>
                <w:sz w:val="21"/>
                <w:szCs w:val="21"/>
                <w:highlight w:val="none"/>
              </w:rPr>
              <w:t>小时。</w:t>
            </w:r>
          </w:p>
        </w:tc>
      </w:tr>
      <w:tr w14:paraId="33BE2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59D673DA">
            <w:pPr>
              <w:numPr>
                <w:ilvl w:val="0"/>
                <w:numId w:val="3"/>
              </w:numPr>
              <w:snapToGrid w:val="0"/>
              <w:spacing w:line="360" w:lineRule="auto"/>
              <w:jc w:val="center"/>
              <w:rPr>
                <w:rFonts w:cs="宋体"/>
                <w:bCs/>
                <w:color w:val="auto"/>
                <w:kern w:val="2"/>
                <w:sz w:val="21"/>
                <w:szCs w:val="21"/>
                <w:highlight w:val="none"/>
              </w:rPr>
            </w:pPr>
          </w:p>
        </w:tc>
        <w:tc>
          <w:tcPr>
            <w:tcW w:w="1111" w:type="dxa"/>
            <w:vAlign w:val="center"/>
          </w:tcPr>
          <w:p w14:paraId="6C87BF33">
            <w:pPr>
              <w:snapToGrid w:val="0"/>
              <w:spacing w:line="360" w:lineRule="auto"/>
              <w:jc w:val="center"/>
              <w:rPr>
                <w:rFonts w:cs="宋体"/>
                <w:bCs/>
                <w:color w:val="auto"/>
                <w:kern w:val="2"/>
                <w:sz w:val="21"/>
                <w:szCs w:val="21"/>
                <w:highlight w:val="none"/>
              </w:rPr>
            </w:pPr>
            <w:r>
              <w:rPr>
                <w:rFonts w:hint="eastAsia" w:cs="宋体"/>
                <w:bCs/>
                <w:color w:val="auto"/>
                <w:sz w:val="21"/>
                <w:szCs w:val="21"/>
                <w:highlight w:val="none"/>
              </w:rPr>
              <w:t>3.7</w:t>
            </w:r>
          </w:p>
        </w:tc>
        <w:tc>
          <w:tcPr>
            <w:tcW w:w="7304" w:type="dxa"/>
            <w:vAlign w:val="center"/>
          </w:tcPr>
          <w:p w14:paraId="40B0337A">
            <w:pPr>
              <w:pageBreakBefore w:val="0"/>
              <w:widowControl w:val="0"/>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承包人是否提供履约保证金：</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否</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w:t>
            </w:r>
          </w:p>
          <w:p w14:paraId="4D95AEF8">
            <w:pPr>
              <w:pageBreakBefore w:val="0"/>
              <w:widowControl w:val="0"/>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承包人提供履约保证金的形式：</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lang w:val="en-US" w:eastAsia="zh-CN"/>
              </w:rPr>
              <w:t>支持</w:t>
            </w:r>
            <w:r>
              <w:rPr>
                <w:rFonts w:hint="eastAsia" w:ascii="宋体" w:hAnsi="宋体" w:eastAsia="宋体" w:cs="宋体"/>
                <w:bCs/>
                <w:color w:val="auto"/>
                <w:sz w:val="21"/>
                <w:szCs w:val="21"/>
                <w:highlight w:val="none"/>
                <w:u w:val="single"/>
              </w:rPr>
              <w:t xml:space="preserve">转账/电汇 </w:t>
            </w:r>
            <w:r>
              <w:rPr>
                <w:rFonts w:hint="eastAsia" w:ascii="宋体" w:hAnsi="宋体" w:eastAsia="宋体" w:cs="宋体"/>
                <w:bCs/>
                <w:color w:val="auto"/>
                <w:sz w:val="21"/>
                <w:szCs w:val="21"/>
                <w:highlight w:val="none"/>
                <w:u w:val="single"/>
                <w:lang w:eastAsia="zh-CN"/>
              </w:rPr>
              <w:t>、</w:t>
            </w:r>
            <w:r>
              <w:rPr>
                <w:rFonts w:hint="eastAsia" w:ascii="宋体" w:hAnsi="宋体" w:eastAsia="宋体" w:cs="宋体"/>
                <w:bCs/>
                <w:color w:val="auto"/>
                <w:sz w:val="21"/>
                <w:szCs w:val="21"/>
                <w:highlight w:val="none"/>
                <w:u w:val="single"/>
              </w:rPr>
              <w:t xml:space="preserve">支票 </w:t>
            </w:r>
            <w:r>
              <w:rPr>
                <w:rFonts w:hint="eastAsia" w:ascii="宋体" w:hAnsi="宋体" w:eastAsia="宋体" w:cs="宋体"/>
                <w:bCs/>
                <w:color w:val="auto"/>
                <w:sz w:val="21"/>
                <w:szCs w:val="21"/>
                <w:highlight w:val="none"/>
                <w:u w:val="single"/>
                <w:lang w:eastAsia="zh-CN"/>
              </w:rPr>
              <w:t>、</w:t>
            </w:r>
            <w:r>
              <w:rPr>
                <w:rFonts w:hint="eastAsia" w:ascii="宋体" w:hAnsi="宋体" w:eastAsia="宋体" w:cs="宋体"/>
                <w:bCs/>
                <w:color w:val="auto"/>
                <w:sz w:val="21"/>
                <w:szCs w:val="21"/>
                <w:highlight w:val="none"/>
                <w:u w:val="single"/>
              </w:rPr>
              <w:t xml:space="preserve">汇票 </w:t>
            </w:r>
            <w:r>
              <w:rPr>
                <w:rFonts w:hint="eastAsia" w:ascii="宋体" w:hAnsi="宋体" w:eastAsia="宋体" w:cs="宋体"/>
                <w:bCs/>
                <w:color w:val="auto"/>
                <w:sz w:val="21"/>
                <w:szCs w:val="21"/>
                <w:highlight w:val="none"/>
                <w:u w:val="single"/>
                <w:lang w:eastAsia="zh-CN"/>
              </w:rPr>
              <w:t>、</w:t>
            </w:r>
            <w:r>
              <w:rPr>
                <w:rFonts w:hint="eastAsia" w:ascii="宋体" w:hAnsi="宋体" w:eastAsia="宋体" w:cs="宋体"/>
                <w:bCs/>
                <w:color w:val="auto"/>
                <w:sz w:val="21"/>
                <w:szCs w:val="21"/>
                <w:highlight w:val="none"/>
                <w:u w:val="single"/>
              </w:rPr>
              <w:t xml:space="preserve">本票 </w:t>
            </w:r>
            <w:r>
              <w:rPr>
                <w:rFonts w:hint="eastAsia" w:ascii="宋体" w:hAnsi="宋体" w:eastAsia="宋体" w:cs="宋体"/>
                <w:bCs/>
                <w:color w:val="auto"/>
                <w:sz w:val="21"/>
                <w:szCs w:val="21"/>
                <w:highlight w:val="none"/>
                <w:u w:val="single"/>
                <w:lang w:eastAsia="zh-CN"/>
              </w:rPr>
              <w:t>、</w:t>
            </w:r>
            <w:r>
              <w:rPr>
                <w:rFonts w:hint="eastAsia" w:ascii="宋体" w:hAnsi="宋体" w:eastAsia="宋体" w:cs="宋体"/>
                <w:bCs/>
                <w:color w:val="auto"/>
                <w:sz w:val="21"/>
                <w:szCs w:val="21"/>
                <w:highlight w:val="none"/>
                <w:u w:val="single"/>
              </w:rPr>
              <w:t xml:space="preserve">保险 </w:t>
            </w:r>
            <w:r>
              <w:rPr>
                <w:rFonts w:hint="eastAsia" w:ascii="宋体" w:hAnsi="宋体" w:eastAsia="宋体" w:cs="宋体"/>
                <w:bCs/>
                <w:color w:val="auto"/>
                <w:sz w:val="21"/>
                <w:szCs w:val="21"/>
                <w:highlight w:val="none"/>
                <w:u w:val="single"/>
                <w:lang w:eastAsia="zh-CN"/>
              </w:rPr>
              <w:t>、</w:t>
            </w:r>
            <w:r>
              <w:rPr>
                <w:rFonts w:hint="eastAsia" w:ascii="宋体" w:hAnsi="宋体" w:eastAsia="宋体" w:cs="宋体"/>
                <w:bCs/>
                <w:color w:val="auto"/>
                <w:sz w:val="21"/>
                <w:szCs w:val="21"/>
                <w:highlight w:val="none"/>
                <w:u w:val="single"/>
              </w:rPr>
              <w:t>保函</w:t>
            </w:r>
            <w:r>
              <w:rPr>
                <w:rFonts w:hint="eastAsia" w:ascii="宋体" w:hAnsi="宋体" w:eastAsia="宋体" w:cs="宋体"/>
                <w:bCs/>
                <w:color w:val="auto"/>
                <w:sz w:val="21"/>
                <w:szCs w:val="21"/>
                <w:highlight w:val="none"/>
                <w:u w:val="single"/>
                <w:lang w:eastAsia="zh-CN"/>
              </w:rPr>
              <w:t>。</w:t>
            </w:r>
          </w:p>
          <w:p w14:paraId="046835D2">
            <w:pPr>
              <w:pageBreakBefore w:val="0"/>
              <w:widowControl w:val="0"/>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履约保证金的金额：中标合同金额的</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rPr>
              <w:t>%。</w:t>
            </w:r>
          </w:p>
          <w:p w14:paraId="7830AF2A">
            <w:pPr>
              <w:pageBreakBefore w:val="0"/>
              <w:widowControl w:val="0"/>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履约保证金提交期限的要求：</w:t>
            </w:r>
            <w:r>
              <w:rPr>
                <w:rFonts w:hint="eastAsia" w:cs="宋体"/>
                <w:bCs/>
                <w:color w:val="auto"/>
                <w:sz w:val="21"/>
                <w:szCs w:val="21"/>
                <w:highlight w:val="none"/>
                <w:u w:val="single"/>
                <w:lang w:val="en-US" w:eastAsia="zh-CN"/>
              </w:rPr>
              <w:t xml:space="preserve"> / </w:t>
            </w:r>
            <w:r>
              <w:rPr>
                <w:rFonts w:hint="eastAsia" w:ascii="宋体" w:hAnsi="宋体" w:eastAsia="宋体" w:cs="宋体"/>
                <w:bCs/>
                <w:color w:val="auto"/>
                <w:sz w:val="21"/>
                <w:szCs w:val="21"/>
                <w:highlight w:val="none"/>
                <w:u w:val="single"/>
              </w:rPr>
              <w:t>。</w:t>
            </w:r>
          </w:p>
          <w:p w14:paraId="11726ABB">
            <w:pPr>
              <w:pageBreakBefore w:val="0"/>
              <w:widowControl w:val="0"/>
              <w:kinsoku/>
              <w:wordWrap/>
              <w:overflowPunct/>
              <w:topLinePunct w:val="0"/>
              <w:autoSpaceDE/>
              <w:autoSpaceDN/>
              <w:bidi w:val="0"/>
              <w:snapToGrid w:val="0"/>
              <w:spacing w:beforeAutospacing="0" w:line="520" w:lineRule="exact"/>
              <w:textAlignment w:val="auto"/>
              <w:rPr>
                <w:rFonts w:cs="宋体"/>
                <w:bCs/>
                <w:color w:val="auto"/>
                <w:kern w:val="2"/>
                <w:sz w:val="21"/>
                <w:szCs w:val="21"/>
                <w:highlight w:val="none"/>
              </w:rPr>
            </w:pPr>
            <w:r>
              <w:rPr>
                <w:rFonts w:hint="eastAsia" w:ascii="宋体" w:hAnsi="宋体" w:eastAsia="宋体" w:cs="宋体"/>
                <w:bCs/>
                <w:color w:val="auto"/>
                <w:sz w:val="21"/>
                <w:szCs w:val="21"/>
                <w:highlight w:val="none"/>
              </w:rPr>
              <w:t>履约保证金退还时限：</w:t>
            </w:r>
            <w:r>
              <w:rPr>
                <w:rFonts w:hint="eastAsia" w:cs="宋体"/>
                <w:bCs/>
                <w:color w:val="auto"/>
                <w:sz w:val="21"/>
                <w:szCs w:val="21"/>
                <w:highlight w:val="none"/>
                <w:u w:val="single"/>
                <w:lang w:val="en-US" w:eastAsia="zh-CN"/>
              </w:rPr>
              <w:t xml:space="preserve"> / </w:t>
            </w:r>
            <w:r>
              <w:rPr>
                <w:rFonts w:hint="eastAsia" w:ascii="宋体" w:hAnsi="宋体" w:eastAsia="宋体" w:cs="宋体"/>
                <w:bCs/>
                <w:color w:val="auto"/>
                <w:sz w:val="21"/>
                <w:szCs w:val="21"/>
                <w:highlight w:val="none"/>
              </w:rPr>
              <w:t>。</w:t>
            </w:r>
          </w:p>
        </w:tc>
      </w:tr>
      <w:tr w14:paraId="1904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03BB51FC">
            <w:pPr>
              <w:numPr>
                <w:ilvl w:val="0"/>
                <w:numId w:val="3"/>
              </w:numPr>
              <w:snapToGrid w:val="0"/>
              <w:spacing w:line="360" w:lineRule="auto"/>
              <w:jc w:val="center"/>
              <w:rPr>
                <w:rFonts w:cs="宋体"/>
                <w:bCs/>
                <w:color w:val="auto"/>
                <w:sz w:val="21"/>
                <w:szCs w:val="21"/>
                <w:highlight w:val="none"/>
              </w:rPr>
            </w:pPr>
          </w:p>
        </w:tc>
        <w:tc>
          <w:tcPr>
            <w:tcW w:w="1111" w:type="dxa"/>
            <w:vAlign w:val="center"/>
          </w:tcPr>
          <w:p w14:paraId="2D04402D">
            <w:pPr>
              <w:snapToGrid w:val="0"/>
              <w:spacing w:line="360" w:lineRule="auto"/>
              <w:jc w:val="center"/>
              <w:rPr>
                <w:rFonts w:cs="宋体"/>
                <w:bCs/>
                <w:color w:val="auto"/>
                <w:sz w:val="21"/>
                <w:szCs w:val="21"/>
                <w:highlight w:val="none"/>
              </w:rPr>
            </w:pPr>
            <w:r>
              <w:rPr>
                <w:rFonts w:hint="eastAsia" w:cs="宋体"/>
                <w:bCs/>
                <w:color w:val="auto"/>
                <w:sz w:val="21"/>
                <w:szCs w:val="21"/>
                <w:highlight w:val="none"/>
              </w:rPr>
              <w:t>5.1.1</w:t>
            </w:r>
          </w:p>
        </w:tc>
        <w:tc>
          <w:tcPr>
            <w:tcW w:w="7304" w:type="dxa"/>
            <w:vAlign w:val="center"/>
          </w:tcPr>
          <w:p w14:paraId="32FBA9A3">
            <w:pPr>
              <w:pageBreakBefore w:val="0"/>
              <w:widowControl w:val="0"/>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5.1.1 特殊质量标准和要求：</w:t>
            </w:r>
            <w:r>
              <w:rPr>
                <w:rFonts w:hint="eastAsia" w:ascii="宋体" w:hAnsi="宋体" w:eastAsia="宋体" w:cs="宋体"/>
                <w:bCs/>
                <w:color w:val="auto"/>
                <w:sz w:val="21"/>
                <w:szCs w:val="21"/>
                <w:highlight w:val="none"/>
                <w:u w:val="single"/>
              </w:rPr>
              <w:t>工程质量必须达到国家工程施工质量验收合格标准 。</w:t>
            </w:r>
          </w:p>
          <w:p w14:paraId="50830FE9">
            <w:pPr>
              <w:pageBreakBefore w:val="0"/>
              <w:widowControl w:val="0"/>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关于工程奖项的约定：</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lang w:val="en-US" w:eastAsia="zh-CN"/>
              </w:rPr>
              <w:t>/</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w:t>
            </w:r>
          </w:p>
          <w:p w14:paraId="38AD9894">
            <w:pPr>
              <w:pageBreakBefore w:val="0"/>
              <w:widowControl w:val="0"/>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关于建造要求：</w:t>
            </w:r>
          </w:p>
          <w:p w14:paraId="5547BC54">
            <w:pPr>
              <w:pageBreakBefore w:val="0"/>
              <w:widowControl w:val="0"/>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（1）绿色建筑等级要求：</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w:t>
            </w:r>
          </w:p>
          <w:p w14:paraId="1C16CC3A">
            <w:pPr>
              <w:pageBreakBefore w:val="0"/>
              <w:widowControl w:val="0"/>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（2）智慧工地管理要求：</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w:t>
            </w:r>
          </w:p>
          <w:p w14:paraId="7679D1B7">
            <w:pPr>
              <w:pageBreakBefore w:val="0"/>
              <w:widowControl w:val="0"/>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（3）建筑垃圾减量化目标：</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w:t>
            </w:r>
          </w:p>
          <w:p w14:paraId="285E829B">
            <w:pPr>
              <w:snapToGrid w:val="0"/>
              <w:spacing w:line="360" w:lineRule="auto"/>
              <w:rPr>
                <w:rFonts w:cs="宋体"/>
                <w:bCs/>
                <w:color w:val="auto"/>
                <w:sz w:val="21"/>
                <w:szCs w:val="21"/>
                <w:highlight w:val="none"/>
              </w:rPr>
            </w:pPr>
            <w:r>
              <w:rPr>
                <w:rFonts w:hint="eastAsia" w:ascii="宋体" w:hAnsi="宋体" w:eastAsia="宋体" w:cs="宋体"/>
                <w:bCs/>
                <w:color w:val="auto"/>
                <w:sz w:val="21"/>
                <w:szCs w:val="21"/>
                <w:highlight w:val="none"/>
              </w:rPr>
              <w:t>（4）装配式建筑装配率要求：</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w:t>
            </w:r>
          </w:p>
        </w:tc>
      </w:tr>
      <w:tr w14:paraId="70D88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75FA4EE5">
            <w:pPr>
              <w:numPr>
                <w:ilvl w:val="0"/>
                <w:numId w:val="3"/>
              </w:numPr>
              <w:snapToGrid w:val="0"/>
              <w:spacing w:line="360" w:lineRule="auto"/>
              <w:jc w:val="center"/>
              <w:rPr>
                <w:rFonts w:cs="宋体"/>
                <w:bCs/>
                <w:color w:val="auto"/>
                <w:kern w:val="2"/>
                <w:sz w:val="21"/>
                <w:szCs w:val="21"/>
                <w:highlight w:val="none"/>
              </w:rPr>
            </w:pPr>
          </w:p>
        </w:tc>
        <w:tc>
          <w:tcPr>
            <w:tcW w:w="1111" w:type="dxa"/>
            <w:vAlign w:val="center"/>
          </w:tcPr>
          <w:p w14:paraId="5B2AA031">
            <w:pPr>
              <w:snapToGrid w:val="0"/>
              <w:spacing w:line="360" w:lineRule="auto"/>
              <w:jc w:val="center"/>
              <w:rPr>
                <w:rFonts w:cs="宋体"/>
                <w:bCs/>
                <w:color w:val="auto"/>
                <w:kern w:val="2"/>
                <w:sz w:val="21"/>
                <w:szCs w:val="21"/>
                <w:highlight w:val="none"/>
              </w:rPr>
            </w:pPr>
            <w:r>
              <w:rPr>
                <w:rFonts w:hint="eastAsia" w:cs="宋体"/>
                <w:bCs/>
                <w:color w:val="auto"/>
                <w:sz w:val="21"/>
                <w:szCs w:val="21"/>
                <w:highlight w:val="none"/>
              </w:rPr>
              <w:t>7.5.2</w:t>
            </w:r>
          </w:p>
        </w:tc>
        <w:tc>
          <w:tcPr>
            <w:tcW w:w="7304" w:type="dxa"/>
            <w:tcBorders>
              <w:bottom w:val="single" w:color="auto" w:sz="4" w:space="0"/>
            </w:tcBorders>
            <w:vAlign w:val="center"/>
          </w:tcPr>
          <w:p w14:paraId="5D2C347D">
            <w:pPr>
              <w:snapToGrid w:val="0"/>
              <w:spacing w:line="360" w:lineRule="auto"/>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rPr>
              <w:t>因承包人原因造成工期延误，逾期竣工违约金的计算方法为：</w:t>
            </w:r>
            <w:r>
              <w:rPr>
                <w:rFonts w:hint="eastAsia" w:cs="宋体"/>
                <w:bCs/>
                <w:color w:val="auto"/>
                <w:kern w:val="2"/>
                <w:sz w:val="21"/>
                <w:szCs w:val="21"/>
                <w:highlight w:val="none"/>
                <w:u w:val="single"/>
                <w:lang w:eastAsia="zh-CN"/>
              </w:rPr>
              <w:t>每推迟一天，按合同价款（扣除暂估价和暂列金）</w:t>
            </w:r>
            <w:r>
              <w:rPr>
                <w:rFonts w:hint="eastAsia" w:cs="宋体"/>
                <w:b/>
                <w:bCs w:val="0"/>
                <w:color w:val="auto"/>
                <w:kern w:val="2"/>
                <w:sz w:val="21"/>
                <w:szCs w:val="21"/>
                <w:highlight w:val="none"/>
                <w:u w:val="single"/>
                <w:lang w:eastAsia="zh-CN"/>
              </w:rPr>
              <w:t>万分之一</w:t>
            </w:r>
            <w:r>
              <w:rPr>
                <w:rFonts w:hint="eastAsia" w:cs="宋体"/>
                <w:bCs/>
                <w:color w:val="auto"/>
                <w:kern w:val="2"/>
                <w:sz w:val="21"/>
                <w:szCs w:val="21"/>
                <w:highlight w:val="none"/>
                <w:u w:val="single"/>
                <w:lang w:eastAsia="zh-CN"/>
              </w:rPr>
              <w:t>处以违约金</w:t>
            </w:r>
            <w:r>
              <w:rPr>
                <w:rFonts w:hint="eastAsia" w:ascii="宋体" w:hAnsi="宋体" w:eastAsia="宋体" w:cs="宋体"/>
                <w:bCs/>
                <w:color w:val="auto"/>
                <w:kern w:val="2"/>
                <w:sz w:val="21"/>
                <w:szCs w:val="21"/>
                <w:highlight w:val="none"/>
                <w:u w:val="single"/>
              </w:rPr>
              <w:t>。</w:t>
            </w:r>
          </w:p>
          <w:p w14:paraId="68B6DCD7">
            <w:pPr>
              <w:snapToGrid w:val="0"/>
              <w:spacing w:line="360" w:lineRule="auto"/>
              <w:rPr>
                <w:rFonts w:cs="宋体"/>
                <w:bCs/>
                <w:color w:val="auto"/>
                <w:kern w:val="2"/>
                <w:sz w:val="21"/>
                <w:szCs w:val="21"/>
                <w:highlight w:val="none"/>
              </w:rPr>
            </w:pPr>
            <w:r>
              <w:rPr>
                <w:rFonts w:hint="eastAsia" w:ascii="宋体" w:hAnsi="宋体" w:eastAsia="宋体" w:cs="宋体"/>
                <w:bCs/>
                <w:color w:val="auto"/>
                <w:kern w:val="2"/>
                <w:sz w:val="21"/>
                <w:szCs w:val="21"/>
                <w:highlight w:val="none"/>
              </w:rPr>
              <w:t>因承包人原因造成工期延误，逾期竣工违约金的上限：</w:t>
            </w:r>
            <w:r>
              <w:rPr>
                <w:rFonts w:hint="eastAsia" w:ascii="宋体" w:hAnsi="宋体" w:eastAsia="宋体" w:cs="宋体"/>
                <w:bCs/>
                <w:color w:val="auto"/>
                <w:kern w:val="2"/>
                <w:sz w:val="21"/>
                <w:szCs w:val="21"/>
                <w:highlight w:val="none"/>
                <w:u w:val="single"/>
              </w:rPr>
              <w:t>合同价款的5%</w:t>
            </w:r>
            <w:r>
              <w:rPr>
                <w:rFonts w:hint="eastAsia" w:cs="宋体"/>
                <w:bCs/>
                <w:color w:val="auto"/>
                <w:kern w:val="2"/>
                <w:sz w:val="21"/>
                <w:szCs w:val="21"/>
                <w:highlight w:val="none"/>
                <w:u w:val="single"/>
                <w:lang w:val="en-US" w:eastAsia="zh-CN"/>
              </w:rPr>
              <w:t xml:space="preserve"> </w:t>
            </w:r>
            <w:r>
              <w:rPr>
                <w:rFonts w:hint="eastAsia" w:ascii="宋体" w:hAnsi="宋体" w:eastAsia="宋体" w:cs="宋体"/>
                <w:bCs/>
                <w:color w:val="auto"/>
                <w:kern w:val="2"/>
                <w:sz w:val="21"/>
                <w:szCs w:val="21"/>
                <w:highlight w:val="none"/>
              </w:rPr>
              <w:t>。</w:t>
            </w:r>
          </w:p>
        </w:tc>
      </w:tr>
      <w:tr w14:paraId="7E0A7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4908B146">
            <w:pPr>
              <w:numPr>
                <w:ilvl w:val="0"/>
                <w:numId w:val="3"/>
              </w:numPr>
              <w:snapToGrid w:val="0"/>
              <w:spacing w:line="360" w:lineRule="auto"/>
              <w:jc w:val="center"/>
              <w:rPr>
                <w:rFonts w:cs="宋体"/>
                <w:bCs/>
                <w:color w:val="auto"/>
                <w:kern w:val="2"/>
                <w:sz w:val="21"/>
                <w:szCs w:val="21"/>
                <w:highlight w:val="none"/>
              </w:rPr>
            </w:pPr>
          </w:p>
        </w:tc>
        <w:tc>
          <w:tcPr>
            <w:tcW w:w="1111" w:type="dxa"/>
            <w:vAlign w:val="center"/>
          </w:tcPr>
          <w:p w14:paraId="4623BAFD">
            <w:pPr>
              <w:snapToGrid w:val="0"/>
              <w:spacing w:line="360" w:lineRule="auto"/>
              <w:jc w:val="center"/>
              <w:rPr>
                <w:rFonts w:cs="宋体"/>
                <w:bCs/>
                <w:color w:val="auto"/>
                <w:kern w:val="2"/>
                <w:sz w:val="21"/>
                <w:szCs w:val="21"/>
                <w:highlight w:val="none"/>
              </w:rPr>
            </w:pPr>
            <w:r>
              <w:rPr>
                <w:rFonts w:hint="eastAsia" w:cs="宋体"/>
                <w:bCs/>
                <w:color w:val="auto"/>
                <w:sz w:val="21"/>
                <w:szCs w:val="21"/>
                <w:highlight w:val="none"/>
              </w:rPr>
              <w:t>7.9.2</w:t>
            </w:r>
          </w:p>
        </w:tc>
        <w:tc>
          <w:tcPr>
            <w:tcW w:w="7304" w:type="dxa"/>
            <w:tcBorders>
              <w:bottom w:val="single" w:color="auto" w:sz="4" w:space="0"/>
            </w:tcBorders>
            <w:vAlign w:val="center"/>
          </w:tcPr>
          <w:p w14:paraId="45F6B443">
            <w:pPr>
              <w:snapToGrid w:val="0"/>
              <w:spacing w:line="360" w:lineRule="auto"/>
              <w:rPr>
                <w:rFonts w:cs="宋体"/>
                <w:bCs/>
                <w:color w:val="auto"/>
                <w:kern w:val="2"/>
                <w:sz w:val="21"/>
                <w:szCs w:val="21"/>
                <w:highlight w:val="none"/>
              </w:rPr>
            </w:pPr>
            <w:r>
              <w:rPr>
                <w:rFonts w:hint="eastAsia" w:cs="宋体"/>
                <w:color w:val="auto"/>
                <w:sz w:val="21"/>
                <w:szCs w:val="21"/>
                <w:highlight w:val="none"/>
              </w:rPr>
              <w:t>提前竣工的奖励：</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无</w:t>
            </w:r>
            <w:r>
              <w:rPr>
                <w:rFonts w:hint="eastAsia" w:cs="宋体"/>
                <w:color w:val="auto"/>
                <w:sz w:val="21"/>
                <w:szCs w:val="21"/>
                <w:highlight w:val="none"/>
                <w:u w:val="single"/>
              </w:rPr>
              <w:t xml:space="preserve">                    </w:t>
            </w:r>
            <w:r>
              <w:rPr>
                <w:rFonts w:hint="eastAsia" w:cs="宋体"/>
                <w:color w:val="auto"/>
                <w:sz w:val="21"/>
                <w:szCs w:val="21"/>
                <w:highlight w:val="none"/>
              </w:rPr>
              <w:t>。</w:t>
            </w:r>
          </w:p>
        </w:tc>
      </w:tr>
      <w:tr w14:paraId="6A482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1657C1CE">
            <w:pPr>
              <w:numPr>
                <w:ilvl w:val="0"/>
                <w:numId w:val="3"/>
              </w:numPr>
              <w:snapToGrid w:val="0"/>
              <w:spacing w:line="360" w:lineRule="auto"/>
              <w:jc w:val="center"/>
              <w:rPr>
                <w:rFonts w:cs="宋体"/>
                <w:bCs/>
                <w:color w:val="auto"/>
                <w:kern w:val="2"/>
                <w:sz w:val="21"/>
                <w:szCs w:val="21"/>
                <w:highlight w:val="none"/>
              </w:rPr>
            </w:pPr>
          </w:p>
        </w:tc>
        <w:tc>
          <w:tcPr>
            <w:tcW w:w="1111" w:type="dxa"/>
            <w:vAlign w:val="center"/>
          </w:tcPr>
          <w:p w14:paraId="264B684D">
            <w:pPr>
              <w:snapToGrid w:val="0"/>
              <w:spacing w:line="360" w:lineRule="auto"/>
              <w:jc w:val="center"/>
              <w:rPr>
                <w:rFonts w:cs="宋体"/>
                <w:bCs/>
                <w:color w:val="auto"/>
                <w:kern w:val="2"/>
                <w:sz w:val="21"/>
                <w:szCs w:val="21"/>
                <w:highlight w:val="none"/>
              </w:rPr>
            </w:pPr>
            <w:r>
              <w:rPr>
                <w:rFonts w:hint="eastAsia" w:cs="宋体"/>
                <w:bCs/>
                <w:color w:val="auto"/>
                <w:sz w:val="21"/>
                <w:szCs w:val="21"/>
                <w:highlight w:val="none"/>
              </w:rPr>
              <w:t>11.1</w:t>
            </w:r>
          </w:p>
        </w:tc>
        <w:tc>
          <w:tcPr>
            <w:tcW w:w="7304" w:type="dxa"/>
            <w:tcBorders>
              <w:bottom w:val="single" w:color="auto" w:sz="4" w:space="0"/>
            </w:tcBorders>
            <w:vAlign w:val="center"/>
          </w:tcPr>
          <w:p w14:paraId="1276CD3B">
            <w:pPr>
              <w:pStyle w:val="33"/>
              <w:tabs>
                <w:tab w:val="clear" w:pos="4153"/>
                <w:tab w:val="clear" w:pos="8306"/>
              </w:tabs>
              <w:spacing w:line="360" w:lineRule="auto"/>
              <w:rPr>
                <w:rFonts w:cs="宋体"/>
                <w:bCs/>
                <w:color w:val="auto"/>
                <w:kern w:val="2"/>
                <w:sz w:val="21"/>
                <w:szCs w:val="21"/>
                <w:highlight w:val="none"/>
              </w:rPr>
            </w:pPr>
            <w:r>
              <w:rPr>
                <w:rFonts w:hint="eastAsia" w:cs="宋体"/>
                <w:bCs/>
                <w:color w:val="auto"/>
                <w:kern w:val="2"/>
                <w:sz w:val="21"/>
                <w:szCs w:val="21"/>
                <w:highlight w:val="none"/>
              </w:rPr>
              <w:t>市场价格波动是否调整合同价格的约定：</w:t>
            </w:r>
            <w:r>
              <w:rPr>
                <w:rFonts w:hint="eastAsia" w:cs="宋体"/>
                <w:bCs/>
                <w:color w:val="auto"/>
                <w:kern w:val="2"/>
                <w:sz w:val="21"/>
                <w:szCs w:val="21"/>
                <w:highlight w:val="none"/>
                <w:u w:val="single"/>
              </w:rPr>
              <w:t xml:space="preserve">  </w:t>
            </w:r>
            <w:r>
              <w:rPr>
                <w:rFonts w:hint="eastAsia" w:ascii="宋体" w:hAnsi="宋体" w:eastAsia="宋体" w:cs="宋体"/>
                <w:bCs/>
                <w:color w:val="auto"/>
                <w:kern w:val="2"/>
                <w:sz w:val="21"/>
                <w:szCs w:val="21"/>
                <w:highlight w:val="none"/>
                <w:u w:val="single"/>
                <w:lang w:val="en-US" w:eastAsia="zh-CN"/>
              </w:rPr>
              <w:t>不调</w:t>
            </w:r>
            <w:r>
              <w:rPr>
                <w:rFonts w:hint="eastAsia" w:cs="宋体"/>
                <w:bCs/>
                <w:color w:val="auto"/>
                <w:kern w:val="2"/>
                <w:sz w:val="21"/>
                <w:szCs w:val="21"/>
                <w:highlight w:val="none"/>
                <w:u w:val="single"/>
                <w:lang w:val="en-US" w:eastAsia="zh-CN"/>
              </w:rPr>
              <w:t>价</w:t>
            </w:r>
            <w:r>
              <w:rPr>
                <w:rFonts w:hint="eastAsia" w:cs="宋体"/>
                <w:bCs/>
                <w:color w:val="auto"/>
                <w:kern w:val="2"/>
                <w:sz w:val="21"/>
                <w:szCs w:val="21"/>
                <w:highlight w:val="none"/>
                <w:u w:val="single"/>
              </w:rPr>
              <w:t xml:space="preserve"> </w:t>
            </w:r>
            <w:r>
              <w:rPr>
                <w:rFonts w:hint="eastAsia" w:cs="宋体"/>
                <w:bCs/>
                <w:color w:val="auto"/>
                <w:kern w:val="2"/>
                <w:sz w:val="21"/>
                <w:szCs w:val="21"/>
                <w:highlight w:val="none"/>
              </w:rPr>
              <w:t>。</w:t>
            </w:r>
          </w:p>
        </w:tc>
      </w:tr>
      <w:tr w14:paraId="3BB43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18C8590D">
            <w:pPr>
              <w:numPr>
                <w:ilvl w:val="0"/>
                <w:numId w:val="3"/>
              </w:numPr>
              <w:snapToGrid w:val="0"/>
              <w:spacing w:line="360" w:lineRule="auto"/>
              <w:jc w:val="center"/>
              <w:rPr>
                <w:rFonts w:cs="宋体"/>
                <w:bCs/>
                <w:color w:val="auto"/>
                <w:sz w:val="21"/>
                <w:szCs w:val="21"/>
                <w:highlight w:val="none"/>
              </w:rPr>
            </w:pPr>
          </w:p>
        </w:tc>
        <w:tc>
          <w:tcPr>
            <w:tcW w:w="1111" w:type="dxa"/>
            <w:vAlign w:val="center"/>
          </w:tcPr>
          <w:p w14:paraId="4D98F808">
            <w:pPr>
              <w:snapToGrid w:val="0"/>
              <w:spacing w:line="360" w:lineRule="auto"/>
              <w:jc w:val="center"/>
              <w:rPr>
                <w:rFonts w:cs="宋体"/>
                <w:bCs/>
                <w:color w:val="auto"/>
                <w:sz w:val="21"/>
                <w:szCs w:val="21"/>
                <w:highlight w:val="none"/>
              </w:rPr>
            </w:pPr>
            <w:r>
              <w:rPr>
                <w:rFonts w:hint="eastAsia" w:cs="宋体"/>
                <w:bCs/>
                <w:color w:val="auto"/>
                <w:sz w:val="21"/>
                <w:szCs w:val="21"/>
                <w:highlight w:val="none"/>
              </w:rPr>
              <w:t>12.1</w:t>
            </w:r>
          </w:p>
        </w:tc>
        <w:tc>
          <w:tcPr>
            <w:tcW w:w="7304" w:type="dxa"/>
            <w:tcBorders>
              <w:bottom w:val="single" w:color="auto" w:sz="4" w:space="0"/>
            </w:tcBorders>
            <w:vAlign w:val="center"/>
          </w:tcPr>
          <w:p w14:paraId="536C7022">
            <w:pPr>
              <w:pStyle w:val="33"/>
              <w:pageBreakBefore w:val="0"/>
              <w:widowControl w:val="0"/>
              <w:tabs>
                <w:tab w:val="clear" w:pos="4153"/>
                <w:tab w:val="clear" w:pos="8306"/>
              </w:tabs>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合同价格形式</w:t>
            </w:r>
          </w:p>
          <w:p w14:paraId="4CB899FF">
            <w:pPr>
              <w:pStyle w:val="33"/>
              <w:pageBreakBefore w:val="0"/>
              <w:widowControl w:val="0"/>
              <w:tabs>
                <w:tab w:val="clear" w:pos="4153"/>
                <w:tab w:val="clear" w:pos="8306"/>
              </w:tabs>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(1)单价合同。</w:t>
            </w:r>
          </w:p>
          <w:p w14:paraId="6EEF11E1">
            <w:pPr>
              <w:pStyle w:val="33"/>
              <w:pageBreakBefore w:val="0"/>
              <w:widowControl w:val="0"/>
              <w:tabs>
                <w:tab w:val="clear" w:pos="4153"/>
                <w:tab w:val="clear" w:pos="8306"/>
              </w:tabs>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综合单价包含的风险范围：</w:t>
            </w:r>
            <w:r>
              <w:rPr>
                <w:rFonts w:hint="eastAsia" w:ascii="宋体" w:hAnsi="宋体" w:eastAsia="宋体" w:cs="宋体"/>
                <w:color w:val="auto"/>
                <w:sz w:val="21"/>
                <w:szCs w:val="21"/>
                <w:highlight w:val="none"/>
                <w:u w:val="single"/>
              </w:rPr>
              <w:t>隐含于已标价工程量清单综合单价中，用于化解发承包双方在工程合同中约定内容和范围内的市场价格波动风险的费用。综合单价包括为完成本项目所需要的一切费用,包括但不限于人工费、材料费、施工机械费、管理费、利润、风险费用、总包管理费、赶工措施费、相关交易费及完成本工程交易文件及合同条款内容等所有费用</w:t>
            </w:r>
            <w:r>
              <w:rPr>
                <w:rFonts w:hint="eastAsia" w:cs="宋体"/>
                <w:color w:val="auto"/>
                <w:sz w:val="21"/>
                <w:szCs w:val="21"/>
                <w:highlight w:val="none"/>
                <w:u w:val="single"/>
                <w:lang w:eastAsia="zh-CN"/>
              </w:rPr>
              <w:t>，</w:t>
            </w:r>
            <w:r>
              <w:rPr>
                <w:color w:val="auto"/>
                <w:spacing w:val="-4"/>
                <w:sz w:val="21"/>
                <w:szCs w:val="21"/>
                <w:highlight w:val="none"/>
                <w:u w:val="single" w:color="auto"/>
              </w:rPr>
              <w:t>综合单价今后将不作任何调整</w:t>
            </w:r>
            <w:r>
              <w:rPr>
                <w:rFonts w:hint="eastAsia" w:cs="宋体"/>
                <w:bCs/>
                <w:color w:val="auto"/>
                <w:sz w:val="21"/>
                <w:szCs w:val="21"/>
                <w:highlight w:val="none"/>
                <w:u w:val="single"/>
              </w:rPr>
              <w:t xml:space="preserve">   </w:t>
            </w:r>
            <w:r>
              <w:rPr>
                <w:rFonts w:hint="eastAsia" w:ascii="宋体" w:hAnsi="宋体" w:eastAsia="宋体" w:cs="宋体"/>
                <w:color w:val="auto"/>
                <w:sz w:val="21"/>
                <w:szCs w:val="21"/>
                <w:highlight w:val="none"/>
                <w:u w:val="single"/>
              </w:rPr>
              <w:t>。</w:t>
            </w:r>
          </w:p>
          <w:p w14:paraId="25307468">
            <w:pPr>
              <w:pageBreakBefore w:val="0"/>
              <w:kinsoku/>
              <w:wordWrap/>
              <w:topLinePunct w:val="0"/>
              <w:bidi w:val="0"/>
              <w:adjustRightInd w:val="0"/>
              <w:snapToGrid w:val="0"/>
              <w:spacing w:beforeAutospacing="0" w:line="520" w:lineRule="exact"/>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风险费用的计算方法：</w:t>
            </w:r>
            <w:r>
              <w:rPr>
                <w:rFonts w:hint="eastAsia" w:ascii="宋体" w:hAnsi="宋体" w:eastAsia="宋体" w:cs="宋体"/>
                <w:color w:val="auto"/>
                <w:sz w:val="21"/>
                <w:szCs w:val="21"/>
                <w:highlight w:val="none"/>
                <w:u w:val="single"/>
              </w:rPr>
              <w:t xml:space="preserve"> 承包人自行考虑，包含在报价中 。</w:t>
            </w:r>
          </w:p>
          <w:p w14:paraId="1D431FE6">
            <w:pPr>
              <w:pageBreakBefore w:val="0"/>
              <w:kinsoku/>
              <w:wordWrap/>
              <w:topLinePunct w:val="0"/>
              <w:bidi w:val="0"/>
              <w:adjustRightInd w:val="0"/>
              <w:snapToGrid w:val="0"/>
              <w:spacing w:beforeAutospacing="0" w:line="520" w:lineRule="exact"/>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风险范围以外合同价格的调整方法：</w:t>
            </w:r>
            <w:r>
              <w:rPr>
                <w:rFonts w:hint="eastAsia" w:ascii="宋体" w:hAnsi="宋体" w:eastAsia="宋体" w:cs="宋体"/>
                <w:color w:val="auto"/>
                <w:sz w:val="21"/>
                <w:szCs w:val="21"/>
                <w:highlight w:val="none"/>
                <w:u w:val="single"/>
              </w:rPr>
              <w:t xml:space="preserve">按照国家级省市政策要求。 </w:t>
            </w:r>
          </w:p>
          <w:p w14:paraId="20F5FB4D">
            <w:pPr>
              <w:pStyle w:val="33"/>
              <w:pageBreakBefore w:val="0"/>
              <w:widowControl w:val="0"/>
              <w:tabs>
                <w:tab w:val="clear" w:pos="4153"/>
                <w:tab w:val="clear" w:pos="8306"/>
              </w:tabs>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(2)总价合同。</w:t>
            </w:r>
          </w:p>
          <w:p w14:paraId="48C6009D">
            <w:pPr>
              <w:pStyle w:val="33"/>
              <w:pageBreakBefore w:val="0"/>
              <w:widowControl w:val="0"/>
              <w:tabs>
                <w:tab w:val="clear" w:pos="4153"/>
                <w:tab w:val="clear" w:pos="8306"/>
              </w:tabs>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总价包含的风险范围：</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rPr>
              <w:t xml:space="preserve">                 </w:t>
            </w:r>
          </w:p>
          <w:p w14:paraId="141EE6BB">
            <w:pPr>
              <w:pStyle w:val="33"/>
              <w:pageBreakBefore w:val="0"/>
              <w:widowControl w:val="0"/>
              <w:tabs>
                <w:tab w:val="clear" w:pos="4153"/>
                <w:tab w:val="clear" w:pos="8306"/>
              </w:tabs>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风险费用的计算方法：</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w:t>
            </w:r>
          </w:p>
          <w:p w14:paraId="7DB5761E">
            <w:pPr>
              <w:pStyle w:val="33"/>
              <w:pageBreakBefore w:val="0"/>
              <w:widowControl w:val="0"/>
              <w:tabs>
                <w:tab w:val="clear" w:pos="4153"/>
                <w:tab w:val="clear" w:pos="8306"/>
              </w:tabs>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风险范围以外合同价格的调整方法：</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w:t>
            </w:r>
          </w:p>
          <w:p w14:paraId="6217A63A">
            <w:pPr>
              <w:pStyle w:val="33"/>
              <w:tabs>
                <w:tab w:val="clear" w:pos="4153"/>
                <w:tab w:val="clear" w:pos="8306"/>
              </w:tabs>
              <w:spacing w:line="360" w:lineRule="auto"/>
              <w:rPr>
                <w:rFonts w:cs="宋体"/>
                <w:bCs/>
                <w:color w:val="auto"/>
                <w:sz w:val="21"/>
                <w:szCs w:val="21"/>
                <w:highlight w:val="none"/>
              </w:rPr>
            </w:pPr>
            <w:r>
              <w:rPr>
                <w:rFonts w:hint="eastAsia" w:ascii="宋体" w:hAnsi="宋体" w:eastAsia="宋体" w:cs="宋体"/>
                <w:bCs/>
                <w:color w:val="auto"/>
                <w:sz w:val="21"/>
                <w:szCs w:val="21"/>
                <w:highlight w:val="none"/>
              </w:rPr>
              <w:t>（3）其他价格方式：</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w:t>
            </w:r>
          </w:p>
        </w:tc>
      </w:tr>
      <w:tr w14:paraId="0E382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77A72F37">
            <w:pPr>
              <w:numPr>
                <w:ilvl w:val="0"/>
                <w:numId w:val="3"/>
              </w:numPr>
              <w:snapToGrid w:val="0"/>
              <w:spacing w:line="360" w:lineRule="auto"/>
              <w:jc w:val="center"/>
              <w:rPr>
                <w:rFonts w:cs="宋体"/>
                <w:bCs/>
                <w:color w:val="auto"/>
                <w:kern w:val="2"/>
                <w:sz w:val="21"/>
                <w:szCs w:val="21"/>
                <w:highlight w:val="none"/>
              </w:rPr>
            </w:pPr>
          </w:p>
        </w:tc>
        <w:tc>
          <w:tcPr>
            <w:tcW w:w="1111" w:type="dxa"/>
            <w:vAlign w:val="center"/>
          </w:tcPr>
          <w:p w14:paraId="36F116A5">
            <w:pPr>
              <w:snapToGrid w:val="0"/>
              <w:spacing w:line="360" w:lineRule="auto"/>
              <w:jc w:val="center"/>
              <w:rPr>
                <w:rFonts w:cs="宋体"/>
                <w:bCs/>
                <w:color w:val="auto"/>
                <w:kern w:val="2"/>
                <w:sz w:val="21"/>
                <w:szCs w:val="21"/>
                <w:highlight w:val="none"/>
              </w:rPr>
            </w:pPr>
            <w:r>
              <w:rPr>
                <w:rFonts w:hint="eastAsia" w:cs="宋体"/>
                <w:bCs/>
                <w:color w:val="auto"/>
                <w:sz w:val="21"/>
                <w:szCs w:val="21"/>
                <w:highlight w:val="none"/>
              </w:rPr>
              <w:t xml:space="preserve">12.2.1 </w:t>
            </w:r>
          </w:p>
        </w:tc>
        <w:tc>
          <w:tcPr>
            <w:tcW w:w="7304" w:type="dxa"/>
            <w:tcBorders>
              <w:bottom w:val="single" w:color="auto" w:sz="4" w:space="0"/>
            </w:tcBorders>
            <w:vAlign w:val="center"/>
          </w:tcPr>
          <w:p w14:paraId="4EF19F4E">
            <w:pPr>
              <w:pageBreakBefore w:val="0"/>
              <w:widowControl w:val="0"/>
              <w:kinsoku/>
              <w:wordWrap/>
              <w:overflowPunct/>
              <w:topLinePunct w:val="0"/>
              <w:autoSpaceDE/>
              <w:autoSpaceDN/>
              <w:bidi w:val="0"/>
              <w:adjustRightInd w:val="0"/>
              <w:snapToGrid w:val="0"/>
              <w:spacing w:beforeAutospacing="0" w:line="360" w:lineRule="auto"/>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预付款的支付</w:t>
            </w:r>
          </w:p>
          <w:p w14:paraId="77DCE979">
            <w:pPr>
              <w:pStyle w:val="33"/>
              <w:pageBreakBefore w:val="0"/>
              <w:widowControl w:val="0"/>
              <w:tabs>
                <w:tab w:val="clear" w:pos="4153"/>
                <w:tab w:val="clear" w:pos="8306"/>
              </w:tabs>
              <w:kinsoku/>
              <w:wordWrap/>
              <w:overflowPunct/>
              <w:topLinePunct w:val="0"/>
              <w:autoSpaceDE/>
              <w:autoSpaceDN/>
              <w:bidi w:val="0"/>
              <w:snapToGrid w:val="0"/>
              <w:spacing w:beforeAutospacing="0" w:line="360" w:lineRule="auto"/>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预付款支付比例或金额：</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w:t>
            </w:r>
          </w:p>
          <w:p w14:paraId="667BFF3B">
            <w:pPr>
              <w:pageBreakBefore w:val="0"/>
              <w:widowControl w:val="0"/>
              <w:kinsoku/>
              <w:wordWrap/>
              <w:overflowPunct/>
              <w:topLinePunct w:val="0"/>
              <w:autoSpaceDE/>
              <w:autoSpaceDN/>
              <w:bidi w:val="0"/>
              <w:adjustRightInd w:val="0"/>
              <w:snapToGrid w:val="0"/>
              <w:spacing w:beforeAutospacing="0" w:line="360" w:lineRule="auto"/>
              <w:textAlignment w:val="auto"/>
              <w:rPr>
                <w:rFonts w:hint="eastAsia" w:ascii="宋体" w:hAnsi="宋体" w:eastAsia="宋体"/>
                <w:color w:val="auto"/>
                <w:spacing w:val="8"/>
                <w:sz w:val="21"/>
                <w:szCs w:val="21"/>
                <w:highlight w:val="none"/>
                <w:u w:val="single" w:color="auto"/>
              </w:rPr>
            </w:pPr>
            <w:r>
              <w:rPr>
                <w:rFonts w:hint="eastAsia" w:ascii="宋体" w:hAnsi="宋体" w:eastAsia="宋体" w:cs="宋体"/>
                <w:bCs/>
                <w:color w:val="auto"/>
                <w:sz w:val="21"/>
                <w:szCs w:val="21"/>
                <w:highlight w:val="none"/>
              </w:rPr>
              <w:t>预付款支付期限：</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w:t>
            </w:r>
          </w:p>
          <w:p w14:paraId="68980733">
            <w:pPr>
              <w:adjustRightInd w:val="0"/>
              <w:snapToGrid w:val="0"/>
              <w:spacing w:line="360" w:lineRule="auto"/>
              <w:rPr>
                <w:rFonts w:hint="eastAsia" w:eastAsia="宋体" w:cs="宋体"/>
                <w:bCs/>
                <w:color w:val="auto"/>
                <w:kern w:val="2"/>
                <w:sz w:val="21"/>
                <w:szCs w:val="21"/>
                <w:highlight w:val="none"/>
                <w:lang w:eastAsia="zh-CN"/>
              </w:rPr>
            </w:pPr>
            <w:r>
              <w:rPr>
                <w:rFonts w:hint="eastAsia" w:ascii="宋体" w:hAnsi="宋体" w:eastAsia="宋体" w:cs="宋体"/>
                <w:bCs/>
                <w:color w:val="auto"/>
                <w:sz w:val="21"/>
                <w:szCs w:val="21"/>
                <w:highlight w:val="none"/>
              </w:rPr>
              <w:t>预付款扣回的方式：</w:t>
            </w:r>
            <w:r>
              <w:rPr>
                <w:rFonts w:hint="eastAsia" w:ascii="宋体" w:hAnsi="宋体" w:eastAsia="宋体"/>
                <w:color w:val="auto"/>
                <w:spacing w:val="8"/>
                <w:sz w:val="21"/>
                <w:szCs w:val="21"/>
                <w:highlight w:val="none"/>
                <w:u w:val="single" w:color="auto"/>
              </w:rPr>
              <w:t>合</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w:t>
            </w:r>
          </w:p>
        </w:tc>
      </w:tr>
      <w:tr w14:paraId="713A4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629" w:type="dxa"/>
            <w:vAlign w:val="center"/>
          </w:tcPr>
          <w:p w14:paraId="48C79253">
            <w:pPr>
              <w:numPr>
                <w:ilvl w:val="0"/>
                <w:numId w:val="3"/>
              </w:numPr>
              <w:snapToGrid w:val="0"/>
              <w:spacing w:line="360" w:lineRule="auto"/>
              <w:jc w:val="center"/>
              <w:rPr>
                <w:rFonts w:cs="宋体"/>
                <w:bCs/>
                <w:color w:val="auto"/>
                <w:kern w:val="2"/>
                <w:sz w:val="21"/>
                <w:szCs w:val="21"/>
                <w:highlight w:val="none"/>
              </w:rPr>
            </w:pPr>
          </w:p>
        </w:tc>
        <w:tc>
          <w:tcPr>
            <w:tcW w:w="1111" w:type="dxa"/>
            <w:vAlign w:val="center"/>
          </w:tcPr>
          <w:p w14:paraId="36F2AB55">
            <w:pPr>
              <w:snapToGrid w:val="0"/>
              <w:spacing w:line="360" w:lineRule="auto"/>
              <w:jc w:val="center"/>
              <w:rPr>
                <w:rFonts w:cs="宋体"/>
                <w:bCs/>
                <w:color w:val="auto"/>
                <w:kern w:val="2"/>
                <w:sz w:val="21"/>
                <w:szCs w:val="21"/>
                <w:highlight w:val="none"/>
              </w:rPr>
            </w:pPr>
            <w:r>
              <w:rPr>
                <w:rFonts w:hint="eastAsia" w:cs="宋体"/>
                <w:bCs/>
                <w:color w:val="auto"/>
                <w:sz w:val="21"/>
                <w:szCs w:val="21"/>
                <w:highlight w:val="none"/>
              </w:rPr>
              <w:t>12.2.2</w:t>
            </w:r>
          </w:p>
        </w:tc>
        <w:tc>
          <w:tcPr>
            <w:tcW w:w="7304" w:type="dxa"/>
            <w:tcBorders>
              <w:bottom w:val="single" w:color="auto" w:sz="4" w:space="0"/>
            </w:tcBorders>
            <w:vAlign w:val="center"/>
          </w:tcPr>
          <w:p w14:paraId="1ED90C31">
            <w:pPr>
              <w:adjustRightInd w:val="0"/>
              <w:snapToGrid w:val="0"/>
              <w:spacing w:line="360" w:lineRule="auto"/>
              <w:rPr>
                <w:rFonts w:cs="宋体"/>
                <w:bCs/>
                <w:color w:val="auto"/>
                <w:sz w:val="21"/>
                <w:szCs w:val="21"/>
                <w:highlight w:val="none"/>
              </w:rPr>
            </w:pPr>
            <w:r>
              <w:rPr>
                <w:rFonts w:hint="eastAsia" w:cs="宋体"/>
                <w:bCs/>
                <w:color w:val="auto"/>
                <w:sz w:val="21"/>
                <w:szCs w:val="21"/>
                <w:highlight w:val="none"/>
              </w:rPr>
              <w:t>预付款担保</w:t>
            </w:r>
          </w:p>
          <w:p w14:paraId="23C093BB">
            <w:pPr>
              <w:adjustRightInd w:val="0"/>
              <w:snapToGrid w:val="0"/>
              <w:spacing w:line="360" w:lineRule="auto"/>
              <w:rPr>
                <w:rFonts w:cs="宋体"/>
                <w:bCs/>
                <w:color w:val="auto"/>
                <w:sz w:val="21"/>
                <w:szCs w:val="21"/>
                <w:highlight w:val="none"/>
              </w:rPr>
            </w:pPr>
            <w:r>
              <w:rPr>
                <w:rFonts w:hint="eastAsia" w:cs="宋体"/>
                <w:bCs/>
                <w:color w:val="auto"/>
                <w:sz w:val="21"/>
                <w:szCs w:val="21"/>
                <w:highlight w:val="none"/>
              </w:rPr>
              <w:t>承包人提交预付款担保的期限：</w:t>
            </w:r>
            <w:r>
              <w:rPr>
                <w:rFonts w:hint="eastAsia" w:cs="宋体"/>
                <w:bCs/>
                <w:color w:val="auto"/>
                <w:sz w:val="21"/>
                <w:szCs w:val="21"/>
                <w:highlight w:val="none"/>
                <w:u w:val="single"/>
              </w:rPr>
              <w:t xml:space="preserve"> </w:t>
            </w:r>
            <w:r>
              <w:rPr>
                <w:color w:val="auto"/>
                <w:spacing w:val="9"/>
                <w:sz w:val="21"/>
                <w:szCs w:val="21"/>
                <w:highlight w:val="none"/>
                <w:u w:val="single" w:color="auto"/>
              </w:rPr>
              <w:t>预付款支付前</w:t>
            </w:r>
            <w:r>
              <w:rPr>
                <w:rFonts w:hint="eastAsia" w:cs="宋体"/>
                <w:bCs/>
                <w:color w:val="auto"/>
                <w:sz w:val="21"/>
                <w:szCs w:val="21"/>
                <w:highlight w:val="none"/>
                <w:u w:val="single"/>
              </w:rPr>
              <w:t xml:space="preserve">  </w:t>
            </w:r>
          </w:p>
          <w:p w14:paraId="1A595408">
            <w:pPr>
              <w:adjustRightInd w:val="0"/>
              <w:snapToGrid w:val="0"/>
              <w:spacing w:line="360" w:lineRule="auto"/>
              <w:rPr>
                <w:rFonts w:cs="宋体"/>
                <w:bCs/>
                <w:color w:val="auto"/>
                <w:kern w:val="2"/>
                <w:sz w:val="21"/>
                <w:szCs w:val="21"/>
                <w:highlight w:val="none"/>
              </w:rPr>
            </w:pPr>
            <w:r>
              <w:rPr>
                <w:rFonts w:hint="eastAsia" w:cs="宋体"/>
                <w:bCs/>
                <w:color w:val="auto"/>
                <w:sz w:val="21"/>
                <w:szCs w:val="21"/>
                <w:highlight w:val="none"/>
              </w:rPr>
              <w:t>预付款担保的形式为：</w:t>
            </w:r>
            <w:r>
              <w:rPr>
                <w:rFonts w:hint="eastAsia" w:cs="宋体"/>
                <w:bCs/>
                <w:color w:val="auto"/>
                <w:sz w:val="21"/>
                <w:szCs w:val="21"/>
                <w:highlight w:val="none"/>
                <w:u w:val="single"/>
              </w:rPr>
              <w:t xml:space="preserve">  </w:t>
            </w:r>
            <w:r>
              <w:rPr>
                <w:rFonts w:hint="eastAsia" w:cs="宋体"/>
                <w:bCs/>
                <w:color w:val="auto"/>
                <w:sz w:val="21"/>
                <w:szCs w:val="21"/>
                <w:highlight w:val="none"/>
                <w:u w:val="single"/>
                <w:lang w:val="en-US" w:eastAsia="zh-CN"/>
              </w:rPr>
              <w:t>保函</w:t>
            </w:r>
            <w:r>
              <w:rPr>
                <w:rFonts w:hint="eastAsia" w:cs="宋体"/>
                <w:bCs/>
                <w:color w:val="auto"/>
                <w:sz w:val="21"/>
                <w:szCs w:val="21"/>
                <w:highlight w:val="none"/>
                <w:u w:val="single"/>
              </w:rPr>
              <w:t xml:space="preserve"> </w:t>
            </w:r>
            <w:r>
              <w:rPr>
                <w:color w:val="auto"/>
                <w:spacing w:val="8"/>
                <w:sz w:val="21"/>
                <w:szCs w:val="21"/>
                <w:highlight w:val="none"/>
                <w:u w:val="single" w:color="auto"/>
              </w:rPr>
              <w:t>（见索即付）</w:t>
            </w:r>
            <w:r>
              <w:rPr>
                <w:rFonts w:hint="eastAsia" w:cs="宋体"/>
                <w:bCs/>
                <w:color w:val="auto"/>
                <w:sz w:val="21"/>
                <w:szCs w:val="21"/>
                <w:highlight w:val="none"/>
                <w:u w:val="single"/>
              </w:rPr>
              <w:t xml:space="preserve">  </w:t>
            </w:r>
          </w:p>
        </w:tc>
      </w:tr>
      <w:tr w14:paraId="6E3D5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623314DD">
            <w:pPr>
              <w:numPr>
                <w:ilvl w:val="0"/>
                <w:numId w:val="3"/>
              </w:numPr>
              <w:snapToGrid w:val="0"/>
              <w:spacing w:line="360" w:lineRule="auto"/>
              <w:jc w:val="center"/>
              <w:rPr>
                <w:rFonts w:cs="宋体"/>
                <w:bCs/>
                <w:color w:val="auto"/>
                <w:kern w:val="2"/>
                <w:sz w:val="21"/>
                <w:szCs w:val="21"/>
                <w:highlight w:val="none"/>
              </w:rPr>
            </w:pPr>
          </w:p>
        </w:tc>
        <w:tc>
          <w:tcPr>
            <w:tcW w:w="1111" w:type="dxa"/>
            <w:vAlign w:val="center"/>
          </w:tcPr>
          <w:p w14:paraId="124FA585">
            <w:pPr>
              <w:snapToGrid w:val="0"/>
              <w:spacing w:line="360" w:lineRule="auto"/>
              <w:jc w:val="center"/>
              <w:rPr>
                <w:rFonts w:cs="宋体"/>
                <w:bCs/>
                <w:color w:val="auto"/>
                <w:sz w:val="21"/>
                <w:szCs w:val="21"/>
                <w:highlight w:val="none"/>
              </w:rPr>
            </w:pPr>
            <w:r>
              <w:rPr>
                <w:rFonts w:hint="eastAsia" w:cs="宋体"/>
                <w:bCs/>
                <w:color w:val="auto"/>
                <w:sz w:val="21"/>
                <w:szCs w:val="21"/>
                <w:highlight w:val="none"/>
              </w:rPr>
              <w:t>12.4.1</w:t>
            </w:r>
          </w:p>
        </w:tc>
        <w:tc>
          <w:tcPr>
            <w:tcW w:w="7304" w:type="dxa"/>
            <w:tcBorders>
              <w:bottom w:val="single" w:color="auto" w:sz="4" w:space="0"/>
            </w:tcBorders>
            <w:vAlign w:val="center"/>
          </w:tcPr>
          <w:p w14:paraId="4E88EC8C">
            <w:pPr>
              <w:adjustRightInd w:val="0"/>
              <w:snapToGrid w:val="0"/>
              <w:spacing w:line="360" w:lineRule="auto"/>
              <w:rPr>
                <w:rFonts w:cs="宋体"/>
                <w:bCs/>
                <w:color w:val="auto"/>
                <w:sz w:val="21"/>
                <w:szCs w:val="21"/>
                <w:highlight w:val="none"/>
              </w:rPr>
            </w:pPr>
            <w:r>
              <w:rPr>
                <w:rFonts w:hint="eastAsia" w:cs="宋体"/>
                <w:bCs/>
                <w:color w:val="auto"/>
                <w:sz w:val="21"/>
                <w:szCs w:val="21"/>
                <w:highlight w:val="none"/>
              </w:rPr>
              <w:t>付款周期</w:t>
            </w:r>
          </w:p>
          <w:p w14:paraId="5F3675ED">
            <w:pPr>
              <w:adjustRightInd w:val="0"/>
              <w:snapToGrid w:val="0"/>
              <w:spacing w:line="360" w:lineRule="auto"/>
              <w:rPr>
                <w:rFonts w:cs="宋体"/>
                <w:bCs/>
                <w:color w:val="auto"/>
                <w:sz w:val="21"/>
                <w:szCs w:val="21"/>
                <w:highlight w:val="none"/>
              </w:rPr>
            </w:pPr>
            <w:r>
              <w:rPr>
                <w:rFonts w:hint="eastAsia" w:cs="宋体"/>
                <w:bCs/>
                <w:color w:val="auto"/>
                <w:sz w:val="21"/>
                <w:szCs w:val="21"/>
                <w:highlight w:val="none"/>
              </w:rPr>
              <w:t>关于付款周期的约定：</w:t>
            </w:r>
            <w:r>
              <w:rPr>
                <w:rFonts w:hint="eastAsia" w:cs="宋体"/>
                <w:b/>
                <w:bCs w:val="0"/>
                <w:color w:val="auto"/>
                <w:sz w:val="21"/>
                <w:szCs w:val="21"/>
                <w:highlight w:val="none"/>
                <w:u w:val="single"/>
                <w:lang w:eastAsia="zh-CN"/>
              </w:rPr>
              <w:t>全部工程完成并经招标人验收合格后支付已完合格工程量价款的80%，结算审核完成后付至结算价款的98%，剩余2%作为工程质量保证金，工程质量保证金在工程缺陷责任期（缺陷责任期：两年，从验收合格之日起计算）满回访合格后一个月内付清。</w:t>
            </w:r>
            <w:r>
              <w:rPr>
                <w:rFonts w:hint="eastAsia" w:cs="宋体"/>
                <w:b/>
                <w:bCs w:val="0"/>
                <w:color w:val="auto"/>
                <w:sz w:val="21"/>
                <w:szCs w:val="21"/>
                <w:highlight w:val="none"/>
                <w:u w:val="single"/>
              </w:rPr>
              <w:t xml:space="preserve"> </w:t>
            </w:r>
          </w:p>
        </w:tc>
      </w:tr>
      <w:tr w14:paraId="1046F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1A2EA6D2">
            <w:pPr>
              <w:numPr>
                <w:ilvl w:val="0"/>
                <w:numId w:val="3"/>
              </w:numPr>
              <w:snapToGrid w:val="0"/>
              <w:spacing w:line="360" w:lineRule="auto"/>
              <w:jc w:val="center"/>
              <w:rPr>
                <w:rFonts w:cs="宋体"/>
                <w:bCs/>
                <w:color w:val="auto"/>
                <w:kern w:val="2"/>
                <w:sz w:val="21"/>
                <w:szCs w:val="21"/>
                <w:highlight w:val="none"/>
              </w:rPr>
            </w:pPr>
          </w:p>
        </w:tc>
        <w:tc>
          <w:tcPr>
            <w:tcW w:w="1111" w:type="dxa"/>
            <w:vAlign w:val="center"/>
          </w:tcPr>
          <w:p w14:paraId="50B85A62">
            <w:pPr>
              <w:snapToGrid w:val="0"/>
              <w:spacing w:line="360" w:lineRule="auto"/>
              <w:jc w:val="center"/>
              <w:rPr>
                <w:rFonts w:cs="宋体"/>
                <w:bCs/>
                <w:color w:val="auto"/>
                <w:kern w:val="2"/>
                <w:sz w:val="21"/>
                <w:szCs w:val="21"/>
                <w:highlight w:val="none"/>
              </w:rPr>
            </w:pPr>
            <w:r>
              <w:rPr>
                <w:rFonts w:hint="eastAsia" w:cs="宋体"/>
                <w:bCs/>
                <w:color w:val="auto"/>
                <w:sz w:val="21"/>
                <w:szCs w:val="21"/>
                <w:highlight w:val="none"/>
              </w:rPr>
              <w:t>15.2.1</w:t>
            </w:r>
          </w:p>
        </w:tc>
        <w:tc>
          <w:tcPr>
            <w:tcW w:w="7304" w:type="dxa"/>
            <w:vAlign w:val="center"/>
          </w:tcPr>
          <w:p w14:paraId="0967108F">
            <w:pPr>
              <w:pStyle w:val="50"/>
              <w:keepNext w:val="0"/>
              <w:keepLines w:val="0"/>
              <w:widowControl/>
              <w:suppressLineNumbers w:val="0"/>
              <w:spacing w:line="240" w:lineRule="auto"/>
              <w:ind w:left="0" w:firstLine="0"/>
              <w:jc w:val="right"/>
              <w:textAlignment w:val="center"/>
              <w:rPr>
                <w:rFonts w:cs="宋体"/>
                <w:bCs/>
                <w:color w:val="auto"/>
                <w:kern w:val="2"/>
                <w:sz w:val="21"/>
                <w:szCs w:val="21"/>
                <w:highlight w:val="none"/>
              </w:rPr>
            </w:pPr>
            <w:r>
              <w:rPr>
                <w:rFonts w:hint="eastAsia" w:cs="宋体"/>
                <w:color w:val="auto"/>
                <w:sz w:val="21"/>
                <w:szCs w:val="21"/>
                <w:highlight w:val="none"/>
              </w:rPr>
              <w:t>缺陷责任期的具体期限：</w:t>
            </w:r>
            <w:r>
              <w:rPr>
                <w:rFonts w:hint="eastAsia" w:cs="宋体"/>
                <w:color w:val="auto"/>
                <w:sz w:val="21"/>
                <w:szCs w:val="21"/>
                <w:highlight w:val="none"/>
                <w:u w:val="single"/>
              </w:rPr>
              <w:t>两年</w:t>
            </w:r>
            <w:r>
              <w:rPr>
                <w:rFonts w:hint="eastAsia" w:ascii="宋体" w:hAnsi="宋体" w:eastAsia="宋体" w:cs="宋体"/>
                <w:color w:val="auto"/>
                <w:spacing w:val="0"/>
                <w:position w:val="0"/>
                <w:sz w:val="21"/>
                <w:szCs w:val="21"/>
                <w:highlight w:val="none"/>
                <w:u w:val="single"/>
              </w:rPr>
              <w:t>(缺陷责任期从竣工验收合格之日起计算)</w:t>
            </w:r>
            <w:r>
              <w:rPr>
                <w:rFonts w:hint="eastAsia" w:cs="宋体"/>
                <w:color w:val="auto"/>
                <w:sz w:val="21"/>
                <w:szCs w:val="21"/>
                <w:highlight w:val="none"/>
                <w:u w:val="single"/>
              </w:rPr>
              <w:t xml:space="preserve"> </w:t>
            </w:r>
            <w:r>
              <w:rPr>
                <w:rFonts w:hint="eastAsia" w:cs="宋体"/>
                <w:color w:val="auto"/>
                <w:sz w:val="21"/>
                <w:szCs w:val="21"/>
                <w:highlight w:val="none"/>
              </w:rPr>
              <w:t>。</w:t>
            </w:r>
          </w:p>
        </w:tc>
      </w:tr>
      <w:tr w14:paraId="6CF3C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5D0F2131">
            <w:pPr>
              <w:numPr>
                <w:ilvl w:val="0"/>
                <w:numId w:val="3"/>
              </w:numPr>
              <w:snapToGrid w:val="0"/>
              <w:spacing w:line="360" w:lineRule="auto"/>
              <w:jc w:val="center"/>
              <w:rPr>
                <w:rFonts w:cs="宋体"/>
                <w:bCs/>
                <w:color w:val="auto"/>
                <w:kern w:val="2"/>
                <w:sz w:val="21"/>
                <w:szCs w:val="21"/>
                <w:highlight w:val="none"/>
              </w:rPr>
            </w:pPr>
          </w:p>
        </w:tc>
        <w:tc>
          <w:tcPr>
            <w:tcW w:w="1111" w:type="dxa"/>
            <w:vAlign w:val="center"/>
          </w:tcPr>
          <w:p w14:paraId="6D4A8CA4">
            <w:pPr>
              <w:snapToGrid w:val="0"/>
              <w:spacing w:line="360" w:lineRule="auto"/>
              <w:jc w:val="center"/>
              <w:rPr>
                <w:rFonts w:cs="宋体"/>
                <w:bCs/>
                <w:color w:val="auto"/>
                <w:kern w:val="2"/>
                <w:sz w:val="21"/>
                <w:szCs w:val="21"/>
                <w:highlight w:val="none"/>
              </w:rPr>
            </w:pPr>
            <w:r>
              <w:rPr>
                <w:rFonts w:hint="eastAsia" w:cs="宋体"/>
                <w:bCs/>
                <w:color w:val="auto"/>
                <w:sz w:val="21"/>
                <w:szCs w:val="21"/>
                <w:highlight w:val="none"/>
              </w:rPr>
              <w:t>15.3.1</w:t>
            </w:r>
          </w:p>
        </w:tc>
        <w:tc>
          <w:tcPr>
            <w:tcW w:w="7304" w:type="dxa"/>
            <w:vAlign w:val="center"/>
          </w:tcPr>
          <w:p w14:paraId="33319B29">
            <w:pPr>
              <w:adjustRightInd w:val="0"/>
              <w:snapToGrid w:val="0"/>
              <w:spacing w:line="360" w:lineRule="auto"/>
              <w:rPr>
                <w:rFonts w:cs="宋体"/>
                <w:color w:val="auto"/>
                <w:sz w:val="21"/>
                <w:szCs w:val="21"/>
                <w:highlight w:val="none"/>
              </w:rPr>
            </w:pPr>
            <w:r>
              <w:rPr>
                <w:rFonts w:hint="eastAsia" w:cs="宋体"/>
                <w:color w:val="auto"/>
                <w:sz w:val="21"/>
                <w:szCs w:val="21"/>
                <w:highlight w:val="none"/>
              </w:rPr>
              <w:t>质量保证金可采用以下任意一种方式：</w:t>
            </w:r>
          </w:p>
          <w:p w14:paraId="2612500D">
            <w:pPr>
              <w:adjustRightInd w:val="0"/>
              <w:snapToGrid w:val="0"/>
              <w:spacing w:line="360" w:lineRule="auto"/>
              <w:rPr>
                <w:rFonts w:cs="宋体"/>
                <w:color w:val="auto"/>
                <w:sz w:val="21"/>
                <w:szCs w:val="21"/>
                <w:highlight w:val="none"/>
              </w:rPr>
            </w:pPr>
            <w:r>
              <w:rPr>
                <w:rFonts w:hint="eastAsia" w:cs="宋体"/>
                <w:color w:val="auto"/>
                <w:sz w:val="21"/>
                <w:szCs w:val="21"/>
                <w:highlight w:val="none"/>
              </w:rPr>
              <w:t>（1）由银行业金融机构、工程担保公司、保险机构出具银行保函、工程质量保险等担保方式，担保/保证金额为：</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 xml:space="preserve">工程结算总造价的2% </w:t>
            </w:r>
            <w:r>
              <w:rPr>
                <w:rFonts w:hint="eastAsia" w:cs="宋体"/>
                <w:color w:val="auto"/>
                <w:sz w:val="21"/>
                <w:szCs w:val="21"/>
                <w:highlight w:val="none"/>
                <w:u w:val="single"/>
              </w:rPr>
              <w:t>；</w:t>
            </w:r>
          </w:p>
          <w:p w14:paraId="4615D735">
            <w:pPr>
              <w:adjustRightInd w:val="0"/>
              <w:snapToGrid w:val="0"/>
              <w:spacing w:line="360" w:lineRule="auto"/>
              <w:rPr>
                <w:rFonts w:cs="宋体"/>
                <w:color w:val="auto"/>
                <w:sz w:val="21"/>
                <w:szCs w:val="21"/>
                <w:highlight w:val="none"/>
              </w:rPr>
            </w:pPr>
            <w:r>
              <w:rPr>
                <w:rFonts w:hint="eastAsia" w:cs="宋体"/>
                <w:color w:val="auto"/>
                <w:sz w:val="21"/>
                <w:szCs w:val="21"/>
                <w:highlight w:val="none"/>
              </w:rPr>
              <w:t xml:space="preserve">（2） </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工程结算总造价的2% 的工程款</w:t>
            </w:r>
            <w:r>
              <w:rPr>
                <w:rFonts w:hint="eastAsia" w:cs="宋体"/>
                <w:color w:val="auto"/>
                <w:sz w:val="21"/>
                <w:szCs w:val="21"/>
                <w:highlight w:val="none"/>
                <w:u w:val="single"/>
              </w:rPr>
              <w:t xml:space="preserve"> ；</w:t>
            </w:r>
          </w:p>
          <w:p w14:paraId="77EF1F86">
            <w:pPr>
              <w:adjustRightInd w:val="0"/>
              <w:snapToGrid w:val="0"/>
              <w:spacing w:line="360" w:lineRule="auto"/>
              <w:rPr>
                <w:rFonts w:cs="宋体"/>
                <w:color w:val="auto"/>
                <w:sz w:val="21"/>
                <w:szCs w:val="21"/>
                <w:highlight w:val="none"/>
              </w:rPr>
            </w:pPr>
            <w:r>
              <w:rPr>
                <w:rFonts w:hint="eastAsia" w:cs="宋体"/>
                <w:color w:val="auto"/>
                <w:sz w:val="21"/>
                <w:szCs w:val="21"/>
                <w:highlight w:val="none"/>
              </w:rPr>
              <w:t>（3）其他方式：</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w:t>
            </w:r>
            <w:r>
              <w:rPr>
                <w:rFonts w:hint="eastAsia" w:cs="宋体"/>
                <w:color w:val="auto"/>
                <w:sz w:val="21"/>
                <w:szCs w:val="21"/>
                <w:highlight w:val="none"/>
                <w:u w:val="single"/>
              </w:rPr>
              <w:t xml:space="preserve">   。</w:t>
            </w:r>
          </w:p>
          <w:p w14:paraId="063390EC">
            <w:pPr>
              <w:pStyle w:val="4"/>
              <w:snapToGrid w:val="0"/>
              <w:spacing w:line="360" w:lineRule="auto"/>
              <w:rPr>
                <w:rFonts w:cs="宋体"/>
                <w:bCs w:val="0"/>
                <w:color w:val="auto"/>
                <w:kern w:val="2"/>
                <w:sz w:val="21"/>
                <w:szCs w:val="21"/>
                <w:highlight w:val="none"/>
              </w:rPr>
            </w:pPr>
            <w:r>
              <w:rPr>
                <w:rFonts w:hint="eastAsia" w:cs="宋体"/>
                <w:bCs w:val="0"/>
                <w:color w:val="auto"/>
                <w:sz w:val="21"/>
                <w:szCs w:val="21"/>
                <w:highlight w:val="none"/>
              </w:rPr>
              <w:t>注：以现金形式提交质量保证金的（含从工程款中以扣留方式提交的），同时退还银行同期活期存款利息。</w:t>
            </w:r>
          </w:p>
        </w:tc>
      </w:tr>
    </w:tbl>
    <w:p w14:paraId="129B273F">
      <w:pPr>
        <w:snapToGrid w:val="0"/>
        <w:spacing w:before="312" w:beforeLines="100" w:after="312" w:afterLines="100" w:line="360" w:lineRule="auto"/>
        <w:outlineLvl w:val="2"/>
        <w:rPr>
          <w:rFonts w:cs="宋体"/>
          <w:color w:val="auto"/>
          <w:sz w:val="21"/>
          <w:szCs w:val="21"/>
          <w:highlight w:val="none"/>
        </w:rPr>
      </w:pPr>
      <w:r>
        <w:rPr>
          <w:rFonts w:hint="eastAsia" w:cs="宋体"/>
          <w:color w:val="auto"/>
          <w:sz w:val="21"/>
          <w:szCs w:val="21"/>
          <w:highlight w:val="none"/>
        </w:rPr>
        <w:br w:type="page"/>
      </w:r>
      <w:r>
        <w:rPr>
          <w:rFonts w:hint="eastAsia" w:cs="宋体"/>
          <w:color w:val="auto"/>
          <w:sz w:val="21"/>
          <w:szCs w:val="21"/>
          <w:highlight w:val="none"/>
        </w:rPr>
        <w:t>1</w:t>
      </w:r>
      <w:bookmarkStart w:id="60" w:name="_Toc296346657"/>
      <w:bookmarkStart w:id="61" w:name="_Toc296891196"/>
      <w:bookmarkStart w:id="62" w:name="_Toc297048342"/>
      <w:bookmarkStart w:id="63" w:name="_Toc296944495"/>
      <w:bookmarkStart w:id="64" w:name="_Toc296347155"/>
      <w:bookmarkStart w:id="65" w:name="_Toc296890984"/>
      <w:bookmarkStart w:id="66" w:name="_Toc292559361"/>
      <w:bookmarkStart w:id="67" w:name="_Toc296503156"/>
      <w:bookmarkStart w:id="68" w:name="_Toc292559866"/>
      <w:bookmarkStart w:id="69" w:name="_Toc297120456"/>
      <w:r>
        <w:rPr>
          <w:rFonts w:hint="eastAsia" w:cs="宋体"/>
          <w:color w:val="auto"/>
          <w:sz w:val="21"/>
          <w:szCs w:val="21"/>
          <w:highlight w:val="none"/>
        </w:rPr>
        <w:t>. 一般约定</w:t>
      </w:r>
    </w:p>
    <w:bookmarkEnd w:id="60"/>
    <w:bookmarkEnd w:id="61"/>
    <w:bookmarkEnd w:id="62"/>
    <w:bookmarkEnd w:id="63"/>
    <w:bookmarkEnd w:id="64"/>
    <w:bookmarkEnd w:id="65"/>
    <w:bookmarkEnd w:id="66"/>
    <w:bookmarkEnd w:id="67"/>
    <w:bookmarkEnd w:id="68"/>
    <w:bookmarkEnd w:id="69"/>
    <w:p w14:paraId="7985A0F9">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1.1 词语定义与解释</w:t>
      </w:r>
    </w:p>
    <w:p w14:paraId="7CD7576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1.1.1 合同</w:t>
      </w:r>
    </w:p>
    <w:p w14:paraId="4B514702">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1.1.1.10 其他合同文件包括：</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本项目招标文件、在合同订立及履行过程中形成的与合同有关的文件均构成合同文件组成部分</w:t>
      </w:r>
      <w:r>
        <w:rPr>
          <w:rFonts w:hint="eastAsia" w:cs="宋体"/>
          <w:color w:val="auto"/>
          <w:sz w:val="21"/>
          <w:szCs w:val="21"/>
          <w:highlight w:val="none"/>
          <w:u w:val="single"/>
        </w:rPr>
        <w:t></w:t>
      </w:r>
    </w:p>
    <w:p w14:paraId="1A5E3B41">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1.1.2 合同当事人及其他相关方</w:t>
      </w:r>
    </w:p>
    <w:p w14:paraId="7044C35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1.1.2.4 监理人：</w:t>
      </w:r>
    </w:p>
    <w:p w14:paraId="6DE7CF2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名    称：</w:t>
      </w:r>
      <w:r>
        <w:rPr>
          <w:rFonts w:hint="eastAsia" w:cs="宋体"/>
          <w:color w:val="auto"/>
          <w:sz w:val="21"/>
          <w:szCs w:val="21"/>
          <w:highlight w:val="none"/>
          <w:u w:val="single"/>
        </w:rPr>
        <w:t xml:space="preserve">   </w:t>
      </w:r>
      <w:r>
        <w:rPr>
          <w:rFonts w:hint="eastAsia" w:asciiTheme="majorEastAsia" w:hAnsiTheme="majorEastAsia" w:eastAsiaTheme="majorEastAsia" w:cstheme="majorEastAsia"/>
          <w:color w:val="auto"/>
          <w:spacing w:val="6"/>
          <w:sz w:val="19"/>
          <w:szCs w:val="19"/>
          <w:highlight w:val="none"/>
          <w:u w:val="single" w:color="auto"/>
        </w:rPr>
        <w:t>详见监理合同</w:t>
      </w:r>
      <w:r>
        <w:rPr>
          <w:rFonts w:hint="eastAsia" w:asciiTheme="majorEastAsia" w:hAnsiTheme="majorEastAsia" w:eastAsiaTheme="majorEastAsia" w:cstheme="majorEastAsia"/>
          <w:color w:val="auto"/>
          <w:spacing w:val="1"/>
          <w:sz w:val="19"/>
          <w:szCs w:val="19"/>
          <w:highlight w:val="none"/>
          <w:u w:val="single" w:color="auto"/>
        </w:rPr>
        <w:t xml:space="preserve">  </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88FDF5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资质类别和等级：</w:t>
      </w:r>
      <w:r>
        <w:rPr>
          <w:rFonts w:hint="eastAsia" w:cs="宋体"/>
          <w:color w:val="auto"/>
          <w:sz w:val="21"/>
          <w:szCs w:val="21"/>
          <w:highlight w:val="none"/>
          <w:u w:val="single"/>
        </w:rPr>
        <w:t xml:space="preserve">  </w:t>
      </w:r>
      <w:r>
        <w:rPr>
          <w:rFonts w:hint="eastAsia" w:asciiTheme="majorEastAsia" w:hAnsiTheme="majorEastAsia" w:eastAsiaTheme="majorEastAsia" w:cstheme="majorEastAsia"/>
          <w:color w:val="auto"/>
          <w:spacing w:val="6"/>
          <w:sz w:val="19"/>
          <w:szCs w:val="19"/>
          <w:highlight w:val="none"/>
          <w:u w:val="single" w:color="auto"/>
        </w:rPr>
        <w:t>详见监理合同</w:t>
      </w:r>
      <w:r>
        <w:rPr>
          <w:rFonts w:hint="eastAsia" w:asciiTheme="majorEastAsia" w:hAnsiTheme="majorEastAsia" w:eastAsiaTheme="majorEastAsia" w:cstheme="majorEastAsia"/>
          <w:color w:val="auto"/>
          <w:spacing w:val="1"/>
          <w:sz w:val="19"/>
          <w:szCs w:val="19"/>
          <w:highlight w:val="none"/>
          <w:u w:val="single" w:color="auto"/>
        </w:rPr>
        <w:t xml:space="preserve">  </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2CD873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联系电话：</w:t>
      </w:r>
      <w:r>
        <w:rPr>
          <w:rFonts w:hint="eastAsia" w:cs="宋体"/>
          <w:color w:val="auto"/>
          <w:sz w:val="21"/>
          <w:szCs w:val="21"/>
          <w:highlight w:val="none"/>
          <w:u w:val="single"/>
        </w:rPr>
        <w:t xml:space="preserve">   </w:t>
      </w:r>
      <w:r>
        <w:rPr>
          <w:rFonts w:hint="eastAsia" w:asciiTheme="majorEastAsia" w:hAnsiTheme="majorEastAsia" w:eastAsiaTheme="majorEastAsia" w:cstheme="majorEastAsia"/>
          <w:color w:val="auto"/>
          <w:spacing w:val="6"/>
          <w:sz w:val="19"/>
          <w:szCs w:val="19"/>
          <w:highlight w:val="none"/>
          <w:u w:val="single" w:color="auto"/>
        </w:rPr>
        <w:t>详见监理合同</w:t>
      </w:r>
      <w:r>
        <w:rPr>
          <w:rFonts w:hint="eastAsia" w:asciiTheme="majorEastAsia" w:hAnsiTheme="majorEastAsia" w:eastAsiaTheme="majorEastAsia" w:cstheme="majorEastAsia"/>
          <w:color w:val="auto"/>
          <w:spacing w:val="1"/>
          <w:sz w:val="19"/>
          <w:szCs w:val="19"/>
          <w:highlight w:val="none"/>
          <w:u w:val="single" w:color="auto"/>
        </w:rPr>
        <w:t xml:space="preserve">  </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51135F5">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电子信箱：</w:t>
      </w:r>
      <w:r>
        <w:rPr>
          <w:rFonts w:hint="eastAsia" w:cs="宋体"/>
          <w:color w:val="auto"/>
          <w:sz w:val="21"/>
          <w:szCs w:val="21"/>
          <w:highlight w:val="none"/>
          <w:u w:val="single"/>
        </w:rPr>
        <w:t xml:space="preserve">  </w:t>
      </w:r>
      <w:r>
        <w:rPr>
          <w:rFonts w:hint="eastAsia" w:asciiTheme="majorEastAsia" w:hAnsiTheme="majorEastAsia" w:eastAsiaTheme="majorEastAsia" w:cstheme="majorEastAsia"/>
          <w:color w:val="auto"/>
          <w:spacing w:val="6"/>
          <w:sz w:val="19"/>
          <w:szCs w:val="19"/>
          <w:highlight w:val="none"/>
          <w:u w:val="single" w:color="auto"/>
        </w:rPr>
        <w:t>详见监理合同</w:t>
      </w:r>
      <w:r>
        <w:rPr>
          <w:rFonts w:hint="eastAsia" w:asciiTheme="majorEastAsia" w:hAnsiTheme="majorEastAsia" w:eastAsiaTheme="majorEastAsia" w:cstheme="majorEastAsia"/>
          <w:color w:val="auto"/>
          <w:spacing w:val="1"/>
          <w:sz w:val="19"/>
          <w:szCs w:val="19"/>
          <w:highlight w:val="none"/>
          <w:u w:val="single" w:color="auto"/>
        </w:rPr>
        <w:t xml:space="preserve">  </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C35A4A9">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通信地址：</w:t>
      </w:r>
      <w:r>
        <w:rPr>
          <w:rFonts w:hint="eastAsia" w:cs="宋体"/>
          <w:color w:val="auto"/>
          <w:sz w:val="21"/>
          <w:szCs w:val="21"/>
          <w:highlight w:val="none"/>
          <w:u w:val="single"/>
        </w:rPr>
        <w:t xml:space="preserve">  </w:t>
      </w:r>
      <w:r>
        <w:rPr>
          <w:rFonts w:hint="eastAsia" w:asciiTheme="majorEastAsia" w:hAnsiTheme="majorEastAsia" w:eastAsiaTheme="majorEastAsia" w:cstheme="majorEastAsia"/>
          <w:color w:val="auto"/>
          <w:spacing w:val="6"/>
          <w:sz w:val="19"/>
          <w:szCs w:val="19"/>
          <w:highlight w:val="none"/>
          <w:u w:val="single" w:color="auto"/>
        </w:rPr>
        <w:t>详见监理合同</w:t>
      </w:r>
      <w:r>
        <w:rPr>
          <w:rFonts w:hint="eastAsia" w:asciiTheme="majorEastAsia" w:hAnsiTheme="majorEastAsia" w:eastAsiaTheme="majorEastAsia" w:cstheme="majorEastAsia"/>
          <w:color w:val="auto"/>
          <w:spacing w:val="1"/>
          <w:sz w:val="19"/>
          <w:szCs w:val="19"/>
          <w:highlight w:val="none"/>
          <w:u w:val="single" w:color="auto"/>
        </w:rPr>
        <w:t xml:space="preserve">  </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106874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1.1.2.5 设计人：</w:t>
      </w:r>
    </w:p>
    <w:p w14:paraId="6398FD3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名    称：</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EB221E6">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资质类别和等级：</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DD2B99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联系电话：</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D73033B">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电子信箱：</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E8C1301">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通信地址：</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0541E6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1.1.3 工程和设备</w:t>
      </w:r>
    </w:p>
    <w:p w14:paraId="4F83923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1.1.3.7 作为施工现场组成部分的其他场所包括：</w:t>
      </w:r>
      <w:r>
        <w:rPr>
          <w:rFonts w:hint="eastAsia" w:cs="宋体"/>
          <w:color w:val="auto"/>
          <w:sz w:val="21"/>
          <w:szCs w:val="21"/>
          <w:highlight w:val="none"/>
          <w:u w:val="single"/>
        </w:rPr>
        <w:t>现场确定</w:t>
      </w:r>
      <w:r>
        <w:rPr>
          <w:rFonts w:hint="eastAsia" w:cs="宋体"/>
          <w:color w:val="auto"/>
          <w:sz w:val="21"/>
          <w:szCs w:val="21"/>
          <w:highlight w:val="none"/>
        </w:rPr>
        <w:t>。</w:t>
      </w:r>
    </w:p>
    <w:p w14:paraId="0E7B13D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1.1.3.9 永久占地包括：</w:t>
      </w:r>
      <w:r>
        <w:rPr>
          <w:rFonts w:hint="eastAsia" w:cs="宋体"/>
          <w:color w:val="auto"/>
          <w:sz w:val="21"/>
          <w:szCs w:val="21"/>
          <w:highlight w:val="none"/>
          <w:u w:val="single"/>
        </w:rPr>
        <w:t xml:space="preserve">     现场确定</w:t>
      </w:r>
      <w:r>
        <w:rPr>
          <w:rFonts w:hint="eastAsia" w:cs="宋体"/>
          <w:color w:val="auto"/>
          <w:sz w:val="21"/>
          <w:szCs w:val="21"/>
          <w:highlight w:val="none"/>
        </w:rPr>
        <w:t>。</w:t>
      </w:r>
    </w:p>
    <w:p w14:paraId="5A1F473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1.1.3.10 临时占地包括：</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现场确定</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12B7ADD">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 xml:space="preserve">1.3 法律 </w:t>
      </w:r>
    </w:p>
    <w:p w14:paraId="736D7340">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适用于合同的其他规范性文件：</w:t>
      </w:r>
      <w:r>
        <w:rPr>
          <w:rFonts w:hint="eastAsia" w:cs="宋体"/>
          <w:color w:val="auto"/>
          <w:sz w:val="21"/>
          <w:szCs w:val="21"/>
          <w:highlight w:val="none"/>
          <w:u w:val="single"/>
        </w:rPr>
        <w:t>《中华人民共和国民法典》、《中华人民共和国建筑法》、《中华人民共和国政府采购法》、《中华人民共和国招标投标法》、《建设工程质量管理条例》、《建设工程安全生产管理条例》等国家及工程所在地现行有效的法律法规和规章</w:t>
      </w:r>
      <w:r>
        <w:rPr>
          <w:rFonts w:hint="eastAsia" w:cs="宋体"/>
          <w:color w:val="auto"/>
          <w:sz w:val="21"/>
          <w:szCs w:val="21"/>
          <w:highlight w:val="none"/>
        </w:rPr>
        <w:t>。</w:t>
      </w:r>
    </w:p>
    <w:p w14:paraId="600D438B">
      <w:pPr>
        <w:keepNext/>
        <w:keepLines/>
        <w:pageBreakBefore w:val="0"/>
        <w:kinsoku/>
        <w:wordWrap/>
        <w:topLinePunct w:val="0"/>
        <w:bidi w:val="0"/>
        <w:snapToGrid w:val="0"/>
        <w:spacing w:beforeAutospacing="0" w:line="520" w:lineRule="exact"/>
        <w:ind w:firstLine="420" w:firstLineChars="200"/>
        <w:outlineLvl w:val="3"/>
        <w:rPr>
          <w:rFonts w:cs="宋体"/>
          <w:bCs/>
          <w:color w:val="auto"/>
          <w:sz w:val="21"/>
          <w:szCs w:val="21"/>
          <w:highlight w:val="none"/>
        </w:rPr>
      </w:pPr>
      <w:r>
        <w:rPr>
          <w:rFonts w:hint="eastAsia" w:cs="宋体"/>
          <w:bCs/>
          <w:color w:val="auto"/>
          <w:sz w:val="21"/>
          <w:szCs w:val="21"/>
          <w:highlight w:val="none"/>
        </w:rPr>
        <w:t>1.4 标准和规范</w:t>
      </w:r>
    </w:p>
    <w:p w14:paraId="260CF701">
      <w:pPr>
        <w:pageBreakBefore w:val="0"/>
        <w:kinsoku/>
        <w:wordWrap/>
        <w:topLinePunct w:val="0"/>
        <w:bidi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1.4.1 适用于工程的标准规范包括：</w:t>
      </w:r>
      <w:r>
        <w:rPr>
          <w:rFonts w:hint="eastAsia" w:ascii="宋体" w:hAnsi="宋体" w:eastAsia="宋体" w:cs="宋体"/>
          <w:color w:val="auto"/>
          <w:sz w:val="21"/>
          <w:szCs w:val="21"/>
          <w:highlight w:val="none"/>
          <w:u w:val="single"/>
        </w:rPr>
        <w:t>中华人民共和国住房和城乡建设部等部门及省、市发布的有关文件</w:t>
      </w:r>
      <w:r>
        <w:rPr>
          <w:rFonts w:hint="eastAsia" w:ascii="宋体" w:hAnsi="宋体" w:eastAsia="宋体" w:cs="宋体"/>
          <w:color w:val="auto"/>
          <w:sz w:val="21"/>
          <w:szCs w:val="21"/>
          <w:highlight w:val="none"/>
        </w:rPr>
        <w:t>。</w:t>
      </w:r>
    </w:p>
    <w:p w14:paraId="223ED615">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u w:val="single"/>
        </w:rPr>
      </w:pPr>
      <w:r>
        <w:rPr>
          <w:rFonts w:hint="eastAsia" w:cs="宋体"/>
          <w:color w:val="auto"/>
          <w:sz w:val="21"/>
          <w:szCs w:val="21"/>
          <w:highlight w:val="none"/>
        </w:rPr>
        <w:t>1.4.2 发包人提供国外标准、规范的名称：</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承包人自备国内现行适用的标准、规范</w:t>
      </w:r>
      <w:r>
        <w:rPr>
          <w:rFonts w:hint="eastAsia" w:cs="宋体"/>
          <w:color w:val="auto"/>
          <w:sz w:val="21"/>
          <w:szCs w:val="21"/>
          <w:highlight w:val="none"/>
        </w:rPr>
        <w:t>；</w:t>
      </w:r>
    </w:p>
    <w:p w14:paraId="65334E9E">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发包人提供国外标准、规范的份数：</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无</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35BC2F1">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发包人提供国外标准、规范的时间：</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无</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011062E">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1.4.3 发包人对工程的技术标准和功能要求的特殊要求：</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按现行规范执行</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1CAB923">
      <w:pPr>
        <w:keepNext/>
        <w:keepLines/>
        <w:pageBreakBefore w:val="0"/>
        <w:kinsoku/>
        <w:wordWrap/>
        <w:topLinePunct w:val="0"/>
        <w:bidi w:val="0"/>
        <w:snapToGrid w:val="0"/>
        <w:spacing w:beforeAutospacing="0" w:line="520" w:lineRule="exact"/>
        <w:ind w:firstLine="420" w:firstLineChars="200"/>
        <w:outlineLvl w:val="3"/>
        <w:rPr>
          <w:rFonts w:hint="eastAsia" w:cs="宋体"/>
          <w:bCs/>
          <w:color w:val="auto"/>
          <w:sz w:val="21"/>
          <w:szCs w:val="21"/>
          <w:highlight w:val="none"/>
        </w:rPr>
      </w:pPr>
      <w:r>
        <w:rPr>
          <w:rFonts w:hint="eastAsia" w:cs="宋体"/>
          <w:bCs/>
          <w:color w:val="auto"/>
          <w:sz w:val="21"/>
          <w:szCs w:val="21"/>
          <w:highlight w:val="none"/>
        </w:rPr>
        <w:t>1.5 合同文件的优先顺序</w:t>
      </w:r>
    </w:p>
    <w:p w14:paraId="71210E3C">
      <w:pPr>
        <w:keepNext/>
        <w:keepLines/>
        <w:pageBreakBefore w:val="0"/>
        <w:kinsoku/>
        <w:wordWrap/>
        <w:topLinePunct w:val="0"/>
        <w:bidi w:val="0"/>
        <w:snapToGrid w:val="0"/>
        <w:spacing w:beforeAutospacing="0" w:line="520" w:lineRule="exact"/>
        <w:ind w:firstLine="420" w:firstLineChars="200"/>
        <w:outlineLvl w:val="3"/>
        <w:rPr>
          <w:rFonts w:cs="宋体"/>
          <w:b/>
          <w:color w:val="auto"/>
          <w:sz w:val="21"/>
          <w:szCs w:val="21"/>
          <w:highlight w:val="none"/>
          <w:u w:val="single"/>
        </w:rPr>
      </w:pPr>
      <w:r>
        <w:rPr>
          <w:rFonts w:hint="eastAsia" w:cs="宋体"/>
          <w:color w:val="auto"/>
          <w:sz w:val="21"/>
          <w:szCs w:val="21"/>
          <w:highlight w:val="none"/>
        </w:rPr>
        <w:t>合同文件组成及优先顺序为：</w:t>
      </w:r>
      <w:r>
        <w:rPr>
          <w:rFonts w:hint="eastAsia" w:ascii="宋体" w:hAnsi="宋体" w:eastAsia="宋体" w:cs="宋体"/>
          <w:color w:val="auto"/>
          <w:sz w:val="21"/>
          <w:szCs w:val="21"/>
          <w:highlight w:val="none"/>
          <w:u w:val="single"/>
        </w:rPr>
        <w:t>（1）合同协议书；（2）中标通知书；（3）投标函及其附录；（4）招标文件；（5）专用合同条款及其附件；（6）通用合同条款；（7）技术标准和要求；（8）图纸；（9）已标价工程量清单或预算书；（10）其他合同文件。</w:t>
      </w:r>
    </w:p>
    <w:p w14:paraId="3C163823">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1.6 图纸和承包人文件</w:t>
      </w:r>
      <w:r>
        <w:rPr>
          <w:rFonts w:hint="eastAsia" w:cs="宋体"/>
          <w:bCs/>
          <w:color w:val="auto"/>
          <w:sz w:val="21"/>
          <w:szCs w:val="21"/>
          <w:highlight w:val="none"/>
        </w:rPr>
        <w:tab/>
      </w:r>
    </w:p>
    <w:p w14:paraId="37D5EF59">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1.6.1 图纸的提供和交底</w:t>
      </w:r>
    </w:p>
    <w:p w14:paraId="3AA6CBF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发包人向承包人提供图纸的期限：</w:t>
      </w:r>
      <w:r>
        <w:rPr>
          <w:rFonts w:hint="eastAsia" w:cs="宋体"/>
          <w:color w:val="auto"/>
          <w:sz w:val="21"/>
          <w:szCs w:val="21"/>
          <w:highlight w:val="none"/>
          <w:u w:val="single"/>
        </w:rPr>
        <w:t xml:space="preserve"> 开工前 14 天 </w:t>
      </w:r>
      <w:r>
        <w:rPr>
          <w:rFonts w:hint="eastAsia" w:cs="宋体"/>
          <w:color w:val="auto"/>
          <w:sz w:val="21"/>
          <w:szCs w:val="21"/>
          <w:highlight w:val="none"/>
        </w:rPr>
        <w:t>；</w:t>
      </w:r>
    </w:p>
    <w:p w14:paraId="11D3D0B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发包人向承包人提供图纸的数量：</w:t>
      </w:r>
      <w:r>
        <w:rPr>
          <w:rFonts w:hint="eastAsia" w:cs="宋体"/>
          <w:color w:val="auto"/>
          <w:sz w:val="21"/>
          <w:szCs w:val="21"/>
          <w:highlight w:val="none"/>
          <w:u w:val="single"/>
        </w:rPr>
        <w:t>提供</w:t>
      </w:r>
      <w:r>
        <w:rPr>
          <w:rFonts w:hint="eastAsia" w:cs="宋体"/>
          <w:color w:val="auto"/>
          <w:sz w:val="21"/>
          <w:szCs w:val="21"/>
          <w:highlight w:val="none"/>
          <w:u w:val="single"/>
          <w:lang w:val="en-US" w:eastAsia="zh-CN"/>
        </w:rPr>
        <w:t>1</w:t>
      </w:r>
      <w:r>
        <w:rPr>
          <w:rFonts w:hint="eastAsia" w:cs="宋体"/>
          <w:color w:val="auto"/>
          <w:sz w:val="21"/>
          <w:szCs w:val="21"/>
          <w:highlight w:val="none"/>
          <w:u w:val="single"/>
        </w:rPr>
        <w:t>套（含竣工图</w:t>
      </w:r>
      <w:r>
        <w:rPr>
          <w:rFonts w:hint="eastAsia" w:cs="宋体"/>
          <w:color w:val="auto"/>
          <w:sz w:val="21"/>
          <w:szCs w:val="21"/>
          <w:highlight w:val="none"/>
          <w:u w:val="single"/>
          <w:lang w:val="en-US" w:eastAsia="zh-CN"/>
        </w:rPr>
        <w:t>/</w:t>
      </w:r>
      <w:r>
        <w:rPr>
          <w:rFonts w:hint="eastAsia" w:cs="宋体"/>
          <w:color w:val="auto"/>
          <w:sz w:val="21"/>
          <w:szCs w:val="21"/>
          <w:highlight w:val="none"/>
          <w:u w:val="single"/>
        </w:rPr>
        <w:t>套），不足的由承包人自行复制，费用自理；</w:t>
      </w:r>
    </w:p>
    <w:p w14:paraId="5ACD2E79">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发包人向承包人提供图纸的内容：</w:t>
      </w:r>
      <w:r>
        <w:rPr>
          <w:rFonts w:hint="eastAsia" w:cs="宋体"/>
          <w:color w:val="auto"/>
          <w:sz w:val="21"/>
          <w:szCs w:val="21"/>
          <w:highlight w:val="none"/>
          <w:u w:val="single"/>
        </w:rPr>
        <w:t xml:space="preserve"> 全套施工图 </w:t>
      </w:r>
      <w:r>
        <w:rPr>
          <w:rFonts w:hint="eastAsia" w:cs="宋体"/>
          <w:color w:val="auto"/>
          <w:sz w:val="21"/>
          <w:szCs w:val="21"/>
          <w:highlight w:val="none"/>
        </w:rPr>
        <w:t>。</w:t>
      </w:r>
    </w:p>
    <w:p w14:paraId="1C253A3F">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1.6.4 承包人文件</w:t>
      </w:r>
    </w:p>
    <w:p w14:paraId="6A904339">
      <w:pPr>
        <w:pageBreakBefore w:val="0"/>
        <w:kinsoku/>
        <w:wordWrap/>
        <w:topLinePunct w:val="0"/>
        <w:bidi w:val="0"/>
        <w:snapToGrid w:val="0"/>
        <w:spacing w:beforeAutospacing="0" w:line="520" w:lineRule="exact"/>
        <w:ind w:firstLine="420" w:firstLineChars="200"/>
        <w:jc w:val="left"/>
        <w:rPr>
          <w:rFonts w:hint="eastAsia" w:ascii="宋体" w:hAnsi="宋体" w:eastAsia="宋体" w:cs="宋体"/>
          <w:color w:val="auto"/>
          <w:sz w:val="21"/>
          <w:szCs w:val="21"/>
          <w:highlight w:val="none"/>
          <w:u w:val="single"/>
        </w:rPr>
      </w:pPr>
      <w:r>
        <w:rPr>
          <w:rFonts w:hint="eastAsia" w:cs="宋体"/>
          <w:color w:val="auto"/>
          <w:sz w:val="21"/>
          <w:szCs w:val="21"/>
          <w:highlight w:val="none"/>
        </w:rPr>
        <w:t>需要由承包人提供的文件，包括：</w:t>
      </w:r>
      <w:r>
        <w:rPr>
          <w:rFonts w:hint="eastAsia" w:cs="宋体"/>
          <w:color w:val="auto"/>
          <w:sz w:val="21"/>
          <w:szCs w:val="21"/>
          <w:highlight w:val="none"/>
          <w:u w:val="single"/>
        </w:rPr>
        <w:t>按监理要求执行，包括但不限于施工组织设计、总进度计划、阶段性进度计划、 月度进度计划、工程计量报告、竣工资料、归档资料电子档、影像资料及工程结算送审资料及发包人、监理人要求提供的等其他文件</w:t>
      </w:r>
      <w:r>
        <w:rPr>
          <w:rFonts w:hint="eastAsia" w:ascii="宋体" w:hAnsi="宋体" w:eastAsia="宋体" w:cs="宋体"/>
          <w:color w:val="auto"/>
          <w:sz w:val="21"/>
          <w:szCs w:val="21"/>
          <w:highlight w:val="none"/>
          <w:u w:val="single"/>
        </w:rPr>
        <w:t>；</w:t>
      </w:r>
    </w:p>
    <w:p w14:paraId="4538A130">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承包人提供的文件的期限为：</w:t>
      </w:r>
      <w:r>
        <w:rPr>
          <w:rFonts w:hint="eastAsia" w:ascii="宋体" w:hAnsi="宋体" w:eastAsia="宋体" w:cs="宋体"/>
          <w:color w:val="auto"/>
          <w:sz w:val="21"/>
          <w:szCs w:val="21"/>
          <w:highlight w:val="none"/>
          <w:u w:val="single"/>
        </w:rPr>
        <w:t xml:space="preserve">按照合同相关约定或发包人、监理人书面要求执行    </w:t>
      </w:r>
      <w:r>
        <w:rPr>
          <w:rFonts w:hint="eastAsia" w:ascii="宋体" w:hAnsi="宋体" w:eastAsia="宋体" w:cs="宋体"/>
          <w:color w:val="auto"/>
          <w:sz w:val="21"/>
          <w:szCs w:val="21"/>
          <w:highlight w:val="none"/>
        </w:rPr>
        <w:t>；</w:t>
      </w:r>
    </w:p>
    <w:p w14:paraId="4B740A8C">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承包人提供的文件的数量为：</w:t>
      </w:r>
      <w:r>
        <w:rPr>
          <w:rFonts w:hint="eastAsia" w:ascii="宋体" w:hAnsi="宋体" w:eastAsia="宋体" w:cs="宋体"/>
          <w:color w:val="auto"/>
          <w:sz w:val="21"/>
          <w:szCs w:val="21"/>
          <w:highlight w:val="none"/>
          <w:u w:val="single"/>
        </w:rPr>
        <w:t xml:space="preserve"> 按照合同相关约定或发包人、监理人书面要求执行   </w:t>
      </w:r>
      <w:r>
        <w:rPr>
          <w:rFonts w:hint="eastAsia" w:ascii="宋体" w:hAnsi="宋体" w:eastAsia="宋体" w:cs="宋体"/>
          <w:color w:val="auto"/>
          <w:sz w:val="21"/>
          <w:szCs w:val="21"/>
          <w:highlight w:val="none"/>
        </w:rPr>
        <w:t>；</w:t>
      </w:r>
    </w:p>
    <w:p w14:paraId="5BD12AC4">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承包人提供的文件的形式为：</w:t>
      </w:r>
      <w:r>
        <w:rPr>
          <w:rFonts w:hint="eastAsia" w:ascii="宋体" w:hAnsi="宋体" w:eastAsia="宋体" w:cs="宋体"/>
          <w:color w:val="auto"/>
          <w:sz w:val="21"/>
          <w:szCs w:val="21"/>
          <w:highlight w:val="none"/>
          <w:u w:val="single"/>
        </w:rPr>
        <w:t xml:space="preserve">按照合同相关约定或发包人、监理人书面要求执行  </w:t>
      </w:r>
      <w:r>
        <w:rPr>
          <w:rFonts w:hint="eastAsia" w:ascii="宋体" w:hAnsi="宋体" w:eastAsia="宋体" w:cs="宋体"/>
          <w:color w:val="auto"/>
          <w:sz w:val="21"/>
          <w:szCs w:val="21"/>
          <w:highlight w:val="none"/>
        </w:rPr>
        <w:t>；</w:t>
      </w:r>
    </w:p>
    <w:p w14:paraId="36C13028">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发包人审批承包人文件的期限：</w:t>
      </w:r>
      <w:r>
        <w:rPr>
          <w:rFonts w:hint="eastAsia" w:ascii="宋体" w:hAnsi="宋体" w:eastAsia="宋体" w:cs="宋体"/>
          <w:color w:val="auto"/>
          <w:sz w:val="21"/>
          <w:szCs w:val="21"/>
          <w:highlight w:val="none"/>
          <w:u w:val="single"/>
        </w:rPr>
        <w:t> 按照合同相关约定或发包人、监理人书面要求执行</w:t>
      </w:r>
      <w:r>
        <w:rPr>
          <w:rFonts w:hint="eastAsia" w:ascii="宋体" w:hAnsi="宋体" w:eastAsia="宋体" w:cs="宋体"/>
          <w:color w:val="auto"/>
          <w:sz w:val="21"/>
          <w:szCs w:val="21"/>
          <w:highlight w:val="none"/>
        </w:rPr>
        <w:t>。</w:t>
      </w:r>
    </w:p>
    <w:p w14:paraId="4273516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1.6.5 图纸和承包人文件的保管</w:t>
      </w:r>
    </w:p>
    <w:p w14:paraId="2B1D1D3F">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关于图纸和承包人文件保管的约定：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执行通用条款</w:t>
      </w:r>
      <w:r>
        <w:rPr>
          <w:rFonts w:hint="eastAsia" w:cs="宋体"/>
          <w:color w:val="auto"/>
          <w:sz w:val="21"/>
          <w:szCs w:val="21"/>
          <w:highlight w:val="none"/>
        </w:rPr>
        <w:t>。</w:t>
      </w:r>
    </w:p>
    <w:p w14:paraId="50B4D2C4">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1.7 联络</w:t>
      </w:r>
    </w:p>
    <w:p w14:paraId="1C3FDFC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1.7.1 发包人和承包人应当在</w:t>
      </w:r>
      <w:r>
        <w:rPr>
          <w:rFonts w:hint="eastAsia" w:cs="宋体"/>
          <w:color w:val="auto"/>
          <w:sz w:val="21"/>
          <w:szCs w:val="21"/>
          <w:highlight w:val="none"/>
          <w:u w:val="single"/>
        </w:rPr>
        <w:t>7</w:t>
      </w:r>
      <w:r>
        <w:rPr>
          <w:rFonts w:hint="eastAsia" w:cs="宋体"/>
          <w:color w:val="auto"/>
          <w:sz w:val="21"/>
          <w:szCs w:val="21"/>
          <w:highlight w:val="none"/>
        </w:rPr>
        <w:t>天内将与合同有关的通知、批准、证明、证书、指示、指令、要求、请求、同意、意见、确定和决定等书面函件送达对方当事人。</w:t>
      </w:r>
    </w:p>
    <w:p w14:paraId="031BD0EE">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1.7.2 发包人接收文件的地点：</w:t>
      </w:r>
      <w:r>
        <w:rPr>
          <w:rFonts w:hint="eastAsia" w:ascii="宋体" w:hAnsi="宋体" w:eastAsia="宋体" w:cs="宋体"/>
          <w:color w:val="auto"/>
          <w:sz w:val="21"/>
          <w:szCs w:val="21"/>
          <w:highlight w:val="none"/>
          <w:u w:val="single"/>
        </w:rPr>
        <w:t xml:space="preserve">发包人办公室  </w:t>
      </w:r>
      <w:r>
        <w:rPr>
          <w:rFonts w:hint="eastAsia" w:ascii="宋体" w:hAnsi="宋体" w:eastAsia="宋体" w:cs="宋体"/>
          <w:color w:val="auto"/>
          <w:kern w:val="0"/>
          <w:sz w:val="21"/>
          <w:szCs w:val="21"/>
          <w:highlight w:val="none"/>
        </w:rPr>
        <w:t>；</w:t>
      </w:r>
    </w:p>
    <w:p w14:paraId="62E39037">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发包人指定的接收人为：</w:t>
      </w:r>
      <w:r>
        <w:rPr>
          <w:rFonts w:hint="eastAsia" w:ascii="宋体" w:hAnsi="宋体" w:eastAsia="宋体" w:cs="宋体"/>
          <w:color w:val="auto"/>
          <w:sz w:val="21"/>
          <w:szCs w:val="21"/>
          <w:highlight w:val="none"/>
          <w:u w:val="single"/>
        </w:rPr>
        <w:t>发包人指派的项目负责人</w:t>
      </w:r>
      <w:r>
        <w:rPr>
          <w:rFonts w:hint="eastAsia" w:ascii="宋体" w:hAnsi="宋体" w:eastAsia="宋体" w:cs="宋体"/>
          <w:color w:val="auto"/>
          <w:kern w:val="0"/>
          <w:sz w:val="21"/>
          <w:szCs w:val="21"/>
          <w:highlight w:val="none"/>
        </w:rPr>
        <w:t>；</w:t>
      </w:r>
    </w:p>
    <w:p w14:paraId="42B5686E">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承包人接收文件的地点：</w:t>
      </w:r>
      <w:r>
        <w:rPr>
          <w:rFonts w:hint="eastAsia" w:ascii="宋体" w:hAnsi="宋体" w:eastAsia="宋体" w:cs="宋体"/>
          <w:color w:val="auto"/>
          <w:sz w:val="21"/>
          <w:szCs w:val="21"/>
          <w:highlight w:val="none"/>
          <w:u w:val="single"/>
        </w:rPr>
        <w:t>项目部</w:t>
      </w:r>
      <w:r>
        <w:rPr>
          <w:rFonts w:hint="eastAsia" w:ascii="宋体" w:hAnsi="宋体" w:eastAsia="宋体" w:cs="宋体"/>
          <w:color w:val="auto"/>
          <w:kern w:val="0"/>
          <w:sz w:val="21"/>
          <w:szCs w:val="21"/>
          <w:highlight w:val="none"/>
        </w:rPr>
        <w:t>；</w:t>
      </w:r>
    </w:p>
    <w:p w14:paraId="0D370D6A">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承包人指定的接收人为：</w:t>
      </w:r>
      <w:r>
        <w:rPr>
          <w:rFonts w:hint="eastAsia" w:ascii="宋体" w:hAnsi="宋体" w:eastAsia="宋体" w:cs="宋体"/>
          <w:color w:val="auto"/>
          <w:sz w:val="21"/>
          <w:szCs w:val="21"/>
          <w:highlight w:val="none"/>
          <w:u w:val="single"/>
        </w:rPr>
        <w:t>项目负责人</w:t>
      </w:r>
      <w:r>
        <w:rPr>
          <w:rFonts w:hint="eastAsia" w:ascii="宋体" w:hAnsi="宋体" w:eastAsia="宋体" w:cs="宋体"/>
          <w:color w:val="auto"/>
          <w:kern w:val="0"/>
          <w:sz w:val="21"/>
          <w:szCs w:val="21"/>
          <w:highlight w:val="none"/>
        </w:rPr>
        <w:t>。</w:t>
      </w:r>
    </w:p>
    <w:p w14:paraId="663784FF">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监理人接收文件的地点：</w:t>
      </w:r>
      <w:r>
        <w:rPr>
          <w:rFonts w:hint="eastAsia" w:ascii="宋体" w:hAnsi="宋体" w:eastAsia="宋体" w:cs="宋体"/>
          <w:color w:val="auto"/>
          <w:sz w:val="21"/>
          <w:szCs w:val="21"/>
          <w:highlight w:val="none"/>
          <w:u w:val="single"/>
        </w:rPr>
        <w:t>监理部</w:t>
      </w:r>
      <w:r>
        <w:rPr>
          <w:rFonts w:hint="eastAsia" w:ascii="宋体" w:hAnsi="宋体" w:eastAsia="宋体" w:cs="宋体"/>
          <w:color w:val="auto"/>
          <w:kern w:val="0"/>
          <w:sz w:val="21"/>
          <w:szCs w:val="21"/>
          <w:highlight w:val="none"/>
        </w:rPr>
        <w:t>；</w:t>
      </w:r>
    </w:p>
    <w:p w14:paraId="46DBBBA9">
      <w:pPr>
        <w:keepNext/>
        <w:keepLines/>
        <w:pageBreakBefore w:val="0"/>
        <w:kinsoku/>
        <w:wordWrap/>
        <w:topLinePunct w:val="0"/>
        <w:bidi w:val="0"/>
        <w:snapToGrid w:val="0"/>
        <w:spacing w:beforeAutospacing="0" w:line="520" w:lineRule="exact"/>
        <w:ind w:firstLine="420" w:firstLineChars="200"/>
        <w:outlineLvl w:val="3"/>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监理人指定的接收人为：</w:t>
      </w:r>
      <w:r>
        <w:rPr>
          <w:rFonts w:hint="eastAsia" w:ascii="宋体" w:hAnsi="宋体" w:eastAsia="宋体" w:cs="宋体"/>
          <w:color w:val="auto"/>
          <w:sz w:val="21"/>
          <w:szCs w:val="21"/>
          <w:highlight w:val="none"/>
          <w:u w:val="single"/>
        </w:rPr>
        <w:t>总监理工程师</w:t>
      </w:r>
      <w:r>
        <w:rPr>
          <w:rFonts w:hint="eastAsia" w:ascii="宋体" w:hAnsi="宋体" w:eastAsia="宋体" w:cs="宋体"/>
          <w:color w:val="auto"/>
          <w:kern w:val="0"/>
          <w:sz w:val="21"/>
          <w:szCs w:val="21"/>
          <w:highlight w:val="none"/>
        </w:rPr>
        <w:t>。</w:t>
      </w:r>
    </w:p>
    <w:p w14:paraId="347E7289">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1.10 交通运输</w:t>
      </w:r>
    </w:p>
    <w:p w14:paraId="0B0F174E">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bookmarkStart w:id="70" w:name="_Toc318581157"/>
      <w:r>
        <w:rPr>
          <w:rFonts w:hint="eastAsia" w:cs="宋体"/>
          <w:color w:val="auto"/>
          <w:sz w:val="21"/>
          <w:szCs w:val="21"/>
          <w:highlight w:val="none"/>
        </w:rPr>
        <w:t>1.10.1 出入现场的权利</w:t>
      </w:r>
    </w:p>
    <w:p w14:paraId="49048C36">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sz w:val="21"/>
          <w:szCs w:val="21"/>
          <w:highlight w:val="none"/>
          <w:u w:val="single"/>
        </w:rPr>
      </w:pPr>
      <w:r>
        <w:rPr>
          <w:rFonts w:hint="eastAsia" w:cs="宋体"/>
          <w:color w:val="auto"/>
          <w:sz w:val="21"/>
          <w:szCs w:val="21"/>
          <w:highlight w:val="none"/>
        </w:rPr>
        <w:t>关于出入现场的权利的约定：</w:t>
      </w:r>
      <w:r>
        <w:rPr>
          <w:rFonts w:hint="eastAsia" w:ascii="宋体" w:hAnsi="宋体" w:eastAsia="宋体" w:cs="宋体"/>
          <w:color w:val="auto"/>
          <w:sz w:val="21"/>
          <w:szCs w:val="21"/>
          <w:highlight w:val="none"/>
          <w:u w:val="single"/>
        </w:rPr>
        <w:t>发包人应根据施工需要，负责取得出入施工现场所需的批准手续和全部权利，以及取得因施工所需修建道路、桥梁以及其他基础设施的权利，并承担相关手续费用和建设费用，若该费用已包含在本项目发包范围，则由承包人自行解决并承担费用。承包人应协助发包人办理修建场内外道路、桥梁以及其他基础设施的手续。</w:t>
      </w:r>
    </w:p>
    <w:p w14:paraId="403F8EA1">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承包人应在订立合同前查勘施工现场，并根据工程规模及技术参数合理预见工程施工所需的进出施工现场的方式、手段、路径等。因承包人未合理预见所增加的费用和（或）延误的工期由承包人承担。</w:t>
      </w:r>
    </w:p>
    <w:p w14:paraId="73FFE97D">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1.10.3 场内交通</w:t>
      </w:r>
    </w:p>
    <w:p w14:paraId="5941EADB">
      <w:pPr>
        <w:pageBreakBefore w:val="0"/>
        <w:kinsoku/>
        <w:wordWrap/>
        <w:topLinePunct w:val="0"/>
        <w:bidi w:val="0"/>
        <w:snapToGrid w:val="0"/>
        <w:spacing w:beforeAutospacing="0" w:line="520" w:lineRule="exact"/>
        <w:ind w:firstLine="420" w:firstLineChars="200"/>
        <w:jc w:val="left"/>
        <w:rPr>
          <w:rFonts w:cs="宋体"/>
          <w:color w:val="auto"/>
          <w:sz w:val="21"/>
          <w:szCs w:val="21"/>
          <w:highlight w:val="none"/>
          <w:u w:val="single"/>
        </w:rPr>
      </w:pPr>
      <w:r>
        <w:rPr>
          <w:rFonts w:hint="eastAsia" w:cs="宋体"/>
          <w:color w:val="auto"/>
          <w:sz w:val="21"/>
          <w:szCs w:val="21"/>
          <w:highlight w:val="none"/>
        </w:rPr>
        <w:t>关于场外交通和场内交通的边界的约定：</w:t>
      </w:r>
      <w:r>
        <w:rPr>
          <w:rFonts w:hint="eastAsia" w:ascii="宋体" w:hAnsi="宋体" w:eastAsia="宋体" w:cs="宋体"/>
          <w:color w:val="auto"/>
          <w:sz w:val="21"/>
          <w:szCs w:val="21"/>
          <w:highlight w:val="none"/>
          <w:u w:val="single"/>
        </w:rPr>
        <w:t>场内交通设施和道路由承包人负责建设，发包人不另支付费用，场内交通边界现场确定</w:t>
      </w:r>
      <w:r>
        <w:rPr>
          <w:rFonts w:hint="eastAsia" w:ascii="宋体" w:hAnsi="宋体" w:eastAsia="宋体" w:cs="宋体"/>
          <w:color w:val="auto"/>
          <w:sz w:val="21"/>
          <w:szCs w:val="21"/>
          <w:highlight w:val="none"/>
        </w:rPr>
        <w:t>。</w:t>
      </w:r>
    </w:p>
    <w:p w14:paraId="09EBF8E7">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关于发包人向承包人免费提供满足工程施工需要的场内道路和交通设施的约定：</w:t>
      </w:r>
      <w:r>
        <w:rPr>
          <w:rFonts w:hint="eastAsia" w:ascii="宋体" w:hAnsi="宋体" w:eastAsia="宋体" w:cs="宋体"/>
          <w:color w:val="auto"/>
          <w:sz w:val="21"/>
          <w:szCs w:val="21"/>
          <w:highlight w:val="none"/>
          <w:u w:val="single"/>
        </w:rPr>
        <w:t>自行踏勘，自行解决</w:t>
      </w:r>
      <w:r>
        <w:rPr>
          <w:rFonts w:hint="eastAsia" w:cs="宋体"/>
          <w:color w:val="auto"/>
          <w:sz w:val="21"/>
          <w:szCs w:val="21"/>
          <w:highlight w:val="none"/>
        </w:rPr>
        <w:t>。</w:t>
      </w:r>
    </w:p>
    <w:p w14:paraId="5FCC0676">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1.10.4 超大件和超重件的运输</w:t>
      </w:r>
    </w:p>
    <w:p w14:paraId="5E8A04BF">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运输超大件或超重件所需的道路和桥梁临时加固改造费用和其他有关费用由</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承包人</w:t>
      </w:r>
      <w:r>
        <w:rPr>
          <w:rFonts w:hint="eastAsia" w:cs="宋体"/>
          <w:color w:val="auto"/>
          <w:sz w:val="21"/>
          <w:szCs w:val="21"/>
          <w:highlight w:val="none"/>
          <w:u w:val="single"/>
        </w:rPr>
        <w:t xml:space="preserve"> </w:t>
      </w:r>
      <w:r>
        <w:rPr>
          <w:rFonts w:hint="eastAsia" w:cs="宋体"/>
          <w:color w:val="auto"/>
          <w:sz w:val="21"/>
          <w:szCs w:val="21"/>
          <w:highlight w:val="none"/>
        </w:rPr>
        <w:t>承担。</w:t>
      </w:r>
    </w:p>
    <w:bookmarkEnd w:id="70"/>
    <w:p w14:paraId="25E924F0">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1.11 知识产权</w:t>
      </w:r>
    </w:p>
    <w:p w14:paraId="0D1BA467">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1.11.1 关于发包人提供给承包人的图纸、发包人为实施工程自行编制或委托编制的技术规范以及反映发包人关于合同要求或其他类似性质的文件的著作权的归属：</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发包人</w:t>
      </w:r>
      <w:r>
        <w:rPr>
          <w:rFonts w:hint="eastAsia" w:cs="宋体"/>
          <w:color w:val="auto"/>
          <w:sz w:val="21"/>
          <w:szCs w:val="21"/>
          <w:highlight w:val="none"/>
          <w:u w:val="single"/>
        </w:rPr>
        <w:t xml:space="preserve">  </w:t>
      </w:r>
      <w:r>
        <w:rPr>
          <w:rFonts w:hint="eastAsia" w:cs="宋体"/>
          <w:color w:val="auto"/>
          <w:sz w:val="21"/>
          <w:szCs w:val="21"/>
          <w:highlight w:val="none"/>
        </w:rPr>
        <w:t>。</w:t>
      </w:r>
    </w:p>
    <w:p w14:paraId="781CA9E5">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关于发包人提供的上述文件的使用限制的要求：</w:t>
      </w:r>
      <w:r>
        <w:rPr>
          <w:rFonts w:hint="eastAsia" w:ascii="宋体" w:hAnsi="宋体" w:eastAsia="宋体" w:cs="宋体"/>
          <w:color w:val="auto"/>
          <w:sz w:val="21"/>
          <w:szCs w:val="21"/>
          <w:highlight w:val="none"/>
          <w:u w:val="single"/>
        </w:rPr>
        <w:t>未经发包人同意不得复制，不得向承包人以外的人员泄漏有关图纸内容，工程竣工后，原图全部收回</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D90AA9B">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1.11.2 关于承包人为实施工程所编制文件的著作权的归属：</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发包人</w:t>
      </w:r>
      <w:r>
        <w:rPr>
          <w:rFonts w:hint="eastAsia" w:cs="宋体"/>
          <w:color w:val="auto"/>
          <w:sz w:val="21"/>
          <w:szCs w:val="21"/>
          <w:highlight w:val="none"/>
          <w:u w:val="single"/>
        </w:rPr>
        <w:t xml:space="preserve">   </w:t>
      </w:r>
      <w:r>
        <w:rPr>
          <w:rFonts w:hint="eastAsia" w:cs="宋体"/>
          <w:color w:val="auto"/>
          <w:sz w:val="21"/>
          <w:szCs w:val="21"/>
          <w:highlight w:val="none"/>
        </w:rPr>
        <w:t>。</w:t>
      </w:r>
    </w:p>
    <w:p w14:paraId="7E8DC662">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关于承包人提供的上述文件的使用限制的要求：</w:t>
      </w:r>
      <w:r>
        <w:rPr>
          <w:rFonts w:hint="eastAsia" w:ascii="宋体" w:hAnsi="宋体" w:eastAsia="宋体" w:cs="宋体"/>
          <w:color w:val="auto"/>
          <w:sz w:val="21"/>
          <w:szCs w:val="21"/>
          <w:highlight w:val="none"/>
          <w:u w:val="single"/>
        </w:rPr>
        <w:t>执行通用条款</w:t>
      </w:r>
      <w:r>
        <w:rPr>
          <w:rFonts w:hint="eastAsia" w:cs="宋体"/>
          <w:color w:val="auto"/>
          <w:sz w:val="21"/>
          <w:szCs w:val="21"/>
          <w:highlight w:val="none"/>
          <w:u w:val="single"/>
        </w:rPr>
        <w:t xml:space="preserve"> </w:t>
      </w:r>
      <w:r>
        <w:rPr>
          <w:rFonts w:hint="eastAsia" w:cs="宋体"/>
          <w:color w:val="auto"/>
          <w:sz w:val="21"/>
          <w:szCs w:val="21"/>
          <w:highlight w:val="none"/>
        </w:rPr>
        <w:t>。</w:t>
      </w:r>
    </w:p>
    <w:p w14:paraId="47F75941">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1.11.4 承包人在施工过程中所采用的专利、专有技术、技术秘密的使用费的承担方式：</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执行通用条款</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07C4115">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1.13 工程量清单错误的修正</w:t>
      </w:r>
    </w:p>
    <w:p w14:paraId="400A1559">
      <w:pPr>
        <w:pStyle w:val="31"/>
        <w:pageBreakBefore w:val="0"/>
        <w:kinsoku/>
        <w:wordWrap/>
        <w:topLinePunct w:val="0"/>
        <w:bidi w:val="0"/>
        <w:spacing w:beforeAutospacing="0" w:line="520" w:lineRule="exact"/>
        <w:ind w:firstLine="468" w:firstLineChars="200"/>
        <w:rPr>
          <w:rFonts w:hint="eastAsia" w:ascii="宋体" w:hAnsi="宋体" w:eastAsia="宋体" w:cs="宋体"/>
          <w:color w:val="auto"/>
          <w:sz w:val="21"/>
          <w:szCs w:val="21"/>
          <w:highlight w:val="none"/>
        </w:rPr>
      </w:pPr>
      <w:bookmarkStart w:id="71" w:name="_Toc351203634"/>
      <w:r>
        <w:rPr>
          <w:rFonts w:hint="eastAsia" w:cs="宋体"/>
          <w:color w:val="auto"/>
          <w:sz w:val="21"/>
          <w:szCs w:val="21"/>
          <w:highlight w:val="none"/>
        </w:rPr>
        <w:t>出现工程量清单错误时，是否调整合同价格：</w:t>
      </w:r>
      <w:r>
        <w:rPr>
          <w:rFonts w:hint="eastAsia" w:ascii="宋体" w:hAnsi="宋体" w:eastAsia="宋体" w:cs="宋体"/>
          <w:color w:val="auto"/>
          <w:sz w:val="21"/>
          <w:szCs w:val="21"/>
          <w:highlight w:val="none"/>
          <w:u w:val="single"/>
        </w:rPr>
        <w:t>是，具体调整方式见下款</w:t>
      </w:r>
      <w:r>
        <w:rPr>
          <w:rFonts w:hint="eastAsia" w:ascii="宋体" w:hAnsi="宋体" w:eastAsia="宋体" w:cs="宋体"/>
          <w:color w:val="auto"/>
          <w:sz w:val="21"/>
          <w:szCs w:val="21"/>
          <w:highlight w:val="none"/>
        </w:rPr>
        <w:t>。</w:t>
      </w:r>
    </w:p>
    <w:p w14:paraId="18608630">
      <w:pPr>
        <w:adjustRightInd w:val="0"/>
        <w:snapToGrid w:val="0"/>
        <w:spacing w:line="44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允许调整合同价格的工程量偏差范围：工程量按实计量，结算工程量减少0-100%或增加15%以内部分，执行中标单价；超出15％以外部分的，若中标综合单价高于（最高投标限价中综合单价×投标让利幅度）时，按（最高投标限价中综合单价×投标让利幅度）计算；若中标综合单价低于（最高投标限价中综合单价×投标让利幅度）时，执行中标单价(组价明显错误的予以纠正) 。新增项目单价按照最高投标限价的编制原则重新组价乘以中标价/最高投标限价，重新组价价格最终以审计部门审核结算价为准。</w:t>
      </w:r>
    </w:p>
    <w:p w14:paraId="6D52D499">
      <w:pPr>
        <w:adjustRightInd w:val="0"/>
        <w:snapToGrid w:val="0"/>
        <w:spacing w:line="44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u w:val="single"/>
        </w:rPr>
        <w:t>注：投标让利幅度为中标价/最高投标限价，其中中标价和最高投标限价均扣除暂定金额、暂估价</w:t>
      </w:r>
      <w:r>
        <w:rPr>
          <w:rFonts w:hint="eastAsia" w:ascii="宋体" w:hAnsi="宋体" w:eastAsia="宋体" w:cs="宋体"/>
          <w:color w:val="auto"/>
          <w:sz w:val="21"/>
          <w:szCs w:val="21"/>
          <w:highlight w:val="none"/>
          <w:u w:val="single"/>
          <w:lang w:eastAsia="zh-CN"/>
        </w:rPr>
        <w:t>。</w:t>
      </w:r>
    </w:p>
    <w:p w14:paraId="012E5F4C">
      <w:pPr>
        <w:adjustRightInd w:val="0"/>
        <w:snapToGrid w:val="0"/>
        <w:spacing w:line="44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技术措施费调整：</w:t>
      </w:r>
      <w:r>
        <w:rPr>
          <w:rFonts w:hint="eastAsia" w:ascii="宋体" w:hAnsi="宋体" w:eastAsia="宋体" w:cs="宋体"/>
          <w:color w:val="auto"/>
          <w:sz w:val="21"/>
          <w:szCs w:val="21"/>
          <w:highlight w:val="none"/>
          <w:u w:val="single"/>
        </w:rPr>
        <w:t>由于承包人改变施工技术措施，造成的价格变动，措施费不予调整。因发包人要求或工程量的增减必须改变原来施工技术措施，造成价格变动的，应扣减相应的原施工技术措施费后，按新增项目组价方式，进行措施费调整。由于分部分项清单工程量增减导致措施费用变化的，按实调整。</w:t>
      </w:r>
    </w:p>
    <w:p w14:paraId="6DED1A78">
      <w:pPr>
        <w:adjustRightInd w:val="0"/>
        <w:snapToGrid w:val="0"/>
        <w:spacing w:line="44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组织措施费调整：由于分部分项清单工程量增减导致措施费用变化的，按实调整。 </w:t>
      </w:r>
    </w:p>
    <w:p w14:paraId="61323321">
      <w:pPr>
        <w:snapToGrid w:val="0"/>
        <w:spacing w:before="312" w:beforeLines="100" w:after="312" w:afterLines="100" w:line="360" w:lineRule="auto"/>
        <w:outlineLvl w:val="2"/>
        <w:rPr>
          <w:rFonts w:cs="宋体"/>
          <w:color w:val="auto"/>
          <w:sz w:val="21"/>
          <w:szCs w:val="21"/>
          <w:highlight w:val="none"/>
        </w:rPr>
      </w:pPr>
      <w:r>
        <w:rPr>
          <w:rFonts w:hint="eastAsia" w:cs="宋体"/>
          <w:color w:val="auto"/>
          <w:sz w:val="21"/>
          <w:szCs w:val="21"/>
          <w:highlight w:val="none"/>
        </w:rPr>
        <w:t>2</w:t>
      </w:r>
      <w:bookmarkStart w:id="72" w:name="_Toc297048343"/>
      <w:bookmarkStart w:id="73" w:name="_Toc292559362"/>
      <w:bookmarkStart w:id="74" w:name="_Toc292559867"/>
      <w:bookmarkStart w:id="75" w:name="_Toc296346658"/>
      <w:bookmarkStart w:id="76" w:name="_Toc296944496"/>
      <w:bookmarkStart w:id="77" w:name="_Toc296890985"/>
      <w:bookmarkStart w:id="78" w:name="_Toc296347156"/>
      <w:bookmarkStart w:id="79" w:name="_Toc296503157"/>
      <w:bookmarkStart w:id="80" w:name="_Toc297120457"/>
      <w:bookmarkStart w:id="81" w:name="_Toc296891197"/>
      <w:r>
        <w:rPr>
          <w:rFonts w:hint="eastAsia" w:cs="宋体"/>
          <w:color w:val="auto"/>
          <w:sz w:val="21"/>
          <w:szCs w:val="21"/>
          <w:highlight w:val="none"/>
        </w:rPr>
        <w:t>. 发包人</w:t>
      </w:r>
      <w:bookmarkEnd w:id="71"/>
    </w:p>
    <w:bookmarkEnd w:id="72"/>
    <w:bookmarkEnd w:id="73"/>
    <w:bookmarkEnd w:id="74"/>
    <w:bookmarkEnd w:id="75"/>
    <w:bookmarkEnd w:id="76"/>
    <w:bookmarkEnd w:id="77"/>
    <w:bookmarkEnd w:id="78"/>
    <w:bookmarkEnd w:id="79"/>
    <w:bookmarkEnd w:id="80"/>
    <w:bookmarkEnd w:id="81"/>
    <w:p w14:paraId="569422E6">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2.2 发包人代表</w:t>
      </w:r>
    </w:p>
    <w:p w14:paraId="570C2C06">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发包人代表：</w:t>
      </w:r>
    </w:p>
    <w:p w14:paraId="1DE3BE9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姓    名：</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9692CE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身份证号：</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2ED702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职    务：</w:t>
      </w:r>
      <w:r>
        <w:rPr>
          <w:rFonts w:hint="eastAsia" w:cs="宋体"/>
          <w:color w:val="auto"/>
          <w:sz w:val="21"/>
          <w:szCs w:val="21"/>
          <w:highlight w:val="none"/>
          <w:u w:val="single"/>
        </w:rPr>
        <w:t xml:space="preserve">                          </w:t>
      </w:r>
      <w:r>
        <w:rPr>
          <w:rFonts w:hint="eastAsia" w:cs="宋体"/>
          <w:color w:val="auto"/>
          <w:sz w:val="21"/>
          <w:szCs w:val="21"/>
          <w:highlight w:val="none"/>
        </w:rPr>
        <w:t>；</w:t>
      </w:r>
    </w:p>
    <w:p w14:paraId="4C7158A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联系电话：</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7DE4735">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电子信箱：</w:t>
      </w:r>
      <w:r>
        <w:rPr>
          <w:rFonts w:hint="eastAsia" w:cs="宋体"/>
          <w:color w:val="auto"/>
          <w:sz w:val="21"/>
          <w:szCs w:val="21"/>
          <w:highlight w:val="none"/>
          <w:u w:val="single"/>
        </w:rPr>
        <w:t xml:space="preserve">                          </w:t>
      </w:r>
      <w:r>
        <w:rPr>
          <w:rFonts w:hint="eastAsia" w:cs="宋体"/>
          <w:color w:val="auto"/>
          <w:sz w:val="21"/>
          <w:szCs w:val="21"/>
          <w:highlight w:val="none"/>
        </w:rPr>
        <w:t>；</w:t>
      </w:r>
    </w:p>
    <w:p w14:paraId="4D3F723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通信地址：</w:t>
      </w:r>
      <w:r>
        <w:rPr>
          <w:rFonts w:hint="eastAsia" w:cs="宋体"/>
          <w:color w:val="auto"/>
          <w:sz w:val="21"/>
          <w:szCs w:val="21"/>
          <w:highlight w:val="none"/>
          <w:u w:val="single"/>
        </w:rPr>
        <w:t xml:space="preserve">                          </w:t>
      </w:r>
      <w:r>
        <w:rPr>
          <w:rFonts w:hint="eastAsia" w:cs="宋体"/>
          <w:color w:val="auto"/>
          <w:sz w:val="21"/>
          <w:szCs w:val="21"/>
          <w:highlight w:val="none"/>
        </w:rPr>
        <w:t>。</w:t>
      </w:r>
    </w:p>
    <w:p w14:paraId="4DBFDB6A">
      <w:pPr>
        <w:adjustRightInd w:val="0"/>
        <w:snapToGrid w:val="0"/>
        <w:spacing w:line="360" w:lineRule="auto"/>
        <w:ind w:firstLine="420" w:firstLineChars="200"/>
        <w:rPr>
          <w:rFonts w:cs="宋体"/>
          <w:b/>
          <w:strike/>
          <w:color w:val="auto"/>
          <w:sz w:val="21"/>
          <w:szCs w:val="21"/>
          <w:highlight w:val="none"/>
        </w:rPr>
      </w:pPr>
      <w:r>
        <w:rPr>
          <w:rFonts w:hint="eastAsia" w:cs="宋体"/>
          <w:color w:val="auto"/>
          <w:sz w:val="21"/>
          <w:szCs w:val="21"/>
          <w:highlight w:val="none"/>
        </w:rPr>
        <w:t>发包人对发包人代表的授权范围如下：</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施工组织设计和总进度计划的审核、工程变更、签证的审核、工程款的审核等</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4CDAF07">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2.4 施工现场、施工条件和基础资料的提供</w:t>
      </w:r>
    </w:p>
    <w:p w14:paraId="267CB366">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2.4.1 提供施工现场</w:t>
      </w:r>
    </w:p>
    <w:p w14:paraId="7A5FD6A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关于发包人移交施工现场的期限要求：</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开工前</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AAEAD5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2.4.2 提供施工条件</w:t>
      </w:r>
    </w:p>
    <w:p w14:paraId="3CDAC65E">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关于发包人应负责提供施工所需要的条件，包括：</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不提供，本项目施工所需要的条件及手续和工程未完全交付发包人前所有的水电费用均由承包人自行办理且相关费用已包含在合同价款中，由承包人承担</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53765ED">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2.5 资金来源证明及支付担保</w:t>
      </w:r>
    </w:p>
    <w:p w14:paraId="12E4231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发包人提供资金来源证明的期限要求：</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791997F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发包人是否提供支付担保：</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2491C8BC">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发包人提供支付担保的形式：</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3B580362">
      <w:pPr>
        <w:snapToGrid w:val="0"/>
        <w:spacing w:before="312" w:beforeLines="100" w:after="312" w:afterLines="100" w:line="360" w:lineRule="auto"/>
        <w:outlineLvl w:val="2"/>
        <w:rPr>
          <w:rFonts w:cs="宋体"/>
          <w:color w:val="auto"/>
          <w:sz w:val="21"/>
          <w:szCs w:val="21"/>
          <w:highlight w:val="none"/>
        </w:rPr>
      </w:pPr>
      <w:bookmarkStart w:id="82" w:name="_Toc351203635"/>
      <w:r>
        <w:rPr>
          <w:rFonts w:hint="eastAsia" w:cs="宋体"/>
          <w:color w:val="auto"/>
          <w:sz w:val="21"/>
          <w:szCs w:val="21"/>
          <w:highlight w:val="none"/>
        </w:rPr>
        <w:t>3</w:t>
      </w:r>
      <w:bookmarkStart w:id="83" w:name="_Toc296890986"/>
      <w:bookmarkStart w:id="84" w:name="_Toc297120458"/>
      <w:bookmarkStart w:id="85" w:name="_Toc296346659"/>
      <w:bookmarkStart w:id="86" w:name="_Toc297048344"/>
      <w:bookmarkStart w:id="87" w:name="_Toc296891198"/>
      <w:bookmarkStart w:id="88" w:name="_Toc296503158"/>
      <w:bookmarkStart w:id="89" w:name="_Toc292559363"/>
      <w:bookmarkStart w:id="90" w:name="_Toc296347157"/>
      <w:bookmarkStart w:id="91" w:name="_Toc292559868"/>
      <w:bookmarkStart w:id="92" w:name="_Toc296944497"/>
      <w:r>
        <w:rPr>
          <w:rFonts w:hint="eastAsia" w:cs="宋体"/>
          <w:color w:val="auto"/>
          <w:sz w:val="21"/>
          <w:szCs w:val="21"/>
          <w:highlight w:val="none"/>
        </w:rPr>
        <w:t>. 承包人</w:t>
      </w:r>
      <w:bookmarkEnd w:id="82"/>
    </w:p>
    <w:bookmarkEnd w:id="83"/>
    <w:bookmarkEnd w:id="84"/>
    <w:bookmarkEnd w:id="85"/>
    <w:bookmarkEnd w:id="86"/>
    <w:bookmarkEnd w:id="87"/>
    <w:bookmarkEnd w:id="88"/>
    <w:bookmarkEnd w:id="89"/>
    <w:bookmarkEnd w:id="90"/>
    <w:bookmarkEnd w:id="91"/>
    <w:bookmarkEnd w:id="92"/>
    <w:p w14:paraId="583507A7">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3.1 承包人的一般义务</w:t>
      </w:r>
    </w:p>
    <w:p w14:paraId="0FA59989">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（9）承包人提交的竣工资料的内容：</w:t>
      </w:r>
      <w:r>
        <w:rPr>
          <w:rFonts w:hint="eastAsia" w:cs="宋体"/>
          <w:color w:val="auto"/>
          <w:sz w:val="21"/>
          <w:szCs w:val="21"/>
          <w:highlight w:val="none"/>
          <w:u w:val="single"/>
        </w:rPr>
        <w:t>承包人提供全套竣工图，所有竣工图应为新图纸</w:t>
      </w:r>
      <w:r>
        <w:rPr>
          <w:rFonts w:hint="eastAsia" w:cs="宋体"/>
          <w:color w:val="auto"/>
          <w:sz w:val="21"/>
          <w:szCs w:val="21"/>
          <w:highlight w:val="none"/>
        </w:rPr>
        <w:t>。</w:t>
      </w:r>
    </w:p>
    <w:p w14:paraId="42AC2581">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承包人需要提交的竣工资料套数：</w:t>
      </w:r>
      <w:r>
        <w:rPr>
          <w:rFonts w:hint="eastAsia" w:cs="宋体"/>
          <w:color w:val="auto"/>
          <w:sz w:val="21"/>
          <w:szCs w:val="21"/>
          <w:highlight w:val="none"/>
          <w:u w:val="single"/>
        </w:rPr>
        <w:t xml:space="preserve">  按相关要求执行     </w:t>
      </w:r>
      <w:r>
        <w:rPr>
          <w:rFonts w:hint="eastAsia" w:cs="宋体"/>
          <w:color w:val="auto"/>
          <w:sz w:val="21"/>
          <w:szCs w:val="21"/>
          <w:highlight w:val="none"/>
        </w:rPr>
        <w:t>。</w:t>
      </w:r>
    </w:p>
    <w:p w14:paraId="77571BD6">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承包人提交的竣工资料的费用承担：</w:t>
      </w:r>
      <w:r>
        <w:rPr>
          <w:rFonts w:hint="eastAsia" w:cs="宋体"/>
          <w:color w:val="auto"/>
          <w:sz w:val="21"/>
          <w:szCs w:val="21"/>
          <w:highlight w:val="none"/>
          <w:u w:val="single"/>
        </w:rPr>
        <w:t>承包人承担</w:t>
      </w:r>
      <w:r>
        <w:rPr>
          <w:rFonts w:hint="eastAsia" w:cs="宋体"/>
          <w:color w:val="auto"/>
          <w:sz w:val="21"/>
          <w:szCs w:val="21"/>
          <w:highlight w:val="none"/>
        </w:rPr>
        <w:t>。</w:t>
      </w:r>
    </w:p>
    <w:p w14:paraId="36143EAE">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承包人提交的竣工资料移交时间：</w:t>
      </w:r>
      <w:r>
        <w:rPr>
          <w:rFonts w:hint="eastAsia" w:ascii="宋体" w:hAnsi="宋体" w:eastAsia="宋体" w:cs="宋体"/>
          <w:color w:val="auto"/>
          <w:sz w:val="21"/>
          <w:szCs w:val="21"/>
          <w:highlight w:val="none"/>
          <w:u w:val="single"/>
        </w:rPr>
        <w:t>工程竣工验收合格后</w:t>
      </w:r>
      <w:r>
        <w:rPr>
          <w:rFonts w:hint="eastAsia"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rPr>
        <w:t>个</w:t>
      </w:r>
      <w:r>
        <w:rPr>
          <w:rFonts w:hint="eastAsia" w:cs="宋体"/>
          <w:color w:val="auto"/>
          <w:sz w:val="21"/>
          <w:szCs w:val="21"/>
          <w:highlight w:val="none"/>
          <w:u w:val="single"/>
          <w:lang w:val="en-US" w:eastAsia="zh-CN"/>
        </w:rPr>
        <w:t>工作日内</w:t>
      </w:r>
      <w:r>
        <w:rPr>
          <w:rFonts w:hint="eastAsia" w:cs="宋体"/>
          <w:color w:val="auto"/>
          <w:sz w:val="21"/>
          <w:szCs w:val="21"/>
          <w:highlight w:val="none"/>
          <w:u w:val="single"/>
        </w:rPr>
        <w:t xml:space="preserve"> </w:t>
      </w:r>
      <w:r>
        <w:rPr>
          <w:rFonts w:hint="eastAsia" w:cs="宋体"/>
          <w:color w:val="auto"/>
          <w:sz w:val="21"/>
          <w:szCs w:val="21"/>
          <w:highlight w:val="none"/>
        </w:rPr>
        <w:t>。</w:t>
      </w:r>
    </w:p>
    <w:p w14:paraId="2B079F1D">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承包人提交的竣工资料形式要求：</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纸质材料和电子资料</w:t>
      </w:r>
      <w:r>
        <w:rPr>
          <w:rFonts w:hint="eastAsia" w:cs="宋体"/>
          <w:color w:val="auto"/>
          <w:sz w:val="21"/>
          <w:szCs w:val="21"/>
          <w:highlight w:val="none"/>
          <w:u w:val="single"/>
        </w:rPr>
        <w:t xml:space="preserve">       </w:t>
      </w:r>
      <w:r>
        <w:rPr>
          <w:rFonts w:hint="eastAsia" w:cs="宋体"/>
          <w:color w:val="auto"/>
          <w:sz w:val="21"/>
          <w:szCs w:val="21"/>
          <w:highlight w:val="none"/>
        </w:rPr>
        <w:t>。</w:t>
      </w:r>
    </w:p>
    <w:p w14:paraId="474D9596">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（10）承包人应履行的其他义务：</w:t>
      </w:r>
      <w:r>
        <w:rPr>
          <w:rFonts w:hint="eastAsia" w:ascii="宋体" w:hAnsi="宋体" w:eastAsia="宋体" w:cs="宋体"/>
          <w:color w:val="auto"/>
          <w:sz w:val="21"/>
          <w:szCs w:val="21"/>
          <w:highlight w:val="none"/>
          <w:u w:val="single"/>
        </w:rPr>
        <w:t>①工程竣工半年(含)内完成竣工结算的；②无合同纠纷等原因拖欠农民工工资、材料款，出现群访及时处理；③质量无缺陷，及时整改到位，处理及时；④施工现场服从调度或工程进度不超过合同工期或按合同期限按时移交的；⑤月工程量进度及时完成；⑥按规定提供工程资料并及时归档的；⑦须执行我市市住建、公管、人社等相关单位关于项目管理、扬尘治理、大气、农民工工资支付、工程款支付等方面的通知、规定和相关要求。</w:t>
      </w:r>
    </w:p>
    <w:p w14:paraId="3A3B3428">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3.2 项目经理</w:t>
      </w:r>
    </w:p>
    <w:p w14:paraId="1C5EE40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3.2.1 项目经理：</w:t>
      </w:r>
    </w:p>
    <w:p w14:paraId="2142AFD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姓    名：</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40F8C47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身份证号：</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73F0C0B7">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建造师执业资格等级：</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7FCF921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建造师注册证书号：</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0251C7B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建造师执业印章号：</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580699B">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安全生产考核合格证书号：</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1C133A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联系电话：</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8112A6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电子信箱：</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270DF5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通信地址：</w:t>
      </w:r>
      <w:r>
        <w:rPr>
          <w:rFonts w:hint="eastAsia" w:cs="宋体"/>
          <w:color w:val="auto"/>
          <w:sz w:val="21"/>
          <w:szCs w:val="21"/>
          <w:highlight w:val="none"/>
          <w:u w:val="single"/>
        </w:rPr>
        <w:t xml:space="preserve">                          </w:t>
      </w:r>
      <w:r>
        <w:rPr>
          <w:rFonts w:hint="eastAsia" w:cs="宋体"/>
          <w:color w:val="auto"/>
          <w:sz w:val="21"/>
          <w:szCs w:val="21"/>
          <w:highlight w:val="none"/>
        </w:rPr>
        <w:t>；</w:t>
      </w:r>
    </w:p>
    <w:p w14:paraId="2C6645F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承包人对项目经理的授权范围如下：</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3646AAF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关于项目经理每月在施工现场的时间要求：</w:t>
      </w:r>
      <w:r>
        <w:rPr>
          <w:rFonts w:hint="eastAsia" w:cs="宋体"/>
          <w:color w:val="auto"/>
          <w:sz w:val="21"/>
          <w:szCs w:val="21"/>
          <w:highlight w:val="none"/>
          <w:u w:val="single"/>
        </w:rPr>
        <w:t>见《专用合同条款数据表》。</w:t>
      </w:r>
    </w:p>
    <w:p w14:paraId="7D9415D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承包人未提交劳动合同，以及没有为项目经理缴纳社会保险证明的违约责任：</w:t>
      </w:r>
      <w:r>
        <w:rPr>
          <w:rFonts w:hint="eastAsia" w:cs="宋体"/>
          <w:color w:val="auto"/>
          <w:sz w:val="21"/>
          <w:szCs w:val="21"/>
          <w:highlight w:val="none"/>
          <w:u w:val="single"/>
        </w:rPr>
        <w:t xml:space="preserve">            </w:t>
      </w:r>
      <w:r>
        <w:rPr>
          <w:rFonts w:hint="eastAsia" w:cs="宋体"/>
          <w:color w:val="auto"/>
          <w:sz w:val="21"/>
          <w:szCs w:val="21"/>
          <w:highlight w:val="none"/>
        </w:rPr>
        <w:t>。</w:t>
      </w:r>
    </w:p>
    <w:p w14:paraId="247FDD8D">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项目经理未经批准，擅自离开施工现场的违约责任：</w:t>
      </w:r>
      <w:r>
        <w:rPr>
          <w:rFonts w:hint="eastAsia" w:cs="宋体"/>
          <w:color w:val="auto"/>
          <w:sz w:val="21"/>
          <w:szCs w:val="21"/>
          <w:highlight w:val="none"/>
          <w:u w:val="single"/>
        </w:rPr>
        <w:t>承包人未能按照承诺到岗尽职的，发包人将视情况严重程度对其作出相应处理，给予警告并发出整改通知。如仍未及时整改，发包人有权责令其停工整改直至解除合同。发包人还将停止支付工程款项，扣留任何未付的工程进度款项补偿发包人的有关损失或工期延误的损失，并就此向承包人索赔。</w:t>
      </w:r>
    </w:p>
    <w:p w14:paraId="3A6C25D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3.2.3 承包人擅自更换项目经理的违约责任：</w:t>
      </w:r>
    </w:p>
    <w:p w14:paraId="71FD92B5">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u w:val="single"/>
        </w:rPr>
        <w:t>承包人不得擅自更换投标时所报项目经理，否则发包人有权解除合同，由此造成的损失由承包人自行承担，承包人还应赔偿由此造成发包人的全部损失。确需更换的须在签订合同后，报经发包人同意后按相关规定办理，更换后的人员不得低于承包人投标时所报人员资质和技术水平。</w:t>
      </w:r>
    </w:p>
    <w:p w14:paraId="452B66B3">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3.2.4 承包人无正当理由拒绝更换项目经理的违约责任：</w:t>
      </w:r>
      <w:r>
        <w:rPr>
          <w:rFonts w:hint="eastAsia" w:cs="宋体"/>
          <w:color w:val="auto"/>
          <w:sz w:val="21"/>
          <w:szCs w:val="21"/>
          <w:highlight w:val="none"/>
          <w:u w:val="single"/>
        </w:rPr>
        <w:t xml:space="preserve">  承包人不得擅自更换</w:t>
      </w:r>
      <w:r>
        <w:rPr>
          <w:rFonts w:hint="eastAsia" w:cs="宋体"/>
          <w:color w:val="auto"/>
          <w:sz w:val="21"/>
          <w:szCs w:val="21"/>
          <w:highlight w:val="none"/>
          <w:u w:val="single"/>
          <w:lang w:val="en-US" w:eastAsia="zh-CN"/>
        </w:rPr>
        <w:t>响应</w:t>
      </w:r>
      <w:r>
        <w:rPr>
          <w:rFonts w:hint="eastAsia" w:cs="宋体"/>
          <w:color w:val="auto"/>
          <w:sz w:val="21"/>
          <w:szCs w:val="21"/>
          <w:highlight w:val="none"/>
          <w:u w:val="single"/>
        </w:rPr>
        <w:t>时所报项目经理，否则发包人有权解除合同，由此造成的损失由承包人自行承担，承包人还应赔偿由此造成发包人的全部损失。确需更换的须在签订合同后，报经发包人同意后按相关规定办理，更换后的人员不得低于承包人投标时所报人员资质和技术水平。</w:t>
      </w:r>
    </w:p>
    <w:p w14:paraId="5F3DC3D2">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3.3 承包人人员</w:t>
      </w:r>
    </w:p>
    <w:p w14:paraId="1AAC543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3.3.1 承包人提交项目管理机构及施工现场管理人员安排报告的期限：</w:t>
      </w:r>
      <w:r>
        <w:rPr>
          <w:rFonts w:hint="eastAsia" w:cs="宋体"/>
          <w:color w:val="auto"/>
          <w:sz w:val="21"/>
          <w:szCs w:val="21"/>
          <w:highlight w:val="none"/>
          <w:u w:val="single"/>
        </w:rPr>
        <w:t xml:space="preserve"> </w:t>
      </w:r>
      <w:r>
        <w:rPr>
          <w:rFonts w:hint="eastAsia" w:ascii="宋体" w:cs="宋体"/>
          <w:color w:val="auto"/>
          <w:sz w:val="21"/>
          <w:szCs w:val="21"/>
          <w:highlight w:val="none"/>
          <w:u w:val="single"/>
          <w:shd w:val="clear" w:color="auto" w:fill="auto"/>
        </w:rPr>
        <w:t>承包人应在</w:t>
      </w:r>
      <w:r>
        <w:rPr>
          <w:rFonts w:hint="eastAsia"/>
          <w:color w:val="auto"/>
          <w:sz w:val="21"/>
          <w:szCs w:val="21"/>
          <w:highlight w:val="none"/>
          <w:u w:val="single"/>
          <w:shd w:val="clear" w:color="auto" w:fill="auto"/>
        </w:rPr>
        <w:t>合同签订</w:t>
      </w:r>
      <w:r>
        <w:rPr>
          <w:rFonts w:hint="eastAsia" w:ascii="宋体" w:cs="宋体"/>
          <w:color w:val="auto"/>
          <w:sz w:val="21"/>
          <w:szCs w:val="21"/>
          <w:highlight w:val="none"/>
          <w:u w:val="single"/>
          <w:shd w:val="clear" w:color="auto" w:fill="auto"/>
          <w:lang w:val="en-US" w:eastAsia="zh-CN"/>
        </w:rPr>
        <w:t>时</w:t>
      </w:r>
      <w:r>
        <w:rPr>
          <w:rFonts w:hint="eastAsia" w:ascii="宋体" w:cs="宋体"/>
          <w:color w:val="auto"/>
          <w:sz w:val="21"/>
          <w:szCs w:val="21"/>
          <w:highlight w:val="none"/>
          <w:u w:val="single"/>
          <w:shd w:val="clear" w:color="auto" w:fill="auto"/>
        </w:rPr>
        <w:t>，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D0E1EC3">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3.3.3 承包人无正当理由拒绝撤换主要施工管理人员的违约责任：</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发包人可以要求承包人更换其认为不称职或不符合要求的项目主要施工管理人员，承包人应予以执行。承包人必须在收到发包人更换项目施工管理人员书面通知的7天内负责更换，更换的项目施工管理人员应得到发包人的书面确认。承包人无正当理由拒绝更换项目施工管理人员的，自承包人接到发包人更换项目施工管理人员通知之第8日起，承包人向发包人支付违约金5000元/天，直至更换符合发包人要求的项目施工管理人员为止，由此增加的费用和（或）延误的工期及其它责任由承包人承担</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0A7908D">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3.3.4 承包人主要施工管理人员离开施工现场的批准要求：</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需离开时必须事先征得发包人和监理人同意后方可离开</w:t>
      </w:r>
      <w:r>
        <w:rPr>
          <w:rFonts w:hint="eastAsia" w:cs="宋体"/>
          <w:color w:val="auto"/>
          <w:sz w:val="21"/>
          <w:szCs w:val="21"/>
          <w:highlight w:val="none"/>
        </w:rPr>
        <w:t>。</w:t>
      </w:r>
    </w:p>
    <w:p w14:paraId="7AF1009B">
      <w:pPr>
        <w:adjustRightInd w:val="0"/>
        <w:snapToGrid w:val="0"/>
        <w:spacing w:line="360" w:lineRule="auto"/>
        <w:ind w:firstLine="424" w:firstLineChars="202"/>
        <w:rPr>
          <w:rFonts w:cs="宋体"/>
          <w:color w:val="auto"/>
          <w:sz w:val="21"/>
          <w:szCs w:val="21"/>
          <w:highlight w:val="none"/>
        </w:rPr>
      </w:pPr>
      <w:r>
        <w:rPr>
          <w:rFonts w:hint="eastAsia" w:cs="宋体"/>
          <w:color w:val="auto"/>
          <w:sz w:val="21"/>
          <w:szCs w:val="21"/>
          <w:highlight w:val="none"/>
        </w:rPr>
        <w:t>3.3.5 承包人擅自更换主要施工管理人员的违约责任：</w:t>
      </w:r>
      <w:r>
        <w:rPr>
          <w:rFonts w:hint="eastAsia" w:cs="宋体"/>
          <w:color w:val="auto"/>
          <w:sz w:val="21"/>
          <w:szCs w:val="21"/>
          <w:highlight w:val="none"/>
          <w:u w:val="single"/>
        </w:rPr>
        <w:t>承包人不得擅自更换主要管理人员，否则发包人有权解除合同，由此造成的损失由承包人自行承担，承包人还应赔偿由此造成发包人的全部损失。确需更换的须在签订合同后，报经发包人同意后按相关规定办理，更换后的人员不得低于承包人投标时所报人员资质和技术水平。发包人如认为有必要，可要求对上述人员中的部分人员作出更好的调整。</w:t>
      </w:r>
    </w:p>
    <w:p w14:paraId="3E349FB1">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承包人主要施工管理人员擅自离开施工现场的违约责任：</w:t>
      </w:r>
      <w:r>
        <w:rPr>
          <w:rFonts w:hint="eastAsia" w:cs="宋体"/>
          <w:color w:val="auto"/>
          <w:sz w:val="21"/>
          <w:szCs w:val="21"/>
          <w:highlight w:val="none"/>
          <w:u w:val="single"/>
        </w:rPr>
        <w:t xml:space="preserve"> </w:t>
      </w:r>
      <w:r>
        <w:rPr>
          <w:color w:val="auto"/>
          <w:spacing w:val="1"/>
          <w:sz w:val="21"/>
          <w:szCs w:val="21"/>
          <w:highlight w:val="none"/>
          <w:u w:val="single" w:color="auto"/>
        </w:rPr>
        <w:t>承包人主要施工管理人员擅自离开施</w:t>
      </w:r>
      <w:r>
        <w:rPr>
          <w:color w:val="auto"/>
          <w:sz w:val="21"/>
          <w:szCs w:val="21"/>
          <w:highlight w:val="none"/>
          <w:u w:val="single" w:color="auto"/>
        </w:rPr>
        <w:t>工现场的，承包人向发</w:t>
      </w:r>
      <w:r>
        <w:rPr>
          <w:color w:val="auto"/>
          <w:spacing w:val="-1"/>
          <w:sz w:val="21"/>
          <w:szCs w:val="21"/>
          <w:highlight w:val="none"/>
          <w:u w:val="single" w:color="auto"/>
        </w:rPr>
        <w:t>包人支付违约金 2000 元/人·天</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5CF8D6A">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3</w:t>
      </w:r>
      <w:bookmarkStart w:id="93" w:name="_Toc297216151"/>
      <w:bookmarkStart w:id="94" w:name="_Toc292559364"/>
      <w:bookmarkStart w:id="95" w:name="_Toc297120459"/>
      <w:bookmarkStart w:id="96" w:name="_Toc304295523"/>
      <w:bookmarkStart w:id="97" w:name="_Toc300934945"/>
      <w:bookmarkStart w:id="98" w:name="_Toc303539102"/>
      <w:bookmarkStart w:id="99" w:name="_Toc296890987"/>
      <w:bookmarkStart w:id="100" w:name="_Toc296891199"/>
      <w:bookmarkStart w:id="101" w:name="_Toc312677988"/>
      <w:bookmarkStart w:id="102" w:name="_Toc297048345"/>
      <w:bookmarkStart w:id="103" w:name="_Toc296346660"/>
      <w:bookmarkStart w:id="104" w:name="_Toc296944498"/>
      <w:bookmarkStart w:id="105" w:name="_Toc297123492"/>
      <w:bookmarkStart w:id="106" w:name="_Toc292559869"/>
      <w:bookmarkStart w:id="107" w:name="_Toc296347158"/>
      <w:bookmarkStart w:id="108" w:name="_Toc296503159"/>
      <w:r>
        <w:rPr>
          <w:rFonts w:hint="eastAsia" w:cs="宋体"/>
          <w:bCs/>
          <w:color w:val="auto"/>
          <w:sz w:val="21"/>
          <w:szCs w:val="21"/>
          <w:highlight w:val="none"/>
        </w:rPr>
        <w:t>.5 分包</w:t>
      </w:r>
    </w:p>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14:paraId="5B7A0331">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w:t>
      </w:r>
      <w:bookmarkStart w:id="109" w:name="_Toc303539103"/>
      <w:bookmarkStart w:id="110" w:name="_Toc300934946"/>
      <w:bookmarkStart w:id="111" w:name="_Toc296346661"/>
      <w:bookmarkStart w:id="112" w:name="_Toc297216152"/>
      <w:bookmarkStart w:id="113" w:name="_Toc296891200"/>
      <w:bookmarkStart w:id="114" w:name="_Toc292559870"/>
      <w:bookmarkStart w:id="115" w:name="_Toc296944499"/>
      <w:bookmarkStart w:id="116" w:name="_Toc296890988"/>
      <w:bookmarkStart w:id="117" w:name="_Toc297048346"/>
      <w:bookmarkStart w:id="118" w:name="_Toc296347159"/>
      <w:bookmarkStart w:id="119" w:name="_Toc296503160"/>
      <w:bookmarkStart w:id="120" w:name="_Toc297123493"/>
      <w:bookmarkStart w:id="121" w:name="_Toc297120460"/>
      <w:bookmarkStart w:id="122" w:name="_Toc292559365"/>
      <w:bookmarkStart w:id="123" w:name="_Toc304295524"/>
      <w:bookmarkStart w:id="124" w:name="_Toc318581158"/>
      <w:bookmarkStart w:id="125" w:name="_Toc312677989"/>
      <w:r>
        <w:rPr>
          <w:rFonts w:hint="eastAsia" w:cs="宋体"/>
          <w:color w:val="auto"/>
          <w:sz w:val="21"/>
          <w:szCs w:val="21"/>
          <w:highlight w:val="none"/>
        </w:rPr>
        <w:t>.5.1 分包的一般约定</w:t>
      </w:r>
    </w:p>
    <w:p w14:paraId="516215E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禁止分包的工程包括：</w:t>
      </w:r>
      <w:r>
        <w:rPr>
          <w:rFonts w:hint="eastAsia" w:cs="宋体"/>
          <w:color w:val="auto"/>
          <w:sz w:val="21"/>
          <w:szCs w:val="21"/>
          <w:highlight w:val="none"/>
          <w:u w:val="single"/>
        </w:rPr>
        <w:t xml:space="preserve">   </w:t>
      </w:r>
      <w:r>
        <w:rPr>
          <w:color w:val="auto"/>
          <w:spacing w:val="-7"/>
          <w:sz w:val="21"/>
          <w:szCs w:val="21"/>
          <w:highlight w:val="none"/>
          <w:u w:val="single" w:color="auto"/>
        </w:rPr>
        <w:t>按照发包人及相关国家规范要求</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E79A49B">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主体结构、关键性工作的范围：</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Start w:id="126" w:name="_Toc304295525"/>
      <w:bookmarkStart w:id="127" w:name="_Toc296503161"/>
      <w:bookmarkStart w:id="128" w:name="_Toc303539104"/>
      <w:bookmarkStart w:id="129" w:name="_Toc300934947"/>
      <w:bookmarkStart w:id="130" w:name="_Toc296890989"/>
      <w:bookmarkStart w:id="131" w:name="_Toc296347160"/>
      <w:bookmarkStart w:id="132" w:name="_Toc296891201"/>
      <w:bookmarkStart w:id="133" w:name="_Toc297123494"/>
      <w:bookmarkStart w:id="134" w:name="_Toc296346662"/>
      <w:bookmarkStart w:id="135" w:name="_Toc296944500"/>
      <w:bookmarkStart w:id="136" w:name="_Toc297048347"/>
      <w:bookmarkStart w:id="137" w:name="_Toc297216153"/>
      <w:bookmarkStart w:id="138" w:name="_Toc297120461"/>
      <w:r>
        <w:rPr>
          <w:rFonts w:hint="eastAsia" w:cs="宋体"/>
          <w:color w:val="auto"/>
          <w:sz w:val="21"/>
          <w:szCs w:val="21"/>
          <w:highlight w:val="none"/>
          <w:u w:val="single"/>
        </w:rPr>
        <w:t xml:space="preserve"> </w:t>
      </w:r>
      <w:r>
        <w:rPr>
          <w:color w:val="auto"/>
          <w:spacing w:val="-7"/>
          <w:sz w:val="21"/>
          <w:szCs w:val="21"/>
          <w:highlight w:val="none"/>
          <w:u w:val="single" w:color="auto"/>
        </w:rPr>
        <w:t>按照发包人及相关国家规范要求</w:t>
      </w:r>
      <w:r>
        <w:rPr>
          <w:rFonts w:hint="eastAsia" w:cs="宋体"/>
          <w:color w:val="auto"/>
          <w:sz w:val="21"/>
          <w:szCs w:val="21"/>
          <w:highlight w:val="none"/>
          <w:u w:val="single"/>
        </w:rPr>
        <w:t xml:space="preserve"> </w:t>
      </w:r>
      <w:r>
        <w:rPr>
          <w:rFonts w:hint="eastAsia" w:cs="宋体"/>
          <w:color w:val="auto"/>
          <w:sz w:val="21"/>
          <w:szCs w:val="21"/>
          <w:highlight w:val="none"/>
        </w:rPr>
        <w:t>。</w:t>
      </w:r>
    </w:p>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14:paraId="0C4D49C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w:t>
      </w:r>
      <w:bookmarkStart w:id="139" w:name="_Toc312677990"/>
      <w:bookmarkStart w:id="140" w:name="_Toc318581159"/>
      <w:r>
        <w:rPr>
          <w:rFonts w:hint="eastAsia" w:cs="宋体"/>
          <w:color w:val="auto"/>
          <w:sz w:val="21"/>
          <w:szCs w:val="21"/>
          <w:highlight w:val="none"/>
        </w:rPr>
        <w:t>.5.2 分包的确定</w:t>
      </w:r>
    </w:p>
    <w:p w14:paraId="1C1411CF">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u w:val="single"/>
        </w:rPr>
      </w:pPr>
      <w:r>
        <w:rPr>
          <w:rFonts w:hint="eastAsia" w:cs="宋体"/>
          <w:color w:val="auto"/>
          <w:sz w:val="21"/>
          <w:szCs w:val="21"/>
          <w:highlight w:val="none"/>
        </w:rPr>
        <w:t>允许分包的专业工程包括：</w:t>
      </w:r>
      <w:r>
        <w:rPr>
          <w:rFonts w:hint="eastAsia" w:ascii="宋体" w:cs="宋体"/>
          <w:color w:val="auto"/>
          <w:sz w:val="21"/>
          <w:szCs w:val="21"/>
          <w:highlight w:val="none"/>
          <w:u w:val="single"/>
          <w:shd w:val="clear" w:color="auto" w:fill="auto"/>
        </w:rPr>
        <w:t>主专业工程暂估价中涉及的专业工程、住房和城乡建设部发布的建市[2014]159 号文件《建筑业企业资质标准》中的专业承包序列中涉及的专业工程</w:t>
      </w:r>
      <w:r>
        <w:rPr>
          <w:rFonts w:hint="eastAsia" w:cs="宋体"/>
          <w:color w:val="auto"/>
          <w:sz w:val="21"/>
          <w:szCs w:val="21"/>
          <w:highlight w:val="none"/>
        </w:rPr>
        <w:t>。</w:t>
      </w:r>
    </w:p>
    <w:p w14:paraId="0B5E2D9D">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u w:val="single"/>
        </w:rPr>
      </w:pPr>
      <w:r>
        <w:rPr>
          <w:rFonts w:hint="eastAsia" w:cs="宋体"/>
          <w:color w:val="auto"/>
          <w:sz w:val="21"/>
          <w:szCs w:val="21"/>
          <w:highlight w:val="none"/>
        </w:rPr>
        <w:t>其他关于分包的约定：</w:t>
      </w:r>
      <w:r>
        <w:rPr>
          <w:rFonts w:hint="eastAsia" w:ascii="宋体" w:cs="宋体"/>
          <w:color w:val="auto"/>
          <w:sz w:val="21"/>
          <w:szCs w:val="21"/>
          <w:highlight w:val="none"/>
          <w:u w:val="single"/>
          <w:shd w:val="clear" w:color="auto" w:fill="auto"/>
        </w:rPr>
        <w:t>劳务分包人或专业分包人完成的工作经发包人或监理人检查屡次（3次及以上）发生同类缺陷或错误， 发包人有权指令承包人更换此专业承包人，承包人必须在接到指令后立即执行，不能以发包人同意该分包行为为由推阻， 相关一切工期延误和费用损失等均由承包人承担</w:t>
      </w:r>
      <w:r>
        <w:rPr>
          <w:rFonts w:hint="eastAsia" w:cs="宋体"/>
          <w:color w:val="auto"/>
          <w:sz w:val="21"/>
          <w:szCs w:val="21"/>
          <w:highlight w:val="none"/>
        </w:rPr>
        <w:t>。</w:t>
      </w:r>
    </w:p>
    <w:p w14:paraId="4F6BA811">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3.5.4 分包合同价款</w:t>
      </w:r>
    </w:p>
    <w:p w14:paraId="32977BE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关于分包合同价款支付的约定：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执行通用条款</w:t>
      </w:r>
      <w:r>
        <w:rPr>
          <w:rFonts w:hint="eastAsia" w:cs="宋体"/>
          <w:color w:val="auto"/>
          <w:sz w:val="21"/>
          <w:szCs w:val="21"/>
          <w:highlight w:val="none"/>
          <w:u w:val="single"/>
        </w:rPr>
        <w:t xml:space="preserve"> </w:t>
      </w:r>
      <w:r>
        <w:rPr>
          <w:rFonts w:hint="eastAsia" w:cs="宋体"/>
          <w:color w:val="auto"/>
          <w:sz w:val="21"/>
          <w:szCs w:val="21"/>
          <w:highlight w:val="none"/>
        </w:rPr>
        <w:t>。</w:t>
      </w:r>
    </w:p>
    <w:bookmarkEnd w:id="139"/>
    <w:bookmarkEnd w:id="140"/>
    <w:p w14:paraId="272FA0DE">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3.6 工程照管与成品、半成品保护</w:t>
      </w:r>
    </w:p>
    <w:p w14:paraId="208380ED">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承包人负责照管工程及工程相关的材料、工程设备的起始时间：</w:t>
      </w:r>
      <w:r>
        <w:rPr>
          <w:rFonts w:hint="eastAsia" w:cs="宋体"/>
          <w:color w:val="auto"/>
          <w:sz w:val="21"/>
          <w:szCs w:val="21"/>
          <w:highlight w:val="none"/>
          <w:u w:val="single"/>
        </w:rPr>
        <w:t>自发包人向承包人移交施工现场之日起，承包人应负责照管工程及工程相关的材料、工程设备，直到颁发工程接收证书之日止。</w:t>
      </w:r>
    </w:p>
    <w:p w14:paraId="29BDA9DF">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3.7 履约保证金</w:t>
      </w:r>
    </w:p>
    <w:p w14:paraId="5372F62B">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承包人是否提供履约保证金：</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5DFDD088">
      <w:pPr>
        <w:adjustRightInd w:val="0"/>
        <w:snapToGrid w:val="0"/>
        <w:spacing w:line="360" w:lineRule="auto"/>
        <w:ind w:left="-70" w:leftChars="-35" w:firstLine="497" w:firstLineChars="237"/>
        <w:rPr>
          <w:rFonts w:cs="宋体"/>
          <w:b/>
          <w:color w:val="auto"/>
          <w:sz w:val="21"/>
          <w:szCs w:val="21"/>
          <w:highlight w:val="none"/>
        </w:rPr>
      </w:pPr>
      <w:r>
        <w:rPr>
          <w:rFonts w:hint="eastAsia" w:cs="宋体"/>
          <w:color w:val="auto"/>
          <w:sz w:val="21"/>
          <w:szCs w:val="21"/>
          <w:highlight w:val="none"/>
        </w:rPr>
        <w:t>承包人提供履约保证金的形式：</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668D2D16">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履约保证金的金额：</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6FA77AA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履约保证金提交期限的要求：</w:t>
      </w:r>
      <w:r>
        <w:rPr>
          <w:rFonts w:hint="eastAsia" w:cs="宋体"/>
          <w:color w:val="auto"/>
          <w:sz w:val="21"/>
          <w:szCs w:val="21"/>
          <w:highlight w:val="none"/>
          <w:u w:val="single"/>
        </w:rPr>
        <w:t>见《专用合同条款数据表》。</w:t>
      </w:r>
    </w:p>
    <w:p w14:paraId="4F5271BC">
      <w:pPr>
        <w:adjustRightInd w:val="0"/>
        <w:snapToGrid w:val="0"/>
        <w:spacing w:line="360" w:lineRule="auto"/>
        <w:ind w:firstLine="420" w:firstLineChars="200"/>
        <w:rPr>
          <w:rFonts w:cs="宋体"/>
          <w:strike/>
          <w:color w:val="auto"/>
          <w:sz w:val="21"/>
          <w:szCs w:val="21"/>
          <w:highlight w:val="none"/>
        </w:rPr>
      </w:pPr>
      <w:r>
        <w:rPr>
          <w:rFonts w:hint="eastAsia" w:cs="宋体"/>
          <w:bCs/>
          <w:snapToGrid w:val="0"/>
          <w:color w:val="auto"/>
          <w:sz w:val="21"/>
          <w:szCs w:val="21"/>
          <w:highlight w:val="none"/>
        </w:rPr>
        <w:t>履约保证金退还时限：</w:t>
      </w:r>
      <w:r>
        <w:rPr>
          <w:rFonts w:hint="eastAsia" w:cs="宋体"/>
          <w:color w:val="auto"/>
          <w:sz w:val="21"/>
          <w:szCs w:val="21"/>
          <w:highlight w:val="none"/>
          <w:u w:val="single"/>
        </w:rPr>
        <w:t>见《专用合同条款数据表》。</w:t>
      </w:r>
    </w:p>
    <w:p w14:paraId="6563A30F">
      <w:pPr>
        <w:snapToGrid w:val="0"/>
        <w:spacing w:before="312" w:beforeLines="100" w:after="312" w:afterLines="100" w:line="360" w:lineRule="auto"/>
        <w:outlineLvl w:val="2"/>
        <w:rPr>
          <w:rFonts w:cs="宋体"/>
          <w:color w:val="auto"/>
          <w:sz w:val="21"/>
          <w:szCs w:val="21"/>
          <w:highlight w:val="none"/>
        </w:rPr>
      </w:pPr>
      <w:bookmarkStart w:id="141" w:name="_Toc351203636"/>
      <w:r>
        <w:rPr>
          <w:rFonts w:hint="eastAsia" w:cs="宋体"/>
          <w:color w:val="auto"/>
          <w:sz w:val="21"/>
          <w:szCs w:val="21"/>
          <w:highlight w:val="none"/>
        </w:rPr>
        <w:t>4</w:t>
      </w:r>
      <w:bookmarkStart w:id="142" w:name="_Toc296944501"/>
      <w:bookmarkStart w:id="143" w:name="_Toc292559366"/>
      <w:bookmarkStart w:id="144" w:name="_Toc296503162"/>
      <w:bookmarkStart w:id="145" w:name="_Toc297048348"/>
      <w:bookmarkStart w:id="146" w:name="_Toc296346663"/>
      <w:bookmarkStart w:id="147" w:name="_Toc297120462"/>
      <w:bookmarkStart w:id="148" w:name="_Toc292559871"/>
      <w:bookmarkStart w:id="149" w:name="_Toc296347161"/>
      <w:bookmarkStart w:id="150" w:name="_Toc296891202"/>
      <w:bookmarkStart w:id="151" w:name="_Toc267251413"/>
      <w:bookmarkStart w:id="152" w:name="_Toc296890990"/>
      <w:r>
        <w:rPr>
          <w:rFonts w:hint="eastAsia" w:cs="宋体"/>
          <w:color w:val="auto"/>
          <w:sz w:val="21"/>
          <w:szCs w:val="21"/>
          <w:highlight w:val="none"/>
        </w:rPr>
        <w:t>. 监</w:t>
      </w:r>
      <w:bookmarkEnd w:id="142"/>
      <w:bookmarkEnd w:id="143"/>
      <w:bookmarkEnd w:id="144"/>
      <w:bookmarkEnd w:id="145"/>
      <w:bookmarkEnd w:id="146"/>
      <w:bookmarkEnd w:id="147"/>
      <w:bookmarkEnd w:id="148"/>
      <w:bookmarkEnd w:id="149"/>
      <w:bookmarkEnd w:id="150"/>
      <w:bookmarkEnd w:id="151"/>
      <w:bookmarkEnd w:id="152"/>
      <w:r>
        <w:rPr>
          <w:rFonts w:hint="eastAsia" w:cs="宋体"/>
          <w:color w:val="auto"/>
          <w:sz w:val="21"/>
          <w:szCs w:val="21"/>
          <w:highlight w:val="none"/>
        </w:rPr>
        <w:t>理人</w:t>
      </w:r>
      <w:bookmarkEnd w:id="141"/>
    </w:p>
    <w:p w14:paraId="26F6A71F">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4.1 监理人的一般规定</w:t>
      </w:r>
    </w:p>
    <w:p w14:paraId="10B44F2E">
      <w:pPr>
        <w:adjustRightInd w:val="0"/>
        <w:snapToGrid w:val="0"/>
        <w:spacing w:line="360" w:lineRule="auto"/>
        <w:ind w:firstLine="420" w:firstLineChars="200"/>
        <w:rPr>
          <w:rFonts w:cs="宋体"/>
          <w:b/>
          <w:color w:val="auto"/>
          <w:sz w:val="21"/>
          <w:szCs w:val="21"/>
          <w:highlight w:val="none"/>
          <w:u w:val="single"/>
        </w:rPr>
      </w:pPr>
      <w:r>
        <w:rPr>
          <w:rFonts w:hint="eastAsia" w:cs="宋体"/>
          <w:color w:val="auto"/>
          <w:sz w:val="21"/>
          <w:szCs w:val="21"/>
          <w:highlight w:val="none"/>
        </w:rPr>
        <w:t>关于监理人的监理内容：</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详见监理合同</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A1E289F">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关于监理人的监理权限：</w:t>
      </w:r>
      <w:r>
        <w:rPr>
          <w:rFonts w:hint="eastAsia" w:ascii="宋体" w:hAnsi="宋体" w:eastAsia="宋体" w:cs="宋体"/>
          <w:color w:val="auto"/>
          <w:sz w:val="21"/>
          <w:szCs w:val="21"/>
          <w:highlight w:val="none"/>
          <w:u w:val="single"/>
        </w:rPr>
        <w:t>工程质量的监督权；工程上使用的材料和施工质量检验权、确认权；工程施工进度、安全的检查、监督权；工程款支付的审核权；向承包人提出施工组织设计和技术方案的建议权；发包人和承包人间的组织协调的主持权；撤换不合格的工程建设分包单位和注册建造师及有关人员的建议权；分包单位资质及能力的审查权及《建设工程监理规范》规定的法定职权等。</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5BD05B1">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关于监理人在施工现场的办公场所、生活场所的提供和费用承担的约定：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承包人提供和承担，含在签约合同价之内，同时为跟踪审计人员在施工现场提供必要的办公场所、办公家具、办公设备等</w:t>
      </w:r>
      <w:r>
        <w:rPr>
          <w:rFonts w:hint="eastAsia" w:cs="宋体"/>
          <w:color w:val="auto"/>
          <w:sz w:val="21"/>
          <w:szCs w:val="21"/>
          <w:highlight w:val="none"/>
        </w:rPr>
        <w:t>。</w:t>
      </w:r>
    </w:p>
    <w:p w14:paraId="17D5AF0F">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4.2 监理人员</w:t>
      </w:r>
    </w:p>
    <w:p w14:paraId="7C97EA3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总监理工程师：</w:t>
      </w:r>
    </w:p>
    <w:p w14:paraId="65C13343">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姓    名：</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详见监理合同</w:t>
      </w:r>
      <w:r>
        <w:rPr>
          <w:rFonts w:hint="eastAsia" w:cs="宋体"/>
          <w:color w:val="auto"/>
          <w:sz w:val="21"/>
          <w:szCs w:val="21"/>
          <w:highlight w:val="none"/>
          <w:u w:val="single"/>
        </w:rPr>
        <w:t xml:space="preserve">     </w:t>
      </w:r>
      <w:r>
        <w:rPr>
          <w:rFonts w:hint="eastAsia" w:cs="宋体"/>
          <w:color w:val="auto"/>
          <w:sz w:val="21"/>
          <w:szCs w:val="21"/>
          <w:highlight w:val="none"/>
        </w:rPr>
        <w:t>；</w:t>
      </w:r>
    </w:p>
    <w:p w14:paraId="41248411">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职    务：</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FA25B4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监理工程师执业资格证书号：</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505560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联系电话：</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3310FE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电子信箱：</w:t>
      </w:r>
      <w:r>
        <w:rPr>
          <w:rFonts w:hint="eastAsia" w:cs="宋体"/>
          <w:color w:val="auto"/>
          <w:sz w:val="21"/>
          <w:szCs w:val="21"/>
          <w:highlight w:val="none"/>
          <w:u w:val="single"/>
        </w:rPr>
        <w:t xml:space="preserve">                            </w:t>
      </w:r>
      <w:r>
        <w:rPr>
          <w:rFonts w:hint="eastAsia" w:cs="宋体"/>
          <w:color w:val="auto"/>
          <w:sz w:val="21"/>
          <w:szCs w:val="21"/>
          <w:highlight w:val="none"/>
        </w:rPr>
        <w:t>；</w:t>
      </w:r>
    </w:p>
    <w:p w14:paraId="712FFB4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通信地址：</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AEBBF1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关于监理人的其他约定：</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26C38BA">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4.4 商定或确定</w:t>
      </w:r>
    </w:p>
    <w:p w14:paraId="2EF24F8F">
      <w:pPr>
        <w:adjustRightInd w:val="0"/>
        <w:snapToGrid w:val="0"/>
        <w:spacing w:line="360" w:lineRule="auto"/>
        <w:ind w:firstLine="420" w:firstLineChars="200"/>
        <w:rPr>
          <w:rFonts w:cs="宋体"/>
          <w:color w:val="auto"/>
          <w:sz w:val="21"/>
          <w:szCs w:val="21"/>
          <w:highlight w:val="none"/>
        </w:rPr>
      </w:pPr>
      <w:bookmarkStart w:id="153" w:name="_Toc267251418"/>
      <w:r>
        <w:rPr>
          <w:rFonts w:hint="eastAsia" w:cs="宋体"/>
          <w:color w:val="auto"/>
          <w:sz w:val="21"/>
          <w:szCs w:val="21"/>
          <w:highlight w:val="none"/>
        </w:rPr>
        <w:t>在发包人和承包人不能通过协商达成一致意见时，发包人授权监理人对以下事项进行确定：</w:t>
      </w:r>
    </w:p>
    <w:p w14:paraId="1DB96B72">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bookmarkStart w:id="154" w:name="_Toc351203637"/>
      <w:r>
        <w:rPr>
          <w:rFonts w:hint="eastAsia" w:cs="宋体"/>
          <w:color w:val="auto"/>
          <w:sz w:val="21"/>
          <w:szCs w:val="21"/>
          <w:highlight w:val="none"/>
        </w:rPr>
        <w:t>（1）</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施工方案</w:t>
      </w:r>
      <w:r>
        <w:rPr>
          <w:rFonts w:hint="eastAsia" w:cs="宋体"/>
          <w:color w:val="auto"/>
          <w:sz w:val="21"/>
          <w:szCs w:val="21"/>
          <w:highlight w:val="none"/>
          <w:u w:val="single"/>
        </w:rPr>
        <w:t xml:space="preserve">     </w:t>
      </w:r>
      <w:r>
        <w:rPr>
          <w:rFonts w:hint="eastAsia" w:cs="宋体"/>
          <w:color w:val="auto"/>
          <w:sz w:val="21"/>
          <w:szCs w:val="21"/>
          <w:highlight w:val="none"/>
        </w:rPr>
        <w:t>；</w:t>
      </w:r>
    </w:p>
    <w:p w14:paraId="2057D788">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（2）</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索赔事项等</w:t>
      </w:r>
      <w:r>
        <w:rPr>
          <w:rFonts w:hint="eastAsia" w:cs="宋体"/>
          <w:color w:val="auto"/>
          <w:sz w:val="21"/>
          <w:szCs w:val="21"/>
          <w:highlight w:val="none"/>
          <w:u w:val="single"/>
        </w:rPr>
        <w:t xml:space="preserve">   </w:t>
      </w:r>
      <w:r>
        <w:rPr>
          <w:rFonts w:hint="eastAsia" w:cs="宋体"/>
          <w:color w:val="auto"/>
          <w:sz w:val="21"/>
          <w:szCs w:val="21"/>
          <w:highlight w:val="none"/>
        </w:rPr>
        <w:t>；</w:t>
      </w:r>
    </w:p>
    <w:p w14:paraId="212FC785">
      <w:pPr>
        <w:snapToGrid w:val="0"/>
        <w:spacing w:before="312" w:beforeLines="100" w:after="312" w:afterLines="100" w:line="360" w:lineRule="auto"/>
        <w:outlineLvl w:val="2"/>
        <w:rPr>
          <w:rFonts w:cs="宋体"/>
          <w:color w:val="auto"/>
          <w:sz w:val="21"/>
          <w:szCs w:val="21"/>
          <w:highlight w:val="none"/>
        </w:rPr>
      </w:pPr>
      <w:r>
        <w:rPr>
          <w:rFonts w:hint="eastAsia" w:cs="宋体"/>
          <w:color w:val="auto"/>
          <w:sz w:val="21"/>
          <w:szCs w:val="21"/>
          <w:highlight w:val="none"/>
        </w:rPr>
        <w:t>5</w:t>
      </w:r>
      <w:bookmarkEnd w:id="153"/>
      <w:bookmarkStart w:id="155" w:name="_Toc296503163"/>
      <w:bookmarkStart w:id="156" w:name="_Toc296890991"/>
      <w:bookmarkStart w:id="157" w:name="_Toc296347162"/>
      <w:bookmarkStart w:id="158" w:name="_Toc297048349"/>
      <w:bookmarkStart w:id="159" w:name="_Toc297120463"/>
      <w:bookmarkStart w:id="160" w:name="_Toc292559367"/>
      <w:bookmarkStart w:id="161" w:name="_Toc296944502"/>
      <w:bookmarkStart w:id="162" w:name="_Toc296346664"/>
      <w:bookmarkStart w:id="163" w:name="_Toc296891203"/>
      <w:bookmarkStart w:id="164" w:name="_Toc292559872"/>
      <w:r>
        <w:rPr>
          <w:rFonts w:hint="eastAsia" w:cs="宋体"/>
          <w:color w:val="auto"/>
          <w:sz w:val="21"/>
          <w:szCs w:val="21"/>
          <w:highlight w:val="none"/>
        </w:rPr>
        <w:t>. 工程质量</w:t>
      </w:r>
      <w:bookmarkEnd w:id="154"/>
    </w:p>
    <w:p w14:paraId="5AAC6FB6">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5.1 质量要求</w:t>
      </w:r>
    </w:p>
    <w:p w14:paraId="30137173">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5</w:t>
      </w:r>
      <w:bookmarkStart w:id="165" w:name="_Toc297216155"/>
      <w:bookmarkStart w:id="166" w:name="_Toc300934949"/>
      <w:bookmarkStart w:id="167" w:name="_Toc297123496"/>
      <w:bookmarkStart w:id="168" w:name="_Toc304295527"/>
      <w:bookmarkStart w:id="169" w:name="_Toc312677997"/>
      <w:bookmarkStart w:id="170" w:name="_Toc318581164"/>
      <w:bookmarkStart w:id="171" w:name="_Toc303539106"/>
      <w:r>
        <w:rPr>
          <w:rFonts w:hint="eastAsia" w:cs="宋体"/>
          <w:color w:val="auto"/>
          <w:sz w:val="21"/>
          <w:szCs w:val="21"/>
          <w:highlight w:val="none"/>
        </w:rPr>
        <w:t>.1.1 特殊质量标准和要求：</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3654C4BA">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关于工程奖项的约定：</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6FA13CAA">
      <w:pPr>
        <w:snapToGrid w:val="0"/>
        <w:spacing w:line="360" w:lineRule="auto"/>
        <w:ind w:firstLine="420" w:firstLineChars="200"/>
        <w:jc w:val="left"/>
        <w:rPr>
          <w:rFonts w:cs="宋体"/>
          <w:color w:val="auto"/>
          <w:sz w:val="21"/>
          <w:szCs w:val="21"/>
          <w:highlight w:val="none"/>
        </w:rPr>
      </w:pPr>
      <w:bookmarkStart w:id="172" w:name="_Toc351203638"/>
      <w:r>
        <w:rPr>
          <w:rFonts w:hint="eastAsia" w:cs="宋体"/>
          <w:color w:val="auto"/>
          <w:sz w:val="21"/>
          <w:szCs w:val="21"/>
          <w:highlight w:val="none"/>
        </w:rPr>
        <w:t>关于建造要求：</w:t>
      </w:r>
    </w:p>
    <w:p w14:paraId="0333CE52">
      <w:pPr>
        <w:pStyle w:val="13"/>
        <w:snapToGrid w:val="0"/>
        <w:spacing w:line="360" w:lineRule="auto"/>
        <w:ind w:firstLine="480"/>
        <w:rPr>
          <w:rFonts w:hAnsi="宋体" w:cs="宋体"/>
          <w:color w:val="auto"/>
          <w:sz w:val="21"/>
          <w:szCs w:val="21"/>
          <w:highlight w:val="none"/>
        </w:rPr>
      </w:pPr>
      <w:r>
        <w:rPr>
          <w:rFonts w:hint="eastAsia" w:hAnsi="宋体" w:cs="宋体"/>
          <w:color w:val="auto"/>
          <w:sz w:val="21"/>
          <w:szCs w:val="21"/>
          <w:highlight w:val="none"/>
        </w:rPr>
        <w:t>（1）绿色建筑等级要求：</w:t>
      </w:r>
      <w:r>
        <w:rPr>
          <w:rFonts w:hint="eastAsia" w:hAnsi="宋体" w:cs="宋体"/>
          <w:color w:val="auto"/>
          <w:sz w:val="21"/>
          <w:szCs w:val="21"/>
          <w:highlight w:val="none"/>
          <w:u w:val="single"/>
        </w:rPr>
        <w:t>见《专用合同条款数据表》</w:t>
      </w:r>
      <w:r>
        <w:rPr>
          <w:rFonts w:hint="eastAsia" w:hAnsi="宋体" w:cs="宋体"/>
          <w:color w:val="auto"/>
          <w:sz w:val="21"/>
          <w:szCs w:val="21"/>
          <w:highlight w:val="none"/>
        </w:rPr>
        <w:t>；</w:t>
      </w:r>
    </w:p>
    <w:p w14:paraId="6C18345F">
      <w:pPr>
        <w:pStyle w:val="13"/>
        <w:snapToGrid w:val="0"/>
        <w:spacing w:line="360" w:lineRule="auto"/>
        <w:ind w:firstLine="480"/>
        <w:rPr>
          <w:rFonts w:hAnsi="宋体" w:cs="宋体"/>
          <w:color w:val="auto"/>
          <w:sz w:val="21"/>
          <w:szCs w:val="21"/>
          <w:highlight w:val="none"/>
        </w:rPr>
      </w:pPr>
      <w:r>
        <w:rPr>
          <w:rFonts w:hint="eastAsia" w:hAnsi="宋体" w:cs="宋体"/>
          <w:color w:val="auto"/>
          <w:sz w:val="21"/>
          <w:szCs w:val="21"/>
          <w:highlight w:val="none"/>
        </w:rPr>
        <w:t>（2）智慧工地管理要求：</w:t>
      </w:r>
      <w:r>
        <w:rPr>
          <w:rFonts w:hint="eastAsia" w:hAnsi="宋体" w:cs="宋体"/>
          <w:color w:val="auto"/>
          <w:sz w:val="21"/>
          <w:szCs w:val="21"/>
          <w:highlight w:val="none"/>
          <w:u w:val="single"/>
        </w:rPr>
        <w:t>见《专用合同条款数据表》</w:t>
      </w:r>
      <w:r>
        <w:rPr>
          <w:rFonts w:hint="eastAsia" w:hAnsi="宋体" w:cs="宋体"/>
          <w:color w:val="auto"/>
          <w:sz w:val="21"/>
          <w:szCs w:val="21"/>
          <w:highlight w:val="none"/>
        </w:rPr>
        <w:t>；</w:t>
      </w:r>
    </w:p>
    <w:p w14:paraId="7F7400A9">
      <w:pPr>
        <w:pStyle w:val="13"/>
        <w:snapToGrid w:val="0"/>
        <w:spacing w:line="360" w:lineRule="auto"/>
        <w:ind w:firstLine="480"/>
        <w:rPr>
          <w:rFonts w:hAnsi="宋体" w:cs="宋体"/>
          <w:color w:val="auto"/>
          <w:sz w:val="21"/>
          <w:szCs w:val="21"/>
          <w:highlight w:val="none"/>
        </w:rPr>
      </w:pPr>
      <w:r>
        <w:rPr>
          <w:rFonts w:hint="eastAsia" w:hAnsi="宋体" w:cs="宋体"/>
          <w:color w:val="auto"/>
          <w:sz w:val="21"/>
          <w:szCs w:val="21"/>
          <w:highlight w:val="none"/>
        </w:rPr>
        <w:t>（3）建筑垃圾减量化目标：</w:t>
      </w:r>
      <w:r>
        <w:rPr>
          <w:rFonts w:hint="eastAsia" w:hAnsi="宋体" w:cs="宋体"/>
          <w:color w:val="auto"/>
          <w:sz w:val="21"/>
          <w:szCs w:val="21"/>
          <w:highlight w:val="none"/>
          <w:u w:val="single"/>
        </w:rPr>
        <w:t>见《专用合同条款数据表》</w:t>
      </w:r>
      <w:r>
        <w:rPr>
          <w:rFonts w:hint="eastAsia" w:hAnsi="宋体" w:cs="宋体"/>
          <w:color w:val="auto"/>
          <w:sz w:val="21"/>
          <w:szCs w:val="21"/>
          <w:highlight w:val="none"/>
        </w:rPr>
        <w:t>；</w:t>
      </w:r>
    </w:p>
    <w:p w14:paraId="653948A2">
      <w:pPr>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（4）装配式建筑装配率要求：</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2470D0AD">
      <w:pPr>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（5）</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0056443D">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5.3 隐蔽工程检查</w:t>
      </w:r>
    </w:p>
    <w:p w14:paraId="7D3A4EBA">
      <w:pPr>
        <w:pageBreakBefore w:val="0"/>
        <w:kinsoku/>
        <w:wordWrap/>
        <w:topLinePunct w:val="0"/>
        <w:bidi w:val="0"/>
        <w:snapToGrid w:val="0"/>
        <w:spacing w:beforeAutospacing="0" w:line="520" w:lineRule="exact"/>
        <w:ind w:firstLine="420" w:firstLineChars="200"/>
        <w:rPr>
          <w:rFonts w:cs="宋体"/>
          <w:color w:val="auto"/>
          <w:sz w:val="21"/>
          <w:szCs w:val="21"/>
          <w:highlight w:val="none"/>
          <w:u w:val="single"/>
        </w:rPr>
      </w:pPr>
      <w:r>
        <w:rPr>
          <w:rFonts w:hint="eastAsia" w:cs="宋体"/>
          <w:color w:val="auto"/>
          <w:sz w:val="21"/>
          <w:szCs w:val="21"/>
          <w:highlight w:val="none"/>
        </w:rPr>
        <w:t>5.3.2 承包人提前通知监理人隐蔽工程检查的期限的约定：</w:t>
      </w:r>
      <w:r>
        <w:rPr>
          <w:rFonts w:hint="eastAsia" w:ascii="宋体" w:hAnsi="宋体" w:eastAsia="宋体" w:cs="宋体"/>
          <w:color w:val="auto"/>
          <w:sz w:val="21"/>
          <w:szCs w:val="21"/>
          <w:highlight w:val="none"/>
          <w:u w:val="single"/>
        </w:rPr>
        <w:t>工程具备隐蔽条件或达到中间验收部位时，承包人自检合格后，在隐蔽和中间验收48小时前书面通知甲方代表和监理工程师参加。通知应包含承包人自检记录、隐蔽和中间验收的内容、时间和地点。承包人准备验收记录，验收合格，甲方代表及监理工程师在验收记录上签字后，方可进行隐蔽和继续施工。验收不合格，承包人在限定时间内重新验收。承包人不服从质量管理的，发包人有权解除本合同并责令承包人清退其出场，承包人给发包人造成损失的，还应并赔偿因此而造成的一切损失</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7A3895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监理人不能按时进行检查时，应提前</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24</w:t>
      </w:r>
      <w:r>
        <w:rPr>
          <w:rFonts w:hint="eastAsia" w:cs="宋体"/>
          <w:color w:val="auto"/>
          <w:sz w:val="21"/>
          <w:szCs w:val="21"/>
          <w:highlight w:val="none"/>
          <w:u w:val="single"/>
        </w:rPr>
        <w:t xml:space="preserve">  </w:t>
      </w:r>
      <w:r>
        <w:rPr>
          <w:rFonts w:hint="eastAsia" w:cs="宋体"/>
          <w:color w:val="auto"/>
          <w:sz w:val="21"/>
          <w:szCs w:val="21"/>
          <w:highlight w:val="none"/>
        </w:rPr>
        <w:t>小时提交书面延期要求。</w:t>
      </w:r>
    </w:p>
    <w:p w14:paraId="3A38AE7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关于延期最长不得超过：</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48</w:t>
      </w:r>
      <w:r>
        <w:rPr>
          <w:rFonts w:hint="eastAsia" w:cs="宋体"/>
          <w:color w:val="auto"/>
          <w:sz w:val="21"/>
          <w:szCs w:val="21"/>
          <w:highlight w:val="none"/>
          <w:u w:val="single"/>
        </w:rPr>
        <w:t xml:space="preserve">  </w:t>
      </w:r>
      <w:r>
        <w:rPr>
          <w:rFonts w:hint="eastAsia" w:cs="宋体"/>
          <w:color w:val="auto"/>
          <w:sz w:val="21"/>
          <w:szCs w:val="21"/>
          <w:highlight w:val="none"/>
        </w:rPr>
        <w:t>小时。</w:t>
      </w:r>
    </w:p>
    <w:p w14:paraId="65863EEB">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5</w:t>
      </w:r>
      <w:bookmarkStart w:id="173" w:name="_Toc337558762"/>
      <w:r>
        <w:rPr>
          <w:rFonts w:hint="eastAsia" w:cs="宋体"/>
          <w:bCs/>
          <w:color w:val="auto"/>
          <w:sz w:val="21"/>
          <w:szCs w:val="21"/>
          <w:highlight w:val="none"/>
        </w:rPr>
        <w:t>.4 不合格工程的处理</w:t>
      </w:r>
    </w:p>
    <w:bookmarkEnd w:id="173"/>
    <w:p w14:paraId="517766F0">
      <w:pPr>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本款补充5.4.3项：</w:t>
      </w:r>
    </w:p>
    <w:p w14:paraId="6A51A259">
      <w:pPr>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5.4.3 承包人在收到监理人发出的《不合格分项报告》或监理通知单后，必须在监理人规定时间内按要求完成整改，未能在限定时间内完成整改的，须承担相应违约责任。</w:t>
      </w:r>
    </w:p>
    <w:p w14:paraId="1605E19A">
      <w:pPr>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本条补充5.6款：</w:t>
      </w:r>
    </w:p>
    <w:p w14:paraId="55CD8F34">
      <w:pPr>
        <w:keepNext/>
        <w:keepLines/>
        <w:snapToGrid w:val="0"/>
        <w:spacing w:before="120" w:after="120" w:line="360" w:lineRule="auto"/>
        <w:ind w:firstLine="420" w:firstLineChars="200"/>
        <w:outlineLvl w:val="3"/>
        <w:rPr>
          <w:rFonts w:cs="宋体"/>
          <w:bCs/>
          <w:color w:val="auto"/>
          <w:sz w:val="21"/>
          <w:szCs w:val="21"/>
          <w:highlight w:val="none"/>
        </w:rPr>
      </w:pPr>
      <w:bookmarkStart w:id="174" w:name="_Toc532377348"/>
      <w:r>
        <w:rPr>
          <w:rFonts w:hint="eastAsia" w:cs="宋体"/>
          <w:bCs/>
          <w:color w:val="auto"/>
          <w:sz w:val="21"/>
          <w:szCs w:val="21"/>
          <w:highlight w:val="none"/>
        </w:rPr>
        <w:t>5.6 质量事故的处理</w:t>
      </w:r>
      <w:bookmarkEnd w:id="174"/>
    </w:p>
    <w:p w14:paraId="06035D20">
      <w:pPr>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5.6.1 合同履行过程中，发生工程质量事故的调查处理按照国家现行规定处理。</w:t>
      </w:r>
    </w:p>
    <w:p w14:paraId="18671AA3">
      <w:pPr>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5.6.2 发包人在对工程质量、安全和环境保护、水土保持等建设全过程管理中发现有技术、质量和其他问题的，可通过监理人责令承包人返工或整改；对存在的隐患，有权责令承包人予以解决，承包人按照合同中其他条款约定承担违约责任。</w:t>
      </w:r>
    </w:p>
    <w:p w14:paraId="09E791A1">
      <w:pPr>
        <w:snapToGrid w:val="0"/>
        <w:spacing w:before="312" w:beforeLines="100" w:after="312" w:afterLines="100" w:line="360" w:lineRule="auto"/>
        <w:outlineLvl w:val="2"/>
        <w:rPr>
          <w:rFonts w:cs="宋体"/>
          <w:color w:val="auto"/>
          <w:sz w:val="21"/>
          <w:szCs w:val="21"/>
          <w:highlight w:val="none"/>
        </w:rPr>
      </w:pPr>
      <w:r>
        <w:rPr>
          <w:rFonts w:hint="eastAsia" w:cs="宋体"/>
          <w:color w:val="auto"/>
          <w:sz w:val="21"/>
          <w:szCs w:val="21"/>
          <w:highlight w:val="none"/>
        </w:rPr>
        <w:t>6. 安全文明施工与环境保护</w:t>
      </w:r>
      <w:bookmarkEnd w:id="172"/>
    </w:p>
    <w:p w14:paraId="17FA7906">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6.1 安全文明施工</w:t>
      </w:r>
    </w:p>
    <w:p w14:paraId="696AB87E">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6.1.1 项目安全生产的达标目标及相应事项的约定：</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 xml:space="preserve">/ </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6D867B9">
      <w:pPr>
        <w:adjustRightInd w:val="0"/>
        <w:snapToGrid w:val="0"/>
        <w:spacing w:line="360" w:lineRule="auto"/>
        <w:ind w:firstLine="420" w:firstLineChars="200"/>
        <w:rPr>
          <w:rFonts w:hint="eastAsia" w:ascii="宋体" w:hAnsi="宋体" w:eastAsia="宋体" w:cs="宋体"/>
          <w:color w:val="auto"/>
          <w:sz w:val="21"/>
          <w:szCs w:val="21"/>
          <w:highlight w:val="none"/>
          <w:u w:val="single"/>
        </w:rPr>
      </w:pPr>
      <w:r>
        <w:rPr>
          <w:rFonts w:hint="eastAsia" w:cs="宋体"/>
          <w:color w:val="auto"/>
          <w:sz w:val="21"/>
          <w:szCs w:val="21"/>
          <w:highlight w:val="none"/>
        </w:rPr>
        <w:t>6.1.4 关于治安保卫的特别约定：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 xml:space="preserve">承包人应与当地公安部门协商，在现场建立治安管理机构或联防组织，统一管理施工场地的治安保卫事项，履行合同工程的治安保卫职责。承包人除应协助现场治安管理机构或联防组织维护施工场地的社会治安外，还应做好包括生活区在内的承包人管辖区的治安保卫工作 。 </w:t>
      </w:r>
    </w:p>
    <w:p w14:paraId="58C8ECA1">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关于编制施工场地治安管理计划的约定：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承包人编制，监理人审核，其它按照通用合同条款约定执行</w:t>
      </w:r>
      <w:r>
        <w:rPr>
          <w:rFonts w:hint="eastAsia" w:cs="宋体"/>
          <w:color w:val="auto"/>
          <w:sz w:val="21"/>
          <w:szCs w:val="21"/>
          <w:highlight w:val="none"/>
          <w:u w:val="single"/>
        </w:rPr>
        <w:t xml:space="preserve">  </w:t>
      </w:r>
      <w:r>
        <w:rPr>
          <w:rFonts w:hint="eastAsia" w:cs="宋体"/>
          <w:color w:val="auto"/>
          <w:sz w:val="21"/>
          <w:szCs w:val="21"/>
          <w:highlight w:val="none"/>
        </w:rPr>
        <w:t>。</w:t>
      </w:r>
    </w:p>
    <w:p w14:paraId="4933B06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6.1.5 文明施工</w:t>
      </w:r>
    </w:p>
    <w:p w14:paraId="1B384C3B">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合同当事人对文明施工的要求：</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按照《关于落实&lt;市规建委关于规范建设工程安全防护和文明施工措施费使用管理的通知&gt;的意见》，支付方式为：房建工程基础验收合格后支付40%，主体结构施工封顶支付40%，工程初验合格支付剩余20%；市政基础设施工程正常开工并达到第一期工程请款条件时支付50%，工程初验合格后支付剩余50%。该费用付至施工企业在银行开立的专户。施工企业应当确保安全防护、文明施工措施费专款专用，在财务管理中单独列出安全防护、文明施工措施项目费用清单备查</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B1F894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6.1.6 关于安全文明施工费支付比例和支付期限的约定：</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w:t>
      </w:r>
      <w:r>
        <w:rPr>
          <w:rFonts w:hint="eastAsia" w:cs="宋体"/>
          <w:color w:val="auto"/>
          <w:sz w:val="21"/>
          <w:szCs w:val="21"/>
          <w:highlight w:val="none"/>
          <w:u w:val="single"/>
        </w:rPr>
        <w:t xml:space="preserve">     </w:t>
      </w:r>
      <w:r>
        <w:rPr>
          <w:rFonts w:hint="eastAsia" w:cs="宋体"/>
          <w:color w:val="auto"/>
          <w:sz w:val="21"/>
          <w:szCs w:val="21"/>
          <w:highlight w:val="none"/>
        </w:rPr>
        <w:t>。</w:t>
      </w:r>
    </w:p>
    <w:bookmarkEnd w:id="165"/>
    <w:bookmarkEnd w:id="166"/>
    <w:bookmarkEnd w:id="167"/>
    <w:bookmarkEnd w:id="168"/>
    <w:bookmarkEnd w:id="169"/>
    <w:bookmarkEnd w:id="170"/>
    <w:bookmarkEnd w:id="171"/>
    <w:p w14:paraId="0E20959D">
      <w:pPr>
        <w:snapToGrid w:val="0"/>
        <w:spacing w:before="312" w:beforeLines="100" w:after="312" w:afterLines="100" w:line="360" w:lineRule="auto"/>
        <w:outlineLvl w:val="2"/>
        <w:rPr>
          <w:rFonts w:cs="宋体"/>
          <w:color w:val="auto"/>
          <w:sz w:val="21"/>
          <w:szCs w:val="21"/>
          <w:highlight w:val="none"/>
        </w:rPr>
      </w:pPr>
      <w:bookmarkStart w:id="175" w:name="_Toc351203639"/>
      <w:r>
        <w:rPr>
          <w:rFonts w:hint="eastAsia" w:cs="宋体"/>
          <w:color w:val="auto"/>
          <w:sz w:val="21"/>
          <w:szCs w:val="21"/>
          <w:highlight w:val="none"/>
        </w:rPr>
        <w:t>7. 工期和进度</w:t>
      </w:r>
      <w:bookmarkEnd w:id="175"/>
    </w:p>
    <w:p w14:paraId="3878D8E9">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7.1 施工组织设计</w:t>
      </w:r>
    </w:p>
    <w:p w14:paraId="463EDAF6">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7.1.1 合同当事人约定的施工组织设计应包括的其他内容：</w:t>
      </w:r>
      <w:r>
        <w:rPr>
          <w:rFonts w:hint="eastAsia" w:cs="宋体"/>
          <w:color w:val="auto"/>
          <w:sz w:val="21"/>
          <w:szCs w:val="21"/>
          <w:highlight w:val="none"/>
          <w:u w:val="single"/>
        </w:rPr>
        <w:t>总进度计划须含网络图、横道图。</w:t>
      </w:r>
    </w:p>
    <w:p w14:paraId="7EB883A9">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7.1.2 施工组织设计的提交和修改</w:t>
      </w:r>
    </w:p>
    <w:p w14:paraId="4122A8B6">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承包人提交详细施工组织设计的期限的约定：</w:t>
      </w:r>
      <w:r>
        <w:rPr>
          <w:rFonts w:hint="eastAsia" w:cs="宋体"/>
          <w:color w:val="auto"/>
          <w:sz w:val="21"/>
          <w:szCs w:val="21"/>
          <w:highlight w:val="none"/>
          <w:u w:val="single"/>
        </w:rPr>
        <w:t xml:space="preserve"> </w:t>
      </w:r>
      <w:r>
        <w:rPr>
          <w:rFonts w:hint="eastAsia" w:ascii="宋体" w:hAnsi="宋体" w:eastAsia="宋体" w:cs="宋体"/>
          <w:color w:val="auto"/>
          <w:kern w:val="0"/>
          <w:sz w:val="21"/>
          <w:szCs w:val="21"/>
          <w:highlight w:val="none"/>
          <w:u w:val="single"/>
        </w:rPr>
        <w:t>图纸会审及设计交底后一周内提供标后施工组织设计和进度计划、机械设备进场计划、物资计划、劳动力计划</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6F0CD06">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发包人和监理人在收到详细的施工组织设计后确认或提出修改意见的期限：</w:t>
      </w:r>
      <w:r>
        <w:rPr>
          <w:rFonts w:hint="eastAsia" w:ascii="宋体" w:hAnsi="宋体" w:eastAsia="宋体" w:cs="宋体"/>
          <w:color w:val="auto"/>
          <w:sz w:val="21"/>
          <w:szCs w:val="21"/>
          <w:highlight w:val="none"/>
          <w:u w:val="single"/>
        </w:rPr>
        <w:t>监理工程师应于收到承包人资料一周内予以确认，逾期不批复，可视为该施工组织设计（施工方案）已经批准。乙方必须按照批准的进度计划组织施工，接受甲方和监理对进度的检查、监督。工程实际进展与进度计划不符时，承包人应立即修改进度计划和采取赶工措施，调整后的进度计划及相应的措施报告上报监理、甲方批准后执行</w:t>
      </w:r>
      <w:r>
        <w:rPr>
          <w:rFonts w:hint="eastAsia" w:cs="宋体"/>
          <w:color w:val="auto"/>
          <w:sz w:val="21"/>
          <w:szCs w:val="21"/>
          <w:highlight w:val="none"/>
        </w:rPr>
        <w:t>。</w:t>
      </w:r>
    </w:p>
    <w:p w14:paraId="4B57A851">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7</w:t>
      </w:r>
      <w:bookmarkStart w:id="176" w:name="_Toc312678005"/>
      <w:bookmarkStart w:id="177" w:name="_Toc312677479"/>
      <w:bookmarkStart w:id="178" w:name="_Toc303539123"/>
      <w:bookmarkStart w:id="179" w:name="_Toc304295541"/>
      <w:bookmarkStart w:id="180" w:name="_Toc300934966"/>
      <w:bookmarkStart w:id="181" w:name="_Toc297123514"/>
      <w:bookmarkStart w:id="182" w:name="_Toc297216173"/>
      <w:r>
        <w:rPr>
          <w:rFonts w:hint="eastAsia" w:cs="宋体"/>
          <w:bCs/>
          <w:color w:val="auto"/>
          <w:sz w:val="21"/>
          <w:szCs w:val="21"/>
          <w:highlight w:val="none"/>
        </w:rPr>
        <w:t>.2 施工进度计划</w:t>
      </w:r>
    </w:p>
    <w:p w14:paraId="500F063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7.2.2 施工进度计划的修订</w:t>
      </w:r>
    </w:p>
    <w:p w14:paraId="1F0388E1">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发包人和监理人在收到修订的施工进度计划后确认或提出修改意见的期限：</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监理工程师应于收到承包人资料一周内予以确认，逾期不批复，可视为该施工组织设计（施工方案）已经批准。乙方必须按照批准的进度计划组织施工，接受甲方和监理对进度的检查、监督。工程实际进展与进度计划不符时，承包人应立即修改进度计划和采取赶工措施，调整后的进度计划及相应的措施报告上报监理、甲方批准后执行</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CD00167">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7.3 开工</w:t>
      </w:r>
    </w:p>
    <w:p w14:paraId="5ECA85A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7.3.1 开工准备</w:t>
      </w:r>
    </w:p>
    <w:p w14:paraId="157F1E62">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u w:val="single"/>
        </w:rPr>
      </w:pPr>
      <w:r>
        <w:rPr>
          <w:rFonts w:hint="eastAsia" w:cs="宋体"/>
          <w:color w:val="auto"/>
          <w:sz w:val="21"/>
          <w:szCs w:val="21"/>
          <w:highlight w:val="none"/>
        </w:rPr>
        <w:t>关于承包人提交工程开工报审表的期限：</w:t>
      </w:r>
      <w:r>
        <w:rPr>
          <w:rFonts w:hint="eastAsia" w:ascii="宋体" w:hAnsi="宋体" w:eastAsia="宋体" w:cs="宋体"/>
          <w:color w:val="auto"/>
          <w:sz w:val="21"/>
          <w:szCs w:val="21"/>
          <w:highlight w:val="none"/>
          <w:u w:val="single"/>
        </w:rPr>
        <w:t>执行通用条款</w:t>
      </w:r>
      <w:r>
        <w:rPr>
          <w:rFonts w:hint="eastAsia" w:cs="宋体"/>
          <w:color w:val="auto"/>
          <w:sz w:val="21"/>
          <w:szCs w:val="21"/>
          <w:highlight w:val="none"/>
        </w:rPr>
        <w:t>。</w:t>
      </w:r>
    </w:p>
    <w:p w14:paraId="4F3569AB">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u w:val="single"/>
        </w:rPr>
      </w:pPr>
      <w:r>
        <w:rPr>
          <w:rFonts w:hint="eastAsia" w:cs="宋体"/>
          <w:color w:val="auto"/>
          <w:sz w:val="21"/>
          <w:szCs w:val="21"/>
          <w:highlight w:val="none"/>
        </w:rPr>
        <w:t>关于发包人应完成的其他开工准备工作及期限：</w:t>
      </w:r>
      <w:r>
        <w:rPr>
          <w:rFonts w:hint="eastAsia" w:ascii="宋体" w:hAnsi="宋体" w:eastAsia="宋体" w:cs="宋体"/>
          <w:color w:val="auto"/>
          <w:sz w:val="21"/>
          <w:szCs w:val="21"/>
          <w:highlight w:val="none"/>
          <w:u w:val="single"/>
        </w:rPr>
        <w:t>执行通用条款</w:t>
      </w:r>
      <w:r>
        <w:rPr>
          <w:rFonts w:hint="eastAsia" w:cs="宋体"/>
          <w:color w:val="auto"/>
          <w:sz w:val="21"/>
          <w:szCs w:val="21"/>
          <w:highlight w:val="none"/>
        </w:rPr>
        <w:t>。</w:t>
      </w:r>
    </w:p>
    <w:p w14:paraId="7C731CA4">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u w:val="single"/>
        </w:rPr>
      </w:pPr>
      <w:r>
        <w:rPr>
          <w:rFonts w:hint="eastAsia" w:cs="宋体"/>
          <w:color w:val="auto"/>
          <w:sz w:val="21"/>
          <w:szCs w:val="21"/>
          <w:highlight w:val="none"/>
        </w:rPr>
        <w:t>关于承包人应完成的其他开工准备工作及期限：</w:t>
      </w:r>
      <w:r>
        <w:rPr>
          <w:rFonts w:hint="eastAsia" w:ascii="宋体" w:hAnsi="宋体" w:eastAsia="宋体" w:cs="宋体"/>
          <w:color w:val="auto"/>
          <w:sz w:val="21"/>
          <w:szCs w:val="21"/>
          <w:highlight w:val="none"/>
          <w:u w:val="single"/>
        </w:rPr>
        <w:t>执行通用条款</w:t>
      </w:r>
      <w:r>
        <w:rPr>
          <w:rFonts w:hint="eastAsia" w:cs="宋体"/>
          <w:color w:val="auto"/>
          <w:sz w:val="21"/>
          <w:szCs w:val="21"/>
          <w:highlight w:val="none"/>
        </w:rPr>
        <w:t>。</w:t>
      </w:r>
    </w:p>
    <w:p w14:paraId="3DA1904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7.3.2 开工通知</w:t>
      </w:r>
    </w:p>
    <w:p w14:paraId="3BE329D3">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因发包人原因造成监理人未能在计划开工日期之日起</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w:t>
      </w:r>
      <w:r>
        <w:rPr>
          <w:rFonts w:hint="eastAsia" w:cs="宋体"/>
          <w:color w:val="auto"/>
          <w:sz w:val="21"/>
          <w:szCs w:val="21"/>
          <w:highlight w:val="none"/>
          <w:u w:val="single"/>
        </w:rPr>
        <w:t xml:space="preserve">  </w:t>
      </w:r>
      <w:r>
        <w:rPr>
          <w:rFonts w:hint="eastAsia" w:cs="宋体"/>
          <w:color w:val="auto"/>
          <w:sz w:val="21"/>
          <w:szCs w:val="21"/>
          <w:highlight w:val="none"/>
        </w:rPr>
        <w:t>天内发出开工通知的，承包人有权提出价格调整要求，或者解除合同。</w:t>
      </w:r>
    </w:p>
    <w:bookmarkEnd w:id="176"/>
    <w:bookmarkEnd w:id="177"/>
    <w:bookmarkEnd w:id="178"/>
    <w:bookmarkEnd w:id="179"/>
    <w:bookmarkEnd w:id="180"/>
    <w:bookmarkEnd w:id="181"/>
    <w:bookmarkEnd w:id="182"/>
    <w:p w14:paraId="5AF6B222">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7.4 测量放线</w:t>
      </w:r>
    </w:p>
    <w:p w14:paraId="7CA1C404">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7.4.1 发包人通过监理人向承包人提供测量基准点、基准线和水准点及其书面资料的期限：</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91C4217">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7</w:t>
      </w:r>
      <w:bookmarkStart w:id="183" w:name="_Toc300934968"/>
      <w:bookmarkStart w:id="184" w:name="_Toc312678010"/>
      <w:bookmarkStart w:id="185" w:name="_Toc297216175"/>
      <w:bookmarkStart w:id="186" w:name="_Toc303539125"/>
      <w:bookmarkStart w:id="187" w:name="_Toc312677484"/>
      <w:bookmarkStart w:id="188" w:name="_Toc297123516"/>
      <w:bookmarkStart w:id="189" w:name="_Toc304295546"/>
      <w:r>
        <w:rPr>
          <w:rFonts w:hint="eastAsia" w:cs="宋体"/>
          <w:bCs/>
          <w:color w:val="auto"/>
          <w:sz w:val="21"/>
          <w:szCs w:val="21"/>
          <w:highlight w:val="none"/>
        </w:rPr>
        <w:t>.5 工期延误</w:t>
      </w:r>
    </w:p>
    <w:bookmarkEnd w:id="183"/>
    <w:bookmarkEnd w:id="184"/>
    <w:bookmarkEnd w:id="185"/>
    <w:bookmarkEnd w:id="186"/>
    <w:bookmarkEnd w:id="187"/>
    <w:bookmarkEnd w:id="188"/>
    <w:bookmarkEnd w:id="189"/>
    <w:p w14:paraId="4781228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7.5.1 因发包人原因导致工期延误</w:t>
      </w:r>
    </w:p>
    <w:p w14:paraId="63E6B062">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（7）因发包人原因导致工期延误的其他情形：</w:t>
      </w:r>
      <w:r>
        <w:rPr>
          <w:rFonts w:hint="eastAsia" w:cs="宋体"/>
          <w:color w:val="auto"/>
          <w:sz w:val="21"/>
          <w:szCs w:val="21"/>
          <w:highlight w:val="none"/>
          <w:u w:val="single"/>
        </w:rPr>
        <w:t xml:space="preserve">                    </w:t>
      </w:r>
      <w:r>
        <w:rPr>
          <w:rFonts w:hint="eastAsia" w:cs="宋体"/>
          <w:color w:val="auto"/>
          <w:sz w:val="21"/>
          <w:szCs w:val="21"/>
          <w:highlight w:val="none"/>
        </w:rPr>
        <w:t>。</w:t>
      </w:r>
    </w:p>
    <w:p w14:paraId="2635FE9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7</w:t>
      </w:r>
      <w:bookmarkStart w:id="190" w:name="_Toc312678012"/>
      <w:bookmarkStart w:id="191" w:name="_Toc318581169"/>
      <w:bookmarkStart w:id="192" w:name="_Toc312677486"/>
      <w:bookmarkStart w:id="193" w:name="_Toc304295548"/>
      <w:bookmarkStart w:id="194" w:name="_Toc297216177"/>
      <w:bookmarkStart w:id="195" w:name="_Toc303539127"/>
      <w:bookmarkStart w:id="196" w:name="_Toc297123518"/>
      <w:bookmarkStart w:id="197" w:name="_Toc300934970"/>
      <w:r>
        <w:rPr>
          <w:rFonts w:hint="eastAsia" w:cs="宋体"/>
          <w:color w:val="auto"/>
          <w:sz w:val="21"/>
          <w:szCs w:val="21"/>
          <w:highlight w:val="none"/>
        </w:rPr>
        <w:t>.5.2 因承包人原因导致工期延误</w:t>
      </w:r>
    </w:p>
    <w:bookmarkEnd w:id="190"/>
    <w:bookmarkEnd w:id="191"/>
    <w:bookmarkEnd w:id="192"/>
    <w:p w14:paraId="6557A929">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因</w:t>
      </w:r>
      <w:bookmarkStart w:id="198" w:name="_Toc312677487"/>
      <w:bookmarkStart w:id="199" w:name="_Toc312678013"/>
      <w:bookmarkStart w:id="200" w:name="_Toc318581170"/>
      <w:r>
        <w:rPr>
          <w:rFonts w:hint="eastAsia" w:cs="宋体"/>
          <w:color w:val="auto"/>
          <w:sz w:val="21"/>
          <w:szCs w:val="21"/>
          <w:highlight w:val="none"/>
        </w:rPr>
        <w:t>承包人原因造成工期延误，逾期竣工违约金的计算方法为：</w:t>
      </w:r>
      <w:r>
        <w:rPr>
          <w:rFonts w:hint="eastAsia" w:cs="宋体"/>
          <w:color w:val="auto"/>
          <w:sz w:val="21"/>
          <w:szCs w:val="21"/>
          <w:highlight w:val="none"/>
          <w:u w:val="single"/>
        </w:rPr>
        <w:t>见《专用合同条款数据表》</w:t>
      </w:r>
      <w:r>
        <w:rPr>
          <w:rFonts w:hint="eastAsia" w:cs="宋体"/>
          <w:color w:val="auto"/>
          <w:sz w:val="21"/>
          <w:szCs w:val="21"/>
          <w:highlight w:val="none"/>
        </w:rPr>
        <w:t>。</w:t>
      </w:r>
      <w:bookmarkEnd w:id="193"/>
      <w:bookmarkEnd w:id="194"/>
      <w:bookmarkEnd w:id="195"/>
      <w:bookmarkEnd w:id="196"/>
      <w:bookmarkEnd w:id="197"/>
      <w:bookmarkEnd w:id="198"/>
      <w:bookmarkEnd w:id="199"/>
    </w:p>
    <w:bookmarkEnd w:id="200"/>
    <w:p w14:paraId="353F26D3">
      <w:pPr>
        <w:adjustRightInd w:val="0"/>
        <w:snapToGrid w:val="0"/>
        <w:spacing w:line="360" w:lineRule="auto"/>
        <w:ind w:firstLine="420" w:firstLineChars="200"/>
        <w:rPr>
          <w:rFonts w:cs="宋体"/>
          <w:b/>
          <w:color w:val="auto"/>
          <w:sz w:val="21"/>
          <w:szCs w:val="21"/>
          <w:highlight w:val="none"/>
          <w:u w:val="single"/>
        </w:rPr>
      </w:pPr>
      <w:r>
        <w:rPr>
          <w:rFonts w:hint="eastAsia" w:cs="宋体"/>
          <w:color w:val="auto"/>
          <w:sz w:val="21"/>
          <w:szCs w:val="21"/>
          <w:highlight w:val="none"/>
        </w:rPr>
        <w:t>因承包人原因造成工期延误，逾</w:t>
      </w:r>
      <w:bookmarkStart w:id="201" w:name="_Toc312678014"/>
      <w:bookmarkStart w:id="202" w:name="_Toc318581171"/>
      <w:r>
        <w:rPr>
          <w:rFonts w:hint="eastAsia" w:cs="宋体"/>
          <w:color w:val="auto"/>
          <w:sz w:val="21"/>
          <w:szCs w:val="21"/>
          <w:highlight w:val="none"/>
        </w:rPr>
        <w:t>期竣工违约金的上限：</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bookmarkEnd w:id="201"/>
    <w:bookmarkEnd w:id="202"/>
    <w:p w14:paraId="00BF125E">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7</w:t>
      </w:r>
      <w:bookmarkStart w:id="203" w:name="_Toc297123519"/>
      <w:bookmarkStart w:id="204" w:name="_Toc304295549"/>
      <w:bookmarkStart w:id="205" w:name="_Toc297216178"/>
      <w:bookmarkStart w:id="206" w:name="_Toc312678015"/>
      <w:bookmarkStart w:id="207" w:name="_Toc300934971"/>
      <w:bookmarkStart w:id="208" w:name="_Toc303539128"/>
      <w:r>
        <w:rPr>
          <w:rFonts w:hint="eastAsia" w:cs="宋体"/>
          <w:bCs/>
          <w:color w:val="auto"/>
          <w:sz w:val="21"/>
          <w:szCs w:val="21"/>
          <w:highlight w:val="none"/>
        </w:rPr>
        <w:t>.6 不</w:t>
      </w:r>
      <w:bookmarkEnd w:id="203"/>
      <w:bookmarkEnd w:id="204"/>
      <w:bookmarkEnd w:id="205"/>
      <w:bookmarkEnd w:id="206"/>
      <w:bookmarkEnd w:id="207"/>
      <w:bookmarkEnd w:id="208"/>
      <w:r>
        <w:rPr>
          <w:rFonts w:hint="eastAsia" w:cs="宋体"/>
          <w:bCs/>
          <w:color w:val="auto"/>
          <w:sz w:val="21"/>
          <w:szCs w:val="21"/>
          <w:highlight w:val="none"/>
        </w:rPr>
        <w:t>利物质条件</w:t>
      </w:r>
    </w:p>
    <w:p w14:paraId="1D594E7D">
      <w:pPr>
        <w:adjustRightInd w:val="0"/>
        <w:snapToGrid w:val="0"/>
        <w:spacing w:line="360" w:lineRule="auto"/>
        <w:ind w:firstLine="420" w:firstLineChars="200"/>
        <w:rPr>
          <w:rFonts w:cs="宋体"/>
          <w:b/>
          <w:color w:val="auto"/>
          <w:sz w:val="21"/>
          <w:szCs w:val="21"/>
          <w:highlight w:val="none"/>
          <w:u w:val="single"/>
        </w:rPr>
      </w:pPr>
      <w:bookmarkStart w:id="209" w:name="_Toc297216179"/>
      <w:bookmarkStart w:id="210" w:name="_Toc303539129"/>
      <w:bookmarkStart w:id="211" w:name="_Toc300934972"/>
      <w:bookmarkStart w:id="212" w:name="_Toc318581172"/>
      <w:bookmarkStart w:id="213" w:name="_Toc304295550"/>
      <w:bookmarkStart w:id="214" w:name="_Toc312678016"/>
      <w:bookmarkStart w:id="215" w:name="_Toc297123520"/>
      <w:r>
        <w:rPr>
          <w:rFonts w:hint="eastAsia" w:cs="宋体"/>
          <w:color w:val="auto"/>
          <w:sz w:val="21"/>
          <w:szCs w:val="21"/>
          <w:highlight w:val="none"/>
        </w:rPr>
        <w:t>不利物质条件的其他情形和有关约定：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承包人应了解</w:t>
      </w:r>
      <w:r>
        <w:rPr>
          <w:rFonts w:hint="eastAsia" w:cs="宋体"/>
          <w:color w:val="auto"/>
          <w:sz w:val="21"/>
          <w:szCs w:val="21"/>
          <w:highlight w:val="none"/>
          <w:u w:val="single"/>
          <w:lang w:val="en-US" w:eastAsia="zh-CN"/>
        </w:rPr>
        <w:t>本项配电安装工程所有内容</w:t>
      </w:r>
      <w:r>
        <w:rPr>
          <w:rFonts w:hint="eastAsia" w:ascii="宋体" w:hAnsi="宋体" w:eastAsia="宋体" w:cs="宋体"/>
          <w:color w:val="auto"/>
          <w:sz w:val="21"/>
          <w:szCs w:val="21"/>
          <w:highlight w:val="none"/>
          <w:u w:val="single"/>
        </w:rPr>
        <w:t>，中标后不得以不利物质条件为由提出索赔</w:t>
      </w:r>
      <w:r>
        <w:rPr>
          <w:rFonts w:hint="eastAsia" w:cs="宋体"/>
          <w:color w:val="auto"/>
          <w:sz w:val="21"/>
          <w:szCs w:val="21"/>
          <w:highlight w:val="none"/>
          <w:u w:val="single"/>
        </w:rPr>
        <w:t xml:space="preserve"> </w:t>
      </w:r>
      <w:r>
        <w:rPr>
          <w:rFonts w:hint="eastAsia" w:cs="宋体"/>
          <w:color w:val="auto"/>
          <w:sz w:val="21"/>
          <w:szCs w:val="21"/>
          <w:highlight w:val="none"/>
        </w:rPr>
        <w:t>。</w:t>
      </w:r>
    </w:p>
    <w:bookmarkEnd w:id="209"/>
    <w:bookmarkEnd w:id="210"/>
    <w:bookmarkEnd w:id="211"/>
    <w:bookmarkEnd w:id="212"/>
    <w:bookmarkEnd w:id="213"/>
    <w:bookmarkEnd w:id="214"/>
    <w:bookmarkEnd w:id="215"/>
    <w:p w14:paraId="781B8176">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7</w:t>
      </w:r>
      <w:bookmarkStart w:id="216" w:name="_Toc297123521"/>
      <w:bookmarkStart w:id="217" w:name="_Toc312678017"/>
      <w:bookmarkStart w:id="218" w:name="_Toc304295551"/>
      <w:bookmarkStart w:id="219" w:name="_Toc300934973"/>
      <w:bookmarkStart w:id="220" w:name="_Toc297216180"/>
      <w:bookmarkStart w:id="221" w:name="_Toc303539130"/>
      <w:r>
        <w:rPr>
          <w:rFonts w:hint="eastAsia" w:cs="宋体"/>
          <w:bCs/>
          <w:color w:val="auto"/>
          <w:sz w:val="21"/>
          <w:szCs w:val="21"/>
          <w:highlight w:val="none"/>
        </w:rPr>
        <w:t>.7 异常恶劣的气候条件</w:t>
      </w:r>
    </w:p>
    <w:bookmarkEnd w:id="216"/>
    <w:bookmarkEnd w:id="217"/>
    <w:bookmarkEnd w:id="218"/>
    <w:bookmarkEnd w:id="219"/>
    <w:bookmarkEnd w:id="220"/>
    <w:bookmarkEnd w:id="221"/>
    <w:p w14:paraId="540AE506">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发包人和承包人同意以下情形视为异常恶劣的气候条件：</w:t>
      </w:r>
    </w:p>
    <w:p w14:paraId="5A677D6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w:t>
      </w:r>
      <w:r>
        <w:rPr>
          <w:rFonts w:hint="eastAsia" w:cs="宋体"/>
          <w:color w:val="auto"/>
          <w:sz w:val="21"/>
          <w:szCs w:val="21"/>
          <w:highlight w:val="none"/>
          <w:u w:val="single"/>
        </w:rPr>
        <w:t xml:space="preserve">                                    </w:t>
      </w:r>
      <w:r>
        <w:rPr>
          <w:rFonts w:hint="eastAsia" w:cs="宋体"/>
          <w:color w:val="auto"/>
          <w:sz w:val="21"/>
          <w:szCs w:val="21"/>
          <w:highlight w:val="none"/>
        </w:rPr>
        <w:t>；</w:t>
      </w:r>
    </w:p>
    <w:p w14:paraId="4C9E1D0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w:t>
      </w:r>
      <w:r>
        <w:rPr>
          <w:rFonts w:hint="eastAsia" w:cs="宋体"/>
          <w:color w:val="auto"/>
          <w:sz w:val="21"/>
          <w:szCs w:val="21"/>
          <w:highlight w:val="none"/>
          <w:u w:val="single"/>
        </w:rPr>
        <w:t xml:space="preserve">                                      </w:t>
      </w:r>
      <w:r>
        <w:rPr>
          <w:rFonts w:hint="eastAsia" w:cs="宋体"/>
          <w:color w:val="auto"/>
          <w:sz w:val="21"/>
          <w:szCs w:val="21"/>
          <w:highlight w:val="none"/>
        </w:rPr>
        <w:t>；</w:t>
      </w:r>
    </w:p>
    <w:p w14:paraId="7524FC4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8DD0221">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7.9 提前竣工</w:t>
      </w:r>
    </w:p>
    <w:p w14:paraId="7131FBB5">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7.9.2 提前竣工的奖励：</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6BC1469A">
      <w:pPr>
        <w:snapToGrid w:val="0"/>
        <w:spacing w:before="312" w:beforeLines="100" w:after="312" w:afterLines="100" w:line="360" w:lineRule="auto"/>
        <w:outlineLvl w:val="2"/>
        <w:rPr>
          <w:rFonts w:cs="宋体"/>
          <w:color w:val="auto"/>
          <w:sz w:val="21"/>
          <w:szCs w:val="21"/>
          <w:highlight w:val="none"/>
        </w:rPr>
      </w:pPr>
      <w:bookmarkStart w:id="222" w:name="_Toc351203640"/>
      <w:r>
        <w:rPr>
          <w:rFonts w:hint="eastAsia" w:cs="宋体"/>
          <w:color w:val="auto"/>
          <w:sz w:val="21"/>
          <w:szCs w:val="21"/>
          <w:highlight w:val="none"/>
        </w:rPr>
        <w:t>8. 材料与设备</w:t>
      </w:r>
      <w:bookmarkEnd w:id="222"/>
    </w:p>
    <w:bookmarkEnd w:id="155"/>
    <w:bookmarkEnd w:id="156"/>
    <w:bookmarkEnd w:id="157"/>
    <w:bookmarkEnd w:id="158"/>
    <w:bookmarkEnd w:id="159"/>
    <w:bookmarkEnd w:id="160"/>
    <w:bookmarkEnd w:id="161"/>
    <w:bookmarkEnd w:id="162"/>
    <w:bookmarkEnd w:id="163"/>
    <w:bookmarkEnd w:id="164"/>
    <w:p w14:paraId="0F86BF6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8</w:t>
      </w:r>
      <w:bookmarkStart w:id="223" w:name="_Toc296944506"/>
      <w:bookmarkStart w:id="224" w:name="_Toc296503167"/>
      <w:bookmarkStart w:id="225" w:name="_Toc296891207"/>
      <w:bookmarkStart w:id="226" w:name="_Toc297216186"/>
      <w:bookmarkStart w:id="227" w:name="_Toc280868654"/>
      <w:bookmarkStart w:id="228" w:name="_Toc297120467"/>
      <w:bookmarkStart w:id="229" w:name="_Toc296347166"/>
      <w:bookmarkStart w:id="230" w:name="_Toc300934979"/>
      <w:bookmarkStart w:id="231" w:name="_Toc312677493"/>
      <w:bookmarkStart w:id="232" w:name="_Toc297123527"/>
      <w:bookmarkStart w:id="233" w:name="_Toc304295556"/>
      <w:bookmarkStart w:id="234" w:name="_Toc292559877"/>
      <w:bookmarkStart w:id="235" w:name="_Toc297048353"/>
      <w:bookmarkStart w:id="236" w:name="_Toc292559372"/>
      <w:bookmarkStart w:id="237" w:name="_Toc303539136"/>
      <w:bookmarkStart w:id="238" w:name="_Toc296346668"/>
      <w:bookmarkStart w:id="239" w:name="_Toc296890995"/>
      <w:bookmarkStart w:id="240" w:name="_Toc312678019"/>
      <w:bookmarkStart w:id="241" w:name="_Toc280868655"/>
      <w:bookmarkStart w:id="242" w:name="_Toc280868656"/>
      <w:bookmarkStart w:id="243" w:name="_Toc267251424"/>
      <w:r>
        <w:rPr>
          <w:rFonts w:hint="eastAsia" w:cs="宋体"/>
          <w:color w:val="auto"/>
          <w:sz w:val="21"/>
          <w:szCs w:val="21"/>
          <w:highlight w:val="none"/>
        </w:rPr>
        <w:t>.4 材料与工程设备的保管与使用</w:t>
      </w:r>
    </w:p>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14:paraId="6661C462">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8</w:t>
      </w:r>
      <w:bookmarkStart w:id="244" w:name="_Toc292559878"/>
      <w:bookmarkStart w:id="245" w:name="_Toc292559373"/>
      <w:bookmarkStart w:id="246" w:name="_Toc312678020"/>
      <w:bookmarkStart w:id="247" w:name="_Toc296346669"/>
      <w:bookmarkStart w:id="248" w:name="_Toc303539137"/>
      <w:bookmarkStart w:id="249" w:name="_Toc300934980"/>
      <w:bookmarkStart w:id="250" w:name="_Toc297120468"/>
      <w:bookmarkStart w:id="251" w:name="_Toc297048354"/>
      <w:bookmarkStart w:id="252" w:name="_Toc304295557"/>
      <w:bookmarkStart w:id="253" w:name="_Toc296503168"/>
      <w:bookmarkStart w:id="254" w:name="_Toc297123528"/>
      <w:bookmarkStart w:id="255" w:name="_Toc312677494"/>
      <w:bookmarkStart w:id="256" w:name="_Toc318581173"/>
      <w:bookmarkStart w:id="257" w:name="_Toc297216187"/>
      <w:bookmarkStart w:id="258" w:name="_Toc296347167"/>
      <w:bookmarkStart w:id="259" w:name="_Toc296890996"/>
      <w:bookmarkStart w:id="260" w:name="_Toc296944507"/>
      <w:bookmarkStart w:id="261" w:name="_Toc296891208"/>
      <w:r>
        <w:rPr>
          <w:rFonts w:hint="eastAsia" w:cs="宋体"/>
          <w:color w:val="auto"/>
          <w:sz w:val="21"/>
          <w:szCs w:val="21"/>
          <w:highlight w:val="none"/>
        </w:rPr>
        <w:t>.4.1 发包人供应的材料设备的保管费用的承担：</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承包人承担</w:t>
      </w:r>
      <w:r>
        <w:rPr>
          <w:rFonts w:hint="eastAsia" w:cs="宋体"/>
          <w:color w:val="auto"/>
          <w:sz w:val="21"/>
          <w:szCs w:val="21"/>
          <w:highlight w:val="none"/>
          <w:u w:val="single"/>
          <w:lang w:eastAsia="zh-CN"/>
        </w:rPr>
        <w:t>，</w:t>
      </w:r>
      <w:r>
        <w:rPr>
          <w:rFonts w:hint="eastAsia" w:cs="宋体"/>
          <w:color w:val="auto"/>
          <w:sz w:val="21"/>
          <w:szCs w:val="21"/>
          <w:highlight w:val="none"/>
          <w:u w:val="single"/>
          <w:lang w:val="en-US" w:eastAsia="zh-CN"/>
        </w:rPr>
        <w:t>含在工程费用内</w:t>
      </w:r>
      <w:r>
        <w:rPr>
          <w:rFonts w:hint="eastAsia" w:cs="宋体"/>
          <w:color w:val="auto"/>
          <w:sz w:val="21"/>
          <w:szCs w:val="21"/>
          <w:highlight w:val="none"/>
          <w:u w:val="single"/>
        </w:rPr>
        <w:t xml:space="preserve"> </w:t>
      </w:r>
      <w:r>
        <w:rPr>
          <w:rFonts w:hint="eastAsia" w:cs="宋体"/>
          <w:color w:val="auto"/>
          <w:sz w:val="21"/>
          <w:szCs w:val="21"/>
          <w:highlight w:val="none"/>
        </w:rPr>
        <w:t>。</w:t>
      </w:r>
      <w:bookmarkEnd w:id="244"/>
      <w:bookmarkEnd w:id="245"/>
    </w:p>
    <w:p w14:paraId="47EA50F8">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8.6 样品</w:t>
      </w:r>
    </w:p>
    <w:p w14:paraId="22E1945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8.6.1 样品的报送与封存</w:t>
      </w:r>
    </w:p>
    <w:p w14:paraId="13A1E2EE">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需要承包人报送样品的材料或工程设备，样品的种类、名称、规格、数量要求：</w:t>
      </w:r>
      <w:r>
        <w:rPr>
          <w:rFonts w:hint="eastAsia" w:cs="宋体"/>
          <w:color w:val="auto"/>
          <w:sz w:val="21"/>
          <w:szCs w:val="21"/>
          <w:highlight w:val="none"/>
          <w:u w:val="single"/>
        </w:rPr>
        <w:t xml:space="preserve">  按监理或发包人要求确定 </w:t>
      </w:r>
      <w:r>
        <w:rPr>
          <w:rFonts w:hint="eastAsia" w:cs="宋体"/>
          <w:color w:val="auto"/>
          <w:sz w:val="21"/>
          <w:szCs w:val="21"/>
          <w:highlight w:val="none"/>
        </w:rPr>
        <w:t>。</w:t>
      </w:r>
    </w:p>
    <w:p w14:paraId="7B2407E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8.8 施工设备和临时设施</w:t>
      </w:r>
    </w:p>
    <w:p w14:paraId="3DE55D0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8.8.1 承包人提供的施工设备和临时设施</w:t>
      </w:r>
    </w:p>
    <w:p w14:paraId="35D9AB1C">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关于修建临时设施费用承担的约定：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 xml:space="preserve">由承包人自行承担费用 </w:t>
      </w:r>
      <w:r>
        <w:rPr>
          <w:rFonts w:hint="eastAsia" w:cs="宋体"/>
          <w:color w:val="auto"/>
          <w:sz w:val="21"/>
          <w:szCs w:val="21"/>
          <w:highlight w:val="none"/>
          <w:u w:val="single"/>
          <w:lang w:eastAsia="zh-CN"/>
        </w:rPr>
        <w:t>，</w:t>
      </w:r>
      <w:r>
        <w:rPr>
          <w:rFonts w:hint="eastAsia" w:cs="宋体"/>
          <w:color w:val="auto"/>
          <w:sz w:val="21"/>
          <w:szCs w:val="21"/>
          <w:highlight w:val="none"/>
          <w:u w:val="single"/>
          <w:lang w:val="en-US" w:eastAsia="zh-CN"/>
        </w:rPr>
        <w:t>费用含在工程款内</w:t>
      </w:r>
      <w:r>
        <w:rPr>
          <w:rFonts w:hint="eastAsia" w:cs="宋体"/>
          <w:color w:val="auto"/>
          <w:sz w:val="21"/>
          <w:szCs w:val="21"/>
          <w:highlight w:val="none"/>
          <w:u w:val="single"/>
        </w:rPr>
        <w:t xml:space="preserve"> </w:t>
      </w:r>
      <w:r>
        <w:rPr>
          <w:rFonts w:hint="eastAsia" w:cs="宋体"/>
          <w:color w:val="auto"/>
          <w:sz w:val="21"/>
          <w:szCs w:val="21"/>
          <w:highlight w:val="none"/>
        </w:rPr>
        <w:t>。</w:t>
      </w:r>
    </w:p>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14:paraId="35EFDDC4">
      <w:pPr>
        <w:snapToGrid w:val="0"/>
        <w:spacing w:before="312" w:beforeLines="100" w:after="312" w:afterLines="100" w:line="360" w:lineRule="auto"/>
        <w:outlineLvl w:val="2"/>
        <w:rPr>
          <w:rFonts w:cs="宋体"/>
          <w:color w:val="auto"/>
          <w:sz w:val="21"/>
          <w:szCs w:val="21"/>
          <w:highlight w:val="none"/>
        </w:rPr>
      </w:pPr>
      <w:bookmarkStart w:id="262" w:name="_Toc351203641"/>
      <w:r>
        <w:rPr>
          <w:rFonts w:hint="eastAsia" w:cs="宋体"/>
          <w:color w:val="auto"/>
          <w:sz w:val="21"/>
          <w:szCs w:val="21"/>
          <w:highlight w:val="none"/>
        </w:rPr>
        <w:t>9</w:t>
      </w:r>
      <w:bookmarkEnd w:id="241"/>
      <w:bookmarkEnd w:id="242"/>
      <w:bookmarkEnd w:id="243"/>
      <w:bookmarkStart w:id="263" w:name="_Toc312678021"/>
      <w:bookmarkStart w:id="264" w:name="_Toc304295559"/>
      <w:bookmarkStart w:id="265" w:name="_Toc303539139"/>
      <w:bookmarkStart w:id="266" w:name="_Toc297123533"/>
      <w:bookmarkStart w:id="267" w:name="_Toc300934982"/>
      <w:bookmarkStart w:id="268" w:name="_Toc297216192"/>
      <w:bookmarkStart w:id="269" w:name="_Toc312677495"/>
      <w:bookmarkStart w:id="270" w:name="_Toc267251427"/>
      <w:bookmarkStart w:id="271" w:name="_Toc296891213"/>
      <w:bookmarkStart w:id="272" w:name="_Toc292559378"/>
      <w:bookmarkStart w:id="273" w:name="_Toc296347172"/>
      <w:bookmarkStart w:id="274" w:name="_Toc296944512"/>
      <w:bookmarkStart w:id="275" w:name="_Toc267251428"/>
      <w:bookmarkStart w:id="276" w:name="_Toc296346674"/>
      <w:bookmarkStart w:id="277" w:name="_Toc292559883"/>
      <w:bookmarkStart w:id="278" w:name="_Toc296891001"/>
      <w:bookmarkStart w:id="279" w:name="_Toc296503173"/>
      <w:bookmarkStart w:id="280" w:name="_Toc297120473"/>
      <w:bookmarkStart w:id="281" w:name="_Toc297048359"/>
      <w:r>
        <w:rPr>
          <w:rFonts w:hint="eastAsia" w:cs="宋体"/>
          <w:color w:val="auto"/>
          <w:sz w:val="21"/>
          <w:szCs w:val="21"/>
          <w:highlight w:val="none"/>
        </w:rPr>
        <w:t>. 试验与检验</w:t>
      </w:r>
      <w:bookmarkEnd w:id="262"/>
    </w:p>
    <w:bookmarkEnd w:id="263"/>
    <w:bookmarkEnd w:id="264"/>
    <w:bookmarkEnd w:id="265"/>
    <w:bookmarkEnd w:id="266"/>
    <w:bookmarkEnd w:id="267"/>
    <w:bookmarkEnd w:id="268"/>
    <w:bookmarkEnd w:id="269"/>
    <w:p w14:paraId="21934BD1">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9</w:t>
      </w:r>
      <w:bookmarkStart w:id="282" w:name="_Toc312678022"/>
      <w:bookmarkStart w:id="283" w:name="_Toc303539140"/>
      <w:bookmarkStart w:id="284" w:name="_Toc297216193"/>
      <w:bookmarkStart w:id="285" w:name="_Toc297123534"/>
      <w:bookmarkStart w:id="286" w:name="_Toc312677496"/>
      <w:bookmarkStart w:id="287" w:name="_Toc304295560"/>
      <w:bookmarkStart w:id="288" w:name="_Toc300934983"/>
      <w:r>
        <w:rPr>
          <w:rFonts w:hint="eastAsia" w:cs="宋体"/>
          <w:bCs/>
          <w:color w:val="auto"/>
          <w:sz w:val="21"/>
          <w:szCs w:val="21"/>
          <w:highlight w:val="none"/>
        </w:rPr>
        <w:t>.1 试验设备与试验人员</w:t>
      </w:r>
    </w:p>
    <w:bookmarkEnd w:id="282"/>
    <w:bookmarkEnd w:id="283"/>
    <w:bookmarkEnd w:id="284"/>
    <w:bookmarkEnd w:id="285"/>
    <w:bookmarkEnd w:id="286"/>
    <w:bookmarkEnd w:id="287"/>
    <w:bookmarkEnd w:id="288"/>
    <w:p w14:paraId="37D87E4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9</w:t>
      </w:r>
      <w:bookmarkStart w:id="289" w:name="_Toc304295561"/>
      <w:bookmarkStart w:id="290" w:name="_Toc312677497"/>
      <w:bookmarkStart w:id="291" w:name="_Toc300934984"/>
      <w:bookmarkStart w:id="292" w:name="_Toc312678023"/>
      <w:bookmarkStart w:id="293" w:name="_Toc297123535"/>
      <w:bookmarkStart w:id="294" w:name="_Toc297216194"/>
      <w:bookmarkStart w:id="295" w:name="_Toc303539141"/>
      <w:bookmarkStart w:id="296" w:name="_Toc318581174"/>
      <w:r>
        <w:rPr>
          <w:rFonts w:hint="eastAsia" w:cs="宋体"/>
          <w:color w:val="auto"/>
          <w:sz w:val="21"/>
          <w:szCs w:val="21"/>
          <w:highlight w:val="none"/>
        </w:rPr>
        <w:t>.1.2 试验设备</w:t>
      </w:r>
    </w:p>
    <w:bookmarkEnd w:id="289"/>
    <w:bookmarkEnd w:id="290"/>
    <w:bookmarkEnd w:id="291"/>
    <w:bookmarkEnd w:id="292"/>
    <w:bookmarkEnd w:id="293"/>
    <w:bookmarkEnd w:id="294"/>
    <w:bookmarkEnd w:id="295"/>
    <w:p w14:paraId="00D710C5">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u w:val="single"/>
        </w:rPr>
      </w:pPr>
      <w:bookmarkStart w:id="297" w:name="_Toc297216195"/>
      <w:bookmarkStart w:id="298" w:name="_Toc297123536"/>
      <w:bookmarkStart w:id="299" w:name="_Toc304295562"/>
      <w:bookmarkStart w:id="300" w:name="_Toc300934985"/>
      <w:bookmarkStart w:id="301" w:name="_Toc312678024"/>
      <w:bookmarkStart w:id="302" w:name="_Toc312677498"/>
      <w:bookmarkStart w:id="303" w:name="_Toc303539142"/>
      <w:r>
        <w:rPr>
          <w:rFonts w:hint="eastAsia" w:cs="宋体"/>
          <w:color w:val="auto"/>
          <w:sz w:val="21"/>
          <w:szCs w:val="21"/>
          <w:highlight w:val="none"/>
        </w:rPr>
        <w:t xml:space="preserve">施工现场需要配置的试验场所：  </w:t>
      </w:r>
      <w:r>
        <w:rPr>
          <w:rFonts w:hint="eastAsia" w:ascii="宋体" w:hAnsi="宋体" w:eastAsia="宋体" w:cs="宋体"/>
          <w:color w:val="auto"/>
          <w:sz w:val="21"/>
          <w:szCs w:val="21"/>
          <w:highlight w:val="none"/>
          <w:u w:val="single"/>
        </w:rPr>
        <w:t>按有关规定执行，承包人自行承担费用</w:t>
      </w:r>
      <w:r>
        <w:rPr>
          <w:rFonts w:hint="eastAsia" w:cs="宋体"/>
          <w:color w:val="auto"/>
          <w:sz w:val="21"/>
          <w:szCs w:val="21"/>
          <w:highlight w:val="none"/>
        </w:rPr>
        <w:t>。</w:t>
      </w:r>
    </w:p>
    <w:p w14:paraId="3B0B3B8C">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u w:val="single"/>
        </w:rPr>
      </w:pPr>
      <w:r>
        <w:rPr>
          <w:rFonts w:hint="eastAsia" w:cs="宋体"/>
          <w:color w:val="auto"/>
          <w:sz w:val="21"/>
          <w:szCs w:val="21"/>
          <w:highlight w:val="none"/>
        </w:rPr>
        <w:t>施工现场需要配备的试验设备：</w:t>
      </w:r>
      <w:r>
        <w:rPr>
          <w:rFonts w:hint="eastAsia" w:ascii="宋体" w:hAnsi="宋体" w:eastAsia="宋体" w:cs="宋体"/>
          <w:color w:val="auto"/>
          <w:sz w:val="21"/>
          <w:szCs w:val="21"/>
          <w:highlight w:val="none"/>
          <w:u w:val="single"/>
        </w:rPr>
        <w:t>按有关规定执行，承包人自行承担费用</w:t>
      </w:r>
      <w:r>
        <w:rPr>
          <w:rFonts w:hint="eastAsia" w:cs="宋体"/>
          <w:color w:val="auto"/>
          <w:sz w:val="21"/>
          <w:szCs w:val="21"/>
          <w:highlight w:val="none"/>
        </w:rPr>
        <w:t>。</w:t>
      </w:r>
    </w:p>
    <w:p w14:paraId="3B64FC4A">
      <w:pPr>
        <w:keepNext/>
        <w:keepLines/>
        <w:snapToGrid w:val="0"/>
        <w:spacing w:before="120" w:after="120" w:line="360" w:lineRule="auto"/>
        <w:ind w:firstLine="420" w:firstLineChars="200"/>
        <w:outlineLvl w:val="3"/>
        <w:rPr>
          <w:rFonts w:hint="eastAsia" w:cs="宋体"/>
          <w:color w:val="auto"/>
          <w:sz w:val="21"/>
          <w:szCs w:val="21"/>
          <w:highlight w:val="none"/>
        </w:rPr>
      </w:pPr>
      <w:r>
        <w:rPr>
          <w:rFonts w:hint="eastAsia" w:cs="宋体"/>
          <w:color w:val="auto"/>
          <w:sz w:val="21"/>
          <w:szCs w:val="21"/>
          <w:highlight w:val="none"/>
        </w:rPr>
        <w:t>施工现场需要具备的其他试验条件：</w:t>
      </w:r>
      <w:r>
        <w:rPr>
          <w:rFonts w:hint="eastAsia" w:ascii="宋体" w:hAnsi="宋体" w:eastAsia="宋体" w:cs="宋体"/>
          <w:color w:val="auto"/>
          <w:sz w:val="21"/>
          <w:szCs w:val="21"/>
          <w:highlight w:val="none"/>
          <w:u w:val="single"/>
        </w:rPr>
        <w:t>按有关规定执行，承包人自行承担费用</w:t>
      </w:r>
      <w:r>
        <w:rPr>
          <w:rFonts w:hint="eastAsia" w:cs="宋体"/>
          <w:color w:val="auto"/>
          <w:sz w:val="21"/>
          <w:szCs w:val="21"/>
          <w:highlight w:val="none"/>
          <w:u w:val="single"/>
        </w:rPr>
        <w:t xml:space="preserve"> </w:t>
      </w:r>
      <w:r>
        <w:rPr>
          <w:rFonts w:hint="eastAsia" w:cs="宋体"/>
          <w:color w:val="auto"/>
          <w:sz w:val="21"/>
          <w:szCs w:val="21"/>
          <w:highlight w:val="none"/>
        </w:rPr>
        <w:t>。</w:t>
      </w:r>
    </w:p>
    <w:p w14:paraId="70599E05">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 xml:space="preserve">9.4 现场工艺试验 </w:t>
      </w:r>
    </w:p>
    <w:p w14:paraId="6A5D71E0">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现场工艺试验的有关约定：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按有关规定执行，承包人自行承担费用</w:t>
      </w:r>
      <w:r>
        <w:rPr>
          <w:rFonts w:hint="eastAsia" w:cs="宋体"/>
          <w:color w:val="auto"/>
          <w:sz w:val="21"/>
          <w:szCs w:val="21"/>
          <w:highlight w:val="none"/>
          <w:u w:val="single"/>
        </w:rPr>
        <w:t xml:space="preserve">  </w:t>
      </w:r>
      <w:r>
        <w:rPr>
          <w:rFonts w:hint="eastAsia" w:cs="宋体"/>
          <w:color w:val="auto"/>
          <w:sz w:val="21"/>
          <w:szCs w:val="21"/>
          <w:highlight w:val="none"/>
        </w:rPr>
        <w:t>。</w:t>
      </w:r>
    </w:p>
    <w:bookmarkEnd w:id="296"/>
    <w:bookmarkEnd w:id="297"/>
    <w:bookmarkEnd w:id="298"/>
    <w:bookmarkEnd w:id="299"/>
    <w:bookmarkEnd w:id="300"/>
    <w:bookmarkEnd w:id="301"/>
    <w:bookmarkEnd w:id="302"/>
    <w:bookmarkEnd w:id="303"/>
    <w:p w14:paraId="56F431E1">
      <w:pPr>
        <w:snapToGrid w:val="0"/>
        <w:spacing w:before="312" w:beforeLines="100" w:after="312" w:afterLines="100" w:line="360" w:lineRule="auto"/>
        <w:outlineLvl w:val="2"/>
        <w:rPr>
          <w:rFonts w:cs="宋体"/>
          <w:color w:val="auto"/>
          <w:sz w:val="21"/>
          <w:szCs w:val="21"/>
          <w:highlight w:val="none"/>
        </w:rPr>
      </w:pPr>
      <w:bookmarkStart w:id="304" w:name="_Toc351203642"/>
      <w:r>
        <w:rPr>
          <w:rFonts w:hint="eastAsia" w:cs="宋体"/>
          <w:color w:val="auto"/>
          <w:sz w:val="21"/>
          <w:szCs w:val="21"/>
          <w:highlight w:val="none"/>
        </w:rPr>
        <w:t>1</w:t>
      </w:r>
      <w:bookmarkEnd w:id="270"/>
      <w:bookmarkEnd w:id="271"/>
      <w:bookmarkEnd w:id="272"/>
      <w:bookmarkEnd w:id="273"/>
      <w:bookmarkEnd w:id="274"/>
      <w:bookmarkEnd w:id="275"/>
      <w:bookmarkEnd w:id="276"/>
      <w:bookmarkEnd w:id="277"/>
      <w:bookmarkEnd w:id="278"/>
      <w:bookmarkEnd w:id="279"/>
      <w:bookmarkEnd w:id="280"/>
      <w:bookmarkEnd w:id="281"/>
      <w:bookmarkStart w:id="305" w:name="_Toc296891021"/>
      <w:bookmarkStart w:id="306" w:name="_Toc296503193"/>
      <w:bookmarkStart w:id="307" w:name="_Toc303539146"/>
      <w:bookmarkStart w:id="308" w:name="_Toc297216199"/>
      <w:bookmarkStart w:id="309" w:name="_Toc297048379"/>
      <w:bookmarkStart w:id="310" w:name="_Toc297123540"/>
      <w:bookmarkStart w:id="311" w:name="_Toc292559903"/>
      <w:bookmarkStart w:id="312" w:name="_Toc304295566"/>
      <w:bookmarkStart w:id="313" w:name="_Toc296944532"/>
      <w:bookmarkStart w:id="314" w:name="_Toc297120493"/>
      <w:bookmarkStart w:id="315" w:name="_Toc292559398"/>
      <w:bookmarkStart w:id="316" w:name="_Toc296346694"/>
      <w:bookmarkStart w:id="317" w:name="_Toc296891233"/>
      <w:bookmarkStart w:id="318" w:name="_Toc300934989"/>
      <w:bookmarkStart w:id="319" w:name="_Toc296347192"/>
      <w:bookmarkStart w:id="320" w:name="_Toc312678025"/>
      <w:bookmarkStart w:id="321" w:name="_Toc312677499"/>
      <w:bookmarkStart w:id="322" w:name="_Toc267251440"/>
      <w:bookmarkStart w:id="323" w:name="_Toc267251433"/>
      <w:bookmarkStart w:id="324" w:name="_Toc267251439"/>
      <w:bookmarkStart w:id="325" w:name="_Toc267251435"/>
      <w:bookmarkStart w:id="326" w:name="_Toc267251437"/>
      <w:bookmarkStart w:id="327" w:name="_Toc267251441"/>
      <w:bookmarkStart w:id="328" w:name="_Toc267251442"/>
      <w:r>
        <w:rPr>
          <w:rFonts w:hint="eastAsia" w:cs="宋体"/>
          <w:color w:val="auto"/>
          <w:sz w:val="21"/>
          <w:szCs w:val="21"/>
          <w:highlight w:val="none"/>
        </w:rPr>
        <w:t>0. 变更</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bookmarkEnd w:id="320"/>
    <w:bookmarkEnd w:id="321"/>
    <w:p w14:paraId="151D2A73">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w:t>
      </w:r>
      <w:bookmarkStart w:id="329" w:name="_Toc292559399"/>
      <w:bookmarkStart w:id="330" w:name="_Toc296346695"/>
      <w:bookmarkStart w:id="331" w:name="_Toc296891022"/>
      <w:bookmarkStart w:id="332" w:name="_Toc292559904"/>
      <w:bookmarkStart w:id="333" w:name="_Toc296347193"/>
      <w:bookmarkStart w:id="334" w:name="_Toc296944533"/>
      <w:bookmarkStart w:id="335" w:name="_Toc296891234"/>
      <w:bookmarkStart w:id="336" w:name="_Toc297216200"/>
      <w:bookmarkStart w:id="337" w:name="_Toc296503194"/>
      <w:bookmarkStart w:id="338" w:name="_Toc312677500"/>
      <w:bookmarkStart w:id="339" w:name="_Toc297048380"/>
      <w:bookmarkStart w:id="340" w:name="_Toc297120494"/>
      <w:bookmarkStart w:id="341" w:name="_Toc312678026"/>
      <w:bookmarkStart w:id="342" w:name="_Toc303539147"/>
      <w:bookmarkStart w:id="343" w:name="_Toc304295567"/>
      <w:bookmarkStart w:id="344" w:name="_Toc297123541"/>
      <w:bookmarkStart w:id="345" w:name="_Toc300934990"/>
      <w:r>
        <w:rPr>
          <w:rFonts w:hint="eastAsia" w:cs="宋体"/>
          <w:bCs/>
          <w:color w:val="auto"/>
          <w:sz w:val="21"/>
          <w:szCs w:val="21"/>
          <w:highlight w:val="none"/>
        </w:rPr>
        <w:t>0.1 变更的范围</w:t>
      </w:r>
    </w:p>
    <w:p w14:paraId="6EBF1A34">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关于变更的范围的约定：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按有关规定执行，承包人自行承担费用</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BE4116C">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10.4 变更估价</w:t>
      </w:r>
    </w:p>
    <w:p w14:paraId="5B9DED8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10.4.1 变更估价原则</w:t>
      </w:r>
    </w:p>
    <w:p w14:paraId="08863B7B">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关于变更估价的约定：</w:t>
      </w:r>
    </w:p>
    <w:p w14:paraId="7EB38AD0">
      <w:pPr>
        <w:adjustRightInd w:val="0"/>
        <w:snapToGrid w:val="0"/>
        <w:spacing w:line="360" w:lineRule="auto"/>
        <w:ind w:firstLine="422" w:firstLineChars="200"/>
        <w:rPr>
          <w:rFonts w:cs="宋体"/>
          <w:b/>
          <w:color w:val="auto"/>
          <w:sz w:val="21"/>
          <w:szCs w:val="21"/>
          <w:highlight w:val="none"/>
        </w:rPr>
      </w:pPr>
      <w:r>
        <w:rPr>
          <w:rFonts w:hint="eastAsia" w:cs="宋体"/>
          <w:b/>
          <w:color w:val="auto"/>
          <w:sz w:val="21"/>
          <w:szCs w:val="21"/>
          <w:highlight w:val="none"/>
        </w:rPr>
        <w:t>10.4.1.1 因工程变更引起已标价工程量清单项目或其工程数量发生变化时，按下列规定调整：</w:t>
      </w:r>
    </w:p>
    <w:p w14:paraId="34373866">
      <w:pPr>
        <w:pageBreakBefore w:val="0"/>
        <w:kinsoku/>
        <w:wordWrap/>
        <w:topLinePunct w:val="0"/>
        <w:bidi w:val="0"/>
        <w:snapToGrid w:val="0"/>
        <w:spacing w:beforeAutospacing="0" w:line="520" w:lineRule="exact"/>
        <w:ind w:firstLine="422" w:firstLineChars="200"/>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u w:val="single"/>
        </w:rPr>
        <w:t>（1）合同中有类似工程项目的，变更导致结算工程量减少0-100%或增加15%以内部分，执行中标单价；若清单子目实际工程量增加超出清单工程量的15％的，超出15％以外部分，若中标综合单价高于（最高投标限价中综合单价×投标让利幅度）时，按（最高投标限价中综合单价×投标让利幅度）计算；若中标综合单价低于（最高投标限价中综合单价×投标让利幅度）时，执行中标单价(组价明显错误的予以纠正) 。</w:t>
      </w:r>
    </w:p>
    <w:p w14:paraId="5C84C1EB">
      <w:pPr>
        <w:pageBreakBefore w:val="0"/>
        <w:kinsoku/>
        <w:wordWrap/>
        <w:topLinePunct w:val="0"/>
        <w:bidi w:val="0"/>
        <w:snapToGrid w:val="0"/>
        <w:spacing w:beforeAutospacing="0" w:line="520" w:lineRule="exact"/>
        <w:ind w:firstLine="422" w:firstLineChars="200"/>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u w:val="single"/>
        </w:rPr>
        <w:t>注：投标让利幅度为中标价/最高投标限价，其中中标价和最高投标限价均扣除暂定金额、暂估价。</w:t>
      </w:r>
    </w:p>
    <w:p w14:paraId="19BE1808">
      <w:pPr>
        <w:pageBreakBefore w:val="0"/>
        <w:kinsoku/>
        <w:wordWrap/>
        <w:topLinePunct w:val="0"/>
        <w:bidi w:val="0"/>
        <w:snapToGrid w:val="0"/>
        <w:spacing w:beforeAutospacing="0" w:line="520" w:lineRule="exact"/>
        <w:ind w:firstLine="422" w:firstLineChars="200"/>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u w:val="single"/>
        </w:rPr>
        <w:t xml:space="preserve">（2）合同中没有类似工程项目的，由承包人参考“清单计价依据”提出适当的综合单价，报工程造价咨询机构审定后乘以中标价/最高投标限价作为结算依据。（中标价和最高投标限价均应扣除暂列金额和暂估价部分） </w:t>
      </w:r>
    </w:p>
    <w:p w14:paraId="6A865B87">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技术措施费调整：</w:t>
      </w:r>
      <w:r>
        <w:rPr>
          <w:rFonts w:hint="eastAsia" w:ascii="宋体" w:hAnsi="宋体" w:eastAsia="宋体" w:cs="宋体"/>
          <w:b/>
          <w:color w:val="auto"/>
          <w:sz w:val="21"/>
          <w:szCs w:val="21"/>
          <w:highlight w:val="none"/>
          <w:u w:val="single"/>
        </w:rPr>
        <w:t>因承包人擅自改变施工技术措施，造成的价格变动，措施费不予调整。因工程量清单错误必须改变原来施工技术措施，履行变更手续，按照工程变更条款执行。</w:t>
      </w:r>
    </w:p>
    <w:p w14:paraId="1599912C">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组织措施费调整：</w:t>
      </w:r>
      <w:r>
        <w:rPr>
          <w:rFonts w:hint="eastAsia" w:ascii="宋体" w:hAnsi="宋体" w:eastAsia="宋体" w:cs="宋体"/>
          <w:color w:val="auto"/>
          <w:sz w:val="21"/>
          <w:szCs w:val="21"/>
          <w:highlight w:val="none"/>
          <w:u w:val="single"/>
        </w:rPr>
        <w:t xml:space="preserve"> 按实调整。</w:t>
      </w:r>
    </w:p>
    <w:p w14:paraId="6C5E0282">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Start w:id="346" w:name="_Toc296347196"/>
      <w:bookmarkStart w:id="347" w:name="_Toc296944536"/>
      <w:bookmarkStart w:id="348" w:name="_Toc296891237"/>
      <w:bookmarkStart w:id="349" w:name="_Toc296891025"/>
      <w:bookmarkStart w:id="350" w:name="_Toc296503197"/>
      <w:bookmarkStart w:id="351" w:name="_Toc297216203"/>
      <w:bookmarkStart w:id="352" w:name="_Toc303539150"/>
      <w:bookmarkStart w:id="353" w:name="_Toc292559402"/>
      <w:bookmarkStart w:id="354" w:name="_Toc296346698"/>
      <w:bookmarkStart w:id="355" w:name="_Toc297123544"/>
      <w:bookmarkStart w:id="356" w:name="_Toc292559907"/>
      <w:bookmarkStart w:id="357" w:name="_Toc300934993"/>
      <w:bookmarkStart w:id="358" w:name="_Toc297048383"/>
      <w:bookmarkStart w:id="359" w:name="_Toc297120497"/>
      <w:bookmarkStart w:id="360" w:name="_Toc312677503"/>
      <w:bookmarkStart w:id="361" w:name="_Toc304295570"/>
      <w:bookmarkStart w:id="362" w:name="_Toc312678029"/>
      <w:r>
        <w:rPr>
          <w:rFonts w:hint="eastAsia" w:cs="宋体"/>
          <w:bCs/>
          <w:color w:val="auto"/>
          <w:sz w:val="21"/>
          <w:szCs w:val="21"/>
          <w:highlight w:val="none"/>
        </w:rPr>
        <w:t>0.5 承</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Start w:id="363" w:name="_Toc297048389"/>
      <w:bookmarkStart w:id="364" w:name="_Toc297120503"/>
      <w:bookmarkStart w:id="365" w:name="_Toc300934994"/>
      <w:bookmarkStart w:id="366" w:name="_Toc297216204"/>
      <w:bookmarkStart w:id="367" w:name="_Toc296944542"/>
      <w:bookmarkStart w:id="368" w:name="_Toc296891031"/>
      <w:bookmarkStart w:id="369" w:name="_Toc292559913"/>
      <w:bookmarkStart w:id="370" w:name="_Toc303539151"/>
      <w:bookmarkStart w:id="371" w:name="_Toc297123545"/>
      <w:bookmarkStart w:id="372" w:name="_Toc292559408"/>
      <w:bookmarkStart w:id="373" w:name="_Toc296346704"/>
      <w:bookmarkStart w:id="374" w:name="_Toc296503203"/>
      <w:bookmarkStart w:id="375" w:name="_Toc296891243"/>
      <w:bookmarkStart w:id="376" w:name="_Toc296347202"/>
      <w:r>
        <w:rPr>
          <w:rFonts w:hint="eastAsia" w:cs="宋体"/>
          <w:bCs/>
          <w:color w:val="auto"/>
          <w:sz w:val="21"/>
          <w:szCs w:val="21"/>
          <w:highlight w:val="none"/>
        </w:rPr>
        <w:t>包人的合理化建议</w:t>
      </w:r>
    </w:p>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14:paraId="708EE685">
      <w:pPr>
        <w:pageBreakBefore w:val="0"/>
        <w:kinsoku/>
        <w:wordWrap/>
        <w:topLinePunct w:val="0"/>
        <w:bidi w:val="0"/>
        <w:snapToGrid w:val="0"/>
        <w:spacing w:beforeAutospacing="0" w:line="52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监理人审查承包人合理化建议的期限：</w:t>
      </w:r>
      <w:r>
        <w:rPr>
          <w:rFonts w:hint="eastAsia" w:ascii="宋体" w:hAnsi="宋体" w:eastAsia="宋体" w:cs="宋体"/>
          <w:color w:val="auto"/>
          <w:sz w:val="21"/>
          <w:szCs w:val="21"/>
          <w:highlight w:val="none"/>
          <w:u w:val="single"/>
        </w:rPr>
        <w:t xml:space="preserve"> 监理人应在收到承包人提交的合理化建议后7天内审查完毕并报送发包人，发现其中存在技术上的缺陷，应通知承包人修改。</w:t>
      </w:r>
    </w:p>
    <w:p w14:paraId="29C4485E">
      <w:pPr>
        <w:pageBreakBefore w:val="0"/>
        <w:kinsoku/>
        <w:wordWrap/>
        <w:topLinePunct w:val="0"/>
        <w:bidi w:val="0"/>
        <w:snapToGrid w:val="0"/>
        <w:spacing w:beforeAutospacing="0" w:line="52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发包人审批承包人合理化建议的期限：</w:t>
      </w:r>
      <w:r>
        <w:rPr>
          <w:rFonts w:hint="eastAsia" w:ascii="宋体" w:hAnsi="宋体" w:eastAsia="宋体" w:cs="宋体"/>
          <w:color w:val="auto"/>
          <w:sz w:val="21"/>
          <w:szCs w:val="21"/>
          <w:highlight w:val="none"/>
          <w:u w:val="single"/>
        </w:rPr>
        <w:t xml:space="preserve"> 发包人应在收到监理人报送的合理化建议后7天内审批完毕。合理化建议经发包人批准的，监理人应及时发出变更指示，由此引起的合同价格调整按照第10.4款〔变更估价〕约定执行。发包人不同意变更的，监理人应书面通知承包人。</w:t>
      </w:r>
    </w:p>
    <w:p w14:paraId="021B392F">
      <w:pPr>
        <w:pageBreakBefore w:val="0"/>
        <w:kinsoku/>
        <w:wordWrap/>
        <w:topLinePunct w:val="0"/>
        <w:bidi w:val="0"/>
        <w:snapToGrid w:val="0"/>
        <w:spacing w:beforeAutospacing="0" w:line="52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承包人提出的合理化建议降低了合同价格或者提高了工程经济效益的奖励的方法和金额为：</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2E216424">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w:t>
      </w:r>
      <w:bookmarkStart w:id="377" w:name="_Toc296891027"/>
      <w:bookmarkStart w:id="378" w:name="_Toc297048385"/>
      <w:bookmarkStart w:id="379" w:name="_Toc296503199"/>
      <w:bookmarkStart w:id="380" w:name="_Toc292559909"/>
      <w:bookmarkStart w:id="381" w:name="_Toc297216207"/>
      <w:bookmarkStart w:id="382" w:name="_Toc300934997"/>
      <w:bookmarkStart w:id="383" w:name="_Toc312678033"/>
      <w:bookmarkStart w:id="384" w:name="_Toc296347198"/>
      <w:bookmarkStart w:id="385" w:name="_Toc312677507"/>
      <w:bookmarkStart w:id="386" w:name="_Toc296346700"/>
      <w:bookmarkStart w:id="387" w:name="_Toc296891239"/>
      <w:bookmarkStart w:id="388" w:name="_Toc292559404"/>
      <w:bookmarkStart w:id="389" w:name="_Toc303539154"/>
      <w:bookmarkStart w:id="390" w:name="_Toc296944538"/>
      <w:bookmarkStart w:id="391" w:name="_Toc304295574"/>
      <w:bookmarkStart w:id="392" w:name="_Toc297123548"/>
      <w:bookmarkStart w:id="393" w:name="_Toc297120499"/>
      <w:r>
        <w:rPr>
          <w:rFonts w:hint="eastAsia" w:cs="宋体"/>
          <w:bCs/>
          <w:color w:val="auto"/>
          <w:sz w:val="21"/>
          <w:szCs w:val="21"/>
          <w:highlight w:val="none"/>
        </w:rPr>
        <w:t>0.7 暂估价</w:t>
      </w:r>
    </w:p>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14:paraId="118432B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暂</w:t>
      </w:r>
      <w:bookmarkStart w:id="394" w:name="_Toc312678034"/>
      <w:bookmarkStart w:id="395" w:name="_Toc312677508"/>
      <w:bookmarkStart w:id="396" w:name="_Toc318581176"/>
      <w:r>
        <w:rPr>
          <w:rFonts w:hint="eastAsia" w:cs="宋体"/>
          <w:color w:val="auto"/>
          <w:sz w:val="21"/>
          <w:szCs w:val="21"/>
          <w:highlight w:val="none"/>
        </w:rPr>
        <w:t>估价材料和工程设备的明细见附件12：《暂估价一览表》。</w:t>
      </w:r>
    </w:p>
    <w:bookmarkEnd w:id="394"/>
    <w:bookmarkEnd w:id="395"/>
    <w:bookmarkEnd w:id="396"/>
    <w:p w14:paraId="6734994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w:t>
      </w:r>
      <w:bookmarkStart w:id="397" w:name="_Toc312678035"/>
      <w:bookmarkStart w:id="398" w:name="_Toc318581177"/>
      <w:bookmarkStart w:id="399" w:name="_Toc312677509"/>
      <w:r>
        <w:rPr>
          <w:rFonts w:hint="eastAsia" w:cs="宋体"/>
          <w:color w:val="auto"/>
          <w:sz w:val="21"/>
          <w:szCs w:val="21"/>
          <w:highlight w:val="none"/>
        </w:rPr>
        <w:t>0.7.1 依法必须招标的暂估价项目</w:t>
      </w:r>
    </w:p>
    <w:bookmarkEnd w:id="397"/>
    <w:bookmarkEnd w:id="398"/>
    <w:bookmarkEnd w:id="399"/>
    <w:p w14:paraId="216C3953">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对于依法必须招标的暂估价项目的确认和批准采取第</w:t>
      </w:r>
      <w:r>
        <w:rPr>
          <w:rFonts w:hint="eastAsia" w:cs="宋体"/>
          <w:color w:val="auto"/>
          <w:sz w:val="21"/>
          <w:szCs w:val="21"/>
          <w:highlight w:val="none"/>
          <w:u w:val="single"/>
        </w:rPr>
        <w:t>2</w:t>
      </w:r>
      <w:r>
        <w:rPr>
          <w:rFonts w:hint="eastAsia" w:cs="宋体"/>
          <w:color w:val="auto"/>
          <w:sz w:val="21"/>
          <w:szCs w:val="21"/>
          <w:highlight w:val="none"/>
        </w:rPr>
        <w:t>种方式确定。</w:t>
      </w:r>
      <w:r>
        <w:rPr>
          <w:rFonts w:hint="eastAsia" w:cs="宋体"/>
          <w:b/>
          <w:color w:val="auto"/>
          <w:sz w:val="21"/>
          <w:szCs w:val="21"/>
          <w:highlight w:val="none"/>
          <w:u w:val="single"/>
        </w:rPr>
        <w:t>并应按相关规定进行二次招标</w:t>
      </w:r>
      <w:r>
        <w:rPr>
          <w:rFonts w:hint="eastAsia" w:cs="宋体"/>
          <w:color w:val="auto"/>
          <w:sz w:val="21"/>
          <w:szCs w:val="21"/>
          <w:highlight w:val="none"/>
        </w:rPr>
        <w:t>。</w:t>
      </w:r>
    </w:p>
    <w:p w14:paraId="25235EC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10.7.2 不属于依法必须招标的暂估价项目</w:t>
      </w:r>
    </w:p>
    <w:p w14:paraId="17036AD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对于不属于依法必须招标的暂估价项目的确认和批准采取第</w:t>
      </w:r>
      <w:r>
        <w:rPr>
          <w:rFonts w:hint="eastAsia" w:cs="宋体"/>
          <w:color w:val="auto"/>
          <w:sz w:val="21"/>
          <w:szCs w:val="21"/>
          <w:highlight w:val="none"/>
          <w:u w:val="single"/>
        </w:rPr>
        <w:t>1</w:t>
      </w:r>
      <w:r>
        <w:rPr>
          <w:rFonts w:hint="eastAsia" w:cs="宋体"/>
          <w:color w:val="auto"/>
          <w:sz w:val="21"/>
          <w:szCs w:val="21"/>
          <w:highlight w:val="none"/>
        </w:rPr>
        <w:t>种方式确定。</w:t>
      </w:r>
    </w:p>
    <w:p w14:paraId="5F49FE2F">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第3种方式：承包人直接实施的暂估价项目</w:t>
      </w:r>
    </w:p>
    <w:p w14:paraId="4053C8C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承包人直接实施的暂估价项目的约定：</w:t>
      </w:r>
      <w:r>
        <w:rPr>
          <w:rFonts w:hint="eastAsia" w:cs="宋体"/>
          <w:color w:val="auto"/>
          <w:sz w:val="21"/>
          <w:szCs w:val="21"/>
          <w:highlight w:val="none"/>
          <w:u w:val="single"/>
        </w:rPr>
        <w:t xml:space="preserve">  /  </w:t>
      </w:r>
      <w:r>
        <w:rPr>
          <w:rFonts w:hint="eastAsia" w:cs="宋体"/>
          <w:color w:val="auto"/>
          <w:sz w:val="21"/>
          <w:szCs w:val="21"/>
          <w:highlight w:val="none"/>
        </w:rPr>
        <w:t>。</w:t>
      </w:r>
    </w:p>
    <w:p w14:paraId="3A092A57">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10.8 暂列金额</w:t>
      </w:r>
    </w:p>
    <w:p w14:paraId="5A55F143">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合同当事人关于暂列金额使用的约定：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暂列金是发包人为可能发生工程变更而暂列的金额，是发包人自行确定设立的，承包商无权使用此笔费用。此费用按实际发生经发包人签证后确定全部使用、部分使用或不使用。暂列金不计入工程款付款的基数</w:t>
      </w:r>
      <w:r>
        <w:rPr>
          <w:rFonts w:hint="eastAsia" w:cs="宋体"/>
          <w:color w:val="auto"/>
          <w:sz w:val="21"/>
          <w:szCs w:val="21"/>
          <w:highlight w:val="none"/>
        </w:rPr>
        <w:t>。</w:t>
      </w:r>
    </w:p>
    <w:p w14:paraId="7107E05A">
      <w:pPr>
        <w:snapToGrid w:val="0"/>
        <w:spacing w:before="312" w:beforeLines="100" w:after="312" w:afterLines="100" w:line="360" w:lineRule="auto"/>
        <w:outlineLvl w:val="2"/>
        <w:rPr>
          <w:rFonts w:cs="宋体"/>
          <w:color w:val="auto"/>
          <w:sz w:val="21"/>
          <w:szCs w:val="21"/>
          <w:highlight w:val="none"/>
        </w:rPr>
      </w:pPr>
      <w:bookmarkStart w:id="400" w:name="_Toc351203643"/>
      <w:r>
        <w:rPr>
          <w:rFonts w:hint="eastAsia" w:cs="宋体"/>
          <w:color w:val="auto"/>
          <w:sz w:val="21"/>
          <w:szCs w:val="21"/>
          <w:highlight w:val="none"/>
        </w:rPr>
        <w:t>11. 价格调整</w:t>
      </w:r>
      <w:bookmarkEnd w:id="400"/>
    </w:p>
    <w:p w14:paraId="02EF9EAB">
      <w:pPr>
        <w:keepNext/>
        <w:keepLines/>
        <w:snapToGrid w:val="0"/>
        <w:spacing w:before="120" w:after="120" w:line="360" w:lineRule="auto"/>
        <w:ind w:firstLine="420" w:firstLineChars="200"/>
        <w:outlineLvl w:val="3"/>
        <w:rPr>
          <w:rFonts w:cs="宋体"/>
          <w:bCs/>
          <w:color w:val="auto"/>
          <w:sz w:val="21"/>
          <w:szCs w:val="21"/>
          <w:highlight w:val="none"/>
        </w:rPr>
      </w:pPr>
      <w:bookmarkStart w:id="401" w:name="_Toc296891029"/>
      <w:bookmarkStart w:id="402" w:name="_Toc292559406"/>
      <w:bookmarkStart w:id="403" w:name="_Toc296346702"/>
      <w:bookmarkStart w:id="404" w:name="_Toc303539157"/>
      <w:bookmarkStart w:id="405" w:name="_Toc292559911"/>
      <w:bookmarkStart w:id="406" w:name="_Toc297216209"/>
      <w:bookmarkStart w:id="407" w:name="_Toc300935000"/>
      <w:bookmarkStart w:id="408" w:name="_Toc297120501"/>
      <w:bookmarkStart w:id="409" w:name="_Toc304295577"/>
      <w:bookmarkStart w:id="410" w:name="_Toc296891241"/>
      <w:bookmarkStart w:id="411" w:name="_Toc297048387"/>
      <w:bookmarkStart w:id="412" w:name="_Toc297123550"/>
      <w:bookmarkStart w:id="413" w:name="_Toc312678039"/>
      <w:bookmarkStart w:id="414" w:name="_Toc296347200"/>
      <w:bookmarkStart w:id="415" w:name="_Toc296503201"/>
      <w:bookmarkStart w:id="416" w:name="_Toc296944540"/>
      <w:r>
        <w:rPr>
          <w:rFonts w:hint="eastAsia" w:cs="宋体"/>
          <w:bCs/>
          <w:color w:val="auto"/>
          <w:sz w:val="21"/>
          <w:szCs w:val="21"/>
          <w:highlight w:val="none"/>
        </w:rPr>
        <w:t>11.1 市场价格波动引起的调整</w:t>
      </w:r>
    </w:p>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14:paraId="7E32BB96">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市场价格波动是否调整合同价格的约定：</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175D2F7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因市场价格波动调整合同价格，采用以下第</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w:t>
      </w:r>
      <w:r>
        <w:rPr>
          <w:rFonts w:hint="eastAsia" w:cs="宋体"/>
          <w:color w:val="auto"/>
          <w:sz w:val="21"/>
          <w:szCs w:val="21"/>
          <w:highlight w:val="none"/>
          <w:u w:val="single"/>
        </w:rPr>
        <w:t xml:space="preserve">  </w:t>
      </w:r>
      <w:r>
        <w:rPr>
          <w:rFonts w:hint="eastAsia" w:cs="宋体"/>
          <w:color w:val="auto"/>
          <w:sz w:val="21"/>
          <w:szCs w:val="21"/>
          <w:highlight w:val="none"/>
        </w:rPr>
        <w:t>种方式对合同价格进行调整：</w:t>
      </w:r>
    </w:p>
    <w:p w14:paraId="5E94BD01">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第1种方式：采用价格指数进行价格调整。</w:t>
      </w:r>
    </w:p>
    <w:p w14:paraId="2BD1CB7A">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关于各可调因子、定值和变值权重，以及基本价格指数及其来源的约定：</w:t>
      </w:r>
      <w:r>
        <w:rPr>
          <w:rFonts w:hint="eastAsia" w:cs="宋体"/>
          <w:color w:val="auto"/>
          <w:sz w:val="21"/>
          <w:szCs w:val="21"/>
          <w:highlight w:val="none"/>
          <w:u w:val="single"/>
        </w:rPr>
        <w:t xml:space="preserve">     </w:t>
      </w:r>
      <w:r>
        <w:rPr>
          <w:rFonts w:hint="eastAsia" w:cs="宋体"/>
          <w:color w:val="auto"/>
          <w:sz w:val="21"/>
          <w:szCs w:val="21"/>
          <w:highlight w:val="none"/>
        </w:rPr>
        <w:t xml:space="preserve">； </w:t>
      </w:r>
    </w:p>
    <w:p w14:paraId="7F038CA6">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第2种方式：采用造价信息进行价格调整。</w:t>
      </w:r>
    </w:p>
    <w:p w14:paraId="2B0AF3D5">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（1）可调整价格的主要材料范围的约定：</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894BDD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（2）主要材料价差调整周期的约定：</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F7C66E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（3）主要材料价差调整计算方法的约定：</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CDF201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（4）主要材料价差调整时间的约定：</w:t>
      </w:r>
      <w:r>
        <w:rPr>
          <w:rFonts w:hint="eastAsia" w:cs="宋体"/>
          <w:color w:val="auto"/>
          <w:sz w:val="21"/>
          <w:szCs w:val="21"/>
          <w:highlight w:val="none"/>
          <w:u w:val="single"/>
        </w:rPr>
        <w:t xml:space="preserve">       </w:t>
      </w:r>
      <w:r>
        <w:rPr>
          <w:rFonts w:hint="eastAsia" w:cs="宋体"/>
          <w:color w:val="auto"/>
          <w:sz w:val="21"/>
          <w:szCs w:val="21"/>
          <w:highlight w:val="none"/>
        </w:rPr>
        <w:t>。</w:t>
      </w:r>
    </w:p>
    <w:p w14:paraId="43E1A0C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（2）关于基准价格的约定：</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242A0A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①承包人在已标价工程量清单或预算书中载明的材料单价低于基准价格的：专用合同条款合同履行期间材料单价涨幅以基准价格为基础超过</w:t>
      </w:r>
      <w:r>
        <w:rPr>
          <w:rFonts w:hint="eastAsia" w:cs="宋体"/>
          <w:color w:val="auto"/>
          <w:sz w:val="21"/>
          <w:szCs w:val="21"/>
          <w:highlight w:val="none"/>
          <w:u w:val="single"/>
        </w:rPr>
        <w:t xml:space="preserve">    </w:t>
      </w:r>
      <w:r>
        <w:rPr>
          <w:rFonts w:hint="eastAsia" w:cs="宋体"/>
          <w:color w:val="auto"/>
          <w:sz w:val="21"/>
          <w:szCs w:val="21"/>
          <w:highlight w:val="none"/>
        </w:rPr>
        <w:t>%时，或材料单价跌幅以已标价工程量清单或预算书中载明材料单价为基础超过</w:t>
      </w:r>
      <w:r>
        <w:rPr>
          <w:rFonts w:hint="eastAsia" w:cs="宋体"/>
          <w:color w:val="auto"/>
          <w:sz w:val="21"/>
          <w:szCs w:val="21"/>
          <w:highlight w:val="none"/>
          <w:u w:val="single"/>
        </w:rPr>
        <w:t xml:space="preserve">     </w:t>
      </w:r>
      <w:r>
        <w:rPr>
          <w:rFonts w:hint="eastAsia" w:cs="宋体"/>
          <w:color w:val="auto"/>
          <w:sz w:val="21"/>
          <w:szCs w:val="21"/>
          <w:highlight w:val="none"/>
        </w:rPr>
        <w:t>%时，其超过部分据实调整。</w:t>
      </w:r>
    </w:p>
    <w:p w14:paraId="4BF2C553">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②承包人在已标价工程量清单或预算书中载明的材料单价高于基准价格的：专用合同条款合同履行期间材料单价跌幅以基准价格为基础超过</w:t>
      </w:r>
      <w:r>
        <w:rPr>
          <w:rFonts w:hint="eastAsia" w:cs="宋体"/>
          <w:color w:val="auto"/>
          <w:sz w:val="21"/>
          <w:szCs w:val="21"/>
          <w:highlight w:val="none"/>
          <w:u w:val="single"/>
        </w:rPr>
        <w:t xml:space="preserve">    </w:t>
      </w:r>
      <w:r>
        <w:rPr>
          <w:rFonts w:hint="eastAsia" w:cs="宋体"/>
          <w:color w:val="auto"/>
          <w:sz w:val="21"/>
          <w:szCs w:val="21"/>
          <w:highlight w:val="none"/>
        </w:rPr>
        <w:t>%时，材料单价涨幅以已标价工程量清单或预算书中载明材料单价为基础超过</w:t>
      </w:r>
      <w:r>
        <w:rPr>
          <w:rFonts w:hint="eastAsia" w:cs="宋体"/>
          <w:color w:val="auto"/>
          <w:sz w:val="21"/>
          <w:szCs w:val="21"/>
          <w:highlight w:val="none"/>
          <w:u w:val="single"/>
        </w:rPr>
        <w:t xml:space="preserve">     </w:t>
      </w:r>
      <w:r>
        <w:rPr>
          <w:rFonts w:hint="eastAsia" w:cs="宋体"/>
          <w:color w:val="auto"/>
          <w:sz w:val="21"/>
          <w:szCs w:val="21"/>
          <w:highlight w:val="none"/>
        </w:rPr>
        <w:t>%时，其超过部分据实调整。</w:t>
      </w:r>
    </w:p>
    <w:p w14:paraId="2233EEA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③承包人在已标价工程量清单或预算书中载明的材料单价等于基准单价的：专用合同条款合同履行期间材料单价涨跌幅以基准单价为基础超过±</w:t>
      </w:r>
      <w:r>
        <w:rPr>
          <w:rFonts w:hint="eastAsia" w:cs="宋体"/>
          <w:color w:val="auto"/>
          <w:sz w:val="21"/>
          <w:szCs w:val="21"/>
          <w:highlight w:val="none"/>
          <w:u w:val="single"/>
        </w:rPr>
        <w:t xml:space="preserve">    </w:t>
      </w:r>
      <w:r>
        <w:rPr>
          <w:rFonts w:hint="eastAsia" w:cs="宋体"/>
          <w:color w:val="auto"/>
          <w:sz w:val="21"/>
          <w:szCs w:val="21"/>
          <w:highlight w:val="none"/>
        </w:rPr>
        <w:t>%时，其超过部分据实调整。</w:t>
      </w:r>
    </w:p>
    <w:p w14:paraId="6DDED94F">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第3种方式：其他价格调整方式：</w:t>
      </w:r>
      <w:r>
        <w:rPr>
          <w:rFonts w:hint="eastAsia" w:cs="宋体"/>
          <w:color w:val="auto"/>
          <w:sz w:val="21"/>
          <w:szCs w:val="21"/>
          <w:highlight w:val="none"/>
          <w:u w:val="single"/>
        </w:rPr>
        <w:t xml:space="preserve">           </w:t>
      </w:r>
      <w:r>
        <w:rPr>
          <w:rFonts w:hint="eastAsia" w:cs="宋体"/>
          <w:color w:val="auto"/>
          <w:sz w:val="21"/>
          <w:szCs w:val="21"/>
          <w:highlight w:val="none"/>
        </w:rPr>
        <w:t>。</w:t>
      </w:r>
    </w:p>
    <w:bookmarkEnd w:id="322"/>
    <w:bookmarkEnd w:id="323"/>
    <w:bookmarkEnd w:id="324"/>
    <w:bookmarkEnd w:id="325"/>
    <w:bookmarkEnd w:id="326"/>
    <w:bookmarkEnd w:id="327"/>
    <w:p w14:paraId="5660AA18">
      <w:pPr>
        <w:snapToGrid w:val="0"/>
        <w:spacing w:before="312" w:beforeLines="100" w:after="312" w:afterLines="100" w:line="360" w:lineRule="auto"/>
        <w:outlineLvl w:val="2"/>
        <w:rPr>
          <w:rFonts w:cs="宋体"/>
          <w:color w:val="auto"/>
          <w:sz w:val="21"/>
          <w:szCs w:val="21"/>
          <w:highlight w:val="none"/>
        </w:rPr>
      </w:pPr>
      <w:bookmarkStart w:id="417" w:name="_Toc292559915"/>
      <w:bookmarkStart w:id="418" w:name="_Toc296891033"/>
      <w:bookmarkStart w:id="419" w:name="_Toc296346706"/>
      <w:bookmarkStart w:id="420" w:name="_Toc292559410"/>
      <w:bookmarkStart w:id="421" w:name="_Toc296347204"/>
      <w:bookmarkStart w:id="422" w:name="_Toc297120505"/>
      <w:bookmarkStart w:id="423" w:name="_Toc297048391"/>
      <w:bookmarkStart w:id="424" w:name="_Toc296503205"/>
      <w:bookmarkStart w:id="425" w:name="_Toc296944544"/>
      <w:bookmarkStart w:id="426" w:name="_Toc296891245"/>
      <w:bookmarkStart w:id="427" w:name="_Toc351203644"/>
      <w:bookmarkStart w:id="428" w:name="_Toc297216211"/>
      <w:bookmarkStart w:id="429" w:name="_Toc297123552"/>
      <w:bookmarkStart w:id="430" w:name="_Toc304295579"/>
      <w:bookmarkStart w:id="431" w:name="_Toc300935002"/>
      <w:bookmarkStart w:id="432" w:name="_Toc303539159"/>
      <w:bookmarkStart w:id="433" w:name="_Toc312678040"/>
      <w:r>
        <w:rPr>
          <w:rFonts w:hint="eastAsia" w:cs="宋体"/>
          <w:color w:val="auto"/>
          <w:sz w:val="21"/>
          <w:szCs w:val="21"/>
          <w:highlight w:val="none"/>
        </w:rPr>
        <w:t xml:space="preserve">12. </w:t>
      </w:r>
      <w:bookmarkEnd w:id="417"/>
      <w:bookmarkEnd w:id="418"/>
      <w:bookmarkEnd w:id="419"/>
      <w:bookmarkEnd w:id="420"/>
      <w:bookmarkEnd w:id="421"/>
      <w:bookmarkEnd w:id="422"/>
      <w:bookmarkEnd w:id="423"/>
      <w:bookmarkEnd w:id="424"/>
      <w:bookmarkEnd w:id="425"/>
      <w:bookmarkEnd w:id="426"/>
      <w:r>
        <w:rPr>
          <w:rFonts w:hint="eastAsia" w:cs="宋体"/>
          <w:color w:val="auto"/>
          <w:sz w:val="21"/>
          <w:szCs w:val="21"/>
          <w:highlight w:val="none"/>
        </w:rPr>
        <w:t>合同价格、计量与支付</w:t>
      </w:r>
      <w:bookmarkEnd w:id="427"/>
    </w:p>
    <w:bookmarkEnd w:id="428"/>
    <w:bookmarkEnd w:id="429"/>
    <w:bookmarkEnd w:id="430"/>
    <w:bookmarkEnd w:id="431"/>
    <w:bookmarkEnd w:id="432"/>
    <w:bookmarkEnd w:id="433"/>
    <w:p w14:paraId="09F863A0">
      <w:pPr>
        <w:keepNext/>
        <w:keepLines/>
        <w:snapToGrid w:val="0"/>
        <w:spacing w:before="120" w:after="120" w:line="360" w:lineRule="auto"/>
        <w:ind w:firstLine="420" w:firstLineChars="200"/>
        <w:outlineLvl w:val="3"/>
        <w:rPr>
          <w:rFonts w:cs="宋体"/>
          <w:bCs/>
          <w:color w:val="auto"/>
          <w:sz w:val="21"/>
          <w:szCs w:val="21"/>
          <w:highlight w:val="none"/>
        </w:rPr>
      </w:pPr>
      <w:bookmarkStart w:id="434" w:name="_Toc267251461"/>
      <w:bookmarkStart w:id="435" w:name="_Toc292559411"/>
      <w:bookmarkStart w:id="436" w:name="_Toc292559916"/>
      <w:bookmarkStart w:id="437" w:name="_Toc296346707"/>
      <w:bookmarkStart w:id="438" w:name="_Toc296347205"/>
      <w:bookmarkStart w:id="439" w:name="_Toc297120506"/>
      <w:bookmarkStart w:id="440" w:name="_Toc297048392"/>
      <w:bookmarkStart w:id="441" w:name="_Toc296944545"/>
      <w:bookmarkStart w:id="442" w:name="_Toc296503206"/>
      <w:bookmarkStart w:id="443" w:name="_Toc296891246"/>
      <w:bookmarkStart w:id="444" w:name="_Toc296891034"/>
      <w:bookmarkStart w:id="445" w:name="_Toc312678041"/>
      <w:bookmarkStart w:id="446" w:name="_Toc297123553"/>
      <w:bookmarkStart w:id="447" w:name="_Toc300935003"/>
      <w:bookmarkStart w:id="448" w:name="_Toc297216212"/>
      <w:bookmarkStart w:id="449" w:name="_Toc303539160"/>
      <w:bookmarkStart w:id="450" w:name="_Toc304295580"/>
      <w:r>
        <w:rPr>
          <w:rFonts w:hint="eastAsia" w:cs="宋体"/>
          <w:bCs/>
          <w:color w:val="auto"/>
          <w:sz w:val="21"/>
          <w:szCs w:val="21"/>
          <w:highlight w:val="none"/>
        </w:rPr>
        <w:t>12.1 合</w:t>
      </w:r>
      <w:bookmarkEnd w:id="434"/>
      <w:bookmarkEnd w:id="435"/>
      <w:bookmarkEnd w:id="436"/>
      <w:r>
        <w:rPr>
          <w:rFonts w:hint="eastAsia" w:cs="宋体"/>
          <w:bCs/>
          <w:color w:val="auto"/>
          <w:sz w:val="21"/>
          <w:szCs w:val="21"/>
          <w:highlight w:val="none"/>
        </w:rPr>
        <w:t>同价</w:t>
      </w:r>
      <w:bookmarkEnd w:id="437"/>
      <w:bookmarkEnd w:id="438"/>
      <w:bookmarkEnd w:id="439"/>
      <w:bookmarkEnd w:id="440"/>
      <w:bookmarkEnd w:id="441"/>
      <w:bookmarkEnd w:id="442"/>
      <w:bookmarkEnd w:id="443"/>
      <w:bookmarkEnd w:id="444"/>
      <w:r>
        <w:rPr>
          <w:rFonts w:hint="eastAsia" w:cs="宋体"/>
          <w:bCs/>
          <w:color w:val="auto"/>
          <w:sz w:val="21"/>
          <w:szCs w:val="21"/>
          <w:highlight w:val="none"/>
        </w:rPr>
        <w:t>格形式</w:t>
      </w:r>
    </w:p>
    <w:bookmarkEnd w:id="445"/>
    <w:bookmarkEnd w:id="446"/>
    <w:bookmarkEnd w:id="447"/>
    <w:bookmarkEnd w:id="448"/>
    <w:bookmarkEnd w:id="449"/>
    <w:bookmarkEnd w:id="450"/>
    <w:p w14:paraId="6B0DA73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（1）单价合同。</w:t>
      </w:r>
    </w:p>
    <w:p w14:paraId="2F669196">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综合单价包含的风险范围：</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70180A15">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风险费用的计算方法：</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77242D3F">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风险范围以外合同价格的调整方法：</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6C41E11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（2）总价合同。</w:t>
      </w:r>
    </w:p>
    <w:p w14:paraId="4B563814">
      <w:pPr>
        <w:adjustRightInd w:val="0"/>
        <w:snapToGrid w:val="0"/>
        <w:spacing w:line="360" w:lineRule="auto"/>
        <w:ind w:firstLine="420" w:firstLineChars="200"/>
        <w:rPr>
          <w:rFonts w:cs="宋体"/>
          <w:b/>
          <w:color w:val="auto"/>
          <w:sz w:val="21"/>
          <w:szCs w:val="21"/>
          <w:highlight w:val="none"/>
        </w:rPr>
      </w:pPr>
      <w:r>
        <w:rPr>
          <w:rFonts w:hint="eastAsia" w:cs="宋体"/>
          <w:color w:val="auto"/>
          <w:sz w:val="21"/>
          <w:szCs w:val="21"/>
          <w:highlight w:val="none"/>
        </w:rPr>
        <w:t>总价包含的风险范围：</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19CB160E">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风险费用的计算方法：</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435B630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风险范围以外合同价格的调整方法：</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3971DA1F">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（3）其他价格方式：</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71E391DF">
      <w:pPr>
        <w:keepNext/>
        <w:keepLines/>
        <w:snapToGrid w:val="0"/>
        <w:spacing w:before="120" w:after="120" w:line="360" w:lineRule="auto"/>
        <w:ind w:firstLine="420" w:firstLineChars="200"/>
        <w:outlineLvl w:val="3"/>
        <w:rPr>
          <w:rFonts w:cs="宋体"/>
          <w:bCs/>
          <w:color w:val="auto"/>
          <w:sz w:val="21"/>
          <w:szCs w:val="21"/>
          <w:highlight w:val="none"/>
        </w:rPr>
      </w:pPr>
      <w:bookmarkStart w:id="451" w:name="_Toc300935004"/>
      <w:bookmarkStart w:id="452" w:name="_Toc312678042"/>
      <w:bookmarkStart w:id="453" w:name="_Toc297123554"/>
      <w:bookmarkStart w:id="454" w:name="_Toc303539161"/>
      <w:bookmarkStart w:id="455" w:name="_Toc304295581"/>
      <w:bookmarkStart w:id="456" w:name="_Toc297216213"/>
      <w:bookmarkStart w:id="457" w:name="_Toc297120507"/>
      <w:bookmarkStart w:id="458" w:name="_Toc292559917"/>
      <w:bookmarkStart w:id="459" w:name="_Toc292559412"/>
      <w:bookmarkStart w:id="460" w:name="_Toc296346708"/>
      <w:bookmarkStart w:id="461" w:name="_Toc296891035"/>
      <w:bookmarkStart w:id="462" w:name="_Toc296347206"/>
      <w:bookmarkStart w:id="463" w:name="_Toc296503207"/>
      <w:bookmarkStart w:id="464" w:name="_Toc296891247"/>
      <w:bookmarkStart w:id="465" w:name="_Toc297048393"/>
      <w:bookmarkStart w:id="466" w:name="_Toc296944546"/>
      <w:r>
        <w:rPr>
          <w:rFonts w:hint="eastAsia" w:cs="宋体"/>
          <w:bCs/>
          <w:color w:val="auto"/>
          <w:sz w:val="21"/>
          <w:szCs w:val="21"/>
          <w:highlight w:val="none"/>
        </w:rPr>
        <w:t>12.2 预付款</w:t>
      </w:r>
    </w:p>
    <w:bookmarkEnd w:id="451"/>
    <w:bookmarkEnd w:id="452"/>
    <w:bookmarkEnd w:id="453"/>
    <w:bookmarkEnd w:id="454"/>
    <w:bookmarkEnd w:id="455"/>
    <w:bookmarkEnd w:id="456"/>
    <w:p w14:paraId="6180BDF7">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12.2.1 预付款的支付</w:t>
      </w:r>
    </w:p>
    <w:p w14:paraId="01AD1B5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预付款支付比例或金额：</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7F316C01">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预付款支付期限：</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68C6064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预付款扣回的方式：</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4190E18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12.2.2 预付款担保</w:t>
      </w:r>
    </w:p>
    <w:p w14:paraId="02641BD6">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承包人提交预付款担保的期限：</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609210D5">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预付款担保的形式为：</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bookmarkEnd w:id="457"/>
    <w:bookmarkEnd w:id="458"/>
    <w:bookmarkEnd w:id="459"/>
    <w:bookmarkEnd w:id="460"/>
    <w:bookmarkEnd w:id="461"/>
    <w:bookmarkEnd w:id="462"/>
    <w:bookmarkEnd w:id="463"/>
    <w:bookmarkEnd w:id="464"/>
    <w:bookmarkEnd w:id="465"/>
    <w:bookmarkEnd w:id="466"/>
    <w:p w14:paraId="304FED3F">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12.3 计量</w:t>
      </w:r>
    </w:p>
    <w:p w14:paraId="7BE9877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12.3.1 计量原则</w:t>
      </w:r>
    </w:p>
    <w:p w14:paraId="5A6D0054">
      <w:pPr>
        <w:adjustRightInd w:val="0"/>
        <w:snapToGrid w:val="0"/>
        <w:spacing w:line="360" w:lineRule="auto"/>
        <w:ind w:firstLine="420" w:firstLineChars="200"/>
        <w:rPr>
          <w:rFonts w:cs="宋体"/>
          <w:b/>
          <w:color w:val="auto"/>
          <w:sz w:val="21"/>
          <w:szCs w:val="21"/>
          <w:highlight w:val="none"/>
        </w:rPr>
      </w:pPr>
      <w:r>
        <w:rPr>
          <w:rFonts w:hint="eastAsia" w:cs="宋体"/>
          <w:color w:val="auto"/>
          <w:sz w:val="21"/>
          <w:szCs w:val="21"/>
          <w:highlight w:val="none"/>
        </w:rPr>
        <w:t>工程量计算规则：</w:t>
      </w:r>
      <w:r>
        <w:rPr>
          <w:rFonts w:hint="eastAsia" w:cs="宋体"/>
          <w:color w:val="auto"/>
          <w:sz w:val="21"/>
          <w:szCs w:val="21"/>
          <w:highlight w:val="none"/>
          <w:u w:val="single"/>
        </w:rPr>
        <w:t>按招标工程量清单及最高投标限价所采用的工程量清单计价规范及配套文件等</w:t>
      </w:r>
      <w:r>
        <w:rPr>
          <w:rFonts w:hint="eastAsia" w:cs="宋体"/>
          <w:b/>
          <w:color w:val="auto"/>
          <w:sz w:val="21"/>
          <w:szCs w:val="21"/>
          <w:highlight w:val="none"/>
        </w:rPr>
        <w:t>。</w:t>
      </w:r>
    </w:p>
    <w:p w14:paraId="39A6E7C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12.3.2 计量周期</w:t>
      </w:r>
    </w:p>
    <w:p w14:paraId="61CC642E">
      <w:pPr>
        <w:adjustRightInd w:val="0"/>
        <w:snapToGrid w:val="0"/>
        <w:spacing w:line="360" w:lineRule="auto"/>
        <w:ind w:firstLine="420" w:firstLineChars="200"/>
        <w:rPr>
          <w:rFonts w:cs="宋体"/>
          <w:b/>
          <w:color w:val="auto"/>
          <w:sz w:val="21"/>
          <w:szCs w:val="21"/>
          <w:highlight w:val="none"/>
        </w:rPr>
      </w:pPr>
      <w:r>
        <w:rPr>
          <w:rFonts w:hint="eastAsia" w:cs="宋体"/>
          <w:color w:val="auto"/>
          <w:sz w:val="21"/>
          <w:szCs w:val="21"/>
          <w:highlight w:val="none"/>
        </w:rPr>
        <w:t>关于计量周期的约定</w:t>
      </w:r>
      <w:r>
        <w:rPr>
          <w:rFonts w:hint="eastAsia" w:cs="宋体"/>
          <w:b/>
          <w:color w:val="auto"/>
          <w:sz w:val="21"/>
          <w:szCs w:val="21"/>
          <w:highlight w:val="none"/>
        </w:rPr>
        <w:t>：</w:t>
      </w:r>
      <w:r>
        <w:rPr>
          <w:rFonts w:hint="eastAsia" w:cs="宋体"/>
          <w:color w:val="auto"/>
          <w:sz w:val="21"/>
          <w:szCs w:val="21"/>
          <w:highlight w:val="none"/>
          <w:u w:val="single"/>
        </w:rPr>
        <w:t xml:space="preserve"> 见《专用合同条款数据表》  </w:t>
      </w:r>
      <w:r>
        <w:rPr>
          <w:rFonts w:hint="eastAsia" w:cs="宋体"/>
          <w:b/>
          <w:color w:val="auto"/>
          <w:sz w:val="21"/>
          <w:szCs w:val="21"/>
          <w:highlight w:val="none"/>
        </w:rPr>
        <w:t>。</w:t>
      </w:r>
    </w:p>
    <w:p w14:paraId="2B1619E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12.3.3 单价合同的计量</w:t>
      </w:r>
    </w:p>
    <w:p w14:paraId="03E8E447">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关于单价合同计量的约定：</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 xml:space="preserve">  </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FAF8077">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12.3.4 总价合同的计量</w:t>
      </w:r>
    </w:p>
    <w:p w14:paraId="24753FD6">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关于总价合同计量的约定：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不执行</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2E3D22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12.3.5 总价合同采用支付分解表计量支付的，是否适用第12.3.4项〔总价合同的计量〕约定进行计量：</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不执行</w:t>
      </w:r>
      <w:r>
        <w:rPr>
          <w:rFonts w:hint="eastAsia" w:cs="宋体"/>
          <w:b/>
          <w:color w:val="auto"/>
          <w:sz w:val="21"/>
          <w:szCs w:val="21"/>
          <w:highlight w:val="none"/>
        </w:rPr>
        <w:t>。</w:t>
      </w:r>
    </w:p>
    <w:p w14:paraId="39F25A3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12.3.6 其他价格形式合同的计量</w:t>
      </w:r>
    </w:p>
    <w:p w14:paraId="64A226A5">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其他价格形式的计量方式和程序：</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不执行</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290002D">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12.4 工程进度款支付</w:t>
      </w:r>
    </w:p>
    <w:p w14:paraId="523EE2DE">
      <w:pPr>
        <w:adjustRightInd w:val="0"/>
        <w:snapToGrid w:val="0"/>
        <w:spacing w:line="360" w:lineRule="auto"/>
        <w:ind w:firstLine="420" w:firstLineChars="200"/>
        <w:rPr>
          <w:rFonts w:cs="宋体"/>
          <w:color w:val="auto"/>
          <w:sz w:val="21"/>
          <w:szCs w:val="21"/>
          <w:highlight w:val="none"/>
        </w:rPr>
      </w:pPr>
      <w:bookmarkStart w:id="467" w:name="_Toc296346712"/>
      <w:bookmarkStart w:id="468" w:name="_Toc292559921"/>
      <w:bookmarkStart w:id="469" w:name="_Toc297120511"/>
      <w:bookmarkStart w:id="470" w:name="_Toc296503211"/>
      <w:bookmarkStart w:id="471" w:name="_Toc296891251"/>
      <w:bookmarkStart w:id="472" w:name="_Toc296944550"/>
      <w:bookmarkStart w:id="473" w:name="_Toc303539163"/>
      <w:bookmarkStart w:id="474" w:name="_Toc296891039"/>
      <w:bookmarkStart w:id="475" w:name="_Toc297216215"/>
      <w:bookmarkStart w:id="476" w:name="_Toc297048397"/>
      <w:bookmarkStart w:id="477" w:name="_Toc296347210"/>
      <w:bookmarkStart w:id="478" w:name="_Toc297123556"/>
      <w:bookmarkStart w:id="479" w:name="_Toc300935006"/>
      <w:bookmarkStart w:id="480" w:name="_Toc292559416"/>
      <w:r>
        <w:rPr>
          <w:rFonts w:hint="eastAsia" w:cs="宋体"/>
          <w:color w:val="auto"/>
          <w:sz w:val="21"/>
          <w:szCs w:val="21"/>
          <w:highlight w:val="none"/>
        </w:rPr>
        <w:t>12.4.1 付款周期</w:t>
      </w:r>
    </w:p>
    <w:p w14:paraId="5681A1C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关于付款周期的约定：</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3D0C78F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12.4.2 进度付款申请单的编制</w:t>
      </w:r>
    </w:p>
    <w:p w14:paraId="21FD54D2">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关于进度付款申请单编制的约定：</w:t>
      </w:r>
      <w:r>
        <w:rPr>
          <w:rFonts w:hint="eastAsia" w:cs="宋体"/>
          <w:color w:val="auto"/>
          <w:sz w:val="21"/>
          <w:szCs w:val="21"/>
          <w:highlight w:val="none"/>
          <w:u w:val="single"/>
        </w:rPr>
        <w:t xml:space="preserve"> </w:t>
      </w:r>
      <w:r>
        <w:rPr>
          <w:color w:val="auto"/>
          <w:spacing w:val="-7"/>
          <w:sz w:val="21"/>
          <w:szCs w:val="21"/>
          <w:highlight w:val="none"/>
          <w:u w:val="single" w:color="auto"/>
        </w:rPr>
        <w:t>按监理要求</w:t>
      </w:r>
      <w:r>
        <w:rPr>
          <w:rFonts w:hint="eastAsia" w:cs="宋体"/>
          <w:color w:val="auto"/>
          <w:sz w:val="21"/>
          <w:szCs w:val="21"/>
          <w:highlight w:val="none"/>
        </w:rPr>
        <w:t>。</w:t>
      </w:r>
    </w:p>
    <w:p w14:paraId="26DDCCC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Fonts w:hint="eastAsia" w:cs="宋体"/>
          <w:color w:val="auto"/>
          <w:sz w:val="21"/>
          <w:szCs w:val="21"/>
          <w:highlight w:val="none"/>
        </w:rPr>
        <w:t>2.4.3 进度付款申请单的提交</w:t>
      </w:r>
    </w:p>
    <w:p w14:paraId="0AF6BF91">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（1）单价合同进度付款申请单提交的约定：</w:t>
      </w:r>
      <w:r>
        <w:rPr>
          <w:rFonts w:hint="eastAsia" w:cs="宋体"/>
          <w:color w:val="auto"/>
          <w:sz w:val="21"/>
          <w:szCs w:val="21"/>
          <w:highlight w:val="none"/>
          <w:u w:val="single"/>
        </w:rPr>
        <w:t xml:space="preserve">  /  </w:t>
      </w:r>
      <w:r>
        <w:rPr>
          <w:rFonts w:hint="eastAsia" w:cs="宋体"/>
          <w:color w:val="auto"/>
          <w:sz w:val="21"/>
          <w:szCs w:val="21"/>
          <w:highlight w:val="none"/>
        </w:rPr>
        <w:t>。</w:t>
      </w:r>
    </w:p>
    <w:p w14:paraId="292C2A05">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（2）总价合同进度付款申请单提交的约定：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不执行</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4B5D73B">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（3）其他价格形式合同进度付款申请单提交的约定：</w:t>
      </w:r>
      <w:r>
        <w:rPr>
          <w:rFonts w:hint="eastAsia" w:cs="宋体"/>
          <w:color w:val="auto"/>
          <w:sz w:val="21"/>
          <w:szCs w:val="21"/>
          <w:highlight w:val="none"/>
          <w:u w:val="single"/>
        </w:rPr>
        <w:t xml:space="preserve">  /  </w:t>
      </w:r>
      <w:r>
        <w:rPr>
          <w:rFonts w:hint="eastAsia" w:cs="宋体"/>
          <w:color w:val="auto"/>
          <w:sz w:val="21"/>
          <w:szCs w:val="21"/>
          <w:highlight w:val="none"/>
        </w:rPr>
        <w:t>。</w:t>
      </w:r>
    </w:p>
    <w:p w14:paraId="1DE56E4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12.4.4 进度款审核和支付</w:t>
      </w:r>
    </w:p>
    <w:p w14:paraId="49071E58">
      <w:pPr>
        <w:adjustRightInd w:val="0"/>
        <w:snapToGrid w:val="0"/>
        <w:spacing w:line="360" w:lineRule="auto"/>
        <w:ind w:firstLine="420" w:firstLineChars="200"/>
        <w:rPr>
          <w:rFonts w:cs="宋体"/>
          <w:b/>
          <w:color w:val="auto"/>
          <w:sz w:val="21"/>
          <w:szCs w:val="21"/>
          <w:highlight w:val="none"/>
          <w:u w:val="single"/>
        </w:rPr>
      </w:pPr>
      <w:r>
        <w:rPr>
          <w:rFonts w:hint="eastAsia" w:cs="宋体"/>
          <w:color w:val="auto"/>
          <w:sz w:val="21"/>
          <w:szCs w:val="21"/>
          <w:highlight w:val="none"/>
        </w:rPr>
        <w:t>（1）监理人审查并报送发包人的期限：</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执行通用条款</w:t>
      </w:r>
      <w:r>
        <w:rPr>
          <w:rFonts w:hint="eastAsia" w:cs="宋体"/>
          <w:color w:val="auto"/>
          <w:sz w:val="21"/>
          <w:szCs w:val="21"/>
          <w:highlight w:val="none"/>
        </w:rPr>
        <w:t>。</w:t>
      </w:r>
    </w:p>
    <w:p w14:paraId="2C204786">
      <w:pPr>
        <w:adjustRightInd w:val="0"/>
        <w:snapToGrid w:val="0"/>
        <w:spacing w:line="360" w:lineRule="auto"/>
        <w:ind w:firstLine="420" w:firstLineChars="200"/>
        <w:rPr>
          <w:rFonts w:cs="宋体"/>
          <w:b/>
          <w:color w:val="auto"/>
          <w:sz w:val="21"/>
          <w:szCs w:val="21"/>
          <w:highlight w:val="none"/>
          <w:u w:val="single"/>
        </w:rPr>
      </w:pPr>
      <w:r>
        <w:rPr>
          <w:rFonts w:hint="eastAsia" w:cs="宋体"/>
          <w:color w:val="auto"/>
          <w:sz w:val="21"/>
          <w:szCs w:val="21"/>
          <w:highlight w:val="none"/>
        </w:rPr>
        <w:t>发包人完成审批并签发进度款支付证书的期限：</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45BE4CE">
      <w:pPr>
        <w:pageBreakBefore w:val="0"/>
        <w:kinsoku/>
        <w:wordWrap/>
        <w:topLinePunct w:val="0"/>
        <w:bidi w:val="0"/>
        <w:adjustRightInd w:val="0"/>
        <w:snapToGrid w:val="0"/>
        <w:spacing w:beforeAutospacing="0" w:line="520" w:lineRule="exact"/>
        <w:ind w:firstLine="420" w:firstLineChars="200"/>
        <w:rPr>
          <w:rFonts w:hint="eastAsia" w:eastAsia="宋体" w:cs="宋体"/>
          <w:b/>
          <w:bCs/>
          <w:color w:val="auto"/>
          <w:sz w:val="21"/>
          <w:szCs w:val="21"/>
          <w:highlight w:val="none"/>
          <w:lang w:eastAsia="zh-CN"/>
        </w:rPr>
      </w:pPr>
      <w:r>
        <w:rPr>
          <w:rFonts w:hint="eastAsia" w:cs="宋体"/>
          <w:color w:val="auto"/>
          <w:sz w:val="21"/>
          <w:szCs w:val="21"/>
          <w:highlight w:val="none"/>
        </w:rPr>
        <w:t>（2）发包人支付进度款的期限：</w:t>
      </w:r>
      <w:r>
        <w:rPr>
          <w:rFonts w:hint="eastAsia" w:cs="宋体"/>
          <w:b/>
          <w:bCs/>
          <w:color w:val="auto"/>
          <w:sz w:val="21"/>
          <w:szCs w:val="21"/>
          <w:highlight w:val="none"/>
          <w:u w:val="single"/>
          <w:lang w:eastAsia="zh-CN"/>
        </w:rPr>
        <w:t>全部工程完成并经招标人验收合格后支付已完合格工程量价款的80%，结算审核完成后付至结算价款的98%，剩余2%作为工程质量保证金，工程质量保证金在工程缺陷责任期（缺陷责任期：两年，从验收合格之日起计算）满回访合格后一个月内付清。</w:t>
      </w:r>
    </w:p>
    <w:p w14:paraId="657892A5">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发包人逾期支付进度款的违约金的计算方式</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不采用</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8A14D57">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12.4.6 支付分解表的编制</w:t>
      </w:r>
    </w:p>
    <w:p w14:paraId="73B2A7AC">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（2）总价合同支付分解表的编制与审批：</w:t>
      </w:r>
      <w:r>
        <w:rPr>
          <w:rFonts w:hint="eastAsia" w:cs="宋体"/>
          <w:color w:val="auto"/>
          <w:sz w:val="21"/>
          <w:szCs w:val="21"/>
          <w:highlight w:val="none"/>
          <w:u w:val="single"/>
        </w:rPr>
        <w:t xml:space="preserve">  /  </w:t>
      </w:r>
      <w:r>
        <w:rPr>
          <w:rFonts w:hint="eastAsia" w:cs="宋体"/>
          <w:color w:val="auto"/>
          <w:sz w:val="21"/>
          <w:szCs w:val="21"/>
          <w:highlight w:val="none"/>
        </w:rPr>
        <w:t>。</w:t>
      </w:r>
    </w:p>
    <w:p w14:paraId="5CF0D9E1">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（3）单价合同的总价项目支付分解表的编制与审批：</w:t>
      </w:r>
      <w:r>
        <w:rPr>
          <w:rFonts w:hint="eastAsia" w:cs="宋体"/>
          <w:color w:val="auto"/>
          <w:sz w:val="21"/>
          <w:szCs w:val="21"/>
          <w:highlight w:val="none"/>
          <w:u w:val="single"/>
        </w:rPr>
        <w:t xml:space="preserve">  /  </w:t>
      </w:r>
      <w:r>
        <w:rPr>
          <w:rFonts w:hint="eastAsia" w:cs="宋体"/>
          <w:color w:val="auto"/>
          <w:sz w:val="21"/>
          <w:szCs w:val="21"/>
          <w:highlight w:val="none"/>
        </w:rPr>
        <w:t>。</w:t>
      </w:r>
    </w:p>
    <w:p w14:paraId="40E175E5">
      <w:pPr>
        <w:adjustRightInd w:val="0"/>
        <w:snapToGrid w:val="0"/>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12.4.7 农民工工资管理</w:t>
      </w:r>
    </w:p>
    <w:p w14:paraId="33318C6D">
      <w:pPr>
        <w:adjustRightInd w:val="0"/>
        <w:snapToGrid w:val="0"/>
        <w:spacing w:line="360" w:lineRule="auto"/>
        <w:ind w:firstLine="420" w:firstLineChars="200"/>
        <w:rPr>
          <w:rFonts w:cs="宋体"/>
          <w:bCs/>
          <w:color w:val="auto"/>
          <w:sz w:val="21"/>
          <w:szCs w:val="21"/>
          <w:highlight w:val="none"/>
        </w:rPr>
      </w:pPr>
      <w:r>
        <w:rPr>
          <w:rFonts w:hint="eastAsia" w:cs="宋体"/>
          <w:color w:val="auto"/>
          <w:sz w:val="21"/>
          <w:szCs w:val="21"/>
          <w:highlight w:val="none"/>
        </w:rPr>
        <w:t>（1）</w:t>
      </w:r>
      <w:r>
        <w:rPr>
          <w:rFonts w:hint="eastAsia" w:cs="宋体"/>
          <w:bCs/>
          <w:color w:val="auto"/>
          <w:sz w:val="21"/>
          <w:szCs w:val="21"/>
          <w:highlight w:val="none"/>
        </w:rPr>
        <w:t>本工程农民工工资实行专用账户管理，承包人设立的专用账户开户行为</w:t>
      </w:r>
      <w:r>
        <w:rPr>
          <w:rFonts w:hint="eastAsia"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cs="宋体"/>
          <w:bCs/>
          <w:color w:val="auto"/>
          <w:sz w:val="21"/>
          <w:szCs w:val="21"/>
          <w:highlight w:val="none"/>
        </w:rPr>
        <w:t>，账号：</w:t>
      </w:r>
      <w:r>
        <w:rPr>
          <w:rFonts w:hint="eastAsia"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cs="宋体"/>
          <w:bCs/>
          <w:color w:val="auto"/>
          <w:sz w:val="21"/>
          <w:szCs w:val="21"/>
          <w:highlight w:val="none"/>
        </w:rPr>
        <w:t>;</w:t>
      </w:r>
    </w:p>
    <w:p w14:paraId="53C8F094">
      <w:pPr>
        <w:adjustRightInd w:val="0"/>
        <w:snapToGrid w:val="0"/>
        <w:spacing w:line="360" w:lineRule="auto"/>
        <w:ind w:firstLine="420" w:firstLineChars="200"/>
        <w:rPr>
          <w:rFonts w:cs="宋体"/>
          <w:bCs/>
          <w:color w:val="auto"/>
          <w:sz w:val="21"/>
          <w:szCs w:val="21"/>
          <w:highlight w:val="none"/>
        </w:rPr>
      </w:pPr>
      <w:r>
        <w:rPr>
          <w:rFonts w:hint="eastAsia" w:cs="宋体"/>
          <w:color w:val="auto"/>
          <w:sz w:val="21"/>
          <w:szCs w:val="21"/>
          <w:highlight w:val="none"/>
        </w:rPr>
        <w:t>（2）</w:t>
      </w:r>
      <w:r>
        <w:rPr>
          <w:rFonts w:hint="eastAsia" w:cs="宋体"/>
          <w:bCs/>
          <w:color w:val="auto"/>
          <w:sz w:val="21"/>
          <w:szCs w:val="21"/>
          <w:highlight w:val="none"/>
        </w:rPr>
        <w:t>本工程工资性工程款</w:t>
      </w:r>
      <w:r>
        <w:rPr>
          <w:rFonts w:hint="eastAsia"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cs="宋体"/>
          <w:bCs/>
          <w:color w:val="auto"/>
          <w:sz w:val="21"/>
          <w:szCs w:val="21"/>
          <w:highlight w:val="none"/>
        </w:rPr>
        <w:t>元。</w:t>
      </w:r>
    </w:p>
    <w:p w14:paraId="39ED8509">
      <w:pPr>
        <w:adjustRightInd w:val="0"/>
        <w:snapToGrid w:val="0"/>
        <w:spacing w:line="360" w:lineRule="auto"/>
        <w:ind w:firstLine="420" w:firstLineChars="200"/>
        <w:rPr>
          <w:rFonts w:cs="宋体"/>
          <w:bCs/>
          <w:color w:val="auto"/>
          <w:sz w:val="21"/>
          <w:szCs w:val="21"/>
          <w:highlight w:val="none"/>
        </w:rPr>
      </w:pPr>
      <w:r>
        <w:rPr>
          <w:rFonts w:hint="eastAsia" w:cs="宋体"/>
          <w:color w:val="auto"/>
          <w:sz w:val="21"/>
          <w:szCs w:val="21"/>
          <w:highlight w:val="none"/>
        </w:rPr>
        <w:t>（3）</w:t>
      </w:r>
      <w:r>
        <w:rPr>
          <w:rFonts w:hint="eastAsia" w:cs="宋体"/>
          <w:bCs/>
          <w:color w:val="auto"/>
          <w:sz w:val="21"/>
          <w:szCs w:val="21"/>
          <w:highlight w:val="none"/>
        </w:rPr>
        <w:t>发包人于每月25日前将工资性工程进度款转入农民工工资专用账户。</w:t>
      </w:r>
    </w:p>
    <w:p w14:paraId="2D9A46EA">
      <w:pPr>
        <w:adjustRightInd w:val="0"/>
        <w:snapToGrid w:val="0"/>
        <w:spacing w:line="360" w:lineRule="auto"/>
        <w:ind w:firstLine="420" w:firstLineChars="200"/>
        <w:rPr>
          <w:rFonts w:cs="宋体"/>
          <w:bCs/>
          <w:color w:val="auto"/>
          <w:sz w:val="21"/>
          <w:szCs w:val="21"/>
          <w:highlight w:val="none"/>
        </w:rPr>
      </w:pPr>
      <w:r>
        <w:rPr>
          <w:rFonts w:hint="eastAsia" w:cs="宋体"/>
          <w:color w:val="auto"/>
          <w:sz w:val="21"/>
          <w:szCs w:val="21"/>
          <w:highlight w:val="none"/>
        </w:rPr>
        <w:t>（4）</w:t>
      </w:r>
      <w:r>
        <w:rPr>
          <w:rFonts w:hint="eastAsia" w:cs="宋体"/>
          <w:bCs/>
          <w:color w:val="auto"/>
          <w:sz w:val="21"/>
          <w:szCs w:val="21"/>
          <w:highlight w:val="none"/>
        </w:rPr>
        <w:t>承包人每月25日前上报本工程农民工工资清单，每月10日前委托开设农民工工资专用账户的银行支付农民工工资。</w:t>
      </w:r>
    </w:p>
    <w:p w14:paraId="16CBB226">
      <w:pPr>
        <w:adjustRightInd w:val="0"/>
        <w:snapToGrid w:val="0"/>
        <w:spacing w:line="360" w:lineRule="auto"/>
        <w:ind w:firstLine="420" w:firstLineChars="200"/>
        <w:rPr>
          <w:rFonts w:cs="宋体"/>
          <w:b/>
          <w:color w:val="auto"/>
          <w:sz w:val="21"/>
          <w:szCs w:val="21"/>
          <w:highlight w:val="none"/>
        </w:rPr>
      </w:pPr>
      <w:r>
        <w:rPr>
          <w:rFonts w:hint="eastAsia" w:cs="宋体"/>
          <w:color w:val="auto"/>
          <w:sz w:val="21"/>
          <w:szCs w:val="21"/>
          <w:highlight w:val="none"/>
        </w:rPr>
        <w:t>（5）</w:t>
      </w:r>
      <w:r>
        <w:rPr>
          <w:rFonts w:hint="eastAsia" w:cs="宋体"/>
          <w:bCs/>
          <w:color w:val="auto"/>
          <w:sz w:val="21"/>
          <w:szCs w:val="21"/>
          <w:highlight w:val="none"/>
        </w:rPr>
        <w:t>工程竣工后，经项目部农民工维权组确认无农民工工资拖欠后，发、承双方办理农民工工资专用账户撤销手续，农民工工资专用账户余额划至本合同约定的承包人账户。</w:t>
      </w:r>
    </w:p>
    <w:bookmarkEnd w:id="328"/>
    <w:p w14:paraId="42F09FFE">
      <w:pPr>
        <w:snapToGrid w:val="0"/>
        <w:spacing w:before="312" w:beforeLines="100" w:after="312" w:afterLines="100" w:line="360" w:lineRule="auto"/>
        <w:outlineLvl w:val="2"/>
        <w:rPr>
          <w:rFonts w:cs="宋体"/>
          <w:color w:val="auto"/>
          <w:sz w:val="21"/>
          <w:szCs w:val="21"/>
          <w:highlight w:val="none"/>
        </w:rPr>
      </w:pPr>
      <w:bookmarkStart w:id="481" w:name="_Toc351203645"/>
      <w:bookmarkStart w:id="482" w:name="_Toc297123564"/>
      <w:bookmarkStart w:id="483" w:name="_Toc296944558"/>
      <w:bookmarkStart w:id="484" w:name="_Toc312678053"/>
      <w:bookmarkStart w:id="485" w:name="_Toc303539172"/>
      <w:bookmarkStart w:id="486" w:name="_Toc300935015"/>
      <w:bookmarkStart w:id="487" w:name="_Toc296347218"/>
      <w:bookmarkStart w:id="488" w:name="_Toc296891259"/>
      <w:bookmarkStart w:id="489" w:name="_Toc297216223"/>
      <w:bookmarkStart w:id="490" w:name="_Toc292559424"/>
      <w:bookmarkStart w:id="491" w:name="_Toc296346720"/>
      <w:bookmarkStart w:id="492" w:name="_Toc296503219"/>
      <w:bookmarkStart w:id="493" w:name="_Toc292559929"/>
      <w:bookmarkStart w:id="494" w:name="_Toc297048405"/>
      <w:bookmarkStart w:id="495" w:name="_Toc297120519"/>
      <w:bookmarkStart w:id="496" w:name="_Toc304295593"/>
      <w:bookmarkStart w:id="497" w:name="_Toc296891047"/>
      <w:r>
        <w:rPr>
          <w:rFonts w:hint="eastAsia" w:cs="宋体"/>
          <w:color w:val="auto"/>
          <w:sz w:val="21"/>
          <w:szCs w:val="21"/>
          <w:highlight w:val="none"/>
        </w:rPr>
        <w:t>13. 验收和工程试车</w:t>
      </w:r>
      <w:bookmarkEnd w:id="481"/>
    </w:p>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14:paraId="3E5C380E">
      <w:pPr>
        <w:keepNext/>
        <w:keepLines/>
        <w:snapToGrid w:val="0"/>
        <w:spacing w:before="120" w:after="120" w:line="360" w:lineRule="auto"/>
        <w:jc w:val="left"/>
        <w:outlineLvl w:val="2"/>
        <w:rPr>
          <w:rFonts w:cs="宋体"/>
          <w:bCs/>
          <w:color w:val="auto"/>
          <w:sz w:val="21"/>
          <w:szCs w:val="21"/>
          <w:highlight w:val="none"/>
        </w:rPr>
      </w:pPr>
      <w:r>
        <w:rPr>
          <w:rFonts w:hint="eastAsia" w:cs="宋体"/>
          <w:bCs/>
          <w:color w:val="auto"/>
          <w:sz w:val="21"/>
          <w:szCs w:val="21"/>
          <w:highlight w:val="none"/>
        </w:rPr>
        <w:t>13.1 分部分项工程验收</w:t>
      </w:r>
    </w:p>
    <w:p w14:paraId="7E26067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13.1.2 监理人不能按时进行验收时，应提前</w:t>
      </w:r>
      <w:r>
        <w:rPr>
          <w:rFonts w:hint="eastAsia" w:cs="宋体"/>
          <w:color w:val="auto"/>
          <w:sz w:val="21"/>
          <w:szCs w:val="21"/>
          <w:highlight w:val="none"/>
          <w:u w:val="single"/>
        </w:rPr>
        <w:t>24</w:t>
      </w:r>
      <w:r>
        <w:rPr>
          <w:rFonts w:hint="eastAsia" w:cs="宋体"/>
          <w:color w:val="auto"/>
          <w:sz w:val="21"/>
          <w:szCs w:val="21"/>
          <w:highlight w:val="none"/>
        </w:rPr>
        <w:t>小时提交书面延期要求。</w:t>
      </w:r>
    </w:p>
    <w:p w14:paraId="6A1B045E">
      <w:pPr>
        <w:adjustRightInd w:val="0"/>
        <w:snapToGrid w:val="0"/>
        <w:spacing w:line="360" w:lineRule="auto"/>
        <w:ind w:firstLine="420" w:firstLineChars="200"/>
        <w:rPr>
          <w:rFonts w:cs="宋体"/>
          <w:b/>
          <w:color w:val="auto"/>
          <w:sz w:val="21"/>
          <w:szCs w:val="21"/>
          <w:highlight w:val="none"/>
        </w:rPr>
      </w:pPr>
      <w:r>
        <w:rPr>
          <w:rFonts w:hint="eastAsia" w:cs="宋体"/>
          <w:color w:val="auto"/>
          <w:sz w:val="21"/>
          <w:szCs w:val="21"/>
          <w:highlight w:val="none"/>
        </w:rPr>
        <w:t>关于延期最长不得超过：</w:t>
      </w:r>
      <w:r>
        <w:rPr>
          <w:rFonts w:hint="eastAsia" w:cs="宋体"/>
          <w:color w:val="auto"/>
          <w:sz w:val="21"/>
          <w:szCs w:val="21"/>
          <w:highlight w:val="none"/>
          <w:u w:val="single"/>
        </w:rPr>
        <w:t>48</w:t>
      </w:r>
      <w:r>
        <w:rPr>
          <w:rFonts w:hint="eastAsia" w:cs="宋体"/>
          <w:color w:val="auto"/>
          <w:sz w:val="21"/>
          <w:szCs w:val="21"/>
          <w:highlight w:val="none"/>
        </w:rPr>
        <w:t>小时。</w:t>
      </w:r>
    </w:p>
    <w:p w14:paraId="68DD915A">
      <w:pPr>
        <w:keepNext/>
        <w:keepLines/>
        <w:snapToGrid w:val="0"/>
        <w:spacing w:before="120" w:after="120" w:line="360" w:lineRule="auto"/>
        <w:ind w:firstLine="420" w:firstLineChars="200"/>
        <w:outlineLvl w:val="3"/>
        <w:rPr>
          <w:rFonts w:cs="宋体"/>
          <w:bCs/>
          <w:color w:val="auto"/>
          <w:sz w:val="21"/>
          <w:szCs w:val="21"/>
          <w:highlight w:val="none"/>
        </w:rPr>
      </w:pPr>
      <w:bookmarkStart w:id="498" w:name="_Toc297120523"/>
      <w:bookmarkStart w:id="499" w:name="_Toc303539173"/>
      <w:bookmarkStart w:id="500" w:name="_Toc297123565"/>
      <w:bookmarkStart w:id="501" w:name="_Toc300935016"/>
      <w:bookmarkStart w:id="502" w:name="_Toc292559933"/>
      <w:bookmarkStart w:id="503" w:name="_Toc304295596"/>
      <w:bookmarkStart w:id="504" w:name="_Toc296503223"/>
      <w:bookmarkStart w:id="505" w:name="_Toc296944562"/>
      <w:bookmarkStart w:id="506" w:name="_Toc297048409"/>
      <w:bookmarkStart w:id="507" w:name="_Toc296346724"/>
      <w:bookmarkStart w:id="508" w:name="_Toc296891263"/>
      <w:bookmarkStart w:id="509" w:name="_Toc296891051"/>
      <w:bookmarkStart w:id="510" w:name="_Toc292559428"/>
      <w:bookmarkStart w:id="511" w:name="_Toc312678056"/>
      <w:bookmarkStart w:id="512" w:name="_Toc297216224"/>
      <w:bookmarkStart w:id="513" w:name="_Toc296347222"/>
      <w:bookmarkStart w:id="514" w:name="_Toc267251472"/>
      <w:bookmarkStart w:id="515" w:name="_Toc267251470"/>
      <w:bookmarkStart w:id="516" w:name="_Toc267251474"/>
      <w:bookmarkStart w:id="517" w:name="_Toc267251471"/>
      <w:bookmarkStart w:id="518" w:name="_Toc267251475"/>
      <w:bookmarkStart w:id="519" w:name="_Toc267251476"/>
      <w:bookmarkStart w:id="520" w:name="_Toc267251473"/>
      <w:r>
        <w:rPr>
          <w:rFonts w:hint="eastAsia" w:cs="宋体"/>
          <w:bCs/>
          <w:color w:val="auto"/>
          <w:sz w:val="21"/>
          <w:szCs w:val="21"/>
          <w:highlight w:val="none"/>
        </w:rPr>
        <w:t>13.2 竣工验收</w:t>
      </w:r>
    </w:p>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14:paraId="6E0B2230">
      <w:pPr>
        <w:adjustRightInd w:val="0"/>
        <w:snapToGrid w:val="0"/>
        <w:spacing w:line="360" w:lineRule="auto"/>
        <w:ind w:firstLine="420" w:firstLineChars="200"/>
        <w:rPr>
          <w:rFonts w:cs="宋体"/>
          <w:color w:val="auto"/>
          <w:sz w:val="21"/>
          <w:szCs w:val="21"/>
          <w:highlight w:val="none"/>
        </w:rPr>
      </w:pPr>
      <w:bookmarkStart w:id="521" w:name="_Toc280868704"/>
      <w:bookmarkStart w:id="522" w:name="_Toc280868705"/>
      <w:bookmarkStart w:id="523" w:name="_Toc280868706"/>
      <w:bookmarkStart w:id="524" w:name="_Toc280868707"/>
      <w:bookmarkStart w:id="525" w:name="_Toc280868708"/>
      <w:bookmarkStart w:id="526" w:name="_Toc280868709"/>
      <w:r>
        <w:rPr>
          <w:rFonts w:hint="eastAsia" w:cs="宋体"/>
          <w:color w:val="auto"/>
          <w:sz w:val="21"/>
          <w:szCs w:val="21"/>
          <w:highlight w:val="none"/>
        </w:rPr>
        <w:t>13.2.2 竣工验收程序</w:t>
      </w:r>
    </w:p>
    <w:bookmarkEnd w:id="521"/>
    <w:p w14:paraId="0C8F6255">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关于竣工验收程序的约定：</w:t>
      </w:r>
      <w:r>
        <w:rPr>
          <w:rFonts w:hint="eastAsia" w:cs="宋体"/>
          <w:color w:val="auto"/>
          <w:sz w:val="21"/>
          <w:szCs w:val="21"/>
          <w:highlight w:val="none"/>
          <w:u w:val="single"/>
        </w:rPr>
        <w:t>执行通用条款</w:t>
      </w:r>
      <w:r>
        <w:rPr>
          <w:rFonts w:hint="eastAsia" w:cs="宋体"/>
          <w:color w:val="auto"/>
          <w:sz w:val="21"/>
          <w:szCs w:val="21"/>
          <w:highlight w:val="none"/>
        </w:rPr>
        <w:t>。</w:t>
      </w:r>
    </w:p>
    <w:p w14:paraId="2FF2C7ED">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发包人不按照本项约定组织竣工验收、颁发工程接收证书的违约金的计算方法：</w:t>
      </w:r>
      <w:r>
        <w:rPr>
          <w:rFonts w:hint="eastAsia" w:cs="宋体"/>
          <w:color w:val="auto"/>
          <w:sz w:val="21"/>
          <w:szCs w:val="21"/>
          <w:highlight w:val="none"/>
          <w:u w:val="single"/>
        </w:rPr>
        <w:t>执行通用条款</w:t>
      </w:r>
      <w:r>
        <w:rPr>
          <w:rFonts w:hint="eastAsia" w:cs="宋体"/>
          <w:color w:val="auto"/>
          <w:sz w:val="21"/>
          <w:szCs w:val="21"/>
          <w:highlight w:val="none"/>
        </w:rPr>
        <w:t>。</w:t>
      </w:r>
    </w:p>
    <w:bookmarkEnd w:id="522"/>
    <w:p w14:paraId="50B1738B">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13.2.5 移交、接收全部与部分工程</w:t>
      </w:r>
    </w:p>
    <w:bookmarkEnd w:id="523"/>
    <w:p w14:paraId="7DC046E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承包人向发包人移交工程的期限：</w:t>
      </w:r>
      <w:r>
        <w:rPr>
          <w:rFonts w:hint="eastAsia" w:cs="宋体"/>
          <w:color w:val="auto"/>
          <w:sz w:val="21"/>
          <w:szCs w:val="21"/>
          <w:highlight w:val="none"/>
          <w:u w:val="single"/>
        </w:rPr>
        <w:t>颁发工程接收证书后7天内完成工程的移交</w:t>
      </w:r>
      <w:r>
        <w:rPr>
          <w:rFonts w:hint="eastAsia" w:cs="宋体"/>
          <w:color w:val="auto"/>
          <w:sz w:val="21"/>
          <w:szCs w:val="21"/>
          <w:highlight w:val="none"/>
        </w:rPr>
        <w:t>。</w:t>
      </w:r>
    </w:p>
    <w:p w14:paraId="6716384A">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发包人未按本合同约定接收全部或部分工程的，违约金的计算方法为：</w:t>
      </w:r>
      <w:r>
        <w:rPr>
          <w:rFonts w:hint="eastAsia" w:cs="宋体"/>
          <w:color w:val="auto"/>
          <w:sz w:val="21"/>
          <w:szCs w:val="21"/>
          <w:highlight w:val="none"/>
          <w:u w:val="single"/>
        </w:rPr>
        <w:t>发包人自应当接收工程之日起，承担工程照管、成品保护、保管等与工程有关的各项费用</w:t>
      </w:r>
      <w:r>
        <w:rPr>
          <w:rFonts w:hint="eastAsia" w:cs="宋体"/>
          <w:color w:val="auto"/>
          <w:sz w:val="21"/>
          <w:szCs w:val="21"/>
          <w:highlight w:val="none"/>
        </w:rPr>
        <w:t>。</w:t>
      </w:r>
    </w:p>
    <w:bookmarkEnd w:id="524"/>
    <w:p w14:paraId="1C8359EA">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承包人未按时移交工程的，违约金的计算方法为：</w:t>
      </w:r>
      <w:r>
        <w:rPr>
          <w:rFonts w:hint="eastAsia" w:cs="宋体"/>
          <w:color w:val="auto"/>
          <w:sz w:val="21"/>
          <w:szCs w:val="21"/>
          <w:highlight w:val="none"/>
          <w:u w:val="single"/>
        </w:rPr>
        <w:t>承包人应承担工程照管、成品保护、保管等与工程有关的各项费用</w:t>
      </w:r>
      <w:r>
        <w:rPr>
          <w:rFonts w:hint="eastAsia" w:cs="宋体"/>
          <w:color w:val="auto"/>
          <w:sz w:val="21"/>
          <w:szCs w:val="21"/>
          <w:highlight w:val="none"/>
        </w:rPr>
        <w:t>。</w:t>
      </w:r>
    </w:p>
    <w:p w14:paraId="52C7CF32">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13.3 工程试车</w:t>
      </w:r>
    </w:p>
    <w:bookmarkEnd w:id="525"/>
    <w:p w14:paraId="7FA6E5F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13.3.1 试车程序</w:t>
      </w:r>
    </w:p>
    <w:p w14:paraId="2EBA3D2C">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工程试车内容：</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w:t>
      </w:r>
      <w:r>
        <w:rPr>
          <w:rFonts w:hint="eastAsia" w:cs="宋体"/>
          <w:color w:val="auto"/>
          <w:sz w:val="21"/>
          <w:szCs w:val="21"/>
          <w:highlight w:val="none"/>
          <w:u w:val="single"/>
        </w:rPr>
        <w:t xml:space="preserve">                         </w:t>
      </w:r>
      <w:r>
        <w:rPr>
          <w:rFonts w:hint="eastAsia" w:cs="宋体"/>
          <w:color w:val="auto"/>
          <w:sz w:val="21"/>
          <w:szCs w:val="21"/>
          <w:highlight w:val="none"/>
        </w:rPr>
        <w:t>。</w:t>
      </w:r>
    </w:p>
    <w:p w14:paraId="734174C9">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（1）单机无负荷试车费用由</w:t>
      </w:r>
      <w:r>
        <w:rPr>
          <w:rFonts w:hint="eastAsia" w:cs="宋体"/>
          <w:color w:val="auto"/>
          <w:sz w:val="21"/>
          <w:szCs w:val="21"/>
          <w:highlight w:val="none"/>
          <w:u w:val="single"/>
        </w:rPr>
        <w:t>试车消耗的生产性原材料由发包人承担；试车其他费用（包括试车所需水电油等费用）由承包人在投标报价中综合考虑并</w:t>
      </w:r>
      <w:r>
        <w:rPr>
          <w:rFonts w:hint="eastAsia" w:cs="宋体"/>
          <w:color w:val="auto"/>
          <w:sz w:val="21"/>
          <w:szCs w:val="21"/>
          <w:highlight w:val="none"/>
        </w:rPr>
        <w:t>承担；</w:t>
      </w:r>
    </w:p>
    <w:p w14:paraId="45BCDC2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（2）无负荷联动试车费用由</w:t>
      </w:r>
      <w:r>
        <w:rPr>
          <w:rFonts w:hint="eastAsia" w:cs="宋体"/>
          <w:color w:val="auto"/>
          <w:sz w:val="21"/>
          <w:szCs w:val="21"/>
          <w:highlight w:val="none"/>
          <w:u w:val="single"/>
        </w:rPr>
        <w:t>试车消耗的生产性原材料由发包人承担；试车其他费用（包括试车所需水电油等费用）由承包人在投标报价中综合考虑并</w:t>
      </w:r>
      <w:r>
        <w:rPr>
          <w:rFonts w:hint="eastAsia" w:cs="宋体"/>
          <w:color w:val="auto"/>
          <w:sz w:val="21"/>
          <w:szCs w:val="21"/>
          <w:highlight w:val="none"/>
        </w:rPr>
        <w:t>承担。</w:t>
      </w:r>
    </w:p>
    <w:p w14:paraId="69AF392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13.3.3 投料试车</w:t>
      </w:r>
    </w:p>
    <w:p w14:paraId="2E506BC0">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关于投料试车相关事项的约定：</w:t>
      </w:r>
      <w:r>
        <w:rPr>
          <w:rFonts w:hint="eastAsia" w:cs="宋体"/>
          <w:color w:val="auto"/>
          <w:sz w:val="21"/>
          <w:szCs w:val="21"/>
          <w:highlight w:val="none"/>
          <w:u w:val="single"/>
        </w:rPr>
        <w:t>执行通用条款</w:t>
      </w:r>
      <w:r>
        <w:rPr>
          <w:rFonts w:hint="eastAsia" w:cs="宋体"/>
          <w:color w:val="auto"/>
          <w:sz w:val="21"/>
          <w:szCs w:val="21"/>
          <w:highlight w:val="none"/>
        </w:rPr>
        <w:t>。</w:t>
      </w:r>
    </w:p>
    <w:p w14:paraId="7E875CD0">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13.6 竣工退场</w:t>
      </w:r>
    </w:p>
    <w:p w14:paraId="31EE4AC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13.6.1 竣工退场</w:t>
      </w:r>
    </w:p>
    <w:p w14:paraId="0702D793">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承包人完成竣工退场的期限：</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竣工之日起15日内</w:t>
      </w:r>
      <w:r>
        <w:rPr>
          <w:rFonts w:hint="eastAsia" w:ascii="宋体" w:hAnsi="宋体" w:eastAsia="宋体" w:cs="宋体"/>
          <w:color w:val="auto"/>
          <w:sz w:val="21"/>
          <w:szCs w:val="21"/>
          <w:highlight w:val="none"/>
          <w:u w:val="single"/>
          <w:lang w:val="en-US" w:eastAsia="zh-CN"/>
        </w:rPr>
        <w:t xml:space="preserve"> </w:t>
      </w:r>
      <w:r>
        <w:rPr>
          <w:rFonts w:hint="eastAsia" w:cs="宋体"/>
          <w:color w:val="auto"/>
          <w:sz w:val="21"/>
          <w:szCs w:val="21"/>
          <w:highlight w:val="none"/>
        </w:rPr>
        <w:t>。</w:t>
      </w:r>
    </w:p>
    <w:p w14:paraId="6B418B90">
      <w:pPr>
        <w:snapToGrid w:val="0"/>
        <w:spacing w:before="312" w:beforeLines="100" w:after="312" w:afterLines="100" w:line="360" w:lineRule="auto"/>
        <w:outlineLvl w:val="2"/>
        <w:rPr>
          <w:rFonts w:cs="宋体"/>
          <w:color w:val="auto"/>
          <w:sz w:val="21"/>
          <w:szCs w:val="21"/>
          <w:highlight w:val="none"/>
        </w:rPr>
      </w:pPr>
      <w:bookmarkStart w:id="527" w:name="_Toc351203646"/>
      <w:r>
        <w:rPr>
          <w:rFonts w:hint="eastAsia" w:cs="宋体"/>
          <w:color w:val="auto"/>
          <w:sz w:val="21"/>
          <w:szCs w:val="21"/>
          <w:highlight w:val="none"/>
        </w:rPr>
        <w:t>14. 竣工结算</w:t>
      </w:r>
      <w:bookmarkEnd w:id="527"/>
    </w:p>
    <w:p w14:paraId="11522E7B">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14.1 竣工结算申请</w:t>
      </w:r>
    </w:p>
    <w:p w14:paraId="1067E236">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承包人提交竣工结算申请单的期限：</w:t>
      </w:r>
      <w:r>
        <w:rPr>
          <w:rFonts w:hint="eastAsia" w:cs="宋体"/>
          <w:color w:val="auto"/>
          <w:sz w:val="21"/>
          <w:szCs w:val="21"/>
          <w:highlight w:val="none"/>
          <w:u w:val="single"/>
        </w:rPr>
        <w:t>承包人应在工程竣工验收合格后28天内</w:t>
      </w:r>
      <w:r>
        <w:rPr>
          <w:rFonts w:hint="eastAsia" w:cs="宋体"/>
          <w:color w:val="auto"/>
          <w:sz w:val="21"/>
          <w:szCs w:val="21"/>
          <w:highlight w:val="none"/>
        </w:rPr>
        <w:t>。</w:t>
      </w:r>
    </w:p>
    <w:p w14:paraId="2930012D">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竣工结算申请单应包括的内容：</w:t>
      </w:r>
      <w:r>
        <w:rPr>
          <w:rFonts w:hint="eastAsia" w:cs="宋体"/>
          <w:color w:val="auto"/>
          <w:sz w:val="21"/>
          <w:szCs w:val="21"/>
          <w:highlight w:val="none"/>
          <w:u w:val="single"/>
        </w:rPr>
        <w:t>执行通用条款</w:t>
      </w:r>
      <w:r>
        <w:rPr>
          <w:rFonts w:hint="eastAsia" w:cs="宋体"/>
          <w:color w:val="auto"/>
          <w:sz w:val="21"/>
          <w:szCs w:val="21"/>
          <w:highlight w:val="none"/>
        </w:rPr>
        <w:t>。</w:t>
      </w:r>
    </w:p>
    <w:p w14:paraId="5F8DDB8A">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14.2 竣工结算审核</w:t>
      </w:r>
    </w:p>
    <w:p w14:paraId="559A427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发包人审批竣工付款申请单的期限：</w:t>
      </w:r>
      <w:r>
        <w:rPr>
          <w:rFonts w:hint="eastAsia" w:cs="宋体"/>
          <w:color w:val="auto"/>
          <w:sz w:val="21"/>
          <w:szCs w:val="21"/>
          <w:highlight w:val="none"/>
          <w:u w:val="single"/>
        </w:rPr>
        <w:t>发包人应在收到监理人提交的经审核的竣工结算申请单后14天内完成审批</w:t>
      </w:r>
      <w:r>
        <w:rPr>
          <w:rFonts w:hint="eastAsia" w:cs="宋体"/>
          <w:color w:val="auto"/>
          <w:sz w:val="21"/>
          <w:szCs w:val="21"/>
          <w:highlight w:val="none"/>
        </w:rPr>
        <w:t>。</w:t>
      </w:r>
    </w:p>
    <w:p w14:paraId="11DDE718">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发包人完成竣工付款的期限：</w:t>
      </w:r>
      <w:r>
        <w:rPr>
          <w:rFonts w:hint="eastAsia" w:cs="宋体"/>
          <w:color w:val="auto"/>
          <w:sz w:val="21"/>
          <w:szCs w:val="21"/>
          <w:highlight w:val="none"/>
          <w:u w:val="single"/>
        </w:rPr>
        <w:t>发包人应在签发竣工付款证书后的14 天内，完成对承包人的竣工付款</w:t>
      </w:r>
      <w:r>
        <w:rPr>
          <w:rFonts w:hint="eastAsia" w:cs="宋体"/>
          <w:color w:val="auto"/>
          <w:sz w:val="21"/>
          <w:szCs w:val="21"/>
          <w:highlight w:val="none"/>
        </w:rPr>
        <w:t>。</w:t>
      </w:r>
    </w:p>
    <w:p w14:paraId="72BF9FCF">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关于竣工付款证书异议部分复核的方式和程序：</w:t>
      </w:r>
      <w:r>
        <w:rPr>
          <w:rFonts w:hint="eastAsia" w:cs="宋体"/>
          <w:color w:val="auto"/>
          <w:sz w:val="21"/>
          <w:szCs w:val="21"/>
          <w:highlight w:val="none"/>
          <w:u w:val="single"/>
        </w:rPr>
        <w:t>执行通用条款</w:t>
      </w:r>
      <w:r>
        <w:rPr>
          <w:rFonts w:hint="eastAsia" w:cs="宋体"/>
          <w:color w:val="auto"/>
          <w:sz w:val="21"/>
          <w:szCs w:val="21"/>
          <w:highlight w:val="none"/>
        </w:rPr>
        <w:t>。</w:t>
      </w:r>
    </w:p>
    <w:p w14:paraId="1B892369">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14.4 最终结清</w:t>
      </w:r>
    </w:p>
    <w:p w14:paraId="7E41019F">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14.4.1 最终结清申请单</w:t>
      </w:r>
    </w:p>
    <w:p w14:paraId="2BB7492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承包人提交最终结清申请单的份数：</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按</w:t>
      </w:r>
      <w:r>
        <w:rPr>
          <w:color w:val="auto"/>
          <w:sz w:val="21"/>
          <w:szCs w:val="21"/>
          <w:highlight w:val="none"/>
          <w:u w:val="single" w:color="auto"/>
        </w:rPr>
        <w:t>监理要求</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E826579">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承包人提交最终结算申请单的期限：</w:t>
      </w:r>
      <w:r>
        <w:rPr>
          <w:rFonts w:hint="eastAsia" w:cs="宋体"/>
          <w:color w:val="auto"/>
          <w:sz w:val="21"/>
          <w:szCs w:val="21"/>
          <w:highlight w:val="none"/>
          <w:u w:val="single"/>
        </w:rPr>
        <w:t>缺陷责任期终止证书颁发后7天内</w:t>
      </w:r>
      <w:r>
        <w:rPr>
          <w:rFonts w:hint="eastAsia" w:cs="宋体"/>
          <w:color w:val="auto"/>
          <w:sz w:val="21"/>
          <w:szCs w:val="21"/>
          <w:highlight w:val="none"/>
        </w:rPr>
        <w:t xml:space="preserve">。 </w:t>
      </w:r>
    </w:p>
    <w:p w14:paraId="66397B46">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14.4.2 最终结清证书和支付</w:t>
      </w:r>
    </w:p>
    <w:p w14:paraId="5EC6DE2F">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（1）发包人完成最终结清申请单的审批并颁发最终结清证书的期限：</w:t>
      </w:r>
      <w:r>
        <w:rPr>
          <w:rFonts w:hint="eastAsia" w:cs="宋体"/>
          <w:color w:val="auto"/>
          <w:sz w:val="21"/>
          <w:szCs w:val="21"/>
          <w:highlight w:val="none"/>
          <w:u w:val="single"/>
        </w:rPr>
        <w:t>收到承包人提交的最终结清申请单后14天内</w:t>
      </w:r>
      <w:r>
        <w:rPr>
          <w:rFonts w:hint="eastAsia" w:cs="宋体"/>
          <w:color w:val="auto"/>
          <w:sz w:val="21"/>
          <w:szCs w:val="21"/>
          <w:highlight w:val="none"/>
        </w:rPr>
        <w:t>。</w:t>
      </w:r>
    </w:p>
    <w:p w14:paraId="3F2E141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（2）发包人完成支付的期限：</w:t>
      </w:r>
      <w:r>
        <w:rPr>
          <w:rFonts w:hint="eastAsia" w:cs="宋体"/>
          <w:color w:val="auto"/>
          <w:sz w:val="21"/>
          <w:szCs w:val="21"/>
          <w:highlight w:val="none"/>
          <w:u w:val="single"/>
        </w:rPr>
        <w:t>颁发最终结清证书后7天内完成支付</w:t>
      </w:r>
      <w:r>
        <w:rPr>
          <w:rFonts w:hint="eastAsia" w:cs="宋体"/>
          <w:color w:val="auto"/>
          <w:sz w:val="21"/>
          <w:szCs w:val="21"/>
          <w:highlight w:val="none"/>
        </w:rPr>
        <w:t>。</w:t>
      </w:r>
    </w:p>
    <w:bookmarkEnd w:id="514"/>
    <w:bookmarkEnd w:id="515"/>
    <w:bookmarkEnd w:id="516"/>
    <w:bookmarkEnd w:id="517"/>
    <w:bookmarkEnd w:id="518"/>
    <w:bookmarkEnd w:id="519"/>
    <w:bookmarkEnd w:id="520"/>
    <w:bookmarkEnd w:id="526"/>
    <w:p w14:paraId="134A1766">
      <w:pPr>
        <w:snapToGrid w:val="0"/>
        <w:spacing w:before="312" w:beforeLines="100" w:after="312" w:afterLines="100" w:line="360" w:lineRule="auto"/>
        <w:outlineLvl w:val="2"/>
        <w:rPr>
          <w:rFonts w:cs="宋体"/>
          <w:color w:val="auto"/>
          <w:sz w:val="21"/>
          <w:szCs w:val="21"/>
          <w:highlight w:val="none"/>
        </w:rPr>
      </w:pPr>
      <w:bookmarkStart w:id="528" w:name="_Toc351203647"/>
      <w:bookmarkStart w:id="529" w:name="_Toc267251483"/>
      <w:bookmarkStart w:id="530" w:name="_Toc267251482"/>
      <w:bookmarkStart w:id="531" w:name="_Toc267251484"/>
      <w:bookmarkStart w:id="532" w:name="_Toc267251485"/>
      <w:bookmarkStart w:id="533" w:name="_Toc267251489"/>
      <w:bookmarkStart w:id="534" w:name="_Toc267251486"/>
      <w:bookmarkStart w:id="535" w:name="_Toc267251490"/>
      <w:bookmarkStart w:id="536" w:name="_Toc267251488"/>
      <w:bookmarkStart w:id="537" w:name="_Toc267251494"/>
      <w:bookmarkStart w:id="538" w:name="_Toc267251499"/>
      <w:bookmarkStart w:id="539" w:name="_Toc267251498"/>
      <w:bookmarkStart w:id="540" w:name="_Toc267251492"/>
      <w:bookmarkStart w:id="541" w:name="_Toc267251502"/>
      <w:bookmarkStart w:id="542" w:name="_Toc267251497"/>
      <w:bookmarkStart w:id="543" w:name="_Toc267251501"/>
      <w:bookmarkStart w:id="544" w:name="_Toc267251493"/>
      <w:bookmarkStart w:id="545" w:name="_Toc267251496"/>
      <w:bookmarkStart w:id="546" w:name="_Toc267251491"/>
      <w:bookmarkStart w:id="547" w:name="_Toc267251495"/>
      <w:bookmarkStart w:id="548" w:name="_Toc267251503"/>
      <w:bookmarkStart w:id="549" w:name="_Toc267251506"/>
      <w:bookmarkStart w:id="550" w:name="_Toc267251504"/>
      <w:bookmarkStart w:id="551" w:name="_Toc267251507"/>
      <w:bookmarkStart w:id="552" w:name="_Toc267251508"/>
      <w:bookmarkStart w:id="553" w:name="_Toc267251509"/>
      <w:bookmarkStart w:id="554" w:name="_Toc267251514"/>
      <w:bookmarkStart w:id="555" w:name="_Toc267251513"/>
      <w:bookmarkStart w:id="556" w:name="_Toc267251515"/>
      <w:bookmarkStart w:id="557" w:name="_Toc267251511"/>
      <w:bookmarkStart w:id="558" w:name="_Toc267251510"/>
      <w:r>
        <w:rPr>
          <w:rFonts w:hint="eastAsia" w:cs="宋体"/>
          <w:color w:val="auto"/>
          <w:sz w:val="21"/>
          <w:szCs w:val="21"/>
          <w:highlight w:val="none"/>
        </w:rPr>
        <w:t>15. 缺陷责任期与保修</w:t>
      </w:r>
      <w:bookmarkEnd w:id="528"/>
    </w:p>
    <w:p w14:paraId="07EE295A">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15.2 缺陷责任期</w:t>
      </w:r>
      <w:bookmarkEnd w:id="529"/>
    </w:p>
    <w:p w14:paraId="0C339B21">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缺陷责任期的具体期限：</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4D72C5C0">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15.3 质量保证金</w:t>
      </w:r>
    </w:p>
    <w:p w14:paraId="33799AA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关于是否扣留质量保证金的约定：</w:t>
      </w:r>
      <w:r>
        <w:rPr>
          <w:rFonts w:hint="eastAsia" w:cs="宋体"/>
          <w:color w:val="auto"/>
          <w:sz w:val="21"/>
          <w:szCs w:val="21"/>
          <w:highlight w:val="none"/>
          <w:u w:val="single"/>
        </w:rPr>
        <w:t xml:space="preserve">  见《专用合同条款数据表》 </w:t>
      </w:r>
      <w:r>
        <w:rPr>
          <w:rFonts w:hint="eastAsia" w:cs="宋体"/>
          <w:color w:val="auto"/>
          <w:sz w:val="21"/>
          <w:szCs w:val="21"/>
          <w:highlight w:val="none"/>
        </w:rPr>
        <w:t>。在工程项目竣工前，承包人按专用合同条款第3.7款提供履约保证金的，发包人不得同时预留工程质量保证金。</w:t>
      </w:r>
    </w:p>
    <w:p w14:paraId="604C1725">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15.3.1 承包人提供质量保证金的方式</w:t>
      </w:r>
    </w:p>
    <w:p w14:paraId="3869C70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质量保证金可采用以下任意一种方式：</w:t>
      </w:r>
    </w:p>
    <w:p w14:paraId="5E581293">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（1）由银行业金融机构、工程担保公司、保险机构出具银行保函、工程质量保险等担保方式，担保/保证金额为：</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7D8F3AF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7EC60AD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（3）其他方式：</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471A5E2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 xml:space="preserve">15.3.2 质量保证金的扣留 </w:t>
      </w:r>
    </w:p>
    <w:p w14:paraId="73812E7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质量保证金的扣留采取以下第</w:t>
      </w:r>
      <w:r>
        <w:rPr>
          <w:rFonts w:hint="eastAsia" w:cs="宋体"/>
          <w:color w:val="auto"/>
          <w:sz w:val="21"/>
          <w:szCs w:val="21"/>
          <w:highlight w:val="none"/>
          <w:u w:val="single"/>
        </w:rPr>
        <w:t xml:space="preserve">   </w:t>
      </w:r>
      <w:r>
        <w:rPr>
          <w:rFonts w:hint="eastAsia" w:cs="宋体"/>
          <w:color w:val="auto"/>
          <w:sz w:val="21"/>
          <w:szCs w:val="21"/>
          <w:highlight w:val="none"/>
        </w:rPr>
        <w:t>种方式：</w:t>
      </w:r>
    </w:p>
    <w:p w14:paraId="1926F905">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（1）在支付工程进度款时逐次扣留，在此情形下，质量保证金的计算基数不包括预付款的支付、扣回以及价格调整的金额；</w:t>
      </w:r>
    </w:p>
    <w:p w14:paraId="0CD3AAE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（2）工程竣工结算时一次性扣留质量保证金；</w:t>
      </w:r>
    </w:p>
    <w:p w14:paraId="33D8F0B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（3）其他扣留方式：</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F52D80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关于质量保证金的补充约定：</w:t>
      </w:r>
    </w:p>
    <w:p w14:paraId="6EBBB4F7">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u w:val="single"/>
        </w:rPr>
        <w:t>①在工程项目竣工前，承包人按专用合同条款第3.7款提供履约保证金的，可在工程进入缺陷责任期时按照多退少补原则转为质量保证金；</w:t>
      </w:r>
    </w:p>
    <w:bookmarkEnd w:id="530"/>
    <w:bookmarkEnd w:id="531"/>
    <w:p w14:paraId="0A542BF8">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15.4 保修</w:t>
      </w:r>
    </w:p>
    <w:bookmarkEnd w:id="532"/>
    <w:p w14:paraId="702E9833">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15.4.1 保修责任</w:t>
      </w:r>
    </w:p>
    <w:p w14:paraId="73183162">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工程保修期为：</w:t>
      </w:r>
      <w:r>
        <w:rPr>
          <w:rFonts w:hint="eastAsia" w:cs="宋体"/>
          <w:color w:val="auto"/>
          <w:sz w:val="21"/>
          <w:szCs w:val="21"/>
          <w:highlight w:val="none"/>
          <w:u w:val="single"/>
        </w:rPr>
        <w:t>执行《工程质量保修书》规定</w:t>
      </w:r>
      <w:r>
        <w:rPr>
          <w:rFonts w:hint="eastAsia" w:cs="宋体"/>
          <w:color w:val="auto"/>
          <w:sz w:val="21"/>
          <w:szCs w:val="21"/>
          <w:highlight w:val="none"/>
        </w:rPr>
        <w:t>。</w:t>
      </w:r>
    </w:p>
    <w:p w14:paraId="261E3FEB">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15.4.3 修复通知</w:t>
      </w:r>
    </w:p>
    <w:p w14:paraId="4D210F0A">
      <w:pPr>
        <w:pStyle w:val="50"/>
        <w:keepNext w:val="0"/>
        <w:keepLines w:val="0"/>
        <w:widowControl/>
        <w:suppressLineNumbers w:val="0"/>
        <w:spacing w:line="240" w:lineRule="auto"/>
        <w:ind w:left="0" w:firstLine="428"/>
        <w:jc w:val="left"/>
        <w:textAlignment w:val="center"/>
        <w:rPr>
          <w:rFonts w:cs="宋体"/>
          <w:color w:val="auto"/>
          <w:sz w:val="21"/>
          <w:szCs w:val="21"/>
          <w:highlight w:val="none"/>
          <w:u w:val="single"/>
        </w:rPr>
      </w:pPr>
      <w:r>
        <w:rPr>
          <w:rFonts w:hint="eastAsia" w:cs="宋体"/>
          <w:color w:val="auto"/>
          <w:sz w:val="21"/>
          <w:szCs w:val="21"/>
          <w:highlight w:val="none"/>
        </w:rPr>
        <w:t>承包人收到保修通知并到达工程现场的合理时间：</w:t>
      </w:r>
      <w:r>
        <w:rPr>
          <w:rFonts w:hint="eastAsia" w:cs="宋体"/>
          <w:color w:val="auto"/>
          <w:sz w:val="21"/>
          <w:szCs w:val="21"/>
          <w:highlight w:val="none"/>
          <w:u w:val="single"/>
        </w:rPr>
        <w:t xml:space="preserve">  </w:t>
      </w:r>
      <w:r>
        <w:rPr>
          <w:rFonts w:hint="eastAsia" w:ascii="宋体" w:hAnsi="宋体" w:eastAsia="宋体" w:cs="宋体"/>
          <w:color w:val="auto"/>
          <w:spacing w:val="0"/>
          <w:position w:val="0"/>
          <w:sz w:val="21"/>
          <w:szCs w:val="21"/>
          <w:highlight w:val="none"/>
          <w:u w:val="single"/>
        </w:rPr>
        <w:t>自承包人收到保修通知起24 小时内到达工程现场</w:t>
      </w:r>
      <w:r>
        <w:rPr>
          <w:rFonts w:hint="eastAsia" w:cs="宋体"/>
          <w:color w:val="auto"/>
          <w:sz w:val="21"/>
          <w:szCs w:val="21"/>
          <w:highlight w:val="none"/>
          <w:u w:val="single"/>
        </w:rPr>
        <w:t xml:space="preserve"> </w:t>
      </w:r>
      <w:r>
        <w:rPr>
          <w:rFonts w:hint="eastAsia" w:cs="宋体"/>
          <w:color w:val="auto"/>
          <w:sz w:val="21"/>
          <w:szCs w:val="21"/>
          <w:highlight w:val="none"/>
        </w:rPr>
        <w:t>。</w:t>
      </w:r>
    </w:p>
    <w:bookmarkEnd w:id="533"/>
    <w:bookmarkEnd w:id="534"/>
    <w:bookmarkEnd w:id="535"/>
    <w:bookmarkEnd w:id="536"/>
    <w:p w14:paraId="75723A99">
      <w:pPr>
        <w:snapToGrid w:val="0"/>
        <w:spacing w:before="312" w:beforeLines="100" w:after="312" w:afterLines="100" w:line="360" w:lineRule="auto"/>
        <w:outlineLvl w:val="2"/>
        <w:rPr>
          <w:rFonts w:cs="宋体"/>
          <w:color w:val="auto"/>
          <w:sz w:val="21"/>
          <w:szCs w:val="21"/>
          <w:highlight w:val="none"/>
        </w:rPr>
      </w:pPr>
      <w:bookmarkStart w:id="559" w:name="_Toc351203648"/>
      <w:bookmarkStart w:id="560" w:name="_Toc280868717"/>
      <w:bookmarkStart w:id="561" w:name="_Toc280868718"/>
      <w:r>
        <w:rPr>
          <w:rFonts w:hint="eastAsia" w:cs="宋体"/>
          <w:color w:val="auto"/>
          <w:sz w:val="21"/>
          <w:szCs w:val="21"/>
          <w:highlight w:val="none"/>
        </w:rPr>
        <w:t>16. 违约</w:t>
      </w:r>
      <w:bookmarkEnd w:id="559"/>
    </w:p>
    <w:p w14:paraId="7A5F2907">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16.1 发包人违约</w:t>
      </w:r>
    </w:p>
    <w:p w14:paraId="0F5DBCE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16.1.1 发包人违约的情形</w:t>
      </w:r>
    </w:p>
    <w:p w14:paraId="165E543D">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发包人违约的其他情形：</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无</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827C62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16.1.2 发包人违约的责任</w:t>
      </w:r>
    </w:p>
    <w:p w14:paraId="2D48FA1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发包人违约责任的承担方式和计算方法：</w:t>
      </w:r>
    </w:p>
    <w:p w14:paraId="178E4E03">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（1）因发包人原因未能在计划开工日期前7天内下达开工通知的违约责任：</w:t>
      </w:r>
      <w:r>
        <w:rPr>
          <w:rFonts w:hint="eastAsia" w:cs="宋体"/>
          <w:color w:val="auto"/>
          <w:sz w:val="21"/>
          <w:szCs w:val="21"/>
          <w:highlight w:val="none"/>
          <w:u w:val="single"/>
        </w:rPr>
        <w:t xml:space="preserve"> </w:t>
      </w:r>
      <w:r>
        <w:rPr>
          <w:rFonts w:hint="eastAsia" w:ascii="宋体" w:cs="宋体"/>
          <w:color w:val="auto"/>
          <w:kern w:val="0"/>
          <w:sz w:val="21"/>
          <w:szCs w:val="21"/>
          <w:highlight w:val="none"/>
          <w:u w:val="single"/>
        </w:rPr>
        <w:t>对工期造成影响的可顺延工期</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6CAA92D">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（2）因发包人原因未能按合同约定支付合同价款的违约责任：</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无</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9CF0BAF">
      <w:pPr>
        <w:adjustRightInd w:val="0"/>
        <w:snapToGrid w:val="0"/>
        <w:spacing w:line="360" w:lineRule="auto"/>
        <w:ind w:firstLine="420" w:firstLineChars="200"/>
        <w:rPr>
          <w:rFonts w:cs="宋体"/>
          <w:b/>
          <w:color w:val="auto"/>
          <w:sz w:val="21"/>
          <w:szCs w:val="21"/>
          <w:highlight w:val="none"/>
          <w:u w:val="single"/>
        </w:rPr>
      </w:pPr>
      <w:r>
        <w:rPr>
          <w:rFonts w:hint="eastAsia" w:cs="宋体"/>
          <w:color w:val="auto"/>
          <w:sz w:val="21"/>
          <w:szCs w:val="21"/>
          <w:highlight w:val="none"/>
        </w:rPr>
        <w:t>（3）发包人违反第10.1款〔变更的范围〕第（2）项约定，自行实施被取消的工作或转由他人实施的违约责任：</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无</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3D1B6BF">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（4）发包人提供的材料、工程设备的规格、数量或质量不符合合同约定，或因发包人原因导致交货日期延误或交货地点变更等情况的违约责任：</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无</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992ED59">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（5）因发包人违反合同约定造成暂停施工的违约责任：</w:t>
      </w:r>
      <w:r>
        <w:rPr>
          <w:rFonts w:hint="eastAsia" w:cs="宋体"/>
          <w:color w:val="auto"/>
          <w:sz w:val="21"/>
          <w:szCs w:val="21"/>
          <w:highlight w:val="none"/>
          <w:u w:val="single"/>
        </w:rPr>
        <w:t xml:space="preserve"> </w:t>
      </w:r>
      <w:r>
        <w:rPr>
          <w:rFonts w:hint="eastAsia" w:ascii="宋体" w:cs="宋体"/>
          <w:color w:val="auto"/>
          <w:kern w:val="0"/>
          <w:szCs w:val="21"/>
          <w:highlight w:val="none"/>
          <w:u w:val="single"/>
        </w:rPr>
        <w:t>对工期造成影响的可顺延工期</w:t>
      </w:r>
      <w:r>
        <w:rPr>
          <w:rFonts w:hint="eastAsia" w:cs="宋体"/>
          <w:color w:val="auto"/>
          <w:sz w:val="21"/>
          <w:szCs w:val="21"/>
          <w:highlight w:val="none"/>
        </w:rPr>
        <w:t>。</w:t>
      </w:r>
    </w:p>
    <w:p w14:paraId="071D7B1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（6）发包人无正当理由没有在约定期限内发出复工指示，导致承包人无法复工的违约责任：</w:t>
      </w:r>
      <w:r>
        <w:rPr>
          <w:rFonts w:hint="eastAsia" w:cs="宋体"/>
          <w:color w:val="auto"/>
          <w:sz w:val="21"/>
          <w:szCs w:val="21"/>
          <w:highlight w:val="none"/>
          <w:u w:val="single"/>
        </w:rPr>
        <w:t xml:space="preserve"> </w:t>
      </w:r>
      <w:r>
        <w:rPr>
          <w:rFonts w:hint="eastAsia" w:ascii="宋体" w:cs="宋体"/>
          <w:color w:val="auto"/>
          <w:kern w:val="0"/>
          <w:szCs w:val="21"/>
          <w:highlight w:val="none"/>
          <w:u w:val="single"/>
        </w:rPr>
        <w:t>对工期造成影响的可顺延工期</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59DCB77">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（7）其他：</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无</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14ADB3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16.1.3 因发包人违约解除合同</w:t>
      </w:r>
    </w:p>
    <w:p w14:paraId="166B3D8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承包人按16.1.1项〔发包人违约的情形〕约定暂停施工满</w:t>
      </w:r>
      <w:r>
        <w:rPr>
          <w:rFonts w:hint="eastAsia" w:cs="宋体"/>
          <w:color w:val="auto"/>
          <w:sz w:val="21"/>
          <w:szCs w:val="21"/>
          <w:highlight w:val="none"/>
          <w:u w:val="single"/>
        </w:rPr>
        <w:t>28</w:t>
      </w:r>
      <w:r>
        <w:rPr>
          <w:rFonts w:hint="eastAsia" w:cs="宋体"/>
          <w:color w:val="auto"/>
          <w:sz w:val="21"/>
          <w:szCs w:val="21"/>
          <w:highlight w:val="none"/>
        </w:rPr>
        <w:t>天后发包人仍不纠正其违约行为并致使合同目的不能实现的，承包人有权解除合同。</w:t>
      </w:r>
    </w:p>
    <w:p w14:paraId="6387DDD0">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16.2 承包人违约</w:t>
      </w:r>
    </w:p>
    <w:p w14:paraId="3FB0A99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16.2.1 承包人违约的情形</w:t>
      </w:r>
    </w:p>
    <w:p w14:paraId="1792758E">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承包人违约的其他情形：</w:t>
      </w:r>
      <w:r>
        <w:rPr>
          <w:rFonts w:hint="eastAsia" w:cs="宋体"/>
          <w:color w:val="auto"/>
          <w:sz w:val="21"/>
          <w:szCs w:val="21"/>
          <w:highlight w:val="none"/>
          <w:u w:val="single"/>
        </w:rPr>
        <w:t xml:space="preserve">    </w:t>
      </w:r>
      <w:r>
        <w:rPr>
          <w:rFonts w:hint="eastAsia" w:ascii="宋体" w:hAnsi="宋体" w:eastAsia="宋体" w:cs="宋体"/>
          <w:color w:val="auto"/>
          <w:kern w:val="0"/>
          <w:sz w:val="21"/>
          <w:szCs w:val="21"/>
          <w:highlight w:val="none"/>
          <w:u w:val="single"/>
        </w:rPr>
        <w:t>执行通用条款</w:t>
      </w:r>
      <w:r>
        <w:rPr>
          <w:rFonts w:hint="eastAsia" w:cs="宋体"/>
          <w:color w:val="auto"/>
          <w:sz w:val="21"/>
          <w:szCs w:val="21"/>
          <w:highlight w:val="none"/>
          <w:u w:val="single"/>
        </w:rPr>
        <w:t xml:space="preserve"> </w:t>
      </w:r>
      <w:r>
        <w:rPr>
          <w:rFonts w:hint="eastAsia" w:cs="宋体"/>
          <w:color w:val="auto"/>
          <w:sz w:val="21"/>
          <w:szCs w:val="21"/>
          <w:highlight w:val="none"/>
        </w:rPr>
        <w:t>。</w:t>
      </w:r>
    </w:p>
    <w:p w14:paraId="4FB3589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16.2.2 承包人违约的责任</w:t>
      </w:r>
    </w:p>
    <w:p w14:paraId="3D3DD1F4">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承包人违约责任的承担方式和计算方法：</w:t>
      </w:r>
      <w:r>
        <w:rPr>
          <w:rFonts w:hint="eastAsia" w:cs="宋体"/>
          <w:color w:val="auto"/>
          <w:sz w:val="21"/>
          <w:szCs w:val="21"/>
          <w:highlight w:val="none"/>
          <w:u w:val="single"/>
        </w:rPr>
        <w:t xml:space="preserve">  </w:t>
      </w:r>
      <w:r>
        <w:rPr>
          <w:rFonts w:hint="eastAsia" w:ascii="宋体" w:hAnsi="宋体" w:eastAsia="宋体" w:cs="宋体"/>
          <w:color w:val="auto"/>
          <w:kern w:val="0"/>
          <w:sz w:val="21"/>
          <w:szCs w:val="21"/>
          <w:highlight w:val="none"/>
          <w:u w:val="single"/>
        </w:rPr>
        <w:t>由承包人承担全部费用并承担相关法律责任</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67BDA9B">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16.2.3 因承包人违约解除合同</w:t>
      </w:r>
    </w:p>
    <w:p w14:paraId="2106946D">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关于承包人违约解除合同的特别约定：</w:t>
      </w:r>
      <w:r>
        <w:rPr>
          <w:rFonts w:hint="eastAsia" w:cs="宋体"/>
          <w:color w:val="auto"/>
          <w:sz w:val="21"/>
          <w:szCs w:val="21"/>
          <w:highlight w:val="none"/>
          <w:u w:val="single"/>
        </w:rPr>
        <w:t xml:space="preserve">  </w:t>
      </w:r>
      <w:r>
        <w:rPr>
          <w:rFonts w:hint="eastAsia" w:ascii="宋体" w:hAnsi="宋体" w:eastAsia="宋体" w:cs="宋体"/>
          <w:color w:val="auto"/>
          <w:kern w:val="0"/>
          <w:sz w:val="21"/>
          <w:szCs w:val="21"/>
          <w:highlight w:val="none"/>
          <w:u w:val="single"/>
        </w:rPr>
        <w:t>除专用条款约定情形外，其余执行通用条款</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F8E024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发包人继续使用承包人在施工现场的材料、设备、临时工程、承包人文件和由承包人或以其名义编制的其他文件的费用承担方式：</w:t>
      </w:r>
      <w:r>
        <w:rPr>
          <w:rFonts w:hint="eastAsia" w:cs="宋体"/>
          <w:color w:val="auto"/>
          <w:sz w:val="21"/>
          <w:szCs w:val="21"/>
          <w:highlight w:val="none"/>
          <w:u w:val="single"/>
        </w:rPr>
        <w:t xml:space="preserve">  </w:t>
      </w:r>
      <w:r>
        <w:rPr>
          <w:rFonts w:hint="eastAsia" w:ascii="宋体" w:hAnsi="宋体" w:eastAsia="宋体" w:cs="宋体"/>
          <w:color w:val="auto"/>
          <w:kern w:val="0"/>
          <w:sz w:val="21"/>
          <w:szCs w:val="21"/>
          <w:highlight w:val="none"/>
          <w:u w:val="single"/>
        </w:rPr>
        <w:t>承包人承担费用</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66A6F6C">
      <w:pPr>
        <w:snapToGrid w:val="0"/>
        <w:spacing w:before="312" w:beforeLines="100" w:after="312" w:afterLines="100" w:line="360" w:lineRule="auto"/>
        <w:outlineLvl w:val="2"/>
        <w:rPr>
          <w:rFonts w:cs="宋体"/>
          <w:color w:val="auto"/>
          <w:sz w:val="21"/>
          <w:szCs w:val="21"/>
          <w:highlight w:val="none"/>
        </w:rPr>
      </w:pPr>
      <w:bookmarkStart w:id="562" w:name="_Toc351203649"/>
      <w:r>
        <w:rPr>
          <w:rFonts w:hint="eastAsia" w:cs="宋体"/>
          <w:color w:val="auto"/>
          <w:sz w:val="21"/>
          <w:szCs w:val="21"/>
          <w:highlight w:val="none"/>
        </w:rPr>
        <w:t>17. 不可抗力</w:t>
      </w:r>
      <w:bookmarkEnd w:id="562"/>
      <w:r>
        <w:rPr>
          <w:rFonts w:hint="eastAsia" w:cs="宋体"/>
          <w:color w:val="auto"/>
          <w:sz w:val="21"/>
          <w:szCs w:val="21"/>
          <w:highlight w:val="none"/>
        </w:rPr>
        <w:t xml:space="preserve"> </w:t>
      </w:r>
      <w:bookmarkEnd w:id="560"/>
    </w:p>
    <w:p w14:paraId="1A6B8FFE">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17.1 不可抗力的确认</w:t>
      </w:r>
    </w:p>
    <w:p w14:paraId="226324FA">
      <w:pPr>
        <w:adjustRightInd w:val="0"/>
        <w:snapToGrid w:val="0"/>
        <w:spacing w:line="360" w:lineRule="auto"/>
        <w:ind w:firstLine="420" w:firstLineChars="200"/>
        <w:rPr>
          <w:rFonts w:cs="宋体"/>
          <w:b/>
          <w:color w:val="auto"/>
          <w:sz w:val="21"/>
          <w:szCs w:val="21"/>
          <w:highlight w:val="none"/>
          <w:u w:val="single"/>
        </w:rPr>
      </w:pPr>
      <w:r>
        <w:rPr>
          <w:rFonts w:hint="eastAsia" w:cs="宋体"/>
          <w:color w:val="auto"/>
          <w:sz w:val="21"/>
          <w:szCs w:val="21"/>
          <w:highlight w:val="none"/>
        </w:rPr>
        <w:t>除通用合同条款约定的不可抗力事件之外，视为不可抗力的其他情形：</w:t>
      </w:r>
      <w:r>
        <w:rPr>
          <w:rFonts w:hint="eastAsia" w:cs="宋体"/>
          <w:color w:val="auto"/>
          <w:sz w:val="21"/>
          <w:szCs w:val="21"/>
          <w:highlight w:val="none"/>
          <w:u w:val="single"/>
        </w:rPr>
        <w:t>执行通用条款</w:t>
      </w:r>
      <w:r>
        <w:rPr>
          <w:rFonts w:hint="eastAsia" w:cs="宋体"/>
          <w:color w:val="auto"/>
          <w:sz w:val="21"/>
          <w:szCs w:val="21"/>
          <w:highlight w:val="none"/>
        </w:rPr>
        <w:t>。</w:t>
      </w:r>
    </w:p>
    <w:p w14:paraId="6C6E2D95">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17.4 因不可抗力解除合同</w:t>
      </w:r>
    </w:p>
    <w:p w14:paraId="7E130D23">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合同解除后，发包人应在商定或确定发包人应支付款项后</w:t>
      </w:r>
      <w:r>
        <w:rPr>
          <w:rFonts w:hint="eastAsia" w:cs="宋体"/>
          <w:color w:val="auto"/>
          <w:sz w:val="21"/>
          <w:szCs w:val="21"/>
          <w:highlight w:val="none"/>
          <w:u w:val="single"/>
        </w:rPr>
        <w:t>28</w:t>
      </w:r>
      <w:r>
        <w:rPr>
          <w:rFonts w:hint="eastAsia" w:cs="宋体"/>
          <w:color w:val="auto"/>
          <w:sz w:val="21"/>
          <w:szCs w:val="21"/>
          <w:highlight w:val="none"/>
        </w:rPr>
        <w:t>天内完成款项的支付。</w:t>
      </w:r>
    </w:p>
    <w:p w14:paraId="582BF499">
      <w:pPr>
        <w:snapToGrid w:val="0"/>
        <w:spacing w:before="312" w:beforeLines="100" w:after="312" w:afterLines="100" w:line="360" w:lineRule="auto"/>
        <w:outlineLvl w:val="2"/>
        <w:rPr>
          <w:rFonts w:cs="宋体"/>
          <w:color w:val="auto"/>
          <w:sz w:val="21"/>
          <w:szCs w:val="21"/>
          <w:highlight w:val="none"/>
        </w:rPr>
      </w:pPr>
      <w:bookmarkStart w:id="563" w:name="_Toc351203650"/>
      <w:r>
        <w:rPr>
          <w:rFonts w:hint="eastAsia" w:cs="宋体"/>
          <w:color w:val="auto"/>
          <w:sz w:val="21"/>
          <w:szCs w:val="21"/>
          <w:highlight w:val="none"/>
        </w:rPr>
        <w:t>18. 保险</w:t>
      </w:r>
      <w:bookmarkEnd w:id="563"/>
    </w:p>
    <w:bookmarkEnd w:id="561"/>
    <w:p w14:paraId="408817EE">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18.1 工程保险</w:t>
      </w:r>
    </w:p>
    <w:p w14:paraId="646E94A2">
      <w:pPr>
        <w:adjustRightInd w:val="0"/>
        <w:snapToGrid w:val="0"/>
        <w:spacing w:line="360" w:lineRule="auto"/>
        <w:ind w:firstLine="420" w:firstLineChars="200"/>
        <w:rPr>
          <w:rFonts w:cs="宋体"/>
          <w:b/>
          <w:color w:val="auto"/>
          <w:sz w:val="21"/>
          <w:szCs w:val="21"/>
          <w:highlight w:val="none"/>
        </w:rPr>
      </w:pPr>
      <w:r>
        <w:rPr>
          <w:rFonts w:hint="eastAsia" w:cs="宋体"/>
          <w:color w:val="auto"/>
          <w:sz w:val="21"/>
          <w:szCs w:val="21"/>
          <w:highlight w:val="none"/>
        </w:rPr>
        <w:t>关于工程保险的特别约定：</w:t>
      </w:r>
      <w:r>
        <w:rPr>
          <w:rFonts w:hint="eastAsia" w:cs="宋体"/>
          <w:b/>
          <w:color w:val="auto"/>
          <w:sz w:val="21"/>
          <w:szCs w:val="21"/>
          <w:highlight w:val="none"/>
          <w:u w:val="single"/>
        </w:rPr>
        <w:t xml:space="preserve">  </w:t>
      </w:r>
      <w:r>
        <w:rPr>
          <w:rFonts w:hint="eastAsia" w:ascii="宋体" w:hAnsi="宋体" w:eastAsia="宋体" w:cs="宋体"/>
          <w:color w:val="auto"/>
          <w:sz w:val="21"/>
          <w:szCs w:val="21"/>
          <w:highlight w:val="none"/>
          <w:u w:val="single"/>
        </w:rPr>
        <w:t>承包人自行考虑</w:t>
      </w:r>
      <w:r>
        <w:rPr>
          <w:rFonts w:hint="eastAsia" w:cs="宋体"/>
          <w:b/>
          <w:color w:val="auto"/>
          <w:sz w:val="21"/>
          <w:szCs w:val="21"/>
          <w:highlight w:val="none"/>
          <w:u w:val="single"/>
        </w:rPr>
        <w:t xml:space="preserve"> </w:t>
      </w:r>
      <w:r>
        <w:rPr>
          <w:rFonts w:hint="eastAsia" w:cs="宋体"/>
          <w:b/>
          <w:color w:val="auto"/>
          <w:sz w:val="21"/>
          <w:szCs w:val="21"/>
          <w:highlight w:val="none"/>
        </w:rPr>
        <w:t>。</w:t>
      </w:r>
    </w:p>
    <w:p w14:paraId="19B6D290">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18.3 其他保险</w:t>
      </w:r>
    </w:p>
    <w:p w14:paraId="0CB33E2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关于其他保险的约定：</w:t>
      </w:r>
      <w:r>
        <w:rPr>
          <w:rFonts w:hint="eastAsia" w:cs="宋体"/>
          <w:color w:val="auto"/>
          <w:sz w:val="21"/>
          <w:szCs w:val="21"/>
          <w:highlight w:val="none"/>
          <w:u w:val="single"/>
        </w:rPr>
        <w:t>承包人须为其施工现场的全部人员办理意外伤害保险并支付保险费，包括其员工及为履行合同聘请的第三方的人员</w:t>
      </w:r>
      <w:r>
        <w:rPr>
          <w:rFonts w:hint="eastAsia" w:cs="宋体"/>
          <w:color w:val="auto"/>
          <w:sz w:val="21"/>
          <w:szCs w:val="21"/>
          <w:highlight w:val="none"/>
        </w:rPr>
        <w:t>。</w:t>
      </w:r>
    </w:p>
    <w:p w14:paraId="076F6EFB">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承包人是否应为其施工设备等办理财产保险：</w:t>
      </w:r>
      <w:r>
        <w:rPr>
          <w:rFonts w:hint="eastAsia" w:cs="宋体"/>
          <w:color w:val="auto"/>
          <w:sz w:val="21"/>
          <w:szCs w:val="21"/>
          <w:highlight w:val="none"/>
          <w:u w:val="single"/>
        </w:rPr>
        <w:t>执行通用条款</w:t>
      </w:r>
      <w:r>
        <w:rPr>
          <w:rFonts w:hint="eastAsia" w:cs="宋体"/>
          <w:color w:val="auto"/>
          <w:sz w:val="21"/>
          <w:szCs w:val="21"/>
          <w:highlight w:val="none"/>
        </w:rPr>
        <w:t>。</w:t>
      </w:r>
    </w:p>
    <w:p w14:paraId="4184601F">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18.7 通知义务</w:t>
      </w:r>
    </w:p>
    <w:p w14:paraId="4126B450">
      <w:pPr>
        <w:adjustRightInd w:val="0"/>
        <w:snapToGrid w:val="0"/>
        <w:spacing w:line="360" w:lineRule="auto"/>
        <w:ind w:firstLine="420" w:firstLineChars="200"/>
        <w:rPr>
          <w:rFonts w:cs="宋体"/>
          <w:b/>
          <w:color w:val="auto"/>
          <w:sz w:val="21"/>
          <w:szCs w:val="21"/>
          <w:highlight w:val="none"/>
          <w:u w:val="single"/>
        </w:rPr>
      </w:pPr>
      <w:r>
        <w:rPr>
          <w:rFonts w:hint="eastAsia" w:cs="宋体"/>
          <w:color w:val="auto"/>
          <w:sz w:val="21"/>
          <w:szCs w:val="21"/>
          <w:highlight w:val="none"/>
        </w:rPr>
        <w:t>关于变更保险合同时的通知义务的约定：</w:t>
      </w:r>
      <w:r>
        <w:rPr>
          <w:rFonts w:hint="eastAsia" w:cs="宋体"/>
          <w:color w:val="auto"/>
          <w:sz w:val="21"/>
          <w:szCs w:val="21"/>
          <w:highlight w:val="none"/>
          <w:u w:val="single"/>
        </w:rPr>
        <w:t>执行通用条款</w:t>
      </w:r>
      <w:r>
        <w:rPr>
          <w:rFonts w:hint="eastAsia" w:cs="宋体"/>
          <w:color w:val="auto"/>
          <w:sz w:val="21"/>
          <w:szCs w:val="21"/>
          <w:highlight w:val="none"/>
        </w:rPr>
        <w:t>。</w:t>
      </w:r>
    </w:p>
    <w:bookmarkEnd w:id="537"/>
    <w:bookmarkEnd w:id="538"/>
    <w:bookmarkEnd w:id="539"/>
    <w:bookmarkEnd w:id="540"/>
    <w:bookmarkEnd w:id="541"/>
    <w:bookmarkEnd w:id="542"/>
    <w:bookmarkEnd w:id="543"/>
    <w:bookmarkEnd w:id="544"/>
    <w:bookmarkEnd w:id="545"/>
    <w:bookmarkEnd w:id="546"/>
    <w:bookmarkEnd w:id="547"/>
    <w:bookmarkEnd w:id="548"/>
    <w:p w14:paraId="62EC3682">
      <w:pPr>
        <w:snapToGrid w:val="0"/>
        <w:spacing w:before="312" w:beforeLines="100" w:after="312" w:afterLines="100" w:line="360" w:lineRule="auto"/>
        <w:outlineLvl w:val="2"/>
        <w:rPr>
          <w:rFonts w:cs="宋体"/>
          <w:color w:val="auto"/>
          <w:sz w:val="21"/>
          <w:szCs w:val="21"/>
          <w:highlight w:val="none"/>
        </w:rPr>
      </w:pPr>
      <w:bookmarkStart w:id="564" w:name="_Toc351203651"/>
      <w:r>
        <w:rPr>
          <w:rFonts w:hint="eastAsia" w:cs="宋体"/>
          <w:color w:val="auto"/>
          <w:sz w:val="21"/>
          <w:szCs w:val="21"/>
          <w:highlight w:val="none"/>
        </w:rPr>
        <w:t>20. 争议解决</w:t>
      </w:r>
      <w:bookmarkEnd w:id="564"/>
    </w:p>
    <w:bookmarkEnd w:id="549"/>
    <w:bookmarkEnd w:id="550"/>
    <w:p w14:paraId="0F44FB49">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20.3 争</w:t>
      </w:r>
      <w:bookmarkEnd w:id="551"/>
      <w:r>
        <w:rPr>
          <w:rFonts w:hint="eastAsia" w:cs="宋体"/>
          <w:bCs/>
          <w:color w:val="auto"/>
          <w:sz w:val="21"/>
          <w:szCs w:val="21"/>
          <w:highlight w:val="none"/>
        </w:rPr>
        <w:t>议评审</w:t>
      </w:r>
    </w:p>
    <w:p w14:paraId="5327B179">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合同当事人是否同意将工程争议提交争议评审小组决定：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 xml:space="preserve">不同意 </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BBD214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20.3.1 争议评审小组的确定</w:t>
      </w:r>
    </w:p>
    <w:p w14:paraId="1BB6D918">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争议评审小组成员的确定：</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无</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14BC5EF">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选定争议评审员的期限：</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bidi="ar-SA"/>
        </w:rPr>
        <w:t>无</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E94983B">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争议评审小组成员的报酬承担方式：</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无</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8B7C87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其他事项的约定：</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无</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261D7D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20.3.2 争议评审小组的决定</w:t>
      </w:r>
    </w:p>
    <w:p w14:paraId="2CCAB3BF">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合同当事人关于本项的约定：</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无</w:t>
      </w:r>
      <w:r>
        <w:rPr>
          <w:rFonts w:hint="eastAsia" w:cs="宋体"/>
          <w:color w:val="auto"/>
          <w:sz w:val="21"/>
          <w:szCs w:val="21"/>
          <w:highlight w:val="none"/>
          <w:u w:val="single"/>
        </w:rPr>
        <w:t xml:space="preserve">                     </w:t>
      </w:r>
      <w:r>
        <w:rPr>
          <w:rFonts w:hint="eastAsia" w:cs="宋体"/>
          <w:color w:val="auto"/>
          <w:sz w:val="21"/>
          <w:szCs w:val="21"/>
          <w:highlight w:val="none"/>
        </w:rPr>
        <w:t>。</w:t>
      </w:r>
    </w:p>
    <w:p w14:paraId="21EEAFF0">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20.4 仲裁或诉讼</w:t>
      </w:r>
      <w:bookmarkEnd w:id="552"/>
    </w:p>
    <w:bookmarkEnd w:id="553"/>
    <w:bookmarkEnd w:id="554"/>
    <w:bookmarkEnd w:id="555"/>
    <w:bookmarkEnd w:id="556"/>
    <w:bookmarkEnd w:id="557"/>
    <w:bookmarkEnd w:id="558"/>
    <w:p w14:paraId="6369EEB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因合同及合同有关事项发生的争议，按下列</w:t>
      </w:r>
      <w:r>
        <w:rPr>
          <w:rFonts w:hint="eastAsia" w:cs="宋体"/>
          <w:b/>
          <w:bCs/>
          <w:color w:val="auto"/>
          <w:sz w:val="21"/>
          <w:szCs w:val="21"/>
          <w:highlight w:val="none"/>
        </w:rPr>
        <w:t>第</w:t>
      </w:r>
      <w:r>
        <w:rPr>
          <w:rFonts w:hint="eastAsia" w:cs="宋体"/>
          <w:b/>
          <w:bCs/>
          <w:color w:val="auto"/>
          <w:sz w:val="21"/>
          <w:szCs w:val="21"/>
          <w:highlight w:val="none"/>
          <w:u w:val="single"/>
        </w:rPr>
        <w:t xml:space="preserve"> </w:t>
      </w:r>
      <w:r>
        <w:rPr>
          <w:rFonts w:hint="eastAsia" w:cs="宋体"/>
          <w:b/>
          <w:bCs/>
          <w:color w:val="auto"/>
          <w:sz w:val="21"/>
          <w:szCs w:val="21"/>
          <w:highlight w:val="none"/>
          <w:u w:val="single"/>
          <w:lang w:val="en-US" w:eastAsia="zh-CN"/>
        </w:rPr>
        <w:t>1</w:t>
      </w:r>
      <w:r>
        <w:rPr>
          <w:rFonts w:hint="eastAsia" w:cs="宋体"/>
          <w:b/>
          <w:bCs/>
          <w:color w:val="auto"/>
          <w:sz w:val="21"/>
          <w:szCs w:val="21"/>
          <w:highlight w:val="none"/>
          <w:u w:val="single"/>
        </w:rPr>
        <w:t xml:space="preserve"> </w:t>
      </w:r>
      <w:r>
        <w:rPr>
          <w:rFonts w:hint="eastAsia" w:cs="宋体"/>
          <w:b/>
          <w:bCs/>
          <w:color w:val="auto"/>
          <w:sz w:val="21"/>
          <w:szCs w:val="21"/>
          <w:highlight w:val="none"/>
        </w:rPr>
        <w:t>种</w:t>
      </w:r>
      <w:r>
        <w:rPr>
          <w:rFonts w:hint="eastAsia" w:cs="宋体"/>
          <w:color w:val="auto"/>
          <w:sz w:val="21"/>
          <w:szCs w:val="21"/>
          <w:highlight w:val="none"/>
        </w:rPr>
        <w:t>方式解决：</w:t>
      </w:r>
    </w:p>
    <w:p w14:paraId="5F5D8A49">
      <w:pPr>
        <w:numPr>
          <w:ilvl w:val="0"/>
          <w:numId w:val="4"/>
        </w:num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向</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滁州</w:t>
      </w:r>
      <w:r>
        <w:rPr>
          <w:rFonts w:hint="eastAsia" w:cs="宋体"/>
          <w:color w:val="auto"/>
          <w:sz w:val="21"/>
          <w:szCs w:val="21"/>
          <w:highlight w:val="none"/>
          <w:u w:val="single"/>
        </w:rPr>
        <w:t xml:space="preserve"> </w:t>
      </w:r>
      <w:r>
        <w:rPr>
          <w:rFonts w:hint="eastAsia" w:cs="宋体"/>
          <w:color w:val="auto"/>
          <w:sz w:val="21"/>
          <w:szCs w:val="21"/>
          <w:highlight w:val="none"/>
        </w:rPr>
        <w:t>仲裁委员会申请仲裁；</w:t>
      </w:r>
    </w:p>
    <w:p w14:paraId="4DC92B0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（2）向</w:t>
      </w:r>
      <w:r>
        <w:rPr>
          <w:rFonts w:hint="eastAsia" w:cs="宋体"/>
          <w:color w:val="auto"/>
          <w:sz w:val="21"/>
          <w:szCs w:val="21"/>
          <w:highlight w:val="none"/>
          <w:u w:val="single"/>
        </w:rPr>
        <w:t>工程所在地</w:t>
      </w:r>
      <w:r>
        <w:rPr>
          <w:rFonts w:hint="eastAsia" w:cs="宋体"/>
          <w:color w:val="auto"/>
          <w:sz w:val="21"/>
          <w:szCs w:val="21"/>
          <w:highlight w:val="none"/>
        </w:rPr>
        <w:t>人民法院起诉。</w:t>
      </w:r>
    </w:p>
    <w:p w14:paraId="248098D7">
      <w:pPr>
        <w:snapToGrid w:val="0"/>
        <w:spacing w:before="312" w:beforeLines="100" w:after="312" w:afterLines="100" w:line="360" w:lineRule="auto"/>
        <w:outlineLvl w:val="2"/>
        <w:rPr>
          <w:rFonts w:cs="宋体"/>
          <w:color w:val="auto"/>
          <w:sz w:val="21"/>
          <w:szCs w:val="21"/>
          <w:highlight w:val="none"/>
        </w:rPr>
      </w:pPr>
      <w:r>
        <w:rPr>
          <w:rFonts w:hint="eastAsia" w:cs="宋体"/>
          <w:color w:val="auto"/>
          <w:sz w:val="21"/>
          <w:szCs w:val="21"/>
          <w:highlight w:val="none"/>
        </w:rPr>
        <w:t xml:space="preserve">21. 补充条款 </w:t>
      </w:r>
    </w:p>
    <w:p w14:paraId="59C8525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cs="宋体"/>
          <w:b/>
          <w:color w:val="auto"/>
          <w:sz w:val="21"/>
          <w:szCs w:val="21"/>
          <w:highlight w:val="none"/>
        </w:rPr>
      </w:pPr>
      <w:r>
        <w:rPr>
          <w:rFonts w:hint="eastAsia" w:cs="宋体"/>
          <w:color w:val="auto"/>
          <w:sz w:val="21"/>
          <w:szCs w:val="21"/>
          <w:highlight w:val="none"/>
          <w:u w:val="single"/>
        </w:rPr>
        <w:t xml:space="preserve">                                     </w:t>
      </w:r>
    </w:p>
    <w:p w14:paraId="6EECED1D">
      <w:pPr>
        <w:pStyle w:val="19"/>
        <w:rPr>
          <w:color w:val="auto"/>
          <w:highlight w:val="none"/>
        </w:rPr>
      </w:pPr>
    </w:p>
    <w:p w14:paraId="182CD073">
      <w:pPr>
        <w:snapToGrid w:val="0"/>
        <w:spacing w:line="360" w:lineRule="auto"/>
        <w:rPr>
          <w:rFonts w:cs="宋体"/>
          <w:color w:val="auto"/>
          <w:sz w:val="21"/>
          <w:szCs w:val="21"/>
          <w:highlight w:val="none"/>
        </w:rPr>
      </w:pPr>
      <w:r>
        <w:rPr>
          <w:rFonts w:hint="eastAsia" w:cs="宋体"/>
          <w:color w:val="auto"/>
          <w:sz w:val="21"/>
          <w:szCs w:val="21"/>
          <w:highlight w:val="none"/>
        </w:rPr>
        <w:t>发包人：  （公章）                           承包人：  （公章）</w:t>
      </w:r>
    </w:p>
    <w:p w14:paraId="6EEA7605">
      <w:pPr>
        <w:snapToGrid w:val="0"/>
        <w:spacing w:line="360" w:lineRule="auto"/>
        <w:rPr>
          <w:rFonts w:cs="宋体"/>
          <w:color w:val="auto"/>
          <w:sz w:val="21"/>
          <w:szCs w:val="21"/>
          <w:highlight w:val="none"/>
        </w:rPr>
      </w:pPr>
      <w:r>
        <w:rPr>
          <w:rFonts w:hint="eastAsia" w:cs="宋体"/>
          <w:color w:val="auto"/>
          <w:sz w:val="21"/>
          <w:szCs w:val="21"/>
          <w:highlight w:val="none"/>
        </w:rPr>
        <w:t>法定代表人或其委托代理人：                 法定代表人或其委托代理人：</w:t>
      </w:r>
    </w:p>
    <w:p w14:paraId="3C47DF09">
      <w:pPr>
        <w:snapToGrid w:val="0"/>
        <w:spacing w:line="360" w:lineRule="auto"/>
        <w:rPr>
          <w:rFonts w:cs="宋体"/>
          <w:color w:val="auto"/>
          <w:sz w:val="21"/>
          <w:szCs w:val="21"/>
          <w:highlight w:val="none"/>
        </w:rPr>
      </w:pPr>
      <w:r>
        <w:rPr>
          <w:rFonts w:hint="eastAsia" w:cs="宋体"/>
          <w:color w:val="auto"/>
          <w:sz w:val="21"/>
          <w:szCs w:val="21"/>
          <w:highlight w:val="none"/>
        </w:rPr>
        <w:t>（签字）                                  （签字）</w:t>
      </w:r>
    </w:p>
    <w:p w14:paraId="110F263F">
      <w:pPr>
        <w:snapToGrid w:val="0"/>
        <w:spacing w:line="360" w:lineRule="auto"/>
        <w:rPr>
          <w:rFonts w:cs="宋体"/>
          <w:color w:val="auto"/>
          <w:sz w:val="21"/>
          <w:szCs w:val="21"/>
          <w:highlight w:val="none"/>
        </w:rPr>
      </w:pPr>
      <w:r>
        <w:rPr>
          <w:rFonts w:hint="eastAsia" w:cs="宋体"/>
          <w:color w:val="auto"/>
          <w:sz w:val="21"/>
          <w:szCs w:val="21"/>
          <w:highlight w:val="none"/>
        </w:rPr>
        <w:t>组织机构代码：</w:t>
      </w:r>
      <w:r>
        <w:rPr>
          <w:rFonts w:hint="eastAsia" w:cs="宋体"/>
          <w:color w:val="auto"/>
          <w:sz w:val="21"/>
          <w:szCs w:val="21"/>
          <w:highlight w:val="none"/>
          <w:u w:val="single"/>
        </w:rPr>
        <w:t xml:space="preserve">       </w:t>
      </w:r>
      <w:r>
        <w:rPr>
          <w:rFonts w:hint="eastAsia" w:cs="宋体"/>
          <w:color w:val="auto"/>
          <w:sz w:val="21"/>
          <w:szCs w:val="21"/>
          <w:highlight w:val="none"/>
        </w:rPr>
        <w:t xml:space="preserve">                组织机构代码：</w:t>
      </w:r>
      <w:r>
        <w:rPr>
          <w:rFonts w:hint="eastAsia" w:cs="宋体"/>
          <w:color w:val="auto"/>
          <w:sz w:val="21"/>
          <w:szCs w:val="21"/>
          <w:highlight w:val="none"/>
          <w:u w:val="single"/>
        </w:rPr>
        <w:t xml:space="preserve">          </w:t>
      </w:r>
      <w:r>
        <w:rPr>
          <w:rFonts w:hint="eastAsia" w:cs="宋体"/>
          <w:color w:val="auto"/>
          <w:sz w:val="21"/>
          <w:szCs w:val="21"/>
          <w:highlight w:val="none"/>
        </w:rPr>
        <w:t xml:space="preserve"> </w:t>
      </w:r>
    </w:p>
    <w:p w14:paraId="2456294D">
      <w:pPr>
        <w:snapToGrid w:val="0"/>
        <w:spacing w:line="360" w:lineRule="auto"/>
        <w:rPr>
          <w:rFonts w:cs="宋体"/>
          <w:color w:val="auto"/>
          <w:sz w:val="21"/>
          <w:szCs w:val="21"/>
          <w:highlight w:val="none"/>
        </w:rPr>
      </w:pPr>
      <w:r>
        <w:rPr>
          <w:rFonts w:hint="eastAsia" w:cs="宋体"/>
          <w:color w:val="auto"/>
          <w:sz w:val="21"/>
          <w:szCs w:val="21"/>
          <w:highlight w:val="none"/>
        </w:rPr>
        <w:t>地  址：</w:t>
      </w:r>
      <w:r>
        <w:rPr>
          <w:rFonts w:hint="eastAsia" w:cs="宋体"/>
          <w:color w:val="auto"/>
          <w:sz w:val="21"/>
          <w:szCs w:val="21"/>
          <w:highlight w:val="none"/>
          <w:u w:val="single"/>
        </w:rPr>
        <w:t xml:space="preserve">     </w:t>
      </w:r>
      <w:r>
        <w:rPr>
          <w:rFonts w:hint="eastAsia" w:cs="宋体"/>
          <w:color w:val="auto"/>
          <w:sz w:val="21"/>
          <w:szCs w:val="21"/>
          <w:highlight w:val="none"/>
        </w:rPr>
        <w:t xml:space="preserve">                地  址：</w:t>
      </w:r>
      <w:r>
        <w:rPr>
          <w:rFonts w:hint="eastAsia" w:cs="宋体"/>
          <w:color w:val="auto"/>
          <w:sz w:val="21"/>
          <w:szCs w:val="21"/>
          <w:highlight w:val="none"/>
          <w:u w:val="single"/>
        </w:rPr>
        <w:t xml:space="preserve">        </w:t>
      </w:r>
    </w:p>
    <w:p w14:paraId="2F555FCB">
      <w:pPr>
        <w:snapToGrid w:val="0"/>
        <w:spacing w:line="360" w:lineRule="auto"/>
        <w:rPr>
          <w:rFonts w:cs="宋体"/>
          <w:color w:val="auto"/>
          <w:sz w:val="21"/>
          <w:szCs w:val="21"/>
          <w:highlight w:val="none"/>
        </w:rPr>
      </w:pPr>
      <w:r>
        <w:rPr>
          <w:rFonts w:hint="eastAsia" w:cs="宋体"/>
          <w:color w:val="auto"/>
          <w:sz w:val="21"/>
          <w:szCs w:val="21"/>
          <w:highlight w:val="none"/>
        </w:rPr>
        <w:t>邮政编码：</w:t>
      </w:r>
      <w:r>
        <w:rPr>
          <w:rFonts w:hint="eastAsia" w:cs="宋体"/>
          <w:color w:val="auto"/>
          <w:sz w:val="21"/>
          <w:szCs w:val="21"/>
          <w:highlight w:val="none"/>
          <w:u w:val="single"/>
        </w:rPr>
        <w:t xml:space="preserve">      </w:t>
      </w:r>
      <w:r>
        <w:rPr>
          <w:rFonts w:hint="eastAsia" w:cs="宋体"/>
          <w:color w:val="auto"/>
          <w:sz w:val="21"/>
          <w:szCs w:val="21"/>
          <w:highlight w:val="none"/>
        </w:rPr>
        <w:t xml:space="preserve">               邮政编码：</w:t>
      </w:r>
      <w:r>
        <w:rPr>
          <w:rFonts w:hint="eastAsia" w:cs="宋体"/>
          <w:color w:val="auto"/>
          <w:sz w:val="21"/>
          <w:szCs w:val="21"/>
          <w:highlight w:val="none"/>
          <w:u w:val="single"/>
        </w:rPr>
        <w:t xml:space="preserve">   </w:t>
      </w:r>
    </w:p>
    <w:p w14:paraId="47E277C2">
      <w:pPr>
        <w:snapToGrid w:val="0"/>
        <w:spacing w:line="360" w:lineRule="auto"/>
        <w:rPr>
          <w:rFonts w:cs="宋体"/>
          <w:color w:val="auto"/>
          <w:sz w:val="21"/>
          <w:szCs w:val="21"/>
          <w:highlight w:val="none"/>
        </w:rPr>
      </w:pPr>
      <w:r>
        <w:rPr>
          <w:rFonts w:hint="eastAsia" w:cs="宋体"/>
          <w:color w:val="auto"/>
          <w:sz w:val="21"/>
          <w:szCs w:val="21"/>
          <w:highlight w:val="none"/>
        </w:rPr>
        <w:t>法定代表人：</w:t>
      </w:r>
      <w:r>
        <w:rPr>
          <w:rFonts w:hint="eastAsia" w:cs="宋体"/>
          <w:color w:val="auto"/>
          <w:sz w:val="21"/>
          <w:szCs w:val="21"/>
          <w:highlight w:val="none"/>
          <w:u w:val="single"/>
        </w:rPr>
        <w:t xml:space="preserve">           </w:t>
      </w:r>
      <w:r>
        <w:rPr>
          <w:rFonts w:hint="eastAsia" w:cs="宋体"/>
          <w:color w:val="auto"/>
          <w:sz w:val="21"/>
          <w:szCs w:val="21"/>
          <w:highlight w:val="none"/>
        </w:rPr>
        <w:t xml:space="preserve">                法定代表人：</w:t>
      </w:r>
      <w:r>
        <w:rPr>
          <w:rFonts w:hint="eastAsia" w:cs="宋体"/>
          <w:color w:val="auto"/>
          <w:sz w:val="21"/>
          <w:szCs w:val="21"/>
          <w:highlight w:val="none"/>
          <w:u w:val="single"/>
        </w:rPr>
        <w:t xml:space="preserve">             </w:t>
      </w:r>
    </w:p>
    <w:p w14:paraId="6FADF203">
      <w:pPr>
        <w:snapToGrid w:val="0"/>
        <w:spacing w:line="360" w:lineRule="auto"/>
        <w:rPr>
          <w:rFonts w:cs="宋体"/>
          <w:color w:val="auto"/>
          <w:sz w:val="21"/>
          <w:szCs w:val="21"/>
          <w:highlight w:val="none"/>
        </w:rPr>
      </w:pPr>
      <w:r>
        <w:rPr>
          <w:rFonts w:hint="eastAsia" w:cs="宋体"/>
          <w:color w:val="auto"/>
          <w:sz w:val="21"/>
          <w:szCs w:val="21"/>
          <w:highlight w:val="none"/>
        </w:rPr>
        <w:t>委托代理人：</w:t>
      </w:r>
      <w:r>
        <w:rPr>
          <w:rFonts w:hint="eastAsia" w:cs="宋体"/>
          <w:color w:val="auto"/>
          <w:sz w:val="21"/>
          <w:szCs w:val="21"/>
          <w:highlight w:val="none"/>
          <w:u w:val="single"/>
        </w:rPr>
        <w:t xml:space="preserve">           </w:t>
      </w:r>
      <w:r>
        <w:rPr>
          <w:rFonts w:hint="eastAsia" w:cs="宋体"/>
          <w:color w:val="auto"/>
          <w:sz w:val="21"/>
          <w:szCs w:val="21"/>
          <w:highlight w:val="none"/>
        </w:rPr>
        <w:t xml:space="preserve">                委托代理人：</w:t>
      </w:r>
      <w:r>
        <w:rPr>
          <w:rFonts w:hint="eastAsia" w:cs="宋体"/>
          <w:color w:val="auto"/>
          <w:sz w:val="21"/>
          <w:szCs w:val="21"/>
          <w:highlight w:val="none"/>
          <w:u w:val="single"/>
        </w:rPr>
        <w:t xml:space="preserve">             </w:t>
      </w:r>
    </w:p>
    <w:p w14:paraId="6044C25C">
      <w:pPr>
        <w:snapToGrid w:val="0"/>
        <w:spacing w:line="360" w:lineRule="auto"/>
        <w:rPr>
          <w:rFonts w:cs="宋体"/>
          <w:color w:val="auto"/>
          <w:sz w:val="21"/>
          <w:szCs w:val="21"/>
          <w:highlight w:val="none"/>
        </w:rPr>
      </w:pPr>
      <w:r>
        <w:rPr>
          <w:rFonts w:hint="eastAsia" w:cs="宋体"/>
          <w:color w:val="auto"/>
          <w:sz w:val="21"/>
          <w:szCs w:val="21"/>
          <w:highlight w:val="none"/>
        </w:rPr>
        <w:t>电  话：</w:t>
      </w:r>
      <w:r>
        <w:rPr>
          <w:rFonts w:hint="eastAsia" w:cs="宋体"/>
          <w:color w:val="auto"/>
          <w:sz w:val="21"/>
          <w:szCs w:val="21"/>
          <w:highlight w:val="none"/>
          <w:u w:val="single"/>
        </w:rPr>
        <w:t xml:space="preserve">   </w:t>
      </w:r>
      <w:r>
        <w:rPr>
          <w:rFonts w:hint="eastAsia" w:cs="宋体"/>
          <w:color w:val="auto"/>
          <w:sz w:val="21"/>
          <w:szCs w:val="21"/>
          <w:highlight w:val="none"/>
        </w:rPr>
        <w:t xml:space="preserve">                电  话：</w:t>
      </w:r>
      <w:r>
        <w:rPr>
          <w:rFonts w:hint="eastAsia" w:cs="宋体"/>
          <w:color w:val="auto"/>
          <w:sz w:val="21"/>
          <w:szCs w:val="21"/>
          <w:highlight w:val="none"/>
          <w:u w:val="single"/>
        </w:rPr>
        <w:t xml:space="preserve">     </w:t>
      </w:r>
    </w:p>
    <w:p w14:paraId="70A62C34">
      <w:pPr>
        <w:snapToGrid w:val="0"/>
        <w:spacing w:line="360" w:lineRule="auto"/>
        <w:rPr>
          <w:rFonts w:cs="宋体"/>
          <w:color w:val="auto"/>
          <w:sz w:val="21"/>
          <w:szCs w:val="21"/>
          <w:highlight w:val="none"/>
        </w:rPr>
      </w:pPr>
      <w:r>
        <w:rPr>
          <w:rFonts w:hint="eastAsia" w:cs="宋体"/>
          <w:color w:val="auto"/>
          <w:sz w:val="21"/>
          <w:szCs w:val="21"/>
          <w:highlight w:val="none"/>
        </w:rPr>
        <w:t>传  真：</w:t>
      </w:r>
      <w:r>
        <w:rPr>
          <w:rFonts w:hint="eastAsia" w:cs="宋体"/>
          <w:color w:val="auto"/>
          <w:sz w:val="21"/>
          <w:szCs w:val="21"/>
          <w:highlight w:val="none"/>
          <w:u w:val="single"/>
        </w:rPr>
        <w:t xml:space="preserve">   </w:t>
      </w:r>
      <w:r>
        <w:rPr>
          <w:rFonts w:hint="eastAsia" w:cs="宋体"/>
          <w:color w:val="auto"/>
          <w:sz w:val="21"/>
          <w:szCs w:val="21"/>
          <w:highlight w:val="none"/>
        </w:rPr>
        <w:t xml:space="preserve">                传  真：</w:t>
      </w:r>
      <w:r>
        <w:rPr>
          <w:rFonts w:hint="eastAsia" w:cs="宋体"/>
          <w:color w:val="auto"/>
          <w:sz w:val="21"/>
          <w:szCs w:val="21"/>
          <w:highlight w:val="none"/>
          <w:u w:val="single"/>
        </w:rPr>
        <w:t xml:space="preserve">     </w:t>
      </w:r>
    </w:p>
    <w:p w14:paraId="6F005146">
      <w:pPr>
        <w:snapToGrid w:val="0"/>
        <w:spacing w:line="360" w:lineRule="auto"/>
        <w:rPr>
          <w:rFonts w:cs="宋体"/>
          <w:color w:val="auto"/>
          <w:sz w:val="21"/>
          <w:szCs w:val="21"/>
          <w:highlight w:val="none"/>
        </w:rPr>
      </w:pPr>
      <w:r>
        <w:rPr>
          <w:rFonts w:hint="eastAsia" w:cs="宋体"/>
          <w:color w:val="auto"/>
          <w:sz w:val="21"/>
          <w:szCs w:val="21"/>
          <w:highlight w:val="none"/>
        </w:rPr>
        <w:t>电子信箱：</w:t>
      </w:r>
      <w:r>
        <w:rPr>
          <w:rFonts w:hint="eastAsia" w:cs="宋体"/>
          <w:color w:val="auto"/>
          <w:sz w:val="21"/>
          <w:szCs w:val="21"/>
          <w:highlight w:val="none"/>
          <w:u w:val="single"/>
        </w:rPr>
        <w:t xml:space="preserve">                 </w:t>
      </w:r>
      <w:r>
        <w:rPr>
          <w:rFonts w:hint="eastAsia" w:cs="宋体"/>
          <w:color w:val="auto"/>
          <w:sz w:val="21"/>
          <w:szCs w:val="21"/>
          <w:highlight w:val="none"/>
        </w:rPr>
        <w:t xml:space="preserve">                电子信箱：</w:t>
      </w:r>
      <w:r>
        <w:rPr>
          <w:rFonts w:hint="eastAsia" w:cs="宋体"/>
          <w:color w:val="auto"/>
          <w:sz w:val="21"/>
          <w:szCs w:val="21"/>
          <w:highlight w:val="none"/>
          <w:u w:val="single"/>
        </w:rPr>
        <w:t xml:space="preserve">   </w:t>
      </w:r>
    </w:p>
    <w:p w14:paraId="4B86FB91">
      <w:pPr>
        <w:snapToGrid w:val="0"/>
        <w:spacing w:line="360" w:lineRule="auto"/>
        <w:rPr>
          <w:rFonts w:cs="宋体"/>
          <w:color w:val="auto"/>
          <w:sz w:val="21"/>
          <w:szCs w:val="21"/>
          <w:highlight w:val="none"/>
        </w:rPr>
      </w:pPr>
      <w:r>
        <w:rPr>
          <w:rFonts w:hint="eastAsia" w:cs="宋体"/>
          <w:color w:val="auto"/>
          <w:sz w:val="21"/>
          <w:szCs w:val="21"/>
          <w:highlight w:val="none"/>
        </w:rPr>
        <w:t>开户银行：</w:t>
      </w:r>
      <w:r>
        <w:rPr>
          <w:rFonts w:hint="eastAsia" w:cs="宋体"/>
          <w:color w:val="auto"/>
          <w:sz w:val="21"/>
          <w:szCs w:val="21"/>
          <w:highlight w:val="none"/>
          <w:u w:val="single"/>
        </w:rPr>
        <w:t xml:space="preserve">   </w:t>
      </w:r>
      <w:r>
        <w:rPr>
          <w:rFonts w:hint="eastAsia" w:cs="宋体"/>
          <w:color w:val="auto"/>
          <w:sz w:val="21"/>
          <w:szCs w:val="21"/>
          <w:highlight w:val="none"/>
        </w:rPr>
        <w:t xml:space="preserve">                开户银行：</w:t>
      </w:r>
      <w:r>
        <w:rPr>
          <w:rFonts w:hint="eastAsia" w:cs="宋体"/>
          <w:color w:val="auto"/>
          <w:sz w:val="21"/>
          <w:szCs w:val="21"/>
          <w:highlight w:val="none"/>
          <w:u w:val="single"/>
        </w:rPr>
        <w:t xml:space="preserve">   </w:t>
      </w:r>
    </w:p>
    <w:p w14:paraId="76837B42">
      <w:pPr>
        <w:snapToGrid w:val="0"/>
        <w:spacing w:line="360" w:lineRule="auto"/>
        <w:rPr>
          <w:rFonts w:cs="宋体"/>
          <w:color w:val="auto"/>
          <w:sz w:val="21"/>
          <w:szCs w:val="21"/>
          <w:highlight w:val="none"/>
        </w:rPr>
      </w:pPr>
      <w:r>
        <w:rPr>
          <w:rFonts w:hint="eastAsia" w:cs="宋体"/>
          <w:color w:val="auto"/>
          <w:sz w:val="21"/>
          <w:szCs w:val="21"/>
          <w:highlight w:val="none"/>
        </w:rPr>
        <w:t>账  号：</w:t>
      </w:r>
      <w:r>
        <w:rPr>
          <w:rFonts w:hint="eastAsia" w:cs="宋体"/>
          <w:color w:val="auto"/>
          <w:sz w:val="21"/>
          <w:szCs w:val="21"/>
          <w:highlight w:val="none"/>
          <w:u w:val="single"/>
        </w:rPr>
        <w:t xml:space="preserve">       </w:t>
      </w:r>
      <w:r>
        <w:rPr>
          <w:rFonts w:hint="eastAsia" w:cs="宋体"/>
          <w:color w:val="auto"/>
          <w:sz w:val="21"/>
          <w:szCs w:val="21"/>
          <w:highlight w:val="none"/>
        </w:rPr>
        <w:t xml:space="preserve">                账  号：</w:t>
      </w:r>
      <w:r>
        <w:rPr>
          <w:rFonts w:hint="eastAsia" w:cs="宋体"/>
          <w:color w:val="auto"/>
          <w:sz w:val="21"/>
          <w:szCs w:val="21"/>
          <w:highlight w:val="none"/>
          <w:u w:val="single"/>
        </w:rPr>
        <w:t xml:space="preserve">     </w:t>
      </w:r>
    </w:p>
    <w:bookmarkEnd w:id="59"/>
    <w:p w14:paraId="75EDD1F6">
      <w:pPr>
        <w:rPr>
          <w:rFonts w:hint="eastAsia" w:cs="宋体"/>
          <w:b/>
          <w:color w:val="auto"/>
          <w:sz w:val="21"/>
          <w:szCs w:val="21"/>
          <w:highlight w:val="none"/>
        </w:rPr>
      </w:pPr>
      <w:r>
        <w:rPr>
          <w:rFonts w:hint="eastAsia" w:cs="宋体"/>
          <w:b/>
          <w:color w:val="auto"/>
          <w:sz w:val="21"/>
          <w:szCs w:val="21"/>
          <w:highlight w:val="none"/>
        </w:rPr>
        <w:br w:type="page"/>
      </w:r>
    </w:p>
    <w:p w14:paraId="10D0628F">
      <w:pPr>
        <w:snapToGrid w:val="0"/>
        <w:spacing w:line="360" w:lineRule="auto"/>
        <w:rPr>
          <w:rFonts w:cs="宋体"/>
          <w:b/>
          <w:color w:val="auto"/>
          <w:sz w:val="21"/>
          <w:szCs w:val="21"/>
          <w:highlight w:val="none"/>
        </w:rPr>
      </w:pPr>
      <w:r>
        <w:rPr>
          <w:rFonts w:hint="eastAsia" w:cs="宋体"/>
          <w:b/>
          <w:color w:val="auto"/>
          <w:sz w:val="21"/>
          <w:szCs w:val="21"/>
          <w:highlight w:val="none"/>
        </w:rPr>
        <w:t>附件</w:t>
      </w:r>
    </w:p>
    <w:p w14:paraId="67A4C7FE">
      <w:pPr>
        <w:snapToGrid w:val="0"/>
        <w:spacing w:line="360" w:lineRule="auto"/>
        <w:rPr>
          <w:rFonts w:cs="宋体"/>
          <w:color w:val="auto"/>
          <w:sz w:val="21"/>
          <w:szCs w:val="21"/>
          <w:highlight w:val="none"/>
        </w:rPr>
      </w:pPr>
      <w:r>
        <w:rPr>
          <w:rFonts w:hint="eastAsia" w:cs="宋体"/>
          <w:color w:val="auto"/>
          <w:sz w:val="21"/>
          <w:szCs w:val="21"/>
          <w:highlight w:val="none"/>
        </w:rPr>
        <w:t>协议书附件：</w:t>
      </w:r>
    </w:p>
    <w:p w14:paraId="42BB03C5">
      <w:pPr>
        <w:snapToGrid w:val="0"/>
        <w:spacing w:line="360" w:lineRule="auto"/>
        <w:rPr>
          <w:rFonts w:cs="宋体"/>
          <w:color w:val="auto"/>
          <w:sz w:val="21"/>
          <w:szCs w:val="21"/>
          <w:highlight w:val="none"/>
        </w:rPr>
      </w:pPr>
      <w:bookmarkStart w:id="565" w:name="_Toc128950221"/>
      <w:r>
        <w:rPr>
          <w:rFonts w:hint="eastAsia" w:cs="宋体"/>
          <w:color w:val="auto"/>
          <w:sz w:val="21"/>
          <w:szCs w:val="21"/>
          <w:highlight w:val="none"/>
        </w:rPr>
        <w:t>附件1：承包人承揽工程项目一览表</w:t>
      </w:r>
      <w:bookmarkEnd w:id="565"/>
    </w:p>
    <w:p w14:paraId="09752AA1">
      <w:pPr>
        <w:snapToGrid w:val="0"/>
        <w:spacing w:line="360" w:lineRule="auto"/>
        <w:rPr>
          <w:rFonts w:cs="宋体"/>
          <w:color w:val="auto"/>
          <w:sz w:val="21"/>
          <w:szCs w:val="21"/>
          <w:highlight w:val="none"/>
        </w:rPr>
      </w:pPr>
    </w:p>
    <w:p w14:paraId="291D0204">
      <w:pPr>
        <w:snapToGrid w:val="0"/>
        <w:spacing w:line="360" w:lineRule="auto"/>
        <w:rPr>
          <w:rFonts w:cs="宋体"/>
          <w:color w:val="auto"/>
          <w:sz w:val="21"/>
          <w:szCs w:val="21"/>
          <w:highlight w:val="none"/>
        </w:rPr>
      </w:pPr>
      <w:r>
        <w:rPr>
          <w:rFonts w:hint="eastAsia" w:cs="宋体"/>
          <w:color w:val="auto"/>
          <w:sz w:val="21"/>
          <w:szCs w:val="21"/>
          <w:highlight w:val="none"/>
        </w:rPr>
        <w:t>专用合同条款附件：</w:t>
      </w:r>
    </w:p>
    <w:p w14:paraId="08288DA5">
      <w:pPr>
        <w:snapToGrid w:val="0"/>
        <w:spacing w:line="360" w:lineRule="auto"/>
        <w:rPr>
          <w:rFonts w:cs="宋体"/>
          <w:color w:val="auto"/>
          <w:sz w:val="21"/>
          <w:szCs w:val="21"/>
          <w:highlight w:val="none"/>
        </w:rPr>
      </w:pPr>
      <w:bookmarkStart w:id="566" w:name="_Toc128950222"/>
      <w:r>
        <w:rPr>
          <w:rFonts w:hint="eastAsia" w:cs="宋体"/>
          <w:color w:val="auto"/>
          <w:sz w:val="21"/>
          <w:szCs w:val="21"/>
          <w:highlight w:val="none"/>
        </w:rPr>
        <w:t>附件2：发包人供应材料设备一览表</w:t>
      </w:r>
      <w:bookmarkEnd w:id="566"/>
    </w:p>
    <w:p w14:paraId="550721C3">
      <w:pPr>
        <w:snapToGrid w:val="0"/>
        <w:spacing w:line="360" w:lineRule="auto"/>
        <w:rPr>
          <w:rFonts w:cs="宋体"/>
          <w:color w:val="auto"/>
          <w:sz w:val="21"/>
          <w:szCs w:val="21"/>
          <w:highlight w:val="none"/>
        </w:rPr>
      </w:pPr>
      <w:bookmarkStart w:id="567" w:name="_Toc128950223"/>
      <w:r>
        <w:rPr>
          <w:rFonts w:hint="eastAsia" w:cs="宋体"/>
          <w:color w:val="auto"/>
          <w:sz w:val="21"/>
          <w:szCs w:val="21"/>
          <w:highlight w:val="none"/>
        </w:rPr>
        <w:t>附件3：工程质量保修书</w:t>
      </w:r>
      <w:bookmarkEnd w:id="567"/>
    </w:p>
    <w:p w14:paraId="7321248B">
      <w:pPr>
        <w:snapToGrid w:val="0"/>
        <w:spacing w:line="360" w:lineRule="auto"/>
        <w:rPr>
          <w:rFonts w:cs="宋体"/>
          <w:color w:val="auto"/>
          <w:sz w:val="21"/>
          <w:szCs w:val="21"/>
          <w:highlight w:val="none"/>
        </w:rPr>
      </w:pPr>
      <w:bookmarkStart w:id="568" w:name="_Toc128950224"/>
      <w:r>
        <w:rPr>
          <w:rFonts w:hint="eastAsia" w:cs="宋体"/>
          <w:color w:val="auto"/>
          <w:sz w:val="21"/>
          <w:szCs w:val="21"/>
          <w:highlight w:val="none"/>
        </w:rPr>
        <w:t>附件4：主要建设工程文件目录</w:t>
      </w:r>
      <w:bookmarkEnd w:id="568"/>
    </w:p>
    <w:p w14:paraId="0E6C258E">
      <w:pPr>
        <w:snapToGrid w:val="0"/>
        <w:spacing w:line="360" w:lineRule="auto"/>
        <w:rPr>
          <w:rFonts w:cs="宋体"/>
          <w:color w:val="auto"/>
          <w:sz w:val="21"/>
          <w:szCs w:val="21"/>
          <w:highlight w:val="none"/>
        </w:rPr>
      </w:pPr>
      <w:bookmarkStart w:id="569" w:name="_Toc128950225"/>
      <w:r>
        <w:rPr>
          <w:rFonts w:hint="eastAsia" w:cs="宋体"/>
          <w:color w:val="auto"/>
          <w:sz w:val="21"/>
          <w:szCs w:val="21"/>
          <w:highlight w:val="none"/>
        </w:rPr>
        <w:t>附件5：承包人用于本工程施工的机械设备表</w:t>
      </w:r>
      <w:bookmarkEnd w:id="569"/>
    </w:p>
    <w:p w14:paraId="08A11290">
      <w:pPr>
        <w:snapToGrid w:val="0"/>
        <w:spacing w:line="360" w:lineRule="auto"/>
        <w:rPr>
          <w:rFonts w:cs="宋体"/>
          <w:color w:val="auto"/>
          <w:sz w:val="21"/>
          <w:szCs w:val="21"/>
          <w:highlight w:val="none"/>
        </w:rPr>
      </w:pPr>
      <w:bookmarkStart w:id="570" w:name="_Toc128950226"/>
      <w:r>
        <w:rPr>
          <w:rFonts w:hint="eastAsia" w:cs="宋体"/>
          <w:color w:val="auto"/>
          <w:sz w:val="21"/>
          <w:szCs w:val="21"/>
          <w:highlight w:val="none"/>
        </w:rPr>
        <w:t>附件6：承包人主要施工管理人员表</w:t>
      </w:r>
      <w:bookmarkEnd w:id="570"/>
    </w:p>
    <w:p w14:paraId="1E65AECA">
      <w:pPr>
        <w:snapToGrid w:val="0"/>
        <w:spacing w:line="360" w:lineRule="auto"/>
        <w:rPr>
          <w:rFonts w:cs="宋体"/>
          <w:color w:val="auto"/>
          <w:sz w:val="21"/>
          <w:szCs w:val="21"/>
          <w:highlight w:val="none"/>
        </w:rPr>
      </w:pPr>
      <w:bookmarkStart w:id="571" w:name="_Toc128950227"/>
      <w:r>
        <w:rPr>
          <w:rFonts w:hint="eastAsia" w:cs="宋体"/>
          <w:color w:val="auto"/>
          <w:sz w:val="21"/>
          <w:szCs w:val="21"/>
          <w:highlight w:val="none"/>
        </w:rPr>
        <w:t>附件7：分包人主要施工管理人员表</w:t>
      </w:r>
      <w:bookmarkEnd w:id="571"/>
    </w:p>
    <w:p w14:paraId="282F8986">
      <w:pPr>
        <w:snapToGrid w:val="0"/>
        <w:spacing w:line="360" w:lineRule="auto"/>
        <w:rPr>
          <w:rFonts w:cs="宋体"/>
          <w:color w:val="auto"/>
          <w:sz w:val="21"/>
          <w:szCs w:val="21"/>
          <w:highlight w:val="none"/>
        </w:rPr>
      </w:pPr>
      <w:bookmarkStart w:id="572" w:name="_Toc128950228"/>
      <w:r>
        <w:rPr>
          <w:rFonts w:hint="eastAsia" w:cs="宋体"/>
          <w:color w:val="auto"/>
          <w:sz w:val="21"/>
          <w:szCs w:val="21"/>
          <w:highlight w:val="none"/>
        </w:rPr>
        <w:t>附件8：廉政协议</w:t>
      </w:r>
      <w:bookmarkEnd w:id="572"/>
    </w:p>
    <w:p w14:paraId="09A705EC">
      <w:pPr>
        <w:snapToGrid w:val="0"/>
        <w:spacing w:line="360" w:lineRule="auto"/>
        <w:rPr>
          <w:rFonts w:cs="宋体"/>
          <w:color w:val="auto"/>
          <w:sz w:val="21"/>
          <w:szCs w:val="21"/>
          <w:highlight w:val="none"/>
        </w:rPr>
      </w:pPr>
      <w:bookmarkStart w:id="573" w:name="_Toc128950229"/>
      <w:r>
        <w:rPr>
          <w:rFonts w:hint="eastAsia" w:cs="宋体"/>
          <w:color w:val="auto"/>
          <w:sz w:val="21"/>
          <w:szCs w:val="21"/>
          <w:highlight w:val="none"/>
        </w:rPr>
        <w:t>附件9：履约保证金格式</w:t>
      </w:r>
      <w:bookmarkEnd w:id="573"/>
    </w:p>
    <w:p w14:paraId="00EC21C0">
      <w:pPr>
        <w:snapToGrid w:val="0"/>
        <w:spacing w:line="360" w:lineRule="auto"/>
        <w:rPr>
          <w:rFonts w:cs="宋体"/>
          <w:color w:val="auto"/>
          <w:sz w:val="21"/>
          <w:szCs w:val="21"/>
          <w:highlight w:val="none"/>
        </w:rPr>
      </w:pPr>
      <w:bookmarkStart w:id="574" w:name="_Toc128950230"/>
      <w:r>
        <w:rPr>
          <w:rFonts w:hint="eastAsia" w:cs="宋体"/>
          <w:color w:val="auto"/>
          <w:sz w:val="21"/>
          <w:szCs w:val="21"/>
          <w:highlight w:val="none"/>
        </w:rPr>
        <w:t>附件10：预付款担保格式</w:t>
      </w:r>
      <w:bookmarkEnd w:id="574"/>
    </w:p>
    <w:p w14:paraId="270DCF65">
      <w:pPr>
        <w:snapToGrid w:val="0"/>
        <w:spacing w:line="360" w:lineRule="auto"/>
        <w:rPr>
          <w:rFonts w:cs="宋体"/>
          <w:color w:val="auto"/>
          <w:sz w:val="21"/>
          <w:szCs w:val="21"/>
          <w:highlight w:val="none"/>
        </w:rPr>
      </w:pPr>
      <w:bookmarkStart w:id="575" w:name="_Toc128950231"/>
      <w:r>
        <w:rPr>
          <w:rFonts w:hint="eastAsia" w:cs="宋体"/>
          <w:color w:val="auto"/>
          <w:sz w:val="21"/>
          <w:szCs w:val="21"/>
          <w:highlight w:val="none"/>
        </w:rPr>
        <w:t>附件11：支付担保格式</w:t>
      </w:r>
      <w:bookmarkEnd w:id="575"/>
    </w:p>
    <w:p w14:paraId="2C941591">
      <w:pPr>
        <w:snapToGrid w:val="0"/>
        <w:spacing w:line="360" w:lineRule="auto"/>
        <w:rPr>
          <w:rFonts w:cs="宋体"/>
          <w:color w:val="auto"/>
          <w:sz w:val="21"/>
          <w:szCs w:val="21"/>
          <w:highlight w:val="none"/>
        </w:rPr>
      </w:pPr>
      <w:bookmarkStart w:id="576" w:name="_Toc128950232"/>
      <w:r>
        <w:rPr>
          <w:rFonts w:hint="eastAsia" w:cs="宋体"/>
          <w:color w:val="auto"/>
          <w:sz w:val="21"/>
          <w:szCs w:val="21"/>
          <w:highlight w:val="none"/>
        </w:rPr>
        <w:t>附件12：暂估价一览表</w:t>
      </w:r>
      <w:bookmarkEnd w:id="576"/>
    </w:p>
    <w:p w14:paraId="0D2829DC">
      <w:pPr>
        <w:snapToGrid w:val="0"/>
        <w:spacing w:line="360" w:lineRule="auto"/>
        <w:rPr>
          <w:rFonts w:cs="宋体"/>
          <w:color w:val="auto"/>
          <w:sz w:val="21"/>
          <w:szCs w:val="21"/>
          <w:highlight w:val="none"/>
        </w:rPr>
      </w:pPr>
      <w:bookmarkStart w:id="577" w:name="_Toc128950233"/>
      <w:r>
        <w:rPr>
          <w:rFonts w:hint="eastAsia" w:cs="宋体"/>
          <w:color w:val="auto"/>
          <w:sz w:val="21"/>
          <w:szCs w:val="21"/>
          <w:highlight w:val="none"/>
        </w:rPr>
        <w:t>附件13：安全生产合同</w:t>
      </w:r>
      <w:bookmarkEnd w:id="577"/>
    </w:p>
    <w:p w14:paraId="0570D687">
      <w:pPr>
        <w:snapToGrid w:val="0"/>
        <w:spacing w:line="360" w:lineRule="auto"/>
        <w:rPr>
          <w:rFonts w:cs="宋体"/>
          <w:color w:val="auto"/>
          <w:sz w:val="21"/>
          <w:szCs w:val="21"/>
          <w:highlight w:val="none"/>
        </w:rPr>
      </w:pPr>
      <w:bookmarkStart w:id="578" w:name="_Toc128950234"/>
      <w:r>
        <w:rPr>
          <w:rFonts w:hint="eastAsia" w:cs="宋体"/>
          <w:color w:val="auto"/>
          <w:sz w:val="21"/>
          <w:szCs w:val="21"/>
          <w:highlight w:val="none"/>
        </w:rPr>
        <w:t>附件14：项目经理质量终身责任制承诺</w:t>
      </w:r>
      <w:bookmarkEnd w:id="578"/>
    </w:p>
    <w:p w14:paraId="1186EAA1">
      <w:pPr>
        <w:snapToGrid w:val="0"/>
        <w:spacing w:before="312" w:beforeLines="100" w:after="312" w:afterLines="100" w:line="360" w:lineRule="auto"/>
        <w:outlineLvl w:val="2"/>
        <w:rPr>
          <w:rFonts w:ascii="Times New Roman" w:eastAsia="黑体"/>
          <w:color w:val="auto"/>
          <w:szCs w:val="24"/>
          <w:highlight w:val="none"/>
        </w:rPr>
      </w:pPr>
      <w:r>
        <w:rPr>
          <w:rFonts w:hint="eastAsia" w:cs="宋体"/>
          <w:bCs/>
          <w:color w:val="auto"/>
          <w:sz w:val="21"/>
          <w:szCs w:val="21"/>
          <w:highlight w:val="none"/>
        </w:rPr>
        <w:br w:type="page"/>
      </w:r>
      <w:bookmarkStart w:id="579" w:name="_Toc128950235"/>
      <w:r>
        <w:rPr>
          <w:rFonts w:hint="eastAsia" w:ascii="Times New Roman" w:eastAsia="黑体"/>
          <w:color w:val="auto"/>
          <w:szCs w:val="24"/>
          <w:highlight w:val="none"/>
        </w:rPr>
        <w:t>附件</w:t>
      </w:r>
      <w:r>
        <w:rPr>
          <w:rFonts w:ascii="Times New Roman" w:eastAsia="黑体"/>
          <w:color w:val="auto"/>
          <w:szCs w:val="24"/>
          <w:highlight w:val="none"/>
        </w:rPr>
        <w:t>1</w:t>
      </w:r>
      <w:r>
        <w:rPr>
          <w:rFonts w:hint="eastAsia" w:ascii="Times New Roman" w:eastAsia="黑体"/>
          <w:color w:val="auto"/>
          <w:szCs w:val="24"/>
          <w:highlight w:val="none"/>
        </w:rPr>
        <w:t>：承包人承揽工程项目一览表</w:t>
      </w:r>
      <w:bookmarkEnd w:id="579"/>
    </w:p>
    <w:p w14:paraId="716F23ED">
      <w:pPr>
        <w:spacing w:line="360" w:lineRule="auto"/>
        <w:jc w:val="center"/>
        <w:rPr>
          <w:rFonts w:cs="宋体"/>
          <w:color w:val="auto"/>
          <w:sz w:val="22"/>
          <w:szCs w:val="21"/>
          <w:highlight w:val="none"/>
        </w:rPr>
      </w:pPr>
      <w:r>
        <w:rPr>
          <w:rFonts w:hint="eastAsia" w:cs="宋体"/>
          <w:color w:val="auto"/>
          <w:sz w:val="22"/>
          <w:szCs w:val="21"/>
          <w:highlight w:val="none"/>
        </w:rPr>
        <w:t>承包人承揽工程项目一览表</w:t>
      </w:r>
    </w:p>
    <w:tbl>
      <w:tblPr>
        <w:tblStyle w:val="55"/>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006"/>
        <w:gridCol w:w="709"/>
        <w:gridCol w:w="1336"/>
        <w:gridCol w:w="709"/>
        <w:gridCol w:w="412"/>
        <w:gridCol w:w="709"/>
        <w:gridCol w:w="1008"/>
        <w:gridCol w:w="1277"/>
        <w:gridCol w:w="709"/>
        <w:gridCol w:w="709"/>
      </w:tblGrid>
      <w:tr w14:paraId="390501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86" w:type="pct"/>
            <w:tcBorders>
              <w:top w:val="single" w:color="auto" w:sz="12" w:space="0"/>
              <w:bottom w:val="double" w:color="auto" w:sz="6" w:space="0"/>
            </w:tcBorders>
            <w:vAlign w:val="center"/>
          </w:tcPr>
          <w:p w14:paraId="511B8782">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单位工程名称</w:t>
            </w:r>
          </w:p>
        </w:tc>
        <w:tc>
          <w:tcPr>
            <w:tcW w:w="413" w:type="pct"/>
            <w:tcBorders>
              <w:top w:val="single" w:color="auto" w:sz="12" w:space="0"/>
              <w:bottom w:val="double" w:color="auto" w:sz="6" w:space="0"/>
            </w:tcBorders>
            <w:vAlign w:val="center"/>
          </w:tcPr>
          <w:p w14:paraId="1F916FC5">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建设规模</w:t>
            </w:r>
          </w:p>
        </w:tc>
        <w:tc>
          <w:tcPr>
            <w:tcW w:w="778" w:type="pct"/>
            <w:tcBorders>
              <w:top w:val="single" w:color="auto" w:sz="12" w:space="0"/>
              <w:bottom w:val="double" w:color="auto" w:sz="6" w:space="0"/>
            </w:tcBorders>
            <w:vAlign w:val="center"/>
          </w:tcPr>
          <w:p w14:paraId="115E0641">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建筑面积（平方米）</w:t>
            </w:r>
          </w:p>
        </w:tc>
        <w:tc>
          <w:tcPr>
            <w:tcW w:w="413" w:type="pct"/>
            <w:tcBorders>
              <w:top w:val="single" w:color="auto" w:sz="12" w:space="0"/>
              <w:bottom w:val="double" w:color="auto" w:sz="6" w:space="0"/>
            </w:tcBorders>
            <w:vAlign w:val="center"/>
          </w:tcPr>
          <w:p w14:paraId="10A6CCEA">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结构形式</w:t>
            </w:r>
          </w:p>
        </w:tc>
        <w:tc>
          <w:tcPr>
            <w:tcW w:w="240" w:type="pct"/>
            <w:tcBorders>
              <w:top w:val="single" w:color="auto" w:sz="12" w:space="0"/>
              <w:bottom w:val="double" w:color="auto" w:sz="6" w:space="0"/>
            </w:tcBorders>
            <w:vAlign w:val="center"/>
          </w:tcPr>
          <w:p w14:paraId="6B874D75">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层数</w:t>
            </w:r>
          </w:p>
        </w:tc>
        <w:tc>
          <w:tcPr>
            <w:tcW w:w="413" w:type="pct"/>
            <w:tcBorders>
              <w:top w:val="single" w:color="auto" w:sz="12" w:space="0"/>
              <w:bottom w:val="double" w:color="auto" w:sz="6" w:space="0"/>
            </w:tcBorders>
            <w:vAlign w:val="center"/>
          </w:tcPr>
          <w:p w14:paraId="6C730C11">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生产能力</w:t>
            </w:r>
          </w:p>
        </w:tc>
        <w:tc>
          <w:tcPr>
            <w:tcW w:w="587" w:type="pct"/>
            <w:tcBorders>
              <w:top w:val="single" w:color="auto" w:sz="12" w:space="0"/>
              <w:bottom w:val="double" w:color="auto" w:sz="6" w:space="0"/>
            </w:tcBorders>
            <w:vAlign w:val="center"/>
          </w:tcPr>
          <w:p w14:paraId="0CA04F54">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设备安装内容</w:t>
            </w:r>
          </w:p>
        </w:tc>
        <w:tc>
          <w:tcPr>
            <w:tcW w:w="744" w:type="pct"/>
            <w:tcBorders>
              <w:top w:val="single" w:color="auto" w:sz="12" w:space="0"/>
              <w:bottom w:val="double" w:color="auto" w:sz="6" w:space="0"/>
            </w:tcBorders>
            <w:vAlign w:val="center"/>
          </w:tcPr>
          <w:p w14:paraId="5FA08EB3">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合同价格（元）</w:t>
            </w:r>
          </w:p>
        </w:tc>
        <w:tc>
          <w:tcPr>
            <w:tcW w:w="413" w:type="pct"/>
            <w:tcBorders>
              <w:top w:val="single" w:color="auto" w:sz="12" w:space="0"/>
              <w:bottom w:val="double" w:color="auto" w:sz="6" w:space="0"/>
            </w:tcBorders>
            <w:vAlign w:val="center"/>
          </w:tcPr>
          <w:p w14:paraId="2AC0FB50">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开工日期</w:t>
            </w:r>
          </w:p>
        </w:tc>
        <w:tc>
          <w:tcPr>
            <w:tcW w:w="413" w:type="pct"/>
            <w:tcBorders>
              <w:top w:val="single" w:color="auto" w:sz="12" w:space="0"/>
              <w:bottom w:val="double" w:color="auto" w:sz="6" w:space="0"/>
            </w:tcBorders>
            <w:vAlign w:val="center"/>
          </w:tcPr>
          <w:p w14:paraId="5F2E5F46">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竣工日期</w:t>
            </w:r>
          </w:p>
        </w:tc>
      </w:tr>
      <w:tr w14:paraId="2DBECA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86" w:type="pct"/>
            <w:tcBorders>
              <w:top w:val="double" w:color="auto" w:sz="6" w:space="0"/>
            </w:tcBorders>
            <w:vAlign w:val="center"/>
          </w:tcPr>
          <w:p w14:paraId="6AC78FE7">
            <w:pPr>
              <w:keepNext/>
              <w:snapToGrid w:val="0"/>
              <w:spacing w:line="360" w:lineRule="auto"/>
              <w:jc w:val="center"/>
              <w:rPr>
                <w:rFonts w:cs="宋体"/>
                <w:color w:val="auto"/>
                <w:sz w:val="22"/>
                <w:szCs w:val="21"/>
                <w:highlight w:val="none"/>
              </w:rPr>
            </w:pPr>
          </w:p>
        </w:tc>
        <w:tc>
          <w:tcPr>
            <w:tcW w:w="413" w:type="pct"/>
            <w:tcBorders>
              <w:top w:val="double" w:color="auto" w:sz="6" w:space="0"/>
            </w:tcBorders>
            <w:vAlign w:val="center"/>
          </w:tcPr>
          <w:p w14:paraId="1DC76796">
            <w:pPr>
              <w:keepNext/>
              <w:snapToGrid w:val="0"/>
              <w:spacing w:line="360" w:lineRule="auto"/>
              <w:jc w:val="center"/>
              <w:rPr>
                <w:rFonts w:cs="宋体"/>
                <w:color w:val="auto"/>
                <w:sz w:val="22"/>
                <w:szCs w:val="21"/>
                <w:highlight w:val="none"/>
              </w:rPr>
            </w:pPr>
          </w:p>
        </w:tc>
        <w:tc>
          <w:tcPr>
            <w:tcW w:w="778" w:type="pct"/>
            <w:tcBorders>
              <w:top w:val="double" w:color="auto" w:sz="6" w:space="0"/>
            </w:tcBorders>
            <w:vAlign w:val="center"/>
          </w:tcPr>
          <w:p w14:paraId="779B5478">
            <w:pPr>
              <w:keepNext/>
              <w:snapToGrid w:val="0"/>
              <w:spacing w:line="360" w:lineRule="auto"/>
              <w:jc w:val="center"/>
              <w:rPr>
                <w:rFonts w:cs="宋体"/>
                <w:color w:val="auto"/>
                <w:sz w:val="22"/>
                <w:szCs w:val="21"/>
                <w:highlight w:val="none"/>
              </w:rPr>
            </w:pPr>
          </w:p>
        </w:tc>
        <w:tc>
          <w:tcPr>
            <w:tcW w:w="413" w:type="pct"/>
            <w:tcBorders>
              <w:top w:val="double" w:color="auto" w:sz="6" w:space="0"/>
            </w:tcBorders>
            <w:vAlign w:val="center"/>
          </w:tcPr>
          <w:p w14:paraId="6A8252E5">
            <w:pPr>
              <w:keepNext/>
              <w:snapToGrid w:val="0"/>
              <w:spacing w:line="360" w:lineRule="auto"/>
              <w:jc w:val="center"/>
              <w:rPr>
                <w:rFonts w:cs="宋体"/>
                <w:color w:val="auto"/>
                <w:sz w:val="22"/>
                <w:szCs w:val="21"/>
                <w:highlight w:val="none"/>
              </w:rPr>
            </w:pPr>
          </w:p>
        </w:tc>
        <w:tc>
          <w:tcPr>
            <w:tcW w:w="240" w:type="pct"/>
            <w:tcBorders>
              <w:top w:val="double" w:color="auto" w:sz="6" w:space="0"/>
            </w:tcBorders>
            <w:vAlign w:val="center"/>
          </w:tcPr>
          <w:p w14:paraId="2B68CB5C">
            <w:pPr>
              <w:keepNext/>
              <w:snapToGrid w:val="0"/>
              <w:spacing w:line="360" w:lineRule="auto"/>
              <w:jc w:val="center"/>
              <w:rPr>
                <w:rFonts w:cs="宋体"/>
                <w:color w:val="auto"/>
                <w:sz w:val="22"/>
                <w:szCs w:val="21"/>
                <w:highlight w:val="none"/>
              </w:rPr>
            </w:pPr>
          </w:p>
        </w:tc>
        <w:tc>
          <w:tcPr>
            <w:tcW w:w="413" w:type="pct"/>
            <w:tcBorders>
              <w:top w:val="double" w:color="auto" w:sz="6" w:space="0"/>
            </w:tcBorders>
            <w:vAlign w:val="center"/>
          </w:tcPr>
          <w:p w14:paraId="1E05FEE4">
            <w:pPr>
              <w:keepNext/>
              <w:snapToGrid w:val="0"/>
              <w:spacing w:line="360" w:lineRule="auto"/>
              <w:jc w:val="center"/>
              <w:rPr>
                <w:rFonts w:cs="宋体"/>
                <w:color w:val="auto"/>
                <w:sz w:val="22"/>
                <w:szCs w:val="21"/>
                <w:highlight w:val="none"/>
              </w:rPr>
            </w:pPr>
          </w:p>
        </w:tc>
        <w:tc>
          <w:tcPr>
            <w:tcW w:w="587" w:type="pct"/>
            <w:tcBorders>
              <w:top w:val="double" w:color="auto" w:sz="6" w:space="0"/>
            </w:tcBorders>
            <w:vAlign w:val="center"/>
          </w:tcPr>
          <w:p w14:paraId="7D9588B2">
            <w:pPr>
              <w:keepNext/>
              <w:snapToGrid w:val="0"/>
              <w:spacing w:line="360" w:lineRule="auto"/>
              <w:jc w:val="center"/>
              <w:rPr>
                <w:rFonts w:cs="宋体"/>
                <w:color w:val="auto"/>
                <w:sz w:val="22"/>
                <w:szCs w:val="21"/>
                <w:highlight w:val="none"/>
              </w:rPr>
            </w:pPr>
          </w:p>
        </w:tc>
        <w:tc>
          <w:tcPr>
            <w:tcW w:w="744" w:type="pct"/>
            <w:tcBorders>
              <w:top w:val="double" w:color="auto" w:sz="6" w:space="0"/>
            </w:tcBorders>
            <w:vAlign w:val="center"/>
          </w:tcPr>
          <w:p w14:paraId="7444B0B2">
            <w:pPr>
              <w:keepNext/>
              <w:snapToGrid w:val="0"/>
              <w:spacing w:line="360" w:lineRule="auto"/>
              <w:jc w:val="center"/>
              <w:rPr>
                <w:rFonts w:cs="宋体"/>
                <w:color w:val="auto"/>
                <w:sz w:val="22"/>
                <w:szCs w:val="21"/>
                <w:highlight w:val="none"/>
              </w:rPr>
            </w:pPr>
          </w:p>
        </w:tc>
        <w:tc>
          <w:tcPr>
            <w:tcW w:w="413" w:type="pct"/>
            <w:tcBorders>
              <w:top w:val="double" w:color="auto" w:sz="6" w:space="0"/>
            </w:tcBorders>
            <w:vAlign w:val="center"/>
          </w:tcPr>
          <w:p w14:paraId="239DC546">
            <w:pPr>
              <w:keepNext/>
              <w:snapToGrid w:val="0"/>
              <w:spacing w:line="360" w:lineRule="auto"/>
              <w:jc w:val="center"/>
              <w:rPr>
                <w:rFonts w:cs="宋体"/>
                <w:color w:val="auto"/>
                <w:sz w:val="22"/>
                <w:szCs w:val="21"/>
                <w:highlight w:val="none"/>
              </w:rPr>
            </w:pPr>
          </w:p>
        </w:tc>
        <w:tc>
          <w:tcPr>
            <w:tcW w:w="413" w:type="pct"/>
            <w:tcBorders>
              <w:top w:val="double" w:color="auto" w:sz="6" w:space="0"/>
            </w:tcBorders>
            <w:vAlign w:val="center"/>
          </w:tcPr>
          <w:p w14:paraId="7AE6334B">
            <w:pPr>
              <w:keepNext/>
              <w:snapToGrid w:val="0"/>
              <w:spacing w:line="360" w:lineRule="auto"/>
              <w:jc w:val="center"/>
              <w:rPr>
                <w:rFonts w:cs="宋体"/>
                <w:color w:val="auto"/>
                <w:sz w:val="22"/>
                <w:szCs w:val="21"/>
                <w:highlight w:val="none"/>
              </w:rPr>
            </w:pPr>
          </w:p>
        </w:tc>
      </w:tr>
      <w:tr w14:paraId="293014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86" w:type="pct"/>
            <w:tcBorders>
              <w:top w:val="nil"/>
            </w:tcBorders>
            <w:vAlign w:val="center"/>
          </w:tcPr>
          <w:p w14:paraId="68ADB4CA">
            <w:pPr>
              <w:keepNext/>
              <w:snapToGrid w:val="0"/>
              <w:spacing w:line="360" w:lineRule="auto"/>
              <w:jc w:val="center"/>
              <w:rPr>
                <w:rFonts w:cs="宋体"/>
                <w:color w:val="auto"/>
                <w:sz w:val="22"/>
                <w:szCs w:val="21"/>
                <w:highlight w:val="none"/>
              </w:rPr>
            </w:pPr>
          </w:p>
        </w:tc>
        <w:tc>
          <w:tcPr>
            <w:tcW w:w="413" w:type="pct"/>
            <w:tcBorders>
              <w:top w:val="nil"/>
            </w:tcBorders>
            <w:vAlign w:val="center"/>
          </w:tcPr>
          <w:p w14:paraId="414A07F1">
            <w:pPr>
              <w:keepNext/>
              <w:snapToGrid w:val="0"/>
              <w:spacing w:line="360" w:lineRule="auto"/>
              <w:jc w:val="center"/>
              <w:rPr>
                <w:rFonts w:cs="宋体"/>
                <w:color w:val="auto"/>
                <w:sz w:val="22"/>
                <w:szCs w:val="21"/>
                <w:highlight w:val="none"/>
              </w:rPr>
            </w:pPr>
          </w:p>
        </w:tc>
        <w:tc>
          <w:tcPr>
            <w:tcW w:w="778" w:type="pct"/>
            <w:tcBorders>
              <w:top w:val="nil"/>
            </w:tcBorders>
            <w:vAlign w:val="center"/>
          </w:tcPr>
          <w:p w14:paraId="33A11D59">
            <w:pPr>
              <w:keepNext/>
              <w:snapToGrid w:val="0"/>
              <w:spacing w:line="360" w:lineRule="auto"/>
              <w:jc w:val="center"/>
              <w:rPr>
                <w:rFonts w:cs="宋体"/>
                <w:color w:val="auto"/>
                <w:sz w:val="22"/>
                <w:szCs w:val="21"/>
                <w:highlight w:val="none"/>
              </w:rPr>
            </w:pPr>
          </w:p>
        </w:tc>
        <w:tc>
          <w:tcPr>
            <w:tcW w:w="413" w:type="pct"/>
            <w:tcBorders>
              <w:top w:val="nil"/>
            </w:tcBorders>
            <w:vAlign w:val="center"/>
          </w:tcPr>
          <w:p w14:paraId="6A52B770">
            <w:pPr>
              <w:keepNext/>
              <w:snapToGrid w:val="0"/>
              <w:spacing w:line="360" w:lineRule="auto"/>
              <w:jc w:val="center"/>
              <w:rPr>
                <w:rFonts w:cs="宋体"/>
                <w:color w:val="auto"/>
                <w:sz w:val="22"/>
                <w:szCs w:val="21"/>
                <w:highlight w:val="none"/>
              </w:rPr>
            </w:pPr>
          </w:p>
        </w:tc>
        <w:tc>
          <w:tcPr>
            <w:tcW w:w="240" w:type="pct"/>
            <w:tcBorders>
              <w:top w:val="nil"/>
            </w:tcBorders>
            <w:vAlign w:val="center"/>
          </w:tcPr>
          <w:p w14:paraId="406FB0B4">
            <w:pPr>
              <w:keepNext/>
              <w:snapToGrid w:val="0"/>
              <w:spacing w:line="360" w:lineRule="auto"/>
              <w:jc w:val="center"/>
              <w:rPr>
                <w:rFonts w:cs="宋体"/>
                <w:color w:val="auto"/>
                <w:sz w:val="22"/>
                <w:szCs w:val="21"/>
                <w:highlight w:val="none"/>
              </w:rPr>
            </w:pPr>
          </w:p>
        </w:tc>
        <w:tc>
          <w:tcPr>
            <w:tcW w:w="413" w:type="pct"/>
            <w:tcBorders>
              <w:top w:val="nil"/>
            </w:tcBorders>
            <w:vAlign w:val="center"/>
          </w:tcPr>
          <w:p w14:paraId="2B2BB25E">
            <w:pPr>
              <w:keepNext/>
              <w:snapToGrid w:val="0"/>
              <w:spacing w:line="360" w:lineRule="auto"/>
              <w:jc w:val="center"/>
              <w:rPr>
                <w:rFonts w:cs="宋体"/>
                <w:color w:val="auto"/>
                <w:sz w:val="22"/>
                <w:szCs w:val="21"/>
                <w:highlight w:val="none"/>
              </w:rPr>
            </w:pPr>
          </w:p>
        </w:tc>
        <w:tc>
          <w:tcPr>
            <w:tcW w:w="587" w:type="pct"/>
            <w:tcBorders>
              <w:top w:val="nil"/>
            </w:tcBorders>
            <w:vAlign w:val="center"/>
          </w:tcPr>
          <w:p w14:paraId="24A85CB9">
            <w:pPr>
              <w:keepNext/>
              <w:snapToGrid w:val="0"/>
              <w:spacing w:line="360" w:lineRule="auto"/>
              <w:jc w:val="center"/>
              <w:rPr>
                <w:rFonts w:cs="宋体"/>
                <w:color w:val="auto"/>
                <w:sz w:val="22"/>
                <w:szCs w:val="21"/>
                <w:highlight w:val="none"/>
              </w:rPr>
            </w:pPr>
          </w:p>
        </w:tc>
        <w:tc>
          <w:tcPr>
            <w:tcW w:w="744" w:type="pct"/>
            <w:tcBorders>
              <w:top w:val="nil"/>
            </w:tcBorders>
            <w:vAlign w:val="center"/>
          </w:tcPr>
          <w:p w14:paraId="144B27C4">
            <w:pPr>
              <w:keepNext/>
              <w:snapToGrid w:val="0"/>
              <w:spacing w:line="360" w:lineRule="auto"/>
              <w:jc w:val="center"/>
              <w:rPr>
                <w:rFonts w:cs="宋体"/>
                <w:color w:val="auto"/>
                <w:sz w:val="22"/>
                <w:szCs w:val="21"/>
                <w:highlight w:val="none"/>
              </w:rPr>
            </w:pPr>
          </w:p>
        </w:tc>
        <w:tc>
          <w:tcPr>
            <w:tcW w:w="413" w:type="pct"/>
            <w:tcBorders>
              <w:top w:val="nil"/>
            </w:tcBorders>
            <w:vAlign w:val="center"/>
          </w:tcPr>
          <w:p w14:paraId="02DF7DD4">
            <w:pPr>
              <w:keepNext/>
              <w:snapToGrid w:val="0"/>
              <w:spacing w:line="360" w:lineRule="auto"/>
              <w:jc w:val="center"/>
              <w:rPr>
                <w:rFonts w:cs="宋体"/>
                <w:color w:val="auto"/>
                <w:sz w:val="22"/>
                <w:szCs w:val="21"/>
                <w:highlight w:val="none"/>
              </w:rPr>
            </w:pPr>
          </w:p>
        </w:tc>
        <w:tc>
          <w:tcPr>
            <w:tcW w:w="413" w:type="pct"/>
            <w:tcBorders>
              <w:top w:val="nil"/>
            </w:tcBorders>
            <w:vAlign w:val="center"/>
          </w:tcPr>
          <w:p w14:paraId="28C28BE2">
            <w:pPr>
              <w:keepNext/>
              <w:snapToGrid w:val="0"/>
              <w:spacing w:line="360" w:lineRule="auto"/>
              <w:jc w:val="center"/>
              <w:rPr>
                <w:rFonts w:cs="宋体"/>
                <w:color w:val="auto"/>
                <w:sz w:val="22"/>
                <w:szCs w:val="21"/>
                <w:highlight w:val="none"/>
              </w:rPr>
            </w:pPr>
          </w:p>
        </w:tc>
      </w:tr>
      <w:tr w14:paraId="18607C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86" w:type="pct"/>
            <w:tcBorders>
              <w:top w:val="nil"/>
            </w:tcBorders>
            <w:vAlign w:val="center"/>
          </w:tcPr>
          <w:p w14:paraId="39558BB9">
            <w:pPr>
              <w:keepNext/>
              <w:snapToGrid w:val="0"/>
              <w:spacing w:line="360" w:lineRule="auto"/>
              <w:jc w:val="center"/>
              <w:rPr>
                <w:rFonts w:cs="宋体"/>
                <w:color w:val="auto"/>
                <w:sz w:val="22"/>
                <w:szCs w:val="21"/>
                <w:highlight w:val="none"/>
              </w:rPr>
            </w:pPr>
          </w:p>
        </w:tc>
        <w:tc>
          <w:tcPr>
            <w:tcW w:w="413" w:type="pct"/>
            <w:tcBorders>
              <w:top w:val="nil"/>
            </w:tcBorders>
            <w:vAlign w:val="center"/>
          </w:tcPr>
          <w:p w14:paraId="66FEDAEC">
            <w:pPr>
              <w:keepNext/>
              <w:snapToGrid w:val="0"/>
              <w:spacing w:line="360" w:lineRule="auto"/>
              <w:jc w:val="center"/>
              <w:rPr>
                <w:rFonts w:cs="宋体"/>
                <w:color w:val="auto"/>
                <w:sz w:val="22"/>
                <w:szCs w:val="21"/>
                <w:highlight w:val="none"/>
              </w:rPr>
            </w:pPr>
          </w:p>
        </w:tc>
        <w:tc>
          <w:tcPr>
            <w:tcW w:w="778" w:type="pct"/>
            <w:tcBorders>
              <w:top w:val="nil"/>
            </w:tcBorders>
            <w:vAlign w:val="center"/>
          </w:tcPr>
          <w:p w14:paraId="3F603F84">
            <w:pPr>
              <w:keepNext/>
              <w:snapToGrid w:val="0"/>
              <w:spacing w:line="360" w:lineRule="auto"/>
              <w:jc w:val="center"/>
              <w:rPr>
                <w:rFonts w:cs="宋体"/>
                <w:color w:val="auto"/>
                <w:sz w:val="22"/>
                <w:szCs w:val="21"/>
                <w:highlight w:val="none"/>
              </w:rPr>
            </w:pPr>
          </w:p>
        </w:tc>
        <w:tc>
          <w:tcPr>
            <w:tcW w:w="413" w:type="pct"/>
            <w:tcBorders>
              <w:top w:val="nil"/>
            </w:tcBorders>
            <w:vAlign w:val="center"/>
          </w:tcPr>
          <w:p w14:paraId="627A8D3A">
            <w:pPr>
              <w:keepNext/>
              <w:snapToGrid w:val="0"/>
              <w:spacing w:line="360" w:lineRule="auto"/>
              <w:jc w:val="center"/>
              <w:rPr>
                <w:rFonts w:cs="宋体"/>
                <w:color w:val="auto"/>
                <w:sz w:val="22"/>
                <w:szCs w:val="21"/>
                <w:highlight w:val="none"/>
              </w:rPr>
            </w:pPr>
          </w:p>
        </w:tc>
        <w:tc>
          <w:tcPr>
            <w:tcW w:w="240" w:type="pct"/>
            <w:tcBorders>
              <w:top w:val="nil"/>
            </w:tcBorders>
            <w:vAlign w:val="center"/>
          </w:tcPr>
          <w:p w14:paraId="3CDA576A">
            <w:pPr>
              <w:keepNext/>
              <w:snapToGrid w:val="0"/>
              <w:spacing w:line="360" w:lineRule="auto"/>
              <w:jc w:val="center"/>
              <w:rPr>
                <w:rFonts w:cs="宋体"/>
                <w:color w:val="auto"/>
                <w:sz w:val="22"/>
                <w:szCs w:val="21"/>
                <w:highlight w:val="none"/>
              </w:rPr>
            </w:pPr>
          </w:p>
        </w:tc>
        <w:tc>
          <w:tcPr>
            <w:tcW w:w="413" w:type="pct"/>
            <w:tcBorders>
              <w:top w:val="nil"/>
            </w:tcBorders>
            <w:vAlign w:val="center"/>
          </w:tcPr>
          <w:p w14:paraId="4F6A29AD">
            <w:pPr>
              <w:keepNext/>
              <w:snapToGrid w:val="0"/>
              <w:spacing w:line="360" w:lineRule="auto"/>
              <w:jc w:val="center"/>
              <w:rPr>
                <w:rFonts w:cs="宋体"/>
                <w:color w:val="auto"/>
                <w:sz w:val="22"/>
                <w:szCs w:val="21"/>
                <w:highlight w:val="none"/>
              </w:rPr>
            </w:pPr>
          </w:p>
        </w:tc>
        <w:tc>
          <w:tcPr>
            <w:tcW w:w="587" w:type="pct"/>
            <w:tcBorders>
              <w:top w:val="nil"/>
            </w:tcBorders>
            <w:vAlign w:val="center"/>
          </w:tcPr>
          <w:p w14:paraId="4FF10F6B">
            <w:pPr>
              <w:keepNext/>
              <w:snapToGrid w:val="0"/>
              <w:spacing w:line="360" w:lineRule="auto"/>
              <w:jc w:val="center"/>
              <w:rPr>
                <w:rFonts w:cs="宋体"/>
                <w:color w:val="auto"/>
                <w:sz w:val="22"/>
                <w:szCs w:val="21"/>
                <w:highlight w:val="none"/>
              </w:rPr>
            </w:pPr>
          </w:p>
        </w:tc>
        <w:tc>
          <w:tcPr>
            <w:tcW w:w="744" w:type="pct"/>
            <w:tcBorders>
              <w:top w:val="nil"/>
            </w:tcBorders>
            <w:vAlign w:val="center"/>
          </w:tcPr>
          <w:p w14:paraId="0B633491">
            <w:pPr>
              <w:keepNext/>
              <w:snapToGrid w:val="0"/>
              <w:spacing w:line="360" w:lineRule="auto"/>
              <w:jc w:val="center"/>
              <w:rPr>
                <w:rFonts w:cs="宋体"/>
                <w:color w:val="auto"/>
                <w:sz w:val="22"/>
                <w:szCs w:val="21"/>
                <w:highlight w:val="none"/>
              </w:rPr>
            </w:pPr>
          </w:p>
        </w:tc>
        <w:tc>
          <w:tcPr>
            <w:tcW w:w="413" w:type="pct"/>
            <w:tcBorders>
              <w:top w:val="nil"/>
            </w:tcBorders>
            <w:vAlign w:val="center"/>
          </w:tcPr>
          <w:p w14:paraId="47917CE4">
            <w:pPr>
              <w:keepNext/>
              <w:snapToGrid w:val="0"/>
              <w:spacing w:line="360" w:lineRule="auto"/>
              <w:jc w:val="center"/>
              <w:rPr>
                <w:rFonts w:cs="宋体"/>
                <w:color w:val="auto"/>
                <w:sz w:val="22"/>
                <w:szCs w:val="21"/>
                <w:highlight w:val="none"/>
              </w:rPr>
            </w:pPr>
          </w:p>
        </w:tc>
        <w:tc>
          <w:tcPr>
            <w:tcW w:w="413" w:type="pct"/>
            <w:tcBorders>
              <w:top w:val="nil"/>
            </w:tcBorders>
            <w:vAlign w:val="center"/>
          </w:tcPr>
          <w:p w14:paraId="64514E31">
            <w:pPr>
              <w:keepNext/>
              <w:snapToGrid w:val="0"/>
              <w:spacing w:line="360" w:lineRule="auto"/>
              <w:jc w:val="center"/>
              <w:rPr>
                <w:rFonts w:cs="宋体"/>
                <w:color w:val="auto"/>
                <w:sz w:val="22"/>
                <w:szCs w:val="21"/>
                <w:highlight w:val="none"/>
              </w:rPr>
            </w:pPr>
          </w:p>
        </w:tc>
      </w:tr>
      <w:tr w14:paraId="48C7D2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86" w:type="pct"/>
            <w:tcBorders>
              <w:bottom w:val="single" w:color="auto" w:sz="12" w:space="0"/>
            </w:tcBorders>
            <w:vAlign w:val="center"/>
          </w:tcPr>
          <w:p w14:paraId="21F0ACC3">
            <w:pPr>
              <w:keepNext/>
              <w:snapToGrid w:val="0"/>
              <w:spacing w:line="360" w:lineRule="auto"/>
              <w:jc w:val="center"/>
              <w:rPr>
                <w:rFonts w:cs="宋体"/>
                <w:color w:val="auto"/>
                <w:sz w:val="22"/>
                <w:szCs w:val="21"/>
                <w:highlight w:val="none"/>
              </w:rPr>
            </w:pPr>
          </w:p>
        </w:tc>
        <w:tc>
          <w:tcPr>
            <w:tcW w:w="413" w:type="pct"/>
            <w:tcBorders>
              <w:bottom w:val="single" w:color="auto" w:sz="12" w:space="0"/>
            </w:tcBorders>
            <w:vAlign w:val="center"/>
          </w:tcPr>
          <w:p w14:paraId="42C619CF">
            <w:pPr>
              <w:keepNext/>
              <w:snapToGrid w:val="0"/>
              <w:spacing w:line="360" w:lineRule="auto"/>
              <w:jc w:val="center"/>
              <w:rPr>
                <w:rFonts w:cs="宋体"/>
                <w:color w:val="auto"/>
                <w:sz w:val="22"/>
                <w:szCs w:val="21"/>
                <w:highlight w:val="none"/>
              </w:rPr>
            </w:pPr>
          </w:p>
        </w:tc>
        <w:tc>
          <w:tcPr>
            <w:tcW w:w="778" w:type="pct"/>
            <w:tcBorders>
              <w:bottom w:val="single" w:color="auto" w:sz="12" w:space="0"/>
            </w:tcBorders>
            <w:vAlign w:val="center"/>
          </w:tcPr>
          <w:p w14:paraId="411DE9DC">
            <w:pPr>
              <w:keepNext/>
              <w:snapToGrid w:val="0"/>
              <w:spacing w:line="360" w:lineRule="auto"/>
              <w:jc w:val="center"/>
              <w:rPr>
                <w:rFonts w:cs="宋体"/>
                <w:color w:val="auto"/>
                <w:sz w:val="22"/>
                <w:szCs w:val="21"/>
                <w:highlight w:val="none"/>
              </w:rPr>
            </w:pPr>
          </w:p>
        </w:tc>
        <w:tc>
          <w:tcPr>
            <w:tcW w:w="413" w:type="pct"/>
            <w:tcBorders>
              <w:bottom w:val="single" w:color="auto" w:sz="12" w:space="0"/>
            </w:tcBorders>
            <w:vAlign w:val="center"/>
          </w:tcPr>
          <w:p w14:paraId="3718B8E4">
            <w:pPr>
              <w:keepNext/>
              <w:snapToGrid w:val="0"/>
              <w:spacing w:line="360" w:lineRule="auto"/>
              <w:jc w:val="center"/>
              <w:rPr>
                <w:rFonts w:cs="宋体"/>
                <w:color w:val="auto"/>
                <w:sz w:val="22"/>
                <w:szCs w:val="21"/>
                <w:highlight w:val="none"/>
              </w:rPr>
            </w:pPr>
          </w:p>
        </w:tc>
        <w:tc>
          <w:tcPr>
            <w:tcW w:w="240" w:type="pct"/>
            <w:tcBorders>
              <w:bottom w:val="single" w:color="auto" w:sz="12" w:space="0"/>
            </w:tcBorders>
            <w:vAlign w:val="center"/>
          </w:tcPr>
          <w:p w14:paraId="017FD37E">
            <w:pPr>
              <w:keepNext/>
              <w:snapToGrid w:val="0"/>
              <w:spacing w:line="360" w:lineRule="auto"/>
              <w:jc w:val="center"/>
              <w:rPr>
                <w:rFonts w:cs="宋体"/>
                <w:color w:val="auto"/>
                <w:sz w:val="22"/>
                <w:szCs w:val="21"/>
                <w:highlight w:val="none"/>
              </w:rPr>
            </w:pPr>
          </w:p>
        </w:tc>
        <w:tc>
          <w:tcPr>
            <w:tcW w:w="413" w:type="pct"/>
            <w:tcBorders>
              <w:bottom w:val="single" w:color="auto" w:sz="12" w:space="0"/>
            </w:tcBorders>
            <w:vAlign w:val="center"/>
          </w:tcPr>
          <w:p w14:paraId="0B26B70D">
            <w:pPr>
              <w:keepNext/>
              <w:snapToGrid w:val="0"/>
              <w:spacing w:line="360" w:lineRule="auto"/>
              <w:jc w:val="center"/>
              <w:rPr>
                <w:rFonts w:cs="宋体"/>
                <w:color w:val="auto"/>
                <w:sz w:val="22"/>
                <w:szCs w:val="21"/>
                <w:highlight w:val="none"/>
              </w:rPr>
            </w:pPr>
          </w:p>
        </w:tc>
        <w:tc>
          <w:tcPr>
            <w:tcW w:w="587" w:type="pct"/>
            <w:tcBorders>
              <w:bottom w:val="single" w:color="auto" w:sz="12" w:space="0"/>
            </w:tcBorders>
            <w:vAlign w:val="center"/>
          </w:tcPr>
          <w:p w14:paraId="1CBC9543">
            <w:pPr>
              <w:keepNext/>
              <w:snapToGrid w:val="0"/>
              <w:spacing w:line="360" w:lineRule="auto"/>
              <w:jc w:val="center"/>
              <w:rPr>
                <w:rFonts w:cs="宋体"/>
                <w:color w:val="auto"/>
                <w:sz w:val="22"/>
                <w:szCs w:val="21"/>
                <w:highlight w:val="none"/>
              </w:rPr>
            </w:pPr>
          </w:p>
        </w:tc>
        <w:tc>
          <w:tcPr>
            <w:tcW w:w="744" w:type="pct"/>
            <w:tcBorders>
              <w:bottom w:val="single" w:color="auto" w:sz="12" w:space="0"/>
            </w:tcBorders>
            <w:vAlign w:val="center"/>
          </w:tcPr>
          <w:p w14:paraId="7EEA8158">
            <w:pPr>
              <w:keepNext/>
              <w:snapToGrid w:val="0"/>
              <w:spacing w:line="360" w:lineRule="auto"/>
              <w:jc w:val="center"/>
              <w:rPr>
                <w:rFonts w:cs="宋体"/>
                <w:color w:val="auto"/>
                <w:sz w:val="22"/>
                <w:szCs w:val="21"/>
                <w:highlight w:val="none"/>
              </w:rPr>
            </w:pPr>
          </w:p>
        </w:tc>
        <w:tc>
          <w:tcPr>
            <w:tcW w:w="413" w:type="pct"/>
            <w:tcBorders>
              <w:bottom w:val="single" w:color="auto" w:sz="12" w:space="0"/>
            </w:tcBorders>
            <w:vAlign w:val="center"/>
          </w:tcPr>
          <w:p w14:paraId="52BA0D70">
            <w:pPr>
              <w:keepNext/>
              <w:snapToGrid w:val="0"/>
              <w:spacing w:line="360" w:lineRule="auto"/>
              <w:jc w:val="center"/>
              <w:rPr>
                <w:rFonts w:cs="宋体"/>
                <w:color w:val="auto"/>
                <w:sz w:val="22"/>
                <w:szCs w:val="21"/>
                <w:highlight w:val="none"/>
              </w:rPr>
            </w:pPr>
          </w:p>
        </w:tc>
        <w:tc>
          <w:tcPr>
            <w:tcW w:w="413" w:type="pct"/>
            <w:tcBorders>
              <w:bottom w:val="single" w:color="auto" w:sz="12" w:space="0"/>
            </w:tcBorders>
            <w:vAlign w:val="center"/>
          </w:tcPr>
          <w:p w14:paraId="61CB6E18">
            <w:pPr>
              <w:keepNext/>
              <w:snapToGrid w:val="0"/>
              <w:spacing w:line="360" w:lineRule="auto"/>
              <w:jc w:val="center"/>
              <w:rPr>
                <w:rFonts w:cs="宋体"/>
                <w:color w:val="auto"/>
                <w:sz w:val="22"/>
                <w:szCs w:val="21"/>
                <w:highlight w:val="none"/>
              </w:rPr>
            </w:pPr>
          </w:p>
        </w:tc>
      </w:tr>
    </w:tbl>
    <w:p w14:paraId="5F089595">
      <w:pPr>
        <w:spacing w:before="312" w:beforeLines="100" w:after="312" w:afterLines="100"/>
        <w:outlineLvl w:val="2"/>
        <w:rPr>
          <w:rFonts w:ascii="Times New Roman" w:eastAsia="黑体"/>
          <w:color w:val="auto"/>
          <w:szCs w:val="24"/>
          <w:highlight w:val="none"/>
        </w:rPr>
      </w:pPr>
      <w:r>
        <w:rPr>
          <w:rFonts w:hint="eastAsia" w:ascii="Times New Roman" w:eastAsia="黑体"/>
          <w:bCs/>
          <w:color w:val="auto"/>
          <w:highlight w:val="none"/>
        </w:rPr>
        <w:br w:type="page"/>
      </w:r>
      <w:bookmarkStart w:id="580" w:name="_Toc128950236"/>
      <w:r>
        <w:rPr>
          <w:rFonts w:hint="eastAsia" w:ascii="Times New Roman" w:eastAsia="黑体"/>
          <w:color w:val="auto"/>
          <w:szCs w:val="24"/>
          <w:highlight w:val="none"/>
        </w:rPr>
        <w:t>附</w:t>
      </w:r>
      <w:bookmarkStart w:id="581" w:name="_Toc296347224"/>
      <w:bookmarkStart w:id="582" w:name="_Toc296503225"/>
      <w:bookmarkStart w:id="583" w:name="_Toc296346726"/>
      <w:bookmarkStart w:id="584" w:name="_Toc296891053"/>
      <w:bookmarkStart w:id="585" w:name="_Toc296891265"/>
      <w:bookmarkStart w:id="586" w:name="_Toc296944564"/>
      <w:bookmarkStart w:id="587" w:name="_Toc267261692"/>
      <w:r>
        <w:rPr>
          <w:rFonts w:hint="eastAsia" w:ascii="Times New Roman" w:eastAsia="黑体"/>
          <w:color w:val="auto"/>
          <w:szCs w:val="24"/>
          <w:highlight w:val="none"/>
        </w:rPr>
        <w:t>件</w:t>
      </w:r>
      <w:r>
        <w:rPr>
          <w:rFonts w:ascii="Times New Roman" w:eastAsia="黑体"/>
          <w:color w:val="auto"/>
          <w:szCs w:val="24"/>
          <w:highlight w:val="none"/>
        </w:rPr>
        <w:t>2</w:t>
      </w:r>
      <w:r>
        <w:rPr>
          <w:rFonts w:hint="eastAsia" w:ascii="Times New Roman" w:eastAsia="黑体"/>
          <w:color w:val="auto"/>
          <w:szCs w:val="24"/>
          <w:highlight w:val="none"/>
        </w:rPr>
        <w:t>：发包人供应材料设备一览表</w:t>
      </w:r>
      <w:bookmarkEnd w:id="580"/>
    </w:p>
    <w:bookmarkEnd w:id="581"/>
    <w:bookmarkEnd w:id="582"/>
    <w:bookmarkEnd w:id="583"/>
    <w:bookmarkEnd w:id="584"/>
    <w:bookmarkEnd w:id="585"/>
    <w:bookmarkEnd w:id="586"/>
    <w:bookmarkEnd w:id="587"/>
    <w:p w14:paraId="0B502AB9">
      <w:pPr>
        <w:spacing w:line="360" w:lineRule="auto"/>
        <w:jc w:val="center"/>
        <w:rPr>
          <w:rFonts w:cs="宋体"/>
          <w:color w:val="auto"/>
          <w:sz w:val="22"/>
          <w:szCs w:val="21"/>
          <w:highlight w:val="none"/>
        </w:rPr>
      </w:pPr>
      <w:r>
        <w:rPr>
          <w:rFonts w:hint="eastAsia" w:cs="宋体"/>
          <w:color w:val="auto"/>
          <w:sz w:val="22"/>
          <w:szCs w:val="21"/>
          <w:highlight w:val="none"/>
        </w:rPr>
        <w:t>发包人供应材料设备一览表</w:t>
      </w:r>
    </w:p>
    <w:tbl>
      <w:tblPr>
        <w:tblStyle w:val="55"/>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501"/>
        <w:gridCol w:w="1616"/>
        <w:gridCol w:w="948"/>
        <w:gridCol w:w="501"/>
        <w:gridCol w:w="501"/>
        <w:gridCol w:w="1171"/>
        <w:gridCol w:w="948"/>
        <w:gridCol w:w="948"/>
        <w:gridCol w:w="948"/>
        <w:gridCol w:w="502"/>
      </w:tblGrid>
      <w:tr w14:paraId="4CA1D2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292" w:type="pct"/>
            <w:tcBorders>
              <w:top w:val="single" w:color="auto" w:sz="12" w:space="0"/>
              <w:bottom w:val="double" w:color="auto" w:sz="6" w:space="0"/>
            </w:tcBorders>
            <w:vAlign w:val="center"/>
          </w:tcPr>
          <w:p w14:paraId="6F9FAFD8">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序号</w:t>
            </w:r>
          </w:p>
        </w:tc>
        <w:tc>
          <w:tcPr>
            <w:tcW w:w="941" w:type="pct"/>
            <w:tcBorders>
              <w:top w:val="single" w:color="auto" w:sz="12" w:space="0"/>
              <w:bottom w:val="double" w:color="auto" w:sz="6" w:space="0"/>
            </w:tcBorders>
            <w:vAlign w:val="center"/>
          </w:tcPr>
          <w:p w14:paraId="3F904473">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材料、设备品种</w:t>
            </w:r>
          </w:p>
        </w:tc>
        <w:tc>
          <w:tcPr>
            <w:tcW w:w="552" w:type="pct"/>
            <w:tcBorders>
              <w:top w:val="single" w:color="auto" w:sz="12" w:space="0"/>
              <w:bottom w:val="double" w:color="auto" w:sz="6" w:space="0"/>
            </w:tcBorders>
            <w:vAlign w:val="center"/>
          </w:tcPr>
          <w:p w14:paraId="51504F17">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规格型号</w:t>
            </w:r>
          </w:p>
        </w:tc>
        <w:tc>
          <w:tcPr>
            <w:tcW w:w="292" w:type="pct"/>
            <w:tcBorders>
              <w:top w:val="single" w:color="auto" w:sz="12" w:space="0"/>
              <w:bottom w:val="double" w:color="auto" w:sz="6" w:space="0"/>
            </w:tcBorders>
            <w:vAlign w:val="center"/>
          </w:tcPr>
          <w:p w14:paraId="3C505E8B">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单位</w:t>
            </w:r>
          </w:p>
        </w:tc>
        <w:tc>
          <w:tcPr>
            <w:tcW w:w="292" w:type="pct"/>
            <w:tcBorders>
              <w:top w:val="single" w:color="auto" w:sz="12" w:space="0"/>
              <w:bottom w:val="double" w:color="auto" w:sz="6" w:space="0"/>
            </w:tcBorders>
            <w:vAlign w:val="center"/>
          </w:tcPr>
          <w:p w14:paraId="22419952">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数量</w:t>
            </w:r>
          </w:p>
        </w:tc>
        <w:tc>
          <w:tcPr>
            <w:tcW w:w="682" w:type="pct"/>
            <w:tcBorders>
              <w:top w:val="single" w:color="auto" w:sz="12" w:space="0"/>
              <w:bottom w:val="double" w:color="auto" w:sz="6" w:space="0"/>
            </w:tcBorders>
            <w:vAlign w:val="center"/>
          </w:tcPr>
          <w:p w14:paraId="5119E783">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单价（元）</w:t>
            </w:r>
          </w:p>
        </w:tc>
        <w:tc>
          <w:tcPr>
            <w:tcW w:w="552" w:type="pct"/>
            <w:tcBorders>
              <w:top w:val="single" w:color="auto" w:sz="12" w:space="0"/>
              <w:bottom w:val="double" w:color="auto" w:sz="6" w:space="0"/>
            </w:tcBorders>
            <w:vAlign w:val="center"/>
          </w:tcPr>
          <w:p w14:paraId="670BC82D">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质量等级</w:t>
            </w:r>
          </w:p>
        </w:tc>
        <w:tc>
          <w:tcPr>
            <w:tcW w:w="552" w:type="pct"/>
            <w:tcBorders>
              <w:top w:val="single" w:color="auto" w:sz="12" w:space="0"/>
              <w:bottom w:val="double" w:color="auto" w:sz="6" w:space="0"/>
            </w:tcBorders>
            <w:vAlign w:val="center"/>
          </w:tcPr>
          <w:p w14:paraId="590F00BF">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供应时间</w:t>
            </w:r>
          </w:p>
        </w:tc>
        <w:tc>
          <w:tcPr>
            <w:tcW w:w="552" w:type="pct"/>
            <w:tcBorders>
              <w:top w:val="single" w:color="auto" w:sz="12" w:space="0"/>
              <w:bottom w:val="double" w:color="auto" w:sz="6" w:space="0"/>
            </w:tcBorders>
            <w:vAlign w:val="center"/>
          </w:tcPr>
          <w:p w14:paraId="27F52C1A">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送达地点</w:t>
            </w:r>
          </w:p>
        </w:tc>
        <w:tc>
          <w:tcPr>
            <w:tcW w:w="292" w:type="pct"/>
            <w:tcBorders>
              <w:top w:val="single" w:color="auto" w:sz="12" w:space="0"/>
              <w:bottom w:val="double" w:color="auto" w:sz="6" w:space="0"/>
            </w:tcBorders>
            <w:vAlign w:val="center"/>
          </w:tcPr>
          <w:p w14:paraId="02F7293E">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备注</w:t>
            </w:r>
          </w:p>
        </w:tc>
      </w:tr>
      <w:tr w14:paraId="481FC1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292" w:type="pct"/>
            <w:tcBorders>
              <w:top w:val="double" w:color="auto" w:sz="6" w:space="0"/>
            </w:tcBorders>
            <w:vAlign w:val="center"/>
          </w:tcPr>
          <w:p w14:paraId="0F53B32E">
            <w:pPr>
              <w:keepNext/>
              <w:snapToGrid w:val="0"/>
              <w:spacing w:line="360" w:lineRule="auto"/>
              <w:jc w:val="center"/>
              <w:rPr>
                <w:rFonts w:cs="宋体"/>
                <w:color w:val="auto"/>
                <w:sz w:val="22"/>
                <w:szCs w:val="21"/>
                <w:highlight w:val="none"/>
              </w:rPr>
            </w:pPr>
          </w:p>
        </w:tc>
        <w:tc>
          <w:tcPr>
            <w:tcW w:w="941" w:type="pct"/>
            <w:tcBorders>
              <w:top w:val="double" w:color="auto" w:sz="6" w:space="0"/>
            </w:tcBorders>
            <w:vAlign w:val="center"/>
          </w:tcPr>
          <w:p w14:paraId="59AAD72E">
            <w:pPr>
              <w:keepNext/>
              <w:snapToGrid w:val="0"/>
              <w:spacing w:line="360" w:lineRule="auto"/>
              <w:jc w:val="center"/>
              <w:rPr>
                <w:rFonts w:cs="宋体"/>
                <w:color w:val="auto"/>
                <w:sz w:val="22"/>
                <w:szCs w:val="21"/>
                <w:highlight w:val="none"/>
              </w:rPr>
            </w:pPr>
          </w:p>
        </w:tc>
        <w:tc>
          <w:tcPr>
            <w:tcW w:w="552" w:type="pct"/>
            <w:tcBorders>
              <w:top w:val="double" w:color="auto" w:sz="6" w:space="0"/>
            </w:tcBorders>
            <w:vAlign w:val="center"/>
          </w:tcPr>
          <w:p w14:paraId="451E5B9C">
            <w:pPr>
              <w:keepNext/>
              <w:snapToGrid w:val="0"/>
              <w:spacing w:line="360" w:lineRule="auto"/>
              <w:jc w:val="center"/>
              <w:rPr>
                <w:rFonts w:cs="宋体"/>
                <w:color w:val="auto"/>
                <w:sz w:val="22"/>
                <w:szCs w:val="21"/>
                <w:highlight w:val="none"/>
              </w:rPr>
            </w:pPr>
          </w:p>
        </w:tc>
        <w:tc>
          <w:tcPr>
            <w:tcW w:w="292" w:type="pct"/>
            <w:tcBorders>
              <w:top w:val="double" w:color="auto" w:sz="6" w:space="0"/>
            </w:tcBorders>
            <w:vAlign w:val="center"/>
          </w:tcPr>
          <w:p w14:paraId="69EDC336">
            <w:pPr>
              <w:keepNext/>
              <w:snapToGrid w:val="0"/>
              <w:spacing w:line="360" w:lineRule="auto"/>
              <w:jc w:val="center"/>
              <w:rPr>
                <w:rFonts w:cs="宋体"/>
                <w:color w:val="auto"/>
                <w:sz w:val="22"/>
                <w:szCs w:val="21"/>
                <w:highlight w:val="none"/>
              </w:rPr>
            </w:pPr>
          </w:p>
        </w:tc>
        <w:tc>
          <w:tcPr>
            <w:tcW w:w="292" w:type="pct"/>
            <w:tcBorders>
              <w:top w:val="double" w:color="auto" w:sz="6" w:space="0"/>
            </w:tcBorders>
            <w:vAlign w:val="center"/>
          </w:tcPr>
          <w:p w14:paraId="7F03A0E8">
            <w:pPr>
              <w:keepNext/>
              <w:snapToGrid w:val="0"/>
              <w:spacing w:line="360" w:lineRule="auto"/>
              <w:jc w:val="center"/>
              <w:rPr>
                <w:rFonts w:cs="宋体"/>
                <w:color w:val="auto"/>
                <w:sz w:val="22"/>
                <w:szCs w:val="21"/>
                <w:highlight w:val="none"/>
              </w:rPr>
            </w:pPr>
          </w:p>
        </w:tc>
        <w:tc>
          <w:tcPr>
            <w:tcW w:w="682" w:type="pct"/>
            <w:tcBorders>
              <w:top w:val="double" w:color="auto" w:sz="6" w:space="0"/>
            </w:tcBorders>
            <w:vAlign w:val="center"/>
          </w:tcPr>
          <w:p w14:paraId="3298F6AA">
            <w:pPr>
              <w:keepNext/>
              <w:snapToGrid w:val="0"/>
              <w:spacing w:line="360" w:lineRule="auto"/>
              <w:jc w:val="center"/>
              <w:rPr>
                <w:rFonts w:cs="宋体"/>
                <w:color w:val="auto"/>
                <w:sz w:val="22"/>
                <w:szCs w:val="21"/>
                <w:highlight w:val="none"/>
              </w:rPr>
            </w:pPr>
          </w:p>
        </w:tc>
        <w:tc>
          <w:tcPr>
            <w:tcW w:w="552" w:type="pct"/>
            <w:tcBorders>
              <w:top w:val="double" w:color="auto" w:sz="6" w:space="0"/>
            </w:tcBorders>
            <w:vAlign w:val="center"/>
          </w:tcPr>
          <w:p w14:paraId="13975D79">
            <w:pPr>
              <w:keepNext/>
              <w:snapToGrid w:val="0"/>
              <w:spacing w:line="360" w:lineRule="auto"/>
              <w:jc w:val="center"/>
              <w:rPr>
                <w:rFonts w:cs="宋体"/>
                <w:color w:val="auto"/>
                <w:sz w:val="22"/>
                <w:szCs w:val="21"/>
                <w:highlight w:val="none"/>
              </w:rPr>
            </w:pPr>
          </w:p>
        </w:tc>
        <w:tc>
          <w:tcPr>
            <w:tcW w:w="552" w:type="pct"/>
            <w:tcBorders>
              <w:top w:val="double" w:color="auto" w:sz="6" w:space="0"/>
            </w:tcBorders>
            <w:vAlign w:val="center"/>
          </w:tcPr>
          <w:p w14:paraId="6D042702">
            <w:pPr>
              <w:keepNext/>
              <w:snapToGrid w:val="0"/>
              <w:spacing w:line="360" w:lineRule="auto"/>
              <w:jc w:val="center"/>
              <w:rPr>
                <w:rFonts w:cs="宋体"/>
                <w:color w:val="auto"/>
                <w:sz w:val="22"/>
                <w:szCs w:val="21"/>
                <w:highlight w:val="none"/>
              </w:rPr>
            </w:pPr>
          </w:p>
        </w:tc>
        <w:tc>
          <w:tcPr>
            <w:tcW w:w="552" w:type="pct"/>
            <w:tcBorders>
              <w:top w:val="double" w:color="auto" w:sz="6" w:space="0"/>
            </w:tcBorders>
            <w:vAlign w:val="center"/>
          </w:tcPr>
          <w:p w14:paraId="43AA748F">
            <w:pPr>
              <w:keepNext/>
              <w:snapToGrid w:val="0"/>
              <w:spacing w:line="360" w:lineRule="auto"/>
              <w:jc w:val="center"/>
              <w:rPr>
                <w:rFonts w:cs="宋体"/>
                <w:color w:val="auto"/>
                <w:sz w:val="22"/>
                <w:szCs w:val="21"/>
                <w:highlight w:val="none"/>
              </w:rPr>
            </w:pPr>
          </w:p>
        </w:tc>
        <w:tc>
          <w:tcPr>
            <w:tcW w:w="292" w:type="pct"/>
            <w:tcBorders>
              <w:top w:val="double" w:color="auto" w:sz="6" w:space="0"/>
            </w:tcBorders>
            <w:vAlign w:val="center"/>
          </w:tcPr>
          <w:p w14:paraId="7E88C27C">
            <w:pPr>
              <w:keepNext/>
              <w:snapToGrid w:val="0"/>
              <w:spacing w:line="360" w:lineRule="auto"/>
              <w:jc w:val="center"/>
              <w:rPr>
                <w:rFonts w:cs="宋体"/>
                <w:color w:val="auto"/>
                <w:sz w:val="22"/>
                <w:szCs w:val="21"/>
                <w:highlight w:val="none"/>
              </w:rPr>
            </w:pPr>
          </w:p>
        </w:tc>
      </w:tr>
      <w:tr w14:paraId="690E5C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292" w:type="pct"/>
            <w:vAlign w:val="center"/>
          </w:tcPr>
          <w:p w14:paraId="16B74E93">
            <w:pPr>
              <w:snapToGrid w:val="0"/>
              <w:spacing w:line="360" w:lineRule="auto"/>
              <w:jc w:val="center"/>
              <w:rPr>
                <w:rFonts w:cs="宋体"/>
                <w:color w:val="auto"/>
                <w:sz w:val="22"/>
                <w:szCs w:val="21"/>
                <w:highlight w:val="none"/>
              </w:rPr>
            </w:pPr>
          </w:p>
        </w:tc>
        <w:tc>
          <w:tcPr>
            <w:tcW w:w="941" w:type="pct"/>
            <w:vAlign w:val="center"/>
          </w:tcPr>
          <w:p w14:paraId="704FD3B4">
            <w:pPr>
              <w:snapToGrid w:val="0"/>
              <w:spacing w:line="360" w:lineRule="auto"/>
              <w:jc w:val="center"/>
              <w:rPr>
                <w:rFonts w:cs="宋体"/>
                <w:color w:val="auto"/>
                <w:sz w:val="22"/>
                <w:szCs w:val="21"/>
                <w:highlight w:val="none"/>
              </w:rPr>
            </w:pPr>
          </w:p>
        </w:tc>
        <w:tc>
          <w:tcPr>
            <w:tcW w:w="552" w:type="pct"/>
            <w:vAlign w:val="center"/>
          </w:tcPr>
          <w:p w14:paraId="187BE5B8">
            <w:pPr>
              <w:snapToGrid w:val="0"/>
              <w:spacing w:line="360" w:lineRule="auto"/>
              <w:jc w:val="center"/>
              <w:rPr>
                <w:rFonts w:cs="宋体"/>
                <w:color w:val="auto"/>
                <w:sz w:val="22"/>
                <w:szCs w:val="21"/>
                <w:highlight w:val="none"/>
              </w:rPr>
            </w:pPr>
          </w:p>
        </w:tc>
        <w:tc>
          <w:tcPr>
            <w:tcW w:w="292" w:type="pct"/>
            <w:vAlign w:val="center"/>
          </w:tcPr>
          <w:p w14:paraId="1492954D">
            <w:pPr>
              <w:snapToGrid w:val="0"/>
              <w:spacing w:line="360" w:lineRule="auto"/>
              <w:jc w:val="center"/>
              <w:rPr>
                <w:rFonts w:cs="宋体"/>
                <w:color w:val="auto"/>
                <w:sz w:val="22"/>
                <w:szCs w:val="21"/>
                <w:highlight w:val="none"/>
              </w:rPr>
            </w:pPr>
          </w:p>
        </w:tc>
        <w:tc>
          <w:tcPr>
            <w:tcW w:w="292" w:type="pct"/>
            <w:vAlign w:val="center"/>
          </w:tcPr>
          <w:p w14:paraId="4385FE45">
            <w:pPr>
              <w:snapToGrid w:val="0"/>
              <w:spacing w:line="360" w:lineRule="auto"/>
              <w:jc w:val="center"/>
              <w:rPr>
                <w:rFonts w:cs="宋体"/>
                <w:color w:val="auto"/>
                <w:sz w:val="22"/>
                <w:szCs w:val="21"/>
                <w:highlight w:val="none"/>
              </w:rPr>
            </w:pPr>
          </w:p>
        </w:tc>
        <w:tc>
          <w:tcPr>
            <w:tcW w:w="682" w:type="pct"/>
            <w:vAlign w:val="center"/>
          </w:tcPr>
          <w:p w14:paraId="4DF75AE4">
            <w:pPr>
              <w:snapToGrid w:val="0"/>
              <w:spacing w:line="360" w:lineRule="auto"/>
              <w:jc w:val="center"/>
              <w:rPr>
                <w:rFonts w:cs="宋体"/>
                <w:color w:val="auto"/>
                <w:sz w:val="22"/>
                <w:szCs w:val="21"/>
                <w:highlight w:val="none"/>
              </w:rPr>
            </w:pPr>
          </w:p>
        </w:tc>
        <w:tc>
          <w:tcPr>
            <w:tcW w:w="552" w:type="pct"/>
            <w:vAlign w:val="center"/>
          </w:tcPr>
          <w:p w14:paraId="22E6A2D2">
            <w:pPr>
              <w:snapToGrid w:val="0"/>
              <w:spacing w:line="360" w:lineRule="auto"/>
              <w:jc w:val="center"/>
              <w:rPr>
                <w:rFonts w:cs="宋体"/>
                <w:color w:val="auto"/>
                <w:sz w:val="22"/>
                <w:szCs w:val="21"/>
                <w:highlight w:val="none"/>
              </w:rPr>
            </w:pPr>
          </w:p>
        </w:tc>
        <w:tc>
          <w:tcPr>
            <w:tcW w:w="552" w:type="pct"/>
            <w:vAlign w:val="center"/>
          </w:tcPr>
          <w:p w14:paraId="34698A63">
            <w:pPr>
              <w:snapToGrid w:val="0"/>
              <w:spacing w:line="360" w:lineRule="auto"/>
              <w:jc w:val="center"/>
              <w:rPr>
                <w:rFonts w:cs="宋体"/>
                <w:color w:val="auto"/>
                <w:sz w:val="22"/>
                <w:szCs w:val="21"/>
                <w:highlight w:val="none"/>
              </w:rPr>
            </w:pPr>
          </w:p>
        </w:tc>
        <w:tc>
          <w:tcPr>
            <w:tcW w:w="552" w:type="pct"/>
            <w:vAlign w:val="center"/>
          </w:tcPr>
          <w:p w14:paraId="63B5C4F0">
            <w:pPr>
              <w:snapToGrid w:val="0"/>
              <w:spacing w:line="360" w:lineRule="auto"/>
              <w:jc w:val="center"/>
              <w:rPr>
                <w:rFonts w:cs="宋体"/>
                <w:color w:val="auto"/>
                <w:sz w:val="22"/>
                <w:szCs w:val="21"/>
                <w:highlight w:val="none"/>
              </w:rPr>
            </w:pPr>
          </w:p>
        </w:tc>
        <w:tc>
          <w:tcPr>
            <w:tcW w:w="292" w:type="pct"/>
            <w:vAlign w:val="center"/>
          </w:tcPr>
          <w:p w14:paraId="1C726FB1">
            <w:pPr>
              <w:snapToGrid w:val="0"/>
              <w:spacing w:line="360" w:lineRule="auto"/>
              <w:jc w:val="center"/>
              <w:rPr>
                <w:rFonts w:cs="宋体"/>
                <w:color w:val="auto"/>
                <w:sz w:val="22"/>
                <w:szCs w:val="21"/>
                <w:highlight w:val="none"/>
              </w:rPr>
            </w:pPr>
          </w:p>
        </w:tc>
      </w:tr>
      <w:tr w14:paraId="31ACE4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292" w:type="pct"/>
            <w:tcBorders>
              <w:bottom w:val="single" w:color="auto" w:sz="12" w:space="0"/>
            </w:tcBorders>
            <w:vAlign w:val="center"/>
          </w:tcPr>
          <w:p w14:paraId="1EF8A787">
            <w:pPr>
              <w:snapToGrid w:val="0"/>
              <w:spacing w:line="360" w:lineRule="auto"/>
              <w:jc w:val="center"/>
              <w:rPr>
                <w:rFonts w:cs="宋体"/>
                <w:color w:val="auto"/>
                <w:sz w:val="22"/>
                <w:szCs w:val="21"/>
                <w:highlight w:val="none"/>
              </w:rPr>
            </w:pPr>
          </w:p>
        </w:tc>
        <w:tc>
          <w:tcPr>
            <w:tcW w:w="941" w:type="pct"/>
            <w:tcBorders>
              <w:bottom w:val="single" w:color="auto" w:sz="12" w:space="0"/>
            </w:tcBorders>
            <w:vAlign w:val="center"/>
          </w:tcPr>
          <w:p w14:paraId="266D0F9D">
            <w:pPr>
              <w:snapToGrid w:val="0"/>
              <w:spacing w:line="360" w:lineRule="auto"/>
              <w:jc w:val="center"/>
              <w:rPr>
                <w:rFonts w:cs="宋体"/>
                <w:color w:val="auto"/>
                <w:sz w:val="22"/>
                <w:szCs w:val="21"/>
                <w:highlight w:val="none"/>
              </w:rPr>
            </w:pPr>
          </w:p>
        </w:tc>
        <w:tc>
          <w:tcPr>
            <w:tcW w:w="552" w:type="pct"/>
            <w:tcBorders>
              <w:bottom w:val="single" w:color="auto" w:sz="12" w:space="0"/>
            </w:tcBorders>
            <w:vAlign w:val="center"/>
          </w:tcPr>
          <w:p w14:paraId="0EDD1848">
            <w:pPr>
              <w:snapToGrid w:val="0"/>
              <w:spacing w:line="360" w:lineRule="auto"/>
              <w:jc w:val="center"/>
              <w:rPr>
                <w:rFonts w:cs="宋体"/>
                <w:color w:val="auto"/>
                <w:sz w:val="22"/>
                <w:szCs w:val="21"/>
                <w:highlight w:val="none"/>
              </w:rPr>
            </w:pPr>
          </w:p>
        </w:tc>
        <w:tc>
          <w:tcPr>
            <w:tcW w:w="292" w:type="pct"/>
            <w:tcBorders>
              <w:bottom w:val="single" w:color="auto" w:sz="12" w:space="0"/>
            </w:tcBorders>
            <w:vAlign w:val="center"/>
          </w:tcPr>
          <w:p w14:paraId="1E0AA253">
            <w:pPr>
              <w:snapToGrid w:val="0"/>
              <w:spacing w:line="360" w:lineRule="auto"/>
              <w:jc w:val="center"/>
              <w:rPr>
                <w:rFonts w:cs="宋体"/>
                <w:color w:val="auto"/>
                <w:sz w:val="22"/>
                <w:szCs w:val="21"/>
                <w:highlight w:val="none"/>
              </w:rPr>
            </w:pPr>
          </w:p>
        </w:tc>
        <w:tc>
          <w:tcPr>
            <w:tcW w:w="292" w:type="pct"/>
            <w:tcBorders>
              <w:bottom w:val="single" w:color="auto" w:sz="12" w:space="0"/>
            </w:tcBorders>
            <w:vAlign w:val="center"/>
          </w:tcPr>
          <w:p w14:paraId="7DA427DC">
            <w:pPr>
              <w:snapToGrid w:val="0"/>
              <w:spacing w:line="360" w:lineRule="auto"/>
              <w:jc w:val="center"/>
              <w:rPr>
                <w:rFonts w:cs="宋体"/>
                <w:color w:val="auto"/>
                <w:sz w:val="22"/>
                <w:szCs w:val="21"/>
                <w:highlight w:val="none"/>
              </w:rPr>
            </w:pPr>
          </w:p>
        </w:tc>
        <w:tc>
          <w:tcPr>
            <w:tcW w:w="682" w:type="pct"/>
            <w:tcBorders>
              <w:bottom w:val="single" w:color="auto" w:sz="12" w:space="0"/>
            </w:tcBorders>
            <w:vAlign w:val="center"/>
          </w:tcPr>
          <w:p w14:paraId="30BCDAAD">
            <w:pPr>
              <w:snapToGrid w:val="0"/>
              <w:spacing w:line="360" w:lineRule="auto"/>
              <w:jc w:val="center"/>
              <w:rPr>
                <w:rFonts w:cs="宋体"/>
                <w:color w:val="auto"/>
                <w:sz w:val="22"/>
                <w:szCs w:val="21"/>
                <w:highlight w:val="none"/>
              </w:rPr>
            </w:pPr>
          </w:p>
        </w:tc>
        <w:tc>
          <w:tcPr>
            <w:tcW w:w="552" w:type="pct"/>
            <w:tcBorders>
              <w:bottom w:val="single" w:color="auto" w:sz="12" w:space="0"/>
            </w:tcBorders>
            <w:vAlign w:val="center"/>
          </w:tcPr>
          <w:p w14:paraId="135C659F">
            <w:pPr>
              <w:snapToGrid w:val="0"/>
              <w:spacing w:line="360" w:lineRule="auto"/>
              <w:jc w:val="center"/>
              <w:rPr>
                <w:rFonts w:cs="宋体"/>
                <w:color w:val="auto"/>
                <w:sz w:val="22"/>
                <w:szCs w:val="21"/>
                <w:highlight w:val="none"/>
              </w:rPr>
            </w:pPr>
          </w:p>
        </w:tc>
        <w:tc>
          <w:tcPr>
            <w:tcW w:w="552" w:type="pct"/>
            <w:tcBorders>
              <w:bottom w:val="single" w:color="auto" w:sz="12" w:space="0"/>
            </w:tcBorders>
            <w:vAlign w:val="center"/>
          </w:tcPr>
          <w:p w14:paraId="12C2402F">
            <w:pPr>
              <w:snapToGrid w:val="0"/>
              <w:spacing w:line="360" w:lineRule="auto"/>
              <w:jc w:val="center"/>
              <w:rPr>
                <w:rFonts w:cs="宋体"/>
                <w:color w:val="auto"/>
                <w:sz w:val="22"/>
                <w:szCs w:val="21"/>
                <w:highlight w:val="none"/>
              </w:rPr>
            </w:pPr>
          </w:p>
        </w:tc>
        <w:tc>
          <w:tcPr>
            <w:tcW w:w="552" w:type="pct"/>
            <w:tcBorders>
              <w:bottom w:val="single" w:color="auto" w:sz="12" w:space="0"/>
            </w:tcBorders>
            <w:vAlign w:val="center"/>
          </w:tcPr>
          <w:p w14:paraId="63426461">
            <w:pPr>
              <w:snapToGrid w:val="0"/>
              <w:spacing w:line="360" w:lineRule="auto"/>
              <w:jc w:val="center"/>
              <w:rPr>
                <w:rFonts w:cs="宋体"/>
                <w:color w:val="auto"/>
                <w:sz w:val="22"/>
                <w:szCs w:val="21"/>
                <w:highlight w:val="none"/>
              </w:rPr>
            </w:pPr>
          </w:p>
        </w:tc>
        <w:tc>
          <w:tcPr>
            <w:tcW w:w="292" w:type="pct"/>
            <w:tcBorders>
              <w:bottom w:val="single" w:color="auto" w:sz="12" w:space="0"/>
            </w:tcBorders>
            <w:vAlign w:val="center"/>
          </w:tcPr>
          <w:p w14:paraId="3D104FFA">
            <w:pPr>
              <w:snapToGrid w:val="0"/>
              <w:spacing w:line="360" w:lineRule="auto"/>
              <w:jc w:val="center"/>
              <w:rPr>
                <w:rFonts w:cs="宋体"/>
                <w:color w:val="auto"/>
                <w:sz w:val="22"/>
                <w:szCs w:val="21"/>
                <w:highlight w:val="none"/>
              </w:rPr>
            </w:pPr>
          </w:p>
        </w:tc>
      </w:tr>
    </w:tbl>
    <w:p w14:paraId="4F6E982B">
      <w:pPr>
        <w:spacing w:before="312" w:beforeLines="100" w:after="312" w:afterLines="100"/>
        <w:outlineLvl w:val="2"/>
        <w:rPr>
          <w:rFonts w:ascii="Times New Roman" w:eastAsia="黑体"/>
          <w:color w:val="auto"/>
          <w:szCs w:val="24"/>
          <w:highlight w:val="none"/>
        </w:rPr>
      </w:pPr>
      <w:r>
        <w:rPr>
          <w:rFonts w:hint="eastAsia" w:cs="宋体"/>
          <w:bCs/>
          <w:color w:val="auto"/>
          <w:highlight w:val="none"/>
        </w:rPr>
        <w:br w:type="page"/>
      </w:r>
      <w:bookmarkStart w:id="588" w:name="_Toc128950237"/>
      <w:r>
        <w:rPr>
          <w:rFonts w:hint="eastAsia" w:ascii="Times New Roman" w:eastAsia="黑体"/>
          <w:color w:val="auto"/>
          <w:szCs w:val="24"/>
          <w:highlight w:val="none"/>
        </w:rPr>
        <w:t>附件3：工程质量保修书（房屋建筑工程）</w:t>
      </w:r>
      <w:bookmarkEnd w:id="588"/>
    </w:p>
    <w:p w14:paraId="78BA9598">
      <w:pPr>
        <w:adjustRightInd w:val="0"/>
        <w:snapToGrid w:val="0"/>
        <w:spacing w:before="156" w:beforeLines="50" w:after="156" w:afterLines="50" w:line="360" w:lineRule="auto"/>
        <w:jc w:val="center"/>
        <w:rPr>
          <w:rFonts w:cs="宋体"/>
          <w:b/>
          <w:color w:val="auto"/>
          <w:highlight w:val="none"/>
        </w:rPr>
      </w:pPr>
      <w:r>
        <w:rPr>
          <w:rFonts w:hint="eastAsia" w:cs="宋体"/>
          <w:b/>
          <w:color w:val="auto"/>
          <w:highlight w:val="none"/>
        </w:rPr>
        <w:t>工程质量保修书</w:t>
      </w:r>
    </w:p>
    <w:p w14:paraId="7434D4E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发包人（全称）：</w:t>
      </w:r>
      <w:r>
        <w:rPr>
          <w:rFonts w:hint="eastAsia" w:cs="宋体"/>
          <w:color w:val="auto"/>
          <w:sz w:val="21"/>
          <w:szCs w:val="21"/>
          <w:highlight w:val="none"/>
          <w:u w:val="single"/>
        </w:rPr>
        <w:t xml:space="preserve">                                </w:t>
      </w:r>
      <w:r>
        <w:rPr>
          <w:rFonts w:hint="eastAsia" w:cs="宋体"/>
          <w:color w:val="auto"/>
          <w:sz w:val="21"/>
          <w:szCs w:val="21"/>
          <w:highlight w:val="none"/>
        </w:rPr>
        <w:t xml:space="preserve"> </w:t>
      </w:r>
    </w:p>
    <w:p w14:paraId="4E05676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承包人（全称）：</w:t>
      </w:r>
      <w:r>
        <w:rPr>
          <w:rFonts w:hint="eastAsia" w:cs="宋体"/>
          <w:color w:val="auto"/>
          <w:sz w:val="21"/>
          <w:szCs w:val="21"/>
          <w:highlight w:val="none"/>
          <w:u w:val="single"/>
        </w:rPr>
        <w:t xml:space="preserve">                                </w:t>
      </w:r>
      <w:r>
        <w:rPr>
          <w:rFonts w:hint="eastAsia" w:cs="宋体"/>
          <w:color w:val="auto"/>
          <w:sz w:val="21"/>
          <w:szCs w:val="21"/>
          <w:highlight w:val="none"/>
        </w:rPr>
        <w:t xml:space="preserve"> </w:t>
      </w:r>
    </w:p>
    <w:p w14:paraId="6FA78E6B">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发包人和承包人根据《中华人民共和国建筑法》和《建设工程质量管理条例》，经协商一致就_______________（工程全称）签订工程质量保修书。</w:t>
      </w:r>
    </w:p>
    <w:p w14:paraId="327759CA">
      <w:pPr>
        <w:adjustRightInd w:val="0"/>
        <w:snapToGrid w:val="0"/>
        <w:spacing w:line="360" w:lineRule="auto"/>
        <w:ind w:firstLine="422" w:firstLineChars="200"/>
        <w:rPr>
          <w:rFonts w:cs="宋体"/>
          <w:b/>
          <w:color w:val="auto"/>
          <w:sz w:val="21"/>
          <w:szCs w:val="21"/>
          <w:highlight w:val="none"/>
        </w:rPr>
      </w:pPr>
      <w:r>
        <w:rPr>
          <w:rFonts w:hint="eastAsia" w:cs="宋体"/>
          <w:b/>
          <w:color w:val="auto"/>
          <w:sz w:val="21"/>
          <w:szCs w:val="21"/>
          <w:highlight w:val="none"/>
        </w:rPr>
        <w:t>一、工程质量保修范围和内容</w:t>
      </w:r>
    </w:p>
    <w:p w14:paraId="64D6E1F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承包人在质量保修期内，按照有关法律规定和合同约定，承担工程质量保修责任。</w:t>
      </w:r>
    </w:p>
    <w:p w14:paraId="661820F7">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cs="宋体"/>
          <w:color w:val="auto"/>
          <w:sz w:val="21"/>
          <w:szCs w:val="21"/>
          <w:highlight w:val="none"/>
          <w:u w:val="single"/>
        </w:rPr>
        <w:t xml:space="preserve">                </w:t>
      </w:r>
      <w:r>
        <w:rPr>
          <w:rFonts w:hint="eastAsia" w:cs="宋体"/>
          <w:color w:val="auto"/>
          <w:sz w:val="21"/>
          <w:szCs w:val="21"/>
          <w:highlight w:val="none"/>
        </w:rPr>
        <w:t>。</w:t>
      </w:r>
    </w:p>
    <w:p w14:paraId="41FA0075">
      <w:pPr>
        <w:adjustRightInd w:val="0"/>
        <w:snapToGrid w:val="0"/>
        <w:spacing w:line="360" w:lineRule="auto"/>
        <w:ind w:firstLine="413" w:firstLineChars="196"/>
        <w:rPr>
          <w:rFonts w:cs="宋体"/>
          <w:b/>
          <w:color w:val="auto"/>
          <w:sz w:val="21"/>
          <w:szCs w:val="21"/>
          <w:highlight w:val="none"/>
        </w:rPr>
      </w:pPr>
      <w:r>
        <w:rPr>
          <w:rFonts w:hint="eastAsia" w:cs="宋体"/>
          <w:b/>
          <w:color w:val="auto"/>
          <w:sz w:val="21"/>
          <w:szCs w:val="21"/>
          <w:highlight w:val="none"/>
        </w:rPr>
        <w:t>二、质量保修期</w:t>
      </w:r>
    </w:p>
    <w:p w14:paraId="327896C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根据《建设工程质量管理条例》及有关规定，工程的质量保修期如下：</w:t>
      </w:r>
    </w:p>
    <w:p w14:paraId="28F6439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 地基基础工程和主体结构工程为设计文件规定的工程合理使用年限；</w:t>
      </w:r>
    </w:p>
    <w:p w14:paraId="07CF726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 屋面防水工程、有防水要求的卫生间、房间和外墙面的防渗为</w:t>
      </w:r>
      <w:r>
        <w:rPr>
          <w:rFonts w:hint="eastAsia" w:cs="宋体"/>
          <w:color w:val="auto"/>
          <w:sz w:val="21"/>
          <w:szCs w:val="21"/>
          <w:highlight w:val="none"/>
          <w:u w:val="single"/>
        </w:rPr>
        <w:t>5</w:t>
      </w:r>
      <w:r>
        <w:rPr>
          <w:rFonts w:hint="eastAsia" w:cs="宋体"/>
          <w:color w:val="auto"/>
          <w:sz w:val="21"/>
          <w:szCs w:val="21"/>
          <w:highlight w:val="none"/>
        </w:rPr>
        <w:t>年；</w:t>
      </w:r>
    </w:p>
    <w:p w14:paraId="405F853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 装修工程为</w:t>
      </w:r>
      <w:r>
        <w:rPr>
          <w:rFonts w:hint="eastAsia" w:cs="宋体"/>
          <w:color w:val="auto"/>
          <w:sz w:val="21"/>
          <w:szCs w:val="21"/>
          <w:highlight w:val="none"/>
          <w:u w:val="single"/>
        </w:rPr>
        <w:t>2</w:t>
      </w:r>
      <w:r>
        <w:rPr>
          <w:rFonts w:hint="eastAsia" w:cs="宋体"/>
          <w:color w:val="auto"/>
          <w:sz w:val="21"/>
          <w:szCs w:val="21"/>
          <w:highlight w:val="none"/>
        </w:rPr>
        <w:t>年；</w:t>
      </w:r>
    </w:p>
    <w:p w14:paraId="0962379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4. 电气管线、给排水管道、设备安装工程为</w:t>
      </w:r>
      <w:r>
        <w:rPr>
          <w:rFonts w:hint="eastAsia" w:cs="宋体"/>
          <w:color w:val="auto"/>
          <w:sz w:val="21"/>
          <w:szCs w:val="21"/>
          <w:highlight w:val="none"/>
          <w:u w:val="single"/>
        </w:rPr>
        <w:t>2</w:t>
      </w:r>
      <w:r>
        <w:rPr>
          <w:rFonts w:hint="eastAsia" w:cs="宋体"/>
          <w:color w:val="auto"/>
          <w:sz w:val="21"/>
          <w:szCs w:val="21"/>
          <w:highlight w:val="none"/>
        </w:rPr>
        <w:t>年；</w:t>
      </w:r>
    </w:p>
    <w:p w14:paraId="7FB9D9FB">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5. 供热与供冷系统为</w:t>
      </w:r>
      <w:r>
        <w:rPr>
          <w:rFonts w:hint="eastAsia" w:cs="宋体"/>
          <w:color w:val="auto"/>
          <w:sz w:val="21"/>
          <w:szCs w:val="21"/>
          <w:highlight w:val="none"/>
          <w:u w:val="single"/>
        </w:rPr>
        <w:t>2</w:t>
      </w:r>
      <w:r>
        <w:rPr>
          <w:rFonts w:hint="eastAsia" w:cs="宋体"/>
          <w:color w:val="auto"/>
          <w:sz w:val="21"/>
          <w:szCs w:val="21"/>
          <w:highlight w:val="none"/>
        </w:rPr>
        <w:t>个采暖期、供冷期；</w:t>
      </w:r>
    </w:p>
    <w:p w14:paraId="0B82D95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6. 住宅小区内的给排水设施、道路等配套工程为</w:t>
      </w:r>
      <w:r>
        <w:rPr>
          <w:rFonts w:hint="eastAsia" w:cs="宋体"/>
          <w:color w:val="auto"/>
          <w:sz w:val="21"/>
          <w:szCs w:val="21"/>
          <w:highlight w:val="none"/>
          <w:u w:val="single"/>
        </w:rPr>
        <w:t>2</w:t>
      </w:r>
      <w:r>
        <w:rPr>
          <w:rFonts w:hint="eastAsia" w:cs="宋体"/>
          <w:color w:val="auto"/>
          <w:sz w:val="21"/>
          <w:szCs w:val="21"/>
          <w:highlight w:val="none"/>
        </w:rPr>
        <w:t>年；</w:t>
      </w:r>
    </w:p>
    <w:p w14:paraId="401802A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7. 其他项目保修期限约定如下：</w:t>
      </w:r>
      <w:r>
        <w:rPr>
          <w:rFonts w:hint="eastAsia" w:cs="宋体"/>
          <w:color w:val="auto"/>
          <w:sz w:val="21"/>
          <w:szCs w:val="21"/>
          <w:highlight w:val="none"/>
          <w:u w:val="single"/>
        </w:rPr>
        <w:t>保温工程5年</w:t>
      </w:r>
      <w:r>
        <w:rPr>
          <w:rFonts w:hint="eastAsia" w:cs="宋体"/>
          <w:color w:val="auto"/>
          <w:sz w:val="21"/>
          <w:szCs w:val="21"/>
          <w:highlight w:val="none"/>
        </w:rPr>
        <w:t>。</w:t>
      </w:r>
    </w:p>
    <w:p w14:paraId="4A28A82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质量保修期自工程竣工验收合格之日起计算。</w:t>
      </w:r>
    </w:p>
    <w:p w14:paraId="0C483C78">
      <w:pPr>
        <w:adjustRightInd w:val="0"/>
        <w:snapToGrid w:val="0"/>
        <w:spacing w:line="360" w:lineRule="auto"/>
        <w:ind w:firstLine="422" w:firstLineChars="200"/>
        <w:rPr>
          <w:rFonts w:cs="宋体"/>
          <w:b/>
          <w:color w:val="auto"/>
          <w:sz w:val="21"/>
          <w:szCs w:val="21"/>
          <w:highlight w:val="none"/>
        </w:rPr>
      </w:pPr>
      <w:r>
        <w:rPr>
          <w:rFonts w:hint="eastAsia" w:cs="宋体"/>
          <w:b/>
          <w:color w:val="auto"/>
          <w:sz w:val="21"/>
          <w:szCs w:val="21"/>
          <w:highlight w:val="none"/>
        </w:rPr>
        <w:t>三、缺陷责任期</w:t>
      </w:r>
    </w:p>
    <w:p w14:paraId="27B93EC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工程缺陷责任期为</w:t>
      </w:r>
      <w:r>
        <w:rPr>
          <w:rFonts w:hint="eastAsia" w:cs="宋体"/>
          <w:color w:val="auto"/>
          <w:sz w:val="21"/>
          <w:szCs w:val="21"/>
          <w:highlight w:val="none"/>
          <w:u w:val="single"/>
        </w:rPr>
        <w:t xml:space="preserve">          </w:t>
      </w:r>
      <w:r>
        <w:rPr>
          <w:rFonts w:hint="eastAsia" w:cs="宋体"/>
          <w:color w:val="auto"/>
          <w:sz w:val="21"/>
          <w:szCs w:val="21"/>
          <w:highlight w:val="none"/>
        </w:rPr>
        <w:t>，缺陷责任期自工程竣工验收合格之日起计算。单位工程先于全部工程进行验收，单位工程缺陷责任期自单位工程验收合格之日起算。</w:t>
      </w:r>
    </w:p>
    <w:p w14:paraId="68C8625C">
      <w:pPr>
        <w:adjustRightInd w:val="0"/>
        <w:snapToGrid w:val="0"/>
        <w:spacing w:line="360" w:lineRule="auto"/>
        <w:ind w:firstLine="420" w:firstLineChars="200"/>
        <w:rPr>
          <w:rFonts w:cs="宋体"/>
          <w:b/>
          <w:color w:val="auto"/>
          <w:sz w:val="21"/>
          <w:szCs w:val="21"/>
          <w:highlight w:val="none"/>
        </w:rPr>
      </w:pPr>
      <w:r>
        <w:rPr>
          <w:rFonts w:hint="eastAsia" w:cs="宋体"/>
          <w:color w:val="auto"/>
          <w:sz w:val="21"/>
          <w:szCs w:val="21"/>
          <w:highlight w:val="none"/>
        </w:rPr>
        <w:t>缺陷责任期终止后，发包人应退还剩余的质量保证金。</w:t>
      </w:r>
    </w:p>
    <w:p w14:paraId="76803AB5">
      <w:pPr>
        <w:adjustRightInd w:val="0"/>
        <w:snapToGrid w:val="0"/>
        <w:spacing w:line="360" w:lineRule="auto"/>
        <w:ind w:firstLine="422" w:firstLineChars="200"/>
        <w:rPr>
          <w:rFonts w:cs="宋体"/>
          <w:b/>
          <w:color w:val="auto"/>
          <w:sz w:val="21"/>
          <w:szCs w:val="21"/>
          <w:highlight w:val="none"/>
        </w:rPr>
      </w:pPr>
      <w:r>
        <w:rPr>
          <w:rFonts w:hint="eastAsia" w:cs="宋体"/>
          <w:b/>
          <w:color w:val="auto"/>
          <w:sz w:val="21"/>
          <w:szCs w:val="21"/>
          <w:highlight w:val="none"/>
        </w:rPr>
        <w:t>四、质量保修责任</w:t>
      </w:r>
    </w:p>
    <w:p w14:paraId="23BD24D6">
      <w:pPr>
        <w:adjustRightInd w:val="0"/>
        <w:snapToGrid w:val="0"/>
        <w:spacing w:line="360" w:lineRule="auto"/>
        <w:ind w:firstLine="430" w:firstLineChars="205"/>
        <w:rPr>
          <w:rFonts w:cs="宋体"/>
          <w:color w:val="auto"/>
          <w:sz w:val="21"/>
          <w:szCs w:val="21"/>
          <w:highlight w:val="none"/>
        </w:rPr>
      </w:pPr>
      <w:r>
        <w:rPr>
          <w:rFonts w:hint="eastAsia" w:cs="宋体"/>
          <w:color w:val="auto"/>
          <w:sz w:val="21"/>
          <w:szCs w:val="21"/>
          <w:highlight w:val="none"/>
        </w:rPr>
        <w:t>1. 属于保修范围、内容的项目，承包人应当在接到保修通知之日起7天内派人保修。承包人不在约定期限内派人保修的，发包人可以委托他人修理。</w:t>
      </w:r>
    </w:p>
    <w:p w14:paraId="5407EDAB">
      <w:pPr>
        <w:adjustRightInd w:val="0"/>
        <w:snapToGrid w:val="0"/>
        <w:spacing w:line="360" w:lineRule="auto"/>
        <w:ind w:firstLine="430" w:firstLineChars="205"/>
        <w:rPr>
          <w:rFonts w:cs="宋体"/>
          <w:color w:val="auto"/>
          <w:sz w:val="21"/>
          <w:szCs w:val="21"/>
          <w:highlight w:val="none"/>
        </w:rPr>
      </w:pPr>
      <w:r>
        <w:rPr>
          <w:rFonts w:hint="eastAsia" w:cs="宋体"/>
          <w:color w:val="auto"/>
          <w:sz w:val="21"/>
          <w:szCs w:val="21"/>
          <w:highlight w:val="none"/>
        </w:rPr>
        <w:t>2. 发生紧急事故需抢修的，承包人在接到事故通知后，应当立即到达事故现场抢修。</w:t>
      </w:r>
    </w:p>
    <w:p w14:paraId="5185E5D5">
      <w:pPr>
        <w:adjustRightInd w:val="0"/>
        <w:snapToGrid w:val="0"/>
        <w:spacing w:line="360" w:lineRule="auto"/>
        <w:ind w:firstLine="430" w:firstLineChars="205"/>
        <w:rPr>
          <w:rFonts w:cs="宋体"/>
          <w:color w:val="auto"/>
          <w:sz w:val="21"/>
          <w:szCs w:val="21"/>
          <w:highlight w:val="none"/>
        </w:rPr>
      </w:pPr>
      <w:r>
        <w:rPr>
          <w:rFonts w:hint="eastAsia" w:cs="宋体"/>
          <w:color w:val="auto"/>
          <w:sz w:val="21"/>
          <w:szCs w:val="21"/>
          <w:highlight w:val="none"/>
        </w:rPr>
        <w:t>3. 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1E38F9D7">
      <w:pPr>
        <w:adjustRightInd w:val="0"/>
        <w:snapToGrid w:val="0"/>
        <w:spacing w:line="360" w:lineRule="auto"/>
        <w:ind w:firstLine="430" w:firstLineChars="205"/>
        <w:rPr>
          <w:rFonts w:cs="宋体"/>
          <w:color w:val="auto"/>
          <w:sz w:val="21"/>
          <w:szCs w:val="21"/>
          <w:highlight w:val="none"/>
        </w:rPr>
      </w:pPr>
      <w:r>
        <w:rPr>
          <w:rFonts w:hint="eastAsia" w:cs="宋体"/>
          <w:color w:val="auto"/>
          <w:sz w:val="21"/>
          <w:szCs w:val="21"/>
          <w:highlight w:val="none"/>
        </w:rPr>
        <w:t>4. 质量保修完成后，由发包人组织验收。</w:t>
      </w:r>
    </w:p>
    <w:p w14:paraId="0D2116E1">
      <w:pPr>
        <w:adjustRightInd w:val="0"/>
        <w:snapToGrid w:val="0"/>
        <w:spacing w:line="360" w:lineRule="auto"/>
        <w:ind w:firstLine="422" w:firstLineChars="200"/>
        <w:rPr>
          <w:rFonts w:cs="宋体"/>
          <w:b/>
          <w:color w:val="auto"/>
          <w:sz w:val="21"/>
          <w:szCs w:val="21"/>
          <w:highlight w:val="none"/>
        </w:rPr>
      </w:pPr>
      <w:r>
        <w:rPr>
          <w:rFonts w:hint="eastAsia" w:cs="宋体"/>
          <w:b/>
          <w:color w:val="auto"/>
          <w:sz w:val="21"/>
          <w:szCs w:val="21"/>
          <w:highlight w:val="none"/>
        </w:rPr>
        <w:t>五、保修费用</w:t>
      </w:r>
    </w:p>
    <w:p w14:paraId="18629115">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保修费用由造成质量缺陷的责任方承担。</w:t>
      </w:r>
    </w:p>
    <w:p w14:paraId="516F34B1">
      <w:pPr>
        <w:adjustRightInd w:val="0"/>
        <w:snapToGrid w:val="0"/>
        <w:spacing w:line="360" w:lineRule="auto"/>
        <w:ind w:firstLine="422" w:firstLineChars="200"/>
        <w:rPr>
          <w:rFonts w:cs="宋体"/>
          <w:b/>
          <w:color w:val="auto"/>
          <w:sz w:val="21"/>
          <w:szCs w:val="21"/>
          <w:highlight w:val="none"/>
        </w:rPr>
      </w:pPr>
      <w:r>
        <w:rPr>
          <w:rFonts w:hint="eastAsia" w:cs="宋体"/>
          <w:b/>
          <w:color w:val="auto"/>
          <w:sz w:val="21"/>
          <w:szCs w:val="21"/>
          <w:highlight w:val="none"/>
        </w:rPr>
        <w:t>六、双方约定的其他工程质量保修事项：</w:t>
      </w:r>
      <w:r>
        <w:rPr>
          <w:rFonts w:hint="eastAsia" w:cs="宋体"/>
          <w:b/>
          <w:color w:val="auto"/>
          <w:sz w:val="21"/>
          <w:szCs w:val="21"/>
          <w:highlight w:val="none"/>
          <w:u w:val="single"/>
        </w:rPr>
        <w:t xml:space="preserve">             </w:t>
      </w:r>
      <w:r>
        <w:rPr>
          <w:rFonts w:hint="eastAsia" w:cs="宋体"/>
          <w:b/>
          <w:color w:val="auto"/>
          <w:sz w:val="21"/>
          <w:szCs w:val="21"/>
          <w:highlight w:val="none"/>
        </w:rPr>
        <w:t>。</w:t>
      </w:r>
    </w:p>
    <w:p w14:paraId="6FBCCF9D">
      <w:pPr>
        <w:adjustRightInd w:val="0"/>
        <w:snapToGrid w:val="0"/>
        <w:spacing w:line="360" w:lineRule="auto"/>
        <w:ind w:firstLine="399" w:firstLineChars="190"/>
        <w:rPr>
          <w:rFonts w:cs="宋体"/>
          <w:color w:val="auto"/>
          <w:sz w:val="21"/>
          <w:szCs w:val="21"/>
          <w:highlight w:val="none"/>
        </w:rPr>
      </w:pPr>
      <w:r>
        <w:rPr>
          <w:rFonts w:hint="eastAsia" w:cs="宋体"/>
          <w:color w:val="auto"/>
          <w:sz w:val="21"/>
          <w:szCs w:val="21"/>
          <w:highlight w:val="none"/>
        </w:rPr>
        <w:t>工程质量保修书由发包人、承包人在工程竣工验收前共同签署，作为施工合同附件，其有效期限至保修期满。</w:t>
      </w:r>
    </w:p>
    <w:p w14:paraId="2E85BEF1">
      <w:pPr>
        <w:adjustRightInd w:val="0"/>
        <w:snapToGrid w:val="0"/>
        <w:spacing w:line="360" w:lineRule="auto"/>
        <w:ind w:firstLine="420"/>
        <w:rPr>
          <w:rFonts w:cs="宋体"/>
          <w:color w:val="auto"/>
          <w:sz w:val="21"/>
          <w:szCs w:val="21"/>
          <w:highlight w:val="none"/>
        </w:rPr>
      </w:pPr>
    </w:p>
    <w:p w14:paraId="364BBF71">
      <w:pPr>
        <w:adjustRightInd w:val="0"/>
        <w:snapToGrid w:val="0"/>
        <w:spacing w:line="360" w:lineRule="auto"/>
        <w:ind w:firstLine="420"/>
        <w:rPr>
          <w:rFonts w:cs="宋体"/>
          <w:color w:val="auto"/>
          <w:sz w:val="21"/>
          <w:szCs w:val="21"/>
          <w:highlight w:val="none"/>
        </w:rPr>
      </w:pPr>
    </w:p>
    <w:p w14:paraId="7F64FB29">
      <w:pPr>
        <w:adjustRightInd w:val="0"/>
        <w:snapToGrid w:val="0"/>
        <w:spacing w:line="360" w:lineRule="auto"/>
        <w:rPr>
          <w:rFonts w:cs="宋体"/>
          <w:color w:val="auto"/>
          <w:sz w:val="21"/>
          <w:szCs w:val="21"/>
          <w:highlight w:val="none"/>
          <w:u w:val="single"/>
        </w:rPr>
      </w:pPr>
      <w:r>
        <w:rPr>
          <w:rFonts w:hint="eastAsia" w:cs="宋体"/>
          <w:color w:val="auto"/>
          <w:sz w:val="21"/>
          <w:szCs w:val="21"/>
          <w:highlight w:val="none"/>
        </w:rPr>
        <w:t>发包人（公章）：</w:t>
      </w:r>
      <w:r>
        <w:rPr>
          <w:rFonts w:hint="eastAsia" w:cs="宋体"/>
          <w:color w:val="auto"/>
          <w:sz w:val="21"/>
          <w:szCs w:val="21"/>
          <w:highlight w:val="none"/>
          <w:u w:val="single"/>
        </w:rPr>
        <w:t xml:space="preserve">      </w:t>
      </w:r>
      <w:r>
        <w:rPr>
          <w:rFonts w:hint="eastAsia" w:cs="宋体"/>
          <w:color w:val="auto"/>
          <w:sz w:val="21"/>
          <w:szCs w:val="21"/>
          <w:highlight w:val="none"/>
        </w:rPr>
        <w:t xml:space="preserve">           承包人（公章）：</w:t>
      </w:r>
      <w:r>
        <w:rPr>
          <w:rFonts w:hint="eastAsia" w:cs="宋体"/>
          <w:color w:val="auto"/>
          <w:sz w:val="21"/>
          <w:szCs w:val="21"/>
          <w:highlight w:val="none"/>
          <w:u w:val="single"/>
        </w:rPr>
        <w:t>          </w:t>
      </w:r>
    </w:p>
    <w:p w14:paraId="5D6A18E8">
      <w:pPr>
        <w:adjustRightInd w:val="0"/>
        <w:snapToGrid w:val="0"/>
        <w:spacing w:line="360" w:lineRule="auto"/>
        <w:rPr>
          <w:rFonts w:cs="宋体"/>
          <w:color w:val="auto"/>
          <w:sz w:val="21"/>
          <w:szCs w:val="21"/>
          <w:highlight w:val="none"/>
          <w:u w:val="single"/>
        </w:rPr>
      </w:pPr>
      <w:r>
        <w:rPr>
          <w:rFonts w:hint="eastAsia" w:cs="宋体"/>
          <w:color w:val="auto"/>
          <w:sz w:val="21"/>
          <w:szCs w:val="21"/>
          <w:highlight w:val="none"/>
        </w:rPr>
        <w:t>地  址：</w:t>
      </w:r>
      <w:r>
        <w:rPr>
          <w:rFonts w:hint="eastAsia" w:cs="宋体"/>
          <w:color w:val="auto"/>
          <w:sz w:val="21"/>
          <w:szCs w:val="21"/>
          <w:highlight w:val="none"/>
          <w:u w:val="single"/>
        </w:rPr>
        <w:t xml:space="preserve">     </w:t>
      </w:r>
      <w:r>
        <w:rPr>
          <w:rFonts w:hint="eastAsia" w:cs="宋体"/>
          <w:color w:val="auto"/>
          <w:sz w:val="21"/>
          <w:szCs w:val="21"/>
          <w:highlight w:val="none"/>
        </w:rPr>
        <w:t xml:space="preserve">            地  址：</w:t>
      </w:r>
      <w:r>
        <w:rPr>
          <w:rFonts w:hint="eastAsia" w:cs="宋体"/>
          <w:color w:val="auto"/>
          <w:sz w:val="21"/>
          <w:szCs w:val="21"/>
          <w:highlight w:val="none"/>
          <w:u w:val="single"/>
        </w:rPr>
        <w:t xml:space="preserve">    </w:t>
      </w:r>
    </w:p>
    <w:p w14:paraId="42E80577">
      <w:pPr>
        <w:adjustRightInd w:val="0"/>
        <w:snapToGrid w:val="0"/>
        <w:spacing w:line="360" w:lineRule="auto"/>
        <w:rPr>
          <w:rFonts w:cs="宋体"/>
          <w:color w:val="auto"/>
          <w:sz w:val="21"/>
          <w:szCs w:val="21"/>
          <w:highlight w:val="none"/>
          <w:u w:val="single"/>
        </w:rPr>
      </w:pPr>
      <w:r>
        <w:rPr>
          <w:rFonts w:hint="eastAsia" w:cs="宋体"/>
          <w:color w:val="auto"/>
          <w:sz w:val="21"/>
          <w:szCs w:val="21"/>
          <w:highlight w:val="none"/>
        </w:rPr>
        <w:t>法定代表人（签字）：</w:t>
      </w:r>
      <w:r>
        <w:rPr>
          <w:rFonts w:hint="eastAsia" w:cs="宋体"/>
          <w:color w:val="auto"/>
          <w:sz w:val="21"/>
          <w:szCs w:val="21"/>
          <w:highlight w:val="none"/>
          <w:u w:val="single"/>
        </w:rPr>
        <w:t xml:space="preserve">      </w:t>
      </w:r>
      <w:r>
        <w:rPr>
          <w:rFonts w:hint="eastAsia" w:cs="宋体"/>
          <w:color w:val="auto"/>
          <w:sz w:val="21"/>
          <w:szCs w:val="21"/>
          <w:highlight w:val="none"/>
        </w:rPr>
        <w:t xml:space="preserve">         法定代表人（签字）：</w:t>
      </w:r>
      <w:r>
        <w:rPr>
          <w:rFonts w:hint="eastAsia" w:cs="宋体"/>
          <w:color w:val="auto"/>
          <w:sz w:val="21"/>
          <w:szCs w:val="21"/>
          <w:highlight w:val="none"/>
          <w:u w:val="single"/>
        </w:rPr>
        <w:t xml:space="preserve">    </w:t>
      </w:r>
    </w:p>
    <w:p w14:paraId="5915A216">
      <w:pPr>
        <w:adjustRightInd w:val="0"/>
        <w:snapToGrid w:val="0"/>
        <w:spacing w:line="360" w:lineRule="auto"/>
        <w:rPr>
          <w:rFonts w:cs="宋体"/>
          <w:color w:val="auto"/>
          <w:sz w:val="21"/>
          <w:szCs w:val="21"/>
          <w:highlight w:val="none"/>
          <w:u w:val="single"/>
        </w:rPr>
      </w:pPr>
      <w:r>
        <w:rPr>
          <w:rFonts w:hint="eastAsia" w:cs="宋体"/>
          <w:color w:val="auto"/>
          <w:sz w:val="21"/>
          <w:szCs w:val="21"/>
          <w:highlight w:val="none"/>
        </w:rPr>
        <w:t>委托代理人（签字）：</w:t>
      </w:r>
      <w:r>
        <w:rPr>
          <w:rFonts w:hint="eastAsia" w:cs="宋体"/>
          <w:color w:val="auto"/>
          <w:sz w:val="21"/>
          <w:szCs w:val="21"/>
          <w:highlight w:val="none"/>
          <w:u w:val="single"/>
        </w:rPr>
        <w:t xml:space="preserve">      </w:t>
      </w:r>
      <w:r>
        <w:rPr>
          <w:rFonts w:hint="eastAsia" w:cs="宋体"/>
          <w:color w:val="auto"/>
          <w:sz w:val="21"/>
          <w:szCs w:val="21"/>
          <w:highlight w:val="none"/>
        </w:rPr>
        <w:t xml:space="preserve">         委托代理人（签字）：</w:t>
      </w:r>
      <w:r>
        <w:rPr>
          <w:rFonts w:hint="eastAsia" w:cs="宋体"/>
          <w:color w:val="auto"/>
          <w:sz w:val="21"/>
          <w:szCs w:val="21"/>
          <w:highlight w:val="none"/>
          <w:u w:val="single"/>
        </w:rPr>
        <w:t xml:space="preserve">    </w:t>
      </w:r>
    </w:p>
    <w:p w14:paraId="6D3AB038">
      <w:pPr>
        <w:adjustRightInd w:val="0"/>
        <w:snapToGrid w:val="0"/>
        <w:spacing w:line="360" w:lineRule="auto"/>
        <w:rPr>
          <w:rFonts w:cs="宋体"/>
          <w:color w:val="auto"/>
          <w:sz w:val="21"/>
          <w:szCs w:val="21"/>
          <w:highlight w:val="none"/>
        </w:rPr>
      </w:pPr>
      <w:r>
        <w:rPr>
          <w:rFonts w:hint="eastAsia" w:cs="宋体"/>
          <w:color w:val="auto"/>
          <w:sz w:val="21"/>
          <w:szCs w:val="21"/>
          <w:highlight w:val="none"/>
        </w:rPr>
        <w:t>电  话：</w:t>
      </w:r>
      <w:r>
        <w:rPr>
          <w:rFonts w:hint="eastAsia" w:cs="宋体"/>
          <w:color w:val="auto"/>
          <w:sz w:val="21"/>
          <w:szCs w:val="21"/>
          <w:highlight w:val="none"/>
          <w:u w:val="single"/>
        </w:rPr>
        <w:t xml:space="preserve">   </w:t>
      </w:r>
      <w:r>
        <w:rPr>
          <w:rFonts w:hint="eastAsia" w:cs="宋体"/>
          <w:color w:val="auto"/>
          <w:sz w:val="21"/>
          <w:szCs w:val="21"/>
          <w:highlight w:val="none"/>
        </w:rPr>
        <w:t xml:space="preserve">            电  话：</w:t>
      </w:r>
      <w:r>
        <w:rPr>
          <w:rFonts w:hint="eastAsia" w:cs="宋体"/>
          <w:color w:val="auto"/>
          <w:sz w:val="21"/>
          <w:szCs w:val="21"/>
          <w:highlight w:val="none"/>
          <w:u w:val="single"/>
        </w:rPr>
        <w:t xml:space="preserve">  </w:t>
      </w:r>
    </w:p>
    <w:p w14:paraId="09F42DB0">
      <w:pPr>
        <w:adjustRightInd w:val="0"/>
        <w:snapToGrid w:val="0"/>
        <w:spacing w:line="360" w:lineRule="auto"/>
        <w:rPr>
          <w:rFonts w:cs="宋体"/>
          <w:color w:val="auto"/>
          <w:sz w:val="21"/>
          <w:szCs w:val="21"/>
          <w:highlight w:val="none"/>
        </w:rPr>
      </w:pPr>
      <w:r>
        <w:rPr>
          <w:rFonts w:hint="eastAsia" w:cs="宋体"/>
          <w:color w:val="auto"/>
          <w:sz w:val="21"/>
          <w:szCs w:val="21"/>
          <w:highlight w:val="none"/>
        </w:rPr>
        <w:t>传  真：</w:t>
      </w:r>
      <w:r>
        <w:rPr>
          <w:rFonts w:hint="eastAsia" w:cs="宋体"/>
          <w:color w:val="auto"/>
          <w:sz w:val="21"/>
          <w:szCs w:val="21"/>
          <w:highlight w:val="none"/>
          <w:u w:val="single"/>
        </w:rPr>
        <w:t xml:space="preserve">   </w:t>
      </w:r>
      <w:r>
        <w:rPr>
          <w:rFonts w:hint="eastAsia" w:cs="宋体"/>
          <w:color w:val="auto"/>
          <w:sz w:val="21"/>
          <w:szCs w:val="21"/>
          <w:highlight w:val="none"/>
        </w:rPr>
        <w:t xml:space="preserve">            传  真：</w:t>
      </w:r>
      <w:r>
        <w:rPr>
          <w:rFonts w:hint="eastAsia" w:cs="宋体"/>
          <w:color w:val="auto"/>
          <w:sz w:val="21"/>
          <w:szCs w:val="21"/>
          <w:highlight w:val="none"/>
          <w:u w:val="single"/>
        </w:rPr>
        <w:t>  </w:t>
      </w:r>
    </w:p>
    <w:p w14:paraId="4F7D52D9">
      <w:pPr>
        <w:adjustRightInd w:val="0"/>
        <w:snapToGrid w:val="0"/>
        <w:spacing w:line="360" w:lineRule="auto"/>
        <w:rPr>
          <w:rFonts w:cs="宋体"/>
          <w:color w:val="auto"/>
          <w:sz w:val="21"/>
          <w:szCs w:val="21"/>
          <w:highlight w:val="none"/>
        </w:rPr>
      </w:pPr>
      <w:r>
        <w:rPr>
          <w:rFonts w:hint="eastAsia" w:cs="宋体"/>
          <w:color w:val="auto"/>
          <w:sz w:val="21"/>
          <w:szCs w:val="21"/>
          <w:highlight w:val="none"/>
        </w:rPr>
        <w:t>开户银行：</w:t>
      </w:r>
      <w:r>
        <w:rPr>
          <w:rFonts w:hint="eastAsia" w:cs="宋体"/>
          <w:color w:val="auto"/>
          <w:sz w:val="21"/>
          <w:szCs w:val="21"/>
          <w:highlight w:val="none"/>
          <w:u w:val="single"/>
        </w:rPr>
        <w:t xml:space="preserve">   </w:t>
      </w:r>
      <w:r>
        <w:rPr>
          <w:rFonts w:hint="eastAsia" w:cs="宋体"/>
          <w:color w:val="auto"/>
          <w:sz w:val="21"/>
          <w:szCs w:val="21"/>
          <w:highlight w:val="none"/>
        </w:rPr>
        <w:t xml:space="preserve">            开户银行：</w:t>
      </w:r>
      <w:r>
        <w:rPr>
          <w:rFonts w:hint="eastAsia" w:cs="宋体"/>
          <w:color w:val="auto"/>
          <w:sz w:val="21"/>
          <w:szCs w:val="21"/>
          <w:highlight w:val="none"/>
          <w:u w:val="single"/>
        </w:rPr>
        <w:t></w:t>
      </w:r>
    </w:p>
    <w:p w14:paraId="22BD919D">
      <w:pPr>
        <w:adjustRightInd w:val="0"/>
        <w:snapToGrid w:val="0"/>
        <w:spacing w:line="360" w:lineRule="auto"/>
        <w:rPr>
          <w:rFonts w:cs="宋体"/>
          <w:color w:val="auto"/>
          <w:sz w:val="21"/>
          <w:szCs w:val="21"/>
          <w:highlight w:val="none"/>
        </w:rPr>
      </w:pPr>
      <w:r>
        <w:rPr>
          <w:rFonts w:hint="eastAsia" w:cs="宋体"/>
          <w:color w:val="auto"/>
          <w:sz w:val="21"/>
          <w:szCs w:val="21"/>
          <w:highlight w:val="none"/>
        </w:rPr>
        <w:t>账  号：</w:t>
      </w:r>
      <w:r>
        <w:rPr>
          <w:rFonts w:hint="eastAsia" w:cs="宋体"/>
          <w:color w:val="auto"/>
          <w:sz w:val="21"/>
          <w:szCs w:val="21"/>
          <w:highlight w:val="none"/>
          <w:u w:val="single"/>
        </w:rPr>
        <w:t xml:space="preserve">       </w:t>
      </w:r>
      <w:r>
        <w:rPr>
          <w:rFonts w:hint="eastAsia" w:cs="宋体"/>
          <w:color w:val="auto"/>
          <w:sz w:val="21"/>
          <w:szCs w:val="21"/>
          <w:highlight w:val="none"/>
        </w:rPr>
        <w:t xml:space="preserve">            账  号：</w:t>
      </w:r>
      <w:r>
        <w:rPr>
          <w:rFonts w:hint="eastAsia" w:cs="宋体"/>
          <w:color w:val="auto"/>
          <w:sz w:val="21"/>
          <w:szCs w:val="21"/>
          <w:highlight w:val="none"/>
          <w:u w:val="single"/>
        </w:rPr>
        <w:t xml:space="preserve">  </w:t>
      </w:r>
    </w:p>
    <w:p w14:paraId="190B869E">
      <w:pPr>
        <w:adjustRightInd w:val="0"/>
        <w:snapToGrid w:val="0"/>
        <w:spacing w:line="360" w:lineRule="auto"/>
        <w:rPr>
          <w:rFonts w:cs="宋体"/>
          <w:color w:val="auto"/>
          <w:sz w:val="21"/>
          <w:szCs w:val="21"/>
          <w:highlight w:val="none"/>
        </w:rPr>
      </w:pPr>
      <w:r>
        <w:rPr>
          <w:rFonts w:hint="eastAsia" w:cs="宋体"/>
          <w:color w:val="auto"/>
          <w:sz w:val="21"/>
          <w:szCs w:val="21"/>
          <w:highlight w:val="none"/>
        </w:rPr>
        <w:t>邮政编码：</w:t>
      </w:r>
      <w:r>
        <w:rPr>
          <w:rFonts w:hint="eastAsia" w:cs="宋体"/>
          <w:color w:val="auto"/>
          <w:sz w:val="21"/>
          <w:szCs w:val="21"/>
          <w:highlight w:val="none"/>
          <w:u w:val="single"/>
        </w:rPr>
        <w:t xml:space="preserve">     </w:t>
      </w:r>
      <w:r>
        <w:rPr>
          <w:rFonts w:hint="eastAsia" w:cs="宋体"/>
          <w:color w:val="auto"/>
          <w:sz w:val="21"/>
          <w:szCs w:val="21"/>
          <w:highlight w:val="none"/>
        </w:rPr>
        <w:t xml:space="preserve">            邮政编码：</w:t>
      </w:r>
      <w:r>
        <w:rPr>
          <w:rFonts w:hint="eastAsia" w:cs="宋体"/>
          <w:color w:val="auto"/>
          <w:sz w:val="21"/>
          <w:szCs w:val="21"/>
          <w:highlight w:val="none"/>
          <w:u w:val="single"/>
        </w:rPr>
        <w:t></w:t>
      </w:r>
    </w:p>
    <w:p w14:paraId="2F3873AA">
      <w:pPr>
        <w:spacing w:before="312" w:beforeLines="100" w:after="312" w:afterLines="100"/>
        <w:outlineLvl w:val="2"/>
        <w:rPr>
          <w:rFonts w:ascii="Times New Roman" w:eastAsia="黑体"/>
          <w:color w:val="auto"/>
          <w:szCs w:val="24"/>
          <w:highlight w:val="none"/>
        </w:rPr>
      </w:pPr>
      <w:r>
        <w:rPr>
          <w:rFonts w:hint="eastAsia" w:ascii="Times New Roman" w:eastAsia="黑体"/>
          <w:bCs/>
          <w:color w:val="auto"/>
          <w:highlight w:val="none"/>
        </w:rPr>
        <w:br w:type="page"/>
      </w:r>
      <w:bookmarkStart w:id="589" w:name="_Toc128950239"/>
      <w:r>
        <w:rPr>
          <w:rFonts w:hint="eastAsia" w:ascii="Times New Roman" w:eastAsia="黑体"/>
          <w:color w:val="auto"/>
          <w:szCs w:val="24"/>
          <w:highlight w:val="none"/>
        </w:rPr>
        <w:t>附件</w:t>
      </w:r>
      <w:r>
        <w:rPr>
          <w:rFonts w:ascii="Times New Roman" w:eastAsia="黑体"/>
          <w:color w:val="auto"/>
          <w:szCs w:val="24"/>
          <w:highlight w:val="none"/>
        </w:rPr>
        <w:t>4</w:t>
      </w:r>
      <w:r>
        <w:rPr>
          <w:rFonts w:hint="eastAsia" w:ascii="Times New Roman" w:eastAsia="黑体"/>
          <w:color w:val="auto"/>
          <w:szCs w:val="24"/>
          <w:highlight w:val="none"/>
        </w:rPr>
        <w:t>：主要建设工程文件目录</w:t>
      </w:r>
      <w:bookmarkEnd w:id="589"/>
    </w:p>
    <w:p w14:paraId="546444F0">
      <w:pPr>
        <w:spacing w:before="156" w:beforeLines="50" w:after="156" w:afterLines="50"/>
        <w:jc w:val="center"/>
        <w:rPr>
          <w:rFonts w:cs="宋体"/>
          <w:color w:val="auto"/>
          <w:szCs w:val="21"/>
          <w:highlight w:val="none"/>
        </w:rPr>
      </w:pPr>
      <w:r>
        <w:rPr>
          <w:rFonts w:hint="eastAsia" w:cs="宋体"/>
          <w:color w:val="auto"/>
          <w:szCs w:val="21"/>
          <w:highlight w:val="none"/>
        </w:rPr>
        <w:t>主要建设工程文件目录</w:t>
      </w:r>
    </w:p>
    <w:tbl>
      <w:tblPr>
        <w:tblStyle w:val="55"/>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855"/>
        <w:gridCol w:w="1212"/>
        <w:gridCol w:w="1377"/>
        <w:gridCol w:w="1180"/>
        <w:gridCol w:w="1377"/>
        <w:gridCol w:w="1583"/>
      </w:tblGrid>
      <w:tr w14:paraId="7310D6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080" w:type="pct"/>
            <w:tcBorders>
              <w:top w:val="single" w:color="auto" w:sz="12" w:space="0"/>
              <w:bottom w:val="double" w:color="auto" w:sz="6" w:space="0"/>
            </w:tcBorders>
            <w:vAlign w:val="center"/>
          </w:tcPr>
          <w:p w14:paraId="4885BB88">
            <w:pPr>
              <w:keepNext/>
              <w:jc w:val="center"/>
              <w:rPr>
                <w:rFonts w:cs="宋体"/>
                <w:color w:val="auto"/>
                <w:szCs w:val="21"/>
                <w:highlight w:val="none"/>
              </w:rPr>
            </w:pPr>
            <w:r>
              <w:rPr>
                <w:rFonts w:hint="eastAsia" w:cs="宋体"/>
                <w:color w:val="auto"/>
                <w:szCs w:val="21"/>
                <w:highlight w:val="none"/>
              </w:rPr>
              <w:t>文件名称</w:t>
            </w:r>
          </w:p>
        </w:tc>
        <w:tc>
          <w:tcPr>
            <w:tcW w:w="706" w:type="pct"/>
            <w:tcBorders>
              <w:top w:val="single" w:color="auto" w:sz="12" w:space="0"/>
              <w:bottom w:val="double" w:color="auto" w:sz="6" w:space="0"/>
            </w:tcBorders>
            <w:vAlign w:val="center"/>
          </w:tcPr>
          <w:p w14:paraId="28B844A9">
            <w:pPr>
              <w:keepNext/>
              <w:jc w:val="center"/>
              <w:rPr>
                <w:rFonts w:cs="宋体"/>
                <w:color w:val="auto"/>
                <w:szCs w:val="21"/>
                <w:highlight w:val="none"/>
              </w:rPr>
            </w:pPr>
            <w:r>
              <w:rPr>
                <w:rFonts w:hint="eastAsia" w:cs="宋体"/>
                <w:color w:val="auto"/>
                <w:szCs w:val="21"/>
                <w:highlight w:val="none"/>
              </w:rPr>
              <w:t>套数</w:t>
            </w:r>
          </w:p>
        </w:tc>
        <w:tc>
          <w:tcPr>
            <w:tcW w:w="802" w:type="pct"/>
            <w:tcBorders>
              <w:top w:val="single" w:color="auto" w:sz="12" w:space="0"/>
              <w:bottom w:val="double" w:color="auto" w:sz="6" w:space="0"/>
            </w:tcBorders>
            <w:vAlign w:val="center"/>
          </w:tcPr>
          <w:p w14:paraId="21AD9CFF">
            <w:pPr>
              <w:keepNext/>
              <w:jc w:val="center"/>
              <w:rPr>
                <w:rFonts w:cs="宋体"/>
                <w:color w:val="auto"/>
                <w:szCs w:val="21"/>
                <w:highlight w:val="none"/>
              </w:rPr>
            </w:pPr>
            <w:r>
              <w:rPr>
                <w:rFonts w:hint="eastAsia" w:cs="宋体"/>
                <w:color w:val="auto"/>
                <w:szCs w:val="21"/>
                <w:highlight w:val="none"/>
              </w:rPr>
              <w:t>费用（元）</w:t>
            </w:r>
          </w:p>
        </w:tc>
        <w:tc>
          <w:tcPr>
            <w:tcW w:w="687" w:type="pct"/>
            <w:tcBorders>
              <w:top w:val="single" w:color="auto" w:sz="12" w:space="0"/>
              <w:bottom w:val="double" w:color="auto" w:sz="6" w:space="0"/>
            </w:tcBorders>
            <w:vAlign w:val="center"/>
          </w:tcPr>
          <w:p w14:paraId="74FFD33C">
            <w:pPr>
              <w:keepNext/>
              <w:jc w:val="center"/>
              <w:rPr>
                <w:rFonts w:cs="宋体"/>
                <w:color w:val="auto"/>
                <w:szCs w:val="21"/>
                <w:highlight w:val="none"/>
              </w:rPr>
            </w:pPr>
            <w:r>
              <w:rPr>
                <w:rFonts w:hint="eastAsia" w:cs="宋体"/>
                <w:color w:val="auto"/>
                <w:szCs w:val="21"/>
                <w:highlight w:val="none"/>
              </w:rPr>
              <w:t>质量</w:t>
            </w:r>
          </w:p>
        </w:tc>
        <w:tc>
          <w:tcPr>
            <w:tcW w:w="802" w:type="pct"/>
            <w:tcBorders>
              <w:top w:val="single" w:color="auto" w:sz="12" w:space="0"/>
              <w:bottom w:val="double" w:color="auto" w:sz="6" w:space="0"/>
            </w:tcBorders>
            <w:vAlign w:val="center"/>
          </w:tcPr>
          <w:p w14:paraId="798B1049">
            <w:pPr>
              <w:jc w:val="center"/>
              <w:rPr>
                <w:rFonts w:cs="宋体"/>
                <w:color w:val="auto"/>
                <w:szCs w:val="21"/>
                <w:highlight w:val="none"/>
              </w:rPr>
            </w:pPr>
            <w:r>
              <w:rPr>
                <w:rFonts w:hint="eastAsia" w:cs="宋体"/>
                <w:color w:val="auto"/>
                <w:szCs w:val="21"/>
                <w:highlight w:val="none"/>
              </w:rPr>
              <w:t>移交时间</w:t>
            </w:r>
          </w:p>
        </w:tc>
        <w:tc>
          <w:tcPr>
            <w:tcW w:w="922" w:type="pct"/>
            <w:tcBorders>
              <w:top w:val="single" w:color="auto" w:sz="12" w:space="0"/>
              <w:bottom w:val="double" w:color="auto" w:sz="6" w:space="0"/>
            </w:tcBorders>
            <w:vAlign w:val="center"/>
          </w:tcPr>
          <w:p w14:paraId="0E3D2FA0">
            <w:pPr>
              <w:jc w:val="center"/>
              <w:rPr>
                <w:rFonts w:cs="宋体"/>
                <w:color w:val="auto"/>
                <w:szCs w:val="21"/>
                <w:highlight w:val="none"/>
              </w:rPr>
            </w:pPr>
            <w:r>
              <w:rPr>
                <w:rFonts w:hint="eastAsia" w:cs="宋体"/>
                <w:color w:val="auto"/>
                <w:szCs w:val="21"/>
                <w:highlight w:val="none"/>
              </w:rPr>
              <w:t>责任人</w:t>
            </w:r>
          </w:p>
        </w:tc>
      </w:tr>
      <w:tr w14:paraId="79F28B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80" w:type="pct"/>
            <w:tcBorders>
              <w:top w:val="double" w:color="auto" w:sz="6" w:space="0"/>
            </w:tcBorders>
            <w:vAlign w:val="center"/>
          </w:tcPr>
          <w:p w14:paraId="3EC564AD">
            <w:pPr>
              <w:keepNext/>
              <w:jc w:val="center"/>
              <w:rPr>
                <w:rFonts w:cs="宋体"/>
                <w:color w:val="auto"/>
                <w:szCs w:val="21"/>
                <w:highlight w:val="none"/>
              </w:rPr>
            </w:pPr>
          </w:p>
        </w:tc>
        <w:tc>
          <w:tcPr>
            <w:tcW w:w="706" w:type="pct"/>
            <w:tcBorders>
              <w:top w:val="double" w:color="auto" w:sz="6" w:space="0"/>
            </w:tcBorders>
            <w:vAlign w:val="center"/>
          </w:tcPr>
          <w:p w14:paraId="55C663BC">
            <w:pPr>
              <w:keepNext/>
              <w:jc w:val="center"/>
              <w:rPr>
                <w:rFonts w:cs="宋体"/>
                <w:color w:val="auto"/>
                <w:szCs w:val="21"/>
                <w:highlight w:val="none"/>
              </w:rPr>
            </w:pPr>
          </w:p>
        </w:tc>
        <w:tc>
          <w:tcPr>
            <w:tcW w:w="802" w:type="pct"/>
            <w:tcBorders>
              <w:top w:val="double" w:color="auto" w:sz="6" w:space="0"/>
            </w:tcBorders>
            <w:vAlign w:val="center"/>
          </w:tcPr>
          <w:p w14:paraId="477BF30E">
            <w:pPr>
              <w:keepNext/>
              <w:jc w:val="center"/>
              <w:rPr>
                <w:rFonts w:cs="宋体"/>
                <w:color w:val="auto"/>
                <w:szCs w:val="21"/>
                <w:highlight w:val="none"/>
              </w:rPr>
            </w:pPr>
          </w:p>
        </w:tc>
        <w:tc>
          <w:tcPr>
            <w:tcW w:w="687" w:type="pct"/>
            <w:tcBorders>
              <w:top w:val="double" w:color="auto" w:sz="6" w:space="0"/>
            </w:tcBorders>
            <w:vAlign w:val="center"/>
          </w:tcPr>
          <w:p w14:paraId="2A2B3FE3">
            <w:pPr>
              <w:keepNext/>
              <w:jc w:val="center"/>
              <w:rPr>
                <w:rFonts w:cs="宋体"/>
                <w:color w:val="auto"/>
                <w:szCs w:val="21"/>
                <w:highlight w:val="none"/>
              </w:rPr>
            </w:pPr>
          </w:p>
        </w:tc>
        <w:tc>
          <w:tcPr>
            <w:tcW w:w="802" w:type="pct"/>
            <w:tcBorders>
              <w:top w:val="double" w:color="auto" w:sz="6" w:space="0"/>
            </w:tcBorders>
            <w:vAlign w:val="center"/>
          </w:tcPr>
          <w:p w14:paraId="43CF5014">
            <w:pPr>
              <w:keepNext/>
              <w:jc w:val="center"/>
              <w:rPr>
                <w:rFonts w:cs="宋体"/>
                <w:color w:val="auto"/>
                <w:szCs w:val="21"/>
                <w:highlight w:val="none"/>
              </w:rPr>
            </w:pPr>
          </w:p>
        </w:tc>
        <w:tc>
          <w:tcPr>
            <w:tcW w:w="922" w:type="pct"/>
            <w:tcBorders>
              <w:top w:val="double" w:color="auto" w:sz="6" w:space="0"/>
            </w:tcBorders>
            <w:vAlign w:val="center"/>
          </w:tcPr>
          <w:p w14:paraId="3E06BFAC">
            <w:pPr>
              <w:keepNext/>
              <w:jc w:val="center"/>
              <w:rPr>
                <w:rFonts w:cs="宋体"/>
                <w:color w:val="auto"/>
                <w:szCs w:val="21"/>
                <w:highlight w:val="none"/>
              </w:rPr>
            </w:pPr>
          </w:p>
        </w:tc>
      </w:tr>
      <w:tr w14:paraId="7D4C03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80" w:type="pct"/>
            <w:tcBorders>
              <w:top w:val="nil"/>
            </w:tcBorders>
            <w:vAlign w:val="center"/>
          </w:tcPr>
          <w:p w14:paraId="5D4D0E3A">
            <w:pPr>
              <w:keepNext/>
              <w:jc w:val="center"/>
              <w:rPr>
                <w:rFonts w:cs="宋体"/>
                <w:color w:val="auto"/>
                <w:szCs w:val="21"/>
                <w:highlight w:val="none"/>
              </w:rPr>
            </w:pPr>
          </w:p>
        </w:tc>
        <w:tc>
          <w:tcPr>
            <w:tcW w:w="706" w:type="pct"/>
            <w:tcBorders>
              <w:top w:val="nil"/>
            </w:tcBorders>
            <w:vAlign w:val="center"/>
          </w:tcPr>
          <w:p w14:paraId="167A566B">
            <w:pPr>
              <w:keepNext/>
              <w:jc w:val="center"/>
              <w:rPr>
                <w:rFonts w:cs="宋体"/>
                <w:color w:val="auto"/>
                <w:szCs w:val="21"/>
                <w:highlight w:val="none"/>
              </w:rPr>
            </w:pPr>
          </w:p>
        </w:tc>
        <w:tc>
          <w:tcPr>
            <w:tcW w:w="802" w:type="pct"/>
            <w:tcBorders>
              <w:top w:val="nil"/>
            </w:tcBorders>
            <w:vAlign w:val="center"/>
          </w:tcPr>
          <w:p w14:paraId="14678E41">
            <w:pPr>
              <w:keepNext/>
              <w:jc w:val="center"/>
              <w:rPr>
                <w:rFonts w:cs="宋体"/>
                <w:color w:val="auto"/>
                <w:szCs w:val="21"/>
                <w:highlight w:val="none"/>
              </w:rPr>
            </w:pPr>
          </w:p>
        </w:tc>
        <w:tc>
          <w:tcPr>
            <w:tcW w:w="687" w:type="pct"/>
            <w:tcBorders>
              <w:top w:val="nil"/>
            </w:tcBorders>
            <w:vAlign w:val="center"/>
          </w:tcPr>
          <w:p w14:paraId="135D4398">
            <w:pPr>
              <w:keepNext/>
              <w:jc w:val="center"/>
              <w:rPr>
                <w:rFonts w:cs="宋体"/>
                <w:color w:val="auto"/>
                <w:szCs w:val="21"/>
                <w:highlight w:val="none"/>
              </w:rPr>
            </w:pPr>
          </w:p>
        </w:tc>
        <w:tc>
          <w:tcPr>
            <w:tcW w:w="802" w:type="pct"/>
            <w:tcBorders>
              <w:top w:val="nil"/>
            </w:tcBorders>
            <w:vAlign w:val="center"/>
          </w:tcPr>
          <w:p w14:paraId="4C9CF7C9">
            <w:pPr>
              <w:keepNext/>
              <w:jc w:val="center"/>
              <w:rPr>
                <w:rFonts w:cs="宋体"/>
                <w:color w:val="auto"/>
                <w:szCs w:val="21"/>
                <w:highlight w:val="none"/>
              </w:rPr>
            </w:pPr>
          </w:p>
        </w:tc>
        <w:tc>
          <w:tcPr>
            <w:tcW w:w="922" w:type="pct"/>
            <w:tcBorders>
              <w:top w:val="nil"/>
            </w:tcBorders>
            <w:vAlign w:val="center"/>
          </w:tcPr>
          <w:p w14:paraId="2367EA0B">
            <w:pPr>
              <w:keepNext/>
              <w:jc w:val="center"/>
              <w:rPr>
                <w:rFonts w:cs="宋体"/>
                <w:color w:val="auto"/>
                <w:szCs w:val="21"/>
                <w:highlight w:val="none"/>
              </w:rPr>
            </w:pPr>
          </w:p>
        </w:tc>
      </w:tr>
      <w:tr w14:paraId="18A975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80" w:type="pct"/>
            <w:vAlign w:val="center"/>
          </w:tcPr>
          <w:p w14:paraId="24605BDB">
            <w:pPr>
              <w:jc w:val="center"/>
              <w:rPr>
                <w:rFonts w:cs="宋体"/>
                <w:color w:val="auto"/>
                <w:szCs w:val="21"/>
                <w:highlight w:val="none"/>
              </w:rPr>
            </w:pPr>
          </w:p>
        </w:tc>
        <w:tc>
          <w:tcPr>
            <w:tcW w:w="706" w:type="pct"/>
            <w:vAlign w:val="center"/>
          </w:tcPr>
          <w:p w14:paraId="1650B466">
            <w:pPr>
              <w:jc w:val="center"/>
              <w:rPr>
                <w:rFonts w:cs="宋体"/>
                <w:color w:val="auto"/>
                <w:szCs w:val="21"/>
                <w:highlight w:val="none"/>
              </w:rPr>
            </w:pPr>
          </w:p>
        </w:tc>
        <w:tc>
          <w:tcPr>
            <w:tcW w:w="802" w:type="pct"/>
            <w:vAlign w:val="center"/>
          </w:tcPr>
          <w:p w14:paraId="018F3435">
            <w:pPr>
              <w:jc w:val="center"/>
              <w:rPr>
                <w:rFonts w:cs="宋体"/>
                <w:color w:val="auto"/>
                <w:szCs w:val="21"/>
                <w:highlight w:val="none"/>
              </w:rPr>
            </w:pPr>
          </w:p>
        </w:tc>
        <w:tc>
          <w:tcPr>
            <w:tcW w:w="687" w:type="pct"/>
            <w:vAlign w:val="center"/>
          </w:tcPr>
          <w:p w14:paraId="1FEED1D3">
            <w:pPr>
              <w:jc w:val="center"/>
              <w:rPr>
                <w:rFonts w:cs="宋体"/>
                <w:color w:val="auto"/>
                <w:szCs w:val="21"/>
                <w:highlight w:val="none"/>
              </w:rPr>
            </w:pPr>
          </w:p>
        </w:tc>
        <w:tc>
          <w:tcPr>
            <w:tcW w:w="802" w:type="pct"/>
            <w:vAlign w:val="center"/>
          </w:tcPr>
          <w:p w14:paraId="60D9D3B0">
            <w:pPr>
              <w:jc w:val="center"/>
              <w:rPr>
                <w:rFonts w:cs="宋体"/>
                <w:color w:val="auto"/>
                <w:szCs w:val="21"/>
                <w:highlight w:val="none"/>
              </w:rPr>
            </w:pPr>
          </w:p>
        </w:tc>
        <w:tc>
          <w:tcPr>
            <w:tcW w:w="922" w:type="pct"/>
            <w:vAlign w:val="center"/>
          </w:tcPr>
          <w:p w14:paraId="397AACAF">
            <w:pPr>
              <w:jc w:val="center"/>
              <w:rPr>
                <w:rFonts w:cs="宋体"/>
                <w:color w:val="auto"/>
                <w:szCs w:val="21"/>
                <w:highlight w:val="none"/>
              </w:rPr>
            </w:pPr>
          </w:p>
        </w:tc>
      </w:tr>
      <w:tr w14:paraId="5FBAA3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80" w:type="pct"/>
            <w:vAlign w:val="center"/>
          </w:tcPr>
          <w:p w14:paraId="4C86B570">
            <w:pPr>
              <w:jc w:val="center"/>
              <w:rPr>
                <w:rFonts w:cs="宋体"/>
                <w:color w:val="auto"/>
                <w:szCs w:val="21"/>
                <w:highlight w:val="none"/>
              </w:rPr>
            </w:pPr>
          </w:p>
        </w:tc>
        <w:tc>
          <w:tcPr>
            <w:tcW w:w="706" w:type="pct"/>
            <w:vAlign w:val="center"/>
          </w:tcPr>
          <w:p w14:paraId="11149CE6">
            <w:pPr>
              <w:jc w:val="center"/>
              <w:rPr>
                <w:rFonts w:cs="宋体"/>
                <w:color w:val="auto"/>
                <w:szCs w:val="21"/>
                <w:highlight w:val="none"/>
              </w:rPr>
            </w:pPr>
          </w:p>
        </w:tc>
        <w:tc>
          <w:tcPr>
            <w:tcW w:w="802" w:type="pct"/>
            <w:vAlign w:val="center"/>
          </w:tcPr>
          <w:p w14:paraId="7A8C8AFE">
            <w:pPr>
              <w:jc w:val="center"/>
              <w:rPr>
                <w:rFonts w:cs="宋体"/>
                <w:color w:val="auto"/>
                <w:szCs w:val="21"/>
                <w:highlight w:val="none"/>
              </w:rPr>
            </w:pPr>
          </w:p>
        </w:tc>
        <w:tc>
          <w:tcPr>
            <w:tcW w:w="687" w:type="pct"/>
            <w:vAlign w:val="center"/>
          </w:tcPr>
          <w:p w14:paraId="03784B19">
            <w:pPr>
              <w:jc w:val="center"/>
              <w:rPr>
                <w:rFonts w:cs="宋体"/>
                <w:color w:val="auto"/>
                <w:szCs w:val="21"/>
                <w:highlight w:val="none"/>
              </w:rPr>
            </w:pPr>
          </w:p>
        </w:tc>
        <w:tc>
          <w:tcPr>
            <w:tcW w:w="802" w:type="pct"/>
            <w:vAlign w:val="center"/>
          </w:tcPr>
          <w:p w14:paraId="3E5FDC53">
            <w:pPr>
              <w:jc w:val="center"/>
              <w:rPr>
                <w:rFonts w:cs="宋体"/>
                <w:color w:val="auto"/>
                <w:szCs w:val="21"/>
                <w:highlight w:val="none"/>
              </w:rPr>
            </w:pPr>
          </w:p>
        </w:tc>
        <w:tc>
          <w:tcPr>
            <w:tcW w:w="922" w:type="pct"/>
            <w:vAlign w:val="center"/>
          </w:tcPr>
          <w:p w14:paraId="377B59DE">
            <w:pPr>
              <w:jc w:val="center"/>
              <w:rPr>
                <w:rFonts w:cs="宋体"/>
                <w:color w:val="auto"/>
                <w:szCs w:val="21"/>
                <w:highlight w:val="none"/>
              </w:rPr>
            </w:pPr>
          </w:p>
        </w:tc>
      </w:tr>
      <w:tr w14:paraId="0B53F4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80" w:type="pct"/>
            <w:tcBorders>
              <w:bottom w:val="single" w:color="auto" w:sz="12" w:space="0"/>
            </w:tcBorders>
            <w:vAlign w:val="center"/>
          </w:tcPr>
          <w:p w14:paraId="1534609B">
            <w:pPr>
              <w:jc w:val="center"/>
              <w:rPr>
                <w:rFonts w:cs="宋体"/>
                <w:color w:val="auto"/>
                <w:szCs w:val="21"/>
                <w:highlight w:val="none"/>
              </w:rPr>
            </w:pPr>
          </w:p>
        </w:tc>
        <w:tc>
          <w:tcPr>
            <w:tcW w:w="706" w:type="pct"/>
            <w:tcBorders>
              <w:bottom w:val="single" w:color="auto" w:sz="12" w:space="0"/>
            </w:tcBorders>
            <w:vAlign w:val="center"/>
          </w:tcPr>
          <w:p w14:paraId="3571F067">
            <w:pPr>
              <w:jc w:val="center"/>
              <w:rPr>
                <w:rFonts w:cs="宋体"/>
                <w:color w:val="auto"/>
                <w:szCs w:val="21"/>
                <w:highlight w:val="none"/>
              </w:rPr>
            </w:pPr>
          </w:p>
        </w:tc>
        <w:tc>
          <w:tcPr>
            <w:tcW w:w="802" w:type="pct"/>
            <w:tcBorders>
              <w:bottom w:val="single" w:color="auto" w:sz="12" w:space="0"/>
            </w:tcBorders>
            <w:vAlign w:val="center"/>
          </w:tcPr>
          <w:p w14:paraId="3747BA3F">
            <w:pPr>
              <w:jc w:val="center"/>
              <w:rPr>
                <w:rFonts w:cs="宋体"/>
                <w:color w:val="auto"/>
                <w:szCs w:val="21"/>
                <w:highlight w:val="none"/>
              </w:rPr>
            </w:pPr>
          </w:p>
        </w:tc>
        <w:tc>
          <w:tcPr>
            <w:tcW w:w="687" w:type="pct"/>
            <w:tcBorders>
              <w:bottom w:val="single" w:color="auto" w:sz="12" w:space="0"/>
            </w:tcBorders>
            <w:vAlign w:val="center"/>
          </w:tcPr>
          <w:p w14:paraId="1BD09C1F">
            <w:pPr>
              <w:jc w:val="center"/>
              <w:rPr>
                <w:rFonts w:cs="宋体"/>
                <w:color w:val="auto"/>
                <w:szCs w:val="21"/>
                <w:highlight w:val="none"/>
              </w:rPr>
            </w:pPr>
          </w:p>
        </w:tc>
        <w:tc>
          <w:tcPr>
            <w:tcW w:w="802" w:type="pct"/>
            <w:tcBorders>
              <w:bottom w:val="single" w:color="auto" w:sz="12" w:space="0"/>
            </w:tcBorders>
            <w:vAlign w:val="center"/>
          </w:tcPr>
          <w:p w14:paraId="34D0AB0E">
            <w:pPr>
              <w:jc w:val="center"/>
              <w:rPr>
                <w:rFonts w:cs="宋体"/>
                <w:color w:val="auto"/>
                <w:szCs w:val="21"/>
                <w:highlight w:val="none"/>
              </w:rPr>
            </w:pPr>
          </w:p>
        </w:tc>
        <w:tc>
          <w:tcPr>
            <w:tcW w:w="922" w:type="pct"/>
            <w:tcBorders>
              <w:bottom w:val="single" w:color="auto" w:sz="12" w:space="0"/>
            </w:tcBorders>
            <w:vAlign w:val="center"/>
          </w:tcPr>
          <w:p w14:paraId="1CEDA66C">
            <w:pPr>
              <w:jc w:val="center"/>
              <w:rPr>
                <w:rFonts w:cs="宋体"/>
                <w:color w:val="auto"/>
                <w:szCs w:val="21"/>
                <w:highlight w:val="none"/>
              </w:rPr>
            </w:pPr>
          </w:p>
        </w:tc>
      </w:tr>
    </w:tbl>
    <w:p w14:paraId="4216C299">
      <w:pPr>
        <w:spacing w:before="312" w:beforeLines="100" w:after="312" w:afterLines="100"/>
        <w:outlineLvl w:val="2"/>
        <w:rPr>
          <w:rFonts w:ascii="Times New Roman" w:eastAsia="黑体"/>
          <w:color w:val="auto"/>
          <w:szCs w:val="24"/>
          <w:highlight w:val="none"/>
        </w:rPr>
      </w:pPr>
      <w:r>
        <w:rPr>
          <w:rFonts w:hint="eastAsia" w:ascii="Times New Roman" w:eastAsia="黑体"/>
          <w:bCs/>
          <w:color w:val="auto"/>
          <w:highlight w:val="none"/>
        </w:rPr>
        <w:br w:type="page"/>
      </w:r>
      <w:bookmarkStart w:id="590" w:name="_Toc128950240"/>
      <w:r>
        <w:rPr>
          <w:rFonts w:hint="eastAsia" w:ascii="Times New Roman" w:eastAsia="黑体"/>
          <w:color w:val="auto"/>
          <w:szCs w:val="24"/>
          <w:highlight w:val="none"/>
        </w:rPr>
        <w:t>附</w:t>
      </w:r>
      <w:bookmarkStart w:id="591" w:name="_Toc296503227"/>
      <w:bookmarkStart w:id="592" w:name="_Toc296891267"/>
      <w:bookmarkStart w:id="593" w:name="_Toc296891055"/>
      <w:bookmarkStart w:id="594" w:name="_Toc296347226"/>
      <w:bookmarkStart w:id="595" w:name="_Toc267261698"/>
      <w:bookmarkStart w:id="596" w:name="_Toc296346728"/>
      <w:bookmarkStart w:id="597" w:name="_Toc296944566"/>
      <w:r>
        <w:rPr>
          <w:rFonts w:hint="eastAsia" w:ascii="Times New Roman" w:eastAsia="黑体"/>
          <w:color w:val="auto"/>
          <w:szCs w:val="24"/>
          <w:highlight w:val="none"/>
        </w:rPr>
        <w:t>件</w:t>
      </w:r>
      <w:r>
        <w:rPr>
          <w:rFonts w:ascii="Times New Roman" w:eastAsia="黑体"/>
          <w:color w:val="auto"/>
          <w:szCs w:val="24"/>
          <w:highlight w:val="none"/>
        </w:rPr>
        <w:t>5</w:t>
      </w:r>
      <w:r>
        <w:rPr>
          <w:rFonts w:hint="eastAsia" w:ascii="Times New Roman" w:eastAsia="黑体"/>
          <w:color w:val="auto"/>
          <w:szCs w:val="24"/>
          <w:highlight w:val="none"/>
        </w:rPr>
        <w:t>：承包人用于本工程施工的机械设备表</w:t>
      </w:r>
      <w:bookmarkEnd w:id="590"/>
    </w:p>
    <w:bookmarkEnd w:id="591"/>
    <w:bookmarkEnd w:id="592"/>
    <w:bookmarkEnd w:id="593"/>
    <w:bookmarkEnd w:id="594"/>
    <w:bookmarkEnd w:id="595"/>
    <w:bookmarkEnd w:id="596"/>
    <w:bookmarkEnd w:id="597"/>
    <w:p w14:paraId="6536EDFC">
      <w:pPr>
        <w:spacing w:before="156" w:beforeLines="50" w:after="156" w:afterLines="50"/>
        <w:jc w:val="center"/>
        <w:rPr>
          <w:rFonts w:cs="宋体"/>
          <w:color w:val="auto"/>
          <w:szCs w:val="21"/>
          <w:highlight w:val="none"/>
        </w:rPr>
      </w:pPr>
      <w:r>
        <w:rPr>
          <w:rFonts w:hint="eastAsia" w:cs="宋体"/>
          <w:color w:val="auto"/>
          <w:szCs w:val="21"/>
          <w:highlight w:val="none"/>
        </w:rPr>
        <w:t>承包人用于本工程施工的机械设备表</w:t>
      </w:r>
    </w:p>
    <w:tbl>
      <w:tblPr>
        <w:tblStyle w:val="55"/>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706"/>
        <w:gridCol w:w="1360"/>
        <w:gridCol w:w="814"/>
        <w:gridCol w:w="680"/>
        <w:gridCol w:w="814"/>
        <w:gridCol w:w="922"/>
        <w:gridCol w:w="1420"/>
        <w:gridCol w:w="977"/>
        <w:gridCol w:w="891"/>
      </w:tblGrid>
      <w:tr w14:paraId="1FAD6A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12" w:type="pct"/>
            <w:tcBorders>
              <w:top w:val="single" w:color="auto" w:sz="12" w:space="0"/>
              <w:bottom w:val="double" w:color="auto" w:sz="6" w:space="0"/>
            </w:tcBorders>
            <w:vAlign w:val="center"/>
          </w:tcPr>
          <w:p w14:paraId="04E1CDDC">
            <w:pPr>
              <w:keepNext/>
              <w:jc w:val="center"/>
              <w:rPr>
                <w:rFonts w:cs="宋体"/>
                <w:color w:val="auto"/>
                <w:szCs w:val="21"/>
                <w:highlight w:val="none"/>
              </w:rPr>
            </w:pPr>
            <w:r>
              <w:rPr>
                <w:rFonts w:hint="eastAsia" w:cs="宋体"/>
                <w:color w:val="auto"/>
                <w:szCs w:val="21"/>
                <w:highlight w:val="none"/>
              </w:rPr>
              <w:t>序号</w:t>
            </w:r>
          </w:p>
        </w:tc>
        <w:tc>
          <w:tcPr>
            <w:tcW w:w="792" w:type="pct"/>
            <w:tcBorders>
              <w:top w:val="single" w:color="auto" w:sz="12" w:space="0"/>
              <w:bottom w:val="double" w:color="auto" w:sz="6" w:space="0"/>
            </w:tcBorders>
            <w:vAlign w:val="center"/>
          </w:tcPr>
          <w:p w14:paraId="47BB5329">
            <w:pPr>
              <w:keepNext/>
              <w:jc w:val="center"/>
              <w:rPr>
                <w:rFonts w:cs="宋体"/>
                <w:color w:val="auto"/>
                <w:szCs w:val="21"/>
                <w:highlight w:val="none"/>
              </w:rPr>
            </w:pPr>
            <w:r>
              <w:rPr>
                <w:rFonts w:hint="eastAsia" w:cs="宋体"/>
                <w:color w:val="auto"/>
                <w:szCs w:val="21"/>
                <w:highlight w:val="none"/>
              </w:rPr>
              <w:t>机械或设备名称</w:t>
            </w:r>
          </w:p>
        </w:tc>
        <w:tc>
          <w:tcPr>
            <w:tcW w:w="474" w:type="pct"/>
            <w:tcBorders>
              <w:top w:val="single" w:color="auto" w:sz="12" w:space="0"/>
              <w:bottom w:val="double" w:color="auto" w:sz="6" w:space="0"/>
            </w:tcBorders>
            <w:vAlign w:val="center"/>
          </w:tcPr>
          <w:p w14:paraId="3D04F7E8">
            <w:pPr>
              <w:keepNext/>
              <w:jc w:val="center"/>
              <w:rPr>
                <w:rFonts w:cs="宋体"/>
                <w:color w:val="auto"/>
                <w:szCs w:val="21"/>
                <w:highlight w:val="none"/>
              </w:rPr>
            </w:pPr>
            <w:r>
              <w:rPr>
                <w:rFonts w:hint="eastAsia" w:cs="宋体"/>
                <w:color w:val="auto"/>
                <w:szCs w:val="21"/>
                <w:highlight w:val="none"/>
              </w:rPr>
              <w:t>规格型号</w:t>
            </w:r>
          </w:p>
        </w:tc>
        <w:tc>
          <w:tcPr>
            <w:tcW w:w="396" w:type="pct"/>
            <w:tcBorders>
              <w:top w:val="single" w:color="auto" w:sz="12" w:space="0"/>
              <w:bottom w:val="double" w:color="auto" w:sz="6" w:space="0"/>
            </w:tcBorders>
            <w:vAlign w:val="center"/>
          </w:tcPr>
          <w:p w14:paraId="0B372EE5">
            <w:pPr>
              <w:keepNext/>
              <w:jc w:val="center"/>
              <w:rPr>
                <w:rFonts w:cs="宋体"/>
                <w:color w:val="auto"/>
                <w:szCs w:val="21"/>
                <w:highlight w:val="none"/>
              </w:rPr>
            </w:pPr>
            <w:r>
              <w:rPr>
                <w:rFonts w:hint="eastAsia" w:cs="宋体"/>
                <w:color w:val="auto"/>
                <w:szCs w:val="21"/>
                <w:highlight w:val="none"/>
              </w:rPr>
              <w:t>数量</w:t>
            </w:r>
          </w:p>
        </w:tc>
        <w:tc>
          <w:tcPr>
            <w:tcW w:w="474" w:type="pct"/>
            <w:tcBorders>
              <w:top w:val="single" w:color="auto" w:sz="12" w:space="0"/>
              <w:bottom w:val="double" w:color="auto" w:sz="6" w:space="0"/>
            </w:tcBorders>
            <w:vAlign w:val="center"/>
          </w:tcPr>
          <w:p w14:paraId="0BBF18D6">
            <w:pPr>
              <w:keepNext/>
              <w:jc w:val="center"/>
              <w:rPr>
                <w:rFonts w:cs="宋体"/>
                <w:color w:val="auto"/>
                <w:szCs w:val="21"/>
                <w:highlight w:val="none"/>
              </w:rPr>
            </w:pPr>
            <w:r>
              <w:rPr>
                <w:rFonts w:hint="eastAsia" w:cs="宋体"/>
                <w:color w:val="auto"/>
                <w:szCs w:val="21"/>
                <w:highlight w:val="none"/>
              </w:rPr>
              <w:t>产地</w:t>
            </w:r>
          </w:p>
        </w:tc>
        <w:tc>
          <w:tcPr>
            <w:tcW w:w="537" w:type="pct"/>
            <w:tcBorders>
              <w:top w:val="single" w:color="auto" w:sz="12" w:space="0"/>
              <w:bottom w:val="double" w:color="auto" w:sz="6" w:space="0"/>
            </w:tcBorders>
            <w:vAlign w:val="center"/>
          </w:tcPr>
          <w:p w14:paraId="7BE92B9C">
            <w:pPr>
              <w:keepNext/>
              <w:jc w:val="center"/>
              <w:rPr>
                <w:rFonts w:cs="宋体"/>
                <w:color w:val="auto"/>
                <w:szCs w:val="21"/>
                <w:highlight w:val="none"/>
              </w:rPr>
            </w:pPr>
            <w:r>
              <w:rPr>
                <w:rFonts w:hint="eastAsia" w:cs="宋体"/>
                <w:color w:val="auto"/>
                <w:szCs w:val="21"/>
                <w:highlight w:val="none"/>
              </w:rPr>
              <w:t>制造年份</w:t>
            </w:r>
          </w:p>
        </w:tc>
        <w:tc>
          <w:tcPr>
            <w:tcW w:w="827" w:type="pct"/>
            <w:tcBorders>
              <w:top w:val="single" w:color="auto" w:sz="12" w:space="0"/>
              <w:bottom w:val="double" w:color="auto" w:sz="6" w:space="0"/>
            </w:tcBorders>
            <w:vAlign w:val="center"/>
          </w:tcPr>
          <w:p w14:paraId="767120F5">
            <w:pPr>
              <w:keepNext/>
              <w:jc w:val="center"/>
              <w:rPr>
                <w:rFonts w:cs="宋体"/>
                <w:color w:val="auto"/>
                <w:szCs w:val="21"/>
                <w:highlight w:val="none"/>
              </w:rPr>
            </w:pPr>
            <w:r>
              <w:rPr>
                <w:rFonts w:hint="eastAsia" w:cs="宋体"/>
                <w:color w:val="auto"/>
                <w:szCs w:val="21"/>
                <w:highlight w:val="none"/>
              </w:rPr>
              <w:t>额定功率（kW)</w:t>
            </w:r>
          </w:p>
        </w:tc>
        <w:tc>
          <w:tcPr>
            <w:tcW w:w="569" w:type="pct"/>
            <w:tcBorders>
              <w:top w:val="single" w:color="auto" w:sz="12" w:space="0"/>
              <w:bottom w:val="double" w:color="auto" w:sz="6" w:space="0"/>
            </w:tcBorders>
            <w:vAlign w:val="center"/>
          </w:tcPr>
          <w:p w14:paraId="3F984CEE">
            <w:pPr>
              <w:keepNext/>
              <w:jc w:val="center"/>
              <w:rPr>
                <w:rFonts w:cs="宋体"/>
                <w:color w:val="auto"/>
                <w:szCs w:val="21"/>
                <w:highlight w:val="none"/>
              </w:rPr>
            </w:pPr>
            <w:r>
              <w:rPr>
                <w:rFonts w:hint="eastAsia" w:cs="宋体"/>
                <w:color w:val="auto"/>
                <w:szCs w:val="21"/>
                <w:highlight w:val="none"/>
              </w:rPr>
              <w:t>生产能力</w:t>
            </w:r>
          </w:p>
        </w:tc>
        <w:tc>
          <w:tcPr>
            <w:tcW w:w="519" w:type="pct"/>
            <w:tcBorders>
              <w:top w:val="single" w:color="auto" w:sz="12" w:space="0"/>
              <w:bottom w:val="double" w:color="auto" w:sz="6" w:space="0"/>
            </w:tcBorders>
            <w:vAlign w:val="center"/>
          </w:tcPr>
          <w:p w14:paraId="5D9C6644">
            <w:pPr>
              <w:keepNext/>
              <w:jc w:val="center"/>
              <w:rPr>
                <w:rFonts w:cs="宋体"/>
                <w:color w:val="auto"/>
                <w:szCs w:val="21"/>
                <w:highlight w:val="none"/>
              </w:rPr>
            </w:pPr>
            <w:r>
              <w:rPr>
                <w:rFonts w:hint="eastAsia" w:cs="宋体"/>
                <w:color w:val="auto"/>
                <w:szCs w:val="21"/>
                <w:highlight w:val="none"/>
              </w:rPr>
              <w:t>备注</w:t>
            </w:r>
          </w:p>
        </w:tc>
      </w:tr>
      <w:tr w14:paraId="5AECF5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12" w:type="pct"/>
            <w:tcBorders>
              <w:top w:val="double" w:color="auto" w:sz="6" w:space="0"/>
            </w:tcBorders>
            <w:vAlign w:val="center"/>
          </w:tcPr>
          <w:p w14:paraId="1491A2CE">
            <w:pPr>
              <w:keepNext/>
              <w:jc w:val="center"/>
              <w:rPr>
                <w:rFonts w:cs="宋体"/>
                <w:color w:val="auto"/>
                <w:szCs w:val="21"/>
                <w:highlight w:val="none"/>
              </w:rPr>
            </w:pPr>
          </w:p>
        </w:tc>
        <w:tc>
          <w:tcPr>
            <w:tcW w:w="792" w:type="pct"/>
            <w:tcBorders>
              <w:top w:val="double" w:color="auto" w:sz="6" w:space="0"/>
            </w:tcBorders>
            <w:vAlign w:val="center"/>
          </w:tcPr>
          <w:p w14:paraId="44ACBECF">
            <w:pPr>
              <w:keepNext/>
              <w:jc w:val="center"/>
              <w:rPr>
                <w:rFonts w:cs="宋体"/>
                <w:color w:val="auto"/>
                <w:szCs w:val="21"/>
                <w:highlight w:val="none"/>
              </w:rPr>
            </w:pPr>
          </w:p>
        </w:tc>
        <w:tc>
          <w:tcPr>
            <w:tcW w:w="474" w:type="pct"/>
            <w:tcBorders>
              <w:top w:val="double" w:color="auto" w:sz="6" w:space="0"/>
            </w:tcBorders>
            <w:vAlign w:val="center"/>
          </w:tcPr>
          <w:p w14:paraId="79F32A3A">
            <w:pPr>
              <w:keepNext/>
              <w:jc w:val="center"/>
              <w:rPr>
                <w:rFonts w:cs="宋体"/>
                <w:color w:val="auto"/>
                <w:szCs w:val="21"/>
                <w:highlight w:val="none"/>
              </w:rPr>
            </w:pPr>
          </w:p>
        </w:tc>
        <w:tc>
          <w:tcPr>
            <w:tcW w:w="396" w:type="pct"/>
            <w:tcBorders>
              <w:top w:val="double" w:color="auto" w:sz="6" w:space="0"/>
            </w:tcBorders>
            <w:vAlign w:val="center"/>
          </w:tcPr>
          <w:p w14:paraId="49DEACA7">
            <w:pPr>
              <w:keepNext/>
              <w:jc w:val="center"/>
              <w:rPr>
                <w:rFonts w:cs="宋体"/>
                <w:color w:val="auto"/>
                <w:szCs w:val="21"/>
                <w:highlight w:val="none"/>
              </w:rPr>
            </w:pPr>
          </w:p>
        </w:tc>
        <w:tc>
          <w:tcPr>
            <w:tcW w:w="474" w:type="pct"/>
            <w:tcBorders>
              <w:top w:val="double" w:color="auto" w:sz="6" w:space="0"/>
            </w:tcBorders>
            <w:vAlign w:val="center"/>
          </w:tcPr>
          <w:p w14:paraId="287948F0">
            <w:pPr>
              <w:keepNext/>
              <w:jc w:val="center"/>
              <w:rPr>
                <w:rFonts w:cs="宋体"/>
                <w:color w:val="auto"/>
                <w:szCs w:val="21"/>
                <w:highlight w:val="none"/>
              </w:rPr>
            </w:pPr>
          </w:p>
        </w:tc>
        <w:tc>
          <w:tcPr>
            <w:tcW w:w="537" w:type="pct"/>
            <w:tcBorders>
              <w:top w:val="double" w:color="auto" w:sz="6" w:space="0"/>
            </w:tcBorders>
            <w:vAlign w:val="center"/>
          </w:tcPr>
          <w:p w14:paraId="7ACF56D5">
            <w:pPr>
              <w:keepNext/>
              <w:jc w:val="center"/>
              <w:rPr>
                <w:rFonts w:cs="宋体"/>
                <w:color w:val="auto"/>
                <w:szCs w:val="21"/>
                <w:highlight w:val="none"/>
              </w:rPr>
            </w:pPr>
          </w:p>
        </w:tc>
        <w:tc>
          <w:tcPr>
            <w:tcW w:w="827" w:type="pct"/>
            <w:tcBorders>
              <w:top w:val="double" w:color="auto" w:sz="6" w:space="0"/>
            </w:tcBorders>
            <w:vAlign w:val="center"/>
          </w:tcPr>
          <w:p w14:paraId="05345078">
            <w:pPr>
              <w:keepNext/>
              <w:jc w:val="center"/>
              <w:rPr>
                <w:rFonts w:cs="宋体"/>
                <w:color w:val="auto"/>
                <w:szCs w:val="21"/>
                <w:highlight w:val="none"/>
              </w:rPr>
            </w:pPr>
          </w:p>
        </w:tc>
        <w:tc>
          <w:tcPr>
            <w:tcW w:w="569" w:type="pct"/>
            <w:tcBorders>
              <w:top w:val="double" w:color="auto" w:sz="6" w:space="0"/>
            </w:tcBorders>
            <w:vAlign w:val="center"/>
          </w:tcPr>
          <w:p w14:paraId="3C95A003">
            <w:pPr>
              <w:keepNext/>
              <w:jc w:val="center"/>
              <w:rPr>
                <w:rFonts w:cs="宋体"/>
                <w:color w:val="auto"/>
                <w:szCs w:val="21"/>
                <w:highlight w:val="none"/>
              </w:rPr>
            </w:pPr>
          </w:p>
        </w:tc>
        <w:tc>
          <w:tcPr>
            <w:tcW w:w="519" w:type="pct"/>
            <w:tcBorders>
              <w:top w:val="double" w:color="auto" w:sz="6" w:space="0"/>
            </w:tcBorders>
            <w:vAlign w:val="center"/>
          </w:tcPr>
          <w:p w14:paraId="46F45177">
            <w:pPr>
              <w:keepNext/>
              <w:jc w:val="center"/>
              <w:rPr>
                <w:rFonts w:cs="宋体"/>
                <w:color w:val="auto"/>
                <w:szCs w:val="21"/>
                <w:highlight w:val="none"/>
              </w:rPr>
            </w:pPr>
          </w:p>
        </w:tc>
      </w:tr>
      <w:tr w14:paraId="30B74E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12" w:type="pct"/>
            <w:tcBorders>
              <w:top w:val="nil"/>
            </w:tcBorders>
            <w:vAlign w:val="center"/>
          </w:tcPr>
          <w:p w14:paraId="28DFFF3F">
            <w:pPr>
              <w:keepNext/>
              <w:jc w:val="center"/>
              <w:rPr>
                <w:rFonts w:cs="宋体"/>
                <w:color w:val="auto"/>
                <w:szCs w:val="21"/>
                <w:highlight w:val="none"/>
              </w:rPr>
            </w:pPr>
          </w:p>
        </w:tc>
        <w:tc>
          <w:tcPr>
            <w:tcW w:w="792" w:type="pct"/>
            <w:tcBorders>
              <w:top w:val="nil"/>
            </w:tcBorders>
            <w:vAlign w:val="center"/>
          </w:tcPr>
          <w:p w14:paraId="6ACC9EC1">
            <w:pPr>
              <w:keepNext/>
              <w:jc w:val="center"/>
              <w:rPr>
                <w:rFonts w:cs="宋体"/>
                <w:color w:val="auto"/>
                <w:szCs w:val="21"/>
                <w:highlight w:val="none"/>
              </w:rPr>
            </w:pPr>
          </w:p>
        </w:tc>
        <w:tc>
          <w:tcPr>
            <w:tcW w:w="474" w:type="pct"/>
            <w:tcBorders>
              <w:top w:val="nil"/>
            </w:tcBorders>
            <w:vAlign w:val="center"/>
          </w:tcPr>
          <w:p w14:paraId="51BDEB75">
            <w:pPr>
              <w:keepNext/>
              <w:jc w:val="center"/>
              <w:rPr>
                <w:rFonts w:cs="宋体"/>
                <w:color w:val="auto"/>
                <w:szCs w:val="21"/>
                <w:highlight w:val="none"/>
              </w:rPr>
            </w:pPr>
          </w:p>
        </w:tc>
        <w:tc>
          <w:tcPr>
            <w:tcW w:w="396" w:type="pct"/>
            <w:tcBorders>
              <w:top w:val="nil"/>
            </w:tcBorders>
            <w:vAlign w:val="center"/>
          </w:tcPr>
          <w:p w14:paraId="1662CFDD">
            <w:pPr>
              <w:keepNext/>
              <w:jc w:val="center"/>
              <w:rPr>
                <w:rFonts w:cs="宋体"/>
                <w:color w:val="auto"/>
                <w:szCs w:val="21"/>
                <w:highlight w:val="none"/>
              </w:rPr>
            </w:pPr>
          </w:p>
        </w:tc>
        <w:tc>
          <w:tcPr>
            <w:tcW w:w="474" w:type="pct"/>
            <w:tcBorders>
              <w:top w:val="nil"/>
            </w:tcBorders>
            <w:vAlign w:val="center"/>
          </w:tcPr>
          <w:p w14:paraId="45D9FA2C">
            <w:pPr>
              <w:keepNext/>
              <w:jc w:val="center"/>
              <w:rPr>
                <w:rFonts w:cs="宋体"/>
                <w:color w:val="auto"/>
                <w:szCs w:val="21"/>
                <w:highlight w:val="none"/>
              </w:rPr>
            </w:pPr>
          </w:p>
        </w:tc>
        <w:tc>
          <w:tcPr>
            <w:tcW w:w="537" w:type="pct"/>
            <w:tcBorders>
              <w:top w:val="nil"/>
            </w:tcBorders>
            <w:vAlign w:val="center"/>
          </w:tcPr>
          <w:p w14:paraId="674BAD19">
            <w:pPr>
              <w:keepNext/>
              <w:jc w:val="center"/>
              <w:rPr>
                <w:rFonts w:cs="宋体"/>
                <w:color w:val="auto"/>
                <w:szCs w:val="21"/>
                <w:highlight w:val="none"/>
              </w:rPr>
            </w:pPr>
          </w:p>
        </w:tc>
        <w:tc>
          <w:tcPr>
            <w:tcW w:w="827" w:type="pct"/>
            <w:tcBorders>
              <w:top w:val="nil"/>
            </w:tcBorders>
            <w:vAlign w:val="center"/>
          </w:tcPr>
          <w:p w14:paraId="10CC6C5C">
            <w:pPr>
              <w:keepNext/>
              <w:jc w:val="center"/>
              <w:rPr>
                <w:rFonts w:cs="宋体"/>
                <w:color w:val="auto"/>
                <w:szCs w:val="21"/>
                <w:highlight w:val="none"/>
              </w:rPr>
            </w:pPr>
          </w:p>
        </w:tc>
        <w:tc>
          <w:tcPr>
            <w:tcW w:w="569" w:type="pct"/>
            <w:tcBorders>
              <w:top w:val="nil"/>
            </w:tcBorders>
            <w:vAlign w:val="center"/>
          </w:tcPr>
          <w:p w14:paraId="1013C830">
            <w:pPr>
              <w:keepNext/>
              <w:jc w:val="center"/>
              <w:rPr>
                <w:rFonts w:cs="宋体"/>
                <w:color w:val="auto"/>
                <w:szCs w:val="21"/>
                <w:highlight w:val="none"/>
              </w:rPr>
            </w:pPr>
          </w:p>
        </w:tc>
        <w:tc>
          <w:tcPr>
            <w:tcW w:w="519" w:type="pct"/>
            <w:tcBorders>
              <w:top w:val="nil"/>
            </w:tcBorders>
            <w:vAlign w:val="center"/>
          </w:tcPr>
          <w:p w14:paraId="24FD4754">
            <w:pPr>
              <w:keepNext/>
              <w:jc w:val="center"/>
              <w:rPr>
                <w:rFonts w:cs="宋体"/>
                <w:color w:val="auto"/>
                <w:szCs w:val="21"/>
                <w:highlight w:val="none"/>
              </w:rPr>
            </w:pPr>
          </w:p>
        </w:tc>
      </w:tr>
      <w:tr w14:paraId="33D47E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12" w:type="pct"/>
            <w:vAlign w:val="center"/>
          </w:tcPr>
          <w:p w14:paraId="0D685276">
            <w:pPr>
              <w:jc w:val="center"/>
              <w:rPr>
                <w:rFonts w:cs="宋体"/>
                <w:color w:val="auto"/>
                <w:szCs w:val="21"/>
                <w:highlight w:val="none"/>
              </w:rPr>
            </w:pPr>
          </w:p>
        </w:tc>
        <w:tc>
          <w:tcPr>
            <w:tcW w:w="792" w:type="pct"/>
            <w:vAlign w:val="center"/>
          </w:tcPr>
          <w:p w14:paraId="31A0470A">
            <w:pPr>
              <w:jc w:val="center"/>
              <w:rPr>
                <w:rFonts w:cs="宋体"/>
                <w:color w:val="auto"/>
                <w:szCs w:val="21"/>
                <w:highlight w:val="none"/>
              </w:rPr>
            </w:pPr>
          </w:p>
        </w:tc>
        <w:tc>
          <w:tcPr>
            <w:tcW w:w="474" w:type="pct"/>
            <w:vAlign w:val="center"/>
          </w:tcPr>
          <w:p w14:paraId="2F555C23">
            <w:pPr>
              <w:jc w:val="center"/>
              <w:rPr>
                <w:rFonts w:cs="宋体"/>
                <w:color w:val="auto"/>
                <w:szCs w:val="21"/>
                <w:highlight w:val="none"/>
              </w:rPr>
            </w:pPr>
          </w:p>
        </w:tc>
        <w:tc>
          <w:tcPr>
            <w:tcW w:w="396" w:type="pct"/>
            <w:vAlign w:val="center"/>
          </w:tcPr>
          <w:p w14:paraId="5989C4B2">
            <w:pPr>
              <w:jc w:val="center"/>
              <w:rPr>
                <w:rFonts w:cs="宋体"/>
                <w:color w:val="auto"/>
                <w:szCs w:val="21"/>
                <w:highlight w:val="none"/>
              </w:rPr>
            </w:pPr>
          </w:p>
        </w:tc>
        <w:tc>
          <w:tcPr>
            <w:tcW w:w="474" w:type="pct"/>
            <w:vAlign w:val="center"/>
          </w:tcPr>
          <w:p w14:paraId="450E7B09">
            <w:pPr>
              <w:jc w:val="center"/>
              <w:rPr>
                <w:rFonts w:cs="宋体"/>
                <w:color w:val="auto"/>
                <w:szCs w:val="21"/>
                <w:highlight w:val="none"/>
              </w:rPr>
            </w:pPr>
          </w:p>
        </w:tc>
        <w:tc>
          <w:tcPr>
            <w:tcW w:w="537" w:type="pct"/>
            <w:vAlign w:val="center"/>
          </w:tcPr>
          <w:p w14:paraId="1EE35DD8">
            <w:pPr>
              <w:jc w:val="center"/>
              <w:rPr>
                <w:rFonts w:cs="宋体"/>
                <w:color w:val="auto"/>
                <w:szCs w:val="21"/>
                <w:highlight w:val="none"/>
              </w:rPr>
            </w:pPr>
          </w:p>
        </w:tc>
        <w:tc>
          <w:tcPr>
            <w:tcW w:w="827" w:type="pct"/>
            <w:vAlign w:val="center"/>
          </w:tcPr>
          <w:p w14:paraId="732C9A6D">
            <w:pPr>
              <w:jc w:val="center"/>
              <w:rPr>
                <w:rFonts w:cs="宋体"/>
                <w:color w:val="auto"/>
                <w:szCs w:val="21"/>
                <w:highlight w:val="none"/>
              </w:rPr>
            </w:pPr>
          </w:p>
        </w:tc>
        <w:tc>
          <w:tcPr>
            <w:tcW w:w="569" w:type="pct"/>
            <w:vAlign w:val="center"/>
          </w:tcPr>
          <w:p w14:paraId="275115F0">
            <w:pPr>
              <w:jc w:val="center"/>
              <w:rPr>
                <w:rFonts w:cs="宋体"/>
                <w:color w:val="auto"/>
                <w:szCs w:val="21"/>
                <w:highlight w:val="none"/>
              </w:rPr>
            </w:pPr>
          </w:p>
        </w:tc>
        <w:tc>
          <w:tcPr>
            <w:tcW w:w="519" w:type="pct"/>
            <w:vAlign w:val="center"/>
          </w:tcPr>
          <w:p w14:paraId="5B96CB07">
            <w:pPr>
              <w:jc w:val="center"/>
              <w:rPr>
                <w:rFonts w:cs="宋体"/>
                <w:color w:val="auto"/>
                <w:szCs w:val="21"/>
                <w:highlight w:val="none"/>
              </w:rPr>
            </w:pPr>
          </w:p>
        </w:tc>
      </w:tr>
      <w:tr w14:paraId="71C0CC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12" w:type="pct"/>
            <w:vAlign w:val="center"/>
          </w:tcPr>
          <w:p w14:paraId="17A69332">
            <w:pPr>
              <w:jc w:val="center"/>
              <w:rPr>
                <w:rFonts w:cs="宋体"/>
                <w:color w:val="auto"/>
                <w:szCs w:val="21"/>
                <w:highlight w:val="none"/>
              </w:rPr>
            </w:pPr>
          </w:p>
        </w:tc>
        <w:tc>
          <w:tcPr>
            <w:tcW w:w="792" w:type="pct"/>
            <w:vAlign w:val="center"/>
          </w:tcPr>
          <w:p w14:paraId="4D9160B0">
            <w:pPr>
              <w:jc w:val="center"/>
              <w:rPr>
                <w:rFonts w:cs="宋体"/>
                <w:color w:val="auto"/>
                <w:szCs w:val="21"/>
                <w:highlight w:val="none"/>
              </w:rPr>
            </w:pPr>
          </w:p>
        </w:tc>
        <w:tc>
          <w:tcPr>
            <w:tcW w:w="474" w:type="pct"/>
            <w:vAlign w:val="center"/>
          </w:tcPr>
          <w:p w14:paraId="76189914">
            <w:pPr>
              <w:jc w:val="center"/>
              <w:rPr>
                <w:rFonts w:cs="宋体"/>
                <w:color w:val="auto"/>
                <w:szCs w:val="21"/>
                <w:highlight w:val="none"/>
              </w:rPr>
            </w:pPr>
          </w:p>
        </w:tc>
        <w:tc>
          <w:tcPr>
            <w:tcW w:w="396" w:type="pct"/>
            <w:vAlign w:val="center"/>
          </w:tcPr>
          <w:p w14:paraId="3001C107">
            <w:pPr>
              <w:jc w:val="center"/>
              <w:rPr>
                <w:rFonts w:cs="宋体"/>
                <w:color w:val="auto"/>
                <w:szCs w:val="21"/>
                <w:highlight w:val="none"/>
              </w:rPr>
            </w:pPr>
          </w:p>
        </w:tc>
        <w:tc>
          <w:tcPr>
            <w:tcW w:w="474" w:type="pct"/>
            <w:vAlign w:val="center"/>
          </w:tcPr>
          <w:p w14:paraId="1CCFE88F">
            <w:pPr>
              <w:jc w:val="center"/>
              <w:rPr>
                <w:rFonts w:cs="宋体"/>
                <w:color w:val="auto"/>
                <w:szCs w:val="21"/>
                <w:highlight w:val="none"/>
              </w:rPr>
            </w:pPr>
          </w:p>
        </w:tc>
        <w:tc>
          <w:tcPr>
            <w:tcW w:w="537" w:type="pct"/>
            <w:vAlign w:val="center"/>
          </w:tcPr>
          <w:p w14:paraId="206CE8E8">
            <w:pPr>
              <w:jc w:val="center"/>
              <w:rPr>
                <w:rFonts w:cs="宋体"/>
                <w:color w:val="auto"/>
                <w:szCs w:val="21"/>
                <w:highlight w:val="none"/>
              </w:rPr>
            </w:pPr>
          </w:p>
        </w:tc>
        <w:tc>
          <w:tcPr>
            <w:tcW w:w="827" w:type="pct"/>
            <w:vAlign w:val="center"/>
          </w:tcPr>
          <w:p w14:paraId="29849C3A">
            <w:pPr>
              <w:jc w:val="center"/>
              <w:rPr>
                <w:rFonts w:cs="宋体"/>
                <w:color w:val="auto"/>
                <w:szCs w:val="21"/>
                <w:highlight w:val="none"/>
              </w:rPr>
            </w:pPr>
          </w:p>
        </w:tc>
        <w:tc>
          <w:tcPr>
            <w:tcW w:w="569" w:type="pct"/>
            <w:vAlign w:val="center"/>
          </w:tcPr>
          <w:p w14:paraId="18DD0C8D">
            <w:pPr>
              <w:jc w:val="center"/>
              <w:rPr>
                <w:rFonts w:cs="宋体"/>
                <w:color w:val="auto"/>
                <w:szCs w:val="21"/>
                <w:highlight w:val="none"/>
              </w:rPr>
            </w:pPr>
          </w:p>
        </w:tc>
        <w:tc>
          <w:tcPr>
            <w:tcW w:w="519" w:type="pct"/>
            <w:vAlign w:val="center"/>
          </w:tcPr>
          <w:p w14:paraId="618D85AF">
            <w:pPr>
              <w:jc w:val="center"/>
              <w:rPr>
                <w:rFonts w:cs="宋体"/>
                <w:color w:val="auto"/>
                <w:szCs w:val="21"/>
                <w:highlight w:val="none"/>
              </w:rPr>
            </w:pPr>
          </w:p>
        </w:tc>
      </w:tr>
      <w:tr w14:paraId="27B99C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12" w:type="pct"/>
            <w:tcBorders>
              <w:bottom w:val="single" w:color="auto" w:sz="12" w:space="0"/>
            </w:tcBorders>
            <w:vAlign w:val="center"/>
          </w:tcPr>
          <w:p w14:paraId="1E4AEDC3">
            <w:pPr>
              <w:jc w:val="center"/>
              <w:rPr>
                <w:rFonts w:cs="宋体"/>
                <w:color w:val="auto"/>
                <w:szCs w:val="21"/>
                <w:highlight w:val="none"/>
              </w:rPr>
            </w:pPr>
          </w:p>
        </w:tc>
        <w:tc>
          <w:tcPr>
            <w:tcW w:w="792" w:type="pct"/>
            <w:tcBorders>
              <w:bottom w:val="single" w:color="auto" w:sz="12" w:space="0"/>
            </w:tcBorders>
            <w:vAlign w:val="center"/>
          </w:tcPr>
          <w:p w14:paraId="18A02A04">
            <w:pPr>
              <w:jc w:val="center"/>
              <w:rPr>
                <w:rFonts w:cs="宋体"/>
                <w:color w:val="auto"/>
                <w:szCs w:val="21"/>
                <w:highlight w:val="none"/>
              </w:rPr>
            </w:pPr>
          </w:p>
        </w:tc>
        <w:tc>
          <w:tcPr>
            <w:tcW w:w="474" w:type="pct"/>
            <w:tcBorders>
              <w:bottom w:val="single" w:color="auto" w:sz="12" w:space="0"/>
            </w:tcBorders>
            <w:vAlign w:val="center"/>
          </w:tcPr>
          <w:p w14:paraId="16A3779B">
            <w:pPr>
              <w:jc w:val="center"/>
              <w:rPr>
                <w:rFonts w:cs="宋体"/>
                <w:color w:val="auto"/>
                <w:szCs w:val="21"/>
                <w:highlight w:val="none"/>
              </w:rPr>
            </w:pPr>
          </w:p>
        </w:tc>
        <w:tc>
          <w:tcPr>
            <w:tcW w:w="396" w:type="pct"/>
            <w:tcBorders>
              <w:bottom w:val="single" w:color="auto" w:sz="12" w:space="0"/>
            </w:tcBorders>
            <w:vAlign w:val="center"/>
          </w:tcPr>
          <w:p w14:paraId="7C6C8963">
            <w:pPr>
              <w:jc w:val="center"/>
              <w:rPr>
                <w:rFonts w:cs="宋体"/>
                <w:color w:val="auto"/>
                <w:szCs w:val="21"/>
                <w:highlight w:val="none"/>
              </w:rPr>
            </w:pPr>
          </w:p>
        </w:tc>
        <w:tc>
          <w:tcPr>
            <w:tcW w:w="474" w:type="pct"/>
            <w:tcBorders>
              <w:bottom w:val="single" w:color="auto" w:sz="12" w:space="0"/>
            </w:tcBorders>
            <w:vAlign w:val="center"/>
          </w:tcPr>
          <w:p w14:paraId="4234BBD0">
            <w:pPr>
              <w:jc w:val="center"/>
              <w:rPr>
                <w:rFonts w:cs="宋体"/>
                <w:color w:val="auto"/>
                <w:szCs w:val="21"/>
                <w:highlight w:val="none"/>
              </w:rPr>
            </w:pPr>
          </w:p>
        </w:tc>
        <w:tc>
          <w:tcPr>
            <w:tcW w:w="537" w:type="pct"/>
            <w:tcBorders>
              <w:bottom w:val="single" w:color="auto" w:sz="12" w:space="0"/>
            </w:tcBorders>
            <w:vAlign w:val="center"/>
          </w:tcPr>
          <w:p w14:paraId="2419101B">
            <w:pPr>
              <w:jc w:val="center"/>
              <w:rPr>
                <w:rFonts w:cs="宋体"/>
                <w:color w:val="auto"/>
                <w:szCs w:val="21"/>
                <w:highlight w:val="none"/>
              </w:rPr>
            </w:pPr>
          </w:p>
        </w:tc>
        <w:tc>
          <w:tcPr>
            <w:tcW w:w="827" w:type="pct"/>
            <w:tcBorders>
              <w:bottom w:val="single" w:color="auto" w:sz="12" w:space="0"/>
            </w:tcBorders>
            <w:vAlign w:val="center"/>
          </w:tcPr>
          <w:p w14:paraId="37E4D7C6">
            <w:pPr>
              <w:jc w:val="center"/>
              <w:rPr>
                <w:rFonts w:cs="宋体"/>
                <w:color w:val="auto"/>
                <w:szCs w:val="21"/>
                <w:highlight w:val="none"/>
              </w:rPr>
            </w:pPr>
          </w:p>
        </w:tc>
        <w:tc>
          <w:tcPr>
            <w:tcW w:w="569" w:type="pct"/>
            <w:tcBorders>
              <w:bottom w:val="single" w:color="auto" w:sz="12" w:space="0"/>
            </w:tcBorders>
            <w:vAlign w:val="center"/>
          </w:tcPr>
          <w:p w14:paraId="11F2D6EF">
            <w:pPr>
              <w:jc w:val="center"/>
              <w:rPr>
                <w:rFonts w:cs="宋体"/>
                <w:color w:val="auto"/>
                <w:szCs w:val="21"/>
                <w:highlight w:val="none"/>
              </w:rPr>
            </w:pPr>
          </w:p>
        </w:tc>
        <w:tc>
          <w:tcPr>
            <w:tcW w:w="519" w:type="pct"/>
            <w:tcBorders>
              <w:bottom w:val="single" w:color="auto" w:sz="12" w:space="0"/>
            </w:tcBorders>
            <w:vAlign w:val="center"/>
          </w:tcPr>
          <w:p w14:paraId="0AEB8917">
            <w:pPr>
              <w:jc w:val="center"/>
              <w:rPr>
                <w:rFonts w:cs="宋体"/>
                <w:color w:val="auto"/>
                <w:szCs w:val="21"/>
                <w:highlight w:val="none"/>
              </w:rPr>
            </w:pPr>
          </w:p>
        </w:tc>
      </w:tr>
    </w:tbl>
    <w:p w14:paraId="78BF3D10">
      <w:pPr>
        <w:spacing w:before="312" w:beforeLines="100" w:after="312" w:afterLines="100"/>
        <w:outlineLvl w:val="2"/>
        <w:rPr>
          <w:rFonts w:ascii="Times New Roman" w:eastAsia="黑体"/>
          <w:color w:val="auto"/>
          <w:szCs w:val="24"/>
          <w:highlight w:val="none"/>
        </w:rPr>
      </w:pPr>
      <w:r>
        <w:rPr>
          <w:rFonts w:hint="eastAsia" w:cs="宋体"/>
          <w:bCs/>
          <w:color w:val="auto"/>
          <w:highlight w:val="none"/>
        </w:rPr>
        <w:br w:type="page"/>
      </w:r>
      <w:bookmarkStart w:id="598" w:name="_Toc128950241"/>
      <w:r>
        <w:rPr>
          <w:rFonts w:hint="eastAsia" w:ascii="Times New Roman" w:eastAsia="黑体"/>
          <w:color w:val="auto"/>
          <w:szCs w:val="24"/>
          <w:highlight w:val="none"/>
        </w:rPr>
        <w:t>附</w:t>
      </w:r>
      <w:bookmarkStart w:id="599" w:name="_Toc296503228"/>
      <w:bookmarkStart w:id="600" w:name="_Toc296891268"/>
      <w:bookmarkStart w:id="601" w:name="_Toc296891056"/>
      <w:bookmarkStart w:id="602" w:name="_Toc296944567"/>
      <w:bookmarkStart w:id="603" w:name="_Toc267261699"/>
      <w:bookmarkStart w:id="604" w:name="_Toc296346729"/>
      <w:bookmarkStart w:id="605" w:name="_Toc296347227"/>
      <w:r>
        <w:rPr>
          <w:rFonts w:hint="eastAsia" w:ascii="Times New Roman" w:eastAsia="黑体"/>
          <w:color w:val="auto"/>
          <w:szCs w:val="24"/>
          <w:highlight w:val="none"/>
        </w:rPr>
        <w:t>件</w:t>
      </w:r>
      <w:bookmarkEnd w:id="599"/>
      <w:bookmarkEnd w:id="600"/>
      <w:bookmarkEnd w:id="601"/>
      <w:bookmarkEnd w:id="602"/>
      <w:bookmarkEnd w:id="603"/>
      <w:bookmarkEnd w:id="604"/>
      <w:bookmarkEnd w:id="605"/>
      <w:r>
        <w:rPr>
          <w:rFonts w:ascii="Times New Roman" w:eastAsia="黑体"/>
          <w:color w:val="auto"/>
          <w:szCs w:val="24"/>
          <w:highlight w:val="none"/>
        </w:rPr>
        <w:t>6</w:t>
      </w:r>
      <w:r>
        <w:rPr>
          <w:rFonts w:hint="eastAsia" w:ascii="Times New Roman" w:eastAsia="黑体"/>
          <w:color w:val="auto"/>
          <w:szCs w:val="24"/>
          <w:highlight w:val="none"/>
        </w:rPr>
        <w:t>：承包人主要施工管理人员表</w:t>
      </w:r>
      <w:bookmarkEnd w:id="598"/>
    </w:p>
    <w:p w14:paraId="3A2B35A4">
      <w:pPr>
        <w:spacing w:line="360" w:lineRule="auto"/>
        <w:jc w:val="center"/>
        <w:rPr>
          <w:rFonts w:cs="宋体"/>
          <w:color w:val="auto"/>
          <w:highlight w:val="none"/>
        </w:rPr>
      </w:pPr>
      <w:r>
        <w:rPr>
          <w:rFonts w:hint="eastAsia" w:cs="宋体"/>
          <w:color w:val="auto"/>
          <w:highlight w:val="none"/>
        </w:rPr>
        <w:t>承包人主要施工管理人员表</w:t>
      </w:r>
    </w:p>
    <w:tbl>
      <w:tblPr>
        <w:tblStyle w:val="55"/>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609"/>
        <w:gridCol w:w="1076"/>
        <w:gridCol w:w="862"/>
        <w:gridCol w:w="862"/>
        <w:gridCol w:w="2199"/>
        <w:gridCol w:w="1976"/>
      </w:tblGrid>
      <w:tr w14:paraId="380437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tcBorders>
              <w:top w:val="single" w:color="auto" w:sz="12" w:space="0"/>
              <w:bottom w:val="double" w:color="auto" w:sz="6" w:space="0"/>
            </w:tcBorders>
            <w:vAlign w:val="center"/>
          </w:tcPr>
          <w:p w14:paraId="5EA66760">
            <w:pPr>
              <w:keepNext/>
              <w:spacing w:line="360" w:lineRule="auto"/>
              <w:jc w:val="center"/>
              <w:rPr>
                <w:rFonts w:cs="宋体"/>
                <w:color w:val="auto"/>
                <w:szCs w:val="21"/>
                <w:highlight w:val="none"/>
              </w:rPr>
            </w:pPr>
            <w:r>
              <w:rPr>
                <w:rFonts w:hint="eastAsia" w:cs="宋体"/>
                <w:color w:val="auto"/>
                <w:szCs w:val="21"/>
                <w:highlight w:val="none"/>
              </w:rPr>
              <w:t>名称</w:t>
            </w:r>
          </w:p>
        </w:tc>
        <w:tc>
          <w:tcPr>
            <w:tcW w:w="627" w:type="pct"/>
            <w:tcBorders>
              <w:top w:val="single" w:color="auto" w:sz="12" w:space="0"/>
              <w:bottom w:val="double" w:color="auto" w:sz="6" w:space="0"/>
            </w:tcBorders>
            <w:vAlign w:val="center"/>
          </w:tcPr>
          <w:p w14:paraId="69C822E2">
            <w:pPr>
              <w:keepNext/>
              <w:spacing w:line="360" w:lineRule="auto"/>
              <w:jc w:val="center"/>
              <w:rPr>
                <w:rFonts w:cs="宋体"/>
                <w:color w:val="auto"/>
                <w:szCs w:val="21"/>
                <w:highlight w:val="none"/>
              </w:rPr>
            </w:pPr>
            <w:r>
              <w:rPr>
                <w:rFonts w:hint="eastAsia" w:cs="宋体"/>
                <w:color w:val="auto"/>
                <w:szCs w:val="21"/>
                <w:highlight w:val="none"/>
              </w:rPr>
              <w:t>姓名</w:t>
            </w:r>
          </w:p>
        </w:tc>
        <w:tc>
          <w:tcPr>
            <w:tcW w:w="502" w:type="pct"/>
            <w:tcBorders>
              <w:top w:val="single" w:color="auto" w:sz="12" w:space="0"/>
              <w:bottom w:val="double" w:color="auto" w:sz="6" w:space="0"/>
            </w:tcBorders>
            <w:vAlign w:val="center"/>
          </w:tcPr>
          <w:p w14:paraId="2B4E4270">
            <w:pPr>
              <w:keepNext/>
              <w:spacing w:line="360" w:lineRule="auto"/>
              <w:jc w:val="center"/>
              <w:rPr>
                <w:rFonts w:cs="宋体"/>
                <w:color w:val="auto"/>
                <w:szCs w:val="21"/>
                <w:highlight w:val="none"/>
              </w:rPr>
            </w:pPr>
            <w:r>
              <w:rPr>
                <w:rFonts w:hint="eastAsia" w:cs="宋体"/>
                <w:color w:val="auto"/>
                <w:szCs w:val="21"/>
                <w:highlight w:val="none"/>
              </w:rPr>
              <w:t>职务</w:t>
            </w:r>
          </w:p>
        </w:tc>
        <w:tc>
          <w:tcPr>
            <w:tcW w:w="502" w:type="pct"/>
            <w:tcBorders>
              <w:top w:val="single" w:color="auto" w:sz="12" w:space="0"/>
              <w:bottom w:val="double" w:color="auto" w:sz="6" w:space="0"/>
            </w:tcBorders>
            <w:vAlign w:val="center"/>
          </w:tcPr>
          <w:p w14:paraId="27693F60">
            <w:pPr>
              <w:keepNext/>
              <w:spacing w:line="360" w:lineRule="auto"/>
              <w:jc w:val="center"/>
              <w:rPr>
                <w:rFonts w:cs="宋体"/>
                <w:color w:val="auto"/>
                <w:szCs w:val="21"/>
                <w:highlight w:val="none"/>
              </w:rPr>
            </w:pPr>
            <w:r>
              <w:rPr>
                <w:rFonts w:hint="eastAsia" w:cs="宋体"/>
                <w:color w:val="auto"/>
                <w:szCs w:val="21"/>
                <w:highlight w:val="none"/>
              </w:rPr>
              <w:t>职称</w:t>
            </w:r>
          </w:p>
        </w:tc>
        <w:tc>
          <w:tcPr>
            <w:tcW w:w="1281" w:type="pct"/>
            <w:tcBorders>
              <w:top w:val="single" w:color="auto" w:sz="12" w:space="0"/>
              <w:bottom w:val="double" w:color="auto" w:sz="6" w:space="0"/>
            </w:tcBorders>
            <w:vAlign w:val="center"/>
          </w:tcPr>
          <w:p w14:paraId="57F14844">
            <w:pPr>
              <w:keepNext/>
              <w:spacing w:line="360" w:lineRule="auto"/>
              <w:jc w:val="center"/>
              <w:rPr>
                <w:rFonts w:cs="宋体"/>
                <w:color w:val="auto"/>
                <w:szCs w:val="21"/>
                <w:highlight w:val="none"/>
              </w:rPr>
            </w:pPr>
            <w:r>
              <w:rPr>
                <w:rFonts w:hint="eastAsia" w:cs="宋体"/>
                <w:color w:val="auto"/>
                <w:szCs w:val="21"/>
                <w:highlight w:val="none"/>
              </w:rPr>
              <w:t>主要资历、经验及承担过的项目</w:t>
            </w:r>
          </w:p>
        </w:tc>
        <w:tc>
          <w:tcPr>
            <w:tcW w:w="1151" w:type="pct"/>
            <w:tcBorders>
              <w:top w:val="single" w:color="auto" w:sz="12" w:space="0"/>
              <w:bottom w:val="double" w:color="auto" w:sz="6" w:space="0"/>
            </w:tcBorders>
            <w:vAlign w:val="center"/>
          </w:tcPr>
          <w:p w14:paraId="04970DAD">
            <w:pPr>
              <w:keepNext/>
              <w:spacing w:line="360" w:lineRule="auto"/>
              <w:jc w:val="center"/>
              <w:rPr>
                <w:rFonts w:cs="宋体"/>
                <w:color w:val="auto"/>
                <w:szCs w:val="21"/>
                <w:highlight w:val="none"/>
              </w:rPr>
            </w:pPr>
            <w:r>
              <w:rPr>
                <w:rFonts w:hint="eastAsia" w:cs="宋体"/>
                <w:color w:val="auto"/>
                <w:szCs w:val="21"/>
                <w:highlight w:val="none"/>
              </w:rPr>
              <w:t>身份证号码</w:t>
            </w:r>
          </w:p>
        </w:tc>
      </w:tr>
      <w:tr w14:paraId="383786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3849" w:type="pct"/>
            <w:gridSpan w:val="5"/>
            <w:tcBorders>
              <w:top w:val="double" w:color="auto" w:sz="6" w:space="0"/>
            </w:tcBorders>
            <w:vAlign w:val="center"/>
          </w:tcPr>
          <w:p w14:paraId="73B01442">
            <w:pPr>
              <w:keepNext/>
              <w:spacing w:line="360" w:lineRule="auto"/>
              <w:jc w:val="center"/>
              <w:rPr>
                <w:rFonts w:cs="宋体"/>
                <w:color w:val="auto"/>
                <w:szCs w:val="21"/>
                <w:highlight w:val="none"/>
              </w:rPr>
            </w:pPr>
            <w:r>
              <w:rPr>
                <w:rFonts w:hint="eastAsia" w:cs="宋体"/>
                <w:color w:val="auto"/>
                <w:szCs w:val="21"/>
                <w:highlight w:val="none"/>
              </w:rPr>
              <w:t>一、总部人员</w:t>
            </w:r>
          </w:p>
        </w:tc>
        <w:tc>
          <w:tcPr>
            <w:tcW w:w="1151" w:type="pct"/>
            <w:tcBorders>
              <w:top w:val="double" w:color="auto" w:sz="6" w:space="0"/>
            </w:tcBorders>
            <w:vAlign w:val="center"/>
          </w:tcPr>
          <w:p w14:paraId="2A60904E">
            <w:pPr>
              <w:keepNext/>
              <w:spacing w:line="360" w:lineRule="auto"/>
              <w:jc w:val="center"/>
              <w:rPr>
                <w:rFonts w:cs="宋体"/>
                <w:color w:val="auto"/>
                <w:szCs w:val="21"/>
                <w:highlight w:val="none"/>
              </w:rPr>
            </w:pPr>
          </w:p>
        </w:tc>
      </w:tr>
      <w:tr w14:paraId="6699B2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tcBorders>
              <w:top w:val="nil"/>
              <w:bottom w:val="nil"/>
            </w:tcBorders>
            <w:vAlign w:val="center"/>
          </w:tcPr>
          <w:p w14:paraId="2CE45A7C">
            <w:pPr>
              <w:spacing w:line="360" w:lineRule="auto"/>
              <w:jc w:val="center"/>
              <w:rPr>
                <w:rFonts w:cs="宋体"/>
                <w:color w:val="auto"/>
                <w:szCs w:val="21"/>
                <w:highlight w:val="none"/>
              </w:rPr>
            </w:pPr>
            <w:r>
              <w:rPr>
                <w:rFonts w:hint="eastAsia" w:cs="宋体"/>
                <w:color w:val="auto"/>
                <w:szCs w:val="21"/>
                <w:highlight w:val="none"/>
              </w:rPr>
              <w:t>项目主管</w:t>
            </w:r>
          </w:p>
        </w:tc>
        <w:tc>
          <w:tcPr>
            <w:tcW w:w="627" w:type="pct"/>
            <w:tcBorders>
              <w:top w:val="nil"/>
            </w:tcBorders>
            <w:vAlign w:val="center"/>
          </w:tcPr>
          <w:p w14:paraId="6AF4F0BC">
            <w:pPr>
              <w:keepNext/>
              <w:spacing w:line="360" w:lineRule="auto"/>
              <w:jc w:val="center"/>
              <w:rPr>
                <w:rFonts w:cs="宋体"/>
                <w:color w:val="auto"/>
                <w:szCs w:val="21"/>
                <w:highlight w:val="none"/>
              </w:rPr>
            </w:pPr>
          </w:p>
        </w:tc>
        <w:tc>
          <w:tcPr>
            <w:tcW w:w="502" w:type="pct"/>
            <w:tcBorders>
              <w:top w:val="nil"/>
            </w:tcBorders>
            <w:vAlign w:val="center"/>
          </w:tcPr>
          <w:p w14:paraId="4EB5A1F6">
            <w:pPr>
              <w:keepNext/>
              <w:spacing w:line="360" w:lineRule="auto"/>
              <w:jc w:val="center"/>
              <w:rPr>
                <w:rFonts w:cs="宋体"/>
                <w:color w:val="auto"/>
                <w:szCs w:val="21"/>
                <w:highlight w:val="none"/>
              </w:rPr>
            </w:pPr>
          </w:p>
        </w:tc>
        <w:tc>
          <w:tcPr>
            <w:tcW w:w="502" w:type="pct"/>
            <w:tcBorders>
              <w:top w:val="nil"/>
            </w:tcBorders>
            <w:vAlign w:val="center"/>
          </w:tcPr>
          <w:p w14:paraId="4E835071">
            <w:pPr>
              <w:keepNext/>
              <w:spacing w:line="360" w:lineRule="auto"/>
              <w:jc w:val="center"/>
              <w:rPr>
                <w:rFonts w:cs="宋体"/>
                <w:color w:val="auto"/>
                <w:szCs w:val="21"/>
                <w:highlight w:val="none"/>
              </w:rPr>
            </w:pPr>
          </w:p>
        </w:tc>
        <w:tc>
          <w:tcPr>
            <w:tcW w:w="1281" w:type="pct"/>
            <w:tcBorders>
              <w:top w:val="nil"/>
            </w:tcBorders>
            <w:vAlign w:val="center"/>
          </w:tcPr>
          <w:p w14:paraId="2DAD74D6">
            <w:pPr>
              <w:keepNext/>
              <w:spacing w:line="360" w:lineRule="auto"/>
              <w:jc w:val="center"/>
              <w:rPr>
                <w:rFonts w:cs="宋体"/>
                <w:color w:val="auto"/>
                <w:szCs w:val="21"/>
                <w:highlight w:val="none"/>
              </w:rPr>
            </w:pPr>
          </w:p>
        </w:tc>
        <w:tc>
          <w:tcPr>
            <w:tcW w:w="1151" w:type="pct"/>
            <w:tcBorders>
              <w:top w:val="nil"/>
            </w:tcBorders>
            <w:vAlign w:val="center"/>
          </w:tcPr>
          <w:p w14:paraId="115DD154">
            <w:pPr>
              <w:keepNext/>
              <w:spacing w:line="360" w:lineRule="auto"/>
              <w:jc w:val="center"/>
              <w:rPr>
                <w:rFonts w:cs="宋体"/>
                <w:color w:val="auto"/>
                <w:szCs w:val="21"/>
                <w:highlight w:val="none"/>
              </w:rPr>
            </w:pPr>
          </w:p>
        </w:tc>
      </w:tr>
      <w:tr w14:paraId="0283E3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Merge w:val="restart"/>
            <w:vAlign w:val="center"/>
          </w:tcPr>
          <w:p w14:paraId="37B0031E">
            <w:pPr>
              <w:spacing w:line="360" w:lineRule="auto"/>
              <w:jc w:val="center"/>
              <w:rPr>
                <w:rFonts w:cs="宋体"/>
                <w:color w:val="auto"/>
                <w:szCs w:val="21"/>
                <w:highlight w:val="none"/>
              </w:rPr>
            </w:pPr>
            <w:r>
              <w:rPr>
                <w:rFonts w:hint="eastAsia" w:cs="宋体"/>
                <w:color w:val="auto"/>
                <w:szCs w:val="21"/>
                <w:highlight w:val="none"/>
              </w:rPr>
              <w:t>其他人员</w:t>
            </w:r>
          </w:p>
        </w:tc>
        <w:tc>
          <w:tcPr>
            <w:tcW w:w="627" w:type="pct"/>
            <w:vAlign w:val="center"/>
          </w:tcPr>
          <w:p w14:paraId="39C59DE3">
            <w:pPr>
              <w:keepNext/>
              <w:spacing w:line="360" w:lineRule="auto"/>
              <w:jc w:val="center"/>
              <w:rPr>
                <w:rFonts w:cs="宋体"/>
                <w:color w:val="auto"/>
                <w:szCs w:val="21"/>
                <w:highlight w:val="none"/>
              </w:rPr>
            </w:pPr>
          </w:p>
        </w:tc>
        <w:tc>
          <w:tcPr>
            <w:tcW w:w="502" w:type="pct"/>
            <w:vAlign w:val="center"/>
          </w:tcPr>
          <w:p w14:paraId="1442F977">
            <w:pPr>
              <w:keepNext/>
              <w:spacing w:line="360" w:lineRule="auto"/>
              <w:jc w:val="center"/>
              <w:rPr>
                <w:rFonts w:cs="宋体"/>
                <w:color w:val="auto"/>
                <w:szCs w:val="21"/>
                <w:highlight w:val="none"/>
              </w:rPr>
            </w:pPr>
          </w:p>
        </w:tc>
        <w:tc>
          <w:tcPr>
            <w:tcW w:w="502" w:type="pct"/>
            <w:vAlign w:val="center"/>
          </w:tcPr>
          <w:p w14:paraId="1F13BCC4">
            <w:pPr>
              <w:keepNext/>
              <w:spacing w:line="360" w:lineRule="auto"/>
              <w:jc w:val="center"/>
              <w:rPr>
                <w:rFonts w:cs="宋体"/>
                <w:color w:val="auto"/>
                <w:szCs w:val="21"/>
                <w:highlight w:val="none"/>
              </w:rPr>
            </w:pPr>
          </w:p>
        </w:tc>
        <w:tc>
          <w:tcPr>
            <w:tcW w:w="1281" w:type="pct"/>
            <w:vAlign w:val="center"/>
          </w:tcPr>
          <w:p w14:paraId="609A2DF1">
            <w:pPr>
              <w:keepNext/>
              <w:spacing w:line="360" w:lineRule="auto"/>
              <w:jc w:val="center"/>
              <w:rPr>
                <w:rFonts w:cs="宋体"/>
                <w:color w:val="auto"/>
                <w:szCs w:val="21"/>
                <w:highlight w:val="none"/>
              </w:rPr>
            </w:pPr>
          </w:p>
        </w:tc>
        <w:tc>
          <w:tcPr>
            <w:tcW w:w="1151" w:type="pct"/>
            <w:vAlign w:val="center"/>
          </w:tcPr>
          <w:p w14:paraId="163DB7E7">
            <w:pPr>
              <w:keepNext/>
              <w:spacing w:line="360" w:lineRule="auto"/>
              <w:jc w:val="center"/>
              <w:rPr>
                <w:rFonts w:cs="宋体"/>
                <w:color w:val="auto"/>
                <w:szCs w:val="21"/>
                <w:highlight w:val="none"/>
              </w:rPr>
            </w:pPr>
          </w:p>
        </w:tc>
      </w:tr>
      <w:tr w14:paraId="32C457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Merge w:val="continue"/>
            <w:vAlign w:val="center"/>
          </w:tcPr>
          <w:p w14:paraId="206D71DE">
            <w:pPr>
              <w:spacing w:line="360" w:lineRule="auto"/>
              <w:jc w:val="center"/>
              <w:rPr>
                <w:rFonts w:cs="宋体"/>
                <w:color w:val="auto"/>
                <w:szCs w:val="21"/>
                <w:highlight w:val="none"/>
              </w:rPr>
            </w:pPr>
          </w:p>
        </w:tc>
        <w:tc>
          <w:tcPr>
            <w:tcW w:w="627" w:type="pct"/>
            <w:vAlign w:val="center"/>
          </w:tcPr>
          <w:p w14:paraId="41D7A365">
            <w:pPr>
              <w:keepNext/>
              <w:spacing w:line="360" w:lineRule="auto"/>
              <w:jc w:val="center"/>
              <w:rPr>
                <w:rFonts w:cs="宋体"/>
                <w:color w:val="auto"/>
                <w:szCs w:val="21"/>
                <w:highlight w:val="none"/>
              </w:rPr>
            </w:pPr>
          </w:p>
        </w:tc>
        <w:tc>
          <w:tcPr>
            <w:tcW w:w="502" w:type="pct"/>
            <w:vAlign w:val="center"/>
          </w:tcPr>
          <w:p w14:paraId="43BF31B3">
            <w:pPr>
              <w:keepNext/>
              <w:spacing w:line="360" w:lineRule="auto"/>
              <w:jc w:val="center"/>
              <w:rPr>
                <w:rFonts w:cs="宋体"/>
                <w:color w:val="auto"/>
                <w:szCs w:val="21"/>
                <w:highlight w:val="none"/>
              </w:rPr>
            </w:pPr>
          </w:p>
        </w:tc>
        <w:tc>
          <w:tcPr>
            <w:tcW w:w="502" w:type="pct"/>
            <w:vAlign w:val="center"/>
          </w:tcPr>
          <w:p w14:paraId="38E2A69D">
            <w:pPr>
              <w:keepNext/>
              <w:spacing w:line="360" w:lineRule="auto"/>
              <w:jc w:val="center"/>
              <w:rPr>
                <w:rFonts w:cs="宋体"/>
                <w:color w:val="auto"/>
                <w:szCs w:val="21"/>
                <w:highlight w:val="none"/>
              </w:rPr>
            </w:pPr>
          </w:p>
        </w:tc>
        <w:tc>
          <w:tcPr>
            <w:tcW w:w="1281" w:type="pct"/>
            <w:vAlign w:val="center"/>
          </w:tcPr>
          <w:p w14:paraId="03900E02">
            <w:pPr>
              <w:keepNext/>
              <w:spacing w:line="360" w:lineRule="auto"/>
              <w:jc w:val="center"/>
              <w:rPr>
                <w:rFonts w:cs="宋体"/>
                <w:color w:val="auto"/>
                <w:szCs w:val="21"/>
                <w:highlight w:val="none"/>
              </w:rPr>
            </w:pPr>
          </w:p>
        </w:tc>
        <w:tc>
          <w:tcPr>
            <w:tcW w:w="1151" w:type="pct"/>
            <w:vAlign w:val="center"/>
          </w:tcPr>
          <w:p w14:paraId="5C6B9248">
            <w:pPr>
              <w:keepNext/>
              <w:spacing w:line="360" w:lineRule="auto"/>
              <w:jc w:val="center"/>
              <w:rPr>
                <w:rFonts w:cs="宋体"/>
                <w:color w:val="auto"/>
                <w:szCs w:val="21"/>
                <w:highlight w:val="none"/>
              </w:rPr>
            </w:pPr>
          </w:p>
        </w:tc>
      </w:tr>
      <w:tr w14:paraId="185923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Merge w:val="continue"/>
            <w:tcBorders>
              <w:bottom w:val="nil"/>
            </w:tcBorders>
            <w:vAlign w:val="center"/>
          </w:tcPr>
          <w:p w14:paraId="373AC3D8">
            <w:pPr>
              <w:spacing w:line="360" w:lineRule="auto"/>
              <w:jc w:val="center"/>
              <w:rPr>
                <w:rFonts w:cs="宋体"/>
                <w:color w:val="auto"/>
                <w:szCs w:val="21"/>
                <w:highlight w:val="none"/>
              </w:rPr>
            </w:pPr>
          </w:p>
        </w:tc>
        <w:tc>
          <w:tcPr>
            <w:tcW w:w="627" w:type="pct"/>
            <w:vAlign w:val="center"/>
          </w:tcPr>
          <w:p w14:paraId="63C4069E">
            <w:pPr>
              <w:keepNext/>
              <w:spacing w:line="360" w:lineRule="auto"/>
              <w:jc w:val="center"/>
              <w:rPr>
                <w:rFonts w:cs="宋体"/>
                <w:color w:val="auto"/>
                <w:szCs w:val="21"/>
                <w:highlight w:val="none"/>
              </w:rPr>
            </w:pPr>
          </w:p>
        </w:tc>
        <w:tc>
          <w:tcPr>
            <w:tcW w:w="502" w:type="pct"/>
            <w:vAlign w:val="center"/>
          </w:tcPr>
          <w:p w14:paraId="33D2546F">
            <w:pPr>
              <w:keepNext/>
              <w:spacing w:line="360" w:lineRule="auto"/>
              <w:jc w:val="center"/>
              <w:rPr>
                <w:rFonts w:cs="宋体"/>
                <w:color w:val="auto"/>
                <w:szCs w:val="21"/>
                <w:highlight w:val="none"/>
              </w:rPr>
            </w:pPr>
          </w:p>
        </w:tc>
        <w:tc>
          <w:tcPr>
            <w:tcW w:w="502" w:type="pct"/>
            <w:vAlign w:val="center"/>
          </w:tcPr>
          <w:p w14:paraId="4406B6DE">
            <w:pPr>
              <w:keepNext/>
              <w:spacing w:line="360" w:lineRule="auto"/>
              <w:jc w:val="center"/>
              <w:rPr>
                <w:rFonts w:cs="宋体"/>
                <w:color w:val="auto"/>
                <w:szCs w:val="21"/>
                <w:highlight w:val="none"/>
              </w:rPr>
            </w:pPr>
          </w:p>
        </w:tc>
        <w:tc>
          <w:tcPr>
            <w:tcW w:w="1281" w:type="pct"/>
            <w:vAlign w:val="center"/>
          </w:tcPr>
          <w:p w14:paraId="251DE271">
            <w:pPr>
              <w:keepNext/>
              <w:spacing w:line="360" w:lineRule="auto"/>
              <w:jc w:val="center"/>
              <w:rPr>
                <w:rFonts w:cs="宋体"/>
                <w:color w:val="auto"/>
                <w:szCs w:val="21"/>
                <w:highlight w:val="none"/>
              </w:rPr>
            </w:pPr>
          </w:p>
        </w:tc>
        <w:tc>
          <w:tcPr>
            <w:tcW w:w="1151" w:type="pct"/>
            <w:vAlign w:val="center"/>
          </w:tcPr>
          <w:p w14:paraId="695B15F1">
            <w:pPr>
              <w:keepNext/>
              <w:spacing w:line="360" w:lineRule="auto"/>
              <w:jc w:val="center"/>
              <w:rPr>
                <w:rFonts w:cs="宋体"/>
                <w:color w:val="auto"/>
                <w:szCs w:val="21"/>
                <w:highlight w:val="none"/>
              </w:rPr>
            </w:pPr>
          </w:p>
        </w:tc>
      </w:tr>
      <w:tr w14:paraId="1CDA4C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3849" w:type="pct"/>
            <w:gridSpan w:val="5"/>
            <w:vAlign w:val="center"/>
          </w:tcPr>
          <w:p w14:paraId="77D85E16">
            <w:pPr>
              <w:keepNext/>
              <w:spacing w:line="360" w:lineRule="auto"/>
              <w:jc w:val="center"/>
              <w:rPr>
                <w:rFonts w:cs="宋体"/>
                <w:color w:val="auto"/>
                <w:szCs w:val="21"/>
                <w:highlight w:val="none"/>
              </w:rPr>
            </w:pPr>
            <w:r>
              <w:rPr>
                <w:rFonts w:hint="eastAsia" w:cs="宋体"/>
                <w:color w:val="auto"/>
                <w:szCs w:val="21"/>
                <w:highlight w:val="none"/>
              </w:rPr>
              <w:t>二、现场人员</w:t>
            </w:r>
          </w:p>
        </w:tc>
        <w:tc>
          <w:tcPr>
            <w:tcW w:w="1151" w:type="pct"/>
            <w:vAlign w:val="center"/>
          </w:tcPr>
          <w:p w14:paraId="23AC29E2">
            <w:pPr>
              <w:keepNext/>
              <w:spacing w:line="360" w:lineRule="auto"/>
              <w:jc w:val="center"/>
              <w:rPr>
                <w:rFonts w:cs="宋体"/>
                <w:color w:val="auto"/>
                <w:szCs w:val="21"/>
                <w:highlight w:val="none"/>
              </w:rPr>
            </w:pPr>
          </w:p>
        </w:tc>
      </w:tr>
      <w:tr w14:paraId="139124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Align w:val="center"/>
          </w:tcPr>
          <w:p w14:paraId="59D75355">
            <w:pPr>
              <w:spacing w:line="360" w:lineRule="auto"/>
              <w:jc w:val="center"/>
              <w:rPr>
                <w:rFonts w:cs="宋体"/>
                <w:color w:val="auto"/>
                <w:szCs w:val="21"/>
                <w:highlight w:val="none"/>
              </w:rPr>
            </w:pPr>
            <w:r>
              <w:rPr>
                <w:rFonts w:hint="eastAsia" w:cs="宋体"/>
                <w:color w:val="auto"/>
                <w:szCs w:val="21"/>
                <w:highlight w:val="none"/>
              </w:rPr>
              <w:t>项目经理</w:t>
            </w:r>
          </w:p>
        </w:tc>
        <w:tc>
          <w:tcPr>
            <w:tcW w:w="627" w:type="pct"/>
            <w:vAlign w:val="center"/>
          </w:tcPr>
          <w:p w14:paraId="2BC32127">
            <w:pPr>
              <w:keepNext/>
              <w:spacing w:line="360" w:lineRule="auto"/>
              <w:jc w:val="center"/>
              <w:rPr>
                <w:rFonts w:cs="宋体"/>
                <w:color w:val="auto"/>
                <w:szCs w:val="21"/>
                <w:highlight w:val="none"/>
              </w:rPr>
            </w:pPr>
          </w:p>
        </w:tc>
        <w:tc>
          <w:tcPr>
            <w:tcW w:w="502" w:type="pct"/>
            <w:vAlign w:val="center"/>
          </w:tcPr>
          <w:p w14:paraId="68187047">
            <w:pPr>
              <w:keepNext/>
              <w:spacing w:line="360" w:lineRule="auto"/>
              <w:jc w:val="center"/>
              <w:rPr>
                <w:rFonts w:cs="宋体"/>
                <w:color w:val="auto"/>
                <w:szCs w:val="21"/>
                <w:highlight w:val="none"/>
              </w:rPr>
            </w:pPr>
          </w:p>
        </w:tc>
        <w:tc>
          <w:tcPr>
            <w:tcW w:w="502" w:type="pct"/>
            <w:vAlign w:val="center"/>
          </w:tcPr>
          <w:p w14:paraId="3B48EFD1">
            <w:pPr>
              <w:keepNext/>
              <w:spacing w:line="360" w:lineRule="auto"/>
              <w:jc w:val="center"/>
              <w:rPr>
                <w:rFonts w:cs="宋体"/>
                <w:color w:val="auto"/>
                <w:szCs w:val="21"/>
                <w:highlight w:val="none"/>
              </w:rPr>
            </w:pPr>
          </w:p>
        </w:tc>
        <w:tc>
          <w:tcPr>
            <w:tcW w:w="1281" w:type="pct"/>
            <w:vAlign w:val="center"/>
          </w:tcPr>
          <w:p w14:paraId="65B38251">
            <w:pPr>
              <w:keepNext/>
              <w:spacing w:line="360" w:lineRule="auto"/>
              <w:jc w:val="center"/>
              <w:rPr>
                <w:rFonts w:cs="宋体"/>
                <w:color w:val="auto"/>
                <w:szCs w:val="21"/>
                <w:highlight w:val="none"/>
              </w:rPr>
            </w:pPr>
          </w:p>
        </w:tc>
        <w:tc>
          <w:tcPr>
            <w:tcW w:w="1151" w:type="pct"/>
            <w:vAlign w:val="center"/>
          </w:tcPr>
          <w:p w14:paraId="7F9E33E5">
            <w:pPr>
              <w:keepNext/>
              <w:spacing w:line="360" w:lineRule="auto"/>
              <w:jc w:val="center"/>
              <w:rPr>
                <w:rFonts w:cs="宋体"/>
                <w:color w:val="auto"/>
                <w:szCs w:val="21"/>
                <w:highlight w:val="none"/>
              </w:rPr>
            </w:pPr>
          </w:p>
        </w:tc>
      </w:tr>
      <w:tr w14:paraId="365C34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Align w:val="center"/>
          </w:tcPr>
          <w:p w14:paraId="40591D6E">
            <w:pPr>
              <w:spacing w:line="360" w:lineRule="auto"/>
              <w:jc w:val="center"/>
              <w:rPr>
                <w:rFonts w:cs="宋体"/>
                <w:color w:val="auto"/>
                <w:szCs w:val="21"/>
                <w:highlight w:val="none"/>
              </w:rPr>
            </w:pPr>
            <w:r>
              <w:rPr>
                <w:rFonts w:hint="eastAsia" w:cs="宋体"/>
                <w:color w:val="auto"/>
                <w:szCs w:val="21"/>
                <w:highlight w:val="none"/>
              </w:rPr>
              <w:t>项目副经理</w:t>
            </w:r>
          </w:p>
        </w:tc>
        <w:tc>
          <w:tcPr>
            <w:tcW w:w="627" w:type="pct"/>
            <w:vAlign w:val="center"/>
          </w:tcPr>
          <w:p w14:paraId="6851E2D5">
            <w:pPr>
              <w:keepNext/>
              <w:spacing w:line="360" w:lineRule="auto"/>
              <w:jc w:val="center"/>
              <w:rPr>
                <w:rFonts w:cs="宋体"/>
                <w:color w:val="auto"/>
                <w:szCs w:val="21"/>
                <w:highlight w:val="none"/>
              </w:rPr>
            </w:pPr>
          </w:p>
        </w:tc>
        <w:tc>
          <w:tcPr>
            <w:tcW w:w="502" w:type="pct"/>
            <w:vAlign w:val="center"/>
          </w:tcPr>
          <w:p w14:paraId="4FA5CBC6">
            <w:pPr>
              <w:keepNext/>
              <w:spacing w:line="360" w:lineRule="auto"/>
              <w:jc w:val="center"/>
              <w:rPr>
                <w:rFonts w:cs="宋体"/>
                <w:color w:val="auto"/>
                <w:szCs w:val="21"/>
                <w:highlight w:val="none"/>
              </w:rPr>
            </w:pPr>
          </w:p>
        </w:tc>
        <w:tc>
          <w:tcPr>
            <w:tcW w:w="502" w:type="pct"/>
            <w:vAlign w:val="center"/>
          </w:tcPr>
          <w:p w14:paraId="339C4605">
            <w:pPr>
              <w:keepNext/>
              <w:spacing w:line="360" w:lineRule="auto"/>
              <w:jc w:val="center"/>
              <w:rPr>
                <w:rFonts w:cs="宋体"/>
                <w:color w:val="auto"/>
                <w:szCs w:val="21"/>
                <w:highlight w:val="none"/>
              </w:rPr>
            </w:pPr>
          </w:p>
        </w:tc>
        <w:tc>
          <w:tcPr>
            <w:tcW w:w="1281" w:type="pct"/>
            <w:vAlign w:val="center"/>
          </w:tcPr>
          <w:p w14:paraId="3560A7F3">
            <w:pPr>
              <w:keepNext/>
              <w:spacing w:line="360" w:lineRule="auto"/>
              <w:jc w:val="center"/>
              <w:rPr>
                <w:rFonts w:cs="宋体"/>
                <w:color w:val="auto"/>
                <w:szCs w:val="21"/>
                <w:highlight w:val="none"/>
              </w:rPr>
            </w:pPr>
          </w:p>
        </w:tc>
        <w:tc>
          <w:tcPr>
            <w:tcW w:w="1151" w:type="pct"/>
            <w:vAlign w:val="center"/>
          </w:tcPr>
          <w:p w14:paraId="115A34DF">
            <w:pPr>
              <w:keepNext/>
              <w:spacing w:line="360" w:lineRule="auto"/>
              <w:jc w:val="center"/>
              <w:rPr>
                <w:rFonts w:cs="宋体"/>
                <w:color w:val="auto"/>
                <w:szCs w:val="21"/>
                <w:highlight w:val="none"/>
              </w:rPr>
            </w:pPr>
          </w:p>
        </w:tc>
      </w:tr>
      <w:tr w14:paraId="282BF4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Align w:val="center"/>
          </w:tcPr>
          <w:p w14:paraId="091E53E6">
            <w:pPr>
              <w:spacing w:line="360" w:lineRule="auto"/>
              <w:jc w:val="center"/>
              <w:rPr>
                <w:rFonts w:cs="宋体"/>
                <w:color w:val="auto"/>
                <w:szCs w:val="21"/>
                <w:highlight w:val="none"/>
              </w:rPr>
            </w:pPr>
            <w:r>
              <w:rPr>
                <w:rFonts w:hint="eastAsia" w:cs="宋体"/>
                <w:color w:val="auto"/>
                <w:szCs w:val="21"/>
                <w:highlight w:val="none"/>
              </w:rPr>
              <w:t>项目技术负责人</w:t>
            </w:r>
          </w:p>
        </w:tc>
        <w:tc>
          <w:tcPr>
            <w:tcW w:w="627" w:type="pct"/>
            <w:vAlign w:val="center"/>
          </w:tcPr>
          <w:p w14:paraId="2B784C1C">
            <w:pPr>
              <w:keepNext/>
              <w:spacing w:line="360" w:lineRule="auto"/>
              <w:jc w:val="center"/>
              <w:rPr>
                <w:rFonts w:cs="宋体"/>
                <w:color w:val="auto"/>
                <w:szCs w:val="21"/>
                <w:highlight w:val="none"/>
              </w:rPr>
            </w:pPr>
          </w:p>
        </w:tc>
        <w:tc>
          <w:tcPr>
            <w:tcW w:w="502" w:type="pct"/>
            <w:vAlign w:val="center"/>
          </w:tcPr>
          <w:p w14:paraId="53D5DD96">
            <w:pPr>
              <w:keepNext/>
              <w:spacing w:line="360" w:lineRule="auto"/>
              <w:jc w:val="center"/>
              <w:rPr>
                <w:rFonts w:cs="宋体"/>
                <w:color w:val="auto"/>
                <w:szCs w:val="21"/>
                <w:highlight w:val="none"/>
              </w:rPr>
            </w:pPr>
          </w:p>
        </w:tc>
        <w:tc>
          <w:tcPr>
            <w:tcW w:w="502" w:type="pct"/>
            <w:vAlign w:val="center"/>
          </w:tcPr>
          <w:p w14:paraId="60CE1FA9">
            <w:pPr>
              <w:keepNext/>
              <w:spacing w:line="360" w:lineRule="auto"/>
              <w:jc w:val="center"/>
              <w:rPr>
                <w:rFonts w:cs="宋体"/>
                <w:color w:val="auto"/>
                <w:szCs w:val="21"/>
                <w:highlight w:val="none"/>
              </w:rPr>
            </w:pPr>
          </w:p>
        </w:tc>
        <w:tc>
          <w:tcPr>
            <w:tcW w:w="1281" w:type="pct"/>
            <w:vAlign w:val="center"/>
          </w:tcPr>
          <w:p w14:paraId="75A58917">
            <w:pPr>
              <w:keepNext/>
              <w:spacing w:line="360" w:lineRule="auto"/>
              <w:jc w:val="center"/>
              <w:rPr>
                <w:rFonts w:cs="宋体"/>
                <w:color w:val="auto"/>
                <w:szCs w:val="21"/>
                <w:highlight w:val="none"/>
              </w:rPr>
            </w:pPr>
          </w:p>
        </w:tc>
        <w:tc>
          <w:tcPr>
            <w:tcW w:w="1151" w:type="pct"/>
            <w:vAlign w:val="center"/>
          </w:tcPr>
          <w:p w14:paraId="62E930DE">
            <w:pPr>
              <w:keepNext/>
              <w:spacing w:line="360" w:lineRule="auto"/>
              <w:jc w:val="center"/>
              <w:rPr>
                <w:rFonts w:cs="宋体"/>
                <w:color w:val="auto"/>
                <w:szCs w:val="21"/>
                <w:highlight w:val="none"/>
              </w:rPr>
            </w:pPr>
          </w:p>
        </w:tc>
      </w:tr>
      <w:tr w14:paraId="66EF7B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Align w:val="center"/>
          </w:tcPr>
          <w:p w14:paraId="4D11567D">
            <w:pPr>
              <w:spacing w:line="360" w:lineRule="auto"/>
              <w:jc w:val="center"/>
              <w:rPr>
                <w:rFonts w:cs="宋体"/>
                <w:color w:val="auto"/>
                <w:szCs w:val="21"/>
                <w:highlight w:val="none"/>
              </w:rPr>
            </w:pPr>
            <w:r>
              <w:rPr>
                <w:rFonts w:hint="eastAsia" w:cs="宋体"/>
                <w:color w:val="auto"/>
                <w:szCs w:val="21"/>
                <w:highlight w:val="none"/>
              </w:rPr>
              <w:t>施工员</w:t>
            </w:r>
          </w:p>
        </w:tc>
        <w:tc>
          <w:tcPr>
            <w:tcW w:w="627" w:type="pct"/>
            <w:vAlign w:val="center"/>
          </w:tcPr>
          <w:p w14:paraId="16ACAE46">
            <w:pPr>
              <w:keepNext/>
              <w:spacing w:line="360" w:lineRule="auto"/>
              <w:jc w:val="center"/>
              <w:rPr>
                <w:rFonts w:cs="宋体"/>
                <w:color w:val="auto"/>
                <w:szCs w:val="21"/>
                <w:highlight w:val="none"/>
              </w:rPr>
            </w:pPr>
          </w:p>
        </w:tc>
        <w:tc>
          <w:tcPr>
            <w:tcW w:w="502" w:type="pct"/>
            <w:vAlign w:val="center"/>
          </w:tcPr>
          <w:p w14:paraId="4A56861D">
            <w:pPr>
              <w:keepNext/>
              <w:spacing w:line="360" w:lineRule="auto"/>
              <w:jc w:val="center"/>
              <w:rPr>
                <w:rFonts w:cs="宋体"/>
                <w:color w:val="auto"/>
                <w:szCs w:val="21"/>
                <w:highlight w:val="none"/>
              </w:rPr>
            </w:pPr>
          </w:p>
        </w:tc>
        <w:tc>
          <w:tcPr>
            <w:tcW w:w="502" w:type="pct"/>
            <w:vAlign w:val="center"/>
          </w:tcPr>
          <w:p w14:paraId="5BA66682">
            <w:pPr>
              <w:keepNext/>
              <w:spacing w:line="360" w:lineRule="auto"/>
              <w:jc w:val="center"/>
              <w:rPr>
                <w:rFonts w:cs="宋体"/>
                <w:color w:val="auto"/>
                <w:szCs w:val="21"/>
                <w:highlight w:val="none"/>
              </w:rPr>
            </w:pPr>
          </w:p>
        </w:tc>
        <w:tc>
          <w:tcPr>
            <w:tcW w:w="1281" w:type="pct"/>
            <w:vAlign w:val="center"/>
          </w:tcPr>
          <w:p w14:paraId="27475D52">
            <w:pPr>
              <w:keepNext/>
              <w:spacing w:line="360" w:lineRule="auto"/>
              <w:jc w:val="center"/>
              <w:rPr>
                <w:rFonts w:cs="宋体"/>
                <w:color w:val="auto"/>
                <w:szCs w:val="21"/>
                <w:highlight w:val="none"/>
              </w:rPr>
            </w:pPr>
          </w:p>
        </w:tc>
        <w:tc>
          <w:tcPr>
            <w:tcW w:w="1151" w:type="pct"/>
            <w:vAlign w:val="center"/>
          </w:tcPr>
          <w:p w14:paraId="78A5A5A8">
            <w:pPr>
              <w:keepNext/>
              <w:spacing w:line="360" w:lineRule="auto"/>
              <w:jc w:val="center"/>
              <w:rPr>
                <w:rFonts w:cs="宋体"/>
                <w:color w:val="auto"/>
                <w:szCs w:val="21"/>
                <w:highlight w:val="none"/>
              </w:rPr>
            </w:pPr>
          </w:p>
        </w:tc>
      </w:tr>
      <w:tr w14:paraId="4A8E3A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Align w:val="center"/>
          </w:tcPr>
          <w:p w14:paraId="0671B3FE">
            <w:pPr>
              <w:spacing w:line="360" w:lineRule="auto"/>
              <w:jc w:val="center"/>
              <w:rPr>
                <w:rFonts w:cs="宋体"/>
                <w:color w:val="auto"/>
                <w:szCs w:val="21"/>
                <w:highlight w:val="none"/>
              </w:rPr>
            </w:pPr>
            <w:r>
              <w:rPr>
                <w:rFonts w:hint="eastAsia" w:cs="宋体"/>
                <w:color w:val="auto"/>
                <w:szCs w:val="21"/>
                <w:highlight w:val="none"/>
              </w:rPr>
              <w:t>质检员（质量员）</w:t>
            </w:r>
          </w:p>
        </w:tc>
        <w:tc>
          <w:tcPr>
            <w:tcW w:w="627" w:type="pct"/>
            <w:vAlign w:val="center"/>
          </w:tcPr>
          <w:p w14:paraId="3EA14722">
            <w:pPr>
              <w:keepNext/>
              <w:spacing w:line="360" w:lineRule="auto"/>
              <w:jc w:val="center"/>
              <w:rPr>
                <w:rFonts w:cs="宋体"/>
                <w:color w:val="auto"/>
                <w:szCs w:val="21"/>
                <w:highlight w:val="none"/>
              </w:rPr>
            </w:pPr>
          </w:p>
        </w:tc>
        <w:tc>
          <w:tcPr>
            <w:tcW w:w="502" w:type="pct"/>
            <w:vAlign w:val="center"/>
          </w:tcPr>
          <w:p w14:paraId="7991E474">
            <w:pPr>
              <w:keepNext/>
              <w:spacing w:line="360" w:lineRule="auto"/>
              <w:jc w:val="center"/>
              <w:rPr>
                <w:rFonts w:cs="宋体"/>
                <w:color w:val="auto"/>
                <w:szCs w:val="21"/>
                <w:highlight w:val="none"/>
              </w:rPr>
            </w:pPr>
          </w:p>
        </w:tc>
        <w:tc>
          <w:tcPr>
            <w:tcW w:w="502" w:type="pct"/>
            <w:vAlign w:val="center"/>
          </w:tcPr>
          <w:p w14:paraId="15DDEA63">
            <w:pPr>
              <w:keepNext/>
              <w:spacing w:line="360" w:lineRule="auto"/>
              <w:jc w:val="center"/>
              <w:rPr>
                <w:rFonts w:cs="宋体"/>
                <w:color w:val="auto"/>
                <w:szCs w:val="21"/>
                <w:highlight w:val="none"/>
              </w:rPr>
            </w:pPr>
          </w:p>
        </w:tc>
        <w:tc>
          <w:tcPr>
            <w:tcW w:w="1281" w:type="pct"/>
            <w:vAlign w:val="center"/>
          </w:tcPr>
          <w:p w14:paraId="5443E1DE">
            <w:pPr>
              <w:keepNext/>
              <w:spacing w:line="360" w:lineRule="auto"/>
              <w:jc w:val="center"/>
              <w:rPr>
                <w:rFonts w:cs="宋体"/>
                <w:color w:val="auto"/>
                <w:szCs w:val="21"/>
                <w:highlight w:val="none"/>
              </w:rPr>
            </w:pPr>
          </w:p>
        </w:tc>
        <w:tc>
          <w:tcPr>
            <w:tcW w:w="1151" w:type="pct"/>
            <w:vAlign w:val="center"/>
          </w:tcPr>
          <w:p w14:paraId="1FEA55E6">
            <w:pPr>
              <w:keepNext/>
              <w:spacing w:line="360" w:lineRule="auto"/>
              <w:jc w:val="center"/>
              <w:rPr>
                <w:rFonts w:cs="宋体"/>
                <w:color w:val="auto"/>
                <w:szCs w:val="21"/>
                <w:highlight w:val="none"/>
              </w:rPr>
            </w:pPr>
          </w:p>
        </w:tc>
      </w:tr>
      <w:tr w14:paraId="6F5A3F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Align w:val="center"/>
          </w:tcPr>
          <w:p w14:paraId="2A3F1700">
            <w:pPr>
              <w:spacing w:line="360" w:lineRule="auto"/>
              <w:jc w:val="center"/>
              <w:rPr>
                <w:rFonts w:cs="宋体"/>
                <w:color w:val="auto"/>
                <w:szCs w:val="21"/>
                <w:highlight w:val="none"/>
              </w:rPr>
            </w:pPr>
            <w:r>
              <w:rPr>
                <w:rFonts w:hint="eastAsia" w:cs="宋体"/>
                <w:color w:val="auto"/>
                <w:szCs w:val="21"/>
                <w:highlight w:val="none"/>
              </w:rPr>
              <w:t>安全员</w:t>
            </w:r>
          </w:p>
        </w:tc>
        <w:tc>
          <w:tcPr>
            <w:tcW w:w="627" w:type="pct"/>
            <w:vAlign w:val="center"/>
          </w:tcPr>
          <w:p w14:paraId="27B2E6EA">
            <w:pPr>
              <w:keepNext/>
              <w:spacing w:line="360" w:lineRule="auto"/>
              <w:jc w:val="center"/>
              <w:rPr>
                <w:rFonts w:cs="宋体"/>
                <w:color w:val="auto"/>
                <w:szCs w:val="21"/>
                <w:highlight w:val="none"/>
              </w:rPr>
            </w:pPr>
          </w:p>
        </w:tc>
        <w:tc>
          <w:tcPr>
            <w:tcW w:w="502" w:type="pct"/>
            <w:vAlign w:val="center"/>
          </w:tcPr>
          <w:p w14:paraId="5BB6BA24">
            <w:pPr>
              <w:keepNext/>
              <w:spacing w:line="360" w:lineRule="auto"/>
              <w:jc w:val="center"/>
              <w:rPr>
                <w:rFonts w:cs="宋体"/>
                <w:color w:val="auto"/>
                <w:szCs w:val="21"/>
                <w:highlight w:val="none"/>
              </w:rPr>
            </w:pPr>
          </w:p>
        </w:tc>
        <w:tc>
          <w:tcPr>
            <w:tcW w:w="502" w:type="pct"/>
            <w:vAlign w:val="center"/>
          </w:tcPr>
          <w:p w14:paraId="045F7D93">
            <w:pPr>
              <w:keepNext/>
              <w:spacing w:line="360" w:lineRule="auto"/>
              <w:jc w:val="center"/>
              <w:rPr>
                <w:rFonts w:cs="宋体"/>
                <w:color w:val="auto"/>
                <w:szCs w:val="21"/>
                <w:highlight w:val="none"/>
              </w:rPr>
            </w:pPr>
          </w:p>
        </w:tc>
        <w:tc>
          <w:tcPr>
            <w:tcW w:w="1281" w:type="pct"/>
            <w:vAlign w:val="center"/>
          </w:tcPr>
          <w:p w14:paraId="5D604475">
            <w:pPr>
              <w:keepNext/>
              <w:spacing w:line="360" w:lineRule="auto"/>
              <w:jc w:val="center"/>
              <w:rPr>
                <w:rFonts w:cs="宋体"/>
                <w:color w:val="auto"/>
                <w:szCs w:val="21"/>
                <w:highlight w:val="none"/>
              </w:rPr>
            </w:pPr>
          </w:p>
        </w:tc>
        <w:tc>
          <w:tcPr>
            <w:tcW w:w="1151" w:type="pct"/>
            <w:vAlign w:val="center"/>
          </w:tcPr>
          <w:p w14:paraId="5B89AD7C">
            <w:pPr>
              <w:keepNext/>
              <w:spacing w:line="360" w:lineRule="auto"/>
              <w:jc w:val="center"/>
              <w:rPr>
                <w:rFonts w:cs="宋体"/>
                <w:color w:val="auto"/>
                <w:szCs w:val="21"/>
                <w:highlight w:val="none"/>
              </w:rPr>
            </w:pPr>
          </w:p>
        </w:tc>
      </w:tr>
      <w:tr w14:paraId="59D03E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Align w:val="center"/>
          </w:tcPr>
          <w:p w14:paraId="1F16040B">
            <w:pPr>
              <w:spacing w:line="360" w:lineRule="auto"/>
              <w:jc w:val="center"/>
              <w:rPr>
                <w:rFonts w:cs="宋体"/>
                <w:color w:val="auto"/>
                <w:szCs w:val="21"/>
                <w:highlight w:val="none"/>
              </w:rPr>
            </w:pPr>
            <w:r>
              <w:rPr>
                <w:rFonts w:hint="eastAsia" w:cs="宋体"/>
                <w:color w:val="auto"/>
                <w:szCs w:val="21"/>
                <w:highlight w:val="none"/>
              </w:rPr>
              <w:t>资料员</w:t>
            </w:r>
          </w:p>
        </w:tc>
        <w:tc>
          <w:tcPr>
            <w:tcW w:w="627" w:type="pct"/>
            <w:vAlign w:val="center"/>
          </w:tcPr>
          <w:p w14:paraId="46016661">
            <w:pPr>
              <w:keepNext/>
              <w:spacing w:line="360" w:lineRule="auto"/>
              <w:jc w:val="center"/>
              <w:rPr>
                <w:rFonts w:cs="宋体"/>
                <w:color w:val="auto"/>
                <w:szCs w:val="21"/>
                <w:highlight w:val="none"/>
              </w:rPr>
            </w:pPr>
          </w:p>
        </w:tc>
        <w:tc>
          <w:tcPr>
            <w:tcW w:w="502" w:type="pct"/>
            <w:vAlign w:val="center"/>
          </w:tcPr>
          <w:p w14:paraId="3C2C6DA1">
            <w:pPr>
              <w:keepNext/>
              <w:spacing w:line="360" w:lineRule="auto"/>
              <w:jc w:val="center"/>
              <w:rPr>
                <w:rFonts w:cs="宋体"/>
                <w:color w:val="auto"/>
                <w:szCs w:val="21"/>
                <w:highlight w:val="none"/>
              </w:rPr>
            </w:pPr>
          </w:p>
        </w:tc>
        <w:tc>
          <w:tcPr>
            <w:tcW w:w="502" w:type="pct"/>
            <w:vAlign w:val="center"/>
          </w:tcPr>
          <w:p w14:paraId="2B82ACDE">
            <w:pPr>
              <w:keepNext/>
              <w:spacing w:line="360" w:lineRule="auto"/>
              <w:jc w:val="center"/>
              <w:rPr>
                <w:rFonts w:cs="宋体"/>
                <w:color w:val="auto"/>
                <w:szCs w:val="21"/>
                <w:highlight w:val="none"/>
              </w:rPr>
            </w:pPr>
          </w:p>
        </w:tc>
        <w:tc>
          <w:tcPr>
            <w:tcW w:w="1281" w:type="pct"/>
            <w:vAlign w:val="center"/>
          </w:tcPr>
          <w:p w14:paraId="6D462441">
            <w:pPr>
              <w:keepNext/>
              <w:spacing w:line="360" w:lineRule="auto"/>
              <w:jc w:val="center"/>
              <w:rPr>
                <w:rFonts w:cs="宋体"/>
                <w:color w:val="auto"/>
                <w:szCs w:val="21"/>
                <w:highlight w:val="none"/>
              </w:rPr>
            </w:pPr>
          </w:p>
        </w:tc>
        <w:tc>
          <w:tcPr>
            <w:tcW w:w="1151" w:type="pct"/>
            <w:vAlign w:val="center"/>
          </w:tcPr>
          <w:p w14:paraId="6C5C253E">
            <w:pPr>
              <w:keepNext/>
              <w:spacing w:line="360" w:lineRule="auto"/>
              <w:jc w:val="center"/>
              <w:rPr>
                <w:rFonts w:cs="宋体"/>
                <w:color w:val="auto"/>
                <w:szCs w:val="21"/>
                <w:highlight w:val="none"/>
              </w:rPr>
            </w:pPr>
          </w:p>
        </w:tc>
      </w:tr>
      <w:tr w14:paraId="1C0746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Merge w:val="restart"/>
            <w:vAlign w:val="center"/>
          </w:tcPr>
          <w:p w14:paraId="243E5EDB">
            <w:pPr>
              <w:spacing w:line="360" w:lineRule="auto"/>
              <w:jc w:val="center"/>
              <w:rPr>
                <w:rFonts w:cs="宋体"/>
                <w:color w:val="auto"/>
                <w:szCs w:val="21"/>
                <w:highlight w:val="none"/>
              </w:rPr>
            </w:pPr>
            <w:r>
              <w:rPr>
                <w:rFonts w:hint="eastAsia" w:cs="宋体"/>
                <w:color w:val="auto"/>
                <w:szCs w:val="21"/>
                <w:highlight w:val="none"/>
              </w:rPr>
              <w:t>其他人员</w:t>
            </w:r>
          </w:p>
        </w:tc>
        <w:tc>
          <w:tcPr>
            <w:tcW w:w="627" w:type="pct"/>
            <w:vAlign w:val="center"/>
          </w:tcPr>
          <w:p w14:paraId="1CF35227">
            <w:pPr>
              <w:keepNext/>
              <w:spacing w:line="360" w:lineRule="auto"/>
              <w:jc w:val="center"/>
              <w:rPr>
                <w:rFonts w:cs="宋体"/>
                <w:color w:val="auto"/>
                <w:szCs w:val="21"/>
                <w:highlight w:val="none"/>
              </w:rPr>
            </w:pPr>
          </w:p>
        </w:tc>
        <w:tc>
          <w:tcPr>
            <w:tcW w:w="502" w:type="pct"/>
            <w:vAlign w:val="center"/>
          </w:tcPr>
          <w:p w14:paraId="59FBD42A">
            <w:pPr>
              <w:keepNext/>
              <w:spacing w:line="360" w:lineRule="auto"/>
              <w:jc w:val="center"/>
              <w:rPr>
                <w:rFonts w:cs="宋体"/>
                <w:color w:val="auto"/>
                <w:szCs w:val="21"/>
                <w:highlight w:val="none"/>
              </w:rPr>
            </w:pPr>
          </w:p>
        </w:tc>
        <w:tc>
          <w:tcPr>
            <w:tcW w:w="502" w:type="pct"/>
            <w:vAlign w:val="center"/>
          </w:tcPr>
          <w:p w14:paraId="47297A88">
            <w:pPr>
              <w:keepNext/>
              <w:spacing w:line="360" w:lineRule="auto"/>
              <w:jc w:val="center"/>
              <w:rPr>
                <w:rFonts w:cs="宋体"/>
                <w:color w:val="auto"/>
                <w:szCs w:val="21"/>
                <w:highlight w:val="none"/>
              </w:rPr>
            </w:pPr>
          </w:p>
        </w:tc>
        <w:tc>
          <w:tcPr>
            <w:tcW w:w="1281" w:type="pct"/>
            <w:vAlign w:val="center"/>
          </w:tcPr>
          <w:p w14:paraId="53CA1905">
            <w:pPr>
              <w:keepNext/>
              <w:spacing w:line="360" w:lineRule="auto"/>
              <w:jc w:val="center"/>
              <w:rPr>
                <w:rFonts w:cs="宋体"/>
                <w:color w:val="auto"/>
                <w:szCs w:val="21"/>
                <w:highlight w:val="none"/>
              </w:rPr>
            </w:pPr>
          </w:p>
        </w:tc>
        <w:tc>
          <w:tcPr>
            <w:tcW w:w="1151" w:type="pct"/>
            <w:vAlign w:val="center"/>
          </w:tcPr>
          <w:p w14:paraId="3E00C5E8">
            <w:pPr>
              <w:keepNext/>
              <w:spacing w:line="360" w:lineRule="auto"/>
              <w:jc w:val="center"/>
              <w:rPr>
                <w:rFonts w:cs="宋体"/>
                <w:color w:val="auto"/>
                <w:szCs w:val="21"/>
                <w:highlight w:val="none"/>
              </w:rPr>
            </w:pPr>
          </w:p>
        </w:tc>
      </w:tr>
      <w:tr w14:paraId="1B71FA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Merge w:val="continue"/>
            <w:vAlign w:val="center"/>
          </w:tcPr>
          <w:p w14:paraId="0F4A3AA7">
            <w:pPr>
              <w:keepNext/>
              <w:spacing w:line="360" w:lineRule="auto"/>
              <w:jc w:val="center"/>
              <w:rPr>
                <w:rFonts w:cs="宋体"/>
                <w:color w:val="auto"/>
                <w:szCs w:val="21"/>
                <w:highlight w:val="none"/>
              </w:rPr>
            </w:pPr>
          </w:p>
        </w:tc>
        <w:tc>
          <w:tcPr>
            <w:tcW w:w="627" w:type="pct"/>
            <w:tcBorders>
              <w:bottom w:val="nil"/>
            </w:tcBorders>
            <w:vAlign w:val="center"/>
          </w:tcPr>
          <w:p w14:paraId="50E2CC1D">
            <w:pPr>
              <w:keepNext/>
              <w:spacing w:line="360" w:lineRule="auto"/>
              <w:jc w:val="center"/>
              <w:rPr>
                <w:rFonts w:cs="宋体"/>
                <w:color w:val="auto"/>
                <w:szCs w:val="21"/>
                <w:highlight w:val="none"/>
              </w:rPr>
            </w:pPr>
          </w:p>
        </w:tc>
        <w:tc>
          <w:tcPr>
            <w:tcW w:w="502" w:type="pct"/>
            <w:tcBorders>
              <w:bottom w:val="nil"/>
            </w:tcBorders>
            <w:vAlign w:val="center"/>
          </w:tcPr>
          <w:p w14:paraId="01FA3F8C">
            <w:pPr>
              <w:keepNext/>
              <w:spacing w:line="360" w:lineRule="auto"/>
              <w:jc w:val="center"/>
              <w:rPr>
                <w:rFonts w:cs="宋体"/>
                <w:color w:val="auto"/>
                <w:szCs w:val="21"/>
                <w:highlight w:val="none"/>
              </w:rPr>
            </w:pPr>
          </w:p>
        </w:tc>
        <w:tc>
          <w:tcPr>
            <w:tcW w:w="502" w:type="pct"/>
            <w:tcBorders>
              <w:bottom w:val="nil"/>
            </w:tcBorders>
            <w:vAlign w:val="center"/>
          </w:tcPr>
          <w:p w14:paraId="4C826029">
            <w:pPr>
              <w:keepNext/>
              <w:spacing w:line="360" w:lineRule="auto"/>
              <w:jc w:val="center"/>
              <w:rPr>
                <w:rFonts w:cs="宋体"/>
                <w:color w:val="auto"/>
                <w:szCs w:val="21"/>
                <w:highlight w:val="none"/>
              </w:rPr>
            </w:pPr>
          </w:p>
        </w:tc>
        <w:tc>
          <w:tcPr>
            <w:tcW w:w="1281" w:type="pct"/>
            <w:tcBorders>
              <w:bottom w:val="nil"/>
            </w:tcBorders>
            <w:vAlign w:val="center"/>
          </w:tcPr>
          <w:p w14:paraId="44095C5C">
            <w:pPr>
              <w:keepNext/>
              <w:spacing w:line="360" w:lineRule="auto"/>
              <w:jc w:val="center"/>
              <w:rPr>
                <w:rFonts w:cs="宋体"/>
                <w:color w:val="auto"/>
                <w:szCs w:val="21"/>
                <w:highlight w:val="none"/>
              </w:rPr>
            </w:pPr>
          </w:p>
        </w:tc>
        <w:tc>
          <w:tcPr>
            <w:tcW w:w="1151" w:type="pct"/>
            <w:tcBorders>
              <w:bottom w:val="nil"/>
            </w:tcBorders>
            <w:vAlign w:val="center"/>
          </w:tcPr>
          <w:p w14:paraId="38975903">
            <w:pPr>
              <w:keepNext/>
              <w:spacing w:line="360" w:lineRule="auto"/>
              <w:jc w:val="center"/>
              <w:rPr>
                <w:rFonts w:cs="宋体"/>
                <w:color w:val="auto"/>
                <w:szCs w:val="21"/>
                <w:highlight w:val="none"/>
              </w:rPr>
            </w:pPr>
          </w:p>
        </w:tc>
      </w:tr>
      <w:tr w14:paraId="3AF0B0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Merge w:val="continue"/>
            <w:vAlign w:val="center"/>
          </w:tcPr>
          <w:p w14:paraId="366EE225">
            <w:pPr>
              <w:keepNext/>
              <w:spacing w:line="360" w:lineRule="auto"/>
              <w:jc w:val="center"/>
              <w:rPr>
                <w:rFonts w:cs="宋体"/>
                <w:color w:val="auto"/>
                <w:szCs w:val="21"/>
                <w:highlight w:val="none"/>
              </w:rPr>
            </w:pPr>
          </w:p>
        </w:tc>
        <w:tc>
          <w:tcPr>
            <w:tcW w:w="627" w:type="pct"/>
            <w:vAlign w:val="center"/>
          </w:tcPr>
          <w:p w14:paraId="7E53D62B">
            <w:pPr>
              <w:keepNext/>
              <w:spacing w:line="360" w:lineRule="auto"/>
              <w:jc w:val="center"/>
              <w:rPr>
                <w:rFonts w:cs="宋体"/>
                <w:color w:val="auto"/>
                <w:szCs w:val="21"/>
                <w:highlight w:val="none"/>
              </w:rPr>
            </w:pPr>
          </w:p>
        </w:tc>
        <w:tc>
          <w:tcPr>
            <w:tcW w:w="502" w:type="pct"/>
            <w:vAlign w:val="center"/>
          </w:tcPr>
          <w:p w14:paraId="79E184F5">
            <w:pPr>
              <w:keepNext/>
              <w:spacing w:line="360" w:lineRule="auto"/>
              <w:jc w:val="center"/>
              <w:rPr>
                <w:rFonts w:cs="宋体"/>
                <w:color w:val="auto"/>
                <w:szCs w:val="21"/>
                <w:highlight w:val="none"/>
              </w:rPr>
            </w:pPr>
          </w:p>
        </w:tc>
        <w:tc>
          <w:tcPr>
            <w:tcW w:w="502" w:type="pct"/>
            <w:vAlign w:val="center"/>
          </w:tcPr>
          <w:p w14:paraId="27BB6868">
            <w:pPr>
              <w:keepNext/>
              <w:spacing w:line="360" w:lineRule="auto"/>
              <w:jc w:val="center"/>
              <w:rPr>
                <w:rFonts w:cs="宋体"/>
                <w:color w:val="auto"/>
                <w:szCs w:val="21"/>
                <w:highlight w:val="none"/>
              </w:rPr>
            </w:pPr>
          </w:p>
        </w:tc>
        <w:tc>
          <w:tcPr>
            <w:tcW w:w="1281" w:type="pct"/>
            <w:vAlign w:val="center"/>
          </w:tcPr>
          <w:p w14:paraId="67ADA05D">
            <w:pPr>
              <w:keepNext/>
              <w:spacing w:line="360" w:lineRule="auto"/>
              <w:jc w:val="center"/>
              <w:rPr>
                <w:rFonts w:cs="宋体"/>
                <w:color w:val="auto"/>
                <w:szCs w:val="21"/>
                <w:highlight w:val="none"/>
              </w:rPr>
            </w:pPr>
          </w:p>
        </w:tc>
        <w:tc>
          <w:tcPr>
            <w:tcW w:w="1151" w:type="pct"/>
            <w:vAlign w:val="center"/>
          </w:tcPr>
          <w:p w14:paraId="5651EF82">
            <w:pPr>
              <w:keepNext/>
              <w:spacing w:line="360" w:lineRule="auto"/>
              <w:jc w:val="center"/>
              <w:rPr>
                <w:rFonts w:cs="宋体"/>
                <w:color w:val="auto"/>
                <w:szCs w:val="21"/>
                <w:highlight w:val="none"/>
              </w:rPr>
            </w:pPr>
          </w:p>
        </w:tc>
      </w:tr>
      <w:tr w14:paraId="54746C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Merge w:val="continue"/>
            <w:vAlign w:val="center"/>
          </w:tcPr>
          <w:p w14:paraId="30298457">
            <w:pPr>
              <w:keepNext/>
              <w:spacing w:line="360" w:lineRule="auto"/>
              <w:jc w:val="center"/>
              <w:rPr>
                <w:rFonts w:cs="宋体"/>
                <w:color w:val="auto"/>
                <w:szCs w:val="21"/>
                <w:highlight w:val="none"/>
              </w:rPr>
            </w:pPr>
          </w:p>
        </w:tc>
        <w:tc>
          <w:tcPr>
            <w:tcW w:w="627" w:type="pct"/>
            <w:vAlign w:val="center"/>
          </w:tcPr>
          <w:p w14:paraId="783890E8">
            <w:pPr>
              <w:keepNext/>
              <w:spacing w:line="360" w:lineRule="auto"/>
              <w:jc w:val="center"/>
              <w:rPr>
                <w:rFonts w:cs="宋体"/>
                <w:color w:val="auto"/>
                <w:szCs w:val="21"/>
                <w:highlight w:val="none"/>
              </w:rPr>
            </w:pPr>
          </w:p>
        </w:tc>
        <w:tc>
          <w:tcPr>
            <w:tcW w:w="502" w:type="pct"/>
            <w:vAlign w:val="center"/>
          </w:tcPr>
          <w:p w14:paraId="448EBF8E">
            <w:pPr>
              <w:keepNext/>
              <w:spacing w:line="360" w:lineRule="auto"/>
              <w:jc w:val="center"/>
              <w:rPr>
                <w:rFonts w:cs="宋体"/>
                <w:color w:val="auto"/>
                <w:szCs w:val="21"/>
                <w:highlight w:val="none"/>
              </w:rPr>
            </w:pPr>
          </w:p>
        </w:tc>
        <w:tc>
          <w:tcPr>
            <w:tcW w:w="502" w:type="pct"/>
            <w:vAlign w:val="center"/>
          </w:tcPr>
          <w:p w14:paraId="307D480E">
            <w:pPr>
              <w:keepNext/>
              <w:spacing w:line="360" w:lineRule="auto"/>
              <w:jc w:val="center"/>
              <w:rPr>
                <w:rFonts w:cs="宋体"/>
                <w:color w:val="auto"/>
                <w:szCs w:val="21"/>
                <w:highlight w:val="none"/>
              </w:rPr>
            </w:pPr>
          </w:p>
        </w:tc>
        <w:tc>
          <w:tcPr>
            <w:tcW w:w="1281" w:type="pct"/>
            <w:vAlign w:val="center"/>
          </w:tcPr>
          <w:p w14:paraId="0C8E19E5">
            <w:pPr>
              <w:keepNext/>
              <w:spacing w:line="360" w:lineRule="auto"/>
              <w:jc w:val="center"/>
              <w:rPr>
                <w:rFonts w:cs="宋体"/>
                <w:color w:val="auto"/>
                <w:szCs w:val="21"/>
                <w:highlight w:val="none"/>
              </w:rPr>
            </w:pPr>
          </w:p>
        </w:tc>
        <w:tc>
          <w:tcPr>
            <w:tcW w:w="1151" w:type="pct"/>
            <w:vAlign w:val="center"/>
          </w:tcPr>
          <w:p w14:paraId="424FFD81">
            <w:pPr>
              <w:keepNext/>
              <w:spacing w:line="360" w:lineRule="auto"/>
              <w:jc w:val="center"/>
              <w:rPr>
                <w:rFonts w:cs="宋体"/>
                <w:color w:val="auto"/>
                <w:szCs w:val="21"/>
                <w:highlight w:val="none"/>
              </w:rPr>
            </w:pPr>
          </w:p>
        </w:tc>
      </w:tr>
      <w:tr w14:paraId="635CA0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937" w:type="pct"/>
            <w:vMerge w:val="continue"/>
            <w:vAlign w:val="center"/>
          </w:tcPr>
          <w:p w14:paraId="470D81CB">
            <w:pPr>
              <w:keepNext/>
              <w:spacing w:line="360" w:lineRule="auto"/>
              <w:jc w:val="center"/>
              <w:rPr>
                <w:rFonts w:cs="宋体"/>
                <w:color w:val="auto"/>
                <w:szCs w:val="21"/>
                <w:highlight w:val="none"/>
              </w:rPr>
            </w:pPr>
          </w:p>
        </w:tc>
        <w:tc>
          <w:tcPr>
            <w:tcW w:w="627" w:type="pct"/>
            <w:vAlign w:val="center"/>
          </w:tcPr>
          <w:p w14:paraId="496763EB">
            <w:pPr>
              <w:keepNext/>
              <w:spacing w:line="360" w:lineRule="auto"/>
              <w:jc w:val="center"/>
              <w:rPr>
                <w:rFonts w:cs="宋体"/>
                <w:color w:val="auto"/>
                <w:szCs w:val="21"/>
                <w:highlight w:val="none"/>
              </w:rPr>
            </w:pPr>
          </w:p>
        </w:tc>
        <w:tc>
          <w:tcPr>
            <w:tcW w:w="502" w:type="pct"/>
            <w:vAlign w:val="center"/>
          </w:tcPr>
          <w:p w14:paraId="2C97360E">
            <w:pPr>
              <w:keepNext/>
              <w:spacing w:line="360" w:lineRule="auto"/>
              <w:jc w:val="center"/>
              <w:rPr>
                <w:rFonts w:cs="宋体"/>
                <w:color w:val="auto"/>
                <w:szCs w:val="21"/>
                <w:highlight w:val="none"/>
              </w:rPr>
            </w:pPr>
          </w:p>
        </w:tc>
        <w:tc>
          <w:tcPr>
            <w:tcW w:w="502" w:type="pct"/>
            <w:vAlign w:val="center"/>
          </w:tcPr>
          <w:p w14:paraId="2A3C86CA">
            <w:pPr>
              <w:keepNext/>
              <w:spacing w:line="360" w:lineRule="auto"/>
              <w:jc w:val="center"/>
              <w:rPr>
                <w:rFonts w:cs="宋体"/>
                <w:color w:val="auto"/>
                <w:szCs w:val="21"/>
                <w:highlight w:val="none"/>
              </w:rPr>
            </w:pPr>
          </w:p>
        </w:tc>
        <w:tc>
          <w:tcPr>
            <w:tcW w:w="1281" w:type="pct"/>
            <w:vAlign w:val="center"/>
          </w:tcPr>
          <w:p w14:paraId="2F22A01F">
            <w:pPr>
              <w:keepNext/>
              <w:spacing w:line="360" w:lineRule="auto"/>
              <w:jc w:val="center"/>
              <w:rPr>
                <w:rFonts w:cs="宋体"/>
                <w:color w:val="auto"/>
                <w:szCs w:val="21"/>
                <w:highlight w:val="none"/>
              </w:rPr>
            </w:pPr>
          </w:p>
        </w:tc>
        <w:tc>
          <w:tcPr>
            <w:tcW w:w="1151" w:type="pct"/>
            <w:vAlign w:val="center"/>
          </w:tcPr>
          <w:p w14:paraId="442668AD">
            <w:pPr>
              <w:keepNext/>
              <w:spacing w:line="360" w:lineRule="auto"/>
              <w:jc w:val="center"/>
              <w:rPr>
                <w:rFonts w:cs="宋体"/>
                <w:color w:val="auto"/>
                <w:szCs w:val="21"/>
                <w:highlight w:val="none"/>
              </w:rPr>
            </w:pPr>
          </w:p>
        </w:tc>
      </w:tr>
      <w:tr w14:paraId="242EE4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Merge w:val="continue"/>
            <w:tcBorders>
              <w:bottom w:val="single" w:color="auto" w:sz="12" w:space="0"/>
            </w:tcBorders>
            <w:vAlign w:val="center"/>
          </w:tcPr>
          <w:p w14:paraId="63523E70">
            <w:pPr>
              <w:keepNext/>
              <w:spacing w:line="360" w:lineRule="auto"/>
              <w:jc w:val="center"/>
              <w:rPr>
                <w:rFonts w:cs="宋体"/>
                <w:color w:val="auto"/>
                <w:szCs w:val="21"/>
                <w:highlight w:val="none"/>
              </w:rPr>
            </w:pPr>
          </w:p>
        </w:tc>
        <w:tc>
          <w:tcPr>
            <w:tcW w:w="627" w:type="pct"/>
            <w:tcBorders>
              <w:bottom w:val="single" w:color="auto" w:sz="12" w:space="0"/>
            </w:tcBorders>
            <w:vAlign w:val="center"/>
          </w:tcPr>
          <w:p w14:paraId="12681758">
            <w:pPr>
              <w:keepNext/>
              <w:spacing w:line="360" w:lineRule="auto"/>
              <w:jc w:val="center"/>
              <w:rPr>
                <w:rFonts w:cs="宋体"/>
                <w:color w:val="auto"/>
                <w:szCs w:val="21"/>
                <w:highlight w:val="none"/>
              </w:rPr>
            </w:pPr>
          </w:p>
        </w:tc>
        <w:tc>
          <w:tcPr>
            <w:tcW w:w="502" w:type="pct"/>
            <w:tcBorders>
              <w:bottom w:val="single" w:color="auto" w:sz="12" w:space="0"/>
            </w:tcBorders>
            <w:vAlign w:val="center"/>
          </w:tcPr>
          <w:p w14:paraId="179F9880">
            <w:pPr>
              <w:keepNext/>
              <w:spacing w:line="360" w:lineRule="auto"/>
              <w:jc w:val="center"/>
              <w:rPr>
                <w:rFonts w:cs="宋体"/>
                <w:color w:val="auto"/>
                <w:szCs w:val="21"/>
                <w:highlight w:val="none"/>
              </w:rPr>
            </w:pPr>
          </w:p>
        </w:tc>
        <w:tc>
          <w:tcPr>
            <w:tcW w:w="502" w:type="pct"/>
            <w:tcBorders>
              <w:bottom w:val="single" w:color="auto" w:sz="12" w:space="0"/>
            </w:tcBorders>
            <w:vAlign w:val="center"/>
          </w:tcPr>
          <w:p w14:paraId="49FB1CC0">
            <w:pPr>
              <w:keepNext/>
              <w:spacing w:line="360" w:lineRule="auto"/>
              <w:jc w:val="center"/>
              <w:rPr>
                <w:rFonts w:cs="宋体"/>
                <w:color w:val="auto"/>
                <w:szCs w:val="21"/>
                <w:highlight w:val="none"/>
              </w:rPr>
            </w:pPr>
          </w:p>
        </w:tc>
        <w:tc>
          <w:tcPr>
            <w:tcW w:w="1281" w:type="pct"/>
            <w:tcBorders>
              <w:bottom w:val="single" w:color="auto" w:sz="12" w:space="0"/>
            </w:tcBorders>
            <w:vAlign w:val="center"/>
          </w:tcPr>
          <w:p w14:paraId="29265BFE">
            <w:pPr>
              <w:keepNext/>
              <w:spacing w:line="360" w:lineRule="auto"/>
              <w:jc w:val="center"/>
              <w:rPr>
                <w:rFonts w:cs="宋体"/>
                <w:color w:val="auto"/>
                <w:szCs w:val="21"/>
                <w:highlight w:val="none"/>
              </w:rPr>
            </w:pPr>
          </w:p>
        </w:tc>
        <w:tc>
          <w:tcPr>
            <w:tcW w:w="1151" w:type="pct"/>
            <w:tcBorders>
              <w:bottom w:val="single" w:color="auto" w:sz="12" w:space="0"/>
            </w:tcBorders>
            <w:vAlign w:val="center"/>
          </w:tcPr>
          <w:p w14:paraId="4B015CB4">
            <w:pPr>
              <w:keepNext/>
              <w:spacing w:line="360" w:lineRule="auto"/>
              <w:jc w:val="center"/>
              <w:rPr>
                <w:rFonts w:cs="宋体"/>
                <w:color w:val="auto"/>
                <w:szCs w:val="21"/>
                <w:highlight w:val="none"/>
              </w:rPr>
            </w:pPr>
          </w:p>
        </w:tc>
      </w:tr>
    </w:tbl>
    <w:p w14:paraId="4D4ED938">
      <w:pPr>
        <w:spacing w:before="312" w:beforeLines="100" w:after="312" w:afterLines="100"/>
        <w:outlineLvl w:val="2"/>
        <w:rPr>
          <w:rFonts w:ascii="Times New Roman" w:eastAsia="黑体"/>
          <w:color w:val="auto"/>
          <w:szCs w:val="24"/>
          <w:highlight w:val="none"/>
        </w:rPr>
      </w:pPr>
      <w:r>
        <w:rPr>
          <w:rFonts w:hint="eastAsia" w:cs="宋体"/>
          <w:bCs/>
          <w:color w:val="auto"/>
          <w:highlight w:val="none"/>
        </w:rPr>
        <w:br w:type="page"/>
      </w:r>
      <w:bookmarkStart w:id="606" w:name="_Toc128950242"/>
      <w:r>
        <w:rPr>
          <w:rFonts w:hint="eastAsia" w:ascii="Times New Roman" w:eastAsia="黑体"/>
          <w:color w:val="auto"/>
          <w:szCs w:val="24"/>
          <w:highlight w:val="none"/>
        </w:rPr>
        <w:t>附</w:t>
      </w:r>
      <w:bookmarkStart w:id="607" w:name="_Toc296944568"/>
      <w:bookmarkStart w:id="608" w:name="_Toc296347228"/>
      <w:bookmarkStart w:id="609" w:name="_Toc296346730"/>
      <w:bookmarkStart w:id="610" w:name="_Toc296891057"/>
      <w:bookmarkStart w:id="611" w:name="_Toc296891269"/>
      <w:bookmarkStart w:id="612" w:name="_Toc296503229"/>
      <w:r>
        <w:rPr>
          <w:rFonts w:hint="eastAsia" w:ascii="Times New Roman" w:eastAsia="黑体"/>
          <w:color w:val="auto"/>
          <w:szCs w:val="24"/>
          <w:highlight w:val="none"/>
        </w:rPr>
        <w:t>件</w:t>
      </w:r>
      <w:r>
        <w:rPr>
          <w:rFonts w:ascii="Times New Roman" w:eastAsia="黑体"/>
          <w:color w:val="auto"/>
          <w:szCs w:val="24"/>
          <w:highlight w:val="none"/>
        </w:rPr>
        <w:t>7</w:t>
      </w:r>
      <w:r>
        <w:rPr>
          <w:rFonts w:hint="eastAsia" w:ascii="Times New Roman" w:eastAsia="黑体"/>
          <w:color w:val="auto"/>
          <w:szCs w:val="24"/>
          <w:highlight w:val="none"/>
        </w:rPr>
        <w:t>：分包人主要施工管理人员表</w:t>
      </w:r>
      <w:bookmarkEnd w:id="606"/>
    </w:p>
    <w:bookmarkEnd w:id="607"/>
    <w:bookmarkEnd w:id="608"/>
    <w:bookmarkEnd w:id="609"/>
    <w:bookmarkEnd w:id="610"/>
    <w:bookmarkEnd w:id="611"/>
    <w:bookmarkEnd w:id="612"/>
    <w:p w14:paraId="49E5223A">
      <w:pPr>
        <w:spacing w:before="156" w:beforeLines="50" w:after="156" w:afterLines="50" w:line="360" w:lineRule="auto"/>
        <w:jc w:val="center"/>
        <w:rPr>
          <w:rFonts w:cs="宋体"/>
          <w:b/>
          <w:color w:val="auto"/>
          <w:szCs w:val="21"/>
          <w:highlight w:val="none"/>
        </w:rPr>
      </w:pPr>
      <w:r>
        <w:rPr>
          <w:rFonts w:hint="eastAsia" w:cs="宋体"/>
          <w:b/>
          <w:color w:val="auto"/>
          <w:szCs w:val="21"/>
          <w:highlight w:val="none"/>
        </w:rPr>
        <w:t>分包人主要施工管理人员表</w:t>
      </w:r>
    </w:p>
    <w:tbl>
      <w:tblPr>
        <w:tblStyle w:val="55"/>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451"/>
        <w:gridCol w:w="1100"/>
        <w:gridCol w:w="881"/>
        <w:gridCol w:w="640"/>
        <w:gridCol w:w="3243"/>
        <w:gridCol w:w="1269"/>
      </w:tblGrid>
      <w:tr w14:paraId="2DF4C3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tcBorders>
              <w:top w:val="single" w:color="auto" w:sz="12" w:space="0"/>
              <w:bottom w:val="double" w:color="auto" w:sz="6" w:space="0"/>
            </w:tcBorders>
            <w:vAlign w:val="center"/>
          </w:tcPr>
          <w:p w14:paraId="1E578B2E">
            <w:pPr>
              <w:keepNext/>
              <w:spacing w:line="360" w:lineRule="auto"/>
              <w:jc w:val="center"/>
              <w:rPr>
                <w:rFonts w:cs="宋体"/>
                <w:color w:val="auto"/>
                <w:szCs w:val="21"/>
                <w:highlight w:val="none"/>
              </w:rPr>
            </w:pPr>
            <w:r>
              <w:rPr>
                <w:rFonts w:hint="eastAsia" w:cs="宋体"/>
                <w:color w:val="auto"/>
                <w:szCs w:val="21"/>
                <w:highlight w:val="none"/>
              </w:rPr>
              <w:t>名称</w:t>
            </w:r>
          </w:p>
        </w:tc>
        <w:tc>
          <w:tcPr>
            <w:tcW w:w="641" w:type="pct"/>
            <w:tcBorders>
              <w:top w:val="single" w:color="auto" w:sz="12" w:space="0"/>
              <w:bottom w:val="double" w:color="auto" w:sz="6" w:space="0"/>
            </w:tcBorders>
            <w:vAlign w:val="center"/>
          </w:tcPr>
          <w:p w14:paraId="16C339AF">
            <w:pPr>
              <w:keepNext/>
              <w:spacing w:line="360" w:lineRule="auto"/>
              <w:jc w:val="center"/>
              <w:rPr>
                <w:rFonts w:cs="宋体"/>
                <w:color w:val="auto"/>
                <w:szCs w:val="21"/>
                <w:highlight w:val="none"/>
              </w:rPr>
            </w:pPr>
            <w:r>
              <w:rPr>
                <w:rFonts w:hint="eastAsia" w:cs="宋体"/>
                <w:color w:val="auto"/>
                <w:szCs w:val="21"/>
                <w:highlight w:val="none"/>
              </w:rPr>
              <w:t>姓名</w:t>
            </w:r>
          </w:p>
        </w:tc>
        <w:tc>
          <w:tcPr>
            <w:tcW w:w="513" w:type="pct"/>
            <w:tcBorders>
              <w:top w:val="single" w:color="auto" w:sz="12" w:space="0"/>
              <w:bottom w:val="double" w:color="auto" w:sz="6" w:space="0"/>
            </w:tcBorders>
            <w:vAlign w:val="center"/>
          </w:tcPr>
          <w:p w14:paraId="289ED6A1">
            <w:pPr>
              <w:keepNext/>
              <w:spacing w:line="360" w:lineRule="auto"/>
              <w:jc w:val="center"/>
              <w:rPr>
                <w:rFonts w:cs="宋体"/>
                <w:color w:val="auto"/>
                <w:szCs w:val="21"/>
                <w:highlight w:val="none"/>
              </w:rPr>
            </w:pPr>
            <w:r>
              <w:rPr>
                <w:rFonts w:hint="eastAsia" w:cs="宋体"/>
                <w:color w:val="auto"/>
                <w:szCs w:val="21"/>
                <w:highlight w:val="none"/>
              </w:rPr>
              <w:t>职务</w:t>
            </w:r>
          </w:p>
        </w:tc>
        <w:tc>
          <w:tcPr>
            <w:tcW w:w="373" w:type="pct"/>
            <w:tcBorders>
              <w:top w:val="single" w:color="auto" w:sz="12" w:space="0"/>
              <w:bottom w:val="double" w:color="auto" w:sz="6" w:space="0"/>
            </w:tcBorders>
            <w:vAlign w:val="center"/>
          </w:tcPr>
          <w:p w14:paraId="711EF65D">
            <w:pPr>
              <w:keepNext/>
              <w:spacing w:line="360" w:lineRule="auto"/>
              <w:jc w:val="center"/>
              <w:rPr>
                <w:rFonts w:cs="宋体"/>
                <w:color w:val="auto"/>
                <w:szCs w:val="21"/>
                <w:highlight w:val="none"/>
              </w:rPr>
            </w:pPr>
            <w:r>
              <w:rPr>
                <w:rFonts w:hint="eastAsia" w:cs="宋体"/>
                <w:color w:val="auto"/>
                <w:szCs w:val="21"/>
                <w:highlight w:val="none"/>
              </w:rPr>
              <w:t>职称</w:t>
            </w:r>
          </w:p>
        </w:tc>
        <w:tc>
          <w:tcPr>
            <w:tcW w:w="1889" w:type="pct"/>
            <w:tcBorders>
              <w:top w:val="single" w:color="auto" w:sz="12" w:space="0"/>
              <w:bottom w:val="double" w:color="auto" w:sz="6" w:space="0"/>
            </w:tcBorders>
            <w:vAlign w:val="center"/>
          </w:tcPr>
          <w:p w14:paraId="297DB2D7">
            <w:pPr>
              <w:keepNext/>
              <w:spacing w:line="360" w:lineRule="auto"/>
              <w:jc w:val="center"/>
              <w:rPr>
                <w:rFonts w:cs="宋体"/>
                <w:color w:val="auto"/>
                <w:szCs w:val="21"/>
                <w:highlight w:val="none"/>
              </w:rPr>
            </w:pPr>
            <w:r>
              <w:rPr>
                <w:rFonts w:hint="eastAsia" w:cs="宋体"/>
                <w:color w:val="auto"/>
                <w:szCs w:val="21"/>
                <w:highlight w:val="none"/>
              </w:rPr>
              <w:t>主要资历、经验及承担过的项目</w:t>
            </w:r>
          </w:p>
        </w:tc>
        <w:tc>
          <w:tcPr>
            <w:tcW w:w="739" w:type="pct"/>
            <w:tcBorders>
              <w:top w:val="single" w:color="auto" w:sz="12" w:space="0"/>
              <w:bottom w:val="double" w:color="auto" w:sz="6" w:space="0"/>
            </w:tcBorders>
            <w:vAlign w:val="center"/>
          </w:tcPr>
          <w:p w14:paraId="6F47432F">
            <w:pPr>
              <w:keepNext/>
              <w:spacing w:line="360" w:lineRule="auto"/>
              <w:jc w:val="center"/>
              <w:rPr>
                <w:rFonts w:cs="宋体"/>
                <w:color w:val="auto"/>
                <w:szCs w:val="21"/>
                <w:highlight w:val="none"/>
              </w:rPr>
            </w:pPr>
            <w:r>
              <w:rPr>
                <w:rFonts w:hint="eastAsia" w:cs="宋体"/>
                <w:color w:val="auto"/>
                <w:szCs w:val="21"/>
                <w:highlight w:val="none"/>
              </w:rPr>
              <w:t>身份证号码</w:t>
            </w:r>
          </w:p>
        </w:tc>
      </w:tr>
      <w:tr w14:paraId="3DFA75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4261" w:type="pct"/>
            <w:gridSpan w:val="5"/>
            <w:tcBorders>
              <w:top w:val="double" w:color="auto" w:sz="6" w:space="0"/>
            </w:tcBorders>
            <w:vAlign w:val="center"/>
          </w:tcPr>
          <w:p w14:paraId="624906D1">
            <w:pPr>
              <w:keepNext/>
              <w:spacing w:line="360" w:lineRule="auto"/>
              <w:jc w:val="center"/>
              <w:rPr>
                <w:rFonts w:cs="宋体"/>
                <w:color w:val="auto"/>
                <w:szCs w:val="21"/>
                <w:highlight w:val="none"/>
              </w:rPr>
            </w:pPr>
            <w:r>
              <w:rPr>
                <w:rFonts w:hint="eastAsia" w:cs="宋体"/>
                <w:color w:val="auto"/>
                <w:szCs w:val="21"/>
                <w:highlight w:val="none"/>
              </w:rPr>
              <w:t>一、总部人员</w:t>
            </w:r>
          </w:p>
        </w:tc>
        <w:tc>
          <w:tcPr>
            <w:tcW w:w="739" w:type="pct"/>
            <w:tcBorders>
              <w:top w:val="double" w:color="auto" w:sz="6" w:space="0"/>
            </w:tcBorders>
            <w:vAlign w:val="center"/>
          </w:tcPr>
          <w:p w14:paraId="684FA7F5">
            <w:pPr>
              <w:keepNext/>
              <w:spacing w:line="360" w:lineRule="auto"/>
              <w:jc w:val="center"/>
              <w:rPr>
                <w:rFonts w:cs="宋体"/>
                <w:color w:val="auto"/>
                <w:szCs w:val="21"/>
                <w:highlight w:val="none"/>
              </w:rPr>
            </w:pPr>
          </w:p>
        </w:tc>
      </w:tr>
      <w:tr w14:paraId="5B3A4F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tcBorders>
              <w:top w:val="nil"/>
              <w:bottom w:val="nil"/>
            </w:tcBorders>
            <w:vAlign w:val="center"/>
          </w:tcPr>
          <w:p w14:paraId="3FC16B72">
            <w:pPr>
              <w:keepNext/>
              <w:spacing w:line="360" w:lineRule="auto"/>
              <w:jc w:val="center"/>
              <w:rPr>
                <w:rFonts w:cs="宋体"/>
                <w:color w:val="auto"/>
                <w:szCs w:val="21"/>
                <w:highlight w:val="none"/>
              </w:rPr>
            </w:pPr>
            <w:r>
              <w:rPr>
                <w:rFonts w:hint="eastAsia" w:cs="宋体"/>
                <w:color w:val="auto"/>
                <w:szCs w:val="21"/>
                <w:highlight w:val="none"/>
              </w:rPr>
              <w:t>项目主管</w:t>
            </w:r>
          </w:p>
        </w:tc>
        <w:tc>
          <w:tcPr>
            <w:tcW w:w="641" w:type="pct"/>
            <w:tcBorders>
              <w:top w:val="nil"/>
            </w:tcBorders>
            <w:vAlign w:val="center"/>
          </w:tcPr>
          <w:p w14:paraId="3B623BB6">
            <w:pPr>
              <w:keepNext/>
              <w:spacing w:line="360" w:lineRule="auto"/>
              <w:jc w:val="center"/>
              <w:rPr>
                <w:rFonts w:cs="宋体"/>
                <w:color w:val="auto"/>
                <w:szCs w:val="21"/>
                <w:highlight w:val="none"/>
              </w:rPr>
            </w:pPr>
          </w:p>
        </w:tc>
        <w:tc>
          <w:tcPr>
            <w:tcW w:w="513" w:type="pct"/>
            <w:tcBorders>
              <w:top w:val="nil"/>
            </w:tcBorders>
            <w:vAlign w:val="center"/>
          </w:tcPr>
          <w:p w14:paraId="571A000F">
            <w:pPr>
              <w:keepNext/>
              <w:spacing w:line="360" w:lineRule="auto"/>
              <w:jc w:val="center"/>
              <w:rPr>
                <w:rFonts w:cs="宋体"/>
                <w:color w:val="auto"/>
                <w:szCs w:val="21"/>
                <w:highlight w:val="none"/>
              </w:rPr>
            </w:pPr>
          </w:p>
        </w:tc>
        <w:tc>
          <w:tcPr>
            <w:tcW w:w="373" w:type="pct"/>
            <w:tcBorders>
              <w:top w:val="nil"/>
            </w:tcBorders>
            <w:vAlign w:val="center"/>
          </w:tcPr>
          <w:p w14:paraId="27A8772C">
            <w:pPr>
              <w:keepNext/>
              <w:spacing w:line="360" w:lineRule="auto"/>
              <w:jc w:val="center"/>
              <w:rPr>
                <w:rFonts w:cs="宋体"/>
                <w:color w:val="auto"/>
                <w:szCs w:val="21"/>
                <w:highlight w:val="none"/>
              </w:rPr>
            </w:pPr>
          </w:p>
        </w:tc>
        <w:tc>
          <w:tcPr>
            <w:tcW w:w="1889" w:type="pct"/>
            <w:tcBorders>
              <w:top w:val="nil"/>
            </w:tcBorders>
            <w:vAlign w:val="center"/>
          </w:tcPr>
          <w:p w14:paraId="7CA0E312">
            <w:pPr>
              <w:keepNext/>
              <w:spacing w:line="360" w:lineRule="auto"/>
              <w:jc w:val="center"/>
              <w:rPr>
                <w:rFonts w:cs="宋体"/>
                <w:color w:val="auto"/>
                <w:szCs w:val="21"/>
                <w:highlight w:val="none"/>
              </w:rPr>
            </w:pPr>
          </w:p>
        </w:tc>
        <w:tc>
          <w:tcPr>
            <w:tcW w:w="739" w:type="pct"/>
            <w:tcBorders>
              <w:top w:val="nil"/>
            </w:tcBorders>
            <w:vAlign w:val="center"/>
          </w:tcPr>
          <w:p w14:paraId="30F012F4">
            <w:pPr>
              <w:keepNext/>
              <w:spacing w:line="360" w:lineRule="auto"/>
              <w:jc w:val="center"/>
              <w:rPr>
                <w:rFonts w:cs="宋体"/>
                <w:color w:val="auto"/>
                <w:szCs w:val="21"/>
                <w:highlight w:val="none"/>
              </w:rPr>
            </w:pPr>
          </w:p>
        </w:tc>
      </w:tr>
      <w:tr w14:paraId="1C0310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Merge w:val="restart"/>
            <w:vAlign w:val="center"/>
          </w:tcPr>
          <w:p w14:paraId="6F25CBFB">
            <w:pPr>
              <w:keepNext/>
              <w:spacing w:line="360" w:lineRule="auto"/>
              <w:jc w:val="center"/>
              <w:rPr>
                <w:rFonts w:cs="宋体"/>
                <w:color w:val="auto"/>
                <w:szCs w:val="21"/>
                <w:highlight w:val="none"/>
              </w:rPr>
            </w:pPr>
            <w:r>
              <w:rPr>
                <w:rFonts w:hint="eastAsia" w:cs="宋体"/>
                <w:color w:val="auto"/>
                <w:szCs w:val="21"/>
                <w:highlight w:val="none"/>
              </w:rPr>
              <w:t>其他人员</w:t>
            </w:r>
          </w:p>
        </w:tc>
        <w:tc>
          <w:tcPr>
            <w:tcW w:w="641" w:type="pct"/>
            <w:vAlign w:val="center"/>
          </w:tcPr>
          <w:p w14:paraId="27DF8FBB">
            <w:pPr>
              <w:keepNext/>
              <w:spacing w:line="360" w:lineRule="auto"/>
              <w:jc w:val="center"/>
              <w:rPr>
                <w:rFonts w:cs="宋体"/>
                <w:color w:val="auto"/>
                <w:szCs w:val="21"/>
                <w:highlight w:val="none"/>
              </w:rPr>
            </w:pPr>
          </w:p>
        </w:tc>
        <w:tc>
          <w:tcPr>
            <w:tcW w:w="513" w:type="pct"/>
            <w:vAlign w:val="center"/>
          </w:tcPr>
          <w:p w14:paraId="7AB64393">
            <w:pPr>
              <w:keepNext/>
              <w:spacing w:line="360" w:lineRule="auto"/>
              <w:jc w:val="center"/>
              <w:rPr>
                <w:rFonts w:cs="宋体"/>
                <w:color w:val="auto"/>
                <w:szCs w:val="21"/>
                <w:highlight w:val="none"/>
              </w:rPr>
            </w:pPr>
          </w:p>
        </w:tc>
        <w:tc>
          <w:tcPr>
            <w:tcW w:w="373" w:type="pct"/>
            <w:vAlign w:val="center"/>
          </w:tcPr>
          <w:p w14:paraId="235FA697">
            <w:pPr>
              <w:keepNext/>
              <w:spacing w:line="360" w:lineRule="auto"/>
              <w:jc w:val="center"/>
              <w:rPr>
                <w:rFonts w:cs="宋体"/>
                <w:color w:val="auto"/>
                <w:szCs w:val="21"/>
                <w:highlight w:val="none"/>
              </w:rPr>
            </w:pPr>
          </w:p>
        </w:tc>
        <w:tc>
          <w:tcPr>
            <w:tcW w:w="1889" w:type="pct"/>
            <w:vAlign w:val="center"/>
          </w:tcPr>
          <w:p w14:paraId="79D43D88">
            <w:pPr>
              <w:keepNext/>
              <w:spacing w:line="360" w:lineRule="auto"/>
              <w:jc w:val="center"/>
              <w:rPr>
                <w:rFonts w:cs="宋体"/>
                <w:color w:val="auto"/>
                <w:szCs w:val="21"/>
                <w:highlight w:val="none"/>
              </w:rPr>
            </w:pPr>
          </w:p>
        </w:tc>
        <w:tc>
          <w:tcPr>
            <w:tcW w:w="739" w:type="pct"/>
            <w:vAlign w:val="center"/>
          </w:tcPr>
          <w:p w14:paraId="0A9BF98E">
            <w:pPr>
              <w:keepNext/>
              <w:spacing w:line="360" w:lineRule="auto"/>
              <w:jc w:val="center"/>
              <w:rPr>
                <w:rFonts w:cs="宋体"/>
                <w:color w:val="auto"/>
                <w:szCs w:val="21"/>
                <w:highlight w:val="none"/>
              </w:rPr>
            </w:pPr>
          </w:p>
        </w:tc>
      </w:tr>
      <w:tr w14:paraId="16D436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Merge w:val="continue"/>
            <w:vAlign w:val="center"/>
          </w:tcPr>
          <w:p w14:paraId="0A11150C">
            <w:pPr>
              <w:keepNext/>
              <w:spacing w:line="360" w:lineRule="auto"/>
              <w:jc w:val="center"/>
              <w:rPr>
                <w:rFonts w:cs="宋体"/>
                <w:color w:val="auto"/>
                <w:szCs w:val="21"/>
                <w:highlight w:val="none"/>
              </w:rPr>
            </w:pPr>
          </w:p>
        </w:tc>
        <w:tc>
          <w:tcPr>
            <w:tcW w:w="641" w:type="pct"/>
            <w:vAlign w:val="center"/>
          </w:tcPr>
          <w:p w14:paraId="2C0CF7B7">
            <w:pPr>
              <w:keepNext/>
              <w:spacing w:line="360" w:lineRule="auto"/>
              <w:jc w:val="center"/>
              <w:rPr>
                <w:rFonts w:cs="宋体"/>
                <w:color w:val="auto"/>
                <w:szCs w:val="21"/>
                <w:highlight w:val="none"/>
              </w:rPr>
            </w:pPr>
          </w:p>
        </w:tc>
        <w:tc>
          <w:tcPr>
            <w:tcW w:w="513" w:type="pct"/>
            <w:vAlign w:val="center"/>
          </w:tcPr>
          <w:p w14:paraId="36851631">
            <w:pPr>
              <w:keepNext/>
              <w:spacing w:line="360" w:lineRule="auto"/>
              <w:jc w:val="center"/>
              <w:rPr>
                <w:rFonts w:cs="宋体"/>
                <w:color w:val="auto"/>
                <w:szCs w:val="21"/>
                <w:highlight w:val="none"/>
              </w:rPr>
            </w:pPr>
          </w:p>
        </w:tc>
        <w:tc>
          <w:tcPr>
            <w:tcW w:w="373" w:type="pct"/>
            <w:vAlign w:val="center"/>
          </w:tcPr>
          <w:p w14:paraId="11F4C04E">
            <w:pPr>
              <w:keepNext/>
              <w:spacing w:line="360" w:lineRule="auto"/>
              <w:jc w:val="center"/>
              <w:rPr>
                <w:rFonts w:cs="宋体"/>
                <w:color w:val="auto"/>
                <w:szCs w:val="21"/>
                <w:highlight w:val="none"/>
              </w:rPr>
            </w:pPr>
          </w:p>
        </w:tc>
        <w:tc>
          <w:tcPr>
            <w:tcW w:w="1889" w:type="pct"/>
            <w:vAlign w:val="center"/>
          </w:tcPr>
          <w:p w14:paraId="20B4BBE9">
            <w:pPr>
              <w:keepNext/>
              <w:spacing w:line="360" w:lineRule="auto"/>
              <w:jc w:val="center"/>
              <w:rPr>
                <w:rFonts w:cs="宋体"/>
                <w:color w:val="auto"/>
                <w:szCs w:val="21"/>
                <w:highlight w:val="none"/>
              </w:rPr>
            </w:pPr>
          </w:p>
        </w:tc>
        <w:tc>
          <w:tcPr>
            <w:tcW w:w="739" w:type="pct"/>
            <w:vAlign w:val="center"/>
          </w:tcPr>
          <w:p w14:paraId="1DEBD18D">
            <w:pPr>
              <w:keepNext/>
              <w:spacing w:line="360" w:lineRule="auto"/>
              <w:jc w:val="center"/>
              <w:rPr>
                <w:rFonts w:cs="宋体"/>
                <w:color w:val="auto"/>
                <w:szCs w:val="21"/>
                <w:highlight w:val="none"/>
              </w:rPr>
            </w:pPr>
          </w:p>
        </w:tc>
      </w:tr>
      <w:tr w14:paraId="55AE3A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Merge w:val="continue"/>
            <w:tcBorders>
              <w:bottom w:val="nil"/>
            </w:tcBorders>
            <w:vAlign w:val="center"/>
          </w:tcPr>
          <w:p w14:paraId="3CE716A2">
            <w:pPr>
              <w:keepNext/>
              <w:spacing w:line="360" w:lineRule="auto"/>
              <w:jc w:val="center"/>
              <w:rPr>
                <w:rFonts w:cs="宋体"/>
                <w:color w:val="auto"/>
                <w:szCs w:val="21"/>
                <w:highlight w:val="none"/>
              </w:rPr>
            </w:pPr>
          </w:p>
        </w:tc>
        <w:tc>
          <w:tcPr>
            <w:tcW w:w="641" w:type="pct"/>
            <w:vAlign w:val="center"/>
          </w:tcPr>
          <w:p w14:paraId="176C2E50">
            <w:pPr>
              <w:keepNext/>
              <w:spacing w:line="360" w:lineRule="auto"/>
              <w:jc w:val="center"/>
              <w:rPr>
                <w:rFonts w:cs="宋体"/>
                <w:color w:val="auto"/>
                <w:szCs w:val="21"/>
                <w:highlight w:val="none"/>
              </w:rPr>
            </w:pPr>
          </w:p>
        </w:tc>
        <w:tc>
          <w:tcPr>
            <w:tcW w:w="513" w:type="pct"/>
            <w:vAlign w:val="center"/>
          </w:tcPr>
          <w:p w14:paraId="7410AAB2">
            <w:pPr>
              <w:keepNext/>
              <w:spacing w:line="360" w:lineRule="auto"/>
              <w:jc w:val="center"/>
              <w:rPr>
                <w:rFonts w:cs="宋体"/>
                <w:color w:val="auto"/>
                <w:szCs w:val="21"/>
                <w:highlight w:val="none"/>
              </w:rPr>
            </w:pPr>
          </w:p>
        </w:tc>
        <w:tc>
          <w:tcPr>
            <w:tcW w:w="373" w:type="pct"/>
            <w:vAlign w:val="center"/>
          </w:tcPr>
          <w:p w14:paraId="27EE1703">
            <w:pPr>
              <w:keepNext/>
              <w:spacing w:line="360" w:lineRule="auto"/>
              <w:jc w:val="center"/>
              <w:rPr>
                <w:rFonts w:cs="宋体"/>
                <w:color w:val="auto"/>
                <w:szCs w:val="21"/>
                <w:highlight w:val="none"/>
              </w:rPr>
            </w:pPr>
          </w:p>
        </w:tc>
        <w:tc>
          <w:tcPr>
            <w:tcW w:w="1889" w:type="pct"/>
            <w:vAlign w:val="center"/>
          </w:tcPr>
          <w:p w14:paraId="0E06ADE7">
            <w:pPr>
              <w:keepNext/>
              <w:spacing w:line="360" w:lineRule="auto"/>
              <w:jc w:val="center"/>
              <w:rPr>
                <w:rFonts w:cs="宋体"/>
                <w:color w:val="auto"/>
                <w:szCs w:val="21"/>
                <w:highlight w:val="none"/>
              </w:rPr>
            </w:pPr>
          </w:p>
        </w:tc>
        <w:tc>
          <w:tcPr>
            <w:tcW w:w="739" w:type="pct"/>
            <w:vAlign w:val="center"/>
          </w:tcPr>
          <w:p w14:paraId="728CA294">
            <w:pPr>
              <w:keepNext/>
              <w:spacing w:line="360" w:lineRule="auto"/>
              <w:jc w:val="center"/>
              <w:rPr>
                <w:rFonts w:cs="宋体"/>
                <w:color w:val="auto"/>
                <w:szCs w:val="21"/>
                <w:highlight w:val="none"/>
              </w:rPr>
            </w:pPr>
          </w:p>
        </w:tc>
      </w:tr>
      <w:tr w14:paraId="1CBE9D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4261" w:type="pct"/>
            <w:gridSpan w:val="5"/>
            <w:vAlign w:val="center"/>
          </w:tcPr>
          <w:p w14:paraId="06DF8C52">
            <w:pPr>
              <w:keepNext/>
              <w:spacing w:line="360" w:lineRule="auto"/>
              <w:jc w:val="center"/>
              <w:rPr>
                <w:rFonts w:cs="宋体"/>
                <w:color w:val="auto"/>
                <w:szCs w:val="21"/>
                <w:highlight w:val="none"/>
              </w:rPr>
            </w:pPr>
            <w:r>
              <w:rPr>
                <w:rFonts w:hint="eastAsia" w:cs="宋体"/>
                <w:color w:val="auto"/>
                <w:szCs w:val="21"/>
                <w:highlight w:val="none"/>
              </w:rPr>
              <w:t>二、现场人员</w:t>
            </w:r>
          </w:p>
        </w:tc>
        <w:tc>
          <w:tcPr>
            <w:tcW w:w="739" w:type="pct"/>
            <w:vAlign w:val="center"/>
          </w:tcPr>
          <w:p w14:paraId="5EB76525">
            <w:pPr>
              <w:keepNext/>
              <w:spacing w:line="360" w:lineRule="auto"/>
              <w:jc w:val="center"/>
              <w:rPr>
                <w:rFonts w:cs="宋体"/>
                <w:color w:val="auto"/>
                <w:szCs w:val="21"/>
                <w:highlight w:val="none"/>
              </w:rPr>
            </w:pPr>
          </w:p>
        </w:tc>
      </w:tr>
      <w:tr w14:paraId="7B7401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Align w:val="center"/>
          </w:tcPr>
          <w:p w14:paraId="1345EC5C">
            <w:pPr>
              <w:spacing w:line="360" w:lineRule="auto"/>
              <w:jc w:val="center"/>
              <w:rPr>
                <w:rFonts w:cs="宋体"/>
                <w:color w:val="auto"/>
                <w:szCs w:val="22"/>
                <w:highlight w:val="none"/>
              </w:rPr>
            </w:pPr>
            <w:r>
              <w:rPr>
                <w:rFonts w:hint="eastAsia" w:cs="宋体"/>
                <w:color w:val="auto"/>
                <w:szCs w:val="22"/>
                <w:highlight w:val="none"/>
              </w:rPr>
              <w:t>项目经理</w:t>
            </w:r>
          </w:p>
        </w:tc>
        <w:tc>
          <w:tcPr>
            <w:tcW w:w="641" w:type="pct"/>
            <w:vAlign w:val="center"/>
          </w:tcPr>
          <w:p w14:paraId="5ADA7B60">
            <w:pPr>
              <w:keepNext/>
              <w:spacing w:line="360" w:lineRule="auto"/>
              <w:jc w:val="center"/>
              <w:rPr>
                <w:rFonts w:cs="宋体"/>
                <w:color w:val="auto"/>
                <w:szCs w:val="21"/>
                <w:highlight w:val="none"/>
              </w:rPr>
            </w:pPr>
          </w:p>
        </w:tc>
        <w:tc>
          <w:tcPr>
            <w:tcW w:w="513" w:type="pct"/>
            <w:vAlign w:val="center"/>
          </w:tcPr>
          <w:p w14:paraId="0A2B5E18">
            <w:pPr>
              <w:keepNext/>
              <w:spacing w:line="360" w:lineRule="auto"/>
              <w:jc w:val="center"/>
              <w:rPr>
                <w:rFonts w:cs="宋体"/>
                <w:color w:val="auto"/>
                <w:szCs w:val="21"/>
                <w:highlight w:val="none"/>
              </w:rPr>
            </w:pPr>
          </w:p>
        </w:tc>
        <w:tc>
          <w:tcPr>
            <w:tcW w:w="373" w:type="pct"/>
            <w:vAlign w:val="center"/>
          </w:tcPr>
          <w:p w14:paraId="57582725">
            <w:pPr>
              <w:keepNext/>
              <w:spacing w:line="360" w:lineRule="auto"/>
              <w:jc w:val="center"/>
              <w:rPr>
                <w:rFonts w:cs="宋体"/>
                <w:color w:val="auto"/>
                <w:szCs w:val="21"/>
                <w:highlight w:val="none"/>
              </w:rPr>
            </w:pPr>
          </w:p>
        </w:tc>
        <w:tc>
          <w:tcPr>
            <w:tcW w:w="1889" w:type="pct"/>
            <w:vAlign w:val="center"/>
          </w:tcPr>
          <w:p w14:paraId="1557AAF2">
            <w:pPr>
              <w:keepNext/>
              <w:spacing w:line="360" w:lineRule="auto"/>
              <w:jc w:val="center"/>
              <w:rPr>
                <w:rFonts w:cs="宋体"/>
                <w:color w:val="auto"/>
                <w:szCs w:val="21"/>
                <w:highlight w:val="none"/>
              </w:rPr>
            </w:pPr>
          </w:p>
        </w:tc>
        <w:tc>
          <w:tcPr>
            <w:tcW w:w="739" w:type="pct"/>
            <w:vAlign w:val="center"/>
          </w:tcPr>
          <w:p w14:paraId="712292B7">
            <w:pPr>
              <w:keepNext/>
              <w:spacing w:line="360" w:lineRule="auto"/>
              <w:jc w:val="center"/>
              <w:rPr>
                <w:rFonts w:cs="宋体"/>
                <w:color w:val="auto"/>
                <w:szCs w:val="21"/>
                <w:highlight w:val="none"/>
              </w:rPr>
            </w:pPr>
          </w:p>
        </w:tc>
      </w:tr>
      <w:tr w14:paraId="2601FA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Align w:val="center"/>
          </w:tcPr>
          <w:p w14:paraId="5F529DFA">
            <w:pPr>
              <w:spacing w:line="360" w:lineRule="auto"/>
              <w:jc w:val="center"/>
              <w:rPr>
                <w:rFonts w:cs="宋体"/>
                <w:color w:val="auto"/>
                <w:szCs w:val="22"/>
                <w:highlight w:val="none"/>
              </w:rPr>
            </w:pPr>
            <w:r>
              <w:rPr>
                <w:rFonts w:hint="eastAsia" w:cs="宋体"/>
                <w:color w:val="auto"/>
                <w:szCs w:val="22"/>
                <w:highlight w:val="none"/>
              </w:rPr>
              <w:t>项目副经理</w:t>
            </w:r>
          </w:p>
        </w:tc>
        <w:tc>
          <w:tcPr>
            <w:tcW w:w="641" w:type="pct"/>
            <w:vAlign w:val="center"/>
          </w:tcPr>
          <w:p w14:paraId="16DE99F1">
            <w:pPr>
              <w:keepNext/>
              <w:spacing w:line="360" w:lineRule="auto"/>
              <w:jc w:val="center"/>
              <w:rPr>
                <w:rFonts w:cs="宋体"/>
                <w:color w:val="auto"/>
                <w:szCs w:val="21"/>
                <w:highlight w:val="none"/>
              </w:rPr>
            </w:pPr>
          </w:p>
        </w:tc>
        <w:tc>
          <w:tcPr>
            <w:tcW w:w="513" w:type="pct"/>
            <w:vAlign w:val="center"/>
          </w:tcPr>
          <w:p w14:paraId="68638AA9">
            <w:pPr>
              <w:keepNext/>
              <w:spacing w:line="360" w:lineRule="auto"/>
              <w:jc w:val="center"/>
              <w:rPr>
                <w:rFonts w:cs="宋体"/>
                <w:color w:val="auto"/>
                <w:szCs w:val="21"/>
                <w:highlight w:val="none"/>
              </w:rPr>
            </w:pPr>
          </w:p>
        </w:tc>
        <w:tc>
          <w:tcPr>
            <w:tcW w:w="373" w:type="pct"/>
            <w:vAlign w:val="center"/>
          </w:tcPr>
          <w:p w14:paraId="15093241">
            <w:pPr>
              <w:keepNext/>
              <w:spacing w:line="360" w:lineRule="auto"/>
              <w:jc w:val="center"/>
              <w:rPr>
                <w:rFonts w:cs="宋体"/>
                <w:color w:val="auto"/>
                <w:szCs w:val="21"/>
                <w:highlight w:val="none"/>
              </w:rPr>
            </w:pPr>
          </w:p>
        </w:tc>
        <w:tc>
          <w:tcPr>
            <w:tcW w:w="1889" w:type="pct"/>
            <w:vAlign w:val="center"/>
          </w:tcPr>
          <w:p w14:paraId="5B37A75D">
            <w:pPr>
              <w:keepNext/>
              <w:spacing w:line="360" w:lineRule="auto"/>
              <w:jc w:val="center"/>
              <w:rPr>
                <w:rFonts w:cs="宋体"/>
                <w:color w:val="auto"/>
                <w:szCs w:val="21"/>
                <w:highlight w:val="none"/>
              </w:rPr>
            </w:pPr>
          </w:p>
        </w:tc>
        <w:tc>
          <w:tcPr>
            <w:tcW w:w="739" w:type="pct"/>
            <w:vAlign w:val="center"/>
          </w:tcPr>
          <w:p w14:paraId="33B09E40">
            <w:pPr>
              <w:keepNext/>
              <w:spacing w:line="360" w:lineRule="auto"/>
              <w:jc w:val="center"/>
              <w:rPr>
                <w:rFonts w:cs="宋体"/>
                <w:color w:val="auto"/>
                <w:szCs w:val="21"/>
                <w:highlight w:val="none"/>
              </w:rPr>
            </w:pPr>
          </w:p>
        </w:tc>
      </w:tr>
      <w:tr w14:paraId="78D4F6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Align w:val="center"/>
          </w:tcPr>
          <w:p w14:paraId="7B4B8251">
            <w:pPr>
              <w:spacing w:line="360" w:lineRule="auto"/>
              <w:jc w:val="center"/>
              <w:rPr>
                <w:rFonts w:cs="宋体"/>
                <w:color w:val="auto"/>
                <w:szCs w:val="22"/>
                <w:highlight w:val="none"/>
              </w:rPr>
            </w:pPr>
            <w:r>
              <w:rPr>
                <w:rFonts w:hint="eastAsia" w:cs="宋体"/>
                <w:color w:val="auto"/>
                <w:szCs w:val="22"/>
                <w:highlight w:val="none"/>
              </w:rPr>
              <w:t>项目技术负责人</w:t>
            </w:r>
          </w:p>
        </w:tc>
        <w:tc>
          <w:tcPr>
            <w:tcW w:w="641" w:type="pct"/>
            <w:vAlign w:val="center"/>
          </w:tcPr>
          <w:p w14:paraId="780086B9">
            <w:pPr>
              <w:keepNext/>
              <w:spacing w:line="360" w:lineRule="auto"/>
              <w:jc w:val="center"/>
              <w:rPr>
                <w:rFonts w:cs="宋体"/>
                <w:color w:val="auto"/>
                <w:szCs w:val="21"/>
                <w:highlight w:val="none"/>
              </w:rPr>
            </w:pPr>
          </w:p>
        </w:tc>
        <w:tc>
          <w:tcPr>
            <w:tcW w:w="513" w:type="pct"/>
            <w:vAlign w:val="center"/>
          </w:tcPr>
          <w:p w14:paraId="17CE7E49">
            <w:pPr>
              <w:keepNext/>
              <w:spacing w:line="360" w:lineRule="auto"/>
              <w:jc w:val="center"/>
              <w:rPr>
                <w:rFonts w:cs="宋体"/>
                <w:color w:val="auto"/>
                <w:szCs w:val="21"/>
                <w:highlight w:val="none"/>
              </w:rPr>
            </w:pPr>
          </w:p>
        </w:tc>
        <w:tc>
          <w:tcPr>
            <w:tcW w:w="373" w:type="pct"/>
            <w:vAlign w:val="center"/>
          </w:tcPr>
          <w:p w14:paraId="3E37A424">
            <w:pPr>
              <w:keepNext/>
              <w:spacing w:line="360" w:lineRule="auto"/>
              <w:jc w:val="center"/>
              <w:rPr>
                <w:rFonts w:cs="宋体"/>
                <w:color w:val="auto"/>
                <w:szCs w:val="21"/>
                <w:highlight w:val="none"/>
              </w:rPr>
            </w:pPr>
          </w:p>
        </w:tc>
        <w:tc>
          <w:tcPr>
            <w:tcW w:w="1889" w:type="pct"/>
            <w:vAlign w:val="center"/>
          </w:tcPr>
          <w:p w14:paraId="3EEF35DF">
            <w:pPr>
              <w:keepNext/>
              <w:spacing w:line="360" w:lineRule="auto"/>
              <w:jc w:val="center"/>
              <w:rPr>
                <w:rFonts w:cs="宋体"/>
                <w:color w:val="auto"/>
                <w:szCs w:val="21"/>
                <w:highlight w:val="none"/>
              </w:rPr>
            </w:pPr>
          </w:p>
        </w:tc>
        <w:tc>
          <w:tcPr>
            <w:tcW w:w="739" w:type="pct"/>
            <w:vAlign w:val="center"/>
          </w:tcPr>
          <w:p w14:paraId="7412F3D5">
            <w:pPr>
              <w:keepNext/>
              <w:spacing w:line="360" w:lineRule="auto"/>
              <w:jc w:val="center"/>
              <w:rPr>
                <w:rFonts w:cs="宋体"/>
                <w:color w:val="auto"/>
                <w:szCs w:val="21"/>
                <w:highlight w:val="none"/>
              </w:rPr>
            </w:pPr>
          </w:p>
        </w:tc>
      </w:tr>
      <w:tr w14:paraId="0024E8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Align w:val="center"/>
          </w:tcPr>
          <w:p w14:paraId="03BA38FB">
            <w:pPr>
              <w:spacing w:line="360" w:lineRule="auto"/>
              <w:jc w:val="center"/>
              <w:rPr>
                <w:rFonts w:cs="宋体"/>
                <w:color w:val="auto"/>
                <w:szCs w:val="22"/>
                <w:highlight w:val="none"/>
              </w:rPr>
            </w:pPr>
            <w:r>
              <w:rPr>
                <w:rFonts w:hint="eastAsia" w:cs="宋体"/>
                <w:color w:val="auto"/>
                <w:szCs w:val="22"/>
                <w:highlight w:val="none"/>
              </w:rPr>
              <w:t>施工员</w:t>
            </w:r>
          </w:p>
        </w:tc>
        <w:tc>
          <w:tcPr>
            <w:tcW w:w="641" w:type="pct"/>
            <w:vAlign w:val="center"/>
          </w:tcPr>
          <w:p w14:paraId="42BF7884">
            <w:pPr>
              <w:keepNext/>
              <w:spacing w:line="360" w:lineRule="auto"/>
              <w:jc w:val="center"/>
              <w:rPr>
                <w:rFonts w:cs="宋体"/>
                <w:color w:val="auto"/>
                <w:szCs w:val="21"/>
                <w:highlight w:val="none"/>
              </w:rPr>
            </w:pPr>
          </w:p>
        </w:tc>
        <w:tc>
          <w:tcPr>
            <w:tcW w:w="513" w:type="pct"/>
            <w:vAlign w:val="center"/>
          </w:tcPr>
          <w:p w14:paraId="2A374F00">
            <w:pPr>
              <w:keepNext/>
              <w:spacing w:line="360" w:lineRule="auto"/>
              <w:jc w:val="center"/>
              <w:rPr>
                <w:rFonts w:cs="宋体"/>
                <w:color w:val="auto"/>
                <w:szCs w:val="21"/>
                <w:highlight w:val="none"/>
              </w:rPr>
            </w:pPr>
          </w:p>
        </w:tc>
        <w:tc>
          <w:tcPr>
            <w:tcW w:w="373" w:type="pct"/>
            <w:vAlign w:val="center"/>
          </w:tcPr>
          <w:p w14:paraId="54B8C55C">
            <w:pPr>
              <w:keepNext/>
              <w:spacing w:line="360" w:lineRule="auto"/>
              <w:jc w:val="center"/>
              <w:rPr>
                <w:rFonts w:cs="宋体"/>
                <w:color w:val="auto"/>
                <w:szCs w:val="21"/>
                <w:highlight w:val="none"/>
              </w:rPr>
            </w:pPr>
          </w:p>
        </w:tc>
        <w:tc>
          <w:tcPr>
            <w:tcW w:w="1889" w:type="pct"/>
            <w:vAlign w:val="center"/>
          </w:tcPr>
          <w:p w14:paraId="56B45D45">
            <w:pPr>
              <w:keepNext/>
              <w:spacing w:line="360" w:lineRule="auto"/>
              <w:jc w:val="center"/>
              <w:rPr>
                <w:rFonts w:cs="宋体"/>
                <w:color w:val="auto"/>
                <w:szCs w:val="21"/>
                <w:highlight w:val="none"/>
              </w:rPr>
            </w:pPr>
          </w:p>
        </w:tc>
        <w:tc>
          <w:tcPr>
            <w:tcW w:w="739" w:type="pct"/>
            <w:vAlign w:val="center"/>
          </w:tcPr>
          <w:p w14:paraId="5A318B4D">
            <w:pPr>
              <w:keepNext/>
              <w:spacing w:line="360" w:lineRule="auto"/>
              <w:jc w:val="center"/>
              <w:rPr>
                <w:rFonts w:cs="宋体"/>
                <w:color w:val="auto"/>
                <w:szCs w:val="21"/>
                <w:highlight w:val="none"/>
              </w:rPr>
            </w:pPr>
          </w:p>
        </w:tc>
      </w:tr>
      <w:tr w14:paraId="3E9E43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Align w:val="center"/>
          </w:tcPr>
          <w:p w14:paraId="59BD4799">
            <w:pPr>
              <w:spacing w:line="360" w:lineRule="auto"/>
              <w:jc w:val="center"/>
              <w:rPr>
                <w:rFonts w:cs="宋体"/>
                <w:color w:val="auto"/>
                <w:szCs w:val="22"/>
                <w:highlight w:val="none"/>
              </w:rPr>
            </w:pPr>
            <w:r>
              <w:rPr>
                <w:rFonts w:hint="eastAsia" w:cs="宋体"/>
                <w:color w:val="auto"/>
                <w:szCs w:val="22"/>
                <w:highlight w:val="none"/>
              </w:rPr>
              <w:t>质检员（质量员）</w:t>
            </w:r>
          </w:p>
        </w:tc>
        <w:tc>
          <w:tcPr>
            <w:tcW w:w="641" w:type="pct"/>
            <w:vAlign w:val="center"/>
          </w:tcPr>
          <w:p w14:paraId="43042343">
            <w:pPr>
              <w:keepNext/>
              <w:spacing w:line="360" w:lineRule="auto"/>
              <w:jc w:val="center"/>
              <w:rPr>
                <w:rFonts w:cs="宋体"/>
                <w:color w:val="auto"/>
                <w:szCs w:val="21"/>
                <w:highlight w:val="none"/>
              </w:rPr>
            </w:pPr>
          </w:p>
        </w:tc>
        <w:tc>
          <w:tcPr>
            <w:tcW w:w="513" w:type="pct"/>
            <w:vAlign w:val="center"/>
          </w:tcPr>
          <w:p w14:paraId="17E87F3B">
            <w:pPr>
              <w:keepNext/>
              <w:spacing w:line="360" w:lineRule="auto"/>
              <w:jc w:val="center"/>
              <w:rPr>
                <w:rFonts w:cs="宋体"/>
                <w:color w:val="auto"/>
                <w:szCs w:val="21"/>
                <w:highlight w:val="none"/>
              </w:rPr>
            </w:pPr>
          </w:p>
        </w:tc>
        <w:tc>
          <w:tcPr>
            <w:tcW w:w="373" w:type="pct"/>
            <w:vAlign w:val="center"/>
          </w:tcPr>
          <w:p w14:paraId="0D5893FA">
            <w:pPr>
              <w:keepNext/>
              <w:spacing w:line="360" w:lineRule="auto"/>
              <w:jc w:val="center"/>
              <w:rPr>
                <w:rFonts w:cs="宋体"/>
                <w:color w:val="auto"/>
                <w:szCs w:val="21"/>
                <w:highlight w:val="none"/>
              </w:rPr>
            </w:pPr>
          </w:p>
        </w:tc>
        <w:tc>
          <w:tcPr>
            <w:tcW w:w="1889" w:type="pct"/>
            <w:vAlign w:val="center"/>
          </w:tcPr>
          <w:p w14:paraId="623184B9">
            <w:pPr>
              <w:keepNext/>
              <w:spacing w:line="360" w:lineRule="auto"/>
              <w:jc w:val="center"/>
              <w:rPr>
                <w:rFonts w:cs="宋体"/>
                <w:color w:val="auto"/>
                <w:szCs w:val="21"/>
                <w:highlight w:val="none"/>
              </w:rPr>
            </w:pPr>
          </w:p>
        </w:tc>
        <w:tc>
          <w:tcPr>
            <w:tcW w:w="739" w:type="pct"/>
            <w:vAlign w:val="center"/>
          </w:tcPr>
          <w:p w14:paraId="7506A5F4">
            <w:pPr>
              <w:keepNext/>
              <w:spacing w:line="360" w:lineRule="auto"/>
              <w:jc w:val="center"/>
              <w:rPr>
                <w:rFonts w:cs="宋体"/>
                <w:color w:val="auto"/>
                <w:szCs w:val="21"/>
                <w:highlight w:val="none"/>
              </w:rPr>
            </w:pPr>
          </w:p>
        </w:tc>
      </w:tr>
      <w:tr w14:paraId="7773E2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845" w:type="pct"/>
            <w:vAlign w:val="center"/>
          </w:tcPr>
          <w:p w14:paraId="226C4791">
            <w:pPr>
              <w:spacing w:line="360" w:lineRule="auto"/>
              <w:jc w:val="center"/>
              <w:rPr>
                <w:rFonts w:cs="宋体"/>
                <w:color w:val="auto"/>
                <w:szCs w:val="22"/>
                <w:highlight w:val="none"/>
              </w:rPr>
            </w:pPr>
            <w:r>
              <w:rPr>
                <w:rFonts w:hint="eastAsia" w:cs="宋体"/>
                <w:color w:val="auto"/>
                <w:szCs w:val="22"/>
                <w:highlight w:val="none"/>
              </w:rPr>
              <w:t>安全员</w:t>
            </w:r>
          </w:p>
        </w:tc>
        <w:tc>
          <w:tcPr>
            <w:tcW w:w="641" w:type="pct"/>
            <w:vAlign w:val="center"/>
          </w:tcPr>
          <w:p w14:paraId="5E4ABCF1">
            <w:pPr>
              <w:keepNext/>
              <w:spacing w:line="360" w:lineRule="auto"/>
              <w:jc w:val="center"/>
              <w:rPr>
                <w:rFonts w:cs="宋体"/>
                <w:color w:val="auto"/>
                <w:szCs w:val="21"/>
                <w:highlight w:val="none"/>
              </w:rPr>
            </w:pPr>
          </w:p>
        </w:tc>
        <w:tc>
          <w:tcPr>
            <w:tcW w:w="513" w:type="pct"/>
            <w:vAlign w:val="center"/>
          </w:tcPr>
          <w:p w14:paraId="7B50441A">
            <w:pPr>
              <w:keepNext/>
              <w:spacing w:line="360" w:lineRule="auto"/>
              <w:jc w:val="center"/>
              <w:rPr>
                <w:rFonts w:cs="宋体"/>
                <w:color w:val="auto"/>
                <w:szCs w:val="21"/>
                <w:highlight w:val="none"/>
              </w:rPr>
            </w:pPr>
          </w:p>
        </w:tc>
        <w:tc>
          <w:tcPr>
            <w:tcW w:w="373" w:type="pct"/>
            <w:vAlign w:val="center"/>
          </w:tcPr>
          <w:p w14:paraId="3F4F05EF">
            <w:pPr>
              <w:keepNext/>
              <w:spacing w:line="360" w:lineRule="auto"/>
              <w:jc w:val="center"/>
              <w:rPr>
                <w:rFonts w:cs="宋体"/>
                <w:color w:val="auto"/>
                <w:szCs w:val="21"/>
                <w:highlight w:val="none"/>
              </w:rPr>
            </w:pPr>
          </w:p>
        </w:tc>
        <w:tc>
          <w:tcPr>
            <w:tcW w:w="1889" w:type="pct"/>
            <w:vAlign w:val="center"/>
          </w:tcPr>
          <w:p w14:paraId="01BC6CD9">
            <w:pPr>
              <w:keepNext/>
              <w:spacing w:line="360" w:lineRule="auto"/>
              <w:jc w:val="center"/>
              <w:rPr>
                <w:rFonts w:cs="宋体"/>
                <w:color w:val="auto"/>
                <w:szCs w:val="21"/>
                <w:highlight w:val="none"/>
              </w:rPr>
            </w:pPr>
          </w:p>
        </w:tc>
        <w:tc>
          <w:tcPr>
            <w:tcW w:w="739" w:type="pct"/>
            <w:vAlign w:val="center"/>
          </w:tcPr>
          <w:p w14:paraId="4BF2F8EE">
            <w:pPr>
              <w:keepNext/>
              <w:spacing w:line="360" w:lineRule="auto"/>
              <w:jc w:val="center"/>
              <w:rPr>
                <w:rFonts w:cs="宋体"/>
                <w:color w:val="auto"/>
                <w:szCs w:val="21"/>
                <w:highlight w:val="none"/>
              </w:rPr>
            </w:pPr>
          </w:p>
        </w:tc>
      </w:tr>
      <w:tr w14:paraId="4E0349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Align w:val="center"/>
          </w:tcPr>
          <w:p w14:paraId="64673DFC">
            <w:pPr>
              <w:spacing w:line="360" w:lineRule="auto"/>
              <w:jc w:val="center"/>
              <w:rPr>
                <w:rFonts w:cs="宋体"/>
                <w:color w:val="auto"/>
                <w:szCs w:val="22"/>
                <w:highlight w:val="none"/>
              </w:rPr>
            </w:pPr>
            <w:r>
              <w:rPr>
                <w:rFonts w:hint="eastAsia" w:cs="宋体"/>
                <w:color w:val="auto"/>
                <w:szCs w:val="22"/>
                <w:highlight w:val="none"/>
              </w:rPr>
              <w:t>资料员</w:t>
            </w:r>
          </w:p>
        </w:tc>
        <w:tc>
          <w:tcPr>
            <w:tcW w:w="641" w:type="pct"/>
            <w:vAlign w:val="center"/>
          </w:tcPr>
          <w:p w14:paraId="27A43945">
            <w:pPr>
              <w:keepNext/>
              <w:spacing w:line="360" w:lineRule="auto"/>
              <w:jc w:val="center"/>
              <w:rPr>
                <w:rFonts w:cs="宋体"/>
                <w:color w:val="auto"/>
                <w:szCs w:val="21"/>
                <w:highlight w:val="none"/>
              </w:rPr>
            </w:pPr>
          </w:p>
        </w:tc>
        <w:tc>
          <w:tcPr>
            <w:tcW w:w="513" w:type="pct"/>
            <w:vAlign w:val="center"/>
          </w:tcPr>
          <w:p w14:paraId="5C48DD14">
            <w:pPr>
              <w:keepNext/>
              <w:spacing w:line="360" w:lineRule="auto"/>
              <w:jc w:val="center"/>
              <w:rPr>
                <w:rFonts w:cs="宋体"/>
                <w:color w:val="auto"/>
                <w:szCs w:val="21"/>
                <w:highlight w:val="none"/>
              </w:rPr>
            </w:pPr>
          </w:p>
        </w:tc>
        <w:tc>
          <w:tcPr>
            <w:tcW w:w="373" w:type="pct"/>
            <w:vAlign w:val="center"/>
          </w:tcPr>
          <w:p w14:paraId="310855A4">
            <w:pPr>
              <w:keepNext/>
              <w:spacing w:line="360" w:lineRule="auto"/>
              <w:jc w:val="center"/>
              <w:rPr>
                <w:rFonts w:cs="宋体"/>
                <w:color w:val="auto"/>
                <w:szCs w:val="21"/>
                <w:highlight w:val="none"/>
              </w:rPr>
            </w:pPr>
          </w:p>
        </w:tc>
        <w:tc>
          <w:tcPr>
            <w:tcW w:w="1889" w:type="pct"/>
            <w:vAlign w:val="center"/>
          </w:tcPr>
          <w:p w14:paraId="4A42312A">
            <w:pPr>
              <w:keepNext/>
              <w:spacing w:line="360" w:lineRule="auto"/>
              <w:jc w:val="center"/>
              <w:rPr>
                <w:rFonts w:cs="宋体"/>
                <w:color w:val="auto"/>
                <w:szCs w:val="21"/>
                <w:highlight w:val="none"/>
              </w:rPr>
            </w:pPr>
          </w:p>
        </w:tc>
        <w:tc>
          <w:tcPr>
            <w:tcW w:w="739" w:type="pct"/>
            <w:vAlign w:val="center"/>
          </w:tcPr>
          <w:p w14:paraId="6F4B14D2">
            <w:pPr>
              <w:keepNext/>
              <w:spacing w:line="360" w:lineRule="auto"/>
              <w:jc w:val="center"/>
              <w:rPr>
                <w:rFonts w:cs="宋体"/>
                <w:color w:val="auto"/>
                <w:szCs w:val="21"/>
                <w:highlight w:val="none"/>
              </w:rPr>
            </w:pPr>
          </w:p>
        </w:tc>
      </w:tr>
      <w:tr w14:paraId="639E10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Merge w:val="restart"/>
            <w:vAlign w:val="center"/>
          </w:tcPr>
          <w:p w14:paraId="4CD1F0A0">
            <w:pPr>
              <w:keepNext/>
              <w:spacing w:line="360" w:lineRule="auto"/>
              <w:jc w:val="center"/>
              <w:rPr>
                <w:rFonts w:cs="宋体"/>
                <w:color w:val="auto"/>
                <w:szCs w:val="21"/>
                <w:highlight w:val="none"/>
              </w:rPr>
            </w:pPr>
            <w:r>
              <w:rPr>
                <w:rFonts w:hint="eastAsia" w:cs="宋体"/>
                <w:color w:val="auto"/>
                <w:szCs w:val="21"/>
                <w:highlight w:val="none"/>
              </w:rPr>
              <w:t>其他人员</w:t>
            </w:r>
          </w:p>
        </w:tc>
        <w:tc>
          <w:tcPr>
            <w:tcW w:w="641" w:type="pct"/>
            <w:vAlign w:val="center"/>
          </w:tcPr>
          <w:p w14:paraId="2DA351A7">
            <w:pPr>
              <w:keepNext/>
              <w:spacing w:line="360" w:lineRule="auto"/>
              <w:jc w:val="center"/>
              <w:rPr>
                <w:rFonts w:cs="宋体"/>
                <w:color w:val="auto"/>
                <w:szCs w:val="21"/>
                <w:highlight w:val="none"/>
              </w:rPr>
            </w:pPr>
          </w:p>
        </w:tc>
        <w:tc>
          <w:tcPr>
            <w:tcW w:w="513" w:type="pct"/>
            <w:vAlign w:val="center"/>
          </w:tcPr>
          <w:p w14:paraId="5B948475">
            <w:pPr>
              <w:keepNext/>
              <w:spacing w:line="360" w:lineRule="auto"/>
              <w:jc w:val="center"/>
              <w:rPr>
                <w:rFonts w:cs="宋体"/>
                <w:color w:val="auto"/>
                <w:szCs w:val="21"/>
                <w:highlight w:val="none"/>
              </w:rPr>
            </w:pPr>
          </w:p>
        </w:tc>
        <w:tc>
          <w:tcPr>
            <w:tcW w:w="373" w:type="pct"/>
            <w:vAlign w:val="center"/>
          </w:tcPr>
          <w:p w14:paraId="5A492E08">
            <w:pPr>
              <w:keepNext/>
              <w:spacing w:line="360" w:lineRule="auto"/>
              <w:jc w:val="center"/>
              <w:rPr>
                <w:rFonts w:cs="宋体"/>
                <w:color w:val="auto"/>
                <w:szCs w:val="21"/>
                <w:highlight w:val="none"/>
              </w:rPr>
            </w:pPr>
          </w:p>
        </w:tc>
        <w:tc>
          <w:tcPr>
            <w:tcW w:w="1889" w:type="pct"/>
            <w:vAlign w:val="center"/>
          </w:tcPr>
          <w:p w14:paraId="3F8E74AB">
            <w:pPr>
              <w:keepNext/>
              <w:spacing w:line="360" w:lineRule="auto"/>
              <w:jc w:val="center"/>
              <w:rPr>
                <w:rFonts w:cs="宋体"/>
                <w:color w:val="auto"/>
                <w:szCs w:val="21"/>
                <w:highlight w:val="none"/>
              </w:rPr>
            </w:pPr>
          </w:p>
        </w:tc>
        <w:tc>
          <w:tcPr>
            <w:tcW w:w="739" w:type="pct"/>
            <w:vAlign w:val="center"/>
          </w:tcPr>
          <w:p w14:paraId="1D63ACFE">
            <w:pPr>
              <w:keepNext/>
              <w:spacing w:line="360" w:lineRule="auto"/>
              <w:jc w:val="center"/>
              <w:rPr>
                <w:rFonts w:cs="宋体"/>
                <w:color w:val="auto"/>
                <w:szCs w:val="21"/>
                <w:highlight w:val="none"/>
              </w:rPr>
            </w:pPr>
          </w:p>
        </w:tc>
      </w:tr>
      <w:tr w14:paraId="2840E0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Merge w:val="continue"/>
            <w:vAlign w:val="center"/>
          </w:tcPr>
          <w:p w14:paraId="0A5B98E1">
            <w:pPr>
              <w:keepNext/>
              <w:spacing w:line="360" w:lineRule="auto"/>
              <w:jc w:val="center"/>
              <w:rPr>
                <w:rFonts w:cs="宋体"/>
                <w:color w:val="auto"/>
                <w:szCs w:val="21"/>
                <w:highlight w:val="none"/>
              </w:rPr>
            </w:pPr>
          </w:p>
        </w:tc>
        <w:tc>
          <w:tcPr>
            <w:tcW w:w="641" w:type="pct"/>
            <w:tcBorders>
              <w:bottom w:val="nil"/>
            </w:tcBorders>
            <w:vAlign w:val="center"/>
          </w:tcPr>
          <w:p w14:paraId="4BF07A6D">
            <w:pPr>
              <w:keepNext/>
              <w:spacing w:line="360" w:lineRule="auto"/>
              <w:jc w:val="center"/>
              <w:rPr>
                <w:rFonts w:cs="宋体"/>
                <w:color w:val="auto"/>
                <w:szCs w:val="21"/>
                <w:highlight w:val="none"/>
              </w:rPr>
            </w:pPr>
          </w:p>
        </w:tc>
        <w:tc>
          <w:tcPr>
            <w:tcW w:w="513" w:type="pct"/>
            <w:tcBorders>
              <w:bottom w:val="nil"/>
            </w:tcBorders>
            <w:vAlign w:val="center"/>
          </w:tcPr>
          <w:p w14:paraId="1AD1F1AA">
            <w:pPr>
              <w:keepNext/>
              <w:spacing w:line="360" w:lineRule="auto"/>
              <w:jc w:val="center"/>
              <w:rPr>
                <w:rFonts w:cs="宋体"/>
                <w:color w:val="auto"/>
                <w:szCs w:val="21"/>
                <w:highlight w:val="none"/>
              </w:rPr>
            </w:pPr>
          </w:p>
        </w:tc>
        <w:tc>
          <w:tcPr>
            <w:tcW w:w="373" w:type="pct"/>
            <w:tcBorders>
              <w:bottom w:val="nil"/>
            </w:tcBorders>
            <w:vAlign w:val="center"/>
          </w:tcPr>
          <w:p w14:paraId="1AE32616">
            <w:pPr>
              <w:keepNext/>
              <w:spacing w:line="360" w:lineRule="auto"/>
              <w:jc w:val="center"/>
              <w:rPr>
                <w:rFonts w:cs="宋体"/>
                <w:color w:val="auto"/>
                <w:szCs w:val="21"/>
                <w:highlight w:val="none"/>
              </w:rPr>
            </w:pPr>
          </w:p>
        </w:tc>
        <w:tc>
          <w:tcPr>
            <w:tcW w:w="1889" w:type="pct"/>
            <w:tcBorders>
              <w:bottom w:val="nil"/>
            </w:tcBorders>
            <w:vAlign w:val="center"/>
          </w:tcPr>
          <w:p w14:paraId="7D94F660">
            <w:pPr>
              <w:keepNext/>
              <w:spacing w:line="360" w:lineRule="auto"/>
              <w:jc w:val="center"/>
              <w:rPr>
                <w:rFonts w:cs="宋体"/>
                <w:color w:val="auto"/>
                <w:szCs w:val="21"/>
                <w:highlight w:val="none"/>
              </w:rPr>
            </w:pPr>
          </w:p>
        </w:tc>
        <w:tc>
          <w:tcPr>
            <w:tcW w:w="739" w:type="pct"/>
            <w:tcBorders>
              <w:bottom w:val="nil"/>
            </w:tcBorders>
            <w:vAlign w:val="center"/>
          </w:tcPr>
          <w:p w14:paraId="5A2F5FD0">
            <w:pPr>
              <w:keepNext/>
              <w:spacing w:line="360" w:lineRule="auto"/>
              <w:jc w:val="center"/>
              <w:rPr>
                <w:rFonts w:cs="宋体"/>
                <w:color w:val="auto"/>
                <w:szCs w:val="21"/>
                <w:highlight w:val="none"/>
              </w:rPr>
            </w:pPr>
          </w:p>
        </w:tc>
      </w:tr>
      <w:tr w14:paraId="5E9F7D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Merge w:val="continue"/>
            <w:vAlign w:val="center"/>
          </w:tcPr>
          <w:p w14:paraId="7B57A2B0">
            <w:pPr>
              <w:keepNext/>
              <w:spacing w:line="360" w:lineRule="auto"/>
              <w:jc w:val="center"/>
              <w:rPr>
                <w:rFonts w:cs="宋体"/>
                <w:color w:val="auto"/>
                <w:szCs w:val="21"/>
                <w:highlight w:val="none"/>
              </w:rPr>
            </w:pPr>
          </w:p>
        </w:tc>
        <w:tc>
          <w:tcPr>
            <w:tcW w:w="641" w:type="pct"/>
            <w:vAlign w:val="center"/>
          </w:tcPr>
          <w:p w14:paraId="6D0CD708">
            <w:pPr>
              <w:keepNext/>
              <w:spacing w:line="360" w:lineRule="auto"/>
              <w:jc w:val="center"/>
              <w:rPr>
                <w:rFonts w:cs="宋体"/>
                <w:color w:val="auto"/>
                <w:szCs w:val="21"/>
                <w:highlight w:val="none"/>
              </w:rPr>
            </w:pPr>
          </w:p>
        </w:tc>
        <w:tc>
          <w:tcPr>
            <w:tcW w:w="513" w:type="pct"/>
            <w:vAlign w:val="center"/>
          </w:tcPr>
          <w:p w14:paraId="3B437CCE">
            <w:pPr>
              <w:keepNext/>
              <w:spacing w:line="360" w:lineRule="auto"/>
              <w:jc w:val="center"/>
              <w:rPr>
                <w:rFonts w:cs="宋体"/>
                <w:color w:val="auto"/>
                <w:szCs w:val="21"/>
                <w:highlight w:val="none"/>
              </w:rPr>
            </w:pPr>
          </w:p>
        </w:tc>
        <w:tc>
          <w:tcPr>
            <w:tcW w:w="373" w:type="pct"/>
            <w:vAlign w:val="center"/>
          </w:tcPr>
          <w:p w14:paraId="70FBE4B8">
            <w:pPr>
              <w:keepNext/>
              <w:spacing w:line="360" w:lineRule="auto"/>
              <w:jc w:val="center"/>
              <w:rPr>
                <w:rFonts w:cs="宋体"/>
                <w:color w:val="auto"/>
                <w:szCs w:val="21"/>
                <w:highlight w:val="none"/>
              </w:rPr>
            </w:pPr>
          </w:p>
        </w:tc>
        <w:tc>
          <w:tcPr>
            <w:tcW w:w="1889" w:type="pct"/>
            <w:vAlign w:val="center"/>
          </w:tcPr>
          <w:p w14:paraId="51D2CDEA">
            <w:pPr>
              <w:keepNext/>
              <w:spacing w:line="360" w:lineRule="auto"/>
              <w:jc w:val="center"/>
              <w:rPr>
                <w:rFonts w:cs="宋体"/>
                <w:color w:val="auto"/>
                <w:szCs w:val="21"/>
                <w:highlight w:val="none"/>
              </w:rPr>
            </w:pPr>
          </w:p>
        </w:tc>
        <w:tc>
          <w:tcPr>
            <w:tcW w:w="739" w:type="pct"/>
            <w:vAlign w:val="center"/>
          </w:tcPr>
          <w:p w14:paraId="30F3975E">
            <w:pPr>
              <w:keepNext/>
              <w:spacing w:line="360" w:lineRule="auto"/>
              <w:jc w:val="center"/>
              <w:rPr>
                <w:rFonts w:cs="宋体"/>
                <w:color w:val="auto"/>
                <w:szCs w:val="21"/>
                <w:highlight w:val="none"/>
              </w:rPr>
            </w:pPr>
          </w:p>
        </w:tc>
      </w:tr>
      <w:tr w14:paraId="5DF458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Merge w:val="continue"/>
            <w:vAlign w:val="center"/>
          </w:tcPr>
          <w:p w14:paraId="7792DED9">
            <w:pPr>
              <w:keepNext/>
              <w:spacing w:line="360" w:lineRule="auto"/>
              <w:jc w:val="center"/>
              <w:rPr>
                <w:rFonts w:cs="宋体"/>
                <w:color w:val="auto"/>
                <w:szCs w:val="21"/>
                <w:highlight w:val="none"/>
              </w:rPr>
            </w:pPr>
          </w:p>
        </w:tc>
        <w:tc>
          <w:tcPr>
            <w:tcW w:w="641" w:type="pct"/>
            <w:vAlign w:val="center"/>
          </w:tcPr>
          <w:p w14:paraId="6D65FFF6">
            <w:pPr>
              <w:keepNext/>
              <w:spacing w:line="360" w:lineRule="auto"/>
              <w:jc w:val="center"/>
              <w:rPr>
                <w:rFonts w:cs="宋体"/>
                <w:color w:val="auto"/>
                <w:szCs w:val="21"/>
                <w:highlight w:val="none"/>
              </w:rPr>
            </w:pPr>
          </w:p>
        </w:tc>
        <w:tc>
          <w:tcPr>
            <w:tcW w:w="513" w:type="pct"/>
            <w:vAlign w:val="center"/>
          </w:tcPr>
          <w:p w14:paraId="3B910B0C">
            <w:pPr>
              <w:keepNext/>
              <w:spacing w:line="360" w:lineRule="auto"/>
              <w:jc w:val="center"/>
              <w:rPr>
                <w:rFonts w:cs="宋体"/>
                <w:color w:val="auto"/>
                <w:szCs w:val="21"/>
                <w:highlight w:val="none"/>
              </w:rPr>
            </w:pPr>
          </w:p>
        </w:tc>
        <w:tc>
          <w:tcPr>
            <w:tcW w:w="373" w:type="pct"/>
            <w:vAlign w:val="center"/>
          </w:tcPr>
          <w:p w14:paraId="16EF5B69">
            <w:pPr>
              <w:keepNext/>
              <w:spacing w:line="360" w:lineRule="auto"/>
              <w:jc w:val="center"/>
              <w:rPr>
                <w:rFonts w:cs="宋体"/>
                <w:color w:val="auto"/>
                <w:szCs w:val="21"/>
                <w:highlight w:val="none"/>
              </w:rPr>
            </w:pPr>
          </w:p>
        </w:tc>
        <w:tc>
          <w:tcPr>
            <w:tcW w:w="1889" w:type="pct"/>
            <w:vAlign w:val="center"/>
          </w:tcPr>
          <w:p w14:paraId="3FE7099E">
            <w:pPr>
              <w:keepNext/>
              <w:spacing w:line="360" w:lineRule="auto"/>
              <w:jc w:val="center"/>
              <w:rPr>
                <w:rFonts w:cs="宋体"/>
                <w:color w:val="auto"/>
                <w:szCs w:val="21"/>
                <w:highlight w:val="none"/>
              </w:rPr>
            </w:pPr>
          </w:p>
        </w:tc>
        <w:tc>
          <w:tcPr>
            <w:tcW w:w="739" w:type="pct"/>
            <w:vAlign w:val="center"/>
          </w:tcPr>
          <w:p w14:paraId="60919054">
            <w:pPr>
              <w:keepNext/>
              <w:spacing w:line="360" w:lineRule="auto"/>
              <w:jc w:val="center"/>
              <w:rPr>
                <w:rFonts w:cs="宋体"/>
                <w:color w:val="auto"/>
                <w:szCs w:val="21"/>
                <w:highlight w:val="none"/>
              </w:rPr>
            </w:pPr>
          </w:p>
        </w:tc>
      </w:tr>
      <w:tr w14:paraId="1002D5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Merge w:val="continue"/>
            <w:vAlign w:val="center"/>
          </w:tcPr>
          <w:p w14:paraId="20E99A35">
            <w:pPr>
              <w:keepNext/>
              <w:spacing w:line="360" w:lineRule="auto"/>
              <w:jc w:val="center"/>
              <w:rPr>
                <w:rFonts w:cs="宋体"/>
                <w:color w:val="auto"/>
                <w:szCs w:val="21"/>
                <w:highlight w:val="none"/>
              </w:rPr>
            </w:pPr>
          </w:p>
        </w:tc>
        <w:tc>
          <w:tcPr>
            <w:tcW w:w="641" w:type="pct"/>
            <w:vAlign w:val="center"/>
          </w:tcPr>
          <w:p w14:paraId="163C378D">
            <w:pPr>
              <w:keepNext/>
              <w:spacing w:line="360" w:lineRule="auto"/>
              <w:jc w:val="center"/>
              <w:rPr>
                <w:rFonts w:cs="宋体"/>
                <w:color w:val="auto"/>
                <w:szCs w:val="21"/>
                <w:highlight w:val="none"/>
              </w:rPr>
            </w:pPr>
          </w:p>
        </w:tc>
        <w:tc>
          <w:tcPr>
            <w:tcW w:w="513" w:type="pct"/>
            <w:vAlign w:val="center"/>
          </w:tcPr>
          <w:p w14:paraId="66D4A5F4">
            <w:pPr>
              <w:keepNext/>
              <w:spacing w:line="360" w:lineRule="auto"/>
              <w:jc w:val="center"/>
              <w:rPr>
                <w:rFonts w:cs="宋体"/>
                <w:color w:val="auto"/>
                <w:szCs w:val="21"/>
                <w:highlight w:val="none"/>
              </w:rPr>
            </w:pPr>
          </w:p>
        </w:tc>
        <w:tc>
          <w:tcPr>
            <w:tcW w:w="373" w:type="pct"/>
            <w:vAlign w:val="center"/>
          </w:tcPr>
          <w:p w14:paraId="1536546D">
            <w:pPr>
              <w:keepNext/>
              <w:spacing w:line="360" w:lineRule="auto"/>
              <w:jc w:val="center"/>
              <w:rPr>
                <w:rFonts w:cs="宋体"/>
                <w:color w:val="auto"/>
                <w:szCs w:val="21"/>
                <w:highlight w:val="none"/>
              </w:rPr>
            </w:pPr>
          </w:p>
        </w:tc>
        <w:tc>
          <w:tcPr>
            <w:tcW w:w="1889" w:type="pct"/>
            <w:vAlign w:val="center"/>
          </w:tcPr>
          <w:p w14:paraId="547FD911">
            <w:pPr>
              <w:keepNext/>
              <w:spacing w:line="360" w:lineRule="auto"/>
              <w:jc w:val="center"/>
              <w:rPr>
                <w:rFonts w:cs="宋体"/>
                <w:color w:val="auto"/>
                <w:szCs w:val="21"/>
                <w:highlight w:val="none"/>
              </w:rPr>
            </w:pPr>
          </w:p>
        </w:tc>
        <w:tc>
          <w:tcPr>
            <w:tcW w:w="739" w:type="pct"/>
            <w:vAlign w:val="center"/>
          </w:tcPr>
          <w:p w14:paraId="00FA6C0F">
            <w:pPr>
              <w:keepNext/>
              <w:spacing w:line="360" w:lineRule="auto"/>
              <w:jc w:val="center"/>
              <w:rPr>
                <w:rFonts w:cs="宋体"/>
                <w:color w:val="auto"/>
                <w:szCs w:val="21"/>
                <w:highlight w:val="none"/>
              </w:rPr>
            </w:pPr>
          </w:p>
        </w:tc>
      </w:tr>
      <w:tr w14:paraId="066BB3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Merge w:val="continue"/>
            <w:tcBorders>
              <w:bottom w:val="single" w:color="auto" w:sz="12" w:space="0"/>
            </w:tcBorders>
            <w:vAlign w:val="center"/>
          </w:tcPr>
          <w:p w14:paraId="45C57402">
            <w:pPr>
              <w:keepNext/>
              <w:spacing w:line="360" w:lineRule="auto"/>
              <w:jc w:val="center"/>
              <w:rPr>
                <w:rFonts w:cs="宋体"/>
                <w:color w:val="auto"/>
                <w:szCs w:val="21"/>
                <w:highlight w:val="none"/>
              </w:rPr>
            </w:pPr>
          </w:p>
        </w:tc>
        <w:tc>
          <w:tcPr>
            <w:tcW w:w="641" w:type="pct"/>
            <w:tcBorders>
              <w:bottom w:val="single" w:color="auto" w:sz="12" w:space="0"/>
            </w:tcBorders>
            <w:vAlign w:val="center"/>
          </w:tcPr>
          <w:p w14:paraId="16A54899">
            <w:pPr>
              <w:keepNext/>
              <w:spacing w:line="360" w:lineRule="auto"/>
              <w:jc w:val="center"/>
              <w:rPr>
                <w:rFonts w:cs="宋体"/>
                <w:color w:val="auto"/>
                <w:szCs w:val="21"/>
                <w:highlight w:val="none"/>
              </w:rPr>
            </w:pPr>
          </w:p>
        </w:tc>
        <w:tc>
          <w:tcPr>
            <w:tcW w:w="513" w:type="pct"/>
            <w:tcBorders>
              <w:bottom w:val="single" w:color="auto" w:sz="12" w:space="0"/>
            </w:tcBorders>
            <w:vAlign w:val="center"/>
          </w:tcPr>
          <w:p w14:paraId="5AC7343F">
            <w:pPr>
              <w:keepNext/>
              <w:spacing w:line="360" w:lineRule="auto"/>
              <w:jc w:val="center"/>
              <w:rPr>
                <w:rFonts w:cs="宋体"/>
                <w:color w:val="auto"/>
                <w:szCs w:val="21"/>
                <w:highlight w:val="none"/>
              </w:rPr>
            </w:pPr>
          </w:p>
        </w:tc>
        <w:tc>
          <w:tcPr>
            <w:tcW w:w="373" w:type="pct"/>
            <w:tcBorders>
              <w:bottom w:val="single" w:color="auto" w:sz="12" w:space="0"/>
            </w:tcBorders>
            <w:vAlign w:val="center"/>
          </w:tcPr>
          <w:p w14:paraId="60C784BC">
            <w:pPr>
              <w:keepNext/>
              <w:spacing w:line="360" w:lineRule="auto"/>
              <w:jc w:val="center"/>
              <w:rPr>
                <w:rFonts w:cs="宋体"/>
                <w:color w:val="auto"/>
                <w:szCs w:val="21"/>
                <w:highlight w:val="none"/>
              </w:rPr>
            </w:pPr>
          </w:p>
        </w:tc>
        <w:tc>
          <w:tcPr>
            <w:tcW w:w="1889" w:type="pct"/>
            <w:tcBorders>
              <w:bottom w:val="single" w:color="auto" w:sz="12" w:space="0"/>
            </w:tcBorders>
            <w:vAlign w:val="center"/>
          </w:tcPr>
          <w:p w14:paraId="28B87995">
            <w:pPr>
              <w:keepNext/>
              <w:spacing w:line="360" w:lineRule="auto"/>
              <w:jc w:val="center"/>
              <w:rPr>
                <w:rFonts w:cs="宋体"/>
                <w:color w:val="auto"/>
                <w:szCs w:val="21"/>
                <w:highlight w:val="none"/>
              </w:rPr>
            </w:pPr>
          </w:p>
        </w:tc>
        <w:tc>
          <w:tcPr>
            <w:tcW w:w="739" w:type="pct"/>
            <w:tcBorders>
              <w:bottom w:val="single" w:color="auto" w:sz="12" w:space="0"/>
            </w:tcBorders>
            <w:vAlign w:val="center"/>
          </w:tcPr>
          <w:p w14:paraId="06A60BBD">
            <w:pPr>
              <w:keepNext/>
              <w:spacing w:line="360" w:lineRule="auto"/>
              <w:jc w:val="center"/>
              <w:rPr>
                <w:rFonts w:cs="宋体"/>
                <w:color w:val="auto"/>
                <w:szCs w:val="21"/>
                <w:highlight w:val="none"/>
              </w:rPr>
            </w:pPr>
          </w:p>
        </w:tc>
      </w:tr>
    </w:tbl>
    <w:p w14:paraId="43A2D745">
      <w:pPr>
        <w:spacing w:before="312" w:beforeLines="100" w:after="312" w:afterLines="100"/>
        <w:outlineLvl w:val="2"/>
        <w:rPr>
          <w:rFonts w:ascii="Times New Roman" w:eastAsia="黑体"/>
          <w:color w:val="auto"/>
          <w:szCs w:val="24"/>
          <w:highlight w:val="none"/>
        </w:rPr>
      </w:pPr>
      <w:r>
        <w:rPr>
          <w:rFonts w:hint="eastAsia" w:cs="宋体"/>
          <w:bCs/>
          <w:color w:val="auto"/>
          <w:highlight w:val="none"/>
        </w:rPr>
        <w:br w:type="page"/>
      </w:r>
      <w:bookmarkStart w:id="613" w:name="_Toc128950243"/>
      <w:r>
        <w:rPr>
          <w:rFonts w:hint="eastAsia" w:ascii="Times New Roman" w:eastAsia="黑体"/>
          <w:color w:val="auto"/>
          <w:szCs w:val="24"/>
          <w:highlight w:val="none"/>
        </w:rPr>
        <w:t>附</w:t>
      </w:r>
      <w:bookmarkStart w:id="614" w:name="_Toc296503231"/>
      <w:bookmarkStart w:id="615" w:name="_Toc296891271"/>
      <w:bookmarkStart w:id="616" w:name="_Toc296347230"/>
      <w:bookmarkStart w:id="617" w:name="_Toc296891059"/>
      <w:bookmarkStart w:id="618" w:name="_Toc296346732"/>
      <w:bookmarkStart w:id="619" w:name="_Toc296944570"/>
      <w:r>
        <w:rPr>
          <w:rFonts w:hint="eastAsia" w:ascii="Times New Roman" w:eastAsia="黑体"/>
          <w:color w:val="auto"/>
          <w:szCs w:val="24"/>
          <w:highlight w:val="none"/>
        </w:rPr>
        <w:t>件</w:t>
      </w:r>
      <w:r>
        <w:rPr>
          <w:rFonts w:ascii="Times New Roman" w:eastAsia="黑体"/>
          <w:color w:val="auto"/>
          <w:szCs w:val="24"/>
          <w:highlight w:val="none"/>
        </w:rPr>
        <w:t>8</w:t>
      </w:r>
      <w:r>
        <w:rPr>
          <w:rFonts w:hint="eastAsia" w:ascii="Times New Roman" w:eastAsia="黑体"/>
          <w:color w:val="auto"/>
          <w:szCs w:val="24"/>
          <w:highlight w:val="none"/>
        </w:rPr>
        <w:t>：廉政协议</w:t>
      </w:r>
      <w:bookmarkEnd w:id="613"/>
    </w:p>
    <w:bookmarkEnd w:id="614"/>
    <w:bookmarkEnd w:id="615"/>
    <w:bookmarkEnd w:id="616"/>
    <w:bookmarkEnd w:id="617"/>
    <w:bookmarkEnd w:id="618"/>
    <w:bookmarkEnd w:id="619"/>
    <w:p w14:paraId="00F4E0D2">
      <w:pPr>
        <w:widowControl/>
        <w:spacing w:line="360" w:lineRule="auto"/>
        <w:ind w:firstLine="643"/>
        <w:jc w:val="center"/>
        <w:rPr>
          <w:rFonts w:cs="宋体"/>
          <w:b/>
          <w:bCs/>
          <w:color w:val="auto"/>
          <w:sz w:val="32"/>
          <w:szCs w:val="32"/>
          <w:highlight w:val="none"/>
        </w:rPr>
      </w:pPr>
      <w:r>
        <w:rPr>
          <w:rFonts w:hint="eastAsia" w:cs="宋体"/>
          <w:b/>
          <w:bCs/>
          <w:color w:val="auto"/>
          <w:sz w:val="32"/>
          <w:szCs w:val="32"/>
          <w:highlight w:val="none"/>
        </w:rPr>
        <w:t>廉政协议</w:t>
      </w:r>
    </w:p>
    <w:p w14:paraId="273424C1">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为促进双方诚信经营、廉洁从业，防范商业贿赂，保护国家、集体和当事人的合法权益，根据国家有关法律法规和安徽省廉政建设的规定，</w:t>
      </w:r>
      <w:r>
        <w:rPr>
          <w:rFonts w:hint="eastAsia" w:cs="宋体"/>
          <w:color w:val="auto"/>
          <w:sz w:val="21"/>
          <w:szCs w:val="21"/>
          <w:highlight w:val="none"/>
          <w:u w:val="single"/>
        </w:rPr>
        <w:t xml:space="preserve">     </w:t>
      </w:r>
      <w:r>
        <w:rPr>
          <w:rFonts w:hint="eastAsia" w:cs="宋体"/>
          <w:color w:val="auto"/>
          <w:sz w:val="21"/>
          <w:szCs w:val="21"/>
          <w:highlight w:val="none"/>
        </w:rPr>
        <w:t>（以下称甲方）与</w:t>
      </w:r>
      <w:r>
        <w:rPr>
          <w:rFonts w:hint="eastAsia" w:cs="宋体"/>
          <w:color w:val="auto"/>
          <w:sz w:val="21"/>
          <w:szCs w:val="21"/>
          <w:highlight w:val="none"/>
          <w:u w:val="single"/>
        </w:rPr>
        <w:t xml:space="preserve">             （</w:t>
      </w:r>
      <w:r>
        <w:rPr>
          <w:rFonts w:hint="eastAsia" w:cs="宋体"/>
          <w:color w:val="auto"/>
          <w:sz w:val="21"/>
          <w:szCs w:val="21"/>
          <w:highlight w:val="none"/>
        </w:rPr>
        <w:t>以下称乙方），特此订立本协议共同遵照执行。</w:t>
      </w:r>
    </w:p>
    <w:p w14:paraId="2BEF3EE5">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第一条 甲乙双方的权利和义务</w:t>
      </w:r>
    </w:p>
    <w:p w14:paraId="6484569D">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一）甲乙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47DC7D37">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（二）严格执行</w:t>
      </w:r>
      <w:r>
        <w:rPr>
          <w:rFonts w:hint="eastAsia" w:cs="宋体"/>
          <w:color w:val="auto"/>
          <w:sz w:val="21"/>
          <w:szCs w:val="21"/>
          <w:highlight w:val="none"/>
          <w:u w:val="single"/>
        </w:rPr>
        <w:t xml:space="preserve">                                </w:t>
      </w:r>
      <w:r>
        <w:rPr>
          <w:rFonts w:hint="eastAsia" w:cs="宋体"/>
          <w:color w:val="auto"/>
          <w:sz w:val="21"/>
          <w:szCs w:val="21"/>
          <w:highlight w:val="none"/>
        </w:rPr>
        <w:t>的合同要求，自觉履行合同约定的相关义务。</w:t>
      </w:r>
    </w:p>
    <w:p w14:paraId="69BA5E2F">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（三）在业务活动中坚持公开、公正、诚信、透明的原则，不得损害国家、集体利益。</w:t>
      </w:r>
    </w:p>
    <w:p w14:paraId="30E160FE">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（四）建立健全廉政制度，开展廉政教育，公布举报电话，监督并认真查处违法违纪行为。</w:t>
      </w:r>
    </w:p>
    <w:p w14:paraId="14E955F9">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（五）发现对方在业务活动中有违反廉政规定的行为，应及时提醒对方纠正。情节严重的，应向其上级有关部门举报、建议给予处理，并有权要求告知处理结果。</w:t>
      </w:r>
    </w:p>
    <w:p w14:paraId="5F73FFBF">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第二条 甲方的义务</w:t>
      </w:r>
    </w:p>
    <w:p w14:paraId="1978CC6C">
      <w:pPr>
        <w:widowControl/>
        <w:spacing w:line="360" w:lineRule="auto"/>
        <w:ind w:firstLine="525" w:firstLineChars="250"/>
        <w:jc w:val="left"/>
        <w:rPr>
          <w:rFonts w:cs="宋体"/>
          <w:color w:val="auto"/>
          <w:sz w:val="21"/>
          <w:szCs w:val="21"/>
          <w:highlight w:val="none"/>
        </w:rPr>
      </w:pPr>
      <w:r>
        <w:rPr>
          <w:rFonts w:hint="eastAsia" w:cs="宋体"/>
          <w:color w:val="auto"/>
          <w:sz w:val="21"/>
          <w:szCs w:val="21"/>
          <w:highlight w:val="none"/>
        </w:rPr>
        <w:t>（一）甲方及其工作人员不得索要或接受乙方的礼金、有价证券和贵重物品，不得在乙方报销任何应由甲方单位或个人支付的费用等。</w:t>
      </w:r>
    </w:p>
    <w:p w14:paraId="259A0DE9">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37459778">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（三） 甲方及其工作人员不得要求或者接受乙方为其住房装修、婚丧嫁娶活动、配偶子女工作安排以及出国出境、旅游等提供方便等。</w:t>
      </w:r>
    </w:p>
    <w:p w14:paraId="5329D0B4">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（四） 甲方工作人员不得在乙方有股权关联的企业兼职，不得向乙方介绍家属或者亲友从事与甲方业务有关的经济活动。</w:t>
      </w:r>
    </w:p>
    <w:p w14:paraId="77B1AE73">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（五）甲方工作人员不得以明显低于市场的价格向乙方购买房屋、汽车等物品；不得以明显高于市场的价格向乙方出售房屋、汽车等物品；不得以其他交易形式非法收受请托人财物。</w:t>
      </w:r>
    </w:p>
    <w:p w14:paraId="1FFCE067">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（六）甲方工作人员不得利用职务之便收受乙方以回扣、手续费、加班费、咨询费、劳务费、协调费、辛苦费等各种名义给予或赠送的钱物。</w:t>
      </w:r>
    </w:p>
    <w:p w14:paraId="764816B6">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（七）甲方工作人员不得接受乙方给予或赠送的干股或红利。</w:t>
      </w:r>
    </w:p>
    <w:p w14:paraId="30A09A1D">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（八）甲方任何人不得以个人的名义向乙方推荐设备、部件等供货商以及其他合作单位。</w:t>
      </w:r>
    </w:p>
    <w:p w14:paraId="61218D2E">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第三条 乙方的义务</w:t>
      </w:r>
    </w:p>
    <w:p w14:paraId="4A57BCAF">
      <w:pPr>
        <w:widowControl/>
        <w:spacing w:line="360" w:lineRule="auto"/>
        <w:ind w:firstLine="525" w:firstLineChars="250"/>
        <w:jc w:val="left"/>
        <w:rPr>
          <w:rFonts w:cs="宋体"/>
          <w:color w:val="auto"/>
          <w:sz w:val="21"/>
          <w:szCs w:val="21"/>
          <w:highlight w:val="none"/>
        </w:rPr>
      </w:pPr>
      <w:r>
        <w:rPr>
          <w:rFonts w:hint="eastAsia" w:cs="宋体"/>
          <w:color w:val="auto"/>
          <w:sz w:val="21"/>
          <w:szCs w:val="21"/>
          <w:highlight w:val="none"/>
        </w:rPr>
        <w:t>（一）乙方不得以任何理由向甲方及其工作人员行贿或馈赠礼金、有价证券、贵重礼品。</w:t>
      </w:r>
    </w:p>
    <w:p w14:paraId="75763970">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（二）乙方不得以任何名义为甲方及其工作人员报销应由甲方单位或个人支付的任何费用。</w:t>
      </w:r>
    </w:p>
    <w:p w14:paraId="2CDA1C74">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（三）乙方不得以任何理由安排甲方工作人员参加可能影响相关业务公开、公正、公平性的宴请及娱乐活动。</w:t>
      </w:r>
    </w:p>
    <w:p w14:paraId="04D13D42">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（四）乙方不得为甲方单位和个人购置或提供通讯工具和高档办公用品等物品，也不得为甲方提供与工作无关的房屋、汽车等。</w:t>
      </w:r>
    </w:p>
    <w:p w14:paraId="34471288">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（五）乙方不得与甲方工作人员就合同中的质量、数量、价格、工程量、验收等条款进行私下商谈或者达成默契。</w:t>
      </w:r>
    </w:p>
    <w:p w14:paraId="500AF13D">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（六）乙方不得以回扣、手续费、加班费、咨询费、劳务费、协调费、辛苦费等各种名义向甲方工作人员给予或赠送钱物。</w:t>
      </w:r>
    </w:p>
    <w:p w14:paraId="6DD4B6D2">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（七）乙方不得向甲方工作人员提供干股或红利。</w:t>
      </w:r>
    </w:p>
    <w:p w14:paraId="7C28F4B3">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（八）乙方须按</w:t>
      </w:r>
      <w:r>
        <w:rPr>
          <w:rFonts w:hint="eastAsia" w:cs="宋体"/>
          <w:color w:val="auto"/>
          <w:sz w:val="21"/>
          <w:szCs w:val="21"/>
          <w:highlight w:val="none"/>
          <w:u w:val="single"/>
        </w:rPr>
        <w:t xml:space="preserve">         </w:t>
      </w:r>
      <w:r>
        <w:rPr>
          <w:rFonts w:hint="eastAsia" w:cs="宋体"/>
          <w:color w:val="auto"/>
          <w:sz w:val="21"/>
          <w:szCs w:val="21"/>
          <w:highlight w:val="none"/>
        </w:rPr>
        <w:t>专项纪检监察工作组（如有）要求开展相关工作。</w:t>
      </w:r>
    </w:p>
    <w:p w14:paraId="0727A78B">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第四条 违约责任</w:t>
      </w:r>
    </w:p>
    <w:p w14:paraId="470442F9">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一）甲方及其工作人员违反本协议第一、二条规定。甲方按管理权限，对相关责任人依据有关规定给予党纪、政纪处分或组织处理；涉嫌犯罪的，移交司法机关追究刑事责任；给乙方单位造成经济损失的，应予以赔偿。</w:t>
      </w:r>
    </w:p>
    <w:p w14:paraId="002EDB6A">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甲方投诉联系部门：</w:t>
      </w:r>
      <w:r>
        <w:rPr>
          <w:rFonts w:hint="eastAsia" w:cs="宋体"/>
          <w:color w:val="auto"/>
          <w:sz w:val="21"/>
          <w:szCs w:val="21"/>
          <w:highlight w:val="none"/>
          <w:u w:val="single"/>
        </w:rPr>
        <w:t xml:space="preserve">           </w:t>
      </w:r>
      <w:r>
        <w:rPr>
          <w:rFonts w:hint="eastAsia" w:cs="宋体"/>
          <w:color w:val="auto"/>
          <w:sz w:val="21"/>
          <w:szCs w:val="21"/>
          <w:highlight w:val="none"/>
        </w:rPr>
        <w:t>，联系电话：</w:t>
      </w:r>
      <w:r>
        <w:rPr>
          <w:rFonts w:hint="eastAsia" w:cs="宋体"/>
          <w:color w:val="auto"/>
          <w:sz w:val="21"/>
          <w:szCs w:val="21"/>
          <w:highlight w:val="none"/>
          <w:u w:val="single"/>
        </w:rPr>
        <w:t xml:space="preserve">           </w:t>
      </w:r>
      <w:r>
        <w:rPr>
          <w:rFonts w:hint="eastAsia" w:cs="宋体"/>
          <w:color w:val="auto"/>
          <w:sz w:val="21"/>
          <w:szCs w:val="21"/>
          <w:highlight w:val="none"/>
        </w:rPr>
        <w:t>。</w:t>
      </w:r>
    </w:p>
    <w:p w14:paraId="2441CCE6">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（二）乙方及其工作人员违反本协议第一、三条规定。根据具体情节和造成的后果，甲方有权对乙方采取以下一种或多种处理办法：</w:t>
      </w:r>
    </w:p>
    <w:p w14:paraId="0A98D7E5">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 xml:space="preserve">1. 全额收取乙方合同履约保证金不予退还； </w:t>
      </w:r>
    </w:p>
    <w:p w14:paraId="6715039E">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2. 追究乙方其他违约责任；</w:t>
      </w:r>
    </w:p>
    <w:p w14:paraId="2D2C959E">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3. 终止或解除双方已签订的包括本合同在内的所有合同；</w:t>
      </w:r>
    </w:p>
    <w:p w14:paraId="1D3AA522">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4. 乙方一定期限内（6个月至3年，具体由甲方根据情况而定）不得参与甲方作为发包人（业主）的工程项目投标。</w:t>
      </w:r>
    </w:p>
    <w:p w14:paraId="3BBF9B0E">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甲方作出的处理意见，乙方应无条件接受并承担给甲方造成的损失，全额返还通过不正当手段从甲方获取的非法所得，并承担相应的法律责任。</w:t>
      </w:r>
    </w:p>
    <w:p w14:paraId="04DCC69C">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第五条 双方约定</w:t>
      </w:r>
    </w:p>
    <w:p w14:paraId="79D3213B">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本协议由双方或双方上级单位负责监督。可由甲方或甲方上级单位的纪检监察部门约请乙方或乙方上级单位的纪检监察部门对本协议履行情况进行检查，提出在本协议规定范围内的裁定意见。</w:t>
      </w:r>
    </w:p>
    <w:p w14:paraId="3CC59344">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 xml:space="preserve">第六条  本协议有效期为甲乙双方签署之日起至合同终止。  </w:t>
      </w:r>
    </w:p>
    <w:p w14:paraId="7F508E32">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第七条  本协议作为合同的附件，与本合同具有同等法律效力。</w:t>
      </w:r>
    </w:p>
    <w:p w14:paraId="4F17BBB8">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 xml:space="preserve"> </w:t>
      </w:r>
    </w:p>
    <w:p w14:paraId="1868B220">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 xml:space="preserve">甲方（盖章）： </w:t>
      </w:r>
      <w:r>
        <w:rPr>
          <w:rFonts w:hint="eastAsia" w:cs="宋体"/>
          <w:color w:val="auto"/>
          <w:sz w:val="21"/>
          <w:szCs w:val="21"/>
          <w:highlight w:val="none"/>
          <w:u w:val="single"/>
        </w:rPr>
        <w:t xml:space="preserve">                  </w:t>
      </w:r>
      <w:r>
        <w:rPr>
          <w:rFonts w:hint="eastAsia" w:cs="宋体"/>
          <w:color w:val="auto"/>
          <w:sz w:val="21"/>
          <w:szCs w:val="21"/>
          <w:highlight w:val="none"/>
        </w:rPr>
        <w:t xml:space="preserve">     乙方（盖章）：</w:t>
      </w:r>
      <w:r>
        <w:rPr>
          <w:rFonts w:hint="eastAsia" w:cs="宋体"/>
          <w:color w:val="auto"/>
          <w:sz w:val="21"/>
          <w:szCs w:val="21"/>
          <w:highlight w:val="none"/>
          <w:u w:val="single"/>
        </w:rPr>
        <w:t xml:space="preserve">             </w:t>
      </w:r>
    </w:p>
    <w:p w14:paraId="653E81FC">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法定代表人或                          法定代表人或</w:t>
      </w:r>
    </w:p>
    <w:p w14:paraId="20578076">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授权代表：</w:t>
      </w:r>
      <w:r>
        <w:rPr>
          <w:rFonts w:hint="eastAsia" w:cs="宋体"/>
          <w:color w:val="auto"/>
          <w:sz w:val="21"/>
          <w:szCs w:val="21"/>
          <w:highlight w:val="none"/>
          <w:u w:val="single"/>
        </w:rPr>
        <w:t xml:space="preserve">              </w:t>
      </w:r>
      <w:r>
        <w:rPr>
          <w:rFonts w:hint="eastAsia" w:cs="宋体"/>
          <w:color w:val="auto"/>
          <w:sz w:val="21"/>
          <w:szCs w:val="21"/>
          <w:highlight w:val="none"/>
        </w:rPr>
        <w:t>(职务)         授权代表：</w:t>
      </w:r>
      <w:r>
        <w:rPr>
          <w:rFonts w:hint="eastAsia" w:cs="宋体"/>
          <w:color w:val="auto"/>
          <w:sz w:val="21"/>
          <w:szCs w:val="21"/>
          <w:highlight w:val="none"/>
          <w:u w:val="single"/>
        </w:rPr>
        <w:t xml:space="preserve">             </w:t>
      </w:r>
      <w:r>
        <w:rPr>
          <w:rFonts w:hint="eastAsia" w:cs="宋体"/>
          <w:color w:val="auto"/>
          <w:sz w:val="21"/>
          <w:szCs w:val="21"/>
          <w:highlight w:val="none"/>
        </w:rPr>
        <w:t>(职务)</w:t>
      </w:r>
    </w:p>
    <w:p w14:paraId="08E37755">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姓名：</w:t>
      </w:r>
      <w:r>
        <w:rPr>
          <w:rFonts w:hint="eastAsia" w:cs="宋体"/>
          <w:color w:val="auto"/>
          <w:sz w:val="21"/>
          <w:szCs w:val="21"/>
          <w:highlight w:val="none"/>
          <w:u w:val="single"/>
        </w:rPr>
        <w:t xml:space="preserve">             </w:t>
      </w:r>
      <w:r>
        <w:rPr>
          <w:rFonts w:hint="eastAsia" w:cs="宋体"/>
          <w:color w:val="auto"/>
          <w:sz w:val="21"/>
          <w:szCs w:val="21"/>
          <w:highlight w:val="none"/>
        </w:rPr>
        <w:t xml:space="preserve">                   姓名：</w:t>
      </w:r>
      <w:r>
        <w:rPr>
          <w:rFonts w:hint="eastAsia" w:cs="宋体"/>
          <w:color w:val="auto"/>
          <w:sz w:val="21"/>
          <w:szCs w:val="21"/>
          <w:highlight w:val="none"/>
          <w:u w:val="single"/>
        </w:rPr>
        <w:t xml:space="preserve">             </w:t>
      </w:r>
    </w:p>
    <w:p w14:paraId="000798F3">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签字：</w:t>
      </w:r>
      <w:r>
        <w:rPr>
          <w:rFonts w:hint="eastAsia" w:cs="宋体"/>
          <w:color w:val="auto"/>
          <w:sz w:val="21"/>
          <w:szCs w:val="21"/>
          <w:highlight w:val="none"/>
          <w:u w:val="single"/>
        </w:rPr>
        <w:t xml:space="preserve">             </w:t>
      </w:r>
      <w:r>
        <w:rPr>
          <w:rFonts w:hint="eastAsia" w:cs="宋体"/>
          <w:color w:val="auto"/>
          <w:sz w:val="21"/>
          <w:szCs w:val="21"/>
          <w:highlight w:val="none"/>
        </w:rPr>
        <w:t xml:space="preserve">                   签字：</w:t>
      </w:r>
      <w:r>
        <w:rPr>
          <w:rFonts w:hint="eastAsia" w:cs="宋体"/>
          <w:color w:val="auto"/>
          <w:sz w:val="21"/>
          <w:szCs w:val="21"/>
          <w:highlight w:val="none"/>
          <w:u w:val="single"/>
        </w:rPr>
        <w:t xml:space="preserve">             </w:t>
      </w:r>
    </w:p>
    <w:p w14:paraId="48A9DC7D">
      <w:pPr>
        <w:widowControl/>
        <w:spacing w:line="360" w:lineRule="auto"/>
        <w:ind w:firstLine="420" w:firstLineChars="200"/>
        <w:jc w:val="left"/>
        <w:rPr>
          <w:rFonts w:cs="宋体"/>
          <w:color w:val="auto"/>
          <w:sz w:val="21"/>
          <w:szCs w:val="21"/>
          <w:highlight w:val="none"/>
        </w:rPr>
      </w:pPr>
    </w:p>
    <w:p w14:paraId="08B5744C">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廉政监督联系人                        廉政监督联系人</w:t>
      </w:r>
    </w:p>
    <w:p w14:paraId="2987B045">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姓名：</w:t>
      </w:r>
      <w:r>
        <w:rPr>
          <w:rFonts w:hint="eastAsia" w:cs="宋体"/>
          <w:color w:val="auto"/>
          <w:sz w:val="21"/>
          <w:szCs w:val="21"/>
          <w:highlight w:val="none"/>
          <w:u w:val="single"/>
        </w:rPr>
        <w:t xml:space="preserve">                       </w:t>
      </w:r>
      <w:r>
        <w:rPr>
          <w:rFonts w:hint="eastAsia" w:cs="宋体"/>
          <w:color w:val="auto"/>
          <w:sz w:val="21"/>
          <w:szCs w:val="21"/>
          <w:highlight w:val="none"/>
        </w:rPr>
        <w:t xml:space="preserve">         姓名：</w:t>
      </w:r>
      <w:r>
        <w:rPr>
          <w:rFonts w:hint="eastAsia" w:cs="宋体"/>
          <w:color w:val="auto"/>
          <w:sz w:val="21"/>
          <w:szCs w:val="21"/>
          <w:highlight w:val="none"/>
          <w:u w:val="single"/>
        </w:rPr>
        <w:t xml:space="preserve">                     </w:t>
      </w:r>
    </w:p>
    <w:p w14:paraId="60E9784D">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签字：</w:t>
      </w:r>
      <w:r>
        <w:rPr>
          <w:rFonts w:hint="eastAsia" w:cs="宋体"/>
          <w:color w:val="auto"/>
          <w:sz w:val="21"/>
          <w:szCs w:val="21"/>
          <w:highlight w:val="none"/>
          <w:u w:val="single"/>
        </w:rPr>
        <w:t xml:space="preserve">                       </w:t>
      </w:r>
      <w:r>
        <w:rPr>
          <w:rFonts w:hint="eastAsia" w:cs="宋体"/>
          <w:color w:val="auto"/>
          <w:sz w:val="21"/>
          <w:szCs w:val="21"/>
          <w:highlight w:val="none"/>
        </w:rPr>
        <w:t xml:space="preserve">         签字：</w:t>
      </w:r>
      <w:r>
        <w:rPr>
          <w:rFonts w:hint="eastAsia" w:cs="宋体"/>
          <w:color w:val="auto"/>
          <w:sz w:val="21"/>
          <w:szCs w:val="21"/>
          <w:highlight w:val="none"/>
          <w:u w:val="single"/>
        </w:rPr>
        <w:t xml:space="preserve">                     </w:t>
      </w:r>
    </w:p>
    <w:p w14:paraId="1F9BEC2D">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电话：</w:t>
      </w:r>
      <w:r>
        <w:rPr>
          <w:rFonts w:hint="eastAsia" w:cs="宋体"/>
          <w:color w:val="auto"/>
          <w:sz w:val="21"/>
          <w:szCs w:val="21"/>
          <w:highlight w:val="none"/>
          <w:u w:val="single"/>
        </w:rPr>
        <w:t xml:space="preserve">                       </w:t>
      </w:r>
      <w:r>
        <w:rPr>
          <w:rFonts w:hint="eastAsia" w:cs="宋体"/>
          <w:color w:val="auto"/>
          <w:sz w:val="21"/>
          <w:szCs w:val="21"/>
          <w:highlight w:val="none"/>
        </w:rPr>
        <w:t xml:space="preserve">         电话：</w:t>
      </w:r>
      <w:r>
        <w:rPr>
          <w:rFonts w:hint="eastAsia" w:cs="宋体"/>
          <w:color w:val="auto"/>
          <w:sz w:val="21"/>
          <w:szCs w:val="21"/>
          <w:highlight w:val="none"/>
          <w:u w:val="single"/>
        </w:rPr>
        <w:t xml:space="preserve">                     </w:t>
      </w:r>
    </w:p>
    <w:p w14:paraId="249F027B">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地址：</w:t>
      </w:r>
      <w:r>
        <w:rPr>
          <w:rFonts w:hint="eastAsia" w:cs="宋体"/>
          <w:color w:val="auto"/>
          <w:sz w:val="21"/>
          <w:szCs w:val="21"/>
          <w:highlight w:val="none"/>
          <w:u w:val="single"/>
        </w:rPr>
        <w:t xml:space="preserve">                       </w:t>
      </w:r>
      <w:r>
        <w:rPr>
          <w:rFonts w:hint="eastAsia" w:cs="宋体"/>
          <w:color w:val="auto"/>
          <w:sz w:val="21"/>
          <w:szCs w:val="21"/>
          <w:highlight w:val="none"/>
        </w:rPr>
        <w:t xml:space="preserve">         地址：</w:t>
      </w:r>
      <w:r>
        <w:rPr>
          <w:rFonts w:hint="eastAsia" w:cs="宋体"/>
          <w:color w:val="auto"/>
          <w:sz w:val="21"/>
          <w:szCs w:val="21"/>
          <w:highlight w:val="none"/>
          <w:u w:val="single"/>
        </w:rPr>
        <w:t xml:space="preserve">                     </w:t>
      </w:r>
    </w:p>
    <w:p w14:paraId="7AFF8B8D">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日期：</w:t>
      </w:r>
      <w:r>
        <w:rPr>
          <w:rFonts w:hint="eastAsia" w:cs="宋体"/>
          <w:color w:val="auto"/>
          <w:sz w:val="21"/>
          <w:szCs w:val="21"/>
          <w:highlight w:val="none"/>
          <w:u w:val="single"/>
        </w:rPr>
        <w:t xml:space="preserve">                       </w:t>
      </w:r>
      <w:r>
        <w:rPr>
          <w:rFonts w:hint="eastAsia" w:cs="宋体"/>
          <w:color w:val="auto"/>
          <w:sz w:val="21"/>
          <w:szCs w:val="21"/>
          <w:highlight w:val="none"/>
        </w:rPr>
        <w:t xml:space="preserve">         日期：</w:t>
      </w:r>
      <w:r>
        <w:rPr>
          <w:rFonts w:hint="eastAsia" w:cs="宋体"/>
          <w:color w:val="auto"/>
          <w:sz w:val="21"/>
          <w:szCs w:val="21"/>
          <w:highlight w:val="none"/>
          <w:u w:val="single"/>
        </w:rPr>
        <w:t xml:space="preserve">                     </w:t>
      </w:r>
    </w:p>
    <w:p w14:paraId="2808ED18">
      <w:pPr>
        <w:spacing w:before="312" w:beforeLines="100" w:after="312" w:afterLines="100"/>
        <w:outlineLvl w:val="2"/>
        <w:rPr>
          <w:rFonts w:ascii="Times New Roman" w:eastAsia="黑体"/>
          <w:color w:val="auto"/>
          <w:szCs w:val="24"/>
          <w:highlight w:val="none"/>
        </w:rPr>
      </w:pPr>
      <w:r>
        <w:rPr>
          <w:rFonts w:hint="eastAsia" w:ascii="Times New Roman" w:eastAsia="黑体"/>
          <w:bCs/>
          <w:color w:val="auto"/>
          <w:szCs w:val="21"/>
          <w:highlight w:val="none"/>
        </w:rPr>
        <w:br w:type="page"/>
      </w:r>
      <w:bookmarkStart w:id="620" w:name="_Toc128950244"/>
      <w:r>
        <w:rPr>
          <w:rFonts w:hint="eastAsia" w:ascii="Times New Roman" w:eastAsia="黑体"/>
          <w:color w:val="auto"/>
          <w:szCs w:val="24"/>
          <w:highlight w:val="none"/>
        </w:rPr>
        <w:t>附件9：履约保证金</w:t>
      </w:r>
      <w:bookmarkEnd w:id="620"/>
    </w:p>
    <w:p w14:paraId="64EFDEF6">
      <w:pPr>
        <w:spacing w:line="360" w:lineRule="auto"/>
        <w:jc w:val="center"/>
        <w:rPr>
          <w:rFonts w:cs="宋体"/>
          <w:b/>
          <w:bCs/>
          <w:color w:val="auto"/>
          <w:sz w:val="32"/>
          <w:szCs w:val="32"/>
          <w:highlight w:val="none"/>
        </w:rPr>
      </w:pPr>
      <w:r>
        <w:rPr>
          <w:rFonts w:hint="eastAsia" w:cs="宋体"/>
          <w:b/>
          <w:bCs/>
          <w:color w:val="auto"/>
          <w:sz w:val="32"/>
          <w:szCs w:val="32"/>
          <w:highlight w:val="none"/>
        </w:rPr>
        <w:t>履约保函示范文本</w:t>
      </w:r>
    </w:p>
    <w:p w14:paraId="4BDB1905">
      <w:pPr>
        <w:wordWrap w:val="0"/>
        <w:spacing w:line="360" w:lineRule="auto"/>
        <w:jc w:val="right"/>
        <w:rPr>
          <w:rFonts w:ascii="Times New Roman"/>
          <w:color w:val="auto"/>
          <w:szCs w:val="21"/>
          <w:highlight w:val="none"/>
        </w:rPr>
      </w:pPr>
      <w:r>
        <w:rPr>
          <w:rFonts w:hint="eastAsia" w:ascii="Times New Roman"/>
          <w:color w:val="auto"/>
          <w:szCs w:val="21"/>
          <w:highlight w:val="none"/>
        </w:rPr>
        <w:t>编号：</w:t>
      </w:r>
      <w:r>
        <w:rPr>
          <w:rFonts w:hint="eastAsia" w:ascii="Times New Roman"/>
          <w:color w:val="auto"/>
          <w:szCs w:val="21"/>
          <w:highlight w:val="none"/>
          <w:u w:val="single"/>
        </w:rPr>
        <w:t xml:space="preserve"> </w:t>
      </w:r>
      <w:r>
        <w:rPr>
          <w:rFonts w:ascii="Times New Roman"/>
          <w:color w:val="auto"/>
          <w:szCs w:val="21"/>
          <w:highlight w:val="none"/>
          <w:u w:val="single"/>
        </w:rPr>
        <w:t xml:space="preserve">          </w:t>
      </w:r>
    </w:p>
    <w:p w14:paraId="0217ED0C">
      <w:pPr>
        <w:spacing w:line="360" w:lineRule="auto"/>
        <w:rPr>
          <w:rFonts w:ascii="Times New Roman"/>
          <w:color w:val="auto"/>
          <w:szCs w:val="21"/>
          <w:highlight w:val="none"/>
        </w:rPr>
      </w:pPr>
    </w:p>
    <w:p w14:paraId="130D614B">
      <w:pPr>
        <w:spacing w:line="360" w:lineRule="auto"/>
        <w:rPr>
          <w:rFonts w:cs="宋体"/>
          <w:color w:val="auto"/>
          <w:sz w:val="21"/>
          <w:szCs w:val="21"/>
          <w:highlight w:val="none"/>
        </w:rPr>
      </w:pPr>
      <w:r>
        <w:rPr>
          <w:rFonts w:hint="eastAsia" w:cs="宋体"/>
          <w:color w:val="auto"/>
          <w:sz w:val="21"/>
          <w:szCs w:val="21"/>
          <w:highlight w:val="none"/>
          <w:u w:val="single"/>
        </w:rPr>
        <w:t xml:space="preserve">              </w:t>
      </w:r>
      <w:r>
        <w:rPr>
          <w:rFonts w:hint="eastAsia" w:cs="宋体"/>
          <w:color w:val="auto"/>
          <w:sz w:val="21"/>
          <w:szCs w:val="21"/>
          <w:highlight w:val="none"/>
        </w:rPr>
        <w:t xml:space="preserve">（受益人名称）： </w:t>
      </w:r>
    </w:p>
    <w:p w14:paraId="389808AB">
      <w:pPr>
        <w:spacing w:line="360" w:lineRule="auto"/>
        <w:ind w:firstLine="420" w:firstLineChars="200"/>
        <w:rPr>
          <w:rFonts w:cs="宋体"/>
          <w:color w:val="auto"/>
          <w:sz w:val="21"/>
          <w:szCs w:val="21"/>
          <w:highlight w:val="none"/>
        </w:rPr>
      </w:pPr>
      <w:r>
        <w:rPr>
          <w:rFonts w:hint="eastAsia" w:cs="宋体"/>
          <w:color w:val="auto"/>
          <w:sz w:val="21"/>
          <w:szCs w:val="21"/>
          <w:highlight w:val="none"/>
        </w:rPr>
        <w:t>鉴于</w:t>
      </w:r>
      <w:r>
        <w:rPr>
          <w:rFonts w:hint="eastAsia" w:cs="宋体"/>
          <w:color w:val="auto"/>
          <w:sz w:val="21"/>
          <w:szCs w:val="21"/>
          <w:highlight w:val="none"/>
          <w:u w:val="single"/>
        </w:rPr>
        <w:t xml:space="preserve">        </w:t>
      </w:r>
      <w:r>
        <w:rPr>
          <w:rFonts w:hint="eastAsia" w:cs="宋体"/>
          <w:color w:val="auto"/>
          <w:sz w:val="21"/>
          <w:szCs w:val="21"/>
          <w:highlight w:val="none"/>
        </w:rPr>
        <w:t>（以下简称“受益人”）与</w:t>
      </w:r>
      <w:r>
        <w:rPr>
          <w:rFonts w:hint="eastAsia" w:cs="宋体"/>
          <w:color w:val="auto"/>
          <w:sz w:val="21"/>
          <w:szCs w:val="21"/>
          <w:highlight w:val="none"/>
          <w:u w:val="single"/>
        </w:rPr>
        <w:t xml:space="preserve">         </w:t>
      </w:r>
      <w:r>
        <w:rPr>
          <w:rFonts w:hint="eastAsia" w:cs="宋体"/>
          <w:color w:val="auto"/>
          <w:sz w:val="21"/>
          <w:szCs w:val="21"/>
          <w:highlight w:val="none"/>
        </w:rPr>
        <w:t>（以下简称“申请人”）于</w:t>
      </w:r>
      <w:r>
        <w:rPr>
          <w:rFonts w:hint="eastAsia" w:cs="宋体"/>
          <w:color w:val="auto"/>
          <w:sz w:val="21"/>
          <w:szCs w:val="21"/>
          <w:highlight w:val="none"/>
          <w:u w:val="single"/>
        </w:rPr>
        <w:t xml:space="preserve">   </w:t>
      </w:r>
      <w:r>
        <w:rPr>
          <w:rFonts w:hint="eastAsia" w:cs="宋体"/>
          <w:color w:val="auto"/>
          <w:sz w:val="21"/>
          <w:szCs w:val="21"/>
          <w:highlight w:val="none"/>
        </w:rPr>
        <w:t>年</w:t>
      </w:r>
      <w:r>
        <w:rPr>
          <w:rFonts w:hint="eastAsia" w:cs="宋体"/>
          <w:color w:val="auto"/>
          <w:sz w:val="21"/>
          <w:szCs w:val="21"/>
          <w:highlight w:val="none"/>
          <w:u w:val="single"/>
        </w:rPr>
        <w:t xml:space="preserve">   </w:t>
      </w:r>
      <w:r>
        <w:rPr>
          <w:rFonts w:hint="eastAsia" w:cs="宋体"/>
          <w:color w:val="auto"/>
          <w:sz w:val="21"/>
          <w:szCs w:val="21"/>
          <w:highlight w:val="none"/>
        </w:rPr>
        <w:t>月</w:t>
      </w:r>
      <w:r>
        <w:rPr>
          <w:rFonts w:hint="eastAsia" w:cs="宋体"/>
          <w:color w:val="auto"/>
          <w:sz w:val="21"/>
          <w:szCs w:val="21"/>
          <w:highlight w:val="none"/>
          <w:u w:val="single"/>
        </w:rPr>
        <w:t xml:space="preserve">   </w:t>
      </w:r>
      <w:r>
        <w:rPr>
          <w:rFonts w:hint="eastAsia" w:cs="宋体"/>
          <w:color w:val="auto"/>
          <w:sz w:val="21"/>
          <w:szCs w:val="21"/>
          <w:highlight w:val="none"/>
        </w:rPr>
        <w:t>日就</w:t>
      </w:r>
      <w:r>
        <w:rPr>
          <w:rFonts w:hint="eastAsia" w:cs="宋体"/>
          <w:snapToGrid w:val="0"/>
          <w:color w:val="auto"/>
          <w:sz w:val="21"/>
          <w:szCs w:val="21"/>
          <w:highlight w:val="none"/>
          <w:u w:val="single"/>
        </w:rPr>
        <w:t xml:space="preserve">        </w:t>
      </w:r>
      <w:r>
        <w:rPr>
          <w:rFonts w:hint="eastAsia" w:cs="宋体"/>
          <w:snapToGrid w:val="0"/>
          <w:color w:val="auto"/>
          <w:sz w:val="21"/>
          <w:szCs w:val="21"/>
          <w:highlight w:val="none"/>
        </w:rPr>
        <w:t>（项目编号）的</w:t>
      </w:r>
      <w:r>
        <w:rPr>
          <w:rFonts w:hint="eastAsia" w:cs="宋体"/>
          <w:snapToGrid w:val="0"/>
          <w:color w:val="auto"/>
          <w:sz w:val="21"/>
          <w:szCs w:val="21"/>
          <w:highlight w:val="none"/>
          <w:u w:val="single"/>
        </w:rPr>
        <w:t xml:space="preserve">         </w:t>
      </w:r>
      <w:r>
        <w:rPr>
          <w:rFonts w:hint="eastAsia" w:cs="宋体"/>
          <w:snapToGrid w:val="0"/>
          <w:color w:val="auto"/>
          <w:sz w:val="21"/>
          <w:szCs w:val="21"/>
          <w:highlight w:val="none"/>
        </w:rPr>
        <w:t>（项目名称）</w:t>
      </w:r>
      <w:r>
        <w:rPr>
          <w:rFonts w:hint="eastAsia" w:cs="宋体"/>
          <w:color w:val="auto"/>
          <w:sz w:val="21"/>
          <w:szCs w:val="21"/>
          <w:highlight w:val="none"/>
        </w:rPr>
        <w:t>有关事项协商一致共同签订</w:t>
      </w:r>
      <w:r>
        <w:rPr>
          <w:rFonts w:hint="eastAsia" w:cs="宋体"/>
          <w:color w:val="auto"/>
          <w:sz w:val="21"/>
          <w:szCs w:val="21"/>
          <w:highlight w:val="none"/>
          <w:u w:val="single"/>
        </w:rPr>
        <w:t>《        》</w:t>
      </w:r>
      <w:r>
        <w:rPr>
          <w:rFonts w:hint="eastAsia" w:cs="宋体"/>
          <w:color w:val="auto"/>
          <w:sz w:val="21"/>
          <w:szCs w:val="21"/>
          <w:highlight w:val="none"/>
        </w:rPr>
        <w:t xml:space="preserve">（以下简称“基础合同”），开立人根据基础合同了解到申请人为基础合同项下之承包人，受益人为基础合同项下之发包人，基于申请人的请求，开立人同意就申请人履行与受益人签订的基础合同项下的义务，向受益人提供不可撤销、不可转让的见索即付独立保函（以下简称“本保函”）。 </w:t>
      </w:r>
    </w:p>
    <w:p w14:paraId="10EF3E82">
      <w:pPr>
        <w:spacing w:line="360" w:lineRule="auto"/>
        <w:ind w:firstLine="420" w:firstLineChars="200"/>
        <w:rPr>
          <w:rFonts w:cs="宋体"/>
          <w:color w:val="auto"/>
          <w:sz w:val="21"/>
          <w:szCs w:val="21"/>
          <w:highlight w:val="none"/>
        </w:rPr>
      </w:pPr>
      <w:r>
        <w:rPr>
          <w:rFonts w:hint="eastAsia" w:cs="宋体"/>
          <w:color w:val="auto"/>
          <w:sz w:val="21"/>
          <w:szCs w:val="21"/>
          <w:highlight w:val="none"/>
        </w:rPr>
        <w:t>一、本保函担保范围：承包人未按照基础合同的约定履行义务，应当向受益人承担的违约责任和赔偿因此造成的损失、利息、律师费、诉讼费用等实现债权的费用。</w:t>
      </w:r>
    </w:p>
    <w:p w14:paraId="5FD2269D">
      <w:pPr>
        <w:spacing w:line="360" w:lineRule="auto"/>
        <w:ind w:firstLine="420" w:firstLineChars="200"/>
        <w:rPr>
          <w:rFonts w:cs="宋体"/>
          <w:color w:val="auto"/>
          <w:sz w:val="21"/>
          <w:szCs w:val="21"/>
          <w:highlight w:val="none"/>
        </w:rPr>
      </w:pPr>
      <w:r>
        <w:rPr>
          <w:rFonts w:hint="eastAsia" w:cs="宋体"/>
          <w:color w:val="auto"/>
          <w:sz w:val="21"/>
          <w:szCs w:val="21"/>
          <w:highlight w:val="none"/>
        </w:rPr>
        <w:t>二、本保函担保金额最高不超过人民币（大写）</w:t>
      </w:r>
      <w:r>
        <w:rPr>
          <w:rFonts w:hint="eastAsia" w:cs="宋体"/>
          <w:color w:val="auto"/>
          <w:sz w:val="21"/>
          <w:szCs w:val="21"/>
          <w:highlight w:val="none"/>
          <w:u w:val="single"/>
        </w:rPr>
        <w:t xml:space="preserve">          </w:t>
      </w:r>
      <w:r>
        <w:rPr>
          <w:rFonts w:hint="eastAsia" w:cs="宋体"/>
          <w:color w:val="auto"/>
          <w:sz w:val="21"/>
          <w:szCs w:val="21"/>
          <w:highlight w:val="none"/>
        </w:rPr>
        <w:t>元（¥</w:t>
      </w:r>
      <w:r>
        <w:rPr>
          <w:rFonts w:hint="eastAsia" w:cs="宋体"/>
          <w:color w:val="auto"/>
          <w:sz w:val="21"/>
          <w:szCs w:val="21"/>
          <w:highlight w:val="none"/>
          <w:u w:val="single"/>
        </w:rPr>
        <w:t xml:space="preserve">       </w:t>
      </w:r>
      <w:r>
        <w:rPr>
          <w:rFonts w:hint="eastAsia" w:cs="宋体"/>
          <w:color w:val="auto"/>
          <w:sz w:val="21"/>
          <w:szCs w:val="21"/>
          <w:highlight w:val="none"/>
        </w:rPr>
        <w:t xml:space="preserve">）。 </w:t>
      </w:r>
    </w:p>
    <w:p w14:paraId="7C6BE24A">
      <w:pPr>
        <w:spacing w:line="360" w:lineRule="auto"/>
        <w:ind w:firstLine="420" w:firstLineChars="200"/>
        <w:rPr>
          <w:rFonts w:cs="宋体"/>
          <w:color w:val="auto"/>
          <w:sz w:val="21"/>
          <w:szCs w:val="21"/>
          <w:highlight w:val="none"/>
        </w:rPr>
      </w:pPr>
      <w:r>
        <w:rPr>
          <w:rFonts w:hint="eastAsia" w:cs="宋体"/>
          <w:color w:val="auto"/>
          <w:sz w:val="21"/>
          <w:szCs w:val="21"/>
          <w:highlight w:val="none"/>
        </w:rPr>
        <w:t xml:space="preserve">三、本保函有效期自开立之日起至基础合同约定的缺陷责任期满之日止。 </w:t>
      </w:r>
    </w:p>
    <w:p w14:paraId="3E0E126B">
      <w:pPr>
        <w:spacing w:line="360" w:lineRule="auto"/>
        <w:ind w:firstLine="480"/>
        <w:rPr>
          <w:rFonts w:cs="宋体"/>
          <w:color w:val="auto"/>
          <w:sz w:val="21"/>
          <w:szCs w:val="21"/>
          <w:highlight w:val="none"/>
        </w:rPr>
      </w:pPr>
      <w:bookmarkStart w:id="621" w:name="_Hlk40302764"/>
      <w:r>
        <w:rPr>
          <w:rFonts w:hint="eastAsia" w:cs="宋体"/>
          <w:color w:val="auto"/>
          <w:sz w:val="21"/>
          <w:szCs w:val="21"/>
          <w:highlight w:val="none"/>
        </w:rPr>
        <w:t>四、开立人承诺，在收到受益人发来的书面付款通知后的七日内无条件支付，前述书面付款通知即为付款要求之单据，且应满足以下要求：</w:t>
      </w:r>
    </w:p>
    <w:bookmarkEnd w:id="621"/>
    <w:p w14:paraId="17B7EF1C">
      <w:pPr>
        <w:spacing w:line="360" w:lineRule="auto"/>
        <w:ind w:firstLine="420" w:firstLineChars="200"/>
        <w:rPr>
          <w:rFonts w:cs="宋体"/>
          <w:color w:val="auto"/>
          <w:sz w:val="21"/>
          <w:szCs w:val="21"/>
          <w:highlight w:val="none"/>
        </w:rPr>
      </w:pPr>
      <w:r>
        <w:rPr>
          <w:rFonts w:hint="eastAsia" w:cs="宋体"/>
          <w:color w:val="auto"/>
          <w:sz w:val="21"/>
          <w:szCs w:val="21"/>
          <w:highlight w:val="none"/>
        </w:rPr>
        <w:t>（1）付款通知到达的日期在本保函的有效期内；</w:t>
      </w:r>
    </w:p>
    <w:p w14:paraId="4C97C5E1">
      <w:pPr>
        <w:spacing w:line="360" w:lineRule="auto"/>
        <w:ind w:firstLine="420" w:firstLineChars="200"/>
        <w:rPr>
          <w:rFonts w:cs="宋体"/>
          <w:color w:val="auto"/>
          <w:sz w:val="21"/>
          <w:szCs w:val="21"/>
          <w:highlight w:val="none"/>
        </w:rPr>
      </w:pPr>
      <w:r>
        <w:rPr>
          <w:rFonts w:hint="eastAsia" w:cs="宋体"/>
          <w:color w:val="auto"/>
          <w:sz w:val="21"/>
          <w:szCs w:val="21"/>
          <w:highlight w:val="none"/>
        </w:rPr>
        <w:t>（2）载明要求支付的金额；</w:t>
      </w:r>
    </w:p>
    <w:p w14:paraId="0C08B8FE">
      <w:pPr>
        <w:spacing w:line="360" w:lineRule="auto"/>
        <w:ind w:firstLine="420" w:firstLineChars="200"/>
        <w:rPr>
          <w:rFonts w:cs="宋体"/>
          <w:color w:val="auto"/>
          <w:sz w:val="21"/>
          <w:szCs w:val="21"/>
          <w:highlight w:val="none"/>
        </w:rPr>
      </w:pPr>
      <w:r>
        <w:rPr>
          <w:rFonts w:hint="eastAsia" w:cs="宋体"/>
          <w:color w:val="auto"/>
          <w:sz w:val="21"/>
          <w:szCs w:val="21"/>
          <w:highlight w:val="none"/>
        </w:rPr>
        <w:t>（3）载明申请人违反合同义务的条款和内容；</w:t>
      </w:r>
    </w:p>
    <w:p w14:paraId="43170DFA">
      <w:pPr>
        <w:spacing w:line="360" w:lineRule="auto"/>
        <w:ind w:firstLine="420" w:firstLineChars="200"/>
        <w:rPr>
          <w:rFonts w:cs="宋体"/>
          <w:color w:val="auto"/>
          <w:sz w:val="21"/>
          <w:szCs w:val="21"/>
          <w:highlight w:val="none"/>
        </w:rPr>
      </w:pPr>
      <w:r>
        <w:rPr>
          <w:rFonts w:hint="eastAsia" w:cs="宋体"/>
          <w:color w:val="auto"/>
          <w:sz w:val="21"/>
          <w:szCs w:val="21"/>
          <w:highlight w:val="none"/>
        </w:rPr>
        <w:t>（4）声明不存在合同文件约定或我国法律规定免除申请人或开立人支付责任的情形；</w:t>
      </w:r>
    </w:p>
    <w:p w14:paraId="4654B01E">
      <w:pPr>
        <w:spacing w:line="360" w:lineRule="auto"/>
        <w:ind w:firstLine="420" w:firstLineChars="200"/>
        <w:rPr>
          <w:rFonts w:cs="宋体"/>
          <w:color w:val="auto"/>
          <w:sz w:val="21"/>
          <w:szCs w:val="21"/>
          <w:highlight w:val="none"/>
        </w:rPr>
      </w:pPr>
      <w:r>
        <w:rPr>
          <w:rFonts w:hint="eastAsia" w:cs="宋体"/>
          <w:color w:val="auto"/>
          <w:sz w:val="21"/>
          <w:szCs w:val="21"/>
          <w:highlight w:val="none"/>
        </w:rPr>
        <w:t>（5）付款通知应在本保函有效期内到达的地址是：</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18360D0">
      <w:pPr>
        <w:spacing w:line="360" w:lineRule="auto"/>
        <w:ind w:firstLine="420" w:firstLineChars="200"/>
        <w:rPr>
          <w:rFonts w:cs="宋体"/>
          <w:color w:val="auto"/>
          <w:sz w:val="21"/>
          <w:szCs w:val="21"/>
          <w:highlight w:val="none"/>
        </w:rPr>
      </w:pPr>
      <w:bookmarkStart w:id="622" w:name="_Hlk40303486"/>
      <w:r>
        <w:rPr>
          <w:rFonts w:hint="eastAsia" w:cs="宋体"/>
          <w:color w:val="auto"/>
          <w:sz w:val="21"/>
          <w:szCs w:val="21"/>
          <w:highlight w:val="none"/>
        </w:rPr>
        <w:t>受益人发出的书面付款通知应由其法定代表人（负责人）或授权代理人签字并加盖公章。</w:t>
      </w:r>
      <w:bookmarkEnd w:id="622"/>
    </w:p>
    <w:p w14:paraId="4249F3A1">
      <w:pPr>
        <w:spacing w:line="360" w:lineRule="auto"/>
        <w:ind w:firstLine="420" w:firstLineChars="200"/>
        <w:rPr>
          <w:rFonts w:cs="宋体"/>
          <w:color w:val="auto"/>
          <w:sz w:val="21"/>
          <w:szCs w:val="21"/>
          <w:highlight w:val="none"/>
        </w:rPr>
      </w:pPr>
      <w:r>
        <w:rPr>
          <w:rFonts w:hint="eastAsia" w:cs="宋体"/>
          <w:color w:val="auto"/>
          <w:sz w:val="21"/>
          <w:szCs w:val="21"/>
          <w:highlight w:val="none"/>
        </w:rPr>
        <w:t xml:space="preserve">五、本保函项下的权利不得转让，不得设定担保。受益人未经我方书面同意转 让本保函或其项下任何权利，对我方不发生法律效力。 </w:t>
      </w:r>
    </w:p>
    <w:p w14:paraId="5BF8867E">
      <w:pPr>
        <w:spacing w:line="360" w:lineRule="auto"/>
        <w:ind w:firstLine="420" w:firstLineChars="200"/>
        <w:rPr>
          <w:rFonts w:cs="宋体"/>
          <w:color w:val="auto"/>
          <w:sz w:val="21"/>
          <w:szCs w:val="21"/>
          <w:highlight w:val="none"/>
        </w:rPr>
      </w:pPr>
      <w:r>
        <w:rPr>
          <w:rFonts w:hint="eastAsia" w:cs="宋体"/>
          <w:color w:val="auto"/>
          <w:sz w:val="21"/>
          <w:szCs w:val="21"/>
          <w:highlight w:val="none"/>
        </w:rPr>
        <w:t xml:space="preserve">六、与本保函有关的基础合同不成立、不生效、无效、被撤销、被解除，不影响本保函的独立有效。 </w:t>
      </w:r>
    </w:p>
    <w:p w14:paraId="7A57E75E">
      <w:pPr>
        <w:spacing w:line="360" w:lineRule="auto"/>
        <w:ind w:firstLine="420" w:firstLineChars="200"/>
        <w:rPr>
          <w:rFonts w:cs="宋体"/>
          <w:color w:val="auto"/>
          <w:sz w:val="21"/>
          <w:szCs w:val="21"/>
          <w:highlight w:val="none"/>
        </w:rPr>
      </w:pPr>
      <w:bookmarkStart w:id="623" w:name="_Hlk40303383"/>
      <w:bookmarkStart w:id="624" w:name="_Hlk40354981"/>
      <w:r>
        <w:rPr>
          <w:rFonts w:hint="eastAsia" w:cs="宋体"/>
          <w:color w:val="auto"/>
          <w:sz w:val="21"/>
          <w:szCs w:val="21"/>
          <w:highlight w:val="none"/>
        </w:rPr>
        <w:t xml:space="preserve">七、本保函项下的义务和责任均在保函有效期到期后自动消灭。 </w:t>
      </w:r>
    </w:p>
    <w:p w14:paraId="6D464195">
      <w:pPr>
        <w:spacing w:line="360" w:lineRule="auto"/>
        <w:ind w:firstLine="420" w:firstLineChars="200"/>
        <w:rPr>
          <w:rFonts w:cs="宋体"/>
          <w:color w:val="auto"/>
          <w:sz w:val="21"/>
          <w:szCs w:val="21"/>
          <w:highlight w:val="none"/>
        </w:rPr>
      </w:pPr>
      <w:r>
        <w:rPr>
          <w:rFonts w:hint="eastAsia" w:cs="宋体"/>
          <w:color w:val="auto"/>
          <w:sz w:val="21"/>
          <w:szCs w:val="21"/>
          <w:highlight w:val="none"/>
        </w:rPr>
        <w:t>八、本保函适用的法律为中华人民共和国法律，因本保函产生的纠纷案件，</w:t>
      </w:r>
      <w:bookmarkEnd w:id="623"/>
      <w:r>
        <w:rPr>
          <w:rFonts w:hint="eastAsia" w:cs="宋体"/>
          <w:color w:val="auto"/>
          <w:sz w:val="21"/>
          <w:szCs w:val="21"/>
          <w:highlight w:val="none"/>
        </w:rPr>
        <w:t xml:space="preserve">由受益人所在地人民法院管辖。 </w:t>
      </w:r>
    </w:p>
    <w:bookmarkEnd w:id="624"/>
    <w:p w14:paraId="1BC7F009">
      <w:pPr>
        <w:spacing w:line="360" w:lineRule="auto"/>
        <w:ind w:firstLine="420" w:firstLineChars="200"/>
        <w:rPr>
          <w:rFonts w:cs="宋体"/>
          <w:color w:val="auto"/>
          <w:sz w:val="21"/>
          <w:szCs w:val="21"/>
          <w:highlight w:val="none"/>
        </w:rPr>
      </w:pPr>
      <w:r>
        <w:rPr>
          <w:rFonts w:hint="eastAsia" w:cs="宋体"/>
          <w:color w:val="auto"/>
          <w:sz w:val="21"/>
          <w:szCs w:val="21"/>
          <w:highlight w:val="none"/>
        </w:rPr>
        <w:t xml:space="preserve">九、本保函自我方法定代表人或授权代表签字并加盖公章之日起生效。 </w:t>
      </w:r>
    </w:p>
    <w:p w14:paraId="0B243C35">
      <w:pPr>
        <w:spacing w:line="360" w:lineRule="auto"/>
        <w:ind w:firstLine="420" w:firstLineChars="200"/>
        <w:rPr>
          <w:rFonts w:cs="宋体"/>
          <w:color w:val="auto"/>
          <w:sz w:val="21"/>
          <w:szCs w:val="21"/>
          <w:highlight w:val="none"/>
        </w:rPr>
      </w:pPr>
    </w:p>
    <w:p w14:paraId="389F9FA2">
      <w:pPr>
        <w:spacing w:line="360" w:lineRule="auto"/>
        <w:ind w:firstLine="420" w:firstLineChars="200"/>
        <w:rPr>
          <w:rFonts w:cs="宋体"/>
          <w:color w:val="auto"/>
          <w:sz w:val="21"/>
          <w:szCs w:val="21"/>
          <w:highlight w:val="none"/>
        </w:rPr>
      </w:pPr>
    </w:p>
    <w:p w14:paraId="7E306588">
      <w:pPr>
        <w:spacing w:line="360" w:lineRule="auto"/>
        <w:ind w:firstLine="420" w:firstLineChars="200"/>
        <w:rPr>
          <w:rFonts w:cs="宋体"/>
          <w:color w:val="auto"/>
          <w:sz w:val="21"/>
          <w:szCs w:val="21"/>
          <w:highlight w:val="none"/>
        </w:rPr>
      </w:pPr>
    </w:p>
    <w:p w14:paraId="696A289F">
      <w:pPr>
        <w:spacing w:line="360" w:lineRule="auto"/>
        <w:ind w:firstLine="420" w:firstLineChars="200"/>
        <w:rPr>
          <w:rFonts w:cs="宋体"/>
          <w:color w:val="auto"/>
          <w:sz w:val="21"/>
          <w:szCs w:val="21"/>
          <w:highlight w:val="none"/>
        </w:rPr>
      </w:pPr>
      <w:r>
        <w:rPr>
          <w:rFonts w:hint="eastAsia" w:cs="宋体"/>
          <w:color w:val="auto"/>
          <w:sz w:val="21"/>
          <w:szCs w:val="21"/>
          <w:highlight w:val="none"/>
        </w:rPr>
        <w:t>开 立 人：</w:t>
      </w:r>
      <w:r>
        <w:rPr>
          <w:rFonts w:hint="eastAsia" w:cs="宋体"/>
          <w:color w:val="auto"/>
          <w:sz w:val="21"/>
          <w:szCs w:val="21"/>
          <w:highlight w:val="none"/>
          <w:u w:val="single"/>
        </w:rPr>
        <w:t xml:space="preserve">                              </w:t>
      </w:r>
      <w:r>
        <w:rPr>
          <w:rFonts w:hint="eastAsia" w:cs="宋体"/>
          <w:color w:val="auto"/>
          <w:sz w:val="21"/>
          <w:szCs w:val="21"/>
          <w:highlight w:val="none"/>
        </w:rPr>
        <w:t xml:space="preserve">（公章） </w:t>
      </w:r>
    </w:p>
    <w:p w14:paraId="61AA6893">
      <w:pPr>
        <w:spacing w:line="360" w:lineRule="auto"/>
        <w:ind w:firstLine="420" w:firstLineChars="200"/>
        <w:rPr>
          <w:rFonts w:cs="宋体"/>
          <w:color w:val="auto"/>
          <w:sz w:val="21"/>
          <w:szCs w:val="21"/>
          <w:highlight w:val="none"/>
        </w:rPr>
      </w:pPr>
      <w:r>
        <w:rPr>
          <w:rFonts w:hint="eastAsia" w:cs="宋体"/>
          <w:color w:val="auto"/>
          <w:sz w:val="21"/>
          <w:szCs w:val="21"/>
          <w:highlight w:val="none"/>
        </w:rPr>
        <w:t>法定代表人（或授权代表）：</w:t>
      </w:r>
      <w:r>
        <w:rPr>
          <w:rFonts w:hint="eastAsia" w:cs="宋体"/>
          <w:color w:val="auto"/>
          <w:sz w:val="21"/>
          <w:szCs w:val="21"/>
          <w:highlight w:val="none"/>
          <w:u w:val="single"/>
        </w:rPr>
        <w:t xml:space="preserve">               </w:t>
      </w:r>
      <w:r>
        <w:rPr>
          <w:rFonts w:hint="eastAsia" w:cs="宋体"/>
          <w:color w:val="auto"/>
          <w:sz w:val="21"/>
          <w:szCs w:val="21"/>
          <w:highlight w:val="none"/>
        </w:rPr>
        <w:t xml:space="preserve">（签字） </w:t>
      </w:r>
    </w:p>
    <w:p w14:paraId="2FAF6FD5">
      <w:pPr>
        <w:spacing w:line="360" w:lineRule="auto"/>
        <w:ind w:firstLine="420" w:firstLineChars="200"/>
        <w:rPr>
          <w:rFonts w:cs="宋体"/>
          <w:color w:val="auto"/>
          <w:sz w:val="21"/>
          <w:szCs w:val="21"/>
          <w:highlight w:val="none"/>
        </w:rPr>
      </w:pPr>
      <w:r>
        <w:rPr>
          <w:rFonts w:hint="eastAsia" w:cs="宋体"/>
          <w:color w:val="auto"/>
          <w:sz w:val="21"/>
          <w:szCs w:val="21"/>
          <w:highlight w:val="none"/>
        </w:rPr>
        <w:t>地    址：</w:t>
      </w:r>
      <w:r>
        <w:rPr>
          <w:rFonts w:hint="eastAsia" w:cs="宋体"/>
          <w:color w:val="auto"/>
          <w:sz w:val="21"/>
          <w:szCs w:val="21"/>
          <w:highlight w:val="none"/>
          <w:u w:val="single"/>
        </w:rPr>
        <w:t xml:space="preserve">                                       </w:t>
      </w:r>
    </w:p>
    <w:p w14:paraId="3218F300">
      <w:pPr>
        <w:spacing w:line="360" w:lineRule="auto"/>
        <w:ind w:firstLine="420" w:firstLineChars="200"/>
        <w:rPr>
          <w:rFonts w:cs="宋体"/>
          <w:color w:val="auto"/>
          <w:sz w:val="21"/>
          <w:szCs w:val="21"/>
          <w:highlight w:val="none"/>
        </w:rPr>
      </w:pPr>
      <w:r>
        <w:rPr>
          <w:rFonts w:hint="eastAsia" w:cs="宋体"/>
          <w:color w:val="auto"/>
          <w:sz w:val="21"/>
          <w:szCs w:val="21"/>
          <w:highlight w:val="none"/>
        </w:rPr>
        <w:t>邮政编码：</w:t>
      </w:r>
      <w:r>
        <w:rPr>
          <w:rFonts w:hint="eastAsia" w:cs="宋体"/>
          <w:color w:val="auto"/>
          <w:sz w:val="21"/>
          <w:szCs w:val="21"/>
          <w:highlight w:val="none"/>
          <w:u w:val="single"/>
        </w:rPr>
        <w:t xml:space="preserve">                 </w:t>
      </w:r>
    </w:p>
    <w:p w14:paraId="43B229DE">
      <w:pPr>
        <w:spacing w:line="360" w:lineRule="auto"/>
        <w:ind w:firstLine="420" w:firstLineChars="200"/>
        <w:rPr>
          <w:rFonts w:cs="宋体"/>
          <w:color w:val="auto"/>
          <w:sz w:val="21"/>
          <w:szCs w:val="21"/>
          <w:highlight w:val="none"/>
        </w:rPr>
      </w:pPr>
      <w:r>
        <w:rPr>
          <w:rFonts w:hint="eastAsia" w:cs="宋体"/>
          <w:color w:val="auto"/>
          <w:sz w:val="21"/>
          <w:szCs w:val="21"/>
          <w:highlight w:val="none"/>
        </w:rPr>
        <w:t>电    话：</w:t>
      </w:r>
      <w:r>
        <w:rPr>
          <w:rFonts w:hint="eastAsia" w:cs="宋体"/>
          <w:color w:val="auto"/>
          <w:sz w:val="21"/>
          <w:szCs w:val="21"/>
          <w:highlight w:val="none"/>
          <w:u w:val="single"/>
        </w:rPr>
        <w:t xml:space="preserve">                 </w:t>
      </w:r>
    </w:p>
    <w:p w14:paraId="4B93D4AD">
      <w:pPr>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传    真：</w:t>
      </w:r>
      <w:r>
        <w:rPr>
          <w:rFonts w:hint="eastAsia" w:cs="宋体"/>
          <w:color w:val="auto"/>
          <w:sz w:val="21"/>
          <w:szCs w:val="21"/>
          <w:highlight w:val="none"/>
          <w:u w:val="single"/>
        </w:rPr>
        <w:t xml:space="preserve">                 </w:t>
      </w:r>
    </w:p>
    <w:p w14:paraId="0942B148">
      <w:pPr>
        <w:spacing w:line="360" w:lineRule="auto"/>
        <w:ind w:left="1303" w:leftChars="200" w:hanging="903" w:hangingChars="430"/>
        <w:rPr>
          <w:rFonts w:cs="宋体"/>
          <w:color w:val="auto"/>
          <w:sz w:val="21"/>
          <w:szCs w:val="21"/>
          <w:highlight w:val="none"/>
        </w:rPr>
      </w:pPr>
      <w:r>
        <w:rPr>
          <w:rFonts w:hint="eastAsia" w:cs="宋体"/>
          <w:color w:val="auto"/>
          <w:sz w:val="21"/>
          <w:szCs w:val="21"/>
          <w:highlight w:val="none"/>
        </w:rPr>
        <w:t>开立时间：</w:t>
      </w:r>
      <w:r>
        <w:rPr>
          <w:rFonts w:hint="eastAsia" w:cs="宋体"/>
          <w:color w:val="auto"/>
          <w:sz w:val="21"/>
          <w:szCs w:val="21"/>
          <w:highlight w:val="none"/>
          <w:u w:val="single"/>
        </w:rPr>
        <w:t xml:space="preserve">      </w:t>
      </w:r>
      <w:r>
        <w:rPr>
          <w:rFonts w:hint="eastAsia" w:cs="宋体"/>
          <w:color w:val="auto"/>
          <w:sz w:val="21"/>
          <w:szCs w:val="21"/>
          <w:highlight w:val="none"/>
        </w:rPr>
        <w:t>年</w:t>
      </w:r>
      <w:r>
        <w:rPr>
          <w:rFonts w:hint="eastAsia" w:cs="宋体"/>
          <w:color w:val="auto"/>
          <w:sz w:val="21"/>
          <w:szCs w:val="21"/>
          <w:highlight w:val="none"/>
          <w:u w:val="single"/>
        </w:rPr>
        <w:t xml:space="preserve">      </w:t>
      </w:r>
      <w:r>
        <w:rPr>
          <w:rFonts w:hint="eastAsia" w:cs="宋体"/>
          <w:color w:val="auto"/>
          <w:sz w:val="21"/>
          <w:szCs w:val="21"/>
          <w:highlight w:val="none"/>
        </w:rPr>
        <w:t>月</w:t>
      </w:r>
      <w:r>
        <w:rPr>
          <w:rFonts w:hint="eastAsia" w:cs="宋体"/>
          <w:color w:val="auto"/>
          <w:sz w:val="21"/>
          <w:szCs w:val="21"/>
          <w:highlight w:val="none"/>
          <w:u w:val="single"/>
        </w:rPr>
        <w:t xml:space="preserve">    </w:t>
      </w:r>
      <w:r>
        <w:rPr>
          <w:rFonts w:hint="eastAsia" w:cs="宋体"/>
          <w:color w:val="auto"/>
          <w:sz w:val="21"/>
          <w:szCs w:val="21"/>
          <w:highlight w:val="none"/>
        </w:rPr>
        <w:t>日</w:t>
      </w:r>
    </w:p>
    <w:p w14:paraId="3B7D4136">
      <w:pPr>
        <w:spacing w:before="312" w:beforeLines="100" w:after="312" w:afterLines="100"/>
        <w:outlineLvl w:val="2"/>
        <w:rPr>
          <w:rFonts w:ascii="Times New Roman" w:eastAsia="黑体"/>
          <w:color w:val="auto"/>
          <w:szCs w:val="24"/>
          <w:highlight w:val="none"/>
        </w:rPr>
      </w:pPr>
      <w:r>
        <w:rPr>
          <w:rFonts w:ascii="Times New Roman" w:eastAsia="黑体"/>
          <w:bCs/>
          <w:color w:val="auto"/>
          <w:highlight w:val="none"/>
        </w:rPr>
        <w:br w:type="page"/>
      </w:r>
      <w:bookmarkStart w:id="625" w:name="_Toc128950245"/>
      <w:r>
        <w:rPr>
          <w:rFonts w:hint="eastAsia" w:ascii="Times New Roman" w:eastAsia="黑体"/>
          <w:color w:val="auto"/>
          <w:szCs w:val="24"/>
          <w:highlight w:val="none"/>
        </w:rPr>
        <w:t>附</w:t>
      </w:r>
      <w:bookmarkStart w:id="626" w:name="_Toc296944571"/>
      <w:bookmarkStart w:id="627" w:name="_Toc267261702"/>
      <w:bookmarkStart w:id="628" w:name="_Toc296891060"/>
      <w:bookmarkStart w:id="629" w:name="_Toc296346733"/>
      <w:bookmarkStart w:id="630" w:name="_Toc296891272"/>
      <w:bookmarkStart w:id="631" w:name="_Toc296347231"/>
      <w:bookmarkStart w:id="632" w:name="_Toc296503232"/>
      <w:r>
        <w:rPr>
          <w:rFonts w:hint="eastAsia" w:ascii="Times New Roman" w:eastAsia="黑体"/>
          <w:color w:val="auto"/>
          <w:szCs w:val="24"/>
          <w:highlight w:val="none"/>
        </w:rPr>
        <w:t>件10：预付款担保</w:t>
      </w:r>
      <w:bookmarkEnd w:id="625"/>
    </w:p>
    <w:bookmarkEnd w:id="626"/>
    <w:bookmarkEnd w:id="627"/>
    <w:bookmarkEnd w:id="628"/>
    <w:bookmarkEnd w:id="629"/>
    <w:bookmarkEnd w:id="630"/>
    <w:bookmarkEnd w:id="631"/>
    <w:bookmarkEnd w:id="632"/>
    <w:p w14:paraId="23752F25">
      <w:pPr>
        <w:spacing w:line="360" w:lineRule="auto"/>
        <w:jc w:val="center"/>
        <w:rPr>
          <w:rFonts w:cs="宋体"/>
          <w:b/>
          <w:bCs/>
          <w:color w:val="auto"/>
          <w:sz w:val="32"/>
          <w:szCs w:val="32"/>
          <w:highlight w:val="none"/>
        </w:rPr>
      </w:pPr>
      <w:r>
        <w:rPr>
          <w:rFonts w:hint="eastAsia" w:cs="宋体"/>
          <w:b/>
          <w:bCs/>
          <w:color w:val="auto"/>
          <w:sz w:val="32"/>
          <w:szCs w:val="32"/>
          <w:highlight w:val="none"/>
        </w:rPr>
        <w:t>预付款保函示范文本</w:t>
      </w:r>
    </w:p>
    <w:p w14:paraId="2B456F43">
      <w:pPr>
        <w:wordWrap w:val="0"/>
        <w:spacing w:line="360" w:lineRule="auto"/>
        <w:jc w:val="right"/>
        <w:rPr>
          <w:rFonts w:ascii="Times New Roman"/>
          <w:color w:val="auto"/>
          <w:szCs w:val="21"/>
          <w:highlight w:val="none"/>
        </w:rPr>
      </w:pPr>
      <w:r>
        <w:rPr>
          <w:rFonts w:hint="eastAsia" w:ascii="Times New Roman"/>
          <w:color w:val="auto"/>
          <w:szCs w:val="21"/>
          <w:highlight w:val="none"/>
        </w:rPr>
        <w:t>编号：</w:t>
      </w:r>
      <w:r>
        <w:rPr>
          <w:rFonts w:hint="eastAsia" w:ascii="Times New Roman"/>
          <w:color w:val="auto"/>
          <w:szCs w:val="21"/>
          <w:highlight w:val="none"/>
          <w:u w:val="single"/>
        </w:rPr>
        <w:t xml:space="preserve"> </w:t>
      </w:r>
      <w:r>
        <w:rPr>
          <w:rFonts w:ascii="Times New Roman"/>
          <w:color w:val="auto"/>
          <w:szCs w:val="21"/>
          <w:highlight w:val="none"/>
          <w:u w:val="single"/>
        </w:rPr>
        <w:t xml:space="preserve">          </w:t>
      </w:r>
    </w:p>
    <w:p w14:paraId="368ACB74">
      <w:pPr>
        <w:spacing w:line="360" w:lineRule="auto"/>
        <w:rPr>
          <w:rFonts w:ascii="Times New Roman"/>
          <w:color w:val="auto"/>
          <w:szCs w:val="21"/>
          <w:highlight w:val="none"/>
        </w:rPr>
      </w:pPr>
    </w:p>
    <w:p w14:paraId="19C3F605">
      <w:pPr>
        <w:spacing w:line="360" w:lineRule="auto"/>
        <w:rPr>
          <w:rFonts w:cs="宋体"/>
          <w:color w:val="auto"/>
          <w:sz w:val="21"/>
          <w:szCs w:val="21"/>
          <w:highlight w:val="none"/>
        </w:rPr>
      </w:pPr>
      <w:r>
        <w:rPr>
          <w:rFonts w:hint="eastAsia" w:cs="宋体"/>
          <w:color w:val="auto"/>
          <w:sz w:val="21"/>
          <w:szCs w:val="21"/>
          <w:highlight w:val="none"/>
          <w:u w:val="single"/>
        </w:rPr>
        <w:t xml:space="preserve">              </w:t>
      </w:r>
      <w:r>
        <w:rPr>
          <w:rFonts w:hint="eastAsia" w:cs="宋体"/>
          <w:color w:val="auto"/>
          <w:sz w:val="21"/>
          <w:szCs w:val="21"/>
          <w:highlight w:val="none"/>
        </w:rPr>
        <w:t xml:space="preserve">（受益人名称）： </w:t>
      </w:r>
    </w:p>
    <w:p w14:paraId="6A390BD0">
      <w:pPr>
        <w:spacing w:line="360" w:lineRule="auto"/>
        <w:ind w:firstLine="420" w:firstLineChars="200"/>
        <w:rPr>
          <w:rFonts w:cs="宋体"/>
          <w:color w:val="auto"/>
          <w:sz w:val="21"/>
          <w:szCs w:val="21"/>
          <w:highlight w:val="none"/>
        </w:rPr>
      </w:pPr>
      <w:r>
        <w:rPr>
          <w:rFonts w:hint="eastAsia" w:cs="宋体"/>
          <w:color w:val="auto"/>
          <w:sz w:val="21"/>
          <w:szCs w:val="21"/>
          <w:highlight w:val="none"/>
        </w:rPr>
        <w:t>鉴于</w:t>
      </w:r>
      <w:r>
        <w:rPr>
          <w:rFonts w:hint="eastAsia" w:cs="宋体"/>
          <w:color w:val="auto"/>
          <w:sz w:val="21"/>
          <w:szCs w:val="21"/>
          <w:highlight w:val="none"/>
          <w:u w:val="single"/>
        </w:rPr>
        <w:t xml:space="preserve">     </w:t>
      </w:r>
      <w:r>
        <w:rPr>
          <w:rFonts w:hint="eastAsia" w:cs="宋体"/>
          <w:color w:val="auto"/>
          <w:sz w:val="21"/>
          <w:szCs w:val="21"/>
          <w:highlight w:val="none"/>
        </w:rPr>
        <w:t>（以下简称“受益人”）与</w:t>
      </w:r>
      <w:r>
        <w:rPr>
          <w:rFonts w:hint="eastAsia" w:cs="宋体"/>
          <w:color w:val="auto"/>
          <w:sz w:val="21"/>
          <w:szCs w:val="21"/>
          <w:highlight w:val="none"/>
          <w:u w:val="single"/>
        </w:rPr>
        <w:t xml:space="preserve">     </w:t>
      </w:r>
      <w:r>
        <w:rPr>
          <w:rFonts w:hint="eastAsia" w:cs="宋体"/>
          <w:color w:val="auto"/>
          <w:sz w:val="21"/>
          <w:szCs w:val="21"/>
          <w:highlight w:val="none"/>
        </w:rPr>
        <w:t>（以下简称“申请人”）于</w:t>
      </w:r>
      <w:r>
        <w:rPr>
          <w:rFonts w:hint="eastAsia" w:cs="宋体"/>
          <w:color w:val="auto"/>
          <w:sz w:val="21"/>
          <w:szCs w:val="21"/>
          <w:highlight w:val="none"/>
          <w:u w:val="single"/>
        </w:rPr>
        <w:t xml:space="preserve">    </w:t>
      </w:r>
      <w:r>
        <w:rPr>
          <w:rFonts w:hint="eastAsia" w:cs="宋体"/>
          <w:color w:val="auto"/>
          <w:sz w:val="21"/>
          <w:szCs w:val="21"/>
          <w:highlight w:val="none"/>
        </w:rPr>
        <w:t>年</w:t>
      </w:r>
      <w:r>
        <w:rPr>
          <w:rFonts w:hint="eastAsia" w:cs="宋体"/>
          <w:color w:val="auto"/>
          <w:sz w:val="21"/>
          <w:szCs w:val="21"/>
          <w:highlight w:val="none"/>
          <w:u w:val="single"/>
        </w:rPr>
        <w:t xml:space="preserve">   </w:t>
      </w:r>
      <w:r>
        <w:rPr>
          <w:rFonts w:hint="eastAsia" w:cs="宋体"/>
          <w:color w:val="auto"/>
          <w:sz w:val="21"/>
          <w:szCs w:val="21"/>
          <w:highlight w:val="none"/>
        </w:rPr>
        <w:t>月</w:t>
      </w:r>
      <w:r>
        <w:rPr>
          <w:rFonts w:hint="eastAsia" w:cs="宋体"/>
          <w:color w:val="auto"/>
          <w:sz w:val="21"/>
          <w:szCs w:val="21"/>
          <w:highlight w:val="none"/>
          <w:u w:val="single"/>
        </w:rPr>
        <w:t xml:space="preserve">   </w:t>
      </w:r>
      <w:r>
        <w:rPr>
          <w:rFonts w:hint="eastAsia" w:cs="宋体"/>
          <w:color w:val="auto"/>
          <w:sz w:val="21"/>
          <w:szCs w:val="21"/>
          <w:highlight w:val="none"/>
        </w:rPr>
        <w:t>日就</w:t>
      </w:r>
      <w:r>
        <w:rPr>
          <w:rFonts w:hint="eastAsia" w:cs="宋体"/>
          <w:snapToGrid w:val="0"/>
          <w:color w:val="auto"/>
          <w:sz w:val="21"/>
          <w:szCs w:val="21"/>
          <w:highlight w:val="none"/>
          <w:u w:val="single"/>
        </w:rPr>
        <w:t xml:space="preserve">        </w:t>
      </w:r>
      <w:r>
        <w:rPr>
          <w:rFonts w:hint="eastAsia" w:cs="宋体"/>
          <w:snapToGrid w:val="0"/>
          <w:color w:val="auto"/>
          <w:sz w:val="21"/>
          <w:szCs w:val="21"/>
          <w:highlight w:val="none"/>
        </w:rPr>
        <w:t>（项目编号）的</w:t>
      </w:r>
      <w:r>
        <w:rPr>
          <w:rFonts w:hint="eastAsia" w:cs="宋体"/>
          <w:snapToGrid w:val="0"/>
          <w:color w:val="auto"/>
          <w:sz w:val="21"/>
          <w:szCs w:val="21"/>
          <w:highlight w:val="none"/>
          <w:u w:val="single"/>
        </w:rPr>
        <w:t xml:space="preserve">     </w:t>
      </w:r>
      <w:r>
        <w:rPr>
          <w:rFonts w:hint="eastAsia" w:cs="宋体"/>
          <w:snapToGrid w:val="0"/>
          <w:color w:val="auto"/>
          <w:sz w:val="21"/>
          <w:szCs w:val="21"/>
          <w:highlight w:val="none"/>
        </w:rPr>
        <w:t>（项目名称）</w:t>
      </w:r>
      <w:r>
        <w:rPr>
          <w:rFonts w:hint="eastAsia" w:cs="宋体"/>
          <w:color w:val="auto"/>
          <w:sz w:val="21"/>
          <w:szCs w:val="21"/>
          <w:highlight w:val="none"/>
        </w:rPr>
        <w:t>有关事项协商一致共同签订</w:t>
      </w:r>
      <w:r>
        <w:rPr>
          <w:rFonts w:hint="eastAsia" w:cs="宋体"/>
          <w:color w:val="auto"/>
          <w:sz w:val="21"/>
          <w:szCs w:val="21"/>
          <w:highlight w:val="none"/>
          <w:u w:val="single"/>
        </w:rPr>
        <w:t>《        》</w:t>
      </w:r>
      <w:r>
        <w:rPr>
          <w:rFonts w:hint="eastAsia" w:cs="宋体"/>
          <w:color w:val="auto"/>
          <w:sz w:val="21"/>
          <w:szCs w:val="21"/>
          <w:highlight w:val="none"/>
        </w:rPr>
        <w:t xml:space="preserve">（以下简称“基础合同”），开立人根据主合同了解到申请人为主合同项下之承包人，受益人为主合同项下之发包人，基于申请人的请求，开立人同意就申请人按照合同约定正确和合理地为合同目的使用预付款，向受益人提供不可撤销、不可转让的见索即付独立保函（以下简称“本保函”）。 </w:t>
      </w:r>
    </w:p>
    <w:p w14:paraId="0080428F">
      <w:pPr>
        <w:spacing w:line="360" w:lineRule="auto"/>
        <w:ind w:firstLine="420" w:firstLineChars="200"/>
        <w:rPr>
          <w:rFonts w:cs="宋体"/>
          <w:color w:val="auto"/>
          <w:sz w:val="21"/>
          <w:szCs w:val="21"/>
          <w:highlight w:val="none"/>
        </w:rPr>
      </w:pPr>
      <w:r>
        <w:rPr>
          <w:rFonts w:hint="eastAsia" w:cs="宋体"/>
          <w:color w:val="auto"/>
          <w:sz w:val="21"/>
          <w:szCs w:val="21"/>
          <w:highlight w:val="none"/>
        </w:rPr>
        <w:t>一、本保函担保范围：申请人未按照合同约定正确和合理地为合同目的使用预付款，应当向受益人承担的违约责任和赔偿因此造成的损失、利息、律师费、诉讼费用等实现债权的费用。</w:t>
      </w:r>
    </w:p>
    <w:p w14:paraId="1A9497D8">
      <w:pPr>
        <w:spacing w:line="360" w:lineRule="auto"/>
        <w:ind w:firstLine="420" w:firstLineChars="200"/>
        <w:rPr>
          <w:rFonts w:cs="宋体"/>
          <w:color w:val="auto"/>
          <w:sz w:val="21"/>
          <w:szCs w:val="21"/>
          <w:highlight w:val="none"/>
        </w:rPr>
      </w:pPr>
      <w:r>
        <w:rPr>
          <w:rFonts w:hint="eastAsia" w:cs="宋体"/>
          <w:color w:val="auto"/>
          <w:sz w:val="21"/>
          <w:szCs w:val="21"/>
          <w:highlight w:val="none"/>
        </w:rPr>
        <w:t>二、本保函担保金额最高不超过人民币（大写）</w:t>
      </w:r>
      <w:r>
        <w:rPr>
          <w:rFonts w:hint="eastAsia" w:cs="宋体"/>
          <w:color w:val="auto"/>
          <w:sz w:val="21"/>
          <w:szCs w:val="21"/>
          <w:highlight w:val="none"/>
          <w:u w:val="single"/>
        </w:rPr>
        <w:t xml:space="preserve">          </w:t>
      </w:r>
      <w:r>
        <w:rPr>
          <w:rFonts w:hint="eastAsia" w:cs="宋体"/>
          <w:color w:val="auto"/>
          <w:sz w:val="21"/>
          <w:szCs w:val="21"/>
          <w:highlight w:val="none"/>
        </w:rPr>
        <w:t>元（¥</w:t>
      </w:r>
      <w:r>
        <w:rPr>
          <w:rFonts w:hint="eastAsia" w:cs="宋体"/>
          <w:color w:val="auto"/>
          <w:sz w:val="21"/>
          <w:szCs w:val="21"/>
          <w:highlight w:val="none"/>
          <w:u w:val="single"/>
        </w:rPr>
        <w:t xml:space="preserve">       </w:t>
      </w:r>
      <w:r>
        <w:rPr>
          <w:rFonts w:hint="eastAsia" w:cs="宋体"/>
          <w:color w:val="auto"/>
          <w:sz w:val="21"/>
          <w:szCs w:val="21"/>
          <w:highlight w:val="none"/>
        </w:rPr>
        <w:t xml:space="preserve">）。 </w:t>
      </w:r>
    </w:p>
    <w:p w14:paraId="50772ECB">
      <w:pPr>
        <w:spacing w:line="360" w:lineRule="auto"/>
        <w:ind w:firstLine="420" w:firstLineChars="200"/>
        <w:rPr>
          <w:rFonts w:cs="宋体"/>
          <w:color w:val="auto"/>
          <w:sz w:val="21"/>
          <w:szCs w:val="21"/>
          <w:highlight w:val="none"/>
        </w:rPr>
      </w:pPr>
      <w:r>
        <w:rPr>
          <w:rFonts w:hint="eastAsia" w:cs="宋体"/>
          <w:color w:val="auto"/>
          <w:sz w:val="21"/>
          <w:szCs w:val="21"/>
          <w:highlight w:val="none"/>
        </w:rPr>
        <w:t>三、本保函有效期自开立之日起至发包人全额扣回预付款之日止。</w:t>
      </w:r>
    </w:p>
    <w:p w14:paraId="07B74358">
      <w:pPr>
        <w:spacing w:line="400" w:lineRule="exact"/>
        <w:ind w:firstLine="480"/>
        <w:rPr>
          <w:rFonts w:cs="宋体"/>
          <w:color w:val="auto"/>
          <w:sz w:val="21"/>
          <w:szCs w:val="21"/>
          <w:highlight w:val="none"/>
        </w:rPr>
      </w:pPr>
      <w:r>
        <w:rPr>
          <w:rFonts w:hint="eastAsia" w:cs="宋体"/>
          <w:color w:val="auto"/>
          <w:sz w:val="21"/>
          <w:szCs w:val="21"/>
          <w:highlight w:val="none"/>
        </w:rPr>
        <w:t>四、开立人承诺，在收到受益人发来的书面付款通知后的七日内无条件支付，前述书面付款通知即为付款要求之单据，且应满足以下要求：</w:t>
      </w:r>
    </w:p>
    <w:p w14:paraId="73517AA0">
      <w:pPr>
        <w:spacing w:line="360" w:lineRule="auto"/>
        <w:ind w:firstLine="420" w:firstLineChars="200"/>
        <w:rPr>
          <w:rFonts w:cs="宋体"/>
          <w:color w:val="auto"/>
          <w:sz w:val="21"/>
          <w:szCs w:val="21"/>
          <w:highlight w:val="none"/>
        </w:rPr>
      </w:pPr>
      <w:r>
        <w:rPr>
          <w:rFonts w:hint="eastAsia" w:cs="宋体"/>
          <w:color w:val="auto"/>
          <w:sz w:val="21"/>
          <w:szCs w:val="21"/>
          <w:highlight w:val="none"/>
        </w:rPr>
        <w:t>（1）付款通知到达的日期在本保函的有效期内；</w:t>
      </w:r>
    </w:p>
    <w:p w14:paraId="40C43089">
      <w:pPr>
        <w:spacing w:line="360" w:lineRule="auto"/>
        <w:ind w:firstLine="420" w:firstLineChars="200"/>
        <w:rPr>
          <w:rFonts w:cs="宋体"/>
          <w:color w:val="auto"/>
          <w:sz w:val="21"/>
          <w:szCs w:val="21"/>
          <w:highlight w:val="none"/>
        </w:rPr>
      </w:pPr>
      <w:r>
        <w:rPr>
          <w:rFonts w:hint="eastAsia" w:cs="宋体"/>
          <w:color w:val="auto"/>
          <w:sz w:val="21"/>
          <w:szCs w:val="21"/>
          <w:highlight w:val="none"/>
        </w:rPr>
        <w:t>（2）载明要求支付的金额；</w:t>
      </w:r>
    </w:p>
    <w:p w14:paraId="14D5A72B">
      <w:pPr>
        <w:spacing w:line="360" w:lineRule="auto"/>
        <w:ind w:firstLine="420" w:firstLineChars="200"/>
        <w:rPr>
          <w:rFonts w:cs="宋体"/>
          <w:color w:val="auto"/>
          <w:sz w:val="21"/>
          <w:szCs w:val="21"/>
          <w:highlight w:val="none"/>
        </w:rPr>
      </w:pPr>
      <w:r>
        <w:rPr>
          <w:rFonts w:hint="eastAsia" w:cs="宋体"/>
          <w:color w:val="auto"/>
          <w:sz w:val="21"/>
          <w:szCs w:val="21"/>
          <w:highlight w:val="none"/>
        </w:rPr>
        <w:t>（3）载明申请人违反合同义务的条款和内容；</w:t>
      </w:r>
    </w:p>
    <w:p w14:paraId="3CD64209">
      <w:pPr>
        <w:spacing w:line="360" w:lineRule="auto"/>
        <w:ind w:firstLine="420" w:firstLineChars="200"/>
        <w:rPr>
          <w:rFonts w:cs="宋体"/>
          <w:color w:val="auto"/>
          <w:sz w:val="21"/>
          <w:szCs w:val="21"/>
          <w:highlight w:val="none"/>
        </w:rPr>
      </w:pPr>
      <w:r>
        <w:rPr>
          <w:rFonts w:hint="eastAsia" w:cs="宋体"/>
          <w:color w:val="auto"/>
          <w:sz w:val="21"/>
          <w:szCs w:val="21"/>
          <w:highlight w:val="none"/>
        </w:rPr>
        <w:t>（4）声明不存在合同文件约定或我国法律规定免除申请人或开立人支付责任的情形；</w:t>
      </w:r>
    </w:p>
    <w:p w14:paraId="504A12F3">
      <w:pPr>
        <w:spacing w:line="360" w:lineRule="auto"/>
        <w:ind w:firstLine="420" w:firstLineChars="200"/>
        <w:rPr>
          <w:rFonts w:cs="宋体"/>
          <w:color w:val="auto"/>
          <w:sz w:val="21"/>
          <w:szCs w:val="21"/>
          <w:highlight w:val="none"/>
        </w:rPr>
      </w:pPr>
      <w:r>
        <w:rPr>
          <w:rFonts w:hint="eastAsia" w:cs="宋体"/>
          <w:color w:val="auto"/>
          <w:sz w:val="21"/>
          <w:szCs w:val="21"/>
          <w:highlight w:val="none"/>
        </w:rPr>
        <w:t>（5）付款通知应在本保函有效期内到达的地址是：</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6B609A3">
      <w:pPr>
        <w:spacing w:line="400" w:lineRule="exact"/>
        <w:rPr>
          <w:rFonts w:cs="宋体"/>
          <w:color w:val="auto"/>
          <w:sz w:val="21"/>
          <w:szCs w:val="21"/>
          <w:highlight w:val="none"/>
        </w:rPr>
      </w:pPr>
      <w:r>
        <w:rPr>
          <w:rFonts w:hint="eastAsia" w:cs="宋体"/>
          <w:color w:val="auto"/>
          <w:sz w:val="21"/>
          <w:szCs w:val="21"/>
          <w:highlight w:val="none"/>
        </w:rPr>
        <w:t xml:space="preserve">    受益人发出的书面付款通知应由其法定代表人（负责人）或授权代理人签字并加盖公章。</w:t>
      </w:r>
    </w:p>
    <w:p w14:paraId="6102F671">
      <w:pPr>
        <w:spacing w:line="400" w:lineRule="exact"/>
        <w:ind w:firstLine="420" w:firstLineChars="200"/>
        <w:rPr>
          <w:rFonts w:cs="宋体"/>
          <w:color w:val="auto"/>
          <w:sz w:val="21"/>
          <w:szCs w:val="21"/>
          <w:highlight w:val="none"/>
        </w:rPr>
      </w:pPr>
      <w:r>
        <w:rPr>
          <w:rFonts w:hint="eastAsia" w:cs="宋体"/>
          <w:color w:val="auto"/>
          <w:sz w:val="21"/>
          <w:szCs w:val="21"/>
          <w:highlight w:val="none"/>
        </w:rPr>
        <w:t xml:space="preserve">五、本保函项下的权利不得转让，不得设定担保。受益人未经开立人书面同意转让本保函或其项下任何权利，对开立人不发生法律效力。 </w:t>
      </w:r>
    </w:p>
    <w:p w14:paraId="2DA43AC4">
      <w:pPr>
        <w:spacing w:line="400" w:lineRule="exact"/>
        <w:ind w:firstLine="420" w:firstLineChars="200"/>
        <w:rPr>
          <w:rStyle w:val="68"/>
          <w:rFonts w:cs="宋体"/>
          <w:color w:val="auto"/>
          <w:highlight w:val="none"/>
        </w:rPr>
      </w:pPr>
      <w:r>
        <w:rPr>
          <w:rFonts w:hint="eastAsia" w:cs="宋体"/>
          <w:color w:val="auto"/>
          <w:sz w:val="21"/>
          <w:szCs w:val="21"/>
          <w:highlight w:val="none"/>
        </w:rPr>
        <w:t>六、本保函项下的基础交易不成立、不生效、无效、被撤销、被解除，不影响本保函的独立有效。</w:t>
      </w:r>
    </w:p>
    <w:p w14:paraId="41DE9A04">
      <w:pPr>
        <w:spacing w:line="400" w:lineRule="exact"/>
        <w:ind w:firstLine="420" w:firstLineChars="200"/>
        <w:rPr>
          <w:rFonts w:cs="宋体"/>
          <w:color w:val="auto"/>
          <w:sz w:val="21"/>
          <w:szCs w:val="21"/>
          <w:highlight w:val="none"/>
        </w:rPr>
      </w:pPr>
      <w:r>
        <w:rPr>
          <w:rFonts w:hint="eastAsia" w:cs="宋体"/>
          <w:color w:val="auto"/>
          <w:sz w:val="21"/>
          <w:szCs w:val="21"/>
          <w:highlight w:val="none"/>
        </w:rPr>
        <w:t xml:space="preserve">七、本保函项下的义务和责任均在保函有效期到期后自动消灭。 </w:t>
      </w:r>
    </w:p>
    <w:p w14:paraId="52BB1A96">
      <w:pPr>
        <w:spacing w:line="400" w:lineRule="exact"/>
        <w:ind w:firstLine="420" w:firstLineChars="200"/>
        <w:rPr>
          <w:rFonts w:cs="宋体"/>
          <w:color w:val="auto"/>
          <w:sz w:val="21"/>
          <w:szCs w:val="21"/>
          <w:highlight w:val="none"/>
        </w:rPr>
      </w:pPr>
      <w:r>
        <w:rPr>
          <w:rFonts w:hint="eastAsia" w:cs="宋体"/>
          <w:color w:val="auto"/>
          <w:sz w:val="21"/>
          <w:szCs w:val="21"/>
          <w:highlight w:val="none"/>
        </w:rPr>
        <w:t xml:space="preserve">八、本保函适用的法律为中华人民共和国法律，因本保函产生的纠纷案件，由受益人所在地人民法院管辖。 </w:t>
      </w:r>
    </w:p>
    <w:p w14:paraId="13C81A17">
      <w:pPr>
        <w:spacing w:line="360" w:lineRule="auto"/>
        <w:ind w:firstLine="420" w:firstLineChars="200"/>
        <w:rPr>
          <w:rFonts w:cs="宋体"/>
          <w:color w:val="auto"/>
          <w:sz w:val="21"/>
          <w:szCs w:val="21"/>
          <w:highlight w:val="none"/>
        </w:rPr>
      </w:pPr>
      <w:r>
        <w:rPr>
          <w:rFonts w:hint="eastAsia" w:cs="宋体"/>
          <w:color w:val="auto"/>
          <w:sz w:val="21"/>
          <w:szCs w:val="21"/>
          <w:highlight w:val="none"/>
        </w:rPr>
        <w:t xml:space="preserve">九、本保函自我方法定代表人或授权代表签字并加盖公章之日起生效。 </w:t>
      </w:r>
    </w:p>
    <w:p w14:paraId="6E8730F7">
      <w:pPr>
        <w:spacing w:line="360" w:lineRule="auto"/>
        <w:ind w:firstLine="420" w:firstLineChars="200"/>
        <w:rPr>
          <w:rFonts w:cs="宋体"/>
          <w:color w:val="auto"/>
          <w:sz w:val="21"/>
          <w:szCs w:val="21"/>
          <w:highlight w:val="none"/>
        </w:rPr>
      </w:pPr>
    </w:p>
    <w:p w14:paraId="7A4F9609">
      <w:pPr>
        <w:spacing w:line="360" w:lineRule="auto"/>
        <w:ind w:firstLine="420" w:firstLineChars="200"/>
        <w:rPr>
          <w:rFonts w:cs="宋体"/>
          <w:color w:val="auto"/>
          <w:sz w:val="21"/>
          <w:szCs w:val="21"/>
          <w:highlight w:val="none"/>
        </w:rPr>
      </w:pPr>
    </w:p>
    <w:p w14:paraId="4CC1FECA">
      <w:pPr>
        <w:spacing w:line="360" w:lineRule="auto"/>
        <w:ind w:firstLine="420" w:firstLineChars="200"/>
        <w:rPr>
          <w:rFonts w:cs="宋体"/>
          <w:color w:val="auto"/>
          <w:sz w:val="21"/>
          <w:szCs w:val="21"/>
          <w:highlight w:val="none"/>
        </w:rPr>
      </w:pPr>
    </w:p>
    <w:p w14:paraId="03C5E51D">
      <w:pPr>
        <w:spacing w:line="360" w:lineRule="auto"/>
        <w:ind w:firstLine="420" w:firstLineChars="200"/>
        <w:rPr>
          <w:rFonts w:cs="宋体"/>
          <w:color w:val="auto"/>
          <w:sz w:val="21"/>
          <w:szCs w:val="21"/>
          <w:highlight w:val="none"/>
        </w:rPr>
      </w:pPr>
      <w:r>
        <w:rPr>
          <w:rFonts w:hint="eastAsia" w:cs="宋体"/>
          <w:color w:val="auto"/>
          <w:sz w:val="21"/>
          <w:szCs w:val="21"/>
          <w:highlight w:val="none"/>
        </w:rPr>
        <w:t>开 立 人：</w:t>
      </w:r>
      <w:r>
        <w:rPr>
          <w:rFonts w:hint="eastAsia" w:cs="宋体"/>
          <w:color w:val="auto"/>
          <w:sz w:val="21"/>
          <w:szCs w:val="21"/>
          <w:highlight w:val="none"/>
          <w:u w:val="single"/>
        </w:rPr>
        <w:t xml:space="preserve">                              </w:t>
      </w:r>
      <w:r>
        <w:rPr>
          <w:rFonts w:hint="eastAsia" w:cs="宋体"/>
          <w:color w:val="auto"/>
          <w:sz w:val="21"/>
          <w:szCs w:val="21"/>
          <w:highlight w:val="none"/>
        </w:rPr>
        <w:t xml:space="preserve">（公章） </w:t>
      </w:r>
    </w:p>
    <w:p w14:paraId="039D3F7A">
      <w:pPr>
        <w:spacing w:line="360" w:lineRule="auto"/>
        <w:ind w:firstLine="420" w:firstLineChars="200"/>
        <w:rPr>
          <w:rFonts w:cs="宋体"/>
          <w:color w:val="auto"/>
          <w:sz w:val="21"/>
          <w:szCs w:val="21"/>
          <w:highlight w:val="none"/>
        </w:rPr>
      </w:pPr>
      <w:r>
        <w:rPr>
          <w:rFonts w:hint="eastAsia" w:cs="宋体"/>
          <w:color w:val="auto"/>
          <w:sz w:val="21"/>
          <w:szCs w:val="21"/>
          <w:highlight w:val="none"/>
        </w:rPr>
        <w:t>法定代表人（或授权代表）：</w:t>
      </w:r>
      <w:r>
        <w:rPr>
          <w:rFonts w:hint="eastAsia" w:cs="宋体"/>
          <w:color w:val="auto"/>
          <w:sz w:val="21"/>
          <w:szCs w:val="21"/>
          <w:highlight w:val="none"/>
          <w:u w:val="single"/>
        </w:rPr>
        <w:t xml:space="preserve">               </w:t>
      </w:r>
      <w:r>
        <w:rPr>
          <w:rFonts w:hint="eastAsia" w:cs="宋体"/>
          <w:color w:val="auto"/>
          <w:sz w:val="21"/>
          <w:szCs w:val="21"/>
          <w:highlight w:val="none"/>
        </w:rPr>
        <w:t xml:space="preserve">（签字） </w:t>
      </w:r>
    </w:p>
    <w:p w14:paraId="1185C2B8">
      <w:pPr>
        <w:spacing w:line="360" w:lineRule="auto"/>
        <w:ind w:firstLine="420" w:firstLineChars="200"/>
        <w:rPr>
          <w:rFonts w:cs="宋体"/>
          <w:color w:val="auto"/>
          <w:sz w:val="21"/>
          <w:szCs w:val="21"/>
          <w:highlight w:val="none"/>
        </w:rPr>
      </w:pPr>
      <w:r>
        <w:rPr>
          <w:rFonts w:hint="eastAsia" w:cs="宋体"/>
          <w:color w:val="auto"/>
          <w:sz w:val="21"/>
          <w:szCs w:val="21"/>
          <w:highlight w:val="none"/>
        </w:rPr>
        <w:t>地    址：</w:t>
      </w:r>
      <w:r>
        <w:rPr>
          <w:rFonts w:hint="eastAsia" w:cs="宋体"/>
          <w:color w:val="auto"/>
          <w:sz w:val="21"/>
          <w:szCs w:val="21"/>
          <w:highlight w:val="none"/>
          <w:u w:val="single"/>
        </w:rPr>
        <w:t xml:space="preserve">                                       </w:t>
      </w:r>
    </w:p>
    <w:p w14:paraId="3617A0D1">
      <w:pPr>
        <w:spacing w:line="360" w:lineRule="auto"/>
        <w:ind w:firstLine="420" w:firstLineChars="200"/>
        <w:rPr>
          <w:rFonts w:cs="宋体"/>
          <w:color w:val="auto"/>
          <w:sz w:val="21"/>
          <w:szCs w:val="21"/>
          <w:highlight w:val="none"/>
        </w:rPr>
      </w:pPr>
      <w:r>
        <w:rPr>
          <w:rFonts w:hint="eastAsia" w:cs="宋体"/>
          <w:color w:val="auto"/>
          <w:sz w:val="21"/>
          <w:szCs w:val="21"/>
          <w:highlight w:val="none"/>
        </w:rPr>
        <w:t>邮政编码：</w:t>
      </w:r>
      <w:r>
        <w:rPr>
          <w:rFonts w:hint="eastAsia" w:cs="宋体"/>
          <w:color w:val="auto"/>
          <w:sz w:val="21"/>
          <w:szCs w:val="21"/>
          <w:highlight w:val="none"/>
          <w:u w:val="single"/>
        </w:rPr>
        <w:t xml:space="preserve">                 </w:t>
      </w:r>
    </w:p>
    <w:p w14:paraId="20C7DFC7">
      <w:pPr>
        <w:spacing w:line="360" w:lineRule="auto"/>
        <w:ind w:firstLine="420" w:firstLineChars="200"/>
        <w:rPr>
          <w:rFonts w:cs="宋体"/>
          <w:color w:val="auto"/>
          <w:sz w:val="21"/>
          <w:szCs w:val="21"/>
          <w:highlight w:val="none"/>
        </w:rPr>
      </w:pPr>
      <w:r>
        <w:rPr>
          <w:rFonts w:hint="eastAsia" w:cs="宋体"/>
          <w:color w:val="auto"/>
          <w:sz w:val="21"/>
          <w:szCs w:val="21"/>
          <w:highlight w:val="none"/>
        </w:rPr>
        <w:t>电    话：</w:t>
      </w:r>
      <w:r>
        <w:rPr>
          <w:rFonts w:hint="eastAsia" w:cs="宋体"/>
          <w:color w:val="auto"/>
          <w:sz w:val="21"/>
          <w:szCs w:val="21"/>
          <w:highlight w:val="none"/>
          <w:u w:val="single"/>
        </w:rPr>
        <w:t xml:space="preserve">                 </w:t>
      </w:r>
    </w:p>
    <w:p w14:paraId="016033D1">
      <w:pPr>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传    真：</w:t>
      </w:r>
      <w:r>
        <w:rPr>
          <w:rFonts w:hint="eastAsia" w:cs="宋体"/>
          <w:color w:val="auto"/>
          <w:sz w:val="21"/>
          <w:szCs w:val="21"/>
          <w:highlight w:val="none"/>
          <w:u w:val="single"/>
        </w:rPr>
        <w:t xml:space="preserve">                 </w:t>
      </w:r>
    </w:p>
    <w:p w14:paraId="4F5E2CA9">
      <w:pPr>
        <w:spacing w:line="360" w:lineRule="auto"/>
        <w:ind w:left="1303" w:leftChars="200" w:hanging="903" w:hangingChars="430"/>
        <w:rPr>
          <w:rFonts w:cs="宋体"/>
          <w:color w:val="auto"/>
          <w:sz w:val="21"/>
          <w:szCs w:val="21"/>
          <w:highlight w:val="none"/>
        </w:rPr>
      </w:pPr>
      <w:r>
        <w:rPr>
          <w:rFonts w:hint="eastAsia" w:cs="宋体"/>
          <w:color w:val="auto"/>
          <w:sz w:val="21"/>
          <w:szCs w:val="21"/>
          <w:highlight w:val="none"/>
        </w:rPr>
        <w:t>开立时间：</w:t>
      </w:r>
      <w:r>
        <w:rPr>
          <w:rFonts w:hint="eastAsia" w:cs="宋体"/>
          <w:color w:val="auto"/>
          <w:sz w:val="21"/>
          <w:szCs w:val="21"/>
          <w:highlight w:val="none"/>
          <w:u w:val="single"/>
        </w:rPr>
        <w:t xml:space="preserve">      </w:t>
      </w:r>
      <w:r>
        <w:rPr>
          <w:rFonts w:hint="eastAsia" w:cs="宋体"/>
          <w:color w:val="auto"/>
          <w:sz w:val="21"/>
          <w:szCs w:val="21"/>
          <w:highlight w:val="none"/>
        </w:rPr>
        <w:t>年</w:t>
      </w:r>
      <w:r>
        <w:rPr>
          <w:rFonts w:hint="eastAsia" w:cs="宋体"/>
          <w:color w:val="auto"/>
          <w:sz w:val="21"/>
          <w:szCs w:val="21"/>
          <w:highlight w:val="none"/>
          <w:u w:val="single"/>
        </w:rPr>
        <w:t xml:space="preserve">      </w:t>
      </w:r>
      <w:r>
        <w:rPr>
          <w:rFonts w:hint="eastAsia" w:cs="宋体"/>
          <w:color w:val="auto"/>
          <w:sz w:val="21"/>
          <w:szCs w:val="21"/>
          <w:highlight w:val="none"/>
        </w:rPr>
        <w:t>月</w:t>
      </w:r>
      <w:r>
        <w:rPr>
          <w:rFonts w:hint="eastAsia" w:cs="宋体"/>
          <w:color w:val="auto"/>
          <w:sz w:val="21"/>
          <w:szCs w:val="21"/>
          <w:highlight w:val="none"/>
          <w:u w:val="single"/>
        </w:rPr>
        <w:t xml:space="preserve">    </w:t>
      </w:r>
      <w:r>
        <w:rPr>
          <w:rFonts w:hint="eastAsia" w:cs="宋体"/>
          <w:color w:val="auto"/>
          <w:sz w:val="21"/>
          <w:szCs w:val="21"/>
          <w:highlight w:val="none"/>
        </w:rPr>
        <w:t>日</w:t>
      </w:r>
    </w:p>
    <w:p w14:paraId="3F0D08C4">
      <w:pPr>
        <w:spacing w:before="312" w:beforeLines="100" w:after="312" w:afterLines="100"/>
        <w:outlineLvl w:val="2"/>
        <w:rPr>
          <w:rFonts w:ascii="Times New Roman" w:eastAsia="黑体"/>
          <w:color w:val="auto"/>
          <w:szCs w:val="24"/>
          <w:highlight w:val="none"/>
        </w:rPr>
      </w:pPr>
      <w:r>
        <w:rPr>
          <w:rFonts w:ascii="Times New Roman" w:eastAsia="黑体"/>
          <w:b/>
          <w:bCs/>
          <w:color w:val="auto"/>
          <w:highlight w:val="none"/>
        </w:rPr>
        <w:br w:type="page"/>
      </w:r>
      <w:bookmarkStart w:id="633" w:name="_Toc128950246"/>
      <w:r>
        <w:rPr>
          <w:rFonts w:hint="eastAsia" w:ascii="Times New Roman" w:eastAsia="黑体"/>
          <w:color w:val="auto"/>
          <w:szCs w:val="24"/>
          <w:highlight w:val="none"/>
        </w:rPr>
        <w:t>附</w:t>
      </w:r>
      <w:bookmarkStart w:id="634" w:name="_Toc296503233"/>
      <w:bookmarkStart w:id="635" w:name="_Toc296891273"/>
      <w:bookmarkStart w:id="636" w:name="_Toc296891061"/>
      <w:bookmarkStart w:id="637" w:name="_Toc296347232"/>
      <w:bookmarkStart w:id="638" w:name="_Toc296346734"/>
      <w:bookmarkStart w:id="639" w:name="_Toc296944572"/>
      <w:r>
        <w:rPr>
          <w:rFonts w:hint="eastAsia" w:ascii="Times New Roman" w:eastAsia="黑体"/>
          <w:color w:val="auto"/>
          <w:szCs w:val="24"/>
          <w:highlight w:val="none"/>
        </w:rPr>
        <w:t>件</w:t>
      </w:r>
      <w:r>
        <w:rPr>
          <w:rFonts w:ascii="Times New Roman" w:eastAsia="黑体"/>
          <w:color w:val="auto"/>
          <w:szCs w:val="24"/>
          <w:highlight w:val="none"/>
        </w:rPr>
        <w:t>1</w:t>
      </w:r>
      <w:r>
        <w:rPr>
          <w:rFonts w:hint="eastAsia" w:ascii="Times New Roman" w:eastAsia="黑体"/>
          <w:color w:val="auto"/>
          <w:szCs w:val="24"/>
          <w:highlight w:val="none"/>
        </w:rPr>
        <w:t>1：支付担保</w:t>
      </w:r>
      <w:bookmarkEnd w:id="633"/>
      <w:bookmarkEnd w:id="634"/>
      <w:bookmarkEnd w:id="635"/>
      <w:bookmarkEnd w:id="636"/>
      <w:bookmarkEnd w:id="637"/>
      <w:bookmarkEnd w:id="638"/>
      <w:bookmarkEnd w:id="639"/>
    </w:p>
    <w:p w14:paraId="3C1EEEE2">
      <w:pPr>
        <w:spacing w:line="360" w:lineRule="auto"/>
        <w:jc w:val="center"/>
        <w:rPr>
          <w:rFonts w:cs="宋体"/>
          <w:b/>
          <w:bCs/>
          <w:color w:val="auto"/>
          <w:sz w:val="32"/>
          <w:szCs w:val="32"/>
          <w:highlight w:val="none"/>
        </w:rPr>
      </w:pPr>
      <w:r>
        <w:rPr>
          <w:rFonts w:hint="eastAsia" w:cs="宋体"/>
          <w:b/>
          <w:bCs/>
          <w:color w:val="auto"/>
          <w:sz w:val="32"/>
          <w:szCs w:val="32"/>
          <w:highlight w:val="none"/>
        </w:rPr>
        <w:t>支付保函示范文本</w:t>
      </w:r>
    </w:p>
    <w:p w14:paraId="61679FE3">
      <w:pPr>
        <w:wordWrap w:val="0"/>
        <w:spacing w:line="360" w:lineRule="auto"/>
        <w:jc w:val="right"/>
        <w:rPr>
          <w:rFonts w:ascii="Times New Roman"/>
          <w:color w:val="auto"/>
          <w:szCs w:val="21"/>
          <w:highlight w:val="none"/>
        </w:rPr>
      </w:pPr>
      <w:r>
        <w:rPr>
          <w:rFonts w:hint="eastAsia" w:ascii="Times New Roman"/>
          <w:color w:val="auto"/>
          <w:szCs w:val="21"/>
          <w:highlight w:val="none"/>
        </w:rPr>
        <w:t>编号：</w:t>
      </w:r>
      <w:r>
        <w:rPr>
          <w:rFonts w:hint="eastAsia" w:ascii="Times New Roman"/>
          <w:color w:val="auto"/>
          <w:szCs w:val="21"/>
          <w:highlight w:val="none"/>
          <w:u w:val="single"/>
        </w:rPr>
        <w:t xml:space="preserve"> </w:t>
      </w:r>
      <w:r>
        <w:rPr>
          <w:rFonts w:ascii="Times New Roman"/>
          <w:color w:val="auto"/>
          <w:szCs w:val="21"/>
          <w:highlight w:val="none"/>
          <w:u w:val="single"/>
        </w:rPr>
        <w:t xml:space="preserve">          </w:t>
      </w:r>
    </w:p>
    <w:p w14:paraId="7227DF80">
      <w:pPr>
        <w:spacing w:line="360" w:lineRule="auto"/>
        <w:rPr>
          <w:rFonts w:ascii="Times New Roman"/>
          <w:color w:val="auto"/>
          <w:szCs w:val="21"/>
          <w:highlight w:val="none"/>
        </w:rPr>
      </w:pPr>
    </w:p>
    <w:p w14:paraId="7BD4F0E6">
      <w:pPr>
        <w:spacing w:line="360" w:lineRule="auto"/>
        <w:rPr>
          <w:rFonts w:cs="宋体"/>
          <w:color w:val="auto"/>
          <w:sz w:val="21"/>
          <w:szCs w:val="21"/>
          <w:highlight w:val="none"/>
        </w:rPr>
      </w:pPr>
      <w:bookmarkStart w:id="640" w:name="_Hlk40355074"/>
      <w:r>
        <w:rPr>
          <w:rFonts w:hint="eastAsia" w:cs="宋体"/>
          <w:color w:val="auto"/>
          <w:sz w:val="21"/>
          <w:szCs w:val="21"/>
          <w:highlight w:val="none"/>
          <w:u w:val="single"/>
        </w:rPr>
        <w:t xml:space="preserve">              </w:t>
      </w:r>
      <w:r>
        <w:rPr>
          <w:rFonts w:hint="eastAsia" w:cs="宋体"/>
          <w:color w:val="auto"/>
          <w:sz w:val="21"/>
          <w:szCs w:val="21"/>
          <w:highlight w:val="none"/>
        </w:rPr>
        <w:t xml:space="preserve">（受益人名称）： </w:t>
      </w:r>
    </w:p>
    <w:bookmarkEnd w:id="640"/>
    <w:p w14:paraId="0843B4FD">
      <w:pPr>
        <w:spacing w:line="360" w:lineRule="auto"/>
        <w:ind w:firstLine="420" w:firstLineChars="200"/>
        <w:rPr>
          <w:rFonts w:cs="宋体"/>
          <w:color w:val="auto"/>
          <w:sz w:val="21"/>
          <w:szCs w:val="21"/>
          <w:highlight w:val="none"/>
        </w:rPr>
      </w:pPr>
      <w:r>
        <w:rPr>
          <w:rFonts w:hint="eastAsia" w:cs="宋体"/>
          <w:color w:val="auto"/>
          <w:sz w:val="21"/>
          <w:szCs w:val="21"/>
          <w:highlight w:val="none"/>
        </w:rPr>
        <w:t>鉴于</w:t>
      </w:r>
      <w:r>
        <w:rPr>
          <w:rFonts w:hint="eastAsia" w:cs="宋体"/>
          <w:color w:val="auto"/>
          <w:sz w:val="21"/>
          <w:szCs w:val="21"/>
          <w:highlight w:val="none"/>
          <w:u w:val="single"/>
        </w:rPr>
        <w:t xml:space="preserve">        </w:t>
      </w:r>
      <w:r>
        <w:rPr>
          <w:rFonts w:hint="eastAsia" w:cs="宋体"/>
          <w:color w:val="auto"/>
          <w:sz w:val="21"/>
          <w:szCs w:val="21"/>
          <w:highlight w:val="none"/>
        </w:rPr>
        <w:t>（以下简称“受益人”）与</w:t>
      </w:r>
      <w:r>
        <w:rPr>
          <w:rFonts w:hint="eastAsia" w:cs="宋体"/>
          <w:color w:val="auto"/>
          <w:sz w:val="21"/>
          <w:szCs w:val="21"/>
          <w:highlight w:val="none"/>
          <w:u w:val="single"/>
        </w:rPr>
        <w:t xml:space="preserve">         </w:t>
      </w:r>
      <w:r>
        <w:rPr>
          <w:rFonts w:hint="eastAsia" w:cs="宋体"/>
          <w:color w:val="auto"/>
          <w:sz w:val="21"/>
          <w:szCs w:val="21"/>
          <w:highlight w:val="none"/>
        </w:rPr>
        <w:t>（以下简称“申请人”）于</w:t>
      </w:r>
      <w:r>
        <w:rPr>
          <w:rFonts w:hint="eastAsia" w:cs="宋体"/>
          <w:color w:val="auto"/>
          <w:sz w:val="21"/>
          <w:szCs w:val="21"/>
          <w:highlight w:val="none"/>
          <w:u w:val="single"/>
        </w:rPr>
        <w:t xml:space="preserve">   </w:t>
      </w:r>
      <w:r>
        <w:rPr>
          <w:rFonts w:hint="eastAsia" w:cs="宋体"/>
          <w:color w:val="auto"/>
          <w:sz w:val="21"/>
          <w:szCs w:val="21"/>
          <w:highlight w:val="none"/>
        </w:rPr>
        <w:t>年</w:t>
      </w:r>
      <w:r>
        <w:rPr>
          <w:rFonts w:hint="eastAsia" w:cs="宋体"/>
          <w:color w:val="auto"/>
          <w:sz w:val="21"/>
          <w:szCs w:val="21"/>
          <w:highlight w:val="none"/>
          <w:u w:val="single"/>
        </w:rPr>
        <w:t xml:space="preserve">   </w:t>
      </w:r>
      <w:r>
        <w:rPr>
          <w:rFonts w:hint="eastAsia" w:cs="宋体"/>
          <w:color w:val="auto"/>
          <w:sz w:val="21"/>
          <w:szCs w:val="21"/>
          <w:highlight w:val="none"/>
        </w:rPr>
        <w:t>月</w:t>
      </w:r>
      <w:r>
        <w:rPr>
          <w:rFonts w:hint="eastAsia" w:cs="宋体"/>
          <w:color w:val="auto"/>
          <w:sz w:val="21"/>
          <w:szCs w:val="21"/>
          <w:highlight w:val="none"/>
          <w:u w:val="single"/>
        </w:rPr>
        <w:t xml:space="preserve">   </w:t>
      </w:r>
      <w:r>
        <w:rPr>
          <w:rFonts w:hint="eastAsia" w:cs="宋体"/>
          <w:color w:val="auto"/>
          <w:sz w:val="21"/>
          <w:szCs w:val="21"/>
          <w:highlight w:val="none"/>
        </w:rPr>
        <w:t>日就</w:t>
      </w:r>
      <w:r>
        <w:rPr>
          <w:rFonts w:hint="eastAsia" w:cs="宋体"/>
          <w:snapToGrid w:val="0"/>
          <w:color w:val="auto"/>
          <w:sz w:val="21"/>
          <w:szCs w:val="21"/>
          <w:highlight w:val="none"/>
          <w:u w:val="single"/>
        </w:rPr>
        <w:t xml:space="preserve">        </w:t>
      </w:r>
      <w:r>
        <w:rPr>
          <w:rFonts w:hint="eastAsia" w:cs="宋体"/>
          <w:snapToGrid w:val="0"/>
          <w:color w:val="auto"/>
          <w:sz w:val="21"/>
          <w:szCs w:val="21"/>
          <w:highlight w:val="none"/>
        </w:rPr>
        <w:t>（项目编号）的</w:t>
      </w:r>
      <w:r>
        <w:rPr>
          <w:rFonts w:hint="eastAsia" w:cs="宋体"/>
          <w:snapToGrid w:val="0"/>
          <w:color w:val="auto"/>
          <w:sz w:val="21"/>
          <w:szCs w:val="21"/>
          <w:highlight w:val="none"/>
          <w:u w:val="single"/>
        </w:rPr>
        <w:t xml:space="preserve">         </w:t>
      </w:r>
      <w:r>
        <w:rPr>
          <w:rFonts w:hint="eastAsia" w:cs="宋体"/>
          <w:snapToGrid w:val="0"/>
          <w:color w:val="auto"/>
          <w:sz w:val="21"/>
          <w:szCs w:val="21"/>
          <w:highlight w:val="none"/>
        </w:rPr>
        <w:t>（项目名称）</w:t>
      </w:r>
      <w:r>
        <w:rPr>
          <w:rFonts w:hint="eastAsia" w:cs="宋体"/>
          <w:color w:val="auto"/>
          <w:sz w:val="21"/>
          <w:szCs w:val="21"/>
          <w:highlight w:val="none"/>
        </w:rPr>
        <w:t>有关事项协商一致共同签订</w:t>
      </w:r>
      <w:r>
        <w:rPr>
          <w:rFonts w:hint="eastAsia" w:cs="宋体"/>
          <w:color w:val="auto"/>
          <w:sz w:val="21"/>
          <w:szCs w:val="21"/>
          <w:highlight w:val="none"/>
          <w:u w:val="single"/>
        </w:rPr>
        <w:t>《        》</w:t>
      </w:r>
      <w:r>
        <w:rPr>
          <w:rFonts w:hint="eastAsia" w:cs="宋体"/>
          <w:color w:val="auto"/>
          <w:sz w:val="21"/>
          <w:szCs w:val="21"/>
          <w:highlight w:val="none"/>
        </w:rPr>
        <w:t xml:space="preserve">（以下简称基础合同”），开立人根据基础合同了解到申请人为基础合同项下之发包人，受益人为基础合同项下之承包人，基于申请人的请求，开立人同意就申请人履行与受益人签订的基础合同项下的工程款（指基础合同约定的除工程质量保修金以外的工程款）付款义务，向受益人提供不可撤销、不可转让的见索即付独立保函（以下简称“本保函”）。 </w:t>
      </w:r>
    </w:p>
    <w:p w14:paraId="22D26037">
      <w:pPr>
        <w:spacing w:line="360" w:lineRule="auto"/>
        <w:ind w:firstLine="420" w:firstLineChars="200"/>
        <w:rPr>
          <w:rFonts w:cs="宋体"/>
          <w:color w:val="auto"/>
          <w:sz w:val="21"/>
          <w:szCs w:val="21"/>
          <w:highlight w:val="none"/>
        </w:rPr>
      </w:pPr>
      <w:r>
        <w:rPr>
          <w:rFonts w:hint="eastAsia" w:cs="宋体"/>
          <w:color w:val="auto"/>
          <w:sz w:val="21"/>
          <w:szCs w:val="21"/>
          <w:highlight w:val="none"/>
        </w:rPr>
        <w:t>一、本保函担保范围：申请人未履行基础合同约定的工程款支付义务，应当向受益人承担的违约责任和赔偿因此造成的损失、利息、律师费、诉讼费用等实现债权的费用。</w:t>
      </w:r>
    </w:p>
    <w:p w14:paraId="57C25D3A">
      <w:pPr>
        <w:spacing w:line="360" w:lineRule="auto"/>
        <w:ind w:firstLine="420" w:firstLineChars="200"/>
        <w:rPr>
          <w:rFonts w:cs="宋体"/>
          <w:color w:val="auto"/>
          <w:sz w:val="21"/>
          <w:szCs w:val="21"/>
          <w:highlight w:val="none"/>
        </w:rPr>
      </w:pPr>
      <w:r>
        <w:rPr>
          <w:rFonts w:hint="eastAsia" w:cs="宋体"/>
          <w:color w:val="auto"/>
          <w:sz w:val="21"/>
          <w:szCs w:val="21"/>
          <w:highlight w:val="none"/>
        </w:rPr>
        <w:t>二、本保函担保金额最高不超过人民币（大写）</w:t>
      </w:r>
      <w:r>
        <w:rPr>
          <w:rFonts w:hint="eastAsia" w:cs="宋体"/>
          <w:color w:val="auto"/>
          <w:sz w:val="21"/>
          <w:szCs w:val="21"/>
          <w:highlight w:val="none"/>
          <w:u w:val="single"/>
        </w:rPr>
        <w:t xml:space="preserve">          </w:t>
      </w:r>
      <w:r>
        <w:rPr>
          <w:rFonts w:hint="eastAsia" w:cs="宋体"/>
          <w:color w:val="auto"/>
          <w:sz w:val="21"/>
          <w:szCs w:val="21"/>
          <w:highlight w:val="none"/>
        </w:rPr>
        <w:t>元（¥</w:t>
      </w:r>
      <w:r>
        <w:rPr>
          <w:rFonts w:hint="eastAsia" w:cs="宋体"/>
          <w:color w:val="auto"/>
          <w:sz w:val="21"/>
          <w:szCs w:val="21"/>
          <w:highlight w:val="none"/>
          <w:u w:val="single"/>
        </w:rPr>
        <w:t xml:space="preserve">       </w:t>
      </w:r>
      <w:r>
        <w:rPr>
          <w:rFonts w:hint="eastAsia" w:cs="宋体"/>
          <w:color w:val="auto"/>
          <w:sz w:val="21"/>
          <w:szCs w:val="21"/>
          <w:highlight w:val="none"/>
        </w:rPr>
        <w:t xml:space="preserve">）。 </w:t>
      </w:r>
    </w:p>
    <w:p w14:paraId="37B5A894">
      <w:pPr>
        <w:spacing w:line="360" w:lineRule="auto"/>
        <w:ind w:firstLine="420" w:firstLineChars="200"/>
        <w:rPr>
          <w:rFonts w:cs="宋体"/>
          <w:color w:val="auto"/>
          <w:sz w:val="21"/>
          <w:szCs w:val="21"/>
          <w:highlight w:val="none"/>
        </w:rPr>
      </w:pPr>
      <w:r>
        <w:rPr>
          <w:rFonts w:hint="eastAsia" w:cs="宋体"/>
          <w:color w:val="auto"/>
          <w:sz w:val="21"/>
          <w:szCs w:val="21"/>
          <w:highlight w:val="none"/>
        </w:rPr>
        <w:t>三、本保函有效期自开立之日起至基础合同约定的除工程质量保修金以外的全部工程结算款项支付之日后</w:t>
      </w:r>
      <w:r>
        <w:rPr>
          <w:rFonts w:hint="eastAsia" w:cs="宋体"/>
          <w:color w:val="auto"/>
          <w:sz w:val="21"/>
          <w:szCs w:val="21"/>
          <w:highlight w:val="none"/>
          <w:u w:val="single"/>
        </w:rPr>
        <w:t xml:space="preserve">    </w:t>
      </w:r>
      <w:r>
        <w:rPr>
          <w:rFonts w:hint="eastAsia" w:cs="宋体"/>
          <w:color w:val="auto"/>
          <w:sz w:val="21"/>
          <w:szCs w:val="21"/>
          <w:highlight w:val="none"/>
        </w:rPr>
        <w:t xml:space="preserve">日止。 </w:t>
      </w:r>
    </w:p>
    <w:p w14:paraId="23038D4E">
      <w:pPr>
        <w:spacing w:line="400" w:lineRule="exact"/>
        <w:ind w:firstLine="480"/>
        <w:rPr>
          <w:rFonts w:cs="宋体"/>
          <w:color w:val="auto"/>
          <w:sz w:val="21"/>
          <w:szCs w:val="21"/>
          <w:highlight w:val="none"/>
        </w:rPr>
      </w:pPr>
      <w:r>
        <w:rPr>
          <w:rFonts w:hint="eastAsia" w:cs="宋体"/>
          <w:color w:val="auto"/>
          <w:sz w:val="21"/>
          <w:szCs w:val="21"/>
          <w:highlight w:val="none"/>
        </w:rPr>
        <w:t>四、开立人承诺，在收到受益人发来的书面付款通知后的七日内无条件支付，前述书面付款通知即为付款要求之单据，且应满足以下要求：</w:t>
      </w:r>
    </w:p>
    <w:p w14:paraId="555FE43D">
      <w:pPr>
        <w:spacing w:line="360" w:lineRule="auto"/>
        <w:ind w:firstLine="420" w:firstLineChars="200"/>
        <w:rPr>
          <w:rFonts w:cs="宋体"/>
          <w:color w:val="auto"/>
          <w:sz w:val="21"/>
          <w:szCs w:val="21"/>
          <w:highlight w:val="none"/>
        </w:rPr>
      </w:pPr>
      <w:r>
        <w:rPr>
          <w:rFonts w:hint="eastAsia" w:cs="宋体"/>
          <w:color w:val="auto"/>
          <w:sz w:val="21"/>
          <w:szCs w:val="21"/>
          <w:highlight w:val="none"/>
        </w:rPr>
        <w:t>（1）付款通知到达的日期在本保函的有效期内；</w:t>
      </w:r>
    </w:p>
    <w:p w14:paraId="4D543F1A">
      <w:pPr>
        <w:spacing w:line="360" w:lineRule="auto"/>
        <w:ind w:firstLine="420" w:firstLineChars="200"/>
        <w:rPr>
          <w:rFonts w:cs="宋体"/>
          <w:color w:val="auto"/>
          <w:sz w:val="21"/>
          <w:szCs w:val="21"/>
          <w:highlight w:val="none"/>
        </w:rPr>
      </w:pPr>
      <w:r>
        <w:rPr>
          <w:rFonts w:hint="eastAsia" w:cs="宋体"/>
          <w:color w:val="auto"/>
          <w:sz w:val="21"/>
          <w:szCs w:val="21"/>
          <w:highlight w:val="none"/>
        </w:rPr>
        <w:t>（2）载明要求支付的金额；</w:t>
      </w:r>
    </w:p>
    <w:p w14:paraId="2AB385D1">
      <w:pPr>
        <w:spacing w:line="360" w:lineRule="auto"/>
        <w:ind w:firstLine="420" w:firstLineChars="200"/>
        <w:rPr>
          <w:rFonts w:cs="宋体"/>
          <w:color w:val="auto"/>
          <w:sz w:val="21"/>
          <w:szCs w:val="21"/>
          <w:highlight w:val="none"/>
        </w:rPr>
      </w:pPr>
      <w:r>
        <w:rPr>
          <w:rFonts w:hint="eastAsia" w:cs="宋体"/>
          <w:color w:val="auto"/>
          <w:sz w:val="21"/>
          <w:szCs w:val="21"/>
          <w:highlight w:val="none"/>
        </w:rPr>
        <w:t>（3）载明申请人违反合同义务的条款和内容；</w:t>
      </w:r>
    </w:p>
    <w:p w14:paraId="585DDF7D">
      <w:pPr>
        <w:spacing w:line="360" w:lineRule="auto"/>
        <w:ind w:firstLine="420" w:firstLineChars="200"/>
        <w:rPr>
          <w:rFonts w:cs="宋体"/>
          <w:color w:val="auto"/>
          <w:sz w:val="21"/>
          <w:szCs w:val="21"/>
          <w:highlight w:val="none"/>
        </w:rPr>
      </w:pPr>
      <w:r>
        <w:rPr>
          <w:rFonts w:hint="eastAsia" w:cs="宋体"/>
          <w:color w:val="auto"/>
          <w:sz w:val="21"/>
          <w:szCs w:val="21"/>
          <w:highlight w:val="none"/>
        </w:rPr>
        <w:t>（4）声明不存在合同文件约定或我国法律规定免除申请人或开立人支付责任的情形；</w:t>
      </w:r>
    </w:p>
    <w:p w14:paraId="39F828CD">
      <w:pPr>
        <w:spacing w:line="360" w:lineRule="auto"/>
        <w:ind w:firstLine="420" w:firstLineChars="200"/>
        <w:rPr>
          <w:rFonts w:cs="宋体"/>
          <w:color w:val="auto"/>
          <w:sz w:val="21"/>
          <w:szCs w:val="21"/>
          <w:highlight w:val="none"/>
        </w:rPr>
      </w:pPr>
      <w:r>
        <w:rPr>
          <w:rFonts w:hint="eastAsia" w:cs="宋体"/>
          <w:color w:val="auto"/>
          <w:sz w:val="21"/>
          <w:szCs w:val="21"/>
          <w:highlight w:val="none"/>
        </w:rPr>
        <w:t>（5）付款通知应在本保函有效期内到达的地址是：</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0A29EE9">
      <w:pPr>
        <w:spacing w:line="400" w:lineRule="exact"/>
        <w:rPr>
          <w:rFonts w:cs="宋体"/>
          <w:color w:val="auto"/>
          <w:sz w:val="21"/>
          <w:szCs w:val="21"/>
          <w:highlight w:val="none"/>
        </w:rPr>
      </w:pPr>
      <w:r>
        <w:rPr>
          <w:rFonts w:hint="eastAsia" w:cs="宋体"/>
          <w:color w:val="auto"/>
          <w:sz w:val="21"/>
          <w:szCs w:val="21"/>
          <w:highlight w:val="none"/>
        </w:rPr>
        <w:t xml:space="preserve">    受益人发出的书面付款通知应由其法定代表人（负责人）或授权代理人签字并加盖公章。</w:t>
      </w:r>
    </w:p>
    <w:p w14:paraId="73E2243E">
      <w:pPr>
        <w:spacing w:line="400" w:lineRule="exact"/>
        <w:ind w:firstLine="420" w:firstLineChars="200"/>
        <w:rPr>
          <w:rFonts w:cs="宋体"/>
          <w:color w:val="auto"/>
          <w:sz w:val="21"/>
          <w:szCs w:val="21"/>
          <w:highlight w:val="none"/>
        </w:rPr>
      </w:pPr>
      <w:r>
        <w:rPr>
          <w:rFonts w:hint="eastAsia" w:cs="宋体"/>
          <w:color w:val="auto"/>
          <w:sz w:val="21"/>
          <w:szCs w:val="21"/>
          <w:highlight w:val="none"/>
        </w:rPr>
        <w:t xml:space="preserve">五、本保函项下的权利不得转让，不得设定担保。受益人未经开立人书面同意转让本保函或其项下任何权利，对开立人不发生法律效力。 </w:t>
      </w:r>
    </w:p>
    <w:p w14:paraId="67AB3091">
      <w:pPr>
        <w:spacing w:line="400" w:lineRule="exact"/>
        <w:ind w:firstLine="420" w:firstLineChars="200"/>
        <w:rPr>
          <w:rStyle w:val="68"/>
          <w:rFonts w:cs="宋体"/>
          <w:color w:val="auto"/>
          <w:highlight w:val="none"/>
        </w:rPr>
      </w:pPr>
      <w:r>
        <w:rPr>
          <w:rFonts w:hint="eastAsia" w:cs="宋体"/>
          <w:color w:val="auto"/>
          <w:sz w:val="21"/>
          <w:szCs w:val="21"/>
          <w:highlight w:val="none"/>
        </w:rPr>
        <w:t>六、本保函项下的基础交易不成立、不生效、无效、被撤销、被解除，不影响本保函的独立有效。</w:t>
      </w:r>
    </w:p>
    <w:p w14:paraId="64E2A47E">
      <w:pPr>
        <w:spacing w:line="400" w:lineRule="exact"/>
        <w:ind w:firstLine="420" w:firstLineChars="200"/>
        <w:rPr>
          <w:rFonts w:cs="宋体"/>
          <w:color w:val="auto"/>
          <w:sz w:val="21"/>
          <w:szCs w:val="21"/>
          <w:highlight w:val="none"/>
        </w:rPr>
      </w:pPr>
      <w:r>
        <w:rPr>
          <w:rFonts w:hint="eastAsia" w:cs="宋体"/>
          <w:color w:val="auto"/>
          <w:sz w:val="21"/>
          <w:szCs w:val="21"/>
          <w:highlight w:val="none"/>
        </w:rPr>
        <w:t xml:space="preserve">七、本保函项下的义务和责任均在保函有效期到期后自动消灭。 </w:t>
      </w:r>
    </w:p>
    <w:p w14:paraId="45595A2B">
      <w:pPr>
        <w:spacing w:line="400" w:lineRule="exact"/>
        <w:ind w:firstLine="420" w:firstLineChars="200"/>
        <w:rPr>
          <w:rFonts w:cs="宋体"/>
          <w:color w:val="auto"/>
          <w:sz w:val="21"/>
          <w:szCs w:val="21"/>
          <w:highlight w:val="none"/>
        </w:rPr>
      </w:pPr>
      <w:r>
        <w:rPr>
          <w:rFonts w:hint="eastAsia" w:cs="宋体"/>
          <w:color w:val="auto"/>
          <w:sz w:val="21"/>
          <w:szCs w:val="21"/>
          <w:highlight w:val="none"/>
        </w:rPr>
        <w:t xml:space="preserve">八、本保函适用的法律为中华人民共和国法律，因本保函产生的纠纷案件，由申请人所在地人民法院管辖。 </w:t>
      </w:r>
    </w:p>
    <w:p w14:paraId="04A2E23A">
      <w:pPr>
        <w:spacing w:line="360" w:lineRule="auto"/>
        <w:ind w:firstLine="420" w:firstLineChars="200"/>
        <w:rPr>
          <w:rFonts w:cs="宋体"/>
          <w:color w:val="auto"/>
          <w:sz w:val="21"/>
          <w:szCs w:val="21"/>
          <w:highlight w:val="none"/>
        </w:rPr>
      </w:pPr>
      <w:r>
        <w:rPr>
          <w:rFonts w:hint="eastAsia" w:cs="宋体"/>
          <w:color w:val="auto"/>
          <w:sz w:val="21"/>
          <w:szCs w:val="21"/>
          <w:highlight w:val="none"/>
        </w:rPr>
        <w:t xml:space="preserve">九、本保函自我方法定代表人或授权代表签字并加盖公章之日起生效。 </w:t>
      </w:r>
    </w:p>
    <w:p w14:paraId="3044036A">
      <w:pPr>
        <w:spacing w:line="360" w:lineRule="auto"/>
        <w:ind w:firstLine="420" w:firstLineChars="200"/>
        <w:rPr>
          <w:rFonts w:cs="宋体"/>
          <w:color w:val="auto"/>
          <w:sz w:val="21"/>
          <w:szCs w:val="21"/>
          <w:highlight w:val="none"/>
        </w:rPr>
      </w:pPr>
    </w:p>
    <w:p w14:paraId="4FD46A8D">
      <w:pPr>
        <w:spacing w:line="360" w:lineRule="auto"/>
        <w:ind w:firstLine="420" w:firstLineChars="200"/>
        <w:rPr>
          <w:rFonts w:cs="宋体"/>
          <w:color w:val="auto"/>
          <w:sz w:val="21"/>
          <w:szCs w:val="21"/>
          <w:highlight w:val="none"/>
        </w:rPr>
      </w:pPr>
    </w:p>
    <w:p w14:paraId="33C7D910">
      <w:pPr>
        <w:spacing w:line="360" w:lineRule="auto"/>
        <w:ind w:firstLine="420" w:firstLineChars="200"/>
        <w:rPr>
          <w:rFonts w:cs="宋体"/>
          <w:color w:val="auto"/>
          <w:sz w:val="21"/>
          <w:szCs w:val="21"/>
          <w:highlight w:val="none"/>
        </w:rPr>
      </w:pPr>
      <w:r>
        <w:rPr>
          <w:rFonts w:hint="eastAsia" w:cs="宋体"/>
          <w:color w:val="auto"/>
          <w:sz w:val="21"/>
          <w:szCs w:val="21"/>
          <w:highlight w:val="none"/>
        </w:rPr>
        <w:t>开 立 人：</w:t>
      </w:r>
      <w:r>
        <w:rPr>
          <w:rFonts w:hint="eastAsia" w:cs="宋体"/>
          <w:color w:val="auto"/>
          <w:sz w:val="21"/>
          <w:szCs w:val="21"/>
          <w:highlight w:val="none"/>
          <w:u w:val="single"/>
        </w:rPr>
        <w:t xml:space="preserve">                              </w:t>
      </w:r>
      <w:r>
        <w:rPr>
          <w:rFonts w:hint="eastAsia" w:cs="宋体"/>
          <w:color w:val="auto"/>
          <w:sz w:val="21"/>
          <w:szCs w:val="21"/>
          <w:highlight w:val="none"/>
        </w:rPr>
        <w:t xml:space="preserve">（公章） </w:t>
      </w:r>
    </w:p>
    <w:p w14:paraId="75B37682">
      <w:pPr>
        <w:spacing w:line="360" w:lineRule="auto"/>
        <w:ind w:firstLine="420" w:firstLineChars="200"/>
        <w:rPr>
          <w:rFonts w:cs="宋体"/>
          <w:color w:val="auto"/>
          <w:sz w:val="21"/>
          <w:szCs w:val="21"/>
          <w:highlight w:val="none"/>
        </w:rPr>
      </w:pPr>
      <w:r>
        <w:rPr>
          <w:rFonts w:hint="eastAsia" w:cs="宋体"/>
          <w:color w:val="auto"/>
          <w:sz w:val="21"/>
          <w:szCs w:val="21"/>
          <w:highlight w:val="none"/>
        </w:rPr>
        <w:t>法定代表人（或授权代表）：</w:t>
      </w:r>
      <w:r>
        <w:rPr>
          <w:rFonts w:hint="eastAsia" w:cs="宋体"/>
          <w:color w:val="auto"/>
          <w:sz w:val="21"/>
          <w:szCs w:val="21"/>
          <w:highlight w:val="none"/>
          <w:u w:val="single"/>
        </w:rPr>
        <w:t xml:space="preserve">               </w:t>
      </w:r>
      <w:r>
        <w:rPr>
          <w:rFonts w:hint="eastAsia" w:cs="宋体"/>
          <w:color w:val="auto"/>
          <w:sz w:val="21"/>
          <w:szCs w:val="21"/>
          <w:highlight w:val="none"/>
        </w:rPr>
        <w:t xml:space="preserve">（签字） </w:t>
      </w:r>
    </w:p>
    <w:p w14:paraId="33835FF8">
      <w:pPr>
        <w:spacing w:line="360" w:lineRule="auto"/>
        <w:ind w:firstLine="420" w:firstLineChars="200"/>
        <w:rPr>
          <w:rFonts w:cs="宋体"/>
          <w:color w:val="auto"/>
          <w:sz w:val="21"/>
          <w:szCs w:val="21"/>
          <w:highlight w:val="none"/>
        </w:rPr>
      </w:pPr>
      <w:r>
        <w:rPr>
          <w:rFonts w:hint="eastAsia" w:cs="宋体"/>
          <w:color w:val="auto"/>
          <w:sz w:val="21"/>
          <w:szCs w:val="21"/>
          <w:highlight w:val="none"/>
        </w:rPr>
        <w:t>地    址：</w:t>
      </w:r>
      <w:r>
        <w:rPr>
          <w:rFonts w:hint="eastAsia" w:cs="宋体"/>
          <w:color w:val="auto"/>
          <w:sz w:val="21"/>
          <w:szCs w:val="21"/>
          <w:highlight w:val="none"/>
          <w:u w:val="single"/>
        </w:rPr>
        <w:t xml:space="preserve">                                       </w:t>
      </w:r>
    </w:p>
    <w:p w14:paraId="0C65E4B4">
      <w:pPr>
        <w:spacing w:line="360" w:lineRule="auto"/>
        <w:ind w:firstLine="420" w:firstLineChars="200"/>
        <w:rPr>
          <w:rFonts w:cs="宋体"/>
          <w:color w:val="auto"/>
          <w:sz w:val="21"/>
          <w:szCs w:val="21"/>
          <w:highlight w:val="none"/>
        </w:rPr>
      </w:pPr>
      <w:r>
        <w:rPr>
          <w:rFonts w:hint="eastAsia" w:cs="宋体"/>
          <w:color w:val="auto"/>
          <w:sz w:val="21"/>
          <w:szCs w:val="21"/>
          <w:highlight w:val="none"/>
        </w:rPr>
        <w:t>邮政编码：</w:t>
      </w:r>
      <w:r>
        <w:rPr>
          <w:rFonts w:hint="eastAsia" w:cs="宋体"/>
          <w:color w:val="auto"/>
          <w:sz w:val="21"/>
          <w:szCs w:val="21"/>
          <w:highlight w:val="none"/>
          <w:u w:val="single"/>
        </w:rPr>
        <w:t xml:space="preserve">                 </w:t>
      </w:r>
    </w:p>
    <w:p w14:paraId="5D468EB2">
      <w:pPr>
        <w:spacing w:line="360" w:lineRule="auto"/>
        <w:ind w:firstLine="420" w:firstLineChars="200"/>
        <w:rPr>
          <w:rFonts w:cs="宋体"/>
          <w:color w:val="auto"/>
          <w:sz w:val="21"/>
          <w:szCs w:val="21"/>
          <w:highlight w:val="none"/>
        </w:rPr>
      </w:pPr>
      <w:r>
        <w:rPr>
          <w:rFonts w:hint="eastAsia" w:cs="宋体"/>
          <w:color w:val="auto"/>
          <w:sz w:val="21"/>
          <w:szCs w:val="21"/>
          <w:highlight w:val="none"/>
        </w:rPr>
        <w:t>电    话：</w:t>
      </w:r>
      <w:r>
        <w:rPr>
          <w:rFonts w:hint="eastAsia" w:cs="宋体"/>
          <w:color w:val="auto"/>
          <w:sz w:val="21"/>
          <w:szCs w:val="21"/>
          <w:highlight w:val="none"/>
          <w:u w:val="single"/>
        </w:rPr>
        <w:t xml:space="preserve">                 </w:t>
      </w:r>
    </w:p>
    <w:p w14:paraId="5D87765A">
      <w:pPr>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传    真：</w:t>
      </w:r>
      <w:r>
        <w:rPr>
          <w:rFonts w:hint="eastAsia" w:cs="宋体"/>
          <w:color w:val="auto"/>
          <w:sz w:val="21"/>
          <w:szCs w:val="21"/>
          <w:highlight w:val="none"/>
          <w:u w:val="single"/>
        </w:rPr>
        <w:t xml:space="preserve">                 </w:t>
      </w:r>
    </w:p>
    <w:p w14:paraId="763F2F27">
      <w:pPr>
        <w:spacing w:line="360" w:lineRule="auto"/>
        <w:ind w:left="1303" w:leftChars="200" w:hanging="903" w:hangingChars="430"/>
        <w:rPr>
          <w:rFonts w:cs="宋体"/>
          <w:color w:val="auto"/>
          <w:sz w:val="21"/>
          <w:szCs w:val="21"/>
          <w:highlight w:val="none"/>
        </w:rPr>
      </w:pPr>
      <w:r>
        <w:rPr>
          <w:rFonts w:hint="eastAsia" w:cs="宋体"/>
          <w:color w:val="auto"/>
          <w:sz w:val="21"/>
          <w:szCs w:val="21"/>
          <w:highlight w:val="none"/>
        </w:rPr>
        <w:t>开立时间：</w:t>
      </w:r>
      <w:r>
        <w:rPr>
          <w:rFonts w:hint="eastAsia" w:cs="宋体"/>
          <w:color w:val="auto"/>
          <w:sz w:val="21"/>
          <w:szCs w:val="21"/>
          <w:highlight w:val="none"/>
          <w:u w:val="single"/>
        </w:rPr>
        <w:t xml:space="preserve">      </w:t>
      </w:r>
      <w:r>
        <w:rPr>
          <w:rFonts w:hint="eastAsia" w:cs="宋体"/>
          <w:color w:val="auto"/>
          <w:sz w:val="21"/>
          <w:szCs w:val="21"/>
          <w:highlight w:val="none"/>
        </w:rPr>
        <w:t>年</w:t>
      </w:r>
      <w:r>
        <w:rPr>
          <w:rFonts w:hint="eastAsia" w:cs="宋体"/>
          <w:color w:val="auto"/>
          <w:sz w:val="21"/>
          <w:szCs w:val="21"/>
          <w:highlight w:val="none"/>
          <w:u w:val="single"/>
        </w:rPr>
        <w:t xml:space="preserve">      </w:t>
      </w:r>
      <w:r>
        <w:rPr>
          <w:rFonts w:hint="eastAsia" w:cs="宋体"/>
          <w:color w:val="auto"/>
          <w:sz w:val="21"/>
          <w:szCs w:val="21"/>
          <w:highlight w:val="none"/>
        </w:rPr>
        <w:t>月</w:t>
      </w:r>
      <w:r>
        <w:rPr>
          <w:rFonts w:hint="eastAsia" w:cs="宋体"/>
          <w:color w:val="auto"/>
          <w:sz w:val="21"/>
          <w:szCs w:val="21"/>
          <w:highlight w:val="none"/>
          <w:u w:val="single"/>
        </w:rPr>
        <w:t xml:space="preserve">    </w:t>
      </w:r>
      <w:r>
        <w:rPr>
          <w:rFonts w:hint="eastAsia" w:cs="宋体"/>
          <w:color w:val="auto"/>
          <w:sz w:val="21"/>
          <w:szCs w:val="21"/>
          <w:highlight w:val="none"/>
        </w:rPr>
        <w:t>日</w:t>
      </w:r>
    </w:p>
    <w:p w14:paraId="5D410652">
      <w:pPr>
        <w:spacing w:before="312" w:beforeLines="100" w:after="312" w:afterLines="100"/>
        <w:outlineLvl w:val="2"/>
        <w:rPr>
          <w:rFonts w:ascii="Times New Roman" w:eastAsia="黑体"/>
          <w:color w:val="auto"/>
          <w:szCs w:val="24"/>
          <w:highlight w:val="none"/>
        </w:rPr>
      </w:pPr>
      <w:r>
        <w:rPr>
          <w:rFonts w:ascii="Times New Roman" w:eastAsia="黑体"/>
          <w:bCs/>
          <w:color w:val="auto"/>
          <w:highlight w:val="none"/>
        </w:rPr>
        <w:br w:type="page"/>
      </w:r>
      <w:bookmarkStart w:id="641" w:name="_Toc128950247"/>
      <w:r>
        <w:rPr>
          <w:rFonts w:hint="eastAsia" w:ascii="Times New Roman" w:eastAsia="黑体"/>
          <w:color w:val="auto"/>
          <w:szCs w:val="24"/>
          <w:highlight w:val="none"/>
        </w:rPr>
        <w:t>附件</w:t>
      </w:r>
      <w:r>
        <w:rPr>
          <w:rFonts w:ascii="Times New Roman" w:eastAsia="黑体"/>
          <w:color w:val="auto"/>
          <w:szCs w:val="24"/>
          <w:highlight w:val="none"/>
        </w:rPr>
        <w:t>1</w:t>
      </w:r>
      <w:r>
        <w:rPr>
          <w:rFonts w:hint="eastAsia" w:ascii="Times New Roman" w:eastAsia="黑体"/>
          <w:color w:val="auto"/>
          <w:szCs w:val="24"/>
          <w:highlight w:val="none"/>
        </w:rPr>
        <w:t>2：暂估价一览表</w:t>
      </w:r>
      <w:bookmarkEnd w:id="641"/>
    </w:p>
    <w:p w14:paraId="761B758D">
      <w:pPr>
        <w:spacing w:before="156" w:beforeLines="50" w:after="156" w:afterLines="50" w:line="440" w:lineRule="exact"/>
        <w:jc w:val="center"/>
        <w:rPr>
          <w:rFonts w:cs="宋体"/>
          <w:color w:val="auto"/>
          <w:szCs w:val="21"/>
          <w:highlight w:val="none"/>
        </w:rPr>
      </w:pPr>
      <w:r>
        <w:rPr>
          <w:rFonts w:hint="eastAsia" w:cs="宋体"/>
          <w:color w:val="auto"/>
          <w:szCs w:val="21"/>
          <w:highlight w:val="none"/>
        </w:rPr>
        <w:t>12-1：材料暂估价表</w:t>
      </w:r>
    </w:p>
    <w:tbl>
      <w:tblPr>
        <w:tblStyle w:val="55"/>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941"/>
        <w:gridCol w:w="1878"/>
        <w:gridCol w:w="803"/>
        <w:gridCol w:w="731"/>
        <w:gridCol w:w="1279"/>
        <w:gridCol w:w="1341"/>
        <w:gridCol w:w="1611"/>
      </w:tblGrid>
      <w:tr w14:paraId="79690D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tcBorders>
              <w:top w:val="single" w:color="auto" w:sz="12" w:space="0"/>
              <w:bottom w:val="double" w:color="auto" w:sz="6" w:space="0"/>
            </w:tcBorders>
            <w:vAlign w:val="center"/>
          </w:tcPr>
          <w:p w14:paraId="7DA1B3D5">
            <w:pPr>
              <w:keepNext/>
              <w:spacing w:line="440" w:lineRule="exact"/>
              <w:jc w:val="center"/>
              <w:rPr>
                <w:rFonts w:cs="宋体"/>
                <w:color w:val="auto"/>
                <w:szCs w:val="21"/>
                <w:highlight w:val="none"/>
              </w:rPr>
            </w:pPr>
            <w:r>
              <w:rPr>
                <w:rFonts w:hint="eastAsia" w:cs="宋体"/>
                <w:color w:val="auto"/>
                <w:szCs w:val="21"/>
                <w:highlight w:val="none"/>
              </w:rPr>
              <w:t>序号</w:t>
            </w:r>
          </w:p>
        </w:tc>
        <w:tc>
          <w:tcPr>
            <w:tcW w:w="1094" w:type="pct"/>
            <w:tcBorders>
              <w:top w:val="single" w:color="auto" w:sz="12" w:space="0"/>
              <w:bottom w:val="double" w:color="auto" w:sz="6" w:space="0"/>
            </w:tcBorders>
            <w:vAlign w:val="center"/>
          </w:tcPr>
          <w:p w14:paraId="561CE93E">
            <w:pPr>
              <w:keepNext/>
              <w:spacing w:line="440" w:lineRule="exact"/>
              <w:jc w:val="center"/>
              <w:rPr>
                <w:rFonts w:cs="宋体"/>
                <w:color w:val="auto"/>
                <w:szCs w:val="21"/>
                <w:highlight w:val="none"/>
              </w:rPr>
            </w:pPr>
            <w:r>
              <w:rPr>
                <w:rFonts w:hint="eastAsia" w:cs="宋体"/>
                <w:color w:val="auto"/>
                <w:szCs w:val="21"/>
                <w:highlight w:val="none"/>
              </w:rPr>
              <w:t>名称</w:t>
            </w:r>
          </w:p>
        </w:tc>
        <w:tc>
          <w:tcPr>
            <w:tcW w:w="468" w:type="pct"/>
            <w:tcBorders>
              <w:top w:val="single" w:color="auto" w:sz="12" w:space="0"/>
              <w:bottom w:val="double" w:color="auto" w:sz="6" w:space="0"/>
            </w:tcBorders>
            <w:vAlign w:val="center"/>
          </w:tcPr>
          <w:p w14:paraId="3DE7B17A">
            <w:pPr>
              <w:keepNext/>
              <w:spacing w:line="440" w:lineRule="exact"/>
              <w:jc w:val="center"/>
              <w:rPr>
                <w:rFonts w:cs="宋体"/>
                <w:color w:val="auto"/>
                <w:szCs w:val="21"/>
                <w:highlight w:val="none"/>
              </w:rPr>
            </w:pPr>
            <w:r>
              <w:rPr>
                <w:rFonts w:hint="eastAsia" w:cs="宋体"/>
                <w:color w:val="auto"/>
                <w:szCs w:val="21"/>
                <w:highlight w:val="none"/>
              </w:rPr>
              <w:t>单位</w:t>
            </w:r>
          </w:p>
        </w:tc>
        <w:tc>
          <w:tcPr>
            <w:tcW w:w="426" w:type="pct"/>
            <w:tcBorders>
              <w:top w:val="single" w:color="auto" w:sz="12" w:space="0"/>
              <w:bottom w:val="double" w:color="auto" w:sz="6" w:space="0"/>
            </w:tcBorders>
            <w:vAlign w:val="center"/>
          </w:tcPr>
          <w:p w14:paraId="497AA6DE">
            <w:pPr>
              <w:keepNext/>
              <w:spacing w:line="440" w:lineRule="exact"/>
              <w:jc w:val="center"/>
              <w:rPr>
                <w:rFonts w:cs="宋体"/>
                <w:color w:val="auto"/>
                <w:szCs w:val="21"/>
                <w:highlight w:val="none"/>
              </w:rPr>
            </w:pPr>
            <w:r>
              <w:rPr>
                <w:rFonts w:hint="eastAsia" w:cs="宋体"/>
                <w:color w:val="auto"/>
                <w:szCs w:val="21"/>
                <w:highlight w:val="none"/>
              </w:rPr>
              <w:t>数量</w:t>
            </w:r>
          </w:p>
        </w:tc>
        <w:tc>
          <w:tcPr>
            <w:tcW w:w="745" w:type="pct"/>
            <w:tcBorders>
              <w:top w:val="single" w:color="auto" w:sz="12" w:space="0"/>
              <w:bottom w:val="double" w:color="auto" w:sz="6" w:space="0"/>
            </w:tcBorders>
            <w:vAlign w:val="center"/>
          </w:tcPr>
          <w:p w14:paraId="75E10B35">
            <w:pPr>
              <w:keepNext/>
              <w:spacing w:line="440" w:lineRule="exact"/>
              <w:jc w:val="center"/>
              <w:rPr>
                <w:rFonts w:cs="宋体"/>
                <w:color w:val="auto"/>
                <w:szCs w:val="21"/>
                <w:highlight w:val="none"/>
              </w:rPr>
            </w:pPr>
            <w:r>
              <w:rPr>
                <w:rFonts w:hint="eastAsia" w:cs="宋体"/>
                <w:color w:val="auto"/>
                <w:szCs w:val="21"/>
                <w:highlight w:val="none"/>
              </w:rPr>
              <w:t>单价（元）</w:t>
            </w:r>
          </w:p>
        </w:tc>
        <w:tc>
          <w:tcPr>
            <w:tcW w:w="781" w:type="pct"/>
            <w:tcBorders>
              <w:top w:val="single" w:color="auto" w:sz="12" w:space="0"/>
              <w:bottom w:val="double" w:color="auto" w:sz="6" w:space="0"/>
            </w:tcBorders>
            <w:vAlign w:val="center"/>
          </w:tcPr>
          <w:p w14:paraId="6522E37A">
            <w:pPr>
              <w:keepNext/>
              <w:spacing w:line="440" w:lineRule="exact"/>
              <w:jc w:val="center"/>
              <w:rPr>
                <w:rFonts w:cs="宋体"/>
                <w:color w:val="auto"/>
                <w:szCs w:val="21"/>
                <w:highlight w:val="none"/>
              </w:rPr>
            </w:pPr>
            <w:r>
              <w:rPr>
                <w:rFonts w:hint="eastAsia" w:cs="宋体"/>
                <w:color w:val="auto"/>
                <w:szCs w:val="21"/>
                <w:highlight w:val="none"/>
              </w:rPr>
              <w:t>合价（元）</w:t>
            </w:r>
          </w:p>
        </w:tc>
        <w:tc>
          <w:tcPr>
            <w:tcW w:w="938" w:type="pct"/>
            <w:tcBorders>
              <w:top w:val="single" w:color="auto" w:sz="12" w:space="0"/>
              <w:bottom w:val="double" w:color="auto" w:sz="6" w:space="0"/>
            </w:tcBorders>
            <w:vAlign w:val="center"/>
          </w:tcPr>
          <w:p w14:paraId="44649C24">
            <w:pPr>
              <w:keepNext/>
              <w:spacing w:line="440" w:lineRule="exact"/>
              <w:jc w:val="center"/>
              <w:rPr>
                <w:rFonts w:cs="宋体"/>
                <w:color w:val="auto"/>
                <w:szCs w:val="21"/>
                <w:highlight w:val="none"/>
              </w:rPr>
            </w:pPr>
            <w:r>
              <w:rPr>
                <w:rFonts w:hint="eastAsia" w:cs="宋体"/>
                <w:color w:val="auto"/>
                <w:szCs w:val="21"/>
                <w:highlight w:val="none"/>
              </w:rPr>
              <w:t>备注</w:t>
            </w:r>
          </w:p>
        </w:tc>
      </w:tr>
      <w:tr w14:paraId="41BEEF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tcBorders>
              <w:top w:val="double" w:color="auto" w:sz="6" w:space="0"/>
            </w:tcBorders>
            <w:vAlign w:val="center"/>
          </w:tcPr>
          <w:p w14:paraId="0EF25CA9">
            <w:pPr>
              <w:keepNext/>
              <w:spacing w:line="440" w:lineRule="exact"/>
              <w:jc w:val="center"/>
              <w:rPr>
                <w:rFonts w:cs="宋体"/>
                <w:color w:val="auto"/>
                <w:szCs w:val="21"/>
                <w:highlight w:val="none"/>
              </w:rPr>
            </w:pPr>
          </w:p>
        </w:tc>
        <w:tc>
          <w:tcPr>
            <w:tcW w:w="1094" w:type="pct"/>
            <w:tcBorders>
              <w:top w:val="double" w:color="auto" w:sz="6" w:space="0"/>
            </w:tcBorders>
            <w:vAlign w:val="center"/>
          </w:tcPr>
          <w:p w14:paraId="77EE79F8">
            <w:pPr>
              <w:keepNext/>
              <w:spacing w:line="440" w:lineRule="exact"/>
              <w:jc w:val="center"/>
              <w:rPr>
                <w:rFonts w:cs="宋体"/>
                <w:color w:val="auto"/>
                <w:szCs w:val="21"/>
                <w:highlight w:val="none"/>
              </w:rPr>
            </w:pPr>
          </w:p>
        </w:tc>
        <w:tc>
          <w:tcPr>
            <w:tcW w:w="468" w:type="pct"/>
            <w:tcBorders>
              <w:top w:val="double" w:color="auto" w:sz="6" w:space="0"/>
            </w:tcBorders>
            <w:vAlign w:val="center"/>
          </w:tcPr>
          <w:p w14:paraId="350D2993">
            <w:pPr>
              <w:keepNext/>
              <w:spacing w:line="440" w:lineRule="exact"/>
              <w:jc w:val="center"/>
              <w:rPr>
                <w:rFonts w:cs="宋体"/>
                <w:color w:val="auto"/>
                <w:szCs w:val="21"/>
                <w:highlight w:val="none"/>
              </w:rPr>
            </w:pPr>
          </w:p>
        </w:tc>
        <w:tc>
          <w:tcPr>
            <w:tcW w:w="426" w:type="pct"/>
            <w:tcBorders>
              <w:top w:val="double" w:color="auto" w:sz="6" w:space="0"/>
            </w:tcBorders>
            <w:vAlign w:val="center"/>
          </w:tcPr>
          <w:p w14:paraId="46243397">
            <w:pPr>
              <w:keepNext/>
              <w:spacing w:line="440" w:lineRule="exact"/>
              <w:jc w:val="center"/>
              <w:rPr>
                <w:rFonts w:cs="宋体"/>
                <w:color w:val="auto"/>
                <w:szCs w:val="21"/>
                <w:highlight w:val="none"/>
              </w:rPr>
            </w:pPr>
          </w:p>
        </w:tc>
        <w:tc>
          <w:tcPr>
            <w:tcW w:w="745" w:type="pct"/>
            <w:tcBorders>
              <w:top w:val="double" w:color="auto" w:sz="6" w:space="0"/>
            </w:tcBorders>
            <w:vAlign w:val="center"/>
          </w:tcPr>
          <w:p w14:paraId="6A59C2A4">
            <w:pPr>
              <w:keepNext/>
              <w:spacing w:line="440" w:lineRule="exact"/>
              <w:jc w:val="center"/>
              <w:rPr>
                <w:rFonts w:cs="宋体"/>
                <w:color w:val="auto"/>
                <w:szCs w:val="21"/>
                <w:highlight w:val="none"/>
              </w:rPr>
            </w:pPr>
          </w:p>
        </w:tc>
        <w:tc>
          <w:tcPr>
            <w:tcW w:w="781" w:type="pct"/>
            <w:tcBorders>
              <w:top w:val="double" w:color="auto" w:sz="6" w:space="0"/>
            </w:tcBorders>
            <w:vAlign w:val="center"/>
          </w:tcPr>
          <w:p w14:paraId="01FB973A">
            <w:pPr>
              <w:keepNext/>
              <w:spacing w:line="440" w:lineRule="exact"/>
              <w:jc w:val="center"/>
              <w:rPr>
                <w:rFonts w:cs="宋体"/>
                <w:color w:val="auto"/>
                <w:szCs w:val="21"/>
                <w:highlight w:val="none"/>
              </w:rPr>
            </w:pPr>
          </w:p>
        </w:tc>
        <w:tc>
          <w:tcPr>
            <w:tcW w:w="938" w:type="pct"/>
            <w:tcBorders>
              <w:top w:val="double" w:color="auto" w:sz="6" w:space="0"/>
            </w:tcBorders>
            <w:vAlign w:val="center"/>
          </w:tcPr>
          <w:p w14:paraId="0DB00950">
            <w:pPr>
              <w:keepNext/>
              <w:spacing w:line="440" w:lineRule="exact"/>
              <w:jc w:val="center"/>
              <w:rPr>
                <w:rFonts w:cs="宋体"/>
                <w:color w:val="auto"/>
                <w:szCs w:val="21"/>
                <w:highlight w:val="none"/>
              </w:rPr>
            </w:pPr>
          </w:p>
        </w:tc>
      </w:tr>
      <w:tr w14:paraId="1B1646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tcBorders>
              <w:top w:val="nil"/>
            </w:tcBorders>
            <w:vAlign w:val="center"/>
          </w:tcPr>
          <w:p w14:paraId="7B5C3EAF">
            <w:pPr>
              <w:keepNext/>
              <w:spacing w:line="440" w:lineRule="exact"/>
              <w:jc w:val="center"/>
              <w:rPr>
                <w:rFonts w:cs="宋体"/>
                <w:color w:val="auto"/>
                <w:szCs w:val="21"/>
                <w:highlight w:val="none"/>
              </w:rPr>
            </w:pPr>
          </w:p>
        </w:tc>
        <w:tc>
          <w:tcPr>
            <w:tcW w:w="1094" w:type="pct"/>
            <w:tcBorders>
              <w:top w:val="nil"/>
            </w:tcBorders>
            <w:vAlign w:val="center"/>
          </w:tcPr>
          <w:p w14:paraId="54278709">
            <w:pPr>
              <w:keepNext/>
              <w:spacing w:line="440" w:lineRule="exact"/>
              <w:jc w:val="center"/>
              <w:rPr>
                <w:rFonts w:cs="宋体"/>
                <w:color w:val="auto"/>
                <w:szCs w:val="21"/>
                <w:highlight w:val="none"/>
              </w:rPr>
            </w:pPr>
          </w:p>
        </w:tc>
        <w:tc>
          <w:tcPr>
            <w:tcW w:w="468" w:type="pct"/>
            <w:tcBorders>
              <w:top w:val="nil"/>
            </w:tcBorders>
            <w:vAlign w:val="center"/>
          </w:tcPr>
          <w:p w14:paraId="0CD8F305">
            <w:pPr>
              <w:keepNext/>
              <w:spacing w:line="440" w:lineRule="exact"/>
              <w:jc w:val="center"/>
              <w:rPr>
                <w:rFonts w:cs="宋体"/>
                <w:color w:val="auto"/>
                <w:szCs w:val="21"/>
                <w:highlight w:val="none"/>
              </w:rPr>
            </w:pPr>
          </w:p>
        </w:tc>
        <w:tc>
          <w:tcPr>
            <w:tcW w:w="426" w:type="pct"/>
            <w:tcBorders>
              <w:top w:val="nil"/>
            </w:tcBorders>
            <w:vAlign w:val="center"/>
          </w:tcPr>
          <w:p w14:paraId="31B2DFFA">
            <w:pPr>
              <w:keepNext/>
              <w:spacing w:line="440" w:lineRule="exact"/>
              <w:jc w:val="center"/>
              <w:rPr>
                <w:rFonts w:cs="宋体"/>
                <w:color w:val="auto"/>
                <w:szCs w:val="21"/>
                <w:highlight w:val="none"/>
              </w:rPr>
            </w:pPr>
          </w:p>
        </w:tc>
        <w:tc>
          <w:tcPr>
            <w:tcW w:w="745" w:type="pct"/>
            <w:tcBorders>
              <w:top w:val="nil"/>
            </w:tcBorders>
            <w:vAlign w:val="center"/>
          </w:tcPr>
          <w:p w14:paraId="7F363F4F">
            <w:pPr>
              <w:keepNext/>
              <w:spacing w:line="440" w:lineRule="exact"/>
              <w:jc w:val="center"/>
              <w:rPr>
                <w:rFonts w:cs="宋体"/>
                <w:color w:val="auto"/>
                <w:szCs w:val="21"/>
                <w:highlight w:val="none"/>
              </w:rPr>
            </w:pPr>
          </w:p>
        </w:tc>
        <w:tc>
          <w:tcPr>
            <w:tcW w:w="781" w:type="pct"/>
            <w:tcBorders>
              <w:top w:val="nil"/>
            </w:tcBorders>
            <w:vAlign w:val="center"/>
          </w:tcPr>
          <w:p w14:paraId="4D0BD224">
            <w:pPr>
              <w:keepNext/>
              <w:spacing w:line="440" w:lineRule="exact"/>
              <w:jc w:val="center"/>
              <w:rPr>
                <w:rFonts w:cs="宋体"/>
                <w:color w:val="auto"/>
                <w:szCs w:val="21"/>
                <w:highlight w:val="none"/>
              </w:rPr>
            </w:pPr>
          </w:p>
        </w:tc>
        <w:tc>
          <w:tcPr>
            <w:tcW w:w="938" w:type="pct"/>
            <w:tcBorders>
              <w:top w:val="nil"/>
            </w:tcBorders>
            <w:vAlign w:val="center"/>
          </w:tcPr>
          <w:p w14:paraId="0F9F5AA7">
            <w:pPr>
              <w:keepNext/>
              <w:spacing w:line="440" w:lineRule="exact"/>
              <w:jc w:val="center"/>
              <w:rPr>
                <w:rFonts w:cs="宋体"/>
                <w:color w:val="auto"/>
                <w:szCs w:val="21"/>
                <w:highlight w:val="none"/>
              </w:rPr>
            </w:pPr>
          </w:p>
        </w:tc>
      </w:tr>
      <w:tr w14:paraId="2AF4C1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vAlign w:val="center"/>
          </w:tcPr>
          <w:p w14:paraId="6041A977">
            <w:pPr>
              <w:keepNext/>
              <w:spacing w:line="440" w:lineRule="exact"/>
              <w:jc w:val="center"/>
              <w:rPr>
                <w:rFonts w:cs="宋体"/>
                <w:color w:val="auto"/>
                <w:szCs w:val="21"/>
                <w:highlight w:val="none"/>
              </w:rPr>
            </w:pPr>
          </w:p>
        </w:tc>
        <w:tc>
          <w:tcPr>
            <w:tcW w:w="1094" w:type="pct"/>
            <w:vAlign w:val="center"/>
          </w:tcPr>
          <w:p w14:paraId="34960263">
            <w:pPr>
              <w:keepNext/>
              <w:spacing w:line="440" w:lineRule="exact"/>
              <w:jc w:val="center"/>
              <w:rPr>
                <w:rFonts w:cs="宋体"/>
                <w:color w:val="auto"/>
                <w:szCs w:val="21"/>
                <w:highlight w:val="none"/>
              </w:rPr>
            </w:pPr>
          </w:p>
        </w:tc>
        <w:tc>
          <w:tcPr>
            <w:tcW w:w="468" w:type="pct"/>
            <w:vAlign w:val="center"/>
          </w:tcPr>
          <w:p w14:paraId="6B75D066">
            <w:pPr>
              <w:keepNext/>
              <w:spacing w:line="440" w:lineRule="exact"/>
              <w:jc w:val="center"/>
              <w:rPr>
                <w:rFonts w:cs="宋体"/>
                <w:color w:val="auto"/>
                <w:szCs w:val="21"/>
                <w:highlight w:val="none"/>
              </w:rPr>
            </w:pPr>
          </w:p>
        </w:tc>
        <w:tc>
          <w:tcPr>
            <w:tcW w:w="426" w:type="pct"/>
            <w:vAlign w:val="center"/>
          </w:tcPr>
          <w:p w14:paraId="27C0D7F2">
            <w:pPr>
              <w:keepNext/>
              <w:spacing w:line="440" w:lineRule="exact"/>
              <w:jc w:val="center"/>
              <w:rPr>
                <w:rFonts w:cs="宋体"/>
                <w:color w:val="auto"/>
                <w:szCs w:val="21"/>
                <w:highlight w:val="none"/>
              </w:rPr>
            </w:pPr>
          </w:p>
        </w:tc>
        <w:tc>
          <w:tcPr>
            <w:tcW w:w="745" w:type="pct"/>
            <w:vAlign w:val="center"/>
          </w:tcPr>
          <w:p w14:paraId="3B226B39">
            <w:pPr>
              <w:keepNext/>
              <w:spacing w:line="440" w:lineRule="exact"/>
              <w:jc w:val="center"/>
              <w:rPr>
                <w:rFonts w:cs="宋体"/>
                <w:color w:val="auto"/>
                <w:szCs w:val="21"/>
                <w:highlight w:val="none"/>
              </w:rPr>
            </w:pPr>
          </w:p>
        </w:tc>
        <w:tc>
          <w:tcPr>
            <w:tcW w:w="781" w:type="pct"/>
            <w:vAlign w:val="center"/>
          </w:tcPr>
          <w:p w14:paraId="4A3E6778">
            <w:pPr>
              <w:keepNext/>
              <w:spacing w:line="440" w:lineRule="exact"/>
              <w:jc w:val="center"/>
              <w:rPr>
                <w:rFonts w:cs="宋体"/>
                <w:color w:val="auto"/>
                <w:szCs w:val="21"/>
                <w:highlight w:val="none"/>
              </w:rPr>
            </w:pPr>
          </w:p>
        </w:tc>
        <w:tc>
          <w:tcPr>
            <w:tcW w:w="938" w:type="pct"/>
            <w:vAlign w:val="center"/>
          </w:tcPr>
          <w:p w14:paraId="65E26681">
            <w:pPr>
              <w:keepNext/>
              <w:spacing w:line="440" w:lineRule="exact"/>
              <w:jc w:val="center"/>
              <w:rPr>
                <w:rFonts w:cs="宋体"/>
                <w:color w:val="auto"/>
                <w:szCs w:val="21"/>
                <w:highlight w:val="none"/>
              </w:rPr>
            </w:pPr>
          </w:p>
        </w:tc>
      </w:tr>
      <w:tr w14:paraId="30C8D8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vAlign w:val="center"/>
          </w:tcPr>
          <w:p w14:paraId="50FAB633">
            <w:pPr>
              <w:keepNext/>
              <w:spacing w:line="440" w:lineRule="exact"/>
              <w:jc w:val="center"/>
              <w:rPr>
                <w:rFonts w:cs="宋体"/>
                <w:color w:val="auto"/>
                <w:szCs w:val="21"/>
                <w:highlight w:val="none"/>
              </w:rPr>
            </w:pPr>
          </w:p>
        </w:tc>
        <w:tc>
          <w:tcPr>
            <w:tcW w:w="1094" w:type="pct"/>
            <w:vAlign w:val="center"/>
          </w:tcPr>
          <w:p w14:paraId="2900E2D2">
            <w:pPr>
              <w:keepNext/>
              <w:spacing w:line="440" w:lineRule="exact"/>
              <w:jc w:val="center"/>
              <w:rPr>
                <w:rFonts w:cs="宋体"/>
                <w:color w:val="auto"/>
                <w:szCs w:val="21"/>
                <w:highlight w:val="none"/>
              </w:rPr>
            </w:pPr>
          </w:p>
        </w:tc>
        <w:tc>
          <w:tcPr>
            <w:tcW w:w="468" w:type="pct"/>
            <w:vAlign w:val="center"/>
          </w:tcPr>
          <w:p w14:paraId="6AFA5873">
            <w:pPr>
              <w:keepNext/>
              <w:spacing w:line="440" w:lineRule="exact"/>
              <w:jc w:val="center"/>
              <w:rPr>
                <w:rFonts w:cs="宋体"/>
                <w:color w:val="auto"/>
                <w:szCs w:val="21"/>
                <w:highlight w:val="none"/>
              </w:rPr>
            </w:pPr>
          </w:p>
        </w:tc>
        <w:tc>
          <w:tcPr>
            <w:tcW w:w="426" w:type="pct"/>
            <w:vAlign w:val="center"/>
          </w:tcPr>
          <w:p w14:paraId="5FB97B86">
            <w:pPr>
              <w:keepNext/>
              <w:spacing w:line="440" w:lineRule="exact"/>
              <w:jc w:val="center"/>
              <w:rPr>
                <w:rFonts w:cs="宋体"/>
                <w:color w:val="auto"/>
                <w:szCs w:val="21"/>
                <w:highlight w:val="none"/>
              </w:rPr>
            </w:pPr>
          </w:p>
        </w:tc>
        <w:tc>
          <w:tcPr>
            <w:tcW w:w="745" w:type="pct"/>
            <w:vAlign w:val="center"/>
          </w:tcPr>
          <w:p w14:paraId="6975B728">
            <w:pPr>
              <w:keepNext/>
              <w:spacing w:line="440" w:lineRule="exact"/>
              <w:jc w:val="center"/>
              <w:rPr>
                <w:rFonts w:cs="宋体"/>
                <w:color w:val="auto"/>
                <w:szCs w:val="21"/>
                <w:highlight w:val="none"/>
              </w:rPr>
            </w:pPr>
          </w:p>
        </w:tc>
        <w:tc>
          <w:tcPr>
            <w:tcW w:w="781" w:type="pct"/>
            <w:vAlign w:val="center"/>
          </w:tcPr>
          <w:p w14:paraId="2A9C7053">
            <w:pPr>
              <w:keepNext/>
              <w:spacing w:line="440" w:lineRule="exact"/>
              <w:jc w:val="center"/>
              <w:rPr>
                <w:rFonts w:cs="宋体"/>
                <w:color w:val="auto"/>
                <w:szCs w:val="21"/>
                <w:highlight w:val="none"/>
              </w:rPr>
            </w:pPr>
          </w:p>
        </w:tc>
        <w:tc>
          <w:tcPr>
            <w:tcW w:w="938" w:type="pct"/>
            <w:vAlign w:val="center"/>
          </w:tcPr>
          <w:p w14:paraId="72AE0FE2">
            <w:pPr>
              <w:keepNext/>
              <w:spacing w:line="440" w:lineRule="exact"/>
              <w:jc w:val="center"/>
              <w:rPr>
                <w:rFonts w:cs="宋体"/>
                <w:color w:val="auto"/>
                <w:szCs w:val="21"/>
                <w:highlight w:val="none"/>
              </w:rPr>
            </w:pPr>
          </w:p>
        </w:tc>
      </w:tr>
      <w:tr w14:paraId="6C5021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tcBorders>
              <w:bottom w:val="single" w:color="auto" w:sz="12" w:space="0"/>
            </w:tcBorders>
            <w:vAlign w:val="center"/>
          </w:tcPr>
          <w:p w14:paraId="687D2A34">
            <w:pPr>
              <w:keepNext/>
              <w:spacing w:line="440" w:lineRule="exact"/>
              <w:jc w:val="center"/>
              <w:rPr>
                <w:rFonts w:cs="宋体"/>
                <w:color w:val="auto"/>
                <w:szCs w:val="21"/>
                <w:highlight w:val="none"/>
              </w:rPr>
            </w:pPr>
          </w:p>
        </w:tc>
        <w:tc>
          <w:tcPr>
            <w:tcW w:w="1094" w:type="pct"/>
            <w:tcBorders>
              <w:bottom w:val="single" w:color="auto" w:sz="12" w:space="0"/>
            </w:tcBorders>
            <w:vAlign w:val="center"/>
          </w:tcPr>
          <w:p w14:paraId="2B33E7E7">
            <w:pPr>
              <w:keepNext/>
              <w:spacing w:line="440" w:lineRule="exact"/>
              <w:jc w:val="center"/>
              <w:rPr>
                <w:rFonts w:cs="宋体"/>
                <w:color w:val="auto"/>
                <w:szCs w:val="21"/>
                <w:highlight w:val="none"/>
              </w:rPr>
            </w:pPr>
          </w:p>
        </w:tc>
        <w:tc>
          <w:tcPr>
            <w:tcW w:w="468" w:type="pct"/>
            <w:tcBorders>
              <w:bottom w:val="single" w:color="auto" w:sz="12" w:space="0"/>
            </w:tcBorders>
            <w:vAlign w:val="center"/>
          </w:tcPr>
          <w:p w14:paraId="4B30CF0B">
            <w:pPr>
              <w:keepNext/>
              <w:spacing w:line="440" w:lineRule="exact"/>
              <w:jc w:val="center"/>
              <w:rPr>
                <w:rFonts w:cs="宋体"/>
                <w:color w:val="auto"/>
                <w:szCs w:val="21"/>
                <w:highlight w:val="none"/>
              </w:rPr>
            </w:pPr>
          </w:p>
        </w:tc>
        <w:tc>
          <w:tcPr>
            <w:tcW w:w="426" w:type="pct"/>
            <w:tcBorders>
              <w:bottom w:val="single" w:color="auto" w:sz="12" w:space="0"/>
            </w:tcBorders>
            <w:vAlign w:val="center"/>
          </w:tcPr>
          <w:p w14:paraId="39B1DF19">
            <w:pPr>
              <w:keepNext/>
              <w:spacing w:line="440" w:lineRule="exact"/>
              <w:jc w:val="center"/>
              <w:rPr>
                <w:rFonts w:cs="宋体"/>
                <w:color w:val="auto"/>
                <w:szCs w:val="21"/>
                <w:highlight w:val="none"/>
              </w:rPr>
            </w:pPr>
          </w:p>
        </w:tc>
        <w:tc>
          <w:tcPr>
            <w:tcW w:w="745" w:type="pct"/>
            <w:tcBorders>
              <w:bottom w:val="single" w:color="auto" w:sz="12" w:space="0"/>
            </w:tcBorders>
            <w:vAlign w:val="center"/>
          </w:tcPr>
          <w:p w14:paraId="5F05270A">
            <w:pPr>
              <w:keepNext/>
              <w:spacing w:line="440" w:lineRule="exact"/>
              <w:jc w:val="center"/>
              <w:rPr>
                <w:rFonts w:cs="宋体"/>
                <w:color w:val="auto"/>
                <w:szCs w:val="21"/>
                <w:highlight w:val="none"/>
              </w:rPr>
            </w:pPr>
          </w:p>
        </w:tc>
        <w:tc>
          <w:tcPr>
            <w:tcW w:w="781" w:type="pct"/>
            <w:tcBorders>
              <w:bottom w:val="single" w:color="auto" w:sz="12" w:space="0"/>
            </w:tcBorders>
            <w:vAlign w:val="center"/>
          </w:tcPr>
          <w:p w14:paraId="6B34A753">
            <w:pPr>
              <w:keepNext/>
              <w:spacing w:line="440" w:lineRule="exact"/>
              <w:jc w:val="center"/>
              <w:rPr>
                <w:rFonts w:cs="宋体"/>
                <w:color w:val="auto"/>
                <w:szCs w:val="21"/>
                <w:highlight w:val="none"/>
              </w:rPr>
            </w:pPr>
          </w:p>
        </w:tc>
        <w:tc>
          <w:tcPr>
            <w:tcW w:w="938" w:type="pct"/>
            <w:tcBorders>
              <w:bottom w:val="single" w:color="auto" w:sz="12" w:space="0"/>
            </w:tcBorders>
            <w:vAlign w:val="center"/>
          </w:tcPr>
          <w:p w14:paraId="2E81377B">
            <w:pPr>
              <w:keepNext/>
              <w:spacing w:line="440" w:lineRule="exact"/>
              <w:jc w:val="center"/>
              <w:rPr>
                <w:rFonts w:cs="宋体"/>
                <w:color w:val="auto"/>
                <w:szCs w:val="21"/>
                <w:highlight w:val="none"/>
              </w:rPr>
            </w:pPr>
          </w:p>
        </w:tc>
      </w:tr>
    </w:tbl>
    <w:p w14:paraId="4FD5B4F2">
      <w:pPr>
        <w:spacing w:before="156" w:beforeLines="50" w:after="156" w:afterLines="50" w:line="440" w:lineRule="exact"/>
        <w:jc w:val="center"/>
        <w:rPr>
          <w:rFonts w:cs="宋体"/>
          <w:color w:val="auto"/>
          <w:szCs w:val="21"/>
          <w:highlight w:val="none"/>
        </w:rPr>
      </w:pPr>
      <w:r>
        <w:rPr>
          <w:rFonts w:hint="eastAsia" w:cs="宋体"/>
          <w:color w:val="auto"/>
          <w:szCs w:val="21"/>
          <w:highlight w:val="none"/>
        </w:rPr>
        <w:t>12-2：工程设备暂估价表</w:t>
      </w:r>
    </w:p>
    <w:tbl>
      <w:tblPr>
        <w:tblStyle w:val="55"/>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941"/>
        <w:gridCol w:w="1878"/>
        <w:gridCol w:w="803"/>
        <w:gridCol w:w="731"/>
        <w:gridCol w:w="1279"/>
        <w:gridCol w:w="1341"/>
        <w:gridCol w:w="1611"/>
      </w:tblGrid>
      <w:tr w14:paraId="2001C5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tcBorders>
              <w:top w:val="single" w:color="auto" w:sz="12" w:space="0"/>
              <w:bottom w:val="double" w:color="auto" w:sz="6" w:space="0"/>
            </w:tcBorders>
            <w:vAlign w:val="center"/>
          </w:tcPr>
          <w:p w14:paraId="6771A430">
            <w:pPr>
              <w:keepNext/>
              <w:spacing w:line="440" w:lineRule="exact"/>
              <w:jc w:val="center"/>
              <w:rPr>
                <w:rFonts w:cs="宋体"/>
                <w:color w:val="auto"/>
                <w:szCs w:val="21"/>
                <w:highlight w:val="none"/>
              </w:rPr>
            </w:pPr>
            <w:r>
              <w:rPr>
                <w:rFonts w:hint="eastAsia" w:cs="宋体"/>
                <w:color w:val="auto"/>
                <w:szCs w:val="21"/>
                <w:highlight w:val="none"/>
              </w:rPr>
              <w:t>序号</w:t>
            </w:r>
          </w:p>
        </w:tc>
        <w:tc>
          <w:tcPr>
            <w:tcW w:w="1094" w:type="pct"/>
            <w:tcBorders>
              <w:top w:val="single" w:color="auto" w:sz="12" w:space="0"/>
              <w:bottom w:val="double" w:color="auto" w:sz="6" w:space="0"/>
            </w:tcBorders>
            <w:vAlign w:val="center"/>
          </w:tcPr>
          <w:p w14:paraId="20C00CAB">
            <w:pPr>
              <w:keepNext/>
              <w:spacing w:line="440" w:lineRule="exact"/>
              <w:jc w:val="center"/>
              <w:rPr>
                <w:rFonts w:cs="宋体"/>
                <w:color w:val="auto"/>
                <w:szCs w:val="21"/>
                <w:highlight w:val="none"/>
              </w:rPr>
            </w:pPr>
            <w:r>
              <w:rPr>
                <w:rFonts w:hint="eastAsia" w:cs="宋体"/>
                <w:color w:val="auto"/>
                <w:szCs w:val="21"/>
                <w:highlight w:val="none"/>
              </w:rPr>
              <w:t>名称</w:t>
            </w:r>
          </w:p>
        </w:tc>
        <w:tc>
          <w:tcPr>
            <w:tcW w:w="468" w:type="pct"/>
            <w:tcBorders>
              <w:top w:val="single" w:color="auto" w:sz="12" w:space="0"/>
              <w:bottom w:val="double" w:color="auto" w:sz="6" w:space="0"/>
            </w:tcBorders>
            <w:vAlign w:val="center"/>
          </w:tcPr>
          <w:p w14:paraId="42D5FF7E">
            <w:pPr>
              <w:keepNext/>
              <w:spacing w:line="440" w:lineRule="exact"/>
              <w:jc w:val="center"/>
              <w:rPr>
                <w:rFonts w:cs="宋体"/>
                <w:color w:val="auto"/>
                <w:szCs w:val="21"/>
                <w:highlight w:val="none"/>
              </w:rPr>
            </w:pPr>
            <w:r>
              <w:rPr>
                <w:rFonts w:hint="eastAsia" w:cs="宋体"/>
                <w:color w:val="auto"/>
                <w:szCs w:val="21"/>
                <w:highlight w:val="none"/>
              </w:rPr>
              <w:t>单位</w:t>
            </w:r>
          </w:p>
        </w:tc>
        <w:tc>
          <w:tcPr>
            <w:tcW w:w="426" w:type="pct"/>
            <w:tcBorders>
              <w:top w:val="single" w:color="auto" w:sz="12" w:space="0"/>
              <w:bottom w:val="double" w:color="auto" w:sz="6" w:space="0"/>
            </w:tcBorders>
            <w:vAlign w:val="center"/>
          </w:tcPr>
          <w:p w14:paraId="269BED61">
            <w:pPr>
              <w:keepNext/>
              <w:spacing w:line="440" w:lineRule="exact"/>
              <w:jc w:val="center"/>
              <w:rPr>
                <w:rFonts w:cs="宋体"/>
                <w:color w:val="auto"/>
                <w:szCs w:val="21"/>
                <w:highlight w:val="none"/>
              </w:rPr>
            </w:pPr>
            <w:r>
              <w:rPr>
                <w:rFonts w:hint="eastAsia" w:cs="宋体"/>
                <w:color w:val="auto"/>
                <w:szCs w:val="21"/>
                <w:highlight w:val="none"/>
              </w:rPr>
              <w:t>数量</w:t>
            </w:r>
          </w:p>
        </w:tc>
        <w:tc>
          <w:tcPr>
            <w:tcW w:w="745" w:type="pct"/>
            <w:tcBorders>
              <w:top w:val="single" w:color="auto" w:sz="12" w:space="0"/>
              <w:bottom w:val="double" w:color="auto" w:sz="6" w:space="0"/>
            </w:tcBorders>
            <w:vAlign w:val="center"/>
          </w:tcPr>
          <w:p w14:paraId="7239B562">
            <w:pPr>
              <w:keepNext/>
              <w:spacing w:line="440" w:lineRule="exact"/>
              <w:jc w:val="center"/>
              <w:rPr>
                <w:rFonts w:cs="宋体"/>
                <w:color w:val="auto"/>
                <w:szCs w:val="21"/>
                <w:highlight w:val="none"/>
              </w:rPr>
            </w:pPr>
            <w:r>
              <w:rPr>
                <w:rFonts w:hint="eastAsia" w:cs="宋体"/>
                <w:color w:val="auto"/>
                <w:szCs w:val="21"/>
                <w:highlight w:val="none"/>
              </w:rPr>
              <w:t>单价（元）</w:t>
            </w:r>
          </w:p>
        </w:tc>
        <w:tc>
          <w:tcPr>
            <w:tcW w:w="781" w:type="pct"/>
            <w:tcBorders>
              <w:top w:val="single" w:color="auto" w:sz="12" w:space="0"/>
              <w:bottom w:val="double" w:color="auto" w:sz="6" w:space="0"/>
            </w:tcBorders>
            <w:vAlign w:val="center"/>
          </w:tcPr>
          <w:p w14:paraId="43A75A51">
            <w:pPr>
              <w:keepNext/>
              <w:spacing w:line="440" w:lineRule="exact"/>
              <w:jc w:val="center"/>
              <w:rPr>
                <w:rFonts w:cs="宋体"/>
                <w:color w:val="auto"/>
                <w:szCs w:val="21"/>
                <w:highlight w:val="none"/>
              </w:rPr>
            </w:pPr>
            <w:r>
              <w:rPr>
                <w:rFonts w:hint="eastAsia" w:cs="宋体"/>
                <w:color w:val="auto"/>
                <w:szCs w:val="21"/>
                <w:highlight w:val="none"/>
              </w:rPr>
              <w:t>合价（元）</w:t>
            </w:r>
          </w:p>
        </w:tc>
        <w:tc>
          <w:tcPr>
            <w:tcW w:w="938" w:type="pct"/>
            <w:tcBorders>
              <w:top w:val="single" w:color="auto" w:sz="12" w:space="0"/>
              <w:bottom w:val="double" w:color="auto" w:sz="6" w:space="0"/>
            </w:tcBorders>
            <w:vAlign w:val="center"/>
          </w:tcPr>
          <w:p w14:paraId="2907B321">
            <w:pPr>
              <w:keepNext/>
              <w:spacing w:line="440" w:lineRule="exact"/>
              <w:jc w:val="center"/>
              <w:rPr>
                <w:rFonts w:cs="宋体"/>
                <w:color w:val="auto"/>
                <w:szCs w:val="21"/>
                <w:highlight w:val="none"/>
              </w:rPr>
            </w:pPr>
            <w:r>
              <w:rPr>
                <w:rFonts w:hint="eastAsia" w:cs="宋体"/>
                <w:color w:val="auto"/>
                <w:szCs w:val="21"/>
                <w:highlight w:val="none"/>
              </w:rPr>
              <w:t>备注</w:t>
            </w:r>
          </w:p>
        </w:tc>
      </w:tr>
      <w:tr w14:paraId="00AFCF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tcBorders>
              <w:top w:val="double" w:color="auto" w:sz="6" w:space="0"/>
            </w:tcBorders>
            <w:vAlign w:val="center"/>
          </w:tcPr>
          <w:p w14:paraId="742B2189">
            <w:pPr>
              <w:keepNext/>
              <w:spacing w:line="440" w:lineRule="exact"/>
              <w:jc w:val="center"/>
              <w:rPr>
                <w:rFonts w:cs="宋体"/>
                <w:color w:val="auto"/>
                <w:szCs w:val="21"/>
                <w:highlight w:val="none"/>
              </w:rPr>
            </w:pPr>
          </w:p>
        </w:tc>
        <w:tc>
          <w:tcPr>
            <w:tcW w:w="1094" w:type="pct"/>
            <w:tcBorders>
              <w:top w:val="double" w:color="auto" w:sz="6" w:space="0"/>
            </w:tcBorders>
            <w:vAlign w:val="center"/>
          </w:tcPr>
          <w:p w14:paraId="7CCA7286">
            <w:pPr>
              <w:keepNext/>
              <w:spacing w:line="440" w:lineRule="exact"/>
              <w:jc w:val="center"/>
              <w:rPr>
                <w:rFonts w:cs="宋体"/>
                <w:color w:val="auto"/>
                <w:szCs w:val="21"/>
                <w:highlight w:val="none"/>
              </w:rPr>
            </w:pPr>
          </w:p>
        </w:tc>
        <w:tc>
          <w:tcPr>
            <w:tcW w:w="468" w:type="pct"/>
            <w:tcBorders>
              <w:top w:val="double" w:color="auto" w:sz="6" w:space="0"/>
            </w:tcBorders>
            <w:vAlign w:val="center"/>
          </w:tcPr>
          <w:p w14:paraId="3D3739ED">
            <w:pPr>
              <w:keepNext/>
              <w:spacing w:line="440" w:lineRule="exact"/>
              <w:jc w:val="center"/>
              <w:rPr>
                <w:rFonts w:cs="宋体"/>
                <w:color w:val="auto"/>
                <w:szCs w:val="21"/>
                <w:highlight w:val="none"/>
              </w:rPr>
            </w:pPr>
          </w:p>
        </w:tc>
        <w:tc>
          <w:tcPr>
            <w:tcW w:w="426" w:type="pct"/>
            <w:tcBorders>
              <w:top w:val="double" w:color="auto" w:sz="6" w:space="0"/>
            </w:tcBorders>
            <w:vAlign w:val="center"/>
          </w:tcPr>
          <w:p w14:paraId="57B49F0E">
            <w:pPr>
              <w:keepNext/>
              <w:spacing w:line="440" w:lineRule="exact"/>
              <w:jc w:val="center"/>
              <w:rPr>
                <w:rFonts w:cs="宋体"/>
                <w:color w:val="auto"/>
                <w:szCs w:val="21"/>
                <w:highlight w:val="none"/>
              </w:rPr>
            </w:pPr>
          </w:p>
        </w:tc>
        <w:tc>
          <w:tcPr>
            <w:tcW w:w="745" w:type="pct"/>
            <w:tcBorders>
              <w:top w:val="double" w:color="auto" w:sz="6" w:space="0"/>
            </w:tcBorders>
            <w:vAlign w:val="center"/>
          </w:tcPr>
          <w:p w14:paraId="031BE0F7">
            <w:pPr>
              <w:keepNext/>
              <w:spacing w:line="440" w:lineRule="exact"/>
              <w:jc w:val="center"/>
              <w:rPr>
                <w:rFonts w:cs="宋体"/>
                <w:color w:val="auto"/>
                <w:szCs w:val="21"/>
                <w:highlight w:val="none"/>
              </w:rPr>
            </w:pPr>
          </w:p>
        </w:tc>
        <w:tc>
          <w:tcPr>
            <w:tcW w:w="781" w:type="pct"/>
            <w:tcBorders>
              <w:top w:val="double" w:color="auto" w:sz="6" w:space="0"/>
            </w:tcBorders>
            <w:vAlign w:val="center"/>
          </w:tcPr>
          <w:p w14:paraId="0AC79F75">
            <w:pPr>
              <w:keepNext/>
              <w:spacing w:line="440" w:lineRule="exact"/>
              <w:jc w:val="center"/>
              <w:rPr>
                <w:rFonts w:cs="宋体"/>
                <w:color w:val="auto"/>
                <w:szCs w:val="21"/>
                <w:highlight w:val="none"/>
              </w:rPr>
            </w:pPr>
          </w:p>
        </w:tc>
        <w:tc>
          <w:tcPr>
            <w:tcW w:w="938" w:type="pct"/>
            <w:tcBorders>
              <w:top w:val="double" w:color="auto" w:sz="6" w:space="0"/>
            </w:tcBorders>
            <w:vAlign w:val="center"/>
          </w:tcPr>
          <w:p w14:paraId="0D09126D">
            <w:pPr>
              <w:keepNext/>
              <w:spacing w:line="440" w:lineRule="exact"/>
              <w:jc w:val="center"/>
              <w:rPr>
                <w:rFonts w:cs="宋体"/>
                <w:color w:val="auto"/>
                <w:szCs w:val="21"/>
                <w:highlight w:val="none"/>
              </w:rPr>
            </w:pPr>
          </w:p>
        </w:tc>
      </w:tr>
      <w:tr w14:paraId="7C0165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tcBorders>
              <w:top w:val="nil"/>
            </w:tcBorders>
            <w:vAlign w:val="center"/>
          </w:tcPr>
          <w:p w14:paraId="562B8F3F">
            <w:pPr>
              <w:keepNext/>
              <w:spacing w:line="440" w:lineRule="exact"/>
              <w:jc w:val="center"/>
              <w:rPr>
                <w:rFonts w:cs="宋体"/>
                <w:color w:val="auto"/>
                <w:szCs w:val="21"/>
                <w:highlight w:val="none"/>
              </w:rPr>
            </w:pPr>
          </w:p>
        </w:tc>
        <w:tc>
          <w:tcPr>
            <w:tcW w:w="1094" w:type="pct"/>
            <w:tcBorders>
              <w:top w:val="nil"/>
            </w:tcBorders>
            <w:vAlign w:val="center"/>
          </w:tcPr>
          <w:p w14:paraId="499FD828">
            <w:pPr>
              <w:keepNext/>
              <w:spacing w:line="440" w:lineRule="exact"/>
              <w:jc w:val="center"/>
              <w:rPr>
                <w:rFonts w:cs="宋体"/>
                <w:color w:val="auto"/>
                <w:szCs w:val="21"/>
                <w:highlight w:val="none"/>
              </w:rPr>
            </w:pPr>
          </w:p>
        </w:tc>
        <w:tc>
          <w:tcPr>
            <w:tcW w:w="468" w:type="pct"/>
            <w:tcBorders>
              <w:top w:val="nil"/>
            </w:tcBorders>
            <w:vAlign w:val="center"/>
          </w:tcPr>
          <w:p w14:paraId="2E3A8C54">
            <w:pPr>
              <w:keepNext/>
              <w:spacing w:line="440" w:lineRule="exact"/>
              <w:jc w:val="center"/>
              <w:rPr>
                <w:rFonts w:cs="宋体"/>
                <w:color w:val="auto"/>
                <w:szCs w:val="21"/>
                <w:highlight w:val="none"/>
              </w:rPr>
            </w:pPr>
          </w:p>
        </w:tc>
        <w:tc>
          <w:tcPr>
            <w:tcW w:w="426" w:type="pct"/>
            <w:tcBorders>
              <w:top w:val="nil"/>
            </w:tcBorders>
            <w:vAlign w:val="center"/>
          </w:tcPr>
          <w:p w14:paraId="4DA187F5">
            <w:pPr>
              <w:keepNext/>
              <w:spacing w:line="440" w:lineRule="exact"/>
              <w:jc w:val="center"/>
              <w:rPr>
                <w:rFonts w:cs="宋体"/>
                <w:color w:val="auto"/>
                <w:szCs w:val="21"/>
                <w:highlight w:val="none"/>
              </w:rPr>
            </w:pPr>
          </w:p>
        </w:tc>
        <w:tc>
          <w:tcPr>
            <w:tcW w:w="745" w:type="pct"/>
            <w:tcBorders>
              <w:top w:val="nil"/>
            </w:tcBorders>
            <w:vAlign w:val="center"/>
          </w:tcPr>
          <w:p w14:paraId="518BFC8F">
            <w:pPr>
              <w:keepNext/>
              <w:spacing w:line="440" w:lineRule="exact"/>
              <w:jc w:val="center"/>
              <w:rPr>
                <w:rFonts w:cs="宋体"/>
                <w:color w:val="auto"/>
                <w:szCs w:val="21"/>
                <w:highlight w:val="none"/>
              </w:rPr>
            </w:pPr>
          </w:p>
        </w:tc>
        <w:tc>
          <w:tcPr>
            <w:tcW w:w="781" w:type="pct"/>
            <w:tcBorders>
              <w:top w:val="nil"/>
            </w:tcBorders>
            <w:vAlign w:val="center"/>
          </w:tcPr>
          <w:p w14:paraId="39A85A70">
            <w:pPr>
              <w:keepNext/>
              <w:spacing w:line="440" w:lineRule="exact"/>
              <w:jc w:val="center"/>
              <w:rPr>
                <w:rFonts w:cs="宋体"/>
                <w:color w:val="auto"/>
                <w:szCs w:val="21"/>
                <w:highlight w:val="none"/>
              </w:rPr>
            </w:pPr>
          </w:p>
        </w:tc>
        <w:tc>
          <w:tcPr>
            <w:tcW w:w="938" w:type="pct"/>
            <w:tcBorders>
              <w:top w:val="nil"/>
            </w:tcBorders>
            <w:vAlign w:val="center"/>
          </w:tcPr>
          <w:p w14:paraId="7E57D2A1">
            <w:pPr>
              <w:keepNext/>
              <w:spacing w:line="440" w:lineRule="exact"/>
              <w:jc w:val="center"/>
              <w:rPr>
                <w:rFonts w:cs="宋体"/>
                <w:color w:val="auto"/>
                <w:szCs w:val="21"/>
                <w:highlight w:val="none"/>
              </w:rPr>
            </w:pPr>
          </w:p>
        </w:tc>
      </w:tr>
      <w:tr w14:paraId="7CB192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vAlign w:val="center"/>
          </w:tcPr>
          <w:p w14:paraId="679E761A">
            <w:pPr>
              <w:keepNext/>
              <w:spacing w:line="440" w:lineRule="exact"/>
              <w:jc w:val="center"/>
              <w:rPr>
                <w:rFonts w:cs="宋体"/>
                <w:color w:val="auto"/>
                <w:szCs w:val="21"/>
                <w:highlight w:val="none"/>
              </w:rPr>
            </w:pPr>
          </w:p>
        </w:tc>
        <w:tc>
          <w:tcPr>
            <w:tcW w:w="1094" w:type="pct"/>
            <w:vAlign w:val="center"/>
          </w:tcPr>
          <w:p w14:paraId="1831D285">
            <w:pPr>
              <w:keepNext/>
              <w:spacing w:line="440" w:lineRule="exact"/>
              <w:jc w:val="center"/>
              <w:rPr>
                <w:rFonts w:cs="宋体"/>
                <w:color w:val="auto"/>
                <w:szCs w:val="21"/>
                <w:highlight w:val="none"/>
              </w:rPr>
            </w:pPr>
          </w:p>
        </w:tc>
        <w:tc>
          <w:tcPr>
            <w:tcW w:w="468" w:type="pct"/>
            <w:vAlign w:val="center"/>
          </w:tcPr>
          <w:p w14:paraId="1E93215C">
            <w:pPr>
              <w:keepNext/>
              <w:spacing w:line="440" w:lineRule="exact"/>
              <w:jc w:val="center"/>
              <w:rPr>
                <w:rFonts w:cs="宋体"/>
                <w:color w:val="auto"/>
                <w:szCs w:val="21"/>
                <w:highlight w:val="none"/>
              </w:rPr>
            </w:pPr>
          </w:p>
        </w:tc>
        <w:tc>
          <w:tcPr>
            <w:tcW w:w="426" w:type="pct"/>
            <w:vAlign w:val="center"/>
          </w:tcPr>
          <w:p w14:paraId="7A2827E1">
            <w:pPr>
              <w:keepNext/>
              <w:spacing w:line="440" w:lineRule="exact"/>
              <w:jc w:val="center"/>
              <w:rPr>
                <w:rFonts w:cs="宋体"/>
                <w:color w:val="auto"/>
                <w:szCs w:val="21"/>
                <w:highlight w:val="none"/>
              </w:rPr>
            </w:pPr>
          </w:p>
        </w:tc>
        <w:tc>
          <w:tcPr>
            <w:tcW w:w="745" w:type="pct"/>
            <w:vAlign w:val="center"/>
          </w:tcPr>
          <w:p w14:paraId="59675442">
            <w:pPr>
              <w:keepNext/>
              <w:spacing w:line="440" w:lineRule="exact"/>
              <w:jc w:val="center"/>
              <w:rPr>
                <w:rFonts w:cs="宋体"/>
                <w:color w:val="auto"/>
                <w:szCs w:val="21"/>
                <w:highlight w:val="none"/>
              </w:rPr>
            </w:pPr>
          </w:p>
        </w:tc>
        <w:tc>
          <w:tcPr>
            <w:tcW w:w="781" w:type="pct"/>
            <w:vAlign w:val="center"/>
          </w:tcPr>
          <w:p w14:paraId="6E67F13B">
            <w:pPr>
              <w:keepNext/>
              <w:spacing w:line="440" w:lineRule="exact"/>
              <w:jc w:val="center"/>
              <w:rPr>
                <w:rFonts w:cs="宋体"/>
                <w:color w:val="auto"/>
                <w:szCs w:val="21"/>
                <w:highlight w:val="none"/>
              </w:rPr>
            </w:pPr>
          </w:p>
        </w:tc>
        <w:tc>
          <w:tcPr>
            <w:tcW w:w="938" w:type="pct"/>
            <w:vAlign w:val="center"/>
          </w:tcPr>
          <w:p w14:paraId="3557899E">
            <w:pPr>
              <w:keepNext/>
              <w:spacing w:line="440" w:lineRule="exact"/>
              <w:jc w:val="center"/>
              <w:rPr>
                <w:rFonts w:cs="宋体"/>
                <w:color w:val="auto"/>
                <w:szCs w:val="21"/>
                <w:highlight w:val="none"/>
              </w:rPr>
            </w:pPr>
          </w:p>
        </w:tc>
      </w:tr>
      <w:tr w14:paraId="7ACCE4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tcBorders>
              <w:bottom w:val="single" w:color="auto" w:sz="12" w:space="0"/>
            </w:tcBorders>
            <w:vAlign w:val="center"/>
          </w:tcPr>
          <w:p w14:paraId="3A0A955D">
            <w:pPr>
              <w:keepNext/>
              <w:spacing w:line="440" w:lineRule="exact"/>
              <w:jc w:val="center"/>
              <w:rPr>
                <w:rFonts w:cs="宋体"/>
                <w:color w:val="auto"/>
                <w:szCs w:val="21"/>
                <w:highlight w:val="none"/>
              </w:rPr>
            </w:pPr>
          </w:p>
        </w:tc>
        <w:tc>
          <w:tcPr>
            <w:tcW w:w="1094" w:type="pct"/>
            <w:tcBorders>
              <w:bottom w:val="single" w:color="auto" w:sz="12" w:space="0"/>
            </w:tcBorders>
            <w:vAlign w:val="center"/>
          </w:tcPr>
          <w:p w14:paraId="4DD9E9CB">
            <w:pPr>
              <w:keepNext/>
              <w:spacing w:line="440" w:lineRule="exact"/>
              <w:jc w:val="center"/>
              <w:rPr>
                <w:rFonts w:cs="宋体"/>
                <w:color w:val="auto"/>
                <w:szCs w:val="21"/>
                <w:highlight w:val="none"/>
              </w:rPr>
            </w:pPr>
          </w:p>
        </w:tc>
        <w:tc>
          <w:tcPr>
            <w:tcW w:w="468" w:type="pct"/>
            <w:tcBorders>
              <w:bottom w:val="single" w:color="auto" w:sz="12" w:space="0"/>
            </w:tcBorders>
            <w:vAlign w:val="center"/>
          </w:tcPr>
          <w:p w14:paraId="2C9CF4DA">
            <w:pPr>
              <w:keepNext/>
              <w:spacing w:line="440" w:lineRule="exact"/>
              <w:jc w:val="center"/>
              <w:rPr>
                <w:rFonts w:cs="宋体"/>
                <w:color w:val="auto"/>
                <w:szCs w:val="21"/>
                <w:highlight w:val="none"/>
              </w:rPr>
            </w:pPr>
          </w:p>
        </w:tc>
        <w:tc>
          <w:tcPr>
            <w:tcW w:w="426" w:type="pct"/>
            <w:tcBorders>
              <w:bottom w:val="single" w:color="auto" w:sz="12" w:space="0"/>
            </w:tcBorders>
            <w:vAlign w:val="center"/>
          </w:tcPr>
          <w:p w14:paraId="65E2A6E0">
            <w:pPr>
              <w:keepNext/>
              <w:spacing w:line="440" w:lineRule="exact"/>
              <w:jc w:val="center"/>
              <w:rPr>
                <w:rFonts w:cs="宋体"/>
                <w:color w:val="auto"/>
                <w:szCs w:val="21"/>
                <w:highlight w:val="none"/>
              </w:rPr>
            </w:pPr>
          </w:p>
        </w:tc>
        <w:tc>
          <w:tcPr>
            <w:tcW w:w="745" w:type="pct"/>
            <w:tcBorders>
              <w:bottom w:val="single" w:color="auto" w:sz="12" w:space="0"/>
            </w:tcBorders>
            <w:vAlign w:val="center"/>
          </w:tcPr>
          <w:p w14:paraId="49293024">
            <w:pPr>
              <w:keepNext/>
              <w:spacing w:line="440" w:lineRule="exact"/>
              <w:jc w:val="center"/>
              <w:rPr>
                <w:rFonts w:cs="宋体"/>
                <w:color w:val="auto"/>
                <w:szCs w:val="21"/>
                <w:highlight w:val="none"/>
              </w:rPr>
            </w:pPr>
          </w:p>
        </w:tc>
        <w:tc>
          <w:tcPr>
            <w:tcW w:w="781" w:type="pct"/>
            <w:tcBorders>
              <w:bottom w:val="single" w:color="auto" w:sz="12" w:space="0"/>
            </w:tcBorders>
            <w:vAlign w:val="center"/>
          </w:tcPr>
          <w:p w14:paraId="69FCE412">
            <w:pPr>
              <w:keepNext/>
              <w:spacing w:line="440" w:lineRule="exact"/>
              <w:jc w:val="center"/>
              <w:rPr>
                <w:rFonts w:cs="宋体"/>
                <w:color w:val="auto"/>
                <w:szCs w:val="21"/>
                <w:highlight w:val="none"/>
              </w:rPr>
            </w:pPr>
          </w:p>
        </w:tc>
        <w:tc>
          <w:tcPr>
            <w:tcW w:w="938" w:type="pct"/>
            <w:tcBorders>
              <w:bottom w:val="single" w:color="auto" w:sz="12" w:space="0"/>
            </w:tcBorders>
            <w:vAlign w:val="center"/>
          </w:tcPr>
          <w:p w14:paraId="66CCA8F2">
            <w:pPr>
              <w:keepNext/>
              <w:spacing w:line="440" w:lineRule="exact"/>
              <w:jc w:val="center"/>
              <w:rPr>
                <w:rFonts w:cs="宋体"/>
                <w:color w:val="auto"/>
                <w:szCs w:val="21"/>
                <w:highlight w:val="none"/>
              </w:rPr>
            </w:pPr>
          </w:p>
        </w:tc>
      </w:tr>
    </w:tbl>
    <w:p w14:paraId="1681D164">
      <w:pPr>
        <w:spacing w:before="156" w:beforeLines="50" w:after="156" w:afterLines="50" w:line="440" w:lineRule="exact"/>
        <w:jc w:val="center"/>
        <w:rPr>
          <w:rFonts w:cs="宋体"/>
          <w:color w:val="auto"/>
          <w:szCs w:val="21"/>
          <w:highlight w:val="none"/>
        </w:rPr>
      </w:pPr>
      <w:r>
        <w:rPr>
          <w:rFonts w:hint="eastAsia" w:cs="宋体"/>
          <w:color w:val="auto"/>
          <w:szCs w:val="21"/>
          <w:highlight w:val="none"/>
        </w:rPr>
        <w:t>12-3：专业工程暂估价表</w:t>
      </w:r>
    </w:p>
    <w:tbl>
      <w:tblPr>
        <w:tblStyle w:val="55"/>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941"/>
        <w:gridCol w:w="1878"/>
        <w:gridCol w:w="803"/>
        <w:gridCol w:w="731"/>
        <w:gridCol w:w="1279"/>
        <w:gridCol w:w="1341"/>
        <w:gridCol w:w="1611"/>
      </w:tblGrid>
      <w:tr w14:paraId="6B5295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tcBorders>
              <w:top w:val="single" w:color="auto" w:sz="12" w:space="0"/>
              <w:bottom w:val="double" w:color="auto" w:sz="6" w:space="0"/>
            </w:tcBorders>
            <w:vAlign w:val="center"/>
          </w:tcPr>
          <w:p w14:paraId="39697272">
            <w:pPr>
              <w:keepNext/>
              <w:spacing w:line="440" w:lineRule="exact"/>
              <w:jc w:val="center"/>
              <w:rPr>
                <w:rFonts w:cs="宋体"/>
                <w:color w:val="auto"/>
                <w:szCs w:val="21"/>
                <w:highlight w:val="none"/>
              </w:rPr>
            </w:pPr>
            <w:r>
              <w:rPr>
                <w:rFonts w:hint="eastAsia" w:cs="宋体"/>
                <w:color w:val="auto"/>
                <w:szCs w:val="21"/>
                <w:highlight w:val="none"/>
              </w:rPr>
              <w:t>序号</w:t>
            </w:r>
          </w:p>
        </w:tc>
        <w:tc>
          <w:tcPr>
            <w:tcW w:w="1094" w:type="pct"/>
            <w:tcBorders>
              <w:top w:val="single" w:color="auto" w:sz="12" w:space="0"/>
              <w:bottom w:val="double" w:color="auto" w:sz="6" w:space="0"/>
            </w:tcBorders>
            <w:vAlign w:val="center"/>
          </w:tcPr>
          <w:p w14:paraId="10AFA79B">
            <w:pPr>
              <w:keepNext/>
              <w:spacing w:line="440" w:lineRule="exact"/>
              <w:jc w:val="center"/>
              <w:rPr>
                <w:rFonts w:cs="宋体"/>
                <w:color w:val="auto"/>
                <w:szCs w:val="21"/>
                <w:highlight w:val="none"/>
              </w:rPr>
            </w:pPr>
            <w:r>
              <w:rPr>
                <w:rFonts w:hint="eastAsia" w:cs="宋体"/>
                <w:color w:val="auto"/>
                <w:szCs w:val="21"/>
                <w:highlight w:val="none"/>
              </w:rPr>
              <w:t>名称</w:t>
            </w:r>
          </w:p>
        </w:tc>
        <w:tc>
          <w:tcPr>
            <w:tcW w:w="468" w:type="pct"/>
            <w:tcBorders>
              <w:top w:val="single" w:color="auto" w:sz="12" w:space="0"/>
              <w:bottom w:val="double" w:color="auto" w:sz="6" w:space="0"/>
            </w:tcBorders>
            <w:vAlign w:val="center"/>
          </w:tcPr>
          <w:p w14:paraId="7AFB5B2F">
            <w:pPr>
              <w:keepNext/>
              <w:spacing w:line="440" w:lineRule="exact"/>
              <w:jc w:val="center"/>
              <w:rPr>
                <w:rFonts w:cs="宋体"/>
                <w:color w:val="auto"/>
                <w:szCs w:val="21"/>
                <w:highlight w:val="none"/>
              </w:rPr>
            </w:pPr>
            <w:r>
              <w:rPr>
                <w:rFonts w:hint="eastAsia" w:cs="宋体"/>
                <w:color w:val="auto"/>
                <w:szCs w:val="21"/>
                <w:highlight w:val="none"/>
              </w:rPr>
              <w:t>单位</w:t>
            </w:r>
          </w:p>
        </w:tc>
        <w:tc>
          <w:tcPr>
            <w:tcW w:w="426" w:type="pct"/>
            <w:tcBorders>
              <w:top w:val="single" w:color="auto" w:sz="12" w:space="0"/>
              <w:bottom w:val="double" w:color="auto" w:sz="6" w:space="0"/>
            </w:tcBorders>
            <w:vAlign w:val="center"/>
          </w:tcPr>
          <w:p w14:paraId="50A57E9E">
            <w:pPr>
              <w:keepNext/>
              <w:spacing w:line="440" w:lineRule="exact"/>
              <w:jc w:val="center"/>
              <w:rPr>
                <w:rFonts w:cs="宋体"/>
                <w:color w:val="auto"/>
                <w:szCs w:val="21"/>
                <w:highlight w:val="none"/>
              </w:rPr>
            </w:pPr>
            <w:r>
              <w:rPr>
                <w:rFonts w:hint="eastAsia" w:cs="宋体"/>
                <w:color w:val="auto"/>
                <w:szCs w:val="21"/>
                <w:highlight w:val="none"/>
              </w:rPr>
              <w:t>数量</w:t>
            </w:r>
          </w:p>
        </w:tc>
        <w:tc>
          <w:tcPr>
            <w:tcW w:w="745" w:type="pct"/>
            <w:tcBorders>
              <w:top w:val="single" w:color="auto" w:sz="12" w:space="0"/>
              <w:bottom w:val="double" w:color="auto" w:sz="6" w:space="0"/>
            </w:tcBorders>
            <w:vAlign w:val="center"/>
          </w:tcPr>
          <w:p w14:paraId="459B413E">
            <w:pPr>
              <w:keepNext/>
              <w:spacing w:line="440" w:lineRule="exact"/>
              <w:jc w:val="center"/>
              <w:rPr>
                <w:rFonts w:cs="宋体"/>
                <w:color w:val="auto"/>
                <w:szCs w:val="21"/>
                <w:highlight w:val="none"/>
              </w:rPr>
            </w:pPr>
            <w:r>
              <w:rPr>
                <w:rFonts w:hint="eastAsia" w:cs="宋体"/>
                <w:color w:val="auto"/>
                <w:szCs w:val="21"/>
                <w:highlight w:val="none"/>
              </w:rPr>
              <w:t>单价（元）</w:t>
            </w:r>
          </w:p>
        </w:tc>
        <w:tc>
          <w:tcPr>
            <w:tcW w:w="781" w:type="pct"/>
            <w:tcBorders>
              <w:top w:val="single" w:color="auto" w:sz="12" w:space="0"/>
              <w:bottom w:val="double" w:color="auto" w:sz="6" w:space="0"/>
            </w:tcBorders>
            <w:vAlign w:val="center"/>
          </w:tcPr>
          <w:p w14:paraId="653329C4">
            <w:pPr>
              <w:keepNext/>
              <w:spacing w:line="440" w:lineRule="exact"/>
              <w:jc w:val="center"/>
              <w:rPr>
                <w:rFonts w:cs="宋体"/>
                <w:color w:val="auto"/>
                <w:szCs w:val="21"/>
                <w:highlight w:val="none"/>
              </w:rPr>
            </w:pPr>
            <w:r>
              <w:rPr>
                <w:rFonts w:hint="eastAsia" w:cs="宋体"/>
                <w:color w:val="auto"/>
                <w:szCs w:val="21"/>
                <w:highlight w:val="none"/>
              </w:rPr>
              <w:t>合价（元）</w:t>
            </w:r>
          </w:p>
        </w:tc>
        <w:tc>
          <w:tcPr>
            <w:tcW w:w="938" w:type="pct"/>
            <w:tcBorders>
              <w:top w:val="single" w:color="auto" w:sz="12" w:space="0"/>
              <w:bottom w:val="double" w:color="auto" w:sz="6" w:space="0"/>
            </w:tcBorders>
            <w:vAlign w:val="center"/>
          </w:tcPr>
          <w:p w14:paraId="73EE1797">
            <w:pPr>
              <w:keepNext/>
              <w:spacing w:line="440" w:lineRule="exact"/>
              <w:jc w:val="center"/>
              <w:rPr>
                <w:rFonts w:cs="宋体"/>
                <w:color w:val="auto"/>
                <w:szCs w:val="21"/>
                <w:highlight w:val="none"/>
              </w:rPr>
            </w:pPr>
            <w:r>
              <w:rPr>
                <w:rFonts w:hint="eastAsia" w:cs="宋体"/>
                <w:color w:val="auto"/>
                <w:szCs w:val="21"/>
                <w:highlight w:val="none"/>
              </w:rPr>
              <w:t>备注</w:t>
            </w:r>
          </w:p>
        </w:tc>
      </w:tr>
      <w:tr w14:paraId="772291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tcBorders>
              <w:top w:val="double" w:color="auto" w:sz="6" w:space="0"/>
            </w:tcBorders>
            <w:vAlign w:val="center"/>
          </w:tcPr>
          <w:p w14:paraId="4C7F6C20">
            <w:pPr>
              <w:keepNext/>
              <w:spacing w:line="440" w:lineRule="exact"/>
              <w:jc w:val="center"/>
              <w:rPr>
                <w:rFonts w:cs="宋体"/>
                <w:color w:val="auto"/>
                <w:szCs w:val="21"/>
                <w:highlight w:val="none"/>
              </w:rPr>
            </w:pPr>
          </w:p>
        </w:tc>
        <w:tc>
          <w:tcPr>
            <w:tcW w:w="1094" w:type="pct"/>
            <w:tcBorders>
              <w:top w:val="double" w:color="auto" w:sz="6" w:space="0"/>
            </w:tcBorders>
            <w:vAlign w:val="center"/>
          </w:tcPr>
          <w:p w14:paraId="3A928FBC">
            <w:pPr>
              <w:keepNext/>
              <w:spacing w:line="440" w:lineRule="exact"/>
              <w:jc w:val="center"/>
              <w:rPr>
                <w:rFonts w:cs="宋体"/>
                <w:color w:val="auto"/>
                <w:szCs w:val="21"/>
                <w:highlight w:val="none"/>
              </w:rPr>
            </w:pPr>
          </w:p>
        </w:tc>
        <w:tc>
          <w:tcPr>
            <w:tcW w:w="468" w:type="pct"/>
            <w:tcBorders>
              <w:top w:val="double" w:color="auto" w:sz="6" w:space="0"/>
            </w:tcBorders>
            <w:vAlign w:val="center"/>
          </w:tcPr>
          <w:p w14:paraId="5E4649FD">
            <w:pPr>
              <w:keepNext/>
              <w:spacing w:line="440" w:lineRule="exact"/>
              <w:jc w:val="center"/>
              <w:rPr>
                <w:rFonts w:cs="宋体"/>
                <w:color w:val="auto"/>
                <w:szCs w:val="21"/>
                <w:highlight w:val="none"/>
              </w:rPr>
            </w:pPr>
          </w:p>
        </w:tc>
        <w:tc>
          <w:tcPr>
            <w:tcW w:w="426" w:type="pct"/>
            <w:tcBorders>
              <w:top w:val="double" w:color="auto" w:sz="6" w:space="0"/>
            </w:tcBorders>
            <w:vAlign w:val="center"/>
          </w:tcPr>
          <w:p w14:paraId="3FF4543C">
            <w:pPr>
              <w:keepNext/>
              <w:spacing w:line="440" w:lineRule="exact"/>
              <w:jc w:val="center"/>
              <w:rPr>
                <w:rFonts w:cs="宋体"/>
                <w:color w:val="auto"/>
                <w:szCs w:val="21"/>
                <w:highlight w:val="none"/>
              </w:rPr>
            </w:pPr>
          </w:p>
        </w:tc>
        <w:tc>
          <w:tcPr>
            <w:tcW w:w="745" w:type="pct"/>
            <w:tcBorders>
              <w:top w:val="double" w:color="auto" w:sz="6" w:space="0"/>
            </w:tcBorders>
            <w:vAlign w:val="center"/>
          </w:tcPr>
          <w:p w14:paraId="5D499984">
            <w:pPr>
              <w:keepNext/>
              <w:spacing w:line="440" w:lineRule="exact"/>
              <w:jc w:val="center"/>
              <w:rPr>
                <w:rFonts w:cs="宋体"/>
                <w:color w:val="auto"/>
                <w:szCs w:val="21"/>
                <w:highlight w:val="none"/>
              </w:rPr>
            </w:pPr>
          </w:p>
        </w:tc>
        <w:tc>
          <w:tcPr>
            <w:tcW w:w="781" w:type="pct"/>
            <w:tcBorders>
              <w:top w:val="double" w:color="auto" w:sz="6" w:space="0"/>
            </w:tcBorders>
            <w:vAlign w:val="center"/>
          </w:tcPr>
          <w:p w14:paraId="23908FE8">
            <w:pPr>
              <w:keepNext/>
              <w:spacing w:line="440" w:lineRule="exact"/>
              <w:jc w:val="center"/>
              <w:rPr>
                <w:rFonts w:cs="宋体"/>
                <w:color w:val="auto"/>
                <w:szCs w:val="21"/>
                <w:highlight w:val="none"/>
              </w:rPr>
            </w:pPr>
          </w:p>
        </w:tc>
        <w:tc>
          <w:tcPr>
            <w:tcW w:w="938" w:type="pct"/>
            <w:tcBorders>
              <w:top w:val="double" w:color="auto" w:sz="6" w:space="0"/>
            </w:tcBorders>
            <w:vAlign w:val="center"/>
          </w:tcPr>
          <w:p w14:paraId="0BC1FF36">
            <w:pPr>
              <w:keepNext/>
              <w:spacing w:line="440" w:lineRule="exact"/>
              <w:jc w:val="center"/>
              <w:rPr>
                <w:rFonts w:cs="宋体"/>
                <w:color w:val="auto"/>
                <w:szCs w:val="21"/>
                <w:highlight w:val="none"/>
              </w:rPr>
            </w:pPr>
          </w:p>
        </w:tc>
      </w:tr>
      <w:tr w14:paraId="5EFAE0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tcBorders>
              <w:top w:val="nil"/>
            </w:tcBorders>
            <w:vAlign w:val="center"/>
          </w:tcPr>
          <w:p w14:paraId="534CFB87">
            <w:pPr>
              <w:keepNext/>
              <w:spacing w:line="440" w:lineRule="exact"/>
              <w:jc w:val="center"/>
              <w:rPr>
                <w:rFonts w:cs="宋体"/>
                <w:color w:val="auto"/>
                <w:szCs w:val="21"/>
                <w:highlight w:val="none"/>
              </w:rPr>
            </w:pPr>
          </w:p>
        </w:tc>
        <w:tc>
          <w:tcPr>
            <w:tcW w:w="1094" w:type="pct"/>
            <w:tcBorders>
              <w:top w:val="nil"/>
            </w:tcBorders>
            <w:vAlign w:val="center"/>
          </w:tcPr>
          <w:p w14:paraId="42876DF4">
            <w:pPr>
              <w:keepNext/>
              <w:spacing w:line="440" w:lineRule="exact"/>
              <w:jc w:val="center"/>
              <w:rPr>
                <w:rFonts w:cs="宋体"/>
                <w:color w:val="auto"/>
                <w:szCs w:val="21"/>
                <w:highlight w:val="none"/>
              </w:rPr>
            </w:pPr>
          </w:p>
        </w:tc>
        <w:tc>
          <w:tcPr>
            <w:tcW w:w="468" w:type="pct"/>
            <w:tcBorders>
              <w:top w:val="nil"/>
            </w:tcBorders>
            <w:vAlign w:val="center"/>
          </w:tcPr>
          <w:p w14:paraId="7F48662F">
            <w:pPr>
              <w:keepNext/>
              <w:spacing w:line="440" w:lineRule="exact"/>
              <w:jc w:val="center"/>
              <w:rPr>
                <w:rFonts w:cs="宋体"/>
                <w:color w:val="auto"/>
                <w:szCs w:val="21"/>
                <w:highlight w:val="none"/>
              </w:rPr>
            </w:pPr>
          </w:p>
        </w:tc>
        <w:tc>
          <w:tcPr>
            <w:tcW w:w="426" w:type="pct"/>
            <w:tcBorders>
              <w:top w:val="nil"/>
            </w:tcBorders>
            <w:vAlign w:val="center"/>
          </w:tcPr>
          <w:p w14:paraId="468083F3">
            <w:pPr>
              <w:keepNext/>
              <w:spacing w:line="440" w:lineRule="exact"/>
              <w:jc w:val="center"/>
              <w:rPr>
                <w:rFonts w:cs="宋体"/>
                <w:color w:val="auto"/>
                <w:szCs w:val="21"/>
                <w:highlight w:val="none"/>
              </w:rPr>
            </w:pPr>
          </w:p>
        </w:tc>
        <w:tc>
          <w:tcPr>
            <w:tcW w:w="745" w:type="pct"/>
            <w:tcBorders>
              <w:top w:val="nil"/>
            </w:tcBorders>
            <w:vAlign w:val="center"/>
          </w:tcPr>
          <w:p w14:paraId="09CCDE74">
            <w:pPr>
              <w:keepNext/>
              <w:spacing w:line="440" w:lineRule="exact"/>
              <w:jc w:val="center"/>
              <w:rPr>
                <w:rFonts w:cs="宋体"/>
                <w:color w:val="auto"/>
                <w:szCs w:val="21"/>
                <w:highlight w:val="none"/>
              </w:rPr>
            </w:pPr>
          </w:p>
        </w:tc>
        <w:tc>
          <w:tcPr>
            <w:tcW w:w="781" w:type="pct"/>
            <w:tcBorders>
              <w:top w:val="nil"/>
            </w:tcBorders>
            <w:vAlign w:val="center"/>
          </w:tcPr>
          <w:p w14:paraId="409BF224">
            <w:pPr>
              <w:keepNext/>
              <w:spacing w:line="440" w:lineRule="exact"/>
              <w:jc w:val="center"/>
              <w:rPr>
                <w:rFonts w:cs="宋体"/>
                <w:color w:val="auto"/>
                <w:szCs w:val="21"/>
                <w:highlight w:val="none"/>
              </w:rPr>
            </w:pPr>
          </w:p>
        </w:tc>
        <w:tc>
          <w:tcPr>
            <w:tcW w:w="938" w:type="pct"/>
            <w:tcBorders>
              <w:top w:val="nil"/>
            </w:tcBorders>
            <w:vAlign w:val="center"/>
          </w:tcPr>
          <w:p w14:paraId="65CCE5DC">
            <w:pPr>
              <w:keepNext/>
              <w:spacing w:line="440" w:lineRule="exact"/>
              <w:jc w:val="center"/>
              <w:rPr>
                <w:rFonts w:cs="宋体"/>
                <w:color w:val="auto"/>
                <w:szCs w:val="21"/>
                <w:highlight w:val="none"/>
              </w:rPr>
            </w:pPr>
          </w:p>
        </w:tc>
      </w:tr>
      <w:tr w14:paraId="516567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vAlign w:val="center"/>
          </w:tcPr>
          <w:p w14:paraId="36F12480">
            <w:pPr>
              <w:keepNext/>
              <w:spacing w:line="440" w:lineRule="exact"/>
              <w:jc w:val="center"/>
              <w:rPr>
                <w:rFonts w:cs="宋体"/>
                <w:color w:val="auto"/>
                <w:szCs w:val="21"/>
                <w:highlight w:val="none"/>
              </w:rPr>
            </w:pPr>
          </w:p>
        </w:tc>
        <w:tc>
          <w:tcPr>
            <w:tcW w:w="1094" w:type="pct"/>
            <w:vAlign w:val="center"/>
          </w:tcPr>
          <w:p w14:paraId="1E6BBBF3">
            <w:pPr>
              <w:keepNext/>
              <w:spacing w:line="440" w:lineRule="exact"/>
              <w:jc w:val="center"/>
              <w:rPr>
                <w:rFonts w:cs="宋体"/>
                <w:color w:val="auto"/>
                <w:szCs w:val="21"/>
                <w:highlight w:val="none"/>
              </w:rPr>
            </w:pPr>
          </w:p>
        </w:tc>
        <w:tc>
          <w:tcPr>
            <w:tcW w:w="468" w:type="pct"/>
            <w:vAlign w:val="center"/>
          </w:tcPr>
          <w:p w14:paraId="08F5D397">
            <w:pPr>
              <w:keepNext/>
              <w:spacing w:line="440" w:lineRule="exact"/>
              <w:jc w:val="center"/>
              <w:rPr>
                <w:rFonts w:cs="宋体"/>
                <w:color w:val="auto"/>
                <w:szCs w:val="21"/>
                <w:highlight w:val="none"/>
              </w:rPr>
            </w:pPr>
          </w:p>
        </w:tc>
        <w:tc>
          <w:tcPr>
            <w:tcW w:w="426" w:type="pct"/>
            <w:vAlign w:val="center"/>
          </w:tcPr>
          <w:p w14:paraId="2FA7C0DA">
            <w:pPr>
              <w:keepNext/>
              <w:spacing w:line="440" w:lineRule="exact"/>
              <w:jc w:val="center"/>
              <w:rPr>
                <w:rFonts w:cs="宋体"/>
                <w:color w:val="auto"/>
                <w:szCs w:val="21"/>
                <w:highlight w:val="none"/>
              </w:rPr>
            </w:pPr>
          </w:p>
        </w:tc>
        <w:tc>
          <w:tcPr>
            <w:tcW w:w="745" w:type="pct"/>
            <w:vAlign w:val="center"/>
          </w:tcPr>
          <w:p w14:paraId="424F3DB7">
            <w:pPr>
              <w:keepNext/>
              <w:spacing w:line="440" w:lineRule="exact"/>
              <w:jc w:val="center"/>
              <w:rPr>
                <w:rFonts w:cs="宋体"/>
                <w:color w:val="auto"/>
                <w:szCs w:val="21"/>
                <w:highlight w:val="none"/>
              </w:rPr>
            </w:pPr>
          </w:p>
        </w:tc>
        <w:tc>
          <w:tcPr>
            <w:tcW w:w="781" w:type="pct"/>
            <w:vAlign w:val="center"/>
          </w:tcPr>
          <w:p w14:paraId="2F5FF678">
            <w:pPr>
              <w:keepNext/>
              <w:spacing w:line="440" w:lineRule="exact"/>
              <w:jc w:val="center"/>
              <w:rPr>
                <w:rFonts w:cs="宋体"/>
                <w:color w:val="auto"/>
                <w:szCs w:val="21"/>
                <w:highlight w:val="none"/>
              </w:rPr>
            </w:pPr>
          </w:p>
        </w:tc>
        <w:tc>
          <w:tcPr>
            <w:tcW w:w="938" w:type="pct"/>
            <w:vAlign w:val="center"/>
          </w:tcPr>
          <w:p w14:paraId="24346410">
            <w:pPr>
              <w:keepNext/>
              <w:spacing w:line="440" w:lineRule="exact"/>
              <w:jc w:val="center"/>
              <w:rPr>
                <w:rFonts w:cs="宋体"/>
                <w:color w:val="auto"/>
                <w:szCs w:val="21"/>
                <w:highlight w:val="none"/>
              </w:rPr>
            </w:pPr>
          </w:p>
        </w:tc>
      </w:tr>
      <w:tr w14:paraId="241014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tcBorders>
              <w:bottom w:val="single" w:color="auto" w:sz="12" w:space="0"/>
            </w:tcBorders>
            <w:vAlign w:val="center"/>
          </w:tcPr>
          <w:p w14:paraId="2BF4AB1B">
            <w:pPr>
              <w:keepNext/>
              <w:spacing w:line="440" w:lineRule="exact"/>
              <w:jc w:val="center"/>
              <w:rPr>
                <w:rFonts w:cs="宋体"/>
                <w:color w:val="auto"/>
                <w:szCs w:val="21"/>
                <w:highlight w:val="none"/>
              </w:rPr>
            </w:pPr>
          </w:p>
        </w:tc>
        <w:tc>
          <w:tcPr>
            <w:tcW w:w="1094" w:type="pct"/>
            <w:tcBorders>
              <w:bottom w:val="single" w:color="auto" w:sz="12" w:space="0"/>
            </w:tcBorders>
            <w:vAlign w:val="center"/>
          </w:tcPr>
          <w:p w14:paraId="59CA520F">
            <w:pPr>
              <w:keepNext/>
              <w:spacing w:line="440" w:lineRule="exact"/>
              <w:jc w:val="center"/>
              <w:rPr>
                <w:rFonts w:cs="宋体"/>
                <w:color w:val="auto"/>
                <w:szCs w:val="21"/>
                <w:highlight w:val="none"/>
              </w:rPr>
            </w:pPr>
          </w:p>
        </w:tc>
        <w:tc>
          <w:tcPr>
            <w:tcW w:w="468" w:type="pct"/>
            <w:tcBorders>
              <w:bottom w:val="single" w:color="auto" w:sz="12" w:space="0"/>
            </w:tcBorders>
            <w:vAlign w:val="center"/>
          </w:tcPr>
          <w:p w14:paraId="40719027">
            <w:pPr>
              <w:keepNext/>
              <w:spacing w:line="440" w:lineRule="exact"/>
              <w:jc w:val="center"/>
              <w:rPr>
                <w:rFonts w:cs="宋体"/>
                <w:color w:val="auto"/>
                <w:szCs w:val="21"/>
                <w:highlight w:val="none"/>
              </w:rPr>
            </w:pPr>
          </w:p>
        </w:tc>
        <w:tc>
          <w:tcPr>
            <w:tcW w:w="426" w:type="pct"/>
            <w:tcBorders>
              <w:bottom w:val="single" w:color="auto" w:sz="12" w:space="0"/>
            </w:tcBorders>
            <w:vAlign w:val="center"/>
          </w:tcPr>
          <w:p w14:paraId="5EDF6945">
            <w:pPr>
              <w:keepNext/>
              <w:spacing w:line="440" w:lineRule="exact"/>
              <w:jc w:val="center"/>
              <w:rPr>
                <w:rFonts w:cs="宋体"/>
                <w:color w:val="auto"/>
                <w:szCs w:val="21"/>
                <w:highlight w:val="none"/>
              </w:rPr>
            </w:pPr>
          </w:p>
        </w:tc>
        <w:tc>
          <w:tcPr>
            <w:tcW w:w="745" w:type="pct"/>
            <w:tcBorders>
              <w:bottom w:val="single" w:color="auto" w:sz="12" w:space="0"/>
            </w:tcBorders>
            <w:vAlign w:val="center"/>
          </w:tcPr>
          <w:p w14:paraId="04C42202">
            <w:pPr>
              <w:keepNext/>
              <w:spacing w:line="440" w:lineRule="exact"/>
              <w:jc w:val="center"/>
              <w:rPr>
                <w:rFonts w:cs="宋体"/>
                <w:color w:val="auto"/>
                <w:szCs w:val="21"/>
                <w:highlight w:val="none"/>
              </w:rPr>
            </w:pPr>
          </w:p>
        </w:tc>
        <w:tc>
          <w:tcPr>
            <w:tcW w:w="781" w:type="pct"/>
            <w:tcBorders>
              <w:bottom w:val="single" w:color="auto" w:sz="12" w:space="0"/>
            </w:tcBorders>
            <w:vAlign w:val="center"/>
          </w:tcPr>
          <w:p w14:paraId="23E99AA2">
            <w:pPr>
              <w:keepNext/>
              <w:spacing w:line="440" w:lineRule="exact"/>
              <w:jc w:val="center"/>
              <w:rPr>
                <w:rFonts w:cs="宋体"/>
                <w:color w:val="auto"/>
                <w:szCs w:val="21"/>
                <w:highlight w:val="none"/>
              </w:rPr>
            </w:pPr>
          </w:p>
        </w:tc>
        <w:tc>
          <w:tcPr>
            <w:tcW w:w="938" w:type="pct"/>
            <w:tcBorders>
              <w:bottom w:val="single" w:color="auto" w:sz="12" w:space="0"/>
            </w:tcBorders>
            <w:vAlign w:val="center"/>
          </w:tcPr>
          <w:p w14:paraId="604234E8">
            <w:pPr>
              <w:keepNext/>
              <w:spacing w:line="440" w:lineRule="exact"/>
              <w:jc w:val="center"/>
              <w:rPr>
                <w:rFonts w:cs="宋体"/>
                <w:color w:val="auto"/>
                <w:szCs w:val="21"/>
                <w:highlight w:val="none"/>
              </w:rPr>
            </w:pPr>
          </w:p>
        </w:tc>
      </w:tr>
    </w:tbl>
    <w:p w14:paraId="2273F6E8">
      <w:pPr>
        <w:rPr>
          <w:rFonts w:cs="宋体"/>
          <w:color w:val="auto"/>
          <w:szCs w:val="21"/>
          <w:highlight w:val="none"/>
        </w:rPr>
      </w:pPr>
    </w:p>
    <w:p w14:paraId="4DCFA532">
      <w:pPr>
        <w:spacing w:before="312" w:beforeLines="100" w:after="312" w:afterLines="100"/>
        <w:outlineLvl w:val="2"/>
        <w:rPr>
          <w:rFonts w:ascii="Times New Roman" w:eastAsia="黑体"/>
          <w:color w:val="auto"/>
          <w:szCs w:val="24"/>
          <w:highlight w:val="none"/>
        </w:rPr>
      </w:pPr>
      <w:r>
        <w:rPr>
          <w:rFonts w:hint="eastAsia" w:cs="宋体"/>
          <w:bCs/>
          <w:color w:val="auto"/>
          <w:highlight w:val="none"/>
        </w:rPr>
        <w:br w:type="page"/>
      </w:r>
      <w:bookmarkStart w:id="642" w:name="_Toc128950248"/>
      <w:r>
        <w:rPr>
          <w:rFonts w:hint="eastAsia" w:ascii="Times New Roman" w:eastAsia="黑体"/>
          <w:color w:val="auto"/>
          <w:szCs w:val="24"/>
          <w:highlight w:val="none"/>
        </w:rPr>
        <w:t>附件13：安全生产合同</w:t>
      </w:r>
      <w:bookmarkEnd w:id="642"/>
    </w:p>
    <w:p w14:paraId="45B55438">
      <w:pPr>
        <w:spacing w:before="156" w:beforeLines="50" w:after="156" w:afterLines="50" w:line="360" w:lineRule="auto"/>
        <w:jc w:val="center"/>
        <w:rPr>
          <w:rFonts w:cs="宋体"/>
          <w:b/>
          <w:color w:val="auto"/>
          <w:sz w:val="32"/>
          <w:szCs w:val="32"/>
          <w:highlight w:val="none"/>
        </w:rPr>
      </w:pPr>
      <w:bookmarkStart w:id="643" w:name="_Toc11475"/>
      <w:bookmarkStart w:id="644" w:name="_Toc23792"/>
      <w:r>
        <w:rPr>
          <w:rFonts w:hint="eastAsia" w:cs="宋体"/>
          <w:b/>
          <w:color w:val="auto"/>
          <w:sz w:val="32"/>
          <w:szCs w:val="32"/>
          <w:highlight w:val="none"/>
        </w:rPr>
        <w:t>安全生产合同</w:t>
      </w:r>
      <w:bookmarkEnd w:id="643"/>
      <w:bookmarkEnd w:id="644"/>
    </w:p>
    <w:p w14:paraId="18E5EEA4">
      <w:pPr>
        <w:spacing w:line="360" w:lineRule="auto"/>
        <w:ind w:firstLine="420" w:firstLineChars="200"/>
        <w:rPr>
          <w:rFonts w:cs="宋体"/>
          <w:color w:val="auto"/>
          <w:sz w:val="21"/>
          <w:szCs w:val="21"/>
          <w:highlight w:val="none"/>
        </w:rPr>
      </w:pPr>
      <w:r>
        <w:rPr>
          <w:rFonts w:hint="eastAsia" w:cs="宋体"/>
          <w:color w:val="auto"/>
          <w:sz w:val="21"/>
          <w:szCs w:val="21"/>
          <w:highlight w:val="none"/>
        </w:rPr>
        <w:t>为在</w:t>
      </w:r>
      <w:r>
        <w:rPr>
          <w:rFonts w:hint="eastAsia" w:cs="宋体"/>
          <w:color w:val="auto"/>
          <w:sz w:val="21"/>
          <w:szCs w:val="21"/>
          <w:highlight w:val="none"/>
          <w:u w:val="single"/>
        </w:rPr>
        <w:t xml:space="preserve">            </w:t>
      </w:r>
      <w:r>
        <w:rPr>
          <w:rFonts w:hint="eastAsia" w:cs="宋体"/>
          <w:color w:val="auto"/>
          <w:sz w:val="21"/>
          <w:szCs w:val="21"/>
          <w:highlight w:val="none"/>
        </w:rPr>
        <w:t>（项目名称）施工合同的实施过程中创造安全、高效的施工环境，切实搞好本项目的安全管理工作，本项目发包人</w:t>
      </w:r>
      <w:r>
        <w:rPr>
          <w:rFonts w:hint="eastAsia" w:cs="宋体"/>
          <w:color w:val="auto"/>
          <w:sz w:val="21"/>
          <w:szCs w:val="21"/>
          <w:highlight w:val="none"/>
          <w:u w:val="single"/>
        </w:rPr>
        <w:t xml:space="preserve">       </w:t>
      </w:r>
      <w:r>
        <w:rPr>
          <w:rFonts w:hint="eastAsia" w:cs="宋体"/>
          <w:color w:val="auto"/>
          <w:sz w:val="21"/>
          <w:szCs w:val="21"/>
          <w:highlight w:val="none"/>
        </w:rPr>
        <w:t>（发包人名称，以下简称“发包人”）与承包人</w:t>
      </w:r>
      <w:r>
        <w:rPr>
          <w:rFonts w:hint="eastAsia" w:cs="宋体"/>
          <w:color w:val="auto"/>
          <w:sz w:val="21"/>
          <w:szCs w:val="21"/>
          <w:highlight w:val="none"/>
          <w:u w:val="single"/>
        </w:rPr>
        <w:t xml:space="preserve">         </w:t>
      </w:r>
      <w:r>
        <w:rPr>
          <w:rFonts w:hint="eastAsia" w:cs="宋体"/>
          <w:color w:val="auto"/>
          <w:sz w:val="21"/>
          <w:szCs w:val="21"/>
          <w:highlight w:val="none"/>
        </w:rPr>
        <w:t>（承包人名称，以下简称“承包人”）特此签订安全生产合同：</w:t>
      </w:r>
    </w:p>
    <w:p w14:paraId="12F06470">
      <w:pPr>
        <w:spacing w:line="360" w:lineRule="auto"/>
        <w:ind w:firstLine="420" w:firstLineChars="200"/>
        <w:rPr>
          <w:rFonts w:cs="宋体"/>
          <w:color w:val="auto"/>
          <w:sz w:val="21"/>
          <w:szCs w:val="21"/>
          <w:highlight w:val="none"/>
        </w:rPr>
      </w:pPr>
      <w:r>
        <w:rPr>
          <w:rFonts w:hint="eastAsia" w:cs="宋体"/>
          <w:color w:val="auto"/>
          <w:sz w:val="21"/>
          <w:szCs w:val="21"/>
          <w:highlight w:val="none"/>
        </w:rPr>
        <w:t>1.发包人职责</w:t>
      </w:r>
    </w:p>
    <w:p w14:paraId="75C3AE00">
      <w:pPr>
        <w:spacing w:line="360" w:lineRule="auto"/>
        <w:ind w:firstLine="420" w:firstLineChars="200"/>
        <w:rPr>
          <w:rFonts w:cs="宋体"/>
          <w:color w:val="auto"/>
          <w:sz w:val="21"/>
          <w:szCs w:val="21"/>
          <w:highlight w:val="none"/>
        </w:rPr>
      </w:pPr>
      <w:r>
        <w:rPr>
          <w:rFonts w:hint="eastAsia" w:cs="宋体"/>
          <w:color w:val="auto"/>
          <w:sz w:val="21"/>
          <w:szCs w:val="21"/>
          <w:highlight w:val="none"/>
        </w:rPr>
        <w:t>（1）严格遵守国家有关安全生产的法律法规，认真执行工程承包合同中的有关安全要求。</w:t>
      </w:r>
    </w:p>
    <w:p w14:paraId="4BEB76E9">
      <w:pPr>
        <w:spacing w:line="360" w:lineRule="auto"/>
        <w:ind w:firstLine="420" w:firstLineChars="200"/>
        <w:rPr>
          <w:rFonts w:cs="宋体"/>
          <w:color w:val="auto"/>
          <w:sz w:val="21"/>
          <w:szCs w:val="21"/>
          <w:highlight w:val="none"/>
        </w:rPr>
      </w:pPr>
      <w:r>
        <w:rPr>
          <w:rFonts w:hint="eastAsia" w:cs="宋体"/>
          <w:color w:val="auto"/>
          <w:sz w:val="21"/>
          <w:szCs w:val="21"/>
          <w:highlight w:val="none"/>
        </w:rPr>
        <w:t>（2）按照“安全第一、预防为主”和坚持“管生产必须管安全”的原则进行安全生产管理，做到生产与安全工作同时计划、布置、检查、总结和评比。</w:t>
      </w:r>
    </w:p>
    <w:p w14:paraId="34ED5F1D">
      <w:pPr>
        <w:spacing w:line="360" w:lineRule="auto"/>
        <w:ind w:firstLine="420" w:firstLineChars="200"/>
        <w:rPr>
          <w:rFonts w:cs="宋体"/>
          <w:color w:val="auto"/>
          <w:sz w:val="21"/>
          <w:szCs w:val="21"/>
          <w:highlight w:val="none"/>
        </w:rPr>
      </w:pPr>
      <w:r>
        <w:rPr>
          <w:rFonts w:hint="eastAsia" w:cs="宋体"/>
          <w:color w:val="auto"/>
          <w:sz w:val="21"/>
          <w:szCs w:val="21"/>
          <w:highlight w:val="none"/>
        </w:rPr>
        <w:t>（3）重要的安全设施必须坚持与主体工程“三同时”的原则，即：同时设计、审批，同时施工，同时验收，投入使用。</w:t>
      </w:r>
    </w:p>
    <w:p w14:paraId="461D1433">
      <w:pPr>
        <w:spacing w:line="360" w:lineRule="auto"/>
        <w:ind w:firstLine="420" w:firstLineChars="200"/>
        <w:rPr>
          <w:rFonts w:cs="宋体"/>
          <w:color w:val="auto"/>
          <w:sz w:val="21"/>
          <w:szCs w:val="21"/>
          <w:highlight w:val="none"/>
        </w:rPr>
      </w:pPr>
      <w:r>
        <w:rPr>
          <w:rFonts w:hint="eastAsia" w:cs="宋体"/>
          <w:color w:val="auto"/>
          <w:sz w:val="21"/>
          <w:szCs w:val="21"/>
          <w:highlight w:val="none"/>
        </w:rPr>
        <w:t>（4）定期召开安全生产调度会，及时传达中央及地方有关安全生产的精神。</w:t>
      </w:r>
    </w:p>
    <w:p w14:paraId="4D3A55FB">
      <w:pPr>
        <w:spacing w:line="360" w:lineRule="auto"/>
        <w:ind w:firstLine="420" w:firstLineChars="200"/>
        <w:rPr>
          <w:rFonts w:cs="宋体"/>
          <w:color w:val="auto"/>
          <w:sz w:val="21"/>
          <w:szCs w:val="21"/>
          <w:highlight w:val="none"/>
        </w:rPr>
      </w:pPr>
      <w:r>
        <w:rPr>
          <w:rFonts w:hint="eastAsia" w:cs="宋体"/>
          <w:color w:val="auto"/>
          <w:sz w:val="21"/>
          <w:szCs w:val="21"/>
          <w:highlight w:val="none"/>
        </w:rPr>
        <w:t>（5）组织对承包人施工现场安全生产检查，监督承包人及时处理发现的各种安全隐患。</w:t>
      </w:r>
    </w:p>
    <w:p w14:paraId="09BB60A7">
      <w:pPr>
        <w:spacing w:line="360" w:lineRule="auto"/>
        <w:ind w:firstLine="420" w:firstLineChars="200"/>
        <w:rPr>
          <w:rFonts w:cs="宋体"/>
          <w:color w:val="auto"/>
          <w:sz w:val="21"/>
          <w:szCs w:val="21"/>
          <w:highlight w:val="none"/>
        </w:rPr>
      </w:pPr>
      <w:r>
        <w:rPr>
          <w:rFonts w:hint="eastAsia" w:cs="宋体"/>
          <w:color w:val="auto"/>
          <w:sz w:val="21"/>
          <w:szCs w:val="21"/>
          <w:highlight w:val="none"/>
        </w:rPr>
        <w:t>2.承包人职责</w:t>
      </w:r>
    </w:p>
    <w:p w14:paraId="13800E2C">
      <w:pPr>
        <w:spacing w:line="360" w:lineRule="auto"/>
        <w:ind w:firstLine="420" w:firstLineChars="200"/>
        <w:rPr>
          <w:rFonts w:cs="宋体"/>
          <w:color w:val="auto"/>
          <w:sz w:val="21"/>
          <w:szCs w:val="21"/>
          <w:highlight w:val="none"/>
        </w:rPr>
      </w:pPr>
      <w:r>
        <w:rPr>
          <w:rFonts w:hint="eastAsia" w:cs="宋体"/>
          <w:color w:val="auto"/>
          <w:sz w:val="21"/>
          <w:szCs w:val="21"/>
          <w:highlight w:val="none"/>
        </w:rPr>
        <w:t>（1）严格遵守《中华人民共和国安全生产法》《建设工程安全生产管理条例》等国家有关安全生产的法律法规、《建设项目安全设施“三同时”监督管理办法》等有关安全生产的规定。认真执行工程承包合同中的有关安全要求。</w:t>
      </w:r>
    </w:p>
    <w:p w14:paraId="3C01FD3F">
      <w:pPr>
        <w:spacing w:line="360" w:lineRule="auto"/>
        <w:ind w:firstLine="420" w:firstLineChars="200"/>
        <w:rPr>
          <w:rFonts w:cs="宋体"/>
          <w:color w:val="auto"/>
          <w:sz w:val="21"/>
          <w:szCs w:val="21"/>
          <w:highlight w:val="none"/>
        </w:rPr>
      </w:pPr>
      <w:r>
        <w:rPr>
          <w:rFonts w:hint="eastAsia" w:cs="宋体"/>
          <w:color w:val="auto"/>
          <w:sz w:val="21"/>
          <w:szCs w:val="21"/>
          <w:highlight w:val="none"/>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4B2D8C1F">
      <w:pPr>
        <w:spacing w:line="360" w:lineRule="auto"/>
        <w:ind w:firstLine="420" w:firstLineChars="200"/>
        <w:rPr>
          <w:rFonts w:cs="宋体"/>
          <w:color w:val="auto"/>
          <w:sz w:val="21"/>
          <w:szCs w:val="21"/>
          <w:highlight w:val="none"/>
        </w:rPr>
      </w:pPr>
      <w:r>
        <w:rPr>
          <w:rFonts w:hint="eastAsia" w:cs="宋体"/>
          <w:color w:val="auto"/>
          <w:sz w:val="21"/>
          <w:szCs w:val="21"/>
          <w:highlight w:val="none"/>
        </w:rPr>
        <w:t>（3）建立健全安全生产责任制。从派往项目实施的项目经理到生产工人（包括临时雇请的民工）的安全生产管理系统必须做到纵向到底，—环不漏；各职能部门、人员的安全生产责任制做到横向到边，人人有责。项目经理是安全生产的第一责任人。现场设置的安全机构，应按《建设工程安全生产管理条例》及有关规定的配备专职安全生产管理人员，专职负责所有员工的安全和治安保卫工作及预防事故的发生。安全机构人员有权按有关规定发布指令，并采取保护性措施防止事故发生。</w:t>
      </w:r>
    </w:p>
    <w:p w14:paraId="07113C5F">
      <w:pPr>
        <w:spacing w:line="360" w:lineRule="auto"/>
        <w:ind w:firstLine="420" w:firstLineChars="200"/>
        <w:rPr>
          <w:rFonts w:cs="宋体"/>
          <w:color w:val="auto"/>
          <w:sz w:val="21"/>
          <w:szCs w:val="21"/>
          <w:highlight w:val="none"/>
        </w:rPr>
      </w:pPr>
      <w:r>
        <w:rPr>
          <w:rFonts w:hint="eastAsia" w:cs="宋体"/>
          <w:color w:val="auto"/>
          <w:sz w:val="21"/>
          <w:szCs w:val="21"/>
          <w:highlight w:val="none"/>
        </w:rPr>
        <w:t>（4）承包人在任何时候都应采取各种合理的预防措施，防止其员工发生任何违法、违禁、暴力或妨碍治安的行为。</w:t>
      </w:r>
    </w:p>
    <w:p w14:paraId="1D8F1189">
      <w:pPr>
        <w:spacing w:line="360" w:lineRule="auto"/>
        <w:ind w:firstLine="420" w:firstLineChars="200"/>
        <w:rPr>
          <w:rFonts w:cs="宋体"/>
          <w:color w:val="auto"/>
          <w:sz w:val="21"/>
          <w:szCs w:val="21"/>
          <w:highlight w:val="none"/>
        </w:rPr>
      </w:pPr>
      <w:r>
        <w:rPr>
          <w:rFonts w:hint="eastAsia" w:cs="宋体"/>
          <w:color w:val="auto"/>
          <w:sz w:val="21"/>
          <w:szCs w:val="21"/>
          <w:highlight w:val="none"/>
        </w:rPr>
        <w:t>（5）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0FEFD754">
      <w:pPr>
        <w:spacing w:line="360" w:lineRule="auto"/>
        <w:ind w:firstLine="420" w:firstLineChars="200"/>
        <w:rPr>
          <w:rFonts w:cs="宋体"/>
          <w:color w:val="auto"/>
          <w:sz w:val="21"/>
          <w:szCs w:val="21"/>
          <w:highlight w:val="none"/>
        </w:rPr>
      </w:pPr>
      <w:r>
        <w:rPr>
          <w:rFonts w:hint="eastAsia" w:cs="宋体"/>
          <w:color w:val="auto"/>
          <w:sz w:val="21"/>
          <w:szCs w:val="21"/>
          <w:highlight w:val="none"/>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14:paraId="422AEACF">
      <w:pPr>
        <w:spacing w:line="360" w:lineRule="auto"/>
        <w:ind w:firstLine="420" w:firstLineChars="200"/>
        <w:rPr>
          <w:rFonts w:cs="宋体"/>
          <w:color w:val="auto"/>
          <w:sz w:val="21"/>
          <w:szCs w:val="21"/>
          <w:highlight w:val="none"/>
        </w:rPr>
      </w:pPr>
      <w:r>
        <w:rPr>
          <w:rFonts w:hint="eastAsia" w:cs="宋体"/>
          <w:color w:val="auto"/>
          <w:sz w:val="21"/>
          <w:szCs w:val="21"/>
          <w:highlight w:val="none"/>
        </w:rPr>
        <w:t>（7）操作人员上岗，必须按规定穿戴防护用品。施工负责人和安全检查员应随时检查劳动防护用品的穿戴情况，不按规定穿戴防护用品的人员不得上岗。</w:t>
      </w:r>
    </w:p>
    <w:p w14:paraId="166EAB45">
      <w:pPr>
        <w:spacing w:line="360" w:lineRule="auto"/>
        <w:ind w:firstLine="420" w:firstLineChars="200"/>
        <w:rPr>
          <w:rFonts w:cs="宋体"/>
          <w:color w:val="auto"/>
          <w:sz w:val="21"/>
          <w:szCs w:val="21"/>
          <w:highlight w:val="none"/>
        </w:rPr>
      </w:pPr>
      <w:r>
        <w:rPr>
          <w:rFonts w:hint="eastAsia" w:cs="宋体"/>
          <w:color w:val="auto"/>
          <w:sz w:val="21"/>
          <w:szCs w:val="21"/>
          <w:highlight w:val="none"/>
        </w:rPr>
        <w:t>（8）所有施工机具设备和高空作业的设备均应定期检查，并有安全员的签字记录，保证其经常处于完好状态；不合格的机具、设备和劳动保护用品严禁使用：</w:t>
      </w:r>
    </w:p>
    <w:p w14:paraId="44EADDB1">
      <w:pPr>
        <w:spacing w:line="360" w:lineRule="auto"/>
        <w:ind w:firstLine="420" w:firstLineChars="200"/>
        <w:rPr>
          <w:rFonts w:cs="宋体"/>
          <w:color w:val="auto"/>
          <w:sz w:val="21"/>
          <w:szCs w:val="21"/>
          <w:highlight w:val="none"/>
        </w:rPr>
      </w:pPr>
      <w:r>
        <w:rPr>
          <w:rFonts w:hint="eastAsia" w:cs="宋体"/>
          <w:color w:val="auto"/>
          <w:sz w:val="21"/>
          <w:szCs w:val="21"/>
          <w:highlight w:val="none"/>
        </w:rPr>
        <w:t>（9）施工中采用新技术、新工艺、新设备、新材料时，必须制定相应的安全技术措施，施工现场必须具有相关的安全标志牌。</w:t>
      </w:r>
    </w:p>
    <w:p w14:paraId="0B0FB979">
      <w:pPr>
        <w:spacing w:line="360" w:lineRule="auto"/>
        <w:ind w:firstLine="420" w:firstLineChars="200"/>
        <w:rPr>
          <w:rFonts w:cs="宋体"/>
          <w:color w:val="auto"/>
          <w:sz w:val="21"/>
          <w:szCs w:val="21"/>
          <w:highlight w:val="none"/>
        </w:rPr>
      </w:pPr>
      <w:r>
        <w:rPr>
          <w:rFonts w:hint="eastAsia" w:cs="宋体"/>
          <w:color w:val="auto"/>
          <w:sz w:val="21"/>
          <w:szCs w:val="21"/>
          <w:highlight w:val="none"/>
        </w:rPr>
        <w:t>（10）承包人必须按照本工程项目特点，组织制定本工程实施中的生产安全事故应急救援预案；如果发生安全事故，应按照《国务院关于特大安全事故行政责任追究的规定》以及其他有关规定，及时上报有关部门，并坚持“四不放过”的原则．严肃处理相关责任人。</w:t>
      </w:r>
    </w:p>
    <w:p w14:paraId="505AF999">
      <w:pPr>
        <w:spacing w:line="360" w:lineRule="auto"/>
        <w:ind w:firstLine="420" w:firstLineChars="200"/>
        <w:rPr>
          <w:rFonts w:cs="宋体"/>
          <w:color w:val="auto"/>
          <w:sz w:val="21"/>
          <w:szCs w:val="21"/>
          <w:highlight w:val="none"/>
        </w:rPr>
      </w:pPr>
      <w:r>
        <w:rPr>
          <w:rFonts w:hint="eastAsia" w:cs="宋体"/>
          <w:color w:val="auto"/>
          <w:sz w:val="21"/>
          <w:szCs w:val="21"/>
          <w:highlight w:val="none"/>
        </w:rPr>
        <w:t>（11）安全生产费用按照《建设工程安全生产管理条例》的相关规定使用和管理。</w:t>
      </w:r>
    </w:p>
    <w:p w14:paraId="6839B957">
      <w:pPr>
        <w:spacing w:line="360" w:lineRule="auto"/>
        <w:ind w:firstLine="420" w:firstLineChars="200"/>
        <w:rPr>
          <w:rFonts w:cs="宋体"/>
          <w:color w:val="auto"/>
          <w:sz w:val="21"/>
          <w:szCs w:val="21"/>
          <w:highlight w:val="none"/>
        </w:rPr>
      </w:pPr>
      <w:r>
        <w:rPr>
          <w:rFonts w:hint="eastAsia" w:cs="宋体"/>
          <w:color w:val="auto"/>
          <w:sz w:val="21"/>
          <w:szCs w:val="21"/>
          <w:highlight w:val="none"/>
        </w:rPr>
        <w:t>3.违约责任</w:t>
      </w:r>
    </w:p>
    <w:p w14:paraId="5B614D5C">
      <w:pPr>
        <w:spacing w:line="360" w:lineRule="auto"/>
        <w:ind w:firstLine="420" w:firstLineChars="200"/>
        <w:rPr>
          <w:rFonts w:cs="宋体"/>
          <w:color w:val="auto"/>
          <w:sz w:val="21"/>
          <w:szCs w:val="21"/>
          <w:highlight w:val="none"/>
        </w:rPr>
      </w:pPr>
      <w:r>
        <w:rPr>
          <w:rFonts w:hint="eastAsia" w:cs="宋体"/>
          <w:color w:val="auto"/>
          <w:sz w:val="21"/>
          <w:szCs w:val="21"/>
          <w:highlight w:val="none"/>
        </w:rPr>
        <w:t>如因发包人或承包人违约造成安全事故，将依法追究责任。</w:t>
      </w:r>
    </w:p>
    <w:p w14:paraId="53DBE7D1">
      <w:pPr>
        <w:spacing w:line="360" w:lineRule="auto"/>
        <w:ind w:firstLine="420" w:firstLineChars="200"/>
        <w:rPr>
          <w:rFonts w:cs="宋体"/>
          <w:color w:val="auto"/>
          <w:sz w:val="21"/>
          <w:szCs w:val="21"/>
          <w:highlight w:val="none"/>
        </w:rPr>
      </w:pPr>
      <w:r>
        <w:rPr>
          <w:rFonts w:hint="eastAsia" w:cs="宋体"/>
          <w:color w:val="auto"/>
          <w:sz w:val="21"/>
          <w:szCs w:val="21"/>
          <w:highlight w:val="none"/>
        </w:rPr>
        <w:t>4.本合同由双方法定代表人或其授权的代理人签署并加盖单位章后生效，全部工程竣工验收后失效。</w:t>
      </w:r>
    </w:p>
    <w:p w14:paraId="16C5B290">
      <w:pPr>
        <w:spacing w:line="360" w:lineRule="auto"/>
        <w:ind w:firstLine="420" w:firstLineChars="200"/>
        <w:rPr>
          <w:rFonts w:cs="宋体"/>
          <w:color w:val="auto"/>
          <w:sz w:val="21"/>
          <w:szCs w:val="21"/>
          <w:highlight w:val="none"/>
        </w:rPr>
      </w:pPr>
      <w:r>
        <w:rPr>
          <w:rFonts w:hint="eastAsia" w:cs="宋体"/>
          <w:color w:val="auto"/>
          <w:sz w:val="21"/>
          <w:szCs w:val="21"/>
          <w:highlight w:val="none"/>
        </w:rPr>
        <w:t>5.本合同正本—式</w:t>
      </w:r>
      <w:r>
        <w:rPr>
          <w:rFonts w:hint="eastAsia" w:cs="宋体"/>
          <w:color w:val="auto"/>
          <w:sz w:val="21"/>
          <w:szCs w:val="21"/>
          <w:highlight w:val="none"/>
          <w:u w:val="single"/>
        </w:rPr>
        <w:t xml:space="preserve">   </w:t>
      </w:r>
      <w:r>
        <w:rPr>
          <w:rFonts w:hint="eastAsia" w:cs="宋体"/>
          <w:color w:val="auto"/>
          <w:sz w:val="21"/>
          <w:szCs w:val="21"/>
          <w:highlight w:val="none"/>
        </w:rPr>
        <w:t>份，副本</w:t>
      </w:r>
      <w:r>
        <w:rPr>
          <w:rFonts w:hint="eastAsia" w:cs="宋体"/>
          <w:color w:val="auto"/>
          <w:sz w:val="21"/>
          <w:szCs w:val="21"/>
          <w:highlight w:val="none"/>
          <w:u w:val="single"/>
        </w:rPr>
        <w:t xml:space="preserve">  </w:t>
      </w:r>
      <w:r>
        <w:rPr>
          <w:rFonts w:hint="eastAsia" w:cs="宋体"/>
          <w:color w:val="auto"/>
          <w:sz w:val="21"/>
          <w:szCs w:val="21"/>
          <w:highlight w:val="none"/>
        </w:rPr>
        <w:t>份，合同双方各执正本—份，副本</w:t>
      </w:r>
      <w:r>
        <w:rPr>
          <w:rFonts w:hint="eastAsia" w:cs="宋体"/>
          <w:color w:val="auto"/>
          <w:sz w:val="21"/>
          <w:szCs w:val="21"/>
          <w:highlight w:val="none"/>
          <w:u w:val="single"/>
        </w:rPr>
        <w:t xml:space="preserve">  </w:t>
      </w:r>
      <w:r>
        <w:rPr>
          <w:rFonts w:hint="eastAsia" w:cs="宋体"/>
          <w:color w:val="auto"/>
          <w:sz w:val="21"/>
          <w:szCs w:val="21"/>
          <w:highlight w:val="none"/>
        </w:rPr>
        <w:t>份，当正本与副本的内容不一致时，以正本为准。</w:t>
      </w:r>
    </w:p>
    <w:p w14:paraId="72E7CF31">
      <w:pPr>
        <w:spacing w:line="360" w:lineRule="auto"/>
        <w:rPr>
          <w:rFonts w:cs="宋体"/>
          <w:color w:val="auto"/>
          <w:sz w:val="21"/>
          <w:szCs w:val="21"/>
          <w:highlight w:val="none"/>
        </w:rPr>
      </w:pPr>
    </w:p>
    <w:p w14:paraId="1426C303">
      <w:pPr>
        <w:spacing w:line="360" w:lineRule="auto"/>
        <w:rPr>
          <w:rFonts w:cs="宋体"/>
          <w:color w:val="auto"/>
          <w:sz w:val="21"/>
          <w:szCs w:val="21"/>
          <w:highlight w:val="none"/>
        </w:rPr>
      </w:pPr>
    </w:p>
    <w:p w14:paraId="34D89FB6">
      <w:pPr>
        <w:spacing w:line="360" w:lineRule="auto"/>
        <w:rPr>
          <w:rFonts w:cs="宋体"/>
          <w:color w:val="auto"/>
          <w:sz w:val="21"/>
          <w:szCs w:val="21"/>
          <w:highlight w:val="none"/>
        </w:rPr>
      </w:pPr>
      <w:r>
        <w:rPr>
          <w:rFonts w:hint="eastAsia" w:cs="宋体"/>
          <w:color w:val="auto"/>
          <w:sz w:val="21"/>
          <w:szCs w:val="21"/>
          <w:highlight w:val="none"/>
        </w:rPr>
        <w:t>发包人：</w:t>
      </w:r>
      <w:r>
        <w:rPr>
          <w:rFonts w:hint="eastAsia" w:cs="宋体"/>
          <w:color w:val="auto"/>
          <w:sz w:val="21"/>
          <w:szCs w:val="21"/>
          <w:highlight w:val="none"/>
          <w:u w:val="single"/>
        </w:rPr>
        <w:t xml:space="preserve">            </w:t>
      </w:r>
      <w:r>
        <w:rPr>
          <w:rFonts w:hint="eastAsia" w:cs="宋体"/>
          <w:color w:val="auto"/>
          <w:sz w:val="21"/>
          <w:szCs w:val="21"/>
          <w:highlight w:val="none"/>
        </w:rPr>
        <w:t>（盖单位章）          承包人：</w:t>
      </w:r>
      <w:r>
        <w:rPr>
          <w:rFonts w:hint="eastAsia" w:cs="宋体"/>
          <w:color w:val="auto"/>
          <w:sz w:val="21"/>
          <w:szCs w:val="21"/>
          <w:highlight w:val="none"/>
          <w:u w:val="single"/>
        </w:rPr>
        <w:t xml:space="preserve">        </w:t>
      </w:r>
      <w:r>
        <w:rPr>
          <w:rFonts w:hint="eastAsia" w:cs="宋体"/>
          <w:color w:val="auto"/>
          <w:sz w:val="21"/>
          <w:szCs w:val="21"/>
          <w:highlight w:val="none"/>
        </w:rPr>
        <w:t>（盖单位章）</w:t>
      </w:r>
    </w:p>
    <w:p w14:paraId="1D9BC624">
      <w:pPr>
        <w:spacing w:line="360" w:lineRule="auto"/>
        <w:rPr>
          <w:rFonts w:cs="宋体"/>
          <w:color w:val="auto"/>
          <w:sz w:val="21"/>
          <w:szCs w:val="21"/>
          <w:highlight w:val="none"/>
        </w:rPr>
      </w:pPr>
    </w:p>
    <w:p w14:paraId="162AD399">
      <w:pPr>
        <w:spacing w:line="360" w:lineRule="auto"/>
        <w:rPr>
          <w:rFonts w:cs="宋体"/>
          <w:color w:val="auto"/>
          <w:sz w:val="21"/>
          <w:szCs w:val="21"/>
          <w:highlight w:val="none"/>
        </w:rPr>
      </w:pPr>
      <w:r>
        <w:rPr>
          <w:rFonts w:hint="eastAsia" w:cs="宋体"/>
          <w:color w:val="auto"/>
          <w:sz w:val="21"/>
          <w:szCs w:val="21"/>
          <w:highlight w:val="none"/>
        </w:rPr>
        <w:t>法定代表人或其委托代理人：</w:t>
      </w:r>
      <w:r>
        <w:rPr>
          <w:rFonts w:hint="eastAsia" w:cs="宋体"/>
          <w:color w:val="auto"/>
          <w:sz w:val="21"/>
          <w:szCs w:val="21"/>
          <w:highlight w:val="none"/>
          <w:u w:val="single"/>
        </w:rPr>
        <w:t xml:space="preserve">  </w:t>
      </w:r>
      <w:r>
        <w:rPr>
          <w:rFonts w:hint="eastAsia" w:cs="宋体"/>
          <w:color w:val="auto"/>
          <w:sz w:val="21"/>
          <w:szCs w:val="21"/>
          <w:highlight w:val="none"/>
        </w:rPr>
        <w:t>（签字）     法定代表人或其委托代理人：</w:t>
      </w:r>
      <w:r>
        <w:rPr>
          <w:rFonts w:hint="eastAsia" w:cs="宋体"/>
          <w:color w:val="auto"/>
          <w:sz w:val="21"/>
          <w:szCs w:val="21"/>
          <w:highlight w:val="none"/>
          <w:u w:val="single"/>
        </w:rPr>
        <w:t xml:space="preserve">   </w:t>
      </w:r>
      <w:r>
        <w:rPr>
          <w:rFonts w:hint="eastAsia" w:cs="宋体"/>
          <w:color w:val="auto"/>
          <w:sz w:val="21"/>
          <w:szCs w:val="21"/>
          <w:highlight w:val="none"/>
        </w:rPr>
        <w:t>（签字）</w:t>
      </w:r>
    </w:p>
    <w:p w14:paraId="266BC7F2">
      <w:pPr>
        <w:spacing w:line="360" w:lineRule="auto"/>
        <w:rPr>
          <w:rFonts w:cs="宋体"/>
          <w:color w:val="auto"/>
          <w:sz w:val="21"/>
          <w:szCs w:val="21"/>
          <w:highlight w:val="none"/>
        </w:rPr>
      </w:pPr>
    </w:p>
    <w:p w14:paraId="30796BA0">
      <w:pPr>
        <w:spacing w:line="360" w:lineRule="auto"/>
        <w:ind w:firstLine="840"/>
        <w:rPr>
          <w:rFonts w:cs="宋体"/>
          <w:color w:val="auto"/>
          <w:sz w:val="21"/>
          <w:szCs w:val="21"/>
          <w:highlight w:val="none"/>
        </w:rPr>
      </w:pPr>
      <w:r>
        <w:rPr>
          <w:rFonts w:hint="eastAsia" w:cs="宋体"/>
          <w:color w:val="auto"/>
          <w:sz w:val="21"/>
          <w:szCs w:val="21"/>
          <w:highlight w:val="none"/>
          <w:u w:val="single"/>
        </w:rPr>
        <w:t xml:space="preserve">      </w:t>
      </w:r>
      <w:r>
        <w:rPr>
          <w:rFonts w:hint="eastAsia" w:cs="宋体"/>
          <w:color w:val="auto"/>
          <w:sz w:val="21"/>
          <w:szCs w:val="21"/>
          <w:highlight w:val="none"/>
        </w:rPr>
        <w:t>年</w:t>
      </w:r>
      <w:r>
        <w:rPr>
          <w:rFonts w:hint="eastAsia" w:cs="宋体"/>
          <w:color w:val="auto"/>
          <w:sz w:val="21"/>
          <w:szCs w:val="21"/>
          <w:highlight w:val="none"/>
          <w:u w:val="single"/>
        </w:rPr>
        <w:t xml:space="preserve">    </w:t>
      </w:r>
      <w:r>
        <w:rPr>
          <w:rFonts w:hint="eastAsia" w:cs="宋体"/>
          <w:color w:val="auto"/>
          <w:sz w:val="21"/>
          <w:szCs w:val="21"/>
          <w:highlight w:val="none"/>
        </w:rPr>
        <w:t>月</w:t>
      </w:r>
      <w:r>
        <w:rPr>
          <w:rFonts w:hint="eastAsia" w:cs="宋体"/>
          <w:color w:val="auto"/>
          <w:sz w:val="21"/>
          <w:szCs w:val="21"/>
          <w:highlight w:val="none"/>
          <w:u w:val="single"/>
        </w:rPr>
        <w:t xml:space="preserve">    </w:t>
      </w:r>
      <w:r>
        <w:rPr>
          <w:rFonts w:hint="eastAsia" w:cs="宋体"/>
          <w:color w:val="auto"/>
          <w:sz w:val="21"/>
          <w:szCs w:val="21"/>
          <w:highlight w:val="none"/>
        </w:rPr>
        <w:t xml:space="preserve">日                </w:t>
      </w:r>
      <w:r>
        <w:rPr>
          <w:rFonts w:hint="eastAsia" w:cs="宋体"/>
          <w:color w:val="auto"/>
          <w:sz w:val="21"/>
          <w:szCs w:val="21"/>
          <w:highlight w:val="none"/>
          <w:u w:val="single"/>
        </w:rPr>
        <w:t xml:space="preserve">      </w:t>
      </w:r>
      <w:r>
        <w:rPr>
          <w:rFonts w:hint="eastAsia" w:cs="宋体"/>
          <w:color w:val="auto"/>
          <w:sz w:val="21"/>
          <w:szCs w:val="21"/>
          <w:highlight w:val="none"/>
        </w:rPr>
        <w:t>年</w:t>
      </w:r>
      <w:r>
        <w:rPr>
          <w:rFonts w:hint="eastAsia" w:cs="宋体"/>
          <w:color w:val="auto"/>
          <w:sz w:val="21"/>
          <w:szCs w:val="21"/>
          <w:highlight w:val="none"/>
          <w:u w:val="single"/>
        </w:rPr>
        <w:t xml:space="preserve">    </w:t>
      </w:r>
      <w:r>
        <w:rPr>
          <w:rFonts w:hint="eastAsia" w:cs="宋体"/>
          <w:color w:val="auto"/>
          <w:sz w:val="21"/>
          <w:szCs w:val="21"/>
          <w:highlight w:val="none"/>
        </w:rPr>
        <w:t>月</w:t>
      </w:r>
      <w:r>
        <w:rPr>
          <w:rFonts w:hint="eastAsia" w:cs="宋体"/>
          <w:color w:val="auto"/>
          <w:sz w:val="21"/>
          <w:szCs w:val="21"/>
          <w:highlight w:val="none"/>
          <w:u w:val="single"/>
        </w:rPr>
        <w:t xml:space="preserve">    </w:t>
      </w:r>
      <w:r>
        <w:rPr>
          <w:rFonts w:hint="eastAsia" w:cs="宋体"/>
          <w:color w:val="auto"/>
          <w:sz w:val="21"/>
          <w:szCs w:val="21"/>
          <w:highlight w:val="none"/>
        </w:rPr>
        <w:t>日</w:t>
      </w:r>
    </w:p>
    <w:p w14:paraId="67D3DAD0">
      <w:pPr>
        <w:spacing w:before="312" w:beforeLines="100" w:after="312" w:afterLines="100"/>
        <w:outlineLvl w:val="2"/>
        <w:rPr>
          <w:rFonts w:ascii="Times New Roman" w:eastAsia="黑体"/>
          <w:color w:val="auto"/>
          <w:szCs w:val="24"/>
          <w:highlight w:val="none"/>
        </w:rPr>
      </w:pPr>
      <w:r>
        <w:rPr>
          <w:rFonts w:hint="eastAsia" w:cs="宋体"/>
          <w:bCs/>
          <w:color w:val="auto"/>
          <w:kern w:val="44"/>
          <w:sz w:val="21"/>
          <w:szCs w:val="21"/>
          <w:highlight w:val="none"/>
        </w:rPr>
        <w:br w:type="page"/>
      </w:r>
      <w:bookmarkStart w:id="645" w:name="_Toc128950249"/>
      <w:r>
        <w:rPr>
          <w:rFonts w:hint="eastAsia" w:ascii="Times New Roman" w:eastAsia="黑体"/>
          <w:color w:val="auto"/>
          <w:szCs w:val="24"/>
          <w:highlight w:val="none"/>
        </w:rPr>
        <w:t>附件14：项目经理质量终身责任制承诺</w:t>
      </w:r>
      <w:bookmarkEnd w:id="645"/>
    </w:p>
    <w:p w14:paraId="2A150165">
      <w:pPr>
        <w:spacing w:before="156" w:beforeLines="50" w:after="156" w:afterLines="50" w:line="360" w:lineRule="auto"/>
        <w:jc w:val="center"/>
        <w:rPr>
          <w:rFonts w:cs="宋体"/>
          <w:b/>
          <w:color w:val="auto"/>
          <w:sz w:val="32"/>
          <w:szCs w:val="32"/>
          <w:highlight w:val="none"/>
        </w:rPr>
      </w:pPr>
      <w:bookmarkStart w:id="646" w:name="_Toc14540"/>
      <w:bookmarkStart w:id="647" w:name="_Toc128950250"/>
      <w:bookmarkStart w:id="648" w:name="_Toc19417"/>
      <w:r>
        <w:rPr>
          <w:rFonts w:hint="eastAsia" w:cs="宋体"/>
          <w:b/>
          <w:color w:val="auto"/>
          <w:sz w:val="32"/>
          <w:szCs w:val="32"/>
          <w:highlight w:val="none"/>
        </w:rPr>
        <w:t>项目经理质量终身责任制承诺</w:t>
      </w:r>
      <w:bookmarkEnd w:id="646"/>
      <w:bookmarkEnd w:id="647"/>
      <w:bookmarkEnd w:id="648"/>
    </w:p>
    <w:p w14:paraId="2218CB91">
      <w:pPr>
        <w:spacing w:line="360" w:lineRule="auto"/>
        <w:rPr>
          <w:rFonts w:cs="宋体"/>
          <w:bCs/>
          <w:color w:val="auto"/>
          <w:sz w:val="21"/>
          <w:szCs w:val="21"/>
          <w:highlight w:val="none"/>
        </w:rPr>
      </w:pPr>
      <w:r>
        <w:rPr>
          <w:rFonts w:hint="eastAsia" w:cs="宋体"/>
          <w:bCs/>
          <w:color w:val="auto"/>
          <w:sz w:val="21"/>
          <w:szCs w:val="21"/>
          <w:highlight w:val="none"/>
        </w:rPr>
        <w:t>致：</w:t>
      </w:r>
      <w:r>
        <w:rPr>
          <w:rFonts w:hint="eastAsia" w:cs="宋体"/>
          <w:bCs/>
          <w:color w:val="auto"/>
          <w:sz w:val="21"/>
          <w:szCs w:val="21"/>
          <w:highlight w:val="none"/>
          <w:u w:val="single"/>
        </w:rPr>
        <w:t>（采购人）</w:t>
      </w:r>
    </w:p>
    <w:p w14:paraId="00EE26E5">
      <w:pPr>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本人作为施工项目经理，承担相关质量终身责任，现郑重承诺如下：</w:t>
      </w:r>
    </w:p>
    <w:p w14:paraId="16682F41">
      <w:pPr>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一、在取得施工许可证后进行施工。</w:t>
      </w:r>
    </w:p>
    <w:p w14:paraId="01A8DD76">
      <w:pPr>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二、严格执行施工规范及标准。</w:t>
      </w:r>
    </w:p>
    <w:p w14:paraId="7C869E03">
      <w:pPr>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三、严格按规定配备施工项目部关键岗位人员，并确保所有人员到岗履职。</w:t>
      </w:r>
    </w:p>
    <w:p w14:paraId="4298B5AC">
      <w:pPr>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四、严格按照经施工图审查机构审查合格的工程设计文件及合同约定的质量标准精心组织施工。</w:t>
      </w:r>
    </w:p>
    <w:p w14:paraId="0F3B16D0">
      <w:pPr>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五、施工中采用合格的建筑材料、建筑构配件和设备等，并严格按规定执行见证取样制度。</w:t>
      </w:r>
    </w:p>
    <w:p w14:paraId="63E90FE2">
      <w:pPr>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六、建立、健全质量检查、验收制度，严格工序管理，做好隐蔽工程质量的检查和记录。</w:t>
      </w:r>
    </w:p>
    <w:p w14:paraId="43B75DD4">
      <w:pPr>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七、对施工中出现的质量问题，及时进行整改。严格依法依规履行义务。</w:t>
      </w:r>
    </w:p>
    <w:p w14:paraId="48E8D2CD">
      <w:pPr>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八、履行相关工程质量检查、验收及事故处理等职责。</w:t>
      </w:r>
    </w:p>
    <w:p w14:paraId="4C7FCE79">
      <w:pPr>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九、履行其他法律法规规定的职责。</w:t>
      </w:r>
    </w:p>
    <w:p w14:paraId="3D83A09B">
      <w:pPr>
        <w:spacing w:line="360" w:lineRule="auto"/>
        <w:ind w:left="342" w:leftChars="171" w:firstLine="630" w:firstLineChars="300"/>
        <w:rPr>
          <w:rFonts w:cs="宋体"/>
          <w:bCs/>
          <w:color w:val="auto"/>
          <w:sz w:val="21"/>
          <w:szCs w:val="21"/>
          <w:highlight w:val="none"/>
        </w:rPr>
      </w:pPr>
    </w:p>
    <w:p w14:paraId="1FC75A75">
      <w:pPr>
        <w:spacing w:line="360" w:lineRule="auto"/>
        <w:ind w:left="342" w:leftChars="171" w:firstLine="630" w:firstLineChars="300"/>
        <w:rPr>
          <w:rFonts w:cs="宋体"/>
          <w:bCs/>
          <w:color w:val="auto"/>
          <w:sz w:val="21"/>
          <w:szCs w:val="21"/>
          <w:highlight w:val="none"/>
        </w:rPr>
      </w:pPr>
    </w:p>
    <w:p w14:paraId="1FA60359">
      <w:pPr>
        <w:spacing w:line="360" w:lineRule="auto"/>
        <w:ind w:left="342" w:leftChars="171" w:firstLine="630" w:firstLineChars="300"/>
        <w:rPr>
          <w:rFonts w:cs="宋体"/>
          <w:bCs/>
          <w:color w:val="auto"/>
          <w:sz w:val="21"/>
          <w:szCs w:val="21"/>
          <w:highlight w:val="none"/>
        </w:rPr>
      </w:pPr>
      <w:r>
        <w:rPr>
          <w:rFonts w:hint="eastAsia" w:cs="宋体"/>
          <w:bCs/>
          <w:color w:val="auto"/>
          <w:sz w:val="21"/>
          <w:szCs w:val="21"/>
          <w:highlight w:val="none"/>
        </w:rPr>
        <w:t>项目经理：</w:t>
      </w:r>
      <w:r>
        <w:rPr>
          <w:rFonts w:hint="eastAsia" w:cs="宋体"/>
          <w:bCs/>
          <w:color w:val="auto"/>
          <w:sz w:val="21"/>
          <w:szCs w:val="21"/>
          <w:highlight w:val="none"/>
          <w:u w:val="single"/>
        </w:rPr>
        <w:t xml:space="preserve">                   </w:t>
      </w:r>
      <w:r>
        <w:rPr>
          <w:rFonts w:hint="eastAsia" w:cs="宋体"/>
          <w:bCs/>
          <w:color w:val="auto"/>
          <w:sz w:val="21"/>
          <w:szCs w:val="21"/>
          <w:highlight w:val="none"/>
        </w:rPr>
        <w:t>（签字）</w:t>
      </w:r>
    </w:p>
    <w:p w14:paraId="393C4540">
      <w:pPr>
        <w:spacing w:line="360" w:lineRule="auto"/>
        <w:ind w:left="342" w:leftChars="171" w:firstLine="630" w:firstLineChars="300"/>
        <w:rPr>
          <w:rFonts w:cs="宋体"/>
          <w:bCs/>
          <w:color w:val="auto"/>
          <w:sz w:val="21"/>
          <w:szCs w:val="21"/>
          <w:highlight w:val="none"/>
        </w:rPr>
      </w:pPr>
      <w:r>
        <w:rPr>
          <w:rFonts w:hint="eastAsia" w:cs="宋体"/>
          <w:bCs/>
          <w:color w:val="auto"/>
          <w:sz w:val="21"/>
          <w:szCs w:val="21"/>
          <w:highlight w:val="none"/>
        </w:rPr>
        <w:t>日期：_____年____月____日</w:t>
      </w:r>
    </w:p>
    <w:p w14:paraId="7293F7FE">
      <w:pPr>
        <w:pStyle w:val="19"/>
        <w:rPr>
          <w:rFonts w:ascii="宋体" w:hAnsi="宋体" w:eastAsia="宋体" w:cs="宋体"/>
          <w:bCs/>
          <w:color w:val="auto"/>
          <w:sz w:val="21"/>
          <w:szCs w:val="21"/>
          <w:highlight w:val="none"/>
        </w:rPr>
      </w:pPr>
    </w:p>
    <w:p w14:paraId="696DC3EE">
      <w:pPr>
        <w:widowControl/>
        <w:jc w:val="left"/>
        <w:rPr>
          <w:b/>
          <w:color w:val="auto"/>
          <w:sz w:val="24"/>
          <w:highlight w:val="none"/>
        </w:rPr>
      </w:pPr>
      <w:r>
        <w:rPr>
          <w:b/>
          <w:color w:val="auto"/>
          <w:sz w:val="24"/>
          <w:highlight w:val="none"/>
        </w:rPr>
        <w:br w:type="page"/>
      </w:r>
    </w:p>
    <w:p w14:paraId="203DF356">
      <w:pPr>
        <w:spacing w:line="360" w:lineRule="auto"/>
        <w:jc w:val="center"/>
        <w:outlineLvl w:val="0"/>
        <w:rPr>
          <w:rFonts w:asciiTheme="minorEastAsia" w:hAnsiTheme="minorEastAsia" w:eastAsiaTheme="minorEastAsia"/>
          <w:b/>
          <w:color w:val="auto"/>
          <w:sz w:val="28"/>
          <w:highlight w:val="none"/>
        </w:rPr>
      </w:pPr>
      <w:bookmarkStart w:id="649" w:name="_Toc16770"/>
      <w:r>
        <w:rPr>
          <w:rFonts w:hint="eastAsia" w:asciiTheme="minorEastAsia" w:hAnsiTheme="minorEastAsia" w:eastAsiaTheme="minorEastAsia"/>
          <w:b/>
          <w:color w:val="auto"/>
          <w:sz w:val="28"/>
          <w:highlight w:val="none"/>
        </w:rPr>
        <w:t>第六章  响应文件格式</w:t>
      </w:r>
      <w:bookmarkEnd w:id="649"/>
    </w:p>
    <w:p w14:paraId="2BBD57BB">
      <w:pPr>
        <w:spacing w:line="900" w:lineRule="exact"/>
        <w:jc w:val="center"/>
        <w:rPr>
          <w:rFonts w:asciiTheme="minorEastAsia" w:hAnsiTheme="minorEastAsia" w:eastAsiaTheme="minorEastAsia"/>
          <w:b/>
          <w:color w:val="auto"/>
          <w:sz w:val="72"/>
          <w:highlight w:val="none"/>
        </w:rPr>
      </w:pPr>
    </w:p>
    <w:p w14:paraId="5BF44E37">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响</w:t>
      </w:r>
    </w:p>
    <w:p w14:paraId="07FCDBBA">
      <w:pPr>
        <w:spacing w:line="900" w:lineRule="exact"/>
        <w:jc w:val="center"/>
        <w:rPr>
          <w:rFonts w:asciiTheme="minorEastAsia" w:hAnsiTheme="minorEastAsia" w:eastAsiaTheme="minorEastAsia"/>
          <w:b/>
          <w:color w:val="auto"/>
          <w:sz w:val="72"/>
          <w:highlight w:val="none"/>
        </w:rPr>
      </w:pPr>
    </w:p>
    <w:p w14:paraId="5B5327F1">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应</w:t>
      </w:r>
    </w:p>
    <w:p w14:paraId="06394EA8">
      <w:pPr>
        <w:spacing w:line="900" w:lineRule="exact"/>
        <w:jc w:val="center"/>
        <w:rPr>
          <w:rFonts w:asciiTheme="minorEastAsia" w:hAnsiTheme="minorEastAsia" w:eastAsiaTheme="minorEastAsia"/>
          <w:b/>
          <w:color w:val="auto"/>
          <w:sz w:val="72"/>
          <w:highlight w:val="none"/>
        </w:rPr>
      </w:pPr>
    </w:p>
    <w:p w14:paraId="2C0C76EC">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文</w:t>
      </w:r>
    </w:p>
    <w:p w14:paraId="1D86B8AF">
      <w:pPr>
        <w:spacing w:line="900" w:lineRule="exact"/>
        <w:jc w:val="center"/>
        <w:rPr>
          <w:rFonts w:asciiTheme="minorEastAsia" w:hAnsiTheme="minorEastAsia" w:eastAsiaTheme="minorEastAsia"/>
          <w:b/>
          <w:color w:val="auto"/>
          <w:sz w:val="72"/>
          <w:highlight w:val="none"/>
        </w:rPr>
      </w:pPr>
    </w:p>
    <w:p w14:paraId="38F6EDB9">
      <w:pPr>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件</w:t>
      </w:r>
    </w:p>
    <w:p w14:paraId="4E5EC245">
      <w:pPr>
        <w:spacing w:after="156" w:afterLines="50"/>
        <w:jc w:val="center"/>
        <w:rPr>
          <w:rFonts w:asciiTheme="minorEastAsia" w:hAnsiTheme="minorEastAsia" w:eastAsiaTheme="minorEastAsia"/>
          <w:b/>
          <w:color w:val="auto"/>
          <w:sz w:val="72"/>
          <w:highlight w:val="none"/>
        </w:rPr>
      </w:pPr>
    </w:p>
    <w:p w14:paraId="5C76CD03">
      <w:pPr>
        <w:spacing w:after="156" w:afterLines="50" w:line="500" w:lineRule="exact"/>
        <w:jc w:val="center"/>
        <w:rPr>
          <w:rFonts w:asciiTheme="minorEastAsia" w:hAnsiTheme="minorEastAsia" w:eastAsiaTheme="minorEastAsia"/>
          <w:b/>
          <w:color w:val="auto"/>
          <w:sz w:val="28"/>
          <w:szCs w:val="28"/>
          <w:highlight w:val="none"/>
        </w:rPr>
      </w:pPr>
    </w:p>
    <w:p w14:paraId="5A80BA63">
      <w:pPr>
        <w:tabs>
          <w:tab w:val="left" w:pos="2410"/>
        </w:tabs>
        <w:autoSpaceDE w:val="0"/>
        <w:autoSpaceDN w:val="0"/>
        <w:adjustRightInd w:val="0"/>
        <w:snapToGrid w:val="0"/>
        <w:spacing w:line="360" w:lineRule="auto"/>
        <w:ind w:firstLine="1606" w:firstLineChars="5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12525BBD">
      <w:pPr>
        <w:tabs>
          <w:tab w:val="left" w:pos="2410"/>
        </w:tabs>
        <w:autoSpaceDE w:val="0"/>
        <w:autoSpaceDN w:val="0"/>
        <w:adjustRightInd w:val="0"/>
        <w:snapToGrid w:val="0"/>
        <w:spacing w:line="360" w:lineRule="auto"/>
        <w:ind w:firstLine="1606" w:firstLineChars="500"/>
        <w:jc w:val="both"/>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43E7C49E">
      <w:pPr>
        <w:tabs>
          <w:tab w:val="left" w:pos="2410"/>
        </w:tabs>
        <w:autoSpaceDE w:val="0"/>
        <w:autoSpaceDN w:val="0"/>
        <w:adjustRightInd w:val="0"/>
        <w:snapToGrid w:val="0"/>
        <w:spacing w:line="360" w:lineRule="auto"/>
        <w:ind w:firstLine="1606" w:firstLineChars="500"/>
        <w:jc w:val="both"/>
        <w:outlineLvl w:val="9"/>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lang w:val="en-US" w:eastAsia="zh-CN"/>
        </w:rPr>
        <w:t>供 应 商</w:t>
      </w:r>
      <w:r>
        <w:rPr>
          <w:rFonts w:hint="eastAsia" w:asciiTheme="minorEastAsia" w:hAnsiTheme="minorEastAsia" w:eastAsiaTheme="minorEastAsia"/>
          <w:b/>
          <w:color w:val="auto"/>
          <w:sz w:val="32"/>
          <w:highlight w:val="none"/>
        </w:rPr>
        <w:t>：</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1A336572">
      <w:pPr>
        <w:spacing w:after="156" w:afterLines="50" w:line="500" w:lineRule="exact"/>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650" w:name="_Toc27597"/>
      <w:bookmarkStart w:id="651" w:name="_Toc32582"/>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650"/>
      <w:bookmarkEnd w:id="651"/>
    </w:p>
    <w:p w14:paraId="17196DC4">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45748145">
      <w:pPr>
        <w:spacing w:line="360" w:lineRule="auto"/>
        <w:jc w:val="center"/>
        <w:outlineLvl w:val="1"/>
        <w:rPr>
          <w:rFonts w:asciiTheme="minorEastAsia" w:hAnsiTheme="minorEastAsia" w:eastAsiaTheme="minorEastAsia"/>
          <w:b/>
          <w:color w:val="auto"/>
          <w:sz w:val="24"/>
          <w:highlight w:val="none"/>
        </w:rPr>
      </w:pPr>
      <w:bookmarkStart w:id="652" w:name="_Toc461053086"/>
      <w:bookmarkStart w:id="653" w:name="_Toc461056631"/>
      <w:bookmarkStart w:id="654" w:name="_Toc17778"/>
      <w:bookmarkStart w:id="655" w:name="_Toc26877"/>
      <w:bookmarkStart w:id="656" w:name="_Toc520983587"/>
      <w:r>
        <w:rPr>
          <w:rFonts w:hint="eastAsia" w:asciiTheme="minorEastAsia" w:hAnsiTheme="minorEastAsia" w:eastAsiaTheme="minorEastAsia"/>
          <w:b/>
          <w:color w:val="auto"/>
          <w:sz w:val="24"/>
          <w:highlight w:val="none"/>
        </w:rPr>
        <w:t>一</w:t>
      </w:r>
      <w:bookmarkEnd w:id="652"/>
      <w:bookmarkEnd w:id="653"/>
      <w:r>
        <w:rPr>
          <w:rFonts w:hint="eastAsia" w:asciiTheme="minorEastAsia" w:hAnsiTheme="minorEastAsia" w:eastAsiaTheme="minorEastAsia"/>
          <w:b/>
          <w:color w:val="auto"/>
          <w:sz w:val="24"/>
          <w:highlight w:val="none"/>
        </w:rPr>
        <w:t>、报价表格式</w:t>
      </w:r>
      <w:bookmarkEnd w:id="654"/>
      <w:bookmarkEnd w:id="655"/>
      <w:bookmarkEnd w:id="656"/>
    </w:p>
    <w:p w14:paraId="1A4AAA46">
      <w:pPr>
        <w:spacing w:before="156" w:beforeLines="50" w:after="156" w:afterLines="50" w:line="360" w:lineRule="auto"/>
        <w:jc w:val="left"/>
        <w:outlineLvl w:val="2"/>
        <w:rPr>
          <w:rFonts w:cs="@仿宋_GB2312" w:asciiTheme="minorEastAsia" w:hAnsiTheme="minorEastAsia" w:eastAsiaTheme="minorEastAsia"/>
          <w:b/>
          <w:color w:val="auto"/>
          <w:kern w:val="2"/>
          <w:sz w:val="24"/>
          <w:szCs w:val="24"/>
          <w:highlight w:val="none"/>
        </w:rPr>
      </w:pPr>
      <w:r>
        <w:rPr>
          <w:rFonts w:hint="eastAsia" w:cs="@仿宋_GB2312" w:asciiTheme="minorEastAsia" w:hAnsiTheme="minorEastAsia" w:eastAsiaTheme="minorEastAsia"/>
          <w:b/>
          <w:color w:val="auto"/>
          <w:kern w:val="2"/>
          <w:sz w:val="24"/>
          <w:szCs w:val="24"/>
          <w:highlight w:val="none"/>
        </w:rPr>
        <w:t>1-1 报价表</w:t>
      </w:r>
    </w:p>
    <w:p w14:paraId="65691F4A">
      <w:pPr>
        <w:snapToGrid w:val="0"/>
        <w:spacing w:line="360" w:lineRule="auto"/>
        <w:jc w:val="left"/>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项目名称：</w:t>
      </w:r>
      <w:r>
        <w:rPr>
          <w:rFonts w:hint="eastAsia" w:cs="宋体" w:asciiTheme="minorEastAsia" w:hAnsiTheme="minorEastAsia" w:eastAsiaTheme="minorEastAsia"/>
          <w:b/>
          <w:color w:val="auto"/>
          <w:kern w:val="2"/>
          <w:sz w:val="24"/>
          <w:szCs w:val="24"/>
          <w:highlight w:val="none"/>
          <w:u w:val="single"/>
        </w:rPr>
        <w:t xml:space="preserve"> </w:t>
      </w:r>
      <w:r>
        <w:rPr>
          <w:rFonts w:hint="eastAsia" w:cs="宋体" w:asciiTheme="minorEastAsia" w:hAnsiTheme="minorEastAsia" w:eastAsiaTheme="minorEastAsia"/>
          <w:b/>
          <w:color w:val="auto"/>
          <w:kern w:val="2"/>
          <w:sz w:val="24"/>
          <w:szCs w:val="24"/>
          <w:highlight w:val="none"/>
          <w:u w:val="single"/>
          <w:lang w:val="en-US" w:eastAsia="zh-CN"/>
        </w:rPr>
        <w:t xml:space="preserve">   </w:t>
      </w:r>
      <w:r>
        <w:rPr>
          <w:rFonts w:hint="eastAsia" w:cs="宋体" w:asciiTheme="minorEastAsia" w:hAnsiTheme="minorEastAsia" w:eastAsiaTheme="minorEastAsia"/>
          <w:b/>
          <w:color w:val="auto"/>
          <w:kern w:val="2"/>
          <w:sz w:val="24"/>
          <w:szCs w:val="24"/>
          <w:highlight w:val="none"/>
          <w:u w:val="single"/>
        </w:rPr>
        <w:t xml:space="preserve">  </w:t>
      </w:r>
      <w:r>
        <w:rPr>
          <w:rFonts w:hint="eastAsia" w:cs="宋体" w:asciiTheme="minorEastAsia" w:hAnsiTheme="minorEastAsia" w:eastAsiaTheme="minorEastAsia"/>
          <w:b/>
          <w:color w:val="auto"/>
          <w:kern w:val="2"/>
          <w:sz w:val="24"/>
          <w:szCs w:val="24"/>
          <w:highlight w:val="none"/>
          <w:u w:val="single"/>
          <w:lang w:val="en-US" w:eastAsia="zh-CN"/>
        </w:rPr>
        <w:t xml:space="preserve"> </w:t>
      </w:r>
      <w:r>
        <w:rPr>
          <w:rFonts w:hint="eastAsia" w:cs="宋体" w:asciiTheme="minorEastAsia" w:hAnsiTheme="minorEastAsia" w:eastAsiaTheme="minorEastAsia"/>
          <w:b/>
          <w:color w:val="auto"/>
          <w:kern w:val="2"/>
          <w:sz w:val="24"/>
          <w:szCs w:val="24"/>
          <w:highlight w:val="none"/>
          <w:u w:val="single"/>
        </w:rPr>
        <w:t xml:space="preserve">  </w:t>
      </w:r>
    </w:p>
    <w:p w14:paraId="0294BFBF">
      <w:pPr>
        <w:snapToGrid w:val="0"/>
        <w:spacing w:after="156" w:afterLines="50" w:line="360" w:lineRule="auto"/>
        <w:jc w:val="left"/>
        <w:rPr>
          <w:rFonts w:cs="宋体" w:asciiTheme="minorEastAsia" w:hAnsiTheme="minorEastAsia" w:eastAsiaTheme="minorEastAsia"/>
          <w:b/>
          <w:bCs/>
          <w:color w:val="auto"/>
          <w:kern w:val="2"/>
          <w:sz w:val="24"/>
          <w:szCs w:val="24"/>
          <w:highlight w:val="none"/>
          <w:u w:val="single"/>
        </w:rPr>
      </w:pPr>
      <w:r>
        <w:rPr>
          <w:rFonts w:hint="eastAsia" w:cs="宋体" w:asciiTheme="minorEastAsia" w:hAnsiTheme="minorEastAsia" w:eastAsiaTheme="minorEastAsia"/>
          <w:b/>
          <w:color w:val="auto"/>
          <w:kern w:val="2"/>
          <w:sz w:val="24"/>
          <w:szCs w:val="24"/>
          <w:highlight w:val="none"/>
        </w:rPr>
        <w:t>项目编号：</w:t>
      </w:r>
      <w:r>
        <w:rPr>
          <w:rFonts w:hint="eastAsia" w:cs="宋体" w:asciiTheme="minorEastAsia" w:hAnsiTheme="minorEastAsia" w:eastAsiaTheme="minorEastAsia"/>
          <w:b/>
          <w:color w:val="auto"/>
          <w:kern w:val="2"/>
          <w:sz w:val="24"/>
          <w:szCs w:val="24"/>
          <w:highlight w:val="none"/>
          <w:u w:val="single"/>
        </w:rPr>
        <w:t xml:space="preserve"> </w:t>
      </w:r>
      <w:r>
        <w:rPr>
          <w:rFonts w:hint="eastAsia" w:cs="宋体" w:asciiTheme="minorEastAsia" w:hAnsiTheme="minorEastAsia" w:eastAsiaTheme="minorEastAsia"/>
          <w:b/>
          <w:color w:val="auto"/>
          <w:kern w:val="2"/>
          <w:sz w:val="24"/>
          <w:szCs w:val="24"/>
          <w:highlight w:val="none"/>
          <w:u w:val="single"/>
          <w:lang w:val="en-US" w:eastAsia="zh-CN"/>
        </w:rPr>
        <w:t xml:space="preserve">   </w:t>
      </w:r>
      <w:r>
        <w:rPr>
          <w:rFonts w:hint="eastAsia" w:cs="宋体" w:asciiTheme="minorEastAsia" w:hAnsiTheme="minorEastAsia" w:eastAsiaTheme="minorEastAsia"/>
          <w:b/>
          <w:color w:val="auto"/>
          <w:kern w:val="2"/>
          <w:sz w:val="24"/>
          <w:szCs w:val="24"/>
          <w:highlight w:val="none"/>
          <w:u w:val="single"/>
        </w:rPr>
        <w:t xml:space="preserve"> </w:t>
      </w:r>
      <w:r>
        <w:rPr>
          <w:rFonts w:hint="eastAsia" w:cs="宋体" w:asciiTheme="minorEastAsia" w:hAnsiTheme="minorEastAsia" w:eastAsiaTheme="minorEastAsia"/>
          <w:b/>
          <w:color w:val="auto"/>
          <w:kern w:val="2"/>
          <w:sz w:val="24"/>
          <w:szCs w:val="24"/>
          <w:highlight w:val="none"/>
          <w:u w:val="single"/>
          <w:lang w:val="en-US" w:eastAsia="zh-CN"/>
        </w:rPr>
        <w:t xml:space="preserve"> </w:t>
      </w:r>
      <w:r>
        <w:rPr>
          <w:rFonts w:hint="eastAsia" w:cs="宋体" w:asciiTheme="minorEastAsia" w:hAnsiTheme="minorEastAsia" w:eastAsiaTheme="minorEastAsia"/>
          <w:b/>
          <w:color w:val="auto"/>
          <w:kern w:val="2"/>
          <w:sz w:val="24"/>
          <w:szCs w:val="24"/>
          <w:highlight w:val="none"/>
          <w:u w:val="single"/>
        </w:rPr>
        <w:t xml:space="preserve">   </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4"/>
        <w:gridCol w:w="6220"/>
      </w:tblGrid>
      <w:tr w14:paraId="53423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18F3F4C4">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供应商名称</w:t>
            </w:r>
          </w:p>
        </w:tc>
        <w:tc>
          <w:tcPr>
            <w:tcW w:w="3557" w:type="pct"/>
            <w:tcBorders>
              <w:left w:val="single" w:color="auto" w:sz="4" w:space="0"/>
            </w:tcBorders>
          </w:tcPr>
          <w:p w14:paraId="43B23486">
            <w:pPr>
              <w:rPr>
                <w:rFonts w:cs="宋体" w:asciiTheme="minorEastAsia" w:hAnsiTheme="minorEastAsia" w:eastAsiaTheme="minorEastAsia"/>
                <w:b/>
                <w:color w:val="auto"/>
                <w:kern w:val="2"/>
                <w:sz w:val="24"/>
                <w:szCs w:val="24"/>
                <w:highlight w:val="none"/>
              </w:rPr>
            </w:pPr>
          </w:p>
        </w:tc>
      </w:tr>
      <w:tr w14:paraId="3B388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6C846408">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谈判</w:t>
            </w:r>
            <w:r>
              <w:rPr>
                <w:rFonts w:hint="eastAsia" w:cs="宋体" w:asciiTheme="minorEastAsia" w:hAnsiTheme="minorEastAsia" w:eastAsiaTheme="minorEastAsia"/>
                <w:b/>
                <w:color w:val="auto"/>
                <w:kern w:val="2"/>
                <w:sz w:val="24"/>
                <w:szCs w:val="24"/>
                <w:highlight w:val="none"/>
              </w:rPr>
              <w:t>范围</w:t>
            </w:r>
          </w:p>
        </w:tc>
        <w:tc>
          <w:tcPr>
            <w:tcW w:w="3557" w:type="pct"/>
            <w:tcBorders>
              <w:left w:val="single" w:color="auto" w:sz="4" w:space="0"/>
            </w:tcBorders>
            <w:vAlign w:val="center"/>
          </w:tcPr>
          <w:p w14:paraId="348E2286">
            <w:pPr>
              <w:widowControl/>
              <w:rPr>
                <w:rFonts w:cs="宋体" w:asciiTheme="minorEastAsia" w:hAnsiTheme="minorEastAsia" w:eastAsiaTheme="minorEastAsia"/>
                <w:b/>
                <w:color w:val="auto"/>
                <w:kern w:val="2"/>
                <w:sz w:val="24"/>
                <w:szCs w:val="24"/>
                <w:highlight w:val="none"/>
              </w:rPr>
            </w:pPr>
            <w:r>
              <w:rPr>
                <w:rFonts w:hint="eastAsia" w:cs="@仿宋_GB2312" w:asciiTheme="minorEastAsia" w:hAnsiTheme="minorEastAsia" w:eastAsiaTheme="minorEastAsia"/>
                <w:color w:val="auto"/>
                <w:kern w:val="2"/>
                <w:sz w:val="24"/>
                <w:szCs w:val="28"/>
                <w:highlight w:val="none"/>
              </w:rPr>
              <w:t xml:space="preserve">全部 </w:t>
            </w:r>
          </w:p>
        </w:tc>
      </w:tr>
      <w:tr w14:paraId="6AC65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4487EBF7">
            <w:pPr>
              <w:spacing w:line="360" w:lineRule="auto"/>
              <w:jc w:val="center"/>
              <w:rPr>
                <w:rFonts w:cs="@仿宋_GB2312"/>
                <w:b/>
                <w:color w:val="auto"/>
                <w:kern w:val="2"/>
                <w:sz w:val="24"/>
                <w:highlight w:val="none"/>
              </w:rPr>
            </w:pPr>
            <w:r>
              <w:rPr>
                <w:rFonts w:hint="eastAsia" w:cs="@仿宋_GB2312"/>
                <w:b/>
                <w:color w:val="auto"/>
                <w:kern w:val="2"/>
                <w:sz w:val="24"/>
                <w:highlight w:val="none"/>
              </w:rPr>
              <w:t>报价</w:t>
            </w:r>
          </w:p>
          <w:p w14:paraId="75E22C43">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（详见备注说明）</w:t>
            </w:r>
          </w:p>
        </w:tc>
        <w:tc>
          <w:tcPr>
            <w:tcW w:w="3557" w:type="pct"/>
            <w:vAlign w:val="center"/>
          </w:tcPr>
          <w:p w14:paraId="267B23CE">
            <w:pPr>
              <w:snapToGrid w:val="0"/>
              <w:spacing w:line="360" w:lineRule="auto"/>
              <w:jc w:val="left"/>
              <w:rPr>
                <w:rFonts w:cs="宋体"/>
                <w:bCs/>
                <w:color w:val="auto"/>
                <w:sz w:val="21"/>
                <w:szCs w:val="21"/>
                <w:highlight w:val="none"/>
                <w:u w:val="single"/>
              </w:rPr>
            </w:pPr>
            <w:r>
              <w:rPr>
                <w:rFonts w:hint="eastAsia" w:cs="宋体"/>
                <w:bCs/>
                <w:color w:val="auto"/>
                <w:sz w:val="21"/>
                <w:szCs w:val="21"/>
                <w:highlight w:val="none"/>
              </w:rPr>
              <w:t>大写：</w:t>
            </w:r>
            <w:r>
              <w:rPr>
                <w:rFonts w:hint="eastAsia" w:cs="宋体"/>
                <w:bCs/>
                <w:color w:val="auto"/>
                <w:sz w:val="21"/>
                <w:szCs w:val="21"/>
                <w:highlight w:val="none"/>
                <w:u w:val="single"/>
              </w:rPr>
              <w:t xml:space="preserve">                     </w:t>
            </w:r>
          </w:p>
          <w:p w14:paraId="1FAD785C">
            <w:pPr>
              <w:snapToGrid w:val="0"/>
              <w:rPr>
                <w:rFonts w:cs="宋体" w:asciiTheme="minorEastAsia" w:hAnsiTheme="minorEastAsia" w:eastAsiaTheme="minorEastAsia"/>
                <w:b/>
                <w:color w:val="auto"/>
                <w:kern w:val="2"/>
                <w:sz w:val="24"/>
                <w:szCs w:val="24"/>
                <w:highlight w:val="none"/>
              </w:rPr>
            </w:pPr>
            <w:r>
              <w:rPr>
                <w:rFonts w:hint="eastAsia" w:cs="宋体"/>
                <w:bCs/>
                <w:color w:val="auto"/>
                <w:sz w:val="21"/>
                <w:szCs w:val="21"/>
                <w:highlight w:val="none"/>
              </w:rPr>
              <w:t>小写：</w:t>
            </w:r>
            <w:r>
              <w:rPr>
                <w:rFonts w:hint="eastAsia" w:cs="宋体"/>
                <w:bCs/>
                <w:color w:val="auto"/>
                <w:sz w:val="21"/>
                <w:szCs w:val="21"/>
                <w:highlight w:val="none"/>
                <w:u w:val="single"/>
              </w:rPr>
              <w:t xml:space="preserve">                     </w:t>
            </w:r>
          </w:p>
        </w:tc>
      </w:tr>
      <w:tr w14:paraId="7525B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443" w:type="pct"/>
            <w:tcBorders>
              <w:top w:val="single" w:color="auto" w:sz="4" w:space="0"/>
            </w:tcBorders>
            <w:vAlign w:val="center"/>
          </w:tcPr>
          <w:p w14:paraId="27DB7B20">
            <w:pPr>
              <w:snapToGrid w:val="0"/>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质量标准</w:t>
            </w:r>
          </w:p>
        </w:tc>
        <w:tc>
          <w:tcPr>
            <w:tcW w:w="3557" w:type="pct"/>
            <w:vAlign w:val="center"/>
          </w:tcPr>
          <w:p w14:paraId="5B5C2850">
            <w:pPr>
              <w:snapToGrid w:val="0"/>
              <w:rPr>
                <w:rFonts w:cs="宋体" w:asciiTheme="minorEastAsia" w:hAnsiTheme="minorEastAsia" w:eastAsiaTheme="minorEastAsia"/>
                <w:b/>
                <w:color w:val="auto"/>
                <w:kern w:val="2"/>
                <w:sz w:val="24"/>
                <w:szCs w:val="24"/>
                <w:highlight w:val="none"/>
              </w:rPr>
            </w:pPr>
          </w:p>
        </w:tc>
      </w:tr>
      <w:tr w14:paraId="3EFEF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443" w:type="pct"/>
            <w:tcBorders>
              <w:top w:val="single" w:color="auto" w:sz="4" w:space="0"/>
            </w:tcBorders>
            <w:vAlign w:val="center"/>
          </w:tcPr>
          <w:p w14:paraId="5BF4D379">
            <w:pPr>
              <w:snapToGrid w:val="0"/>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工    期</w:t>
            </w:r>
          </w:p>
        </w:tc>
        <w:tc>
          <w:tcPr>
            <w:tcW w:w="3557" w:type="pct"/>
            <w:vAlign w:val="center"/>
          </w:tcPr>
          <w:p w14:paraId="19E4E221">
            <w:pPr>
              <w:snapToGrid w:val="0"/>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Cs/>
                <w:color w:val="auto"/>
                <w:kern w:val="2"/>
                <w:sz w:val="24"/>
                <w:szCs w:val="24"/>
                <w:highlight w:val="none"/>
              </w:rPr>
              <w:t>合同签订后</w:t>
            </w:r>
            <w:r>
              <w:rPr>
                <w:rFonts w:hint="eastAsia" w:cs="宋体" w:asciiTheme="minorEastAsia" w:hAnsiTheme="minorEastAsia" w:eastAsiaTheme="minorEastAsia"/>
                <w:bCs/>
                <w:color w:val="auto"/>
                <w:kern w:val="2"/>
                <w:sz w:val="24"/>
                <w:szCs w:val="24"/>
                <w:highlight w:val="none"/>
                <w:u w:val="single"/>
              </w:rPr>
              <w:t xml:space="preserve">        </w:t>
            </w:r>
            <w:r>
              <w:rPr>
                <w:rFonts w:hint="eastAsia" w:cs="宋体" w:asciiTheme="minorEastAsia" w:hAnsiTheme="minorEastAsia" w:eastAsiaTheme="minorEastAsia"/>
                <w:bCs/>
                <w:color w:val="auto"/>
                <w:kern w:val="2"/>
                <w:sz w:val="24"/>
                <w:szCs w:val="24"/>
                <w:highlight w:val="none"/>
                <w:lang w:val="en-US" w:eastAsia="zh-CN"/>
              </w:rPr>
              <w:t>个</w:t>
            </w:r>
            <w:r>
              <w:rPr>
                <w:rFonts w:hint="eastAsia" w:cs="宋体" w:asciiTheme="minorEastAsia" w:hAnsiTheme="minorEastAsia" w:eastAsiaTheme="minorEastAsia"/>
                <w:bCs/>
                <w:color w:val="auto"/>
                <w:kern w:val="2"/>
                <w:sz w:val="24"/>
                <w:szCs w:val="24"/>
                <w:highlight w:val="none"/>
              </w:rPr>
              <w:t>日历天</w:t>
            </w:r>
            <w:r>
              <w:rPr>
                <w:rFonts w:hint="eastAsia" w:cs="宋体" w:asciiTheme="minorEastAsia" w:hAnsiTheme="minorEastAsia" w:eastAsiaTheme="minorEastAsia"/>
                <w:bCs/>
                <w:color w:val="auto"/>
                <w:kern w:val="2"/>
                <w:sz w:val="24"/>
                <w:szCs w:val="24"/>
                <w:highlight w:val="none"/>
                <w:lang w:val="en-US" w:eastAsia="zh-CN"/>
              </w:rPr>
              <w:t>内</w:t>
            </w:r>
            <w:r>
              <w:rPr>
                <w:rFonts w:hint="eastAsia" w:cs="宋体" w:asciiTheme="minorEastAsia" w:hAnsiTheme="minorEastAsia" w:eastAsiaTheme="minorEastAsia"/>
                <w:bCs/>
                <w:color w:val="auto"/>
                <w:kern w:val="2"/>
                <w:sz w:val="24"/>
                <w:szCs w:val="24"/>
                <w:highlight w:val="none"/>
              </w:rPr>
              <w:t>完工</w:t>
            </w:r>
          </w:p>
        </w:tc>
      </w:tr>
      <w:tr w14:paraId="23A59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443" w:type="pct"/>
            <w:tcBorders>
              <w:top w:val="single" w:color="auto" w:sz="4" w:space="0"/>
            </w:tcBorders>
            <w:vAlign w:val="center"/>
          </w:tcPr>
          <w:p w14:paraId="5340B384">
            <w:pPr>
              <w:snapToGrid w:val="0"/>
              <w:jc w:val="center"/>
              <w:rPr>
                <w:rFonts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是否响应付款方式</w:t>
            </w:r>
          </w:p>
        </w:tc>
        <w:tc>
          <w:tcPr>
            <w:tcW w:w="3557" w:type="pct"/>
            <w:vAlign w:val="center"/>
          </w:tcPr>
          <w:p w14:paraId="5BF93DFC">
            <w:pPr>
              <w:snapToGrid w:val="0"/>
              <w:rPr>
                <w:rFonts w:cs="宋体" w:asciiTheme="minorEastAsia" w:hAnsiTheme="minorEastAsia" w:eastAsiaTheme="minorEastAsia"/>
                <w:bCs/>
                <w:color w:val="auto"/>
                <w:kern w:val="2"/>
                <w:sz w:val="24"/>
                <w:szCs w:val="24"/>
                <w:highlight w:val="none"/>
              </w:rPr>
            </w:pPr>
            <w:r>
              <w:rPr>
                <w:rFonts w:hint="eastAsia" w:cs="宋体" w:asciiTheme="minorEastAsia" w:hAnsiTheme="minorEastAsia" w:eastAsiaTheme="minorEastAsia"/>
                <w:color w:val="auto"/>
                <w:kern w:val="2"/>
                <w:sz w:val="24"/>
                <w:szCs w:val="24"/>
                <w:highlight w:val="none"/>
              </w:rPr>
              <w:t>是□    否□   （划√）</w:t>
            </w:r>
          </w:p>
        </w:tc>
      </w:tr>
      <w:tr w14:paraId="73F8C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2" w:hRule="atLeast"/>
          <w:jc w:val="center"/>
        </w:trPr>
        <w:tc>
          <w:tcPr>
            <w:tcW w:w="1443" w:type="pct"/>
            <w:vAlign w:val="center"/>
          </w:tcPr>
          <w:p w14:paraId="68ABE436">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备注说明</w:t>
            </w:r>
          </w:p>
        </w:tc>
        <w:tc>
          <w:tcPr>
            <w:tcW w:w="3557" w:type="pct"/>
          </w:tcPr>
          <w:p w14:paraId="49C90B95">
            <w:pPr>
              <w:rPr>
                <w:rFonts w:cs="宋体" w:asciiTheme="minorEastAsia" w:hAnsiTheme="minorEastAsia" w:eastAsiaTheme="minorEastAsia"/>
                <w:b/>
                <w:color w:val="auto"/>
                <w:kern w:val="2"/>
                <w:sz w:val="24"/>
                <w:szCs w:val="24"/>
                <w:highlight w:val="none"/>
              </w:rPr>
            </w:pPr>
          </w:p>
        </w:tc>
      </w:tr>
    </w:tbl>
    <w:p w14:paraId="22BC453D">
      <w:pPr>
        <w:spacing w:line="440" w:lineRule="exact"/>
        <w:ind w:firstLine="4800" w:firstLineChars="2000"/>
        <w:rPr>
          <w:rFonts w:cs="@仿宋_GB2312"/>
          <w:color w:val="auto"/>
          <w:kern w:val="2"/>
          <w:sz w:val="24"/>
          <w:szCs w:val="24"/>
          <w:highlight w:val="none"/>
          <w:u w:val="single"/>
        </w:rPr>
      </w:pPr>
      <w:r>
        <w:rPr>
          <w:rFonts w:hint="eastAsia" w:cs="@仿宋_GB2312"/>
          <w:color w:val="auto"/>
          <w:kern w:val="2"/>
          <w:sz w:val="24"/>
          <w:szCs w:val="24"/>
          <w:highlight w:val="none"/>
        </w:rPr>
        <w:t>供应商电子签章：</w:t>
      </w:r>
      <w:r>
        <w:rPr>
          <w:rFonts w:hint="eastAsia" w:cs="@仿宋_GB2312"/>
          <w:color w:val="auto"/>
          <w:kern w:val="2"/>
          <w:sz w:val="24"/>
          <w:szCs w:val="24"/>
          <w:highlight w:val="none"/>
          <w:u w:val="single"/>
        </w:rPr>
        <w:t xml:space="preserve">     </w:t>
      </w:r>
      <w:r>
        <w:rPr>
          <w:rFonts w:cs="@仿宋_GB2312"/>
          <w:color w:val="auto"/>
          <w:kern w:val="2"/>
          <w:sz w:val="24"/>
          <w:szCs w:val="24"/>
          <w:highlight w:val="none"/>
          <w:u w:val="single"/>
        </w:rPr>
        <w:t xml:space="preserve">    </w:t>
      </w:r>
      <w:r>
        <w:rPr>
          <w:rFonts w:hint="eastAsia" w:cs="@仿宋_GB2312"/>
          <w:color w:val="auto"/>
          <w:kern w:val="2"/>
          <w:sz w:val="24"/>
          <w:szCs w:val="24"/>
          <w:highlight w:val="none"/>
          <w:u w:val="single"/>
        </w:rPr>
        <w:t xml:space="preserve">    </w:t>
      </w:r>
    </w:p>
    <w:p w14:paraId="064E3D25">
      <w:pPr>
        <w:spacing w:line="440" w:lineRule="exact"/>
        <w:ind w:firstLine="4800" w:firstLineChars="2000"/>
        <w:rPr>
          <w:rFonts w:cs="@仿宋_GB2312"/>
          <w:color w:val="auto"/>
          <w:kern w:val="2"/>
          <w:sz w:val="24"/>
          <w:szCs w:val="24"/>
          <w:highlight w:val="none"/>
          <w:u w:val="single"/>
        </w:rPr>
      </w:pPr>
      <w:r>
        <w:rPr>
          <w:rFonts w:hint="eastAsia" w:cs="@仿宋_GB2312"/>
          <w:color w:val="auto"/>
          <w:kern w:val="2"/>
          <w:sz w:val="24"/>
          <w:szCs w:val="24"/>
          <w:highlight w:val="none"/>
        </w:rPr>
        <w:t xml:space="preserve">日     </w:t>
      </w:r>
      <w:r>
        <w:rPr>
          <w:rFonts w:cs="@仿宋_GB2312"/>
          <w:color w:val="auto"/>
          <w:kern w:val="2"/>
          <w:sz w:val="24"/>
          <w:szCs w:val="24"/>
          <w:highlight w:val="none"/>
        </w:rPr>
        <w:t xml:space="preserve">    </w:t>
      </w:r>
      <w:r>
        <w:rPr>
          <w:rFonts w:hint="eastAsia" w:cs="@仿宋_GB2312"/>
          <w:color w:val="auto"/>
          <w:kern w:val="2"/>
          <w:sz w:val="24"/>
          <w:szCs w:val="24"/>
          <w:highlight w:val="none"/>
        </w:rPr>
        <w:t xml:space="preserve"> 期：</w:t>
      </w:r>
      <w:r>
        <w:rPr>
          <w:rFonts w:hint="eastAsia" w:cs="@仿宋_GB2312"/>
          <w:color w:val="auto"/>
          <w:kern w:val="2"/>
          <w:sz w:val="24"/>
          <w:szCs w:val="24"/>
          <w:highlight w:val="none"/>
          <w:u w:val="single"/>
        </w:rPr>
        <w:t xml:space="preserve">             </w:t>
      </w:r>
    </w:p>
    <w:p w14:paraId="2EF8B44C">
      <w:pPr>
        <w:adjustRightInd w:val="0"/>
        <w:snapToGrid w:val="0"/>
        <w:spacing w:line="360" w:lineRule="auto"/>
        <w:rPr>
          <w:rFonts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注：</w:t>
      </w:r>
    </w:p>
    <w:p w14:paraId="603EBD1B">
      <w:pPr>
        <w:adjustRightInd w:val="0"/>
        <w:snapToGrid w:val="0"/>
        <w:spacing w:line="360" w:lineRule="auto"/>
        <w:ind w:firstLine="482" w:firstLineChars="200"/>
        <w:rPr>
          <w:rFonts w:cs="宋体" w:asciiTheme="minorEastAsia" w:hAnsiTheme="minorEastAsia" w:eastAsiaTheme="minorEastAsia"/>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1.本表内容根据谈判文件要求包括了谈判文件要求提供的全部内容的所有费用。</w:t>
      </w:r>
    </w:p>
    <w:p w14:paraId="2D679295">
      <w:pPr>
        <w:adjustRightInd w:val="0"/>
        <w:snapToGrid w:val="0"/>
        <w:spacing w:line="360" w:lineRule="auto"/>
        <w:ind w:firstLine="482" w:firstLineChars="200"/>
        <w:rPr>
          <w:rFonts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2.特殊事项在备注中注明。</w:t>
      </w:r>
    </w:p>
    <w:p w14:paraId="79607FAC">
      <w:pPr>
        <w:adjustRightInd w:val="0"/>
        <w:snapToGrid w:val="0"/>
        <w:spacing w:line="360" w:lineRule="auto"/>
        <w:ind w:firstLine="482" w:firstLineChars="200"/>
        <w:rPr>
          <w:rFonts w:cs="@仿宋_GB2312" w:asciiTheme="minorEastAsia" w:hAnsiTheme="minorEastAsia" w:eastAsiaTheme="minorEastAsia"/>
          <w:b/>
          <w:bCs/>
          <w:color w:val="auto"/>
          <w:kern w:val="2"/>
          <w:sz w:val="24"/>
          <w:szCs w:val="24"/>
          <w:highlight w:val="none"/>
        </w:rPr>
      </w:pPr>
      <w:r>
        <w:rPr>
          <w:rFonts w:hint="eastAsia" w:cs="@仿宋_GB2312" w:asciiTheme="minorEastAsia" w:hAnsiTheme="minorEastAsia" w:eastAsiaTheme="minorEastAsia"/>
          <w:b/>
          <w:bCs/>
          <w:color w:val="auto"/>
          <w:kern w:val="2"/>
          <w:sz w:val="24"/>
          <w:szCs w:val="24"/>
          <w:highlight w:val="none"/>
          <w:lang w:val="en-US" w:eastAsia="zh-CN"/>
        </w:rPr>
        <w:t>3</w:t>
      </w:r>
      <w:r>
        <w:rPr>
          <w:rFonts w:hint="eastAsia" w:cs="@仿宋_GB2312" w:asciiTheme="minorEastAsia" w:hAnsiTheme="minorEastAsia" w:eastAsiaTheme="minorEastAsia"/>
          <w:b/>
          <w:bCs/>
          <w:color w:val="auto"/>
          <w:kern w:val="2"/>
          <w:sz w:val="24"/>
          <w:szCs w:val="24"/>
          <w:highlight w:val="none"/>
        </w:rPr>
        <w:t>.表中大写金额与小写金额不一致的，以大写金额为准。</w:t>
      </w:r>
    </w:p>
    <w:p w14:paraId="0B2BE9A8">
      <w:pPr>
        <w:adjustRightInd w:val="0"/>
        <w:snapToGrid w:val="0"/>
        <w:spacing w:line="360" w:lineRule="auto"/>
        <w:ind w:firstLine="482" w:firstLineChars="200"/>
        <w:rPr>
          <w:rFonts w:cs="宋体" w:asciiTheme="minorEastAsia" w:hAnsiTheme="minorEastAsia" w:eastAsiaTheme="minorEastAsia"/>
          <w:b/>
          <w:bCs/>
          <w:color w:val="auto"/>
          <w:kern w:val="2"/>
          <w:sz w:val="24"/>
          <w:szCs w:val="24"/>
          <w:highlight w:val="none"/>
        </w:rPr>
      </w:pPr>
      <w:r>
        <w:rPr>
          <w:rFonts w:cs="宋体" w:asciiTheme="minorEastAsia" w:hAnsiTheme="minorEastAsia" w:eastAsiaTheme="minorEastAsia"/>
          <w:b/>
          <w:bCs/>
          <w:color w:val="auto"/>
          <w:kern w:val="2"/>
          <w:sz w:val="24"/>
          <w:szCs w:val="24"/>
          <w:highlight w:val="none"/>
        </w:rPr>
        <w:br w:type="page"/>
      </w:r>
    </w:p>
    <w:p w14:paraId="25FA0FFD">
      <w:pPr>
        <w:adjustRightInd w:val="0"/>
        <w:snapToGrid w:val="0"/>
        <w:spacing w:line="360" w:lineRule="auto"/>
        <w:outlineLvl w:val="2"/>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1-2 工程量清单报价书</w:t>
      </w:r>
    </w:p>
    <w:p w14:paraId="313CBF7B">
      <w:pPr>
        <w:autoSpaceDE w:val="0"/>
        <w:autoSpaceDN w:val="0"/>
        <w:adjustRightInd w:val="0"/>
        <w:spacing w:before="20" w:after="20" w:line="360" w:lineRule="auto"/>
        <w:jc w:val="center"/>
        <w:rPr>
          <w:rFonts w:cs="宋体" w:asciiTheme="minorEastAsia" w:hAnsiTheme="minorEastAsia" w:eastAsiaTheme="minorEastAsia"/>
          <w:b/>
          <w:color w:val="auto"/>
          <w:sz w:val="24"/>
          <w:szCs w:val="24"/>
          <w:highlight w:val="none"/>
        </w:rPr>
      </w:pPr>
    </w:p>
    <w:p w14:paraId="341DE6B5">
      <w:pPr>
        <w:autoSpaceDE w:val="0"/>
        <w:autoSpaceDN w:val="0"/>
        <w:adjustRightInd w:val="0"/>
        <w:spacing w:before="20" w:after="20" w:line="360" w:lineRule="auto"/>
        <w:jc w:val="center"/>
        <w:outlineLvl w:val="2"/>
        <w:rPr>
          <w:rFonts w:cs="宋体" w:asciiTheme="minorEastAsia" w:hAnsiTheme="minorEastAsia" w:eastAsiaTheme="minorEastAsia"/>
          <w:b/>
          <w:color w:val="auto"/>
          <w:sz w:val="24"/>
          <w:szCs w:val="24"/>
          <w:highlight w:val="none"/>
        </w:rPr>
      </w:pPr>
      <w:bookmarkStart w:id="657" w:name="_Toc30688"/>
      <w:r>
        <w:rPr>
          <w:rFonts w:hint="eastAsia" w:cs="宋体" w:asciiTheme="minorEastAsia" w:hAnsiTheme="minorEastAsia" w:eastAsiaTheme="minorEastAsia"/>
          <w:b/>
          <w:color w:val="auto"/>
          <w:sz w:val="24"/>
          <w:szCs w:val="24"/>
          <w:highlight w:val="none"/>
        </w:rPr>
        <w:t>工程量清单报价书</w:t>
      </w:r>
      <w:bookmarkEnd w:id="657"/>
    </w:p>
    <w:p w14:paraId="19E51D79">
      <w:pPr>
        <w:keepNext w:val="0"/>
        <w:keepLines w:val="0"/>
        <w:widowControl w:val="0"/>
        <w:suppressLineNumbers w:val="0"/>
        <w:spacing w:before="0" w:beforeAutospacing="0" w:after="0" w:afterAutospacing="0"/>
        <w:ind w:left="0" w:right="0"/>
        <w:jc w:val="center"/>
        <w:rPr>
          <w:rFonts w:hint="eastAsia" w:cs="宋体" w:asciiTheme="minorEastAsia" w:hAnsiTheme="minorEastAsia" w:eastAsiaTheme="minorEastAsia"/>
          <w:b/>
          <w:color w:val="auto"/>
          <w:kern w:val="2"/>
          <w:sz w:val="21"/>
          <w:szCs w:val="24"/>
          <w:highlight w:val="none"/>
        </w:rPr>
      </w:pPr>
      <w:r>
        <w:rPr>
          <w:rFonts w:hint="eastAsia" w:cs="宋体" w:asciiTheme="minorEastAsia" w:hAnsiTheme="minorEastAsia" w:eastAsiaTheme="minorEastAsia"/>
          <w:b/>
          <w:color w:val="auto"/>
          <w:kern w:val="2"/>
          <w:sz w:val="21"/>
          <w:szCs w:val="24"/>
          <w:highlight w:val="none"/>
        </w:rPr>
        <w:t>（格式详见工程量清单）</w:t>
      </w:r>
    </w:p>
    <w:p w14:paraId="2C820656">
      <w:pPr>
        <w:keepNext w:val="0"/>
        <w:keepLines w:val="0"/>
        <w:widowControl w:val="0"/>
        <w:suppressLineNumbers w:val="0"/>
        <w:spacing w:before="0" w:beforeAutospacing="0" w:after="0" w:afterAutospacing="0"/>
        <w:ind w:left="0" w:right="0"/>
        <w:jc w:val="center"/>
        <w:rPr>
          <w:rFonts w:hint="eastAsia" w:cs="宋体" w:asciiTheme="minorEastAsia" w:hAnsiTheme="minorEastAsia" w:eastAsiaTheme="minorEastAsia"/>
          <w:b/>
          <w:color w:val="auto"/>
          <w:kern w:val="2"/>
          <w:sz w:val="21"/>
          <w:szCs w:val="24"/>
          <w:highlight w:val="none"/>
        </w:rPr>
      </w:pPr>
    </w:p>
    <w:p w14:paraId="1DED587B">
      <w:pPr>
        <w:keepNext w:val="0"/>
        <w:keepLines w:val="0"/>
        <w:widowControl w:val="0"/>
        <w:suppressLineNumbers w:val="0"/>
        <w:spacing w:before="0" w:beforeAutospacing="0" w:after="0" w:afterAutospacing="0"/>
        <w:ind w:left="0" w:right="0"/>
        <w:jc w:val="center"/>
        <w:rPr>
          <w:rFonts w:hint="eastAsia" w:cs="宋体" w:asciiTheme="minorEastAsia" w:hAnsiTheme="minorEastAsia" w:eastAsiaTheme="minorEastAsia"/>
          <w:b/>
          <w:color w:val="auto"/>
          <w:kern w:val="2"/>
          <w:sz w:val="21"/>
          <w:szCs w:val="24"/>
          <w:highlight w:val="none"/>
        </w:rPr>
      </w:pPr>
    </w:p>
    <w:p w14:paraId="73D1BEC3">
      <w:pPr>
        <w:rPr>
          <w:rFonts w:hint="default" w:ascii="仿宋_GB2312" w:hAnsi="仿宋_GB2312" w:eastAsia="仿宋_GB2312" w:cs="仿宋_GB2312"/>
          <w:b/>
          <w:bCs w:val="0"/>
          <w:color w:val="auto"/>
          <w:kern w:val="0"/>
          <w:sz w:val="24"/>
          <w:szCs w:val="24"/>
          <w:highlight w:val="none"/>
          <w:lang w:val="en-US" w:eastAsia="zh-CN" w:bidi="ar"/>
        </w:rPr>
      </w:pPr>
      <w:r>
        <w:rPr>
          <w:rFonts w:hint="default" w:ascii="仿宋_GB2312" w:hAnsi="仿宋_GB2312" w:eastAsia="仿宋_GB2312" w:cs="仿宋_GB2312"/>
          <w:b/>
          <w:bCs w:val="0"/>
          <w:color w:val="auto"/>
          <w:kern w:val="0"/>
          <w:sz w:val="24"/>
          <w:szCs w:val="24"/>
          <w:highlight w:val="none"/>
          <w:lang w:val="en-US" w:eastAsia="zh-CN" w:bidi="ar"/>
        </w:rPr>
        <w:br w:type="page"/>
      </w:r>
    </w:p>
    <w:p w14:paraId="1D43766A">
      <w:pPr>
        <w:keepNext w:val="0"/>
        <w:keepLines w:val="0"/>
        <w:widowControl w:val="0"/>
        <w:suppressLineNumbers w:val="0"/>
        <w:spacing w:before="0" w:beforeAutospacing="0" w:after="0" w:afterAutospacing="0"/>
        <w:ind w:left="0" w:right="0"/>
        <w:jc w:val="center"/>
        <w:rPr>
          <w:rFonts w:hint="default" w:ascii="Calibri" w:hAnsi="Calibri" w:eastAsia="宋体" w:cs="Times New Roman"/>
          <w:b/>
          <w:bCs w:val="0"/>
          <w:color w:val="auto"/>
          <w:sz w:val="24"/>
          <w:szCs w:val="24"/>
          <w:highlight w:val="none"/>
        </w:rPr>
      </w:pPr>
      <w:r>
        <w:rPr>
          <w:rFonts w:hint="default" w:ascii="仿宋_GB2312" w:hAnsi="仿宋_GB2312" w:eastAsia="仿宋_GB2312" w:cs="仿宋_GB2312"/>
          <w:b/>
          <w:bCs w:val="0"/>
          <w:color w:val="auto"/>
          <w:kern w:val="0"/>
          <w:sz w:val="24"/>
          <w:szCs w:val="24"/>
          <w:highlight w:val="none"/>
          <w:lang w:val="en-US" w:eastAsia="zh-CN" w:bidi="ar"/>
        </w:rPr>
        <w:t>①</w:t>
      </w:r>
      <w:r>
        <w:rPr>
          <w:rFonts w:hint="eastAsia" w:ascii="宋体" w:hAnsi="宋体" w:eastAsia="宋体" w:cs="宋体"/>
          <w:b/>
          <w:bCs w:val="0"/>
          <w:color w:val="auto"/>
          <w:kern w:val="0"/>
          <w:sz w:val="24"/>
          <w:szCs w:val="24"/>
          <w:highlight w:val="none"/>
          <w:lang w:val="en-US" w:eastAsia="zh-CN" w:bidi="ar"/>
        </w:rPr>
        <w:t>工程量清单报价书（封面）</w:t>
      </w:r>
    </w:p>
    <w:p w14:paraId="112A6723">
      <w:pPr>
        <w:keepNext w:val="0"/>
        <w:keepLines w:val="0"/>
        <w:widowControl w:val="0"/>
        <w:suppressLineNumbers w:val="0"/>
        <w:spacing w:before="0" w:beforeAutospacing="0" w:after="0" w:afterAutospacing="0"/>
        <w:ind w:left="0" w:right="0" w:firstLine="482" w:firstLineChars="200"/>
        <w:jc w:val="center"/>
        <w:rPr>
          <w:rFonts w:hint="default" w:ascii="Calibri" w:hAnsi="Calibri" w:eastAsia="宋体" w:cs="Times New Roman"/>
          <w:b/>
          <w:bCs w:val="0"/>
          <w:color w:val="auto"/>
          <w:sz w:val="24"/>
          <w:szCs w:val="24"/>
          <w:highlight w:val="none"/>
        </w:rPr>
      </w:pPr>
      <w:r>
        <w:rPr>
          <w:rFonts w:hint="default" w:ascii="Calibri" w:hAnsi="Calibri" w:eastAsia="宋体" w:cs="Times New Roman"/>
          <w:b/>
          <w:bCs w:val="0"/>
          <w:color w:val="auto"/>
          <w:kern w:val="0"/>
          <w:sz w:val="24"/>
          <w:szCs w:val="24"/>
          <w:highlight w:val="none"/>
          <w:lang w:val="en-US" w:eastAsia="zh-CN" w:bidi="ar"/>
        </w:rPr>
        <w:t xml:space="preserve"> </w:t>
      </w:r>
    </w:p>
    <w:p w14:paraId="1E3C4E69">
      <w:pPr>
        <w:keepNext w:val="0"/>
        <w:keepLines w:val="0"/>
        <w:widowControl w:val="0"/>
        <w:suppressLineNumbers w:val="0"/>
        <w:spacing w:before="0" w:beforeAutospacing="0" w:after="0" w:afterAutospacing="0"/>
        <w:ind w:left="0" w:right="0" w:firstLine="482" w:firstLineChars="200"/>
        <w:jc w:val="center"/>
        <w:rPr>
          <w:rFonts w:hint="default" w:ascii="Calibri" w:hAnsi="Calibri" w:eastAsia="宋体" w:cs="Times New Roman"/>
          <w:b/>
          <w:bCs w:val="0"/>
          <w:color w:val="auto"/>
          <w:sz w:val="24"/>
          <w:szCs w:val="24"/>
          <w:highlight w:val="none"/>
        </w:rPr>
      </w:pPr>
      <w:r>
        <w:rPr>
          <w:rFonts w:hint="eastAsia" w:ascii="宋体" w:hAnsi="宋体" w:eastAsia="宋体" w:cs="宋体"/>
          <w:b/>
          <w:bCs w:val="0"/>
          <w:color w:val="auto"/>
          <w:kern w:val="0"/>
          <w:sz w:val="24"/>
          <w:szCs w:val="24"/>
          <w:highlight w:val="none"/>
          <w:lang w:val="en-US" w:eastAsia="zh-CN" w:bidi="ar"/>
        </w:rPr>
        <w:t>响应总价</w:t>
      </w:r>
    </w:p>
    <w:p w14:paraId="503688F0">
      <w:pPr>
        <w:keepNext w:val="0"/>
        <w:keepLines w:val="0"/>
        <w:widowControl w:val="0"/>
        <w:suppressLineNumbers w:val="0"/>
        <w:spacing w:before="0" w:beforeAutospacing="0" w:after="0" w:afterAutospacing="0" w:line="800" w:lineRule="exact"/>
        <w:ind w:left="0" w:right="0" w:firstLine="480" w:firstLineChars="200"/>
        <w:jc w:val="both"/>
        <w:rPr>
          <w:rFonts w:hint="default" w:ascii="Calibri" w:hAnsi="Calibri" w:eastAsia="宋体" w:cs="Times New Roman"/>
          <w:color w:val="auto"/>
          <w:sz w:val="24"/>
          <w:szCs w:val="24"/>
          <w:highlight w:val="none"/>
          <w:u w:val="single"/>
        </w:rPr>
      </w:pPr>
      <w:r>
        <w:rPr>
          <w:rFonts w:hint="eastAsia" w:ascii="宋体" w:hAnsi="宋体" w:eastAsia="宋体" w:cs="宋体"/>
          <w:color w:val="auto"/>
          <w:kern w:val="0"/>
          <w:sz w:val="24"/>
          <w:szCs w:val="24"/>
          <w:highlight w:val="none"/>
          <w:lang w:val="en-US" w:eastAsia="zh-CN" w:bidi="ar"/>
        </w:rPr>
        <w:t>采购人：</w:t>
      </w:r>
      <w:r>
        <w:rPr>
          <w:rFonts w:hint="eastAsia" w:ascii="Calibri" w:hAnsi="Calibri" w:eastAsia="宋体" w:cs="Times New Roman"/>
          <w:color w:val="auto"/>
          <w:kern w:val="0"/>
          <w:sz w:val="24"/>
          <w:szCs w:val="24"/>
          <w:highlight w:val="none"/>
          <w:u w:val="single"/>
          <w:lang w:val="en-US" w:eastAsia="zh-CN" w:bidi="ar"/>
        </w:rPr>
        <w:t xml:space="preserve">                                                 </w:t>
      </w:r>
    </w:p>
    <w:p w14:paraId="5DEF61FE">
      <w:pPr>
        <w:keepNext w:val="0"/>
        <w:keepLines w:val="0"/>
        <w:widowControl w:val="0"/>
        <w:suppressLineNumbers w:val="0"/>
        <w:spacing w:before="0" w:beforeAutospacing="0" w:after="0" w:afterAutospacing="0" w:line="800" w:lineRule="exact"/>
        <w:ind w:left="0" w:right="0" w:firstLine="480" w:firstLineChars="200"/>
        <w:jc w:val="both"/>
        <w:rPr>
          <w:rFonts w:hint="default" w:ascii="Calibri" w:hAnsi="Calibri"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工程名称：</w:t>
      </w:r>
      <w:r>
        <w:rPr>
          <w:rFonts w:hint="eastAsia" w:ascii="Calibri" w:hAnsi="Calibri" w:eastAsia="宋体" w:cs="Times New Roman"/>
          <w:color w:val="auto"/>
          <w:kern w:val="0"/>
          <w:sz w:val="24"/>
          <w:szCs w:val="24"/>
          <w:highlight w:val="none"/>
          <w:u w:val="single"/>
          <w:lang w:val="en-US" w:eastAsia="zh-CN" w:bidi="ar"/>
        </w:rPr>
        <w:t xml:space="preserve">                                               </w:t>
      </w:r>
    </w:p>
    <w:p w14:paraId="3869771B">
      <w:pPr>
        <w:keepNext w:val="0"/>
        <w:keepLines w:val="0"/>
        <w:widowControl w:val="0"/>
        <w:suppressLineNumbers w:val="0"/>
        <w:spacing w:before="0" w:beforeAutospacing="0" w:after="0" w:afterAutospacing="0" w:line="800" w:lineRule="exact"/>
        <w:ind w:left="0" w:right="0" w:firstLine="480" w:firstLineChars="200"/>
        <w:jc w:val="both"/>
        <w:rPr>
          <w:rFonts w:hint="default" w:ascii="Calibri" w:hAnsi="Calibri" w:eastAsia="宋体" w:cs="Times New Roman"/>
          <w:color w:val="auto"/>
          <w:sz w:val="24"/>
          <w:szCs w:val="24"/>
          <w:highlight w:val="none"/>
          <w:u w:val="single"/>
        </w:rPr>
      </w:pPr>
      <w:r>
        <w:rPr>
          <w:rFonts w:hint="eastAsia" w:ascii="宋体" w:hAnsi="宋体" w:eastAsia="宋体" w:cs="宋体"/>
          <w:color w:val="auto"/>
          <w:kern w:val="0"/>
          <w:sz w:val="24"/>
          <w:szCs w:val="24"/>
          <w:highlight w:val="none"/>
          <w:lang w:val="en-US" w:eastAsia="zh-CN" w:bidi="ar"/>
        </w:rPr>
        <w:t>响应总价（小写）：</w:t>
      </w:r>
      <w:r>
        <w:rPr>
          <w:rFonts w:hint="eastAsia" w:ascii="Calibri" w:hAnsi="Calibri" w:eastAsia="宋体" w:cs="Times New Roman"/>
          <w:color w:val="auto"/>
          <w:kern w:val="0"/>
          <w:sz w:val="24"/>
          <w:szCs w:val="24"/>
          <w:highlight w:val="none"/>
          <w:u w:val="single"/>
          <w:lang w:val="en-US" w:eastAsia="zh-CN" w:bidi="ar"/>
        </w:rPr>
        <w:t xml:space="preserve">                                       </w:t>
      </w:r>
    </w:p>
    <w:p w14:paraId="05870253">
      <w:pPr>
        <w:keepNext w:val="0"/>
        <w:keepLines w:val="0"/>
        <w:widowControl w:val="0"/>
        <w:suppressLineNumbers w:val="0"/>
        <w:spacing w:before="0" w:beforeAutospacing="0" w:after="0" w:afterAutospacing="0" w:line="800" w:lineRule="exact"/>
        <w:ind w:left="0" w:right="0" w:firstLine="1440" w:firstLineChars="600"/>
        <w:jc w:val="both"/>
        <w:rPr>
          <w:rFonts w:hint="default" w:ascii="Calibri" w:hAnsi="Calibri"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（大写）：</w:t>
      </w:r>
      <w:r>
        <w:rPr>
          <w:rFonts w:hint="eastAsia" w:ascii="Calibri" w:hAnsi="Calibri" w:eastAsia="宋体" w:cs="Times New Roman"/>
          <w:color w:val="auto"/>
          <w:kern w:val="0"/>
          <w:sz w:val="24"/>
          <w:szCs w:val="24"/>
          <w:highlight w:val="none"/>
          <w:u w:val="single"/>
          <w:lang w:val="en-US" w:eastAsia="zh-CN" w:bidi="ar"/>
        </w:rPr>
        <w:t xml:space="preserve">                                       </w:t>
      </w:r>
    </w:p>
    <w:p w14:paraId="0EB894A0">
      <w:pPr>
        <w:keepNext w:val="0"/>
        <w:keepLines w:val="0"/>
        <w:widowControl w:val="0"/>
        <w:suppressLineNumbers w:val="0"/>
        <w:spacing w:before="0" w:beforeAutospacing="0" w:after="0" w:afterAutospacing="0" w:line="800" w:lineRule="exact"/>
        <w:ind w:left="0" w:right="0" w:firstLine="480" w:firstLineChars="200"/>
        <w:jc w:val="both"/>
        <w:rPr>
          <w:rFonts w:hint="default" w:ascii="Calibri" w:hAnsi="Calibri" w:eastAsia="宋体" w:cs="Times New Roman"/>
          <w:color w:val="auto"/>
          <w:sz w:val="24"/>
          <w:szCs w:val="24"/>
          <w:highlight w:val="none"/>
        </w:rPr>
      </w:pPr>
      <w:r>
        <w:rPr>
          <w:rFonts w:hint="default" w:ascii="Calibri" w:hAnsi="Calibri" w:eastAsia="宋体" w:cs="Times New Roman"/>
          <w:color w:val="auto"/>
          <w:kern w:val="0"/>
          <w:sz w:val="24"/>
          <w:szCs w:val="24"/>
          <w:highlight w:val="none"/>
          <w:lang w:val="en-US" w:eastAsia="zh-CN" w:bidi="ar"/>
        </w:rPr>
        <w:t xml:space="preserve"> </w:t>
      </w:r>
    </w:p>
    <w:p w14:paraId="4D1EBC4D">
      <w:pPr>
        <w:keepNext w:val="0"/>
        <w:keepLines w:val="0"/>
        <w:widowControl w:val="0"/>
        <w:suppressLineNumbers w:val="0"/>
        <w:spacing w:before="0" w:beforeAutospacing="0" w:after="0" w:afterAutospacing="0" w:line="800" w:lineRule="exact"/>
        <w:ind w:left="0" w:right="0" w:firstLine="480" w:firstLineChars="200"/>
        <w:jc w:val="both"/>
        <w:rPr>
          <w:rFonts w:hint="default" w:ascii="Calibri" w:hAnsi="Calibri"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供应商：</w:t>
      </w:r>
      <w:r>
        <w:rPr>
          <w:rFonts w:hint="eastAsia" w:ascii="Calibri" w:hAnsi="Calibri" w:eastAsia="宋体" w:cs="Times New Roman"/>
          <w:color w:val="auto"/>
          <w:kern w:val="0"/>
          <w:sz w:val="24"/>
          <w:szCs w:val="24"/>
          <w:highlight w:val="none"/>
          <w:u w:val="single"/>
          <w:lang w:val="en-US" w:eastAsia="zh-CN" w:bidi="ar"/>
        </w:rPr>
        <w:t xml:space="preserve">                           </w:t>
      </w:r>
      <w:r>
        <w:rPr>
          <w:rFonts w:hint="eastAsia" w:ascii="Calibri" w:hAnsi="Calibri" w:eastAsia="宋体" w:cs="Times New Roman"/>
          <w:color w:val="auto"/>
          <w:kern w:val="0"/>
          <w:sz w:val="24"/>
          <w:szCs w:val="24"/>
          <w:highlight w:val="none"/>
          <w:lang w:val="en-US" w:eastAsia="zh-CN" w:bidi="ar"/>
        </w:rPr>
        <w:t xml:space="preserve"> </w:t>
      </w:r>
      <w:r>
        <w:rPr>
          <w:rFonts w:hint="default" w:ascii="Calibri" w:hAnsi="Calibri" w:eastAsia="宋体" w:cs="Calibri"/>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单位盖章</w:t>
      </w:r>
      <w:r>
        <w:rPr>
          <w:rFonts w:hint="default" w:ascii="Calibri" w:hAnsi="Calibri" w:eastAsia="宋体" w:cs="Calibri"/>
          <w:color w:val="auto"/>
          <w:kern w:val="0"/>
          <w:sz w:val="24"/>
          <w:szCs w:val="24"/>
          <w:highlight w:val="none"/>
          <w:lang w:val="en-US" w:eastAsia="zh-CN" w:bidi="ar"/>
        </w:rPr>
        <w:t>)</w:t>
      </w:r>
    </w:p>
    <w:p w14:paraId="1CEDF7F1">
      <w:pPr>
        <w:keepNext w:val="0"/>
        <w:keepLines w:val="0"/>
        <w:widowControl w:val="0"/>
        <w:suppressLineNumbers w:val="0"/>
        <w:spacing w:before="0" w:beforeAutospacing="0" w:after="0" w:afterAutospacing="0" w:line="800" w:lineRule="exact"/>
        <w:ind w:left="0" w:right="0" w:firstLine="480" w:firstLineChars="200"/>
        <w:jc w:val="both"/>
        <w:rPr>
          <w:rFonts w:hint="default" w:ascii="Calibri" w:hAnsi="Calibri"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法定代表人：</w:t>
      </w:r>
      <w:r>
        <w:rPr>
          <w:rFonts w:hint="eastAsia" w:ascii="Calibri" w:hAnsi="Calibri" w:eastAsia="宋体" w:cs="Times New Roman"/>
          <w:color w:val="auto"/>
          <w:kern w:val="0"/>
          <w:sz w:val="24"/>
          <w:szCs w:val="24"/>
          <w:highlight w:val="none"/>
          <w:u w:val="single"/>
          <w:lang w:val="en-US" w:eastAsia="zh-CN" w:bidi="ar"/>
        </w:rPr>
        <w:t xml:space="preserve">                        </w:t>
      </w:r>
      <w:r>
        <w:rPr>
          <w:rFonts w:hint="eastAsia" w:ascii="Calibri" w:hAnsi="Calibri" w:eastAsia="宋体" w:cs="Times New Roman"/>
          <w:color w:val="auto"/>
          <w:kern w:val="0"/>
          <w:sz w:val="24"/>
          <w:szCs w:val="24"/>
          <w:highlight w:val="none"/>
          <w:lang w:val="en-US" w:eastAsia="zh-CN" w:bidi="ar"/>
        </w:rPr>
        <w:t xml:space="preserve"> </w:t>
      </w:r>
      <w:r>
        <w:rPr>
          <w:rFonts w:hint="default" w:ascii="Calibri" w:hAnsi="Calibri" w:eastAsia="宋体" w:cs="Calibri"/>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签字或盖章</w:t>
      </w:r>
      <w:r>
        <w:rPr>
          <w:rFonts w:hint="default" w:ascii="Calibri" w:hAnsi="Calibri" w:eastAsia="宋体" w:cs="Calibri"/>
          <w:color w:val="auto"/>
          <w:kern w:val="0"/>
          <w:sz w:val="24"/>
          <w:szCs w:val="24"/>
          <w:highlight w:val="none"/>
          <w:lang w:val="en-US" w:eastAsia="zh-CN" w:bidi="ar"/>
        </w:rPr>
        <w:t>)</w:t>
      </w:r>
    </w:p>
    <w:p w14:paraId="33ED74D4">
      <w:pPr>
        <w:keepNext w:val="0"/>
        <w:keepLines w:val="0"/>
        <w:widowControl w:val="0"/>
        <w:suppressLineNumbers w:val="0"/>
        <w:spacing w:before="0" w:beforeAutospacing="0" w:after="0" w:afterAutospacing="0" w:line="800" w:lineRule="exact"/>
        <w:ind w:left="0" w:right="0" w:firstLine="480" w:firstLineChars="200"/>
        <w:jc w:val="both"/>
        <w:rPr>
          <w:rFonts w:hint="default" w:ascii="Calibri" w:hAnsi="Calibri" w:eastAsia="宋体" w:cs="Times New Roman"/>
          <w:color w:val="auto"/>
          <w:sz w:val="24"/>
          <w:szCs w:val="24"/>
          <w:highlight w:val="none"/>
          <w:u w:val="single"/>
        </w:rPr>
      </w:pPr>
      <w:r>
        <w:rPr>
          <w:rFonts w:hint="eastAsia" w:ascii="宋体" w:hAnsi="宋体" w:eastAsia="宋体" w:cs="宋体"/>
          <w:color w:val="auto"/>
          <w:kern w:val="0"/>
          <w:sz w:val="24"/>
          <w:szCs w:val="24"/>
          <w:highlight w:val="none"/>
          <w:lang w:val="en-US" w:eastAsia="zh-CN" w:bidi="ar"/>
        </w:rPr>
        <w:t>编制人：</w:t>
      </w:r>
      <w:r>
        <w:rPr>
          <w:rFonts w:hint="eastAsia" w:ascii="Calibri" w:hAnsi="Calibri" w:eastAsia="宋体" w:cs="Times New Roman"/>
          <w:color w:val="auto"/>
          <w:kern w:val="0"/>
          <w:sz w:val="24"/>
          <w:szCs w:val="24"/>
          <w:highlight w:val="none"/>
          <w:u w:val="single"/>
          <w:lang w:val="en-US" w:eastAsia="zh-CN" w:bidi="ar"/>
        </w:rPr>
        <w:t xml:space="preserve">                                                 </w:t>
      </w:r>
    </w:p>
    <w:p w14:paraId="2DB5B7FE">
      <w:pPr>
        <w:keepNext w:val="0"/>
        <w:keepLines w:val="0"/>
        <w:widowControl w:val="0"/>
        <w:suppressLineNumbers w:val="0"/>
        <w:spacing w:before="0" w:beforeAutospacing="0" w:after="0" w:afterAutospacing="0" w:line="800" w:lineRule="exact"/>
        <w:ind w:left="0" w:right="0" w:firstLine="2040" w:firstLineChars="850"/>
        <w:jc w:val="both"/>
        <w:rPr>
          <w:rFonts w:hint="default" w:ascii="Calibri" w:hAnsi="Calibri" w:eastAsia="宋体" w:cs="Times New Roman"/>
          <w:color w:val="auto"/>
          <w:sz w:val="24"/>
          <w:szCs w:val="24"/>
          <w:highlight w:val="none"/>
        </w:rPr>
      </w:pPr>
      <w:r>
        <w:rPr>
          <w:rFonts w:hint="eastAsia" w:ascii="Calibri" w:hAnsi="Calibri" w:eastAsia="宋体" w:cs="Times New Roman"/>
          <w:color w:val="auto"/>
          <w:kern w:val="0"/>
          <w:sz w:val="24"/>
          <w:szCs w:val="24"/>
          <w:highlight w:val="none"/>
          <w:lang w:val="en-US" w:eastAsia="zh-CN" w:bidi="ar"/>
        </w:rPr>
        <w:t xml:space="preserve"> </w:t>
      </w:r>
      <w:r>
        <w:rPr>
          <w:rFonts w:hint="default" w:ascii="Calibri" w:hAnsi="Calibri" w:eastAsia="宋体" w:cs="Calibri"/>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注册造价工程师签字并盖执业专用章</w:t>
      </w:r>
      <w:r>
        <w:rPr>
          <w:rFonts w:hint="default" w:ascii="Calibri" w:hAnsi="Calibri" w:eastAsia="宋体" w:cs="Calibri"/>
          <w:color w:val="auto"/>
          <w:kern w:val="0"/>
          <w:sz w:val="24"/>
          <w:szCs w:val="24"/>
          <w:highlight w:val="none"/>
          <w:lang w:val="en-US" w:eastAsia="zh-CN" w:bidi="ar"/>
        </w:rPr>
        <w:t>)</w:t>
      </w:r>
    </w:p>
    <w:p w14:paraId="235345EF">
      <w:pPr>
        <w:keepNext w:val="0"/>
        <w:keepLines w:val="0"/>
        <w:widowControl w:val="0"/>
        <w:suppressLineNumbers w:val="0"/>
        <w:spacing w:before="0" w:beforeAutospacing="0" w:after="0" w:afterAutospacing="0" w:line="800" w:lineRule="exact"/>
        <w:ind w:left="0" w:right="0" w:firstLine="480" w:firstLineChars="200"/>
        <w:jc w:val="both"/>
        <w:rPr>
          <w:rFonts w:hint="default" w:ascii="Calibri" w:hAnsi="Calibri"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编制时间：</w:t>
      </w:r>
      <w:r>
        <w:rPr>
          <w:rFonts w:hint="eastAsia" w:ascii="Calibri" w:hAnsi="Calibri" w:eastAsia="宋体" w:cs="Times New Roman"/>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年</w:t>
      </w:r>
      <w:r>
        <w:rPr>
          <w:rFonts w:hint="eastAsia" w:ascii="Calibri" w:hAnsi="Calibri" w:eastAsia="宋体" w:cs="Times New Roman"/>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月</w:t>
      </w:r>
      <w:r>
        <w:rPr>
          <w:rFonts w:hint="eastAsia" w:ascii="Calibri" w:hAnsi="Calibri" w:eastAsia="宋体" w:cs="Times New Roman"/>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日</w:t>
      </w:r>
    </w:p>
    <w:p w14:paraId="5100E6F2">
      <w:pPr>
        <w:adjustRightInd w:val="0"/>
        <w:snapToGrid w:val="0"/>
        <w:spacing w:line="360" w:lineRule="auto"/>
        <w:ind w:firstLine="482" w:firstLineChars="200"/>
        <w:jc w:val="center"/>
        <w:rPr>
          <w:b/>
          <w:bCs/>
          <w:color w:val="auto"/>
          <w:sz w:val="24"/>
          <w:szCs w:val="28"/>
          <w:highlight w:val="none"/>
        </w:rPr>
      </w:pPr>
    </w:p>
    <w:p w14:paraId="3C5FA1F8">
      <w:pPr>
        <w:widowControl/>
        <w:jc w:val="left"/>
        <w:rPr>
          <w:b/>
          <w:bCs/>
          <w:color w:val="auto"/>
          <w:sz w:val="24"/>
          <w:szCs w:val="28"/>
          <w:highlight w:val="none"/>
        </w:rPr>
      </w:pPr>
      <w:r>
        <w:rPr>
          <w:b/>
          <w:bCs/>
          <w:color w:val="auto"/>
          <w:sz w:val="24"/>
          <w:szCs w:val="28"/>
          <w:highlight w:val="none"/>
        </w:rPr>
        <w:br w:type="page"/>
      </w:r>
    </w:p>
    <w:p w14:paraId="56E2141A">
      <w:pPr>
        <w:spacing w:line="360" w:lineRule="auto"/>
        <w:jc w:val="center"/>
        <w:outlineLvl w:val="1"/>
        <w:rPr>
          <w:rFonts w:asciiTheme="minorEastAsia" w:hAnsiTheme="minorEastAsia" w:eastAsiaTheme="minorEastAsia"/>
          <w:b/>
          <w:color w:val="auto"/>
          <w:sz w:val="24"/>
          <w:highlight w:val="none"/>
        </w:rPr>
      </w:pPr>
      <w:bookmarkStart w:id="658" w:name="_Toc461053087"/>
      <w:bookmarkStart w:id="659" w:name="_Toc461056632"/>
      <w:bookmarkStart w:id="660" w:name="_Toc520983588"/>
      <w:bookmarkStart w:id="661" w:name="_Toc28658"/>
      <w:bookmarkStart w:id="662" w:name="_Toc19576"/>
      <w:r>
        <w:rPr>
          <w:rFonts w:hint="eastAsia" w:asciiTheme="minorEastAsia" w:hAnsiTheme="minorEastAsia" w:eastAsiaTheme="minorEastAsia"/>
          <w:b/>
          <w:color w:val="auto"/>
          <w:sz w:val="24"/>
          <w:highlight w:val="none"/>
        </w:rPr>
        <w:t>二</w:t>
      </w:r>
      <w:bookmarkEnd w:id="658"/>
      <w:bookmarkEnd w:id="659"/>
      <w:r>
        <w:rPr>
          <w:rFonts w:hint="eastAsia" w:asciiTheme="minorEastAsia" w:hAnsiTheme="minorEastAsia" w:eastAsiaTheme="minorEastAsia"/>
          <w:b/>
          <w:color w:val="auto"/>
          <w:sz w:val="24"/>
          <w:highlight w:val="none"/>
        </w:rPr>
        <w:t>、最后承诺报价表</w:t>
      </w:r>
      <w:bookmarkEnd w:id="660"/>
      <w:bookmarkEnd w:id="661"/>
      <w:bookmarkEnd w:id="662"/>
    </w:p>
    <w:p w14:paraId="394CFFCC">
      <w:pPr>
        <w:spacing w:before="156" w:beforeLines="50" w:after="156" w:afterLines="50" w:line="360" w:lineRule="auto"/>
        <w:ind w:firstLine="236" w:firstLineChars="98"/>
        <w:jc w:val="center"/>
        <w:outlineLvl w:val="9"/>
        <w:rPr>
          <w:b/>
          <w:color w:val="auto"/>
          <w:sz w:val="24"/>
          <w:szCs w:val="28"/>
          <w:highlight w:val="none"/>
        </w:rPr>
      </w:pPr>
      <w:bookmarkStart w:id="663" w:name="_Toc16156"/>
      <w:r>
        <w:rPr>
          <w:rFonts w:hint="eastAsia"/>
          <w:b/>
          <w:color w:val="auto"/>
          <w:sz w:val="24"/>
          <w:szCs w:val="28"/>
          <w:highlight w:val="none"/>
        </w:rPr>
        <w:t>（第</w:t>
      </w:r>
      <w:r>
        <w:rPr>
          <w:rFonts w:hint="eastAsia"/>
          <w:b/>
          <w:color w:val="auto"/>
          <w:sz w:val="24"/>
          <w:szCs w:val="28"/>
          <w:highlight w:val="none"/>
          <w:u w:val="single"/>
        </w:rPr>
        <w:t xml:space="preserve">   </w:t>
      </w:r>
      <w:r>
        <w:rPr>
          <w:rFonts w:hint="eastAsia"/>
          <w:b/>
          <w:color w:val="auto"/>
          <w:sz w:val="24"/>
          <w:szCs w:val="28"/>
          <w:highlight w:val="none"/>
        </w:rPr>
        <w:t>次报价书）</w:t>
      </w:r>
      <w:bookmarkEnd w:id="663"/>
    </w:p>
    <w:p w14:paraId="5A57671C">
      <w:pPr>
        <w:snapToGrid w:val="0"/>
        <w:spacing w:line="360" w:lineRule="auto"/>
        <w:jc w:val="left"/>
        <w:rPr>
          <w:rFonts w:hint="default" w:cs="宋体" w:asciiTheme="minorEastAsia" w:hAnsiTheme="minorEastAsia" w:eastAsiaTheme="minorEastAsia"/>
          <w:b/>
          <w:color w:val="auto"/>
          <w:kern w:val="2"/>
          <w:sz w:val="24"/>
          <w:szCs w:val="24"/>
          <w:highlight w:val="none"/>
          <w:lang w:val="en-US" w:eastAsia="zh-CN"/>
        </w:rPr>
      </w:pPr>
      <w:r>
        <w:rPr>
          <w:rFonts w:hint="eastAsia" w:cs="宋体" w:asciiTheme="minorEastAsia" w:hAnsiTheme="minorEastAsia" w:eastAsiaTheme="minorEastAsia"/>
          <w:b/>
          <w:color w:val="auto"/>
          <w:kern w:val="2"/>
          <w:sz w:val="24"/>
          <w:szCs w:val="24"/>
          <w:highlight w:val="none"/>
        </w:rPr>
        <w:t>项目名称：</w:t>
      </w:r>
      <w:r>
        <w:rPr>
          <w:rFonts w:hint="eastAsia" w:cs="宋体" w:asciiTheme="minorEastAsia" w:hAnsiTheme="minorEastAsia" w:eastAsiaTheme="minorEastAsia"/>
          <w:b/>
          <w:color w:val="auto"/>
          <w:kern w:val="2"/>
          <w:sz w:val="24"/>
          <w:szCs w:val="24"/>
          <w:highlight w:val="none"/>
          <w:u w:val="single"/>
        </w:rPr>
        <w:t xml:space="preserve">     </w:t>
      </w:r>
      <w:r>
        <w:rPr>
          <w:rFonts w:hint="eastAsia" w:cs="宋体" w:asciiTheme="minorEastAsia" w:hAnsiTheme="minorEastAsia" w:eastAsiaTheme="minorEastAsia"/>
          <w:b/>
          <w:color w:val="auto"/>
          <w:kern w:val="2"/>
          <w:sz w:val="24"/>
          <w:szCs w:val="24"/>
          <w:highlight w:val="none"/>
          <w:u w:val="single"/>
          <w:lang w:val="en-US" w:eastAsia="zh-CN"/>
        </w:rPr>
        <w:t xml:space="preserve">    </w:t>
      </w:r>
    </w:p>
    <w:p w14:paraId="642A9B40">
      <w:pPr>
        <w:snapToGrid w:val="0"/>
        <w:spacing w:after="156" w:afterLines="50" w:line="360" w:lineRule="auto"/>
        <w:jc w:val="left"/>
        <w:rPr>
          <w:rFonts w:hint="default" w:cs="宋体" w:asciiTheme="minorEastAsia" w:hAnsiTheme="minorEastAsia" w:eastAsiaTheme="minorEastAsia"/>
          <w:b/>
          <w:bCs/>
          <w:color w:val="auto"/>
          <w:kern w:val="2"/>
          <w:sz w:val="24"/>
          <w:szCs w:val="24"/>
          <w:highlight w:val="none"/>
          <w:u w:val="single"/>
          <w:lang w:val="en-US" w:eastAsia="zh-CN"/>
        </w:rPr>
      </w:pPr>
      <w:r>
        <w:rPr>
          <w:rFonts w:hint="eastAsia" w:cs="宋体" w:asciiTheme="minorEastAsia" w:hAnsiTheme="minorEastAsia" w:eastAsiaTheme="minorEastAsia"/>
          <w:b/>
          <w:color w:val="auto"/>
          <w:kern w:val="2"/>
          <w:sz w:val="24"/>
          <w:szCs w:val="24"/>
          <w:highlight w:val="none"/>
        </w:rPr>
        <w:t>项目编号：</w:t>
      </w:r>
      <w:r>
        <w:rPr>
          <w:rFonts w:hint="eastAsia" w:cs="宋体" w:asciiTheme="minorEastAsia" w:hAnsiTheme="minorEastAsia" w:eastAsiaTheme="minorEastAsia"/>
          <w:b/>
          <w:color w:val="auto"/>
          <w:kern w:val="2"/>
          <w:sz w:val="24"/>
          <w:szCs w:val="24"/>
          <w:highlight w:val="none"/>
          <w:u w:val="single"/>
        </w:rPr>
        <w:t xml:space="preserve">     </w:t>
      </w:r>
      <w:r>
        <w:rPr>
          <w:rFonts w:hint="eastAsia" w:cs="宋体" w:asciiTheme="minorEastAsia" w:hAnsiTheme="minorEastAsia" w:eastAsiaTheme="minorEastAsia"/>
          <w:b/>
          <w:color w:val="auto"/>
          <w:kern w:val="2"/>
          <w:sz w:val="24"/>
          <w:szCs w:val="24"/>
          <w:highlight w:val="none"/>
          <w:u w:val="single"/>
          <w:lang w:val="en-US" w:eastAsia="zh-CN"/>
        </w:rPr>
        <w:t xml:space="preserve">    </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39"/>
        <w:gridCol w:w="6105"/>
      </w:tblGrid>
      <w:tr w14:paraId="77789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509" w:type="pct"/>
            <w:tcBorders>
              <w:top w:val="single" w:color="auto" w:sz="4" w:space="0"/>
              <w:left w:val="single" w:color="auto" w:sz="4" w:space="0"/>
              <w:bottom w:val="single" w:color="auto" w:sz="4" w:space="0"/>
              <w:right w:val="single" w:color="auto" w:sz="4" w:space="0"/>
            </w:tcBorders>
            <w:vAlign w:val="center"/>
          </w:tcPr>
          <w:p w14:paraId="667ABD11">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供应商名称</w:t>
            </w:r>
          </w:p>
        </w:tc>
        <w:tc>
          <w:tcPr>
            <w:tcW w:w="3491" w:type="pct"/>
            <w:tcBorders>
              <w:left w:val="single" w:color="auto" w:sz="4" w:space="0"/>
            </w:tcBorders>
          </w:tcPr>
          <w:p w14:paraId="440F6862">
            <w:pPr>
              <w:rPr>
                <w:rFonts w:cs="宋体" w:asciiTheme="minorEastAsia" w:hAnsiTheme="minorEastAsia" w:eastAsiaTheme="minorEastAsia"/>
                <w:b/>
                <w:color w:val="auto"/>
                <w:kern w:val="2"/>
                <w:sz w:val="24"/>
                <w:szCs w:val="24"/>
                <w:highlight w:val="none"/>
              </w:rPr>
            </w:pPr>
          </w:p>
        </w:tc>
      </w:tr>
      <w:tr w14:paraId="64FAB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509" w:type="pct"/>
            <w:tcBorders>
              <w:top w:val="single" w:color="auto" w:sz="4" w:space="0"/>
              <w:left w:val="single" w:color="auto" w:sz="4" w:space="0"/>
              <w:bottom w:val="single" w:color="auto" w:sz="4" w:space="0"/>
              <w:right w:val="single" w:color="auto" w:sz="4" w:space="0"/>
            </w:tcBorders>
            <w:vAlign w:val="center"/>
          </w:tcPr>
          <w:p w14:paraId="30B9B64E">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谈判</w:t>
            </w:r>
            <w:r>
              <w:rPr>
                <w:rFonts w:hint="eastAsia" w:cs="宋体" w:asciiTheme="minorEastAsia" w:hAnsiTheme="minorEastAsia" w:eastAsiaTheme="minorEastAsia"/>
                <w:b/>
                <w:color w:val="auto"/>
                <w:kern w:val="2"/>
                <w:sz w:val="24"/>
                <w:szCs w:val="24"/>
                <w:highlight w:val="none"/>
              </w:rPr>
              <w:t>范围</w:t>
            </w:r>
          </w:p>
        </w:tc>
        <w:tc>
          <w:tcPr>
            <w:tcW w:w="3491" w:type="pct"/>
            <w:tcBorders>
              <w:left w:val="single" w:color="auto" w:sz="4" w:space="0"/>
            </w:tcBorders>
            <w:vAlign w:val="center"/>
          </w:tcPr>
          <w:p w14:paraId="44602FA1">
            <w:pPr>
              <w:widowControl/>
              <w:rPr>
                <w:rFonts w:cs="宋体" w:asciiTheme="minorEastAsia" w:hAnsiTheme="minorEastAsia" w:eastAsiaTheme="minorEastAsia"/>
                <w:b/>
                <w:color w:val="auto"/>
                <w:kern w:val="2"/>
                <w:sz w:val="24"/>
                <w:szCs w:val="24"/>
                <w:highlight w:val="none"/>
              </w:rPr>
            </w:pPr>
            <w:r>
              <w:rPr>
                <w:rFonts w:hint="eastAsia" w:cs="@仿宋_GB2312" w:asciiTheme="minorEastAsia" w:hAnsiTheme="minorEastAsia" w:eastAsiaTheme="minorEastAsia"/>
                <w:color w:val="auto"/>
                <w:kern w:val="2"/>
                <w:sz w:val="24"/>
                <w:szCs w:val="28"/>
                <w:highlight w:val="none"/>
              </w:rPr>
              <w:t xml:space="preserve">全部 </w:t>
            </w:r>
          </w:p>
        </w:tc>
      </w:tr>
      <w:tr w14:paraId="0FB52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jc w:val="center"/>
        </w:trPr>
        <w:tc>
          <w:tcPr>
            <w:tcW w:w="1509" w:type="pct"/>
            <w:tcBorders>
              <w:top w:val="single" w:color="auto" w:sz="4" w:space="0"/>
            </w:tcBorders>
            <w:vAlign w:val="center"/>
          </w:tcPr>
          <w:p w14:paraId="2E5C39F4">
            <w:pPr>
              <w:spacing w:line="360" w:lineRule="auto"/>
              <w:jc w:val="center"/>
              <w:rPr>
                <w:rFonts w:cs="@仿宋_GB2312"/>
                <w:b/>
                <w:color w:val="auto"/>
                <w:kern w:val="2"/>
                <w:sz w:val="24"/>
                <w:highlight w:val="none"/>
              </w:rPr>
            </w:pPr>
            <w:r>
              <w:rPr>
                <w:rFonts w:hint="eastAsia" w:cs="@仿宋_GB2312"/>
                <w:b/>
                <w:bCs/>
                <w:color w:val="auto"/>
                <w:kern w:val="2"/>
                <w:sz w:val="24"/>
                <w:szCs w:val="28"/>
                <w:highlight w:val="none"/>
              </w:rPr>
              <w:t>最后报价</w:t>
            </w:r>
          </w:p>
          <w:p w14:paraId="3F32C929">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（详见备注说明）</w:t>
            </w:r>
          </w:p>
        </w:tc>
        <w:tc>
          <w:tcPr>
            <w:tcW w:w="3491" w:type="pct"/>
            <w:vAlign w:val="center"/>
          </w:tcPr>
          <w:p w14:paraId="5BF55CDB">
            <w:pPr>
              <w:snapToGrid w:val="0"/>
              <w:spacing w:line="360" w:lineRule="auto"/>
              <w:jc w:val="left"/>
              <w:rPr>
                <w:rFonts w:cs="宋体"/>
                <w:bCs/>
                <w:color w:val="auto"/>
                <w:sz w:val="21"/>
                <w:szCs w:val="21"/>
                <w:highlight w:val="none"/>
                <w:u w:val="single"/>
              </w:rPr>
            </w:pPr>
            <w:r>
              <w:rPr>
                <w:rFonts w:hint="eastAsia" w:cs="宋体"/>
                <w:bCs/>
                <w:color w:val="auto"/>
                <w:sz w:val="21"/>
                <w:szCs w:val="21"/>
                <w:highlight w:val="none"/>
              </w:rPr>
              <w:t>大写：</w:t>
            </w:r>
            <w:r>
              <w:rPr>
                <w:rFonts w:hint="eastAsia" w:cs="宋体"/>
                <w:bCs/>
                <w:color w:val="auto"/>
                <w:sz w:val="21"/>
                <w:szCs w:val="21"/>
                <w:highlight w:val="none"/>
                <w:u w:val="single"/>
              </w:rPr>
              <w:t xml:space="preserve">                     </w:t>
            </w:r>
          </w:p>
          <w:p w14:paraId="4A92EAC1">
            <w:pPr>
              <w:snapToGrid w:val="0"/>
              <w:rPr>
                <w:rFonts w:cs="宋体" w:asciiTheme="minorEastAsia" w:hAnsiTheme="minorEastAsia" w:eastAsiaTheme="minorEastAsia"/>
                <w:b/>
                <w:color w:val="auto"/>
                <w:kern w:val="2"/>
                <w:sz w:val="24"/>
                <w:szCs w:val="24"/>
                <w:highlight w:val="none"/>
              </w:rPr>
            </w:pPr>
            <w:r>
              <w:rPr>
                <w:rFonts w:hint="eastAsia" w:cs="宋体"/>
                <w:bCs/>
                <w:color w:val="auto"/>
                <w:sz w:val="21"/>
                <w:szCs w:val="21"/>
                <w:highlight w:val="none"/>
              </w:rPr>
              <w:t>小写：</w:t>
            </w:r>
            <w:r>
              <w:rPr>
                <w:rFonts w:hint="eastAsia" w:cs="宋体"/>
                <w:bCs/>
                <w:color w:val="auto"/>
                <w:sz w:val="21"/>
                <w:szCs w:val="21"/>
                <w:highlight w:val="none"/>
                <w:u w:val="single"/>
              </w:rPr>
              <w:t xml:space="preserve">                     </w:t>
            </w:r>
          </w:p>
        </w:tc>
      </w:tr>
      <w:tr w14:paraId="0FAC9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509" w:type="pct"/>
            <w:tcBorders>
              <w:top w:val="single" w:color="auto" w:sz="4" w:space="0"/>
            </w:tcBorders>
            <w:vAlign w:val="center"/>
          </w:tcPr>
          <w:p w14:paraId="47181268">
            <w:pPr>
              <w:snapToGrid w:val="0"/>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质量标准</w:t>
            </w:r>
          </w:p>
        </w:tc>
        <w:tc>
          <w:tcPr>
            <w:tcW w:w="3491" w:type="pct"/>
            <w:vAlign w:val="center"/>
          </w:tcPr>
          <w:p w14:paraId="5EF01F22">
            <w:pPr>
              <w:snapToGrid w:val="0"/>
              <w:rPr>
                <w:rFonts w:cs="宋体" w:asciiTheme="minorEastAsia" w:hAnsiTheme="minorEastAsia" w:eastAsiaTheme="minorEastAsia"/>
                <w:b/>
                <w:color w:val="auto"/>
                <w:kern w:val="2"/>
                <w:sz w:val="24"/>
                <w:szCs w:val="24"/>
                <w:highlight w:val="none"/>
              </w:rPr>
            </w:pPr>
          </w:p>
        </w:tc>
      </w:tr>
      <w:tr w14:paraId="4F98A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509" w:type="pct"/>
            <w:tcBorders>
              <w:top w:val="single" w:color="auto" w:sz="4" w:space="0"/>
            </w:tcBorders>
            <w:vAlign w:val="center"/>
          </w:tcPr>
          <w:p w14:paraId="65A5DDD5">
            <w:pPr>
              <w:snapToGrid w:val="0"/>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工    期</w:t>
            </w:r>
          </w:p>
        </w:tc>
        <w:tc>
          <w:tcPr>
            <w:tcW w:w="3491" w:type="pct"/>
            <w:vAlign w:val="center"/>
          </w:tcPr>
          <w:p w14:paraId="4F203BB6">
            <w:pPr>
              <w:snapToGrid w:val="0"/>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Cs/>
                <w:color w:val="auto"/>
                <w:kern w:val="2"/>
                <w:sz w:val="24"/>
                <w:szCs w:val="24"/>
                <w:highlight w:val="none"/>
              </w:rPr>
              <w:t>接开工令后</w:t>
            </w:r>
            <w:r>
              <w:rPr>
                <w:rFonts w:hint="eastAsia" w:cs="宋体" w:asciiTheme="minorEastAsia" w:hAnsiTheme="minorEastAsia" w:eastAsiaTheme="minorEastAsia"/>
                <w:bCs/>
                <w:color w:val="auto"/>
                <w:kern w:val="2"/>
                <w:sz w:val="24"/>
                <w:szCs w:val="24"/>
                <w:highlight w:val="none"/>
                <w:u w:val="single"/>
              </w:rPr>
              <w:t xml:space="preserve">      </w:t>
            </w:r>
            <w:r>
              <w:rPr>
                <w:rFonts w:hint="eastAsia" w:cs="宋体" w:asciiTheme="minorEastAsia" w:hAnsiTheme="minorEastAsia" w:eastAsiaTheme="minorEastAsia"/>
                <w:bCs/>
                <w:color w:val="auto"/>
                <w:kern w:val="2"/>
                <w:sz w:val="24"/>
                <w:szCs w:val="24"/>
                <w:highlight w:val="none"/>
              </w:rPr>
              <w:t>日历天完工</w:t>
            </w:r>
          </w:p>
        </w:tc>
      </w:tr>
      <w:tr w14:paraId="13358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509" w:type="pct"/>
            <w:tcBorders>
              <w:top w:val="single" w:color="auto" w:sz="4" w:space="0"/>
            </w:tcBorders>
            <w:vAlign w:val="center"/>
          </w:tcPr>
          <w:p w14:paraId="42580CAC">
            <w:pPr>
              <w:snapToGrid w:val="0"/>
              <w:jc w:val="center"/>
              <w:rPr>
                <w:rFonts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是否响应付款方式</w:t>
            </w:r>
          </w:p>
        </w:tc>
        <w:tc>
          <w:tcPr>
            <w:tcW w:w="3491" w:type="pct"/>
            <w:vAlign w:val="center"/>
          </w:tcPr>
          <w:p w14:paraId="09573331">
            <w:pPr>
              <w:snapToGrid w:val="0"/>
              <w:rPr>
                <w:rFonts w:cs="宋体" w:asciiTheme="minorEastAsia" w:hAnsiTheme="minorEastAsia" w:eastAsiaTheme="minorEastAsia"/>
                <w:bCs/>
                <w:color w:val="auto"/>
                <w:kern w:val="2"/>
                <w:sz w:val="24"/>
                <w:szCs w:val="24"/>
                <w:highlight w:val="none"/>
              </w:rPr>
            </w:pPr>
            <w:r>
              <w:rPr>
                <w:rFonts w:hint="eastAsia" w:cs="宋体" w:asciiTheme="minorEastAsia" w:hAnsiTheme="minorEastAsia" w:eastAsiaTheme="minorEastAsia"/>
                <w:color w:val="auto"/>
                <w:kern w:val="2"/>
                <w:sz w:val="24"/>
                <w:szCs w:val="24"/>
                <w:highlight w:val="none"/>
              </w:rPr>
              <w:t>是□    否□   （划√）</w:t>
            </w:r>
          </w:p>
        </w:tc>
      </w:tr>
      <w:tr w14:paraId="2F8B6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1509" w:type="pct"/>
            <w:vAlign w:val="center"/>
          </w:tcPr>
          <w:p w14:paraId="6BB542EE">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备注说明</w:t>
            </w:r>
          </w:p>
        </w:tc>
        <w:tc>
          <w:tcPr>
            <w:tcW w:w="3491" w:type="pct"/>
          </w:tcPr>
          <w:p w14:paraId="61AF47AA">
            <w:pP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i/>
                <w:color w:val="auto"/>
                <w:kern w:val="2"/>
                <w:sz w:val="24"/>
                <w:szCs w:val="24"/>
                <w:highlight w:val="none"/>
              </w:rPr>
              <w:t>（此处可补充谈判小组根据与供应商谈判情况变动的谈判文件的内容，包括采购需求中的技术、服务要求以及合同草案条款。）</w:t>
            </w:r>
          </w:p>
        </w:tc>
      </w:tr>
      <w:tr w14:paraId="4E78B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1509" w:type="pct"/>
            <w:vAlign w:val="center"/>
          </w:tcPr>
          <w:p w14:paraId="2CE5204A">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谈判小组签字</w:t>
            </w:r>
          </w:p>
        </w:tc>
        <w:tc>
          <w:tcPr>
            <w:tcW w:w="3491" w:type="pct"/>
          </w:tcPr>
          <w:p w14:paraId="628405B1">
            <w:pPr>
              <w:rPr>
                <w:rFonts w:cs="宋体" w:asciiTheme="minorEastAsia" w:hAnsiTheme="minorEastAsia" w:eastAsiaTheme="minorEastAsia"/>
                <w:b/>
                <w:color w:val="auto"/>
                <w:kern w:val="2"/>
                <w:sz w:val="24"/>
                <w:szCs w:val="24"/>
                <w:highlight w:val="none"/>
              </w:rPr>
            </w:pPr>
          </w:p>
        </w:tc>
      </w:tr>
    </w:tbl>
    <w:p w14:paraId="0C0E94FC">
      <w:pPr>
        <w:spacing w:line="440" w:lineRule="exact"/>
        <w:ind w:firstLine="3600" w:firstLineChars="1500"/>
        <w:rPr>
          <w:rFonts w:cs="@仿宋_GB2312"/>
          <w:color w:val="auto"/>
          <w:kern w:val="2"/>
          <w:sz w:val="24"/>
          <w:szCs w:val="24"/>
          <w:highlight w:val="none"/>
          <w:u w:val="single"/>
        </w:rPr>
      </w:pPr>
      <w:r>
        <w:rPr>
          <w:rFonts w:hint="eastAsia" w:cs="@仿宋_GB2312"/>
          <w:color w:val="auto"/>
          <w:kern w:val="2"/>
          <w:sz w:val="24"/>
          <w:szCs w:val="24"/>
          <w:highlight w:val="none"/>
        </w:rPr>
        <w:t>供应商公章或授权代表签字：</w:t>
      </w:r>
      <w:r>
        <w:rPr>
          <w:rFonts w:hint="eastAsia" w:cs="@仿宋_GB2312"/>
          <w:color w:val="auto"/>
          <w:kern w:val="2"/>
          <w:sz w:val="24"/>
          <w:szCs w:val="24"/>
          <w:highlight w:val="none"/>
          <w:u w:val="single"/>
        </w:rPr>
        <w:t xml:space="preserve">     </w:t>
      </w:r>
      <w:r>
        <w:rPr>
          <w:rFonts w:cs="@仿宋_GB2312"/>
          <w:color w:val="auto"/>
          <w:kern w:val="2"/>
          <w:sz w:val="24"/>
          <w:szCs w:val="24"/>
          <w:highlight w:val="none"/>
          <w:u w:val="single"/>
        </w:rPr>
        <w:t xml:space="preserve">    </w:t>
      </w:r>
      <w:r>
        <w:rPr>
          <w:rFonts w:hint="eastAsia" w:cs="@仿宋_GB2312"/>
          <w:color w:val="auto"/>
          <w:kern w:val="2"/>
          <w:sz w:val="24"/>
          <w:szCs w:val="24"/>
          <w:highlight w:val="none"/>
          <w:u w:val="single"/>
        </w:rPr>
        <w:t xml:space="preserve">    </w:t>
      </w:r>
    </w:p>
    <w:p w14:paraId="390BC005">
      <w:pPr>
        <w:spacing w:line="440" w:lineRule="exact"/>
        <w:ind w:firstLine="4800" w:firstLineChars="2000"/>
        <w:rPr>
          <w:rFonts w:cs="宋体" w:asciiTheme="minorEastAsia" w:hAnsiTheme="minorEastAsia" w:eastAsiaTheme="minorEastAsia"/>
          <w:b/>
          <w:bCs/>
          <w:color w:val="auto"/>
          <w:kern w:val="2"/>
          <w:sz w:val="24"/>
          <w:szCs w:val="24"/>
          <w:highlight w:val="none"/>
        </w:rPr>
      </w:pPr>
      <w:r>
        <w:rPr>
          <w:rFonts w:hint="eastAsia" w:cs="@仿宋_GB2312"/>
          <w:color w:val="auto"/>
          <w:kern w:val="2"/>
          <w:sz w:val="24"/>
          <w:szCs w:val="24"/>
          <w:highlight w:val="none"/>
        </w:rPr>
        <w:t xml:space="preserve">日     </w:t>
      </w:r>
      <w:r>
        <w:rPr>
          <w:rFonts w:cs="@仿宋_GB2312"/>
          <w:color w:val="auto"/>
          <w:kern w:val="2"/>
          <w:sz w:val="24"/>
          <w:szCs w:val="24"/>
          <w:highlight w:val="none"/>
        </w:rPr>
        <w:t xml:space="preserve">    </w:t>
      </w:r>
      <w:r>
        <w:rPr>
          <w:rFonts w:hint="eastAsia" w:cs="@仿宋_GB2312"/>
          <w:color w:val="auto"/>
          <w:kern w:val="2"/>
          <w:sz w:val="24"/>
          <w:szCs w:val="24"/>
          <w:highlight w:val="none"/>
        </w:rPr>
        <w:t xml:space="preserve"> 期：</w:t>
      </w:r>
      <w:r>
        <w:rPr>
          <w:rFonts w:hint="eastAsia" w:cs="@仿宋_GB2312"/>
          <w:color w:val="auto"/>
          <w:kern w:val="2"/>
          <w:sz w:val="24"/>
          <w:szCs w:val="24"/>
          <w:highlight w:val="none"/>
          <w:u w:val="single"/>
        </w:rPr>
        <w:t xml:space="preserve">             </w:t>
      </w:r>
    </w:p>
    <w:p w14:paraId="10B07FFF">
      <w:pPr>
        <w:spacing w:line="360" w:lineRule="auto"/>
        <w:jc w:val="left"/>
        <w:rPr>
          <w:rFonts w:hint="eastAsia"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注：</w:t>
      </w:r>
    </w:p>
    <w:p w14:paraId="590F0D4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cs="宋体" w:asciiTheme="minorEastAsia" w:hAnsiTheme="minorEastAsia" w:eastAsiaTheme="minorEastAsia"/>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1.</w:t>
      </w:r>
      <w:r>
        <w:rPr>
          <w:rFonts w:hint="eastAsia" w:cs="@仿宋_GB2312"/>
          <w:b/>
          <w:bCs/>
          <w:color w:val="auto"/>
          <w:kern w:val="2"/>
          <w:sz w:val="24"/>
          <w:highlight w:val="none"/>
        </w:rPr>
        <w:t>本页《报价表》由供应商在接到报价通知后依据谈判情况填写,并在规定时间内提交。</w:t>
      </w:r>
      <w:r>
        <w:rPr>
          <w:rFonts w:hint="eastAsia" w:cs="宋体" w:asciiTheme="minorEastAsia" w:hAnsiTheme="minorEastAsia" w:eastAsiaTheme="minorEastAsia"/>
          <w:color w:val="auto"/>
          <w:kern w:val="2"/>
          <w:sz w:val="24"/>
          <w:szCs w:val="24"/>
          <w:highlight w:val="none"/>
        </w:rPr>
        <w:t>考虑谈判报价的方便，供应商在填写最后承诺报价后，（第一次报价-最后承诺报价）除以第一次报价后得出的优惠率视同为清单中全部分项工程量的优惠浮动值（特定分项优惠除外），而不考虑措施项目清单和规费税金清单的金额改变。</w:t>
      </w:r>
      <w:r>
        <w:rPr>
          <w:rFonts w:hint="eastAsia" w:cs="宋体" w:asciiTheme="minorEastAsia" w:hAnsiTheme="minorEastAsia" w:eastAsiaTheme="minorEastAsia"/>
          <w:bCs/>
          <w:color w:val="auto"/>
          <w:kern w:val="2"/>
          <w:sz w:val="24"/>
          <w:szCs w:val="24"/>
          <w:highlight w:val="none"/>
        </w:rPr>
        <w:t>此优惠率调整原则适用于合同内价格的计算及项目增减、变更时价格的计算。</w:t>
      </w:r>
    </w:p>
    <w:p w14:paraId="1F1BFEB5">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2.表中大写金额与小写金额不一致的，以大写金额为准。</w:t>
      </w:r>
    </w:p>
    <w:p w14:paraId="17B2D46B">
      <w:pPr>
        <w:widowControl/>
        <w:jc w:val="left"/>
        <w:rPr>
          <w:bCs/>
          <w:color w:val="auto"/>
          <w:sz w:val="24"/>
          <w:highlight w:val="none"/>
        </w:rPr>
      </w:pPr>
      <w:r>
        <w:rPr>
          <w:bCs/>
          <w:color w:val="auto"/>
          <w:sz w:val="24"/>
          <w:highlight w:val="none"/>
        </w:rPr>
        <w:br w:type="page"/>
      </w:r>
    </w:p>
    <w:p w14:paraId="1987DF08">
      <w:pPr>
        <w:keepNext/>
        <w:keepLines/>
        <w:spacing w:before="260" w:after="260" w:line="416" w:lineRule="auto"/>
        <w:jc w:val="center"/>
        <w:outlineLvl w:val="1"/>
        <w:rPr>
          <w:rFonts w:cs="@仿宋_GB2312" w:asciiTheme="minorEastAsia" w:hAnsiTheme="minorEastAsia" w:eastAsiaTheme="minorEastAsia"/>
          <w:b/>
          <w:bCs/>
          <w:color w:val="auto"/>
          <w:kern w:val="2"/>
          <w:sz w:val="24"/>
          <w:szCs w:val="24"/>
          <w:highlight w:val="none"/>
        </w:rPr>
      </w:pPr>
      <w:bookmarkStart w:id="664" w:name="_Toc15150"/>
      <w:bookmarkStart w:id="665" w:name="_Toc1235"/>
      <w:bookmarkStart w:id="666" w:name="_Toc520983591"/>
      <w:r>
        <w:rPr>
          <w:rFonts w:hint="eastAsia" w:cs="@仿宋_GB2312" w:asciiTheme="minorEastAsia" w:hAnsiTheme="minorEastAsia" w:eastAsiaTheme="minorEastAsia"/>
          <w:b/>
          <w:bCs/>
          <w:color w:val="auto"/>
          <w:kern w:val="2"/>
          <w:sz w:val="24"/>
          <w:szCs w:val="24"/>
          <w:highlight w:val="none"/>
        </w:rPr>
        <w:t>三、供应商综合情况简介</w:t>
      </w:r>
      <w:bookmarkEnd w:id="664"/>
      <w:bookmarkEnd w:id="665"/>
    </w:p>
    <w:p w14:paraId="5FF12CA4">
      <w:pPr>
        <w:spacing w:before="156" w:beforeLines="50" w:after="156" w:afterLines="50" w:line="360" w:lineRule="auto"/>
        <w:ind w:firstLine="235" w:firstLineChars="98"/>
        <w:jc w:val="center"/>
        <w:rPr>
          <w:color w:val="auto"/>
          <w:sz w:val="24"/>
          <w:szCs w:val="28"/>
          <w:highlight w:val="none"/>
        </w:rPr>
      </w:pPr>
      <w:r>
        <w:rPr>
          <w:rFonts w:hint="eastAsia"/>
          <w:color w:val="auto"/>
          <w:sz w:val="24"/>
          <w:szCs w:val="28"/>
          <w:highlight w:val="none"/>
        </w:rPr>
        <w:t>（供应商可自行制作格式）</w:t>
      </w:r>
    </w:p>
    <w:p w14:paraId="03E7754B">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40556963">
      <w:pPr>
        <w:spacing w:line="360" w:lineRule="auto"/>
        <w:jc w:val="center"/>
        <w:outlineLvl w:val="1"/>
        <w:rPr>
          <w:rFonts w:asciiTheme="minorEastAsia" w:hAnsiTheme="minorEastAsia" w:eastAsiaTheme="minorEastAsia"/>
          <w:b/>
          <w:color w:val="auto"/>
          <w:sz w:val="24"/>
          <w:highlight w:val="none"/>
        </w:rPr>
      </w:pPr>
      <w:bookmarkStart w:id="667" w:name="_Toc6969"/>
      <w:bookmarkStart w:id="668" w:name="_Toc6032"/>
      <w:r>
        <w:rPr>
          <w:rFonts w:hint="eastAsia" w:asciiTheme="minorEastAsia" w:hAnsiTheme="minorEastAsia" w:eastAsiaTheme="minorEastAsia"/>
          <w:b/>
          <w:color w:val="auto"/>
          <w:sz w:val="24"/>
          <w:highlight w:val="none"/>
        </w:rPr>
        <w:t>四、谈判响应函</w:t>
      </w:r>
      <w:bookmarkEnd w:id="666"/>
      <w:bookmarkEnd w:id="667"/>
      <w:bookmarkEnd w:id="668"/>
    </w:p>
    <w:p w14:paraId="5109D588">
      <w:pPr>
        <w:spacing w:line="360" w:lineRule="auto"/>
        <w:rPr>
          <w:rFonts w:hint="eastAsia" w:cs="宋体" w:asciiTheme="minorEastAsia" w:hAnsiTheme="minorEastAsia" w:eastAsiaTheme="minorEastAsia"/>
          <w:b/>
          <w:color w:val="auto"/>
          <w:kern w:val="2"/>
          <w:sz w:val="24"/>
          <w:szCs w:val="24"/>
          <w:highlight w:val="none"/>
          <w:u w:val="single"/>
          <w:lang w:eastAsia="zh-CN"/>
        </w:rPr>
      </w:pPr>
      <w:r>
        <w:rPr>
          <w:rFonts w:hint="eastAsia" w:cs="宋体" w:asciiTheme="minorEastAsia" w:hAnsiTheme="minorEastAsia" w:eastAsiaTheme="minorEastAsia"/>
          <w:b/>
          <w:color w:val="auto"/>
          <w:kern w:val="2"/>
          <w:sz w:val="24"/>
          <w:szCs w:val="24"/>
          <w:highlight w:val="none"/>
        </w:rPr>
        <w:t>致：</w:t>
      </w:r>
      <w:r>
        <w:rPr>
          <w:rFonts w:hint="eastAsia" w:cs="宋体" w:asciiTheme="minorEastAsia" w:hAnsiTheme="minorEastAsia" w:eastAsiaTheme="minorEastAsia"/>
          <w:b/>
          <w:color w:val="auto"/>
          <w:kern w:val="2"/>
          <w:sz w:val="24"/>
          <w:szCs w:val="24"/>
          <w:highlight w:val="none"/>
          <w:u w:val="single"/>
          <w:lang w:eastAsia="zh-CN"/>
        </w:rPr>
        <w:t>采购人</w:t>
      </w:r>
    </w:p>
    <w:p w14:paraId="3A471ECC">
      <w:pPr>
        <w:spacing w:line="360" w:lineRule="auto"/>
        <w:ind w:firstLine="480" w:firstLineChars="200"/>
        <w:rPr>
          <w:rFonts w:cs="宋体" w:asciiTheme="minorEastAsia" w:hAnsiTheme="minorEastAsia" w:eastAsiaTheme="minorEastAsia"/>
          <w:color w:val="auto"/>
          <w:kern w:val="2"/>
          <w:sz w:val="24"/>
          <w:szCs w:val="24"/>
          <w:highlight w:val="none"/>
        </w:rPr>
      </w:pPr>
      <w:r>
        <w:rPr>
          <w:rFonts w:hint="eastAsia" w:cs="宋体" w:asciiTheme="minorEastAsia" w:hAnsiTheme="minorEastAsia" w:eastAsiaTheme="minorEastAsia"/>
          <w:color w:val="auto"/>
          <w:kern w:val="2"/>
          <w:sz w:val="24"/>
          <w:szCs w:val="24"/>
          <w:highlight w:val="none"/>
        </w:rPr>
        <w:t>根据贵方的竞争性谈判公告和谈判邀请，我方兹宣布同意如下：</w:t>
      </w:r>
    </w:p>
    <w:p w14:paraId="4A08C0C8">
      <w:pPr>
        <w:spacing w:line="360" w:lineRule="auto"/>
        <w:ind w:firstLine="480" w:firstLineChars="200"/>
        <w:rPr>
          <w:rFonts w:cs="宋体" w:asciiTheme="minorEastAsia" w:hAnsiTheme="minorEastAsia" w:eastAsiaTheme="minorEastAsia"/>
          <w:color w:val="auto"/>
          <w:kern w:val="2"/>
          <w:sz w:val="24"/>
          <w:szCs w:val="24"/>
          <w:highlight w:val="none"/>
          <w:u w:val="single"/>
        </w:rPr>
      </w:pPr>
      <w:r>
        <w:rPr>
          <w:rFonts w:hint="eastAsia" w:cs="宋体" w:asciiTheme="minorEastAsia" w:hAnsiTheme="minorEastAsia" w:eastAsiaTheme="minorEastAsia"/>
          <w:color w:val="auto"/>
          <w:kern w:val="2"/>
          <w:sz w:val="24"/>
          <w:szCs w:val="24"/>
          <w:highlight w:val="none"/>
        </w:rPr>
        <w:t>1.经踏勘项目现场和研究上述谈判文件的谈判须知、合同条款、图纸和工程建设技术标准及其他有关文件后，我方接受上述文件要求，并对工程量清单及最高投标限价无异议。我方</w:t>
      </w:r>
      <w:r>
        <w:rPr>
          <w:rFonts w:hint="eastAsia" w:cs="宋体" w:asciiTheme="minorEastAsia" w:hAnsiTheme="minorEastAsia" w:eastAsiaTheme="minorEastAsia"/>
          <w:bCs/>
          <w:color w:val="auto"/>
          <w:kern w:val="2"/>
          <w:sz w:val="24"/>
          <w:szCs w:val="24"/>
          <w:highlight w:val="none"/>
        </w:rPr>
        <w:t>承诺按本谈判文件、施工图纸、合同条款和工程建设技术标准的条件、</w:t>
      </w:r>
      <w:r>
        <w:rPr>
          <w:rFonts w:hint="eastAsia" w:cs="宋体" w:asciiTheme="minorEastAsia" w:hAnsiTheme="minorEastAsia" w:eastAsiaTheme="minorEastAsia"/>
          <w:color w:val="auto"/>
          <w:kern w:val="2"/>
          <w:sz w:val="24"/>
          <w:szCs w:val="24"/>
          <w:highlight w:val="none"/>
        </w:rPr>
        <w:t>承担</w:t>
      </w:r>
      <w:r>
        <w:rPr>
          <w:rFonts w:hint="eastAsia" w:cs="宋体" w:asciiTheme="minorEastAsia" w:hAnsiTheme="minorEastAsia" w:eastAsiaTheme="minorEastAsia"/>
          <w:bCs/>
          <w:color w:val="auto"/>
          <w:kern w:val="2"/>
          <w:sz w:val="24"/>
          <w:szCs w:val="24"/>
          <w:highlight w:val="none"/>
        </w:rPr>
        <w:t>上述工程的施工、竣工，并承担任何质量缺陷保修责任。</w:t>
      </w:r>
    </w:p>
    <w:p w14:paraId="0F1AF7CF">
      <w:pPr>
        <w:spacing w:line="360" w:lineRule="auto"/>
        <w:ind w:firstLine="480" w:firstLineChars="200"/>
        <w:rPr>
          <w:rFonts w:cs="宋体" w:asciiTheme="minorEastAsia" w:hAnsiTheme="minorEastAsia" w:eastAsiaTheme="minorEastAsia"/>
          <w:color w:val="auto"/>
          <w:kern w:val="2"/>
          <w:sz w:val="24"/>
          <w:szCs w:val="24"/>
          <w:highlight w:val="none"/>
        </w:rPr>
      </w:pPr>
      <w:r>
        <w:rPr>
          <w:rFonts w:hint="eastAsia" w:cs="宋体" w:asciiTheme="minorEastAsia" w:hAnsiTheme="minorEastAsia" w:eastAsiaTheme="minorEastAsia"/>
          <w:color w:val="auto"/>
          <w:kern w:val="2"/>
          <w:sz w:val="24"/>
          <w:szCs w:val="24"/>
          <w:highlight w:val="none"/>
        </w:rPr>
        <w:t>2.我方已详细审核并确认全部谈判文件及有关附件，充分理解谈判价格不得低于企业个别成本有关规定。我方经成本核算，所填报的谈判报价不低于企业个别成本。</w:t>
      </w:r>
    </w:p>
    <w:p w14:paraId="4AC97685">
      <w:pPr>
        <w:spacing w:line="360" w:lineRule="auto"/>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w:t>
      </w:r>
      <w:r>
        <w:rPr>
          <w:rFonts w:hint="eastAsia" w:ascii="宋体" w:hAnsi="宋体" w:eastAsia="宋体" w:cs="宋体"/>
          <w:color w:val="auto"/>
          <w:sz w:val="24"/>
          <w:szCs w:val="24"/>
          <w:highlight w:val="none"/>
        </w:rPr>
        <w:t>我方保证按</w:t>
      </w:r>
      <w:r>
        <w:rPr>
          <w:rFonts w:hint="eastAsia" w:cs="宋体"/>
          <w:color w:val="auto"/>
          <w:sz w:val="24"/>
          <w:szCs w:val="24"/>
          <w:highlight w:val="none"/>
          <w:lang w:eastAsia="zh-CN"/>
        </w:rPr>
        <w:t>谈判文件</w:t>
      </w:r>
      <w:r>
        <w:rPr>
          <w:rFonts w:hint="eastAsia" w:ascii="宋体" w:hAnsi="宋体" w:eastAsia="宋体" w:cs="宋体"/>
          <w:color w:val="auto"/>
          <w:sz w:val="24"/>
          <w:szCs w:val="24"/>
          <w:highlight w:val="none"/>
        </w:rPr>
        <w:t>约定的工期和</w:t>
      </w:r>
      <w:r>
        <w:rPr>
          <w:rFonts w:hint="eastAsia" w:cs="宋体"/>
          <w:color w:val="auto"/>
          <w:sz w:val="24"/>
          <w:szCs w:val="24"/>
          <w:highlight w:val="none"/>
          <w:lang w:eastAsia="zh-CN"/>
        </w:rPr>
        <w:t>谈判文件</w:t>
      </w:r>
      <w:r>
        <w:rPr>
          <w:rFonts w:hint="eastAsia" w:ascii="宋体" w:hAnsi="宋体" w:eastAsia="宋体" w:cs="宋体"/>
          <w:color w:val="auto"/>
          <w:sz w:val="24"/>
          <w:szCs w:val="24"/>
          <w:highlight w:val="none"/>
        </w:rPr>
        <w:t>或业主开工令的要求如期开工、工程质量达到合格标准、如期竣工并移交整个工程。</w:t>
      </w:r>
    </w:p>
    <w:p w14:paraId="2B4AE7FE">
      <w:pPr>
        <w:spacing w:line="360" w:lineRule="auto"/>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4</w:t>
      </w:r>
      <w:r>
        <w:rPr>
          <w:rFonts w:hint="eastAsia" w:ascii="宋体" w:hAnsi="宋体" w:eastAsia="宋体" w:cs="宋体"/>
          <w:color w:val="auto"/>
          <w:kern w:val="2"/>
          <w:sz w:val="24"/>
          <w:szCs w:val="24"/>
          <w:highlight w:val="none"/>
        </w:rPr>
        <w:t>.我方同意所提交的响应文件在</w:t>
      </w:r>
      <w:r>
        <w:rPr>
          <w:rFonts w:hint="eastAsia" w:cs="宋体"/>
          <w:color w:val="auto"/>
          <w:kern w:val="2"/>
          <w:sz w:val="24"/>
          <w:szCs w:val="24"/>
          <w:highlight w:val="none"/>
          <w:lang w:eastAsia="zh-CN"/>
        </w:rPr>
        <w:t>谈判文件</w:t>
      </w:r>
      <w:r>
        <w:rPr>
          <w:rFonts w:hint="eastAsia" w:ascii="宋体" w:hAnsi="宋体" w:eastAsia="宋体" w:cs="宋体"/>
          <w:color w:val="auto"/>
          <w:kern w:val="2"/>
          <w:sz w:val="24"/>
          <w:szCs w:val="24"/>
          <w:highlight w:val="none"/>
        </w:rPr>
        <w:t>规定的</w:t>
      </w:r>
      <w:r>
        <w:rPr>
          <w:rFonts w:hint="eastAsia" w:cs="宋体"/>
          <w:color w:val="auto"/>
          <w:kern w:val="2"/>
          <w:sz w:val="24"/>
          <w:szCs w:val="24"/>
          <w:highlight w:val="none"/>
          <w:lang w:eastAsia="zh-CN"/>
        </w:rPr>
        <w:t>谈判有效期</w:t>
      </w:r>
      <w:r>
        <w:rPr>
          <w:rFonts w:hint="eastAsia" w:ascii="宋体" w:hAnsi="宋体" w:eastAsia="宋体" w:cs="宋体"/>
          <w:color w:val="auto"/>
          <w:kern w:val="2"/>
          <w:sz w:val="24"/>
          <w:szCs w:val="24"/>
          <w:highlight w:val="none"/>
        </w:rPr>
        <w:t>内有效，在此期间内如果成交，我方将受此约束。</w:t>
      </w:r>
    </w:p>
    <w:p w14:paraId="66EFEDE8">
      <w:pPr>
        <w:spacing w:line="360" w:lineRule="auto"/>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rPr>
        <w:t>.除非另外达成协议并生效，你方的成交通知书和本响应文件以及</w:t>
      </w:r>
      <w:r>
        <w:rPr>
          <w:rFonts w:hint="eastAsia" w:cs="宋体"/>
          <w:color w:val="auto"/>
          <w:kern w:val="2"/>
          <w:sz w:val="24"/>
          <w:szCs w:val="24"/>
          <w:highlight w:val="none"/>
          <w:lang w:eastAsia="zh-CN"/>
        </w:rPr>
        <w:t>谈判文件</w:t>
      </w:r>
      <w:r>
        <w:rPr>
          <w:rFonts w:hint="eastAsia" w:ascii="宋体" w:hAnsi="宋体" w:eastAsia="宋体" w:cs="宋体"/>
          <w:color w:val="auto"/>
          <w:kern w:val="2"/>
          <w:sz w:val="24"/>
          <w:szCs w:val="24"/>
          <w:highlight w:val="none"/>
        </w:rPr>
        <w:t>、</w:t>
      </w:r>
      <w:r>
        <w:rPr>
          <w:rFonts w:hint="eastAsia" w:cs="宋体"/>
          <w:color w:val="auto"/>
          <w:kern w:val="2"/>
          <w:sz w:val="24"/>
          <w:szCs w:val="24"/>
          <w:highlight w:val="none"/>
          <w:lang w:eastAsia="zh-CN"/>
        </w:rPr>
        <w:t>谈判文件</w:t>
      </w:r>
      <w:r>
        <w:rPr>
          <w:rFonts w:hint="eastAsia" w:ascii="宋体" w:hAnsi="宋体" w:eastAsia="宋体" w:cs="宋体"/>
          <w:color w:val="auto"/>
          <w:kern w:val="2"/>
          <w:sz w:val="24"/>
          <w:szCs w:val="24"/>
          <w:highlight w:val="none"/>
        </w:rPr>
        <w:t>澄清、修改、补充将成为约束双方的合同文件的组成部分。</w:t>
      </w:r>
    </w:p>
    <w:p w14:paraId="6D623042">
      <w:pPr>
        <w:spacing w:line="360" w:lineRule="auto"/>
        <w:ind w:firstLine="480" w:firstLineChars="200"/>
        <w:rPr>
          <w:rFonts w:cs="宋体" w:asciiTheme="minorEastAsia" w:hAnsiTheme="minorEastAsia" w:eastAsiaTheme="minorEastAsia"/>
          <w:color w:val="auto"/>
          <w:kern w:val="2"/>
          <w:sz w:val="24"/>
          <w:szCs w:val="24"/>
          <w:highlight w:val="none"/>
          <w:u w:val="single"/>
        </w:rPr>
      </w:pPr>
      <w:r>
        <w:rPr>
          <w:rFonts w:hint="eastAsia" w:cs="宋体"/>
          <w:color w:val="auto"/>
          <w:kern w:val="2"/>
          <w:sz w:val="24"/>
          <w:szCs w:val="24"/>
          <w:highlight w:val="none"/>
          <w:lang w:val="en-US" w:eastAsia="zh-CN"/>
        </w:rPr>
        <w:t>6</w:t>
      </w:r>
      <w:r>
        <w:rPr>
          <w:rFonts w:hint="eastAsia" w:ascii="宋体" w:hAnsi="宋体" w:eastAsia="宋体" w:cs="宋体"/>
          <w:color w:val="auto"/>
          <w:kern w:val="2"/>
          <w:sz w:val="24"/>
          <w:szCs w:val="24"/>
          <w:highlight w:val="none"/>
        </w:rPr>
        <w:t>.其他补充说明</w:t>
      </w:r>
      <w:r>
        <w:rPr>
          <w:rFonts w:hint="eastAsia" w:cs="宋体" w:asciiTheme="minorEastAsia" w:hAnsiTheme="minorEastAsia" w:eastAsiaTheme="minorEastAsia"/>
          <w:color w:val="auto"/>
          <w:kern w:val="2"/>
          <w:sz w:val="24"/>
          <w:szCs w:val="24"/>
          <w:highlight w:val="none"/>
        </w:rPr>
        <w:t>：</w:t>
      </w:r>
      <w:r>
        <w:rPr>
          <w:rFonts w:hint="eastAsia" w:cs="宋体" w:asciiTheme="minorEastAsia" w:hAnsiTheme="minorEastAsia" w:eastAsiaTheme="minorEastAsia"/>
          <w:color w:val="auto"/>
          <w:kern w:val="2"/>
          <w:sz w:val="24"/>
          <w:szCs w:val="24"/>
          <w:highlight w:val="none"/>
          <w:u w:val="single"/>
        </w:rPr>
        <w:t xml:space="preserve">  （</w:t>
      </w:r>
      <w:r>
        <w:rPr>
          <w:rFonts w:hint="eastAsia" w:cs="宋体" w:asciiTheme="minorEastAsia" w:hAnsiTheme="minorEastAsia" w:eastAsiaTheme="minorEastAsia"/>
          <w:i/>
          <w:iCs/>
          <w:color w:val="auto"/>
          <w:kern w:val="2"/>
          <w:sz w:val="24"/>
          <w:szCs w:val="24"/>
          <w:highlight w:val="none"/>
          <w:u w:val="single"/>
        </w:rPr>
        <w:t>如有</w:t>
      </w:r>
      <w:r>
        <w:rPr>
          <w:rFonts w:hint="eastAsia" w:cs="宋体" w:asciiTheme="minorEastAsia" w:hAnsiTheme="minorEastAsia" w:eastAsiaTheme="minorEastAsia"/>
          <w:color w:val="auto"/>
          <w:kern w:val="2"/>
          <w:sz w:val="24"/>
          <w:szCs w:val="24"/>
          <w:highlight w:val="none"/>
          <w:u w:val="single"/>
        </w:rPr>
        <w:t xml:space="preserve">）       </w:t>
      </w:r>
    </w:p>
    <w:p w14:paraId="45A0D98A">
      <w:pPr>
        <w:spacing w:line="360" w:lineRule="auto"/>
        <w:ind w:firstLine="3600" w:firstLineChars="1500"/>
        <w:rPr>
          <w:rFonts w:cs="@仿宋_GB2312"/>
          <w:color w:val="auto"/>
          <w:kern w:val="2"/>
          <w:sz w:val="24"/>
          <w:highlight w:val="none"/>
        </w:rPr>
      </w:pPr>
    </w:p>
    <w:p w14:paraId="1A87F574">
      <w:pPr>
        <w:spacing w:line="360" w:lineRule="auto"/>
        <w:ind w:firstLine="3600" w:firstLineChars="1500"/>
        <w:rPr>
          <w:rFonts w:cs="@仿宋_GB2312"/>
          <w:color w:val="auto"/>
          <w:kern w:val="2"/>
          <w:sz w:val="24"/>
          <w:highlight w:val="none"/>
        </w:rPr>
      </w:pPr>
      <w:r>
        <w:rPr>
          <w:rFonts w:hint="eastAsia" w:cs="@仿宋_GB2312"/>
          <w:color w:val="auto"/>
          <w:kern w:val="2"/>
          <w:sz w:val="24"/>
          <w:highlight w:val="none"/>
        </w:rPr>
        <w:t>供应商电子签章：</w:t>
      </w:r>
      <w:r>
        <w:rPr>
          <w:rFonts w:hint="eastAsia" w:cs="@仿宋_GB2312"/>
          <w:color w:val="auto"/>
          <w:kern w:val="2"/>
          <w:sz w:val="24"/>
          <w:highlight w:val="none"/>
          <w:u w:val="single"/>
        </w:rPr>
        <w:t xml:space="preserve">                      </w:t>
      </w:r>
    </w:p>
    <w:p w14:paraId="408F9F31">
      <w:pPr>
        <w:spacing w:line="360" w:lineRule="auto"/>
        <w:ind w:firstLine="3600" w:firstLineChars="1500"/>
        <w:rPr>
          <w:rFonts w:cs="@仿宋_GB2312"/>
          <w:color w:val="auto"/>
          <w:kern w:val="2"/>
          <w:sz w:val="24"/>
          <w:highlight w:val="none"/>
          <w:u w:val="single"/>
        </w:rPr>
      </w:pPr>
      <w:r>
        <w:rPr>
          <w:rFonts w:hint="eastAsia" w:cs="@仿宋_GB2312"/>
          <w:color w:val="auto"/>
          <w:kern w:val="2"/>
          <w:sz w:val="24"/>
          <w:highlight w:val="none"/>
        </w:rPr>
        <w:t>日          期：</w:t>
      </w:r>
      <w:r>
        <w:rPr>
          <w:rFonts w:hint="eastAsia" w:cs="@仿宋_GB2312"/>
          <w:color w:val="auto"/>
          <w:kern w:val="2"/>
          <w:sz w:val="24"/>
          <w:highlight w:val="none"/>
          <w:u w:val="single"/>
        </w:rPr>
        <w:t xml:space="preserve">                      </w:t>
      </w:r>
    </w:p>
    <w:p w14:paraId="2BD00C2C">
      <w:pPr>
        <w:widowControl/>
        <w:jc w:val="left"/>
        <w:rPr>
          <w:color w:val="auto"/>
          <w:sz w:val="24"/>
          <w:highlight w:val="none"/>
        </w:rPr>
      </w:pPr>
      <w:r>
        <w:rPr>
          <w:color w:val="auto"/>
          <w:sz w:val="24"/>
          <w:highlight w:val="none"/>
        </w:rPr>
        <w:br w:type="page"/>
      </w:r>
    </w:p>
    <w:p w14:paraId="5E244742">
      <w:pPr>
        <w:spacing w:line="360" w:lineRule="auto"/>
        <w:jc w:val="center"/>
        <w:outlineLvl w:val="1"/>
        <w:rPr>
          <w:b/>
          <w:i/>
          <w:color w:val="auto"/>
          <w:sz w:val="24"/>
          <w:highlight w:val="none"/>
        </w:rPr>
      </w:pPr>
      <w:bookmarkStart w:id="669" w:name="_Toc2947"/>
      <w:bookmarkStart w:id="670" w:name="_Toc16222"/>
      <w:r>
        <w:rPr>
          <w:rFonts w:hint="eastAsia" w:asciiTheme="minorEastAsia" w:hAnsiTheme="minorEastAsia" w:eastAsiaTheme="minorEastAsia"/>
          <w:b/>
          <w:color w:val="auto"/>
          <w:sz w:val="24"/>
          <w:highlight w:val="none"/>
        </w:rPr>
        <w:t>五、</w:t>
      </w:r>
      <w:bookmarkEnd w:id="669"/>
      <w:bookmarkStart w:id="671" w:name="_Toc8658"/>
      <w:r>
        <w:rPr>
          <w:rFonts w:hint="eastAsia" w:asciiTheme="minorEastAsia" w:hAnsiTheme="minorEastAsia" w:eastAsiaTheme="minorEastAsia"/>
          <w:b/>
          <w:color w:val="auto"/>
          <w:sz w:val="24"/>
          <w:highlight w:val="none"/>
          <w:lang w:val="en-US" w:eastAsia="zh-CN"/>
        </w:rPr>
        <w:t>供应商资格声明书</w:t>
      </w:r>
      <w:bookmarkEnd w:id="670"/>
      <w:r>
        <w:rPr>
          <w:rFonts w:hint="eastAsia" w:asciiTheme="minorEastAsia" w:hAnsiTheme="minorEastAsia" w:eastAsiaTheme="minorEastAsia"/>
          <w:b/>
          <w:color w:val="auto"/>
          <w:sz w:val="24"/>
          <w:highlight w:val="none"/>
          <w:lang w:val="en-US" w:eastAsia="zh-CN"/>
        </w:rPr>
        <w:t xml:space="preserve"> </w:t>
      </w:r>
    </w:p>
    <w:p w14:paraId="428BCAAF">
      <w:pPr>
        <w:pStyle w:val="30"/>
        <w:spacing w:line="360" w:lineRule="auto"/>
        <w:outlineLvl w:val="9"/>
        <w:rPr>
          <w:rFonts w:hint="eastAsia" w:eastAsia="宋体" w:asciiTheme="minorEastAsia" w:hAnsiTheme="minorEastAsia" w:cstheme="minorEastAsia"/>
          <w:color w:val="auto"/>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3F887B88">
      <w:pPr>
        <w:keepNext w:val="0"/>
        <w:keepLines w:val="0"/>
        <w:pageBreakBefore w:val="0"/>
        <w:widowControl/>
        <w:suppressLineNumbers w:val="0"/>
        <w:kinsoku/>
        <w:wordWrap/>
        <w:overflowPunct/>
        <w:topLinePunct w:val="0"/>
        <w:autoSpaceDE/>
        <w:autoSpaceDN/>
        <w:bidi w:val="0"/>
        <w:adjustRightInd/>
        <w:snapToGrid/>
        <w:spacing w:line="336"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在参与本次项目谈判中，我单位承诺：</w:t>
      </w:r>
    </w:p>
    <w:p w14:paraId="638FA053">
      <w:pPr>
        <w:keepNext w:val="0"/>
        <w:keepLines w:val="0"/>
        <w:pageBreakBefore w:val="0"/>
        <w:widowControl/>
        <w:suppressLineNumbers w:val="0"/>
        <w:kinsoku/>
        <w:wordWrap/>
        <w:overflowPunct/>
        <w:topLinePunct w:val="0"/>
        <w:autoSpaceDE/>
        <w:autoSpaceDN/>
        <w:bidi w:val="0"/>
        <w:adjustRightInd/>
        <w:snapToGrid/>
        <w:spacing w:line="336"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（一）具有良好的商业信誉和健全的财务会计制度；</w:t>
      </w:r>
    </w:p>
    <w:p w14:paraId="4F3FFE3C">
      <w:pPr>
        <w:keepNext w:val="0"/>
        <w:keepLines w:val="0"/>
        <w:pageBreakBefore w:val="0"/>
        <w:widowControl/>
        <w:suppressLineNumbers w:val="0"/>
        <w:kinsoku/>
        <w:wordWrap/>
        <w:overflowPunct/>
        <w:topLinePunct w:val="0"/>
        <w:autoSpaceDE/>
        <w:autoSpaceDN/>
        <w:bidi w:val="0"/>
        <w:adjustRightInd/>
        <w:snapToGrid/>
        <w:spacing w:line="336"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（二）具有履行合同所必需的设备和专业技术能力；</w:t>
      </w:r>
    </w:p>
    <w:p w14:paraId="7EC8F76E">
      <w:pPr>
        <w:keepNext w:val="0"/>
        <w:keepLines w:val="0"/>
        <w:pageBreakBefore w:val="0"/>
        <w:widowControl/>
        <w:suppressLineNumbers w:val="0"/>
        <w:kinsoku/>
        <w:wordWrap/>
        <w:overflowPunct/>
        <w:topLinePunct w:val="0"/>
        <w:autoSpaceDE/>
        <w:autoSpaceDN/>
        <w:bidi w:val="0"/>
        <w:adjustRightInd/>
        <w:snapToGrid/>
        <w:spacing w:line="336"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（三）有依法缴纳税收和社会保障资金的良好记录；</w:t>
      </w:r>
    </w:p>
    <w:p w14:paraId="5A3D663D">
      <w:pPr>
        <w:keepNext w:val="0"/>
        <w:keepLines w:val="0"/>
        <w:pageBreakBefore w:val="0"/>
        <w:widowControl/>
        <w:suppressLineNumbers w:val="0"/>
        <w:kinsoku/>
        <w:wordWrap/>
        <w:overflowPunct/>
        <w:topLinePunct w:val="0"/>
        <w:autoSpaceDE/>
        <w:autoSpaceDN/>
        <w:bidi w:val="0"/>
        <w:adjustRightInd/>
        <w:snapToGrid/>
        <w:spacing w:line="336" w:lineRule="auto"/>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6103D58">
      <w:pPr>
        <w:keepNext w:val="0"/>
        <w:keepLines w:val="0"/>
        <w:pageBreakBefore w:val="0"/>
        <w:kinsoku/>
        <w:wordWrap/>
        <w:overflowPunct/>
        <w:topLinePunct w:val="0"/>
        <w:autoSpaceDE/>
        <w:autoSpaceDN/>
        <w:bidi w:val="0"/>
        <w:adjustRightInd/>
        <w:snapToGrid/>
        <w:spacing w:line="336" w:lineRule="auto"/>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五</w:t>
      </w: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我单位</w:t>
      </w:r>
      <w:r>
        <w:rPr>
          <w:rFonts w:hint="eastAsia" w:ascii="宋体" w:hAnsi="宋体" w:eastAsia="宋体" w:cs="宋体"/>
          <w:color w:val="auto"/>
          <w:kern w:val="2"/>
          <w:sz w:val="24"/>
          <w:szCs w:val="24"/>
          <w:highlight w:val="none"/>
        </w:rPr>
        <w:t>近三年内，未发生重大质量事故和重大安全事故（以有关行政管理部门的行政处罚决定或司法机关出具的有关法律文书为准），前述行政处罚已完成信用修复的，但自行政处罚作出机关或信用修复主管部门同意修复之日起满一年的，不受三年期限限制；</w:t>
      </w:r>
    </w:p>
    <w:p w14:paraId="53D4AAC5">
      <w:pPr>
        <w:keepNext w:val="0"/>
        <w:keepLines w:val="0"/>
        <w:pageBreakBefore w:val="0"/>
        <w:kinsoku/>
        <w:wordWrap/>
        <w:overflowPunct/>
        <w:topLinePunct w:val="0"/>
        <w:autoSpaceDE/>
        <w:autoSpaceDN/>
        <w:bidi w:val="0"/>
        <w:adjustRightInd/>
        <w:snapToGrid/>
        <w:spacing w:line="336" w:lineRule="auto"/>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六</w:t>
      </w: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我单位</w:t>
      </w:r>
      <w:r>
        <w:rPr>
          <w:rFonts w:hint="eastAsia" w:ascii="宋体" w:hAnsi="宋体" w:eastAsia="宋体" w:cs="宋体"/>
          <w:color w:val="auto"/>
          <w:kern w:val="2"/>
          <w:sz w:val="24"/>
          <w:szCs w:val="24"/>
          <w:highlight w:val="none"/>
        </w:rPr>
        <w:t>在本项目</w:t>
      </w:r>
      <w:r>
        <w:rPr>
          <w:rFonts w:hint="eastAsia" w:cs="宋体"/>
          <w:color w:val="auto"/>
          <w:kern w:val="2"/>
          <w:sz w:val="24"/>
          <w:szCs w:val="24"/>
          <w:highlight w:val="none"/>
          <w:lang w:val="en-US" w:eastAsia="zh-CN"/>
        </w:rPr>
        <w:t>谈判</w:t>
      </w:r>
      <w:r>
        <w:rPr>
          <w:rFonts w:hint="eastAsia" w:ascii="宋体" w:hAnsi="宋体" w:eastAsia="宋体" w:cs="宋体"/>
          <w:color w:val="auto"/>
          <w:kern w:val="2"/>
          <w:sz w:val="24"/>
          <w:szCs w:val="24"/>
          <w:highlight w:val="none"/>
        </w:rPr>
        <w:t>有效期内，在本项目所在区域未存在因质量事故、安全事故等被限期承包工程或市场不良行为等被限制</w:t>
      </w:r>
      <w:r>
        <w:rPr>
          <w:rFonts w:hint="eastAsia" w:cs="宋体"/>
          <w:color w:val="auto"/>
          <w:kern w:val="2"/>
          <w:sz w:val="24"/>
          <w:szCs w:val="24"/>
          <w:highlight w:val="none"/>
          <w:lang w:val="en-US" w:eastAsia="zh-CN"/>
        </w:rPr>
        <w:t>谈判</w:t>
      </w:r>
      <w:r>
        <w:rPr>
          <w:rFonts w:hint="eastAsia" w:ascii="宋体" w:hAnsi="宋体" w:eastAsia="宋体" w:cs="宋体"/>
          <w:color w:val="auto"/>
          <w:kern w:val="2"/>
          <w:sz w:val="24"/>
          <w:szCs w:val="24"/>
          <w:highlight w:val="none"/>
        </w:rPr>
        <w:t>资格行为，且处于处罚期内的情况；</w:t>
      </w:r>
    </w:p>
    <w:p w14:paraId="0A619CD8">
      <w:pPr>
        <w:keepNext w:val="0"/>
        <w:keepLines w:val="0"/>
        <w:pageBreakBefore w:val="0"/>
        <w:kinsoku/>
        <w:wordWrap/>
        <w:overflowPunct/>
        <w:topLinePunct w:val="0"/>
        <w:autoSpaceDE/>
        <w:autoSpaceDN/>
        <w:bidi w:val="0"/>
        <w:adjustRightInd/>
        <w:snapToGrid/>
        <w:spacing w:line="336" w:lineRule="auto"/>
        <w:textAlignment w:val="auto"/>
        <w:rPr>
          <w:rFonts w:hint="eastAsia"/>
          <w:color w:val="auto"/>
          <w:highlight w:val="none"/>
        </w:rPr>
      </w:pP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七</w:t>
      </w: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我单位</w:t>
      </w:r>
      <w:r>
        <w:rPr>
          <w:rFonts w:hint="eastAsia" w:ascii="宋体" w:hAnsi="宋体" w:eastAsia="宋体" w:cs="宋体"/>
          <w:color w:val="auto"/>
          <w:sz w:val="24"/>
          <w:szCs w:val="24"/>
          <w:highlight w:val="none"/>
        </w:rPr>
        <w:t>未被“信用中国”网站列入拖欠农民工工资失信联合惩戒对象名单</w:t>
      </w:r>
      <w:r>
        <w:rPr>
          <w:rFonts w:hint="eastAsia" w:ascii="宋体" w:hAnsi="宋体" w:eastAsia="宋体" w:cs="宋体"/>
          <w:color w:val="auto"/>
          <w:kern w:val="2"/>
          <w:sz w:val="24"/>
          <w:szCs w:val="24"/>
          <w:highlight w:val="none"/>
        </w:rPr>
        <w:t>；</w:t>
      </w:r>
    </w:p>
    <w:p w14:paraId="1085FED0">
      <w:pPr>
        <w:keepNext w:val="0"/>
        <w:keepLines w:val="0"/>
        <w:pageBreakBefore w:val="0"/>
        <w:widowControl/>
        <w:suppressLineNumbers w:val="0"/>
        <w:kinsoku/>
        <w:wordWrap/>
        <w:overflowPunct/>
        <w:topLinePunct w:val="0"/>
        <w:autoSpaceDE/>
        <w:autoSpaceDN/>
        <w:bidi w:val="0"/>
        <w:adjustRightInd/>
        <w:snapToGrid/>
        <w:spacing w:line="336"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（八）我单位不存在为采购项目提供整体设计、规范编制或者项目管理、监理、检测等服务后，再参加该采购项目的其他采购活动的情形（单一来源采购项目除外）；</w:t>
      </w:r>
    </w:p>
    <w:p w14:paraId="4DA86D09">
      <w:pPr>
        <w:keepNext w:val="0"/>
        <w:keepLines w:val="0"/>
        <w:pageBreakBefore w:val="0"/>
        <w:widowControl/>
        <w:suppressLineNumbers w:val="0"/>
        <w:kinsoku/>
        <w:wordWrap/>
        <w:overflowPunct/>
        <w:topLinePunct w:val="0"/>
        <w:autoSpaceDE/>
        <w:autoSpaceDN/>
        <w:bidi w:val="0"/>
        <w:adjustRightInd/>
        <w:snapToGrid/>
        <w:spacing w:line="336" w:lineRule="auto"/>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（九）与我单位存在单位负责人为同一人或者存在直接控股、管理关系的其他法人单位信息如下（如有，不论其是否参加同一合同项下的政府采购活动均须填写）：</w:t>
      </w:r>
    </w:p>
    <w:tbl>
      <w:tblPr>
        <w:tblStyle w:val="5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2883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E836A66">
            <w:pPr>
              <w:keepNext w:val="0"/>
              <w:keepLines w:val="0"/>
              <w:pageBreakBefore w:val="0"/>
              <w:widowControl/>
              <w:suppressLineNumbers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序号</w:t>
            </w:r>
          </w:p>
        </w:tc>
        <w:tc>
          <w:tcPr>
            <w:tcW w:w="2841" w:type="dxa"/>
          </w:tcPr>
          <w:p w14:paraId="42B0270B">
            <w:pPr>
              <w:pStyle w:val="19"/>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单位名称</w:t>
            </w:r>
          </w:p>
        </w:tc>
        <w:tc>
          <w:tcPr>
            <w:tcW w:w="2841" w:type="dxa"/>
          </w:tcPr>
          <w:p w14:paraId="52025C05">
            <w:pPr>
              <w:pStyle w:val="19"/>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相互关系</w:t>
            </w:r>
          </w:p>
        </w:tc>
      </w:tr>
      <w:tr w14:paraId="52F3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04987D93">
            <w:pPr>
              <w:pStyle w:val="19"/>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1</w:t>
            </w:r>
          </w:p>
        </w:tc>
        <w:tc>
          <w:tcPr>
            <w:tcW w:w="2841" w:type="dxa"/>
          </w:tcPr>
          <w:p w14:paraId="4B4070DE">
            <w:pPr>
              <w:pStyle w:val="19"/>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26536F19">
            <w:pPr>
              <w:pStyle w:val="19"/>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r w14:paraId="0304E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ADBC968">
            <w:pPr>
              <w:pStyle w:val="19"/>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2</w:t>
            </w:r>
          </w:p>
        </w:tc>
        <w:tc>
          <w:tcPr>
            <w:tcW w:w="2841" w:type="dxa"/>
          </w:tcPr>
          <w:p w14:paraId="058FA02B">
            <w:pPr>
              <w:pStyle w:val="19"/>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56A704BA">
            <w:pPr>
              <w:pStyle w:val="19"/>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bl>
    <w:p w14:paraId="3FAFF60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6C38D5A7">
      <w:pPr>
        <w:spacing w:line="360" w:lineRule="auto"/>
        <w:ind w:firstLine="4800" w:firstLineChars="2000"/>
        <w:rPr>
          <w:rFonts w:ascii="宋体" w:hAnsi="宋体" w:eastAsia="宋体"/>
          <w:color w:val="auto"/>
          <w:sz w:val="24"/>
          <w:highlight w:val="none"/>
          <w:u w:val="single"/>
        </w:rPr>
      </w:pPr>
      <w:r>
        <w:rPr>
          <w:rFonts w:hint="eastAsia"/>
          <w:color w:val="auto"/>
          <w:sz w:val="24"/>
          <w:highlight w:val="none"/>
          <w:lang w:val="en-US"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29F38A06">
      <w:pPr>
        <w:spacing w:line="360" w:lineRule="auto"/>
        <w:jc w:val="center"/>
        <w:outlineLvl w:val="9"/>
        <w:rPr>
          <w:b/>
          <w:i/>
          <w:color w:val="auto"/>
          <w:sz w:val="24"/>
          <w:highlight w:val="none"/>
        </w:rPr>
      </w:pPr>
      <w:r>
        <w:rPr>
          <w:rFonts w:hint="eastAsia"/>
          <w:color w:val="auto"/>
          <w:sz w:val="24"/>
          <w:highlight w:val="none"/>
          <w:lang w:val="en-US" w:eastAsia="zh-CN"/>
        </w:rPr>
        <w:t xml:space="preserve">                           </w:t>
      </w: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 xml:space="preserve">            </w:t>
      </w:r>
    </w:p>
    <w:bookmarkEnd w:id="671"/>
    <w:p w14:paraId="72E2C9EA">
      <w:pPr>
        <w:spacing w:line="360" w:lineRule="auto"/>
        <w:jc w:val="center"/>
        <w:outlineLvl w:val="1"/>
        <w:rPr>
          <w:rFonts w:hint="eastAsia" w:asciiTheme="minorEastAsia" w:hAnsiTheme="minorEastAsia" w:eastAsiaTheme="minorEastAsia"/>
          <w:b/>
          <w:color w:val="auto"/>
          <w:sz w:val="24"/>
          <w:highlight w:val="none"/>
        </w:rPr>
        <w:sectPr>
          <w:headerReference r:id="rId5" w:type="default"/>
          <w:footerReference r:id="rId6" w:type="default"/>
          <w:pgSz w:w="11906" w:h="16838"/>
          <w:pgMar w:top="1440" w:right="1689" w:bottom="1440" w:left="1689" w:header="851" w:footer="992" w:gutter="0"/>
          <w:pgNumType w:fmt="decimal" w:start="1"/>
          <w:cols w:space="425" w:num="1"/>
          <w:docGrid w:type="lines" w:linePitch="312" w:charSpace="0"/>
        </w:sectPr>
      </w:pPr>
      <w:bookmarkStart w:id="672" w:name="_Toc520983594"/>
      <w:bookmarkStart w:id="673" w:name="_Toc516969106"/>
      <w:bookmarkStart w:id="674" w:name="_Toc121626298"/>
      <w:bookmarkStart w:id="675" w:name="_Toc204594911"/>
      <w:bookmarkStart w:id="676" w:name="_Toc8203"/>
    </w:p>
    <w:p w14:paraId="41DDF3D1">
      <w:pPr>
        <w:spacing w:line="360" w:lineRule="auto"/>
        <w:jc w:val="center"/>
        <w:outlineLvl w:val="1"/>
        <w:rPr>
          <w:rFonts w:asciiTheme="minorEastAsia" w:hAnsiTheme="minorEastAsia" w:eastAsiaTheme="minorEastAsia"/>
          <w:b/>
          <w:color w:val="auto"/>
          <w:sz w:val="24"/>
          <w:highlight w:val="none"/>
        </w:rPr>
      </w:pPr>
      <w:bookmarkStart w:id="677" w:name="_Toc11666"/>
      <w:r>
        <w:rPr>
          <w:rFonts w:hint="eastAsia" w:asciiTheme="minorEastAsia" w:hAnsiTheme="minorEastAsia" w:eastAsiaTheme="minorEastAsia"/>
          <w:b/>
          <w:color w:val="auto"/>
          <w:sz w:val="24"/>
          <w:highlight w:val="none"/>
        </w:rPr>
        <w:t>六、授权书</w:t>
      </w:r>
      <w:bookmarkEnd w:id="672"/>
      <w:bookmarkEnd w:id="673"/>
      <w:bookmarkEnd w:id="674"/>
      <w:bookmarkEnd w:id="675"/>
      <w:bookmarkEnd w:id="676"/>
      <w:bookmarkEnd w:id="677"/>
    </w:p>
    <w:p w14:paraId="07756719">
      <w:pPr>
        <w:spacing w:line="360" w:lineRule="auto"/>
        <w:jc w:val="center"/>
        <w:rPr>
          <w:rFonts w:asciiTheme="minorEastAsia" w:hAnsiTheme="minorEastAsia" w:eastAsiaTheme="minorEastAsia"/>
          <w:b/>
          <w:color w:val="auto"/>
          <w:sz w:val="24"/>
          <w:highlight w:val="none"/>
        </w:rPr>
      </w:pPr>
    </w:p>
    <w:p w14:paraId="0672196A">
      <w:pPr>
        <w:pStyle w:val="28"/>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谈判过程的一切事宜，包括但不限于：提交响应文件、参与谈判、签约等。供应商授权代表在采购活动过程中所签署的一切文件和处理与之有关的一切事务，本公司均予以认可并对此承担责任。供应商授权代表无转委托权。特此授权。</w:t>
      </w:r>
    </w:p>
    <w:p w14:paraId="50B95E24">
      <w:pPr>
        <w:pStyle w:val="28"/>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7F6FD9DC">
      <w:pPr>
        <w:pStyle w:val="28"/>
        <w:snapToGrid w:val="0"/>
        <w:spacing w:line="360" w:lineRule="auto"/>
        <w:ind w:firstLine="480" w:firstLineChars="200"/>
        <w:jc w:val="left"/>
        <w:rPr>
          <w:rFonts w:hAnsi="宋体" w:eastAsia="宋体"/>
          <w:color w:val="auto"/>
          <w:sz w:val="24"/>
          <w:highlight w:val="none"/>
        </w:rPr>
      </w:pPr>
      <w:r>
        <w:rPr>
          <w:rFonts w:hint="eastAsia" w:hAnsi="宋体" w:eastAsia="宋体"/>
          <w:color w:val="auto"/>
          <w:sz w:val="24"/>
          <w:szCs w:val="28"/>
          <w:highlight w:val="none"/>
        </w:rPr>
        <w:t>授权代表</w:t>
      </w:r>
      <w:r>
        <w:rPr>
          <w:rFonts w:hint="eastAsia" w:hAnsi="宋体" w:eastAsia="宋体"/>
          <w:color w:val="auto"/>
          <w:sz w:val="24"/>
          <w:highlight w:val="none"/>
        </w:rPr>
        <w:t>身份证明扫描件：</w:t>
      </w:r>
    </w:p>
    <w:p w14:paraId="73D0B431">
      <w:pPr>
        <w:pStyle w:val="28"/>
        <w:snapToGrid w:val="0"/>
        <w:spacing w:line="360" w:lineRule="auto"/>
        <w:ind w:firstLine="480" w:firstLineChars="200"/>
        <w:jc w:val="left"/>
        <w:rPr>
          <w:rFonts w:hAnsi="宋体" w:eastAsia="宋体"/>
          <w:color w:val="auto"/>
          <w:sz w:val="24"/>
          <w:highlight w:val="none"/>
        </w:rPr>
      </w:pPr>
    </w:p>
    <w:p w14:paraId="4682E3A7">
      <w:pPr>
        <w:pStyle w:val="28"/>
        <w:snapToGrid w:val="0"/>
        <w:spacing w:line="360" w:lineRule="auto"/>
        <w:ind w:firstLine="480" w:firstLineChars="200"/>
        <w:jc w:val="left"/>
        <w:rPr>
          <w:rFonts w:hAnsi="宋体" w:eastAsia="宋体"/>
          <w:color w:val="auto"/>
          <w:sz w:val="24"/>
          <w:highlight w:val="none"/>
        </w:rPr>
      </w:pPr>
    </w:p>
    <w:p w14:paraId="3FC1D29C">
      <w:pPr>
        <w:pStyle w:val="28"/>
        <w:snapToGrid w:val="0"/>
        <w:spacing w:line="360" w:lineRule="auto"/>
        <w:ind w:firstLine="480" w:firstLineChars="200"/>
        <w:jc w:val="left"/>
        <w:rPr>
          <w:rFonts w:hAnsi="宋体" w:eastAsia="宋体"/>
          <w:color w:val="auto"/>
          <w:sz w:val="24"/>
          <w:highlight w:val="none"/>
        </w:rPr>
      </w:pPr>
    </w:p>
    <w:p w14:paraId="7610B127">
      <w:pPr>
        <w:pStyle w:val="28"/>
        <w:snapToGrid w:val="0"/>
        <w:spacing w:line="360" w:lineRule="auto"/>
        <w:ind w:firstLine="480" w:firstLineChars="200"/>
        <w:jc w:val="left"/>
        <w:rPr>
          <w:rFonts w:hAnsi="宋体" w:eastAsia="宋体"/>
          <w:color w:val="auto"/>
          <w:sz w:val="24"/>
          <w:highlight w:val="none"/>
        </w:rPr>
      </w:pPr>
    </w:p>
    <w:p w14:paraId="7E7F358A">
      <w:pPr>
        <w:pStyle w:val="28"/>
        <w:snapToGrid w:val="0"/>
        <w:spacing w:line="360" w:lineRule="auto"/>
        <w:ind w:firstLine="480" w:firstLineChars="200"/>
        <w:jc w:val="left"/>
        <w:rPr>
          <w:rFonts w:hAnsi="宋体" w:eastAsia="宋体"/>
          <w:color w:val="auto"/>
          <w:sz w:val="24"/>
          <w:szCs w:val="28"/>
          <w:highlight w:val="none"/>
          <w:u w:val="singl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408F9D80">
      <w:pPr>
        <w:pStyle w:val="28"/>
        <w:snapToGrid w:val="0"/>
        <w:spacing w:line="360" w:lineRule="auto"/>
        <w:ind w:firstLine="480" w:firstLineChars="200"/>
        <w:jc w:val="left"/>
        <w:rPr>
          <w:rFonts w:hAnsi="宋体" w:eastAsia="宋体"/>
          <w:color w:val="auto"/>
          <w:sz w:val="24"/>
          <w:szCs w:val="28"/>
          <w:highlight w:val="none"/>
        </w:rPr>
      </w:pPr>
    </w:p>
    <w:p w14:paraId="0A24FD07">
      <w:pPr>
        <w:spacing w:line="360" w:lineRule="auto"/>
        <w:ind w:firstLine="360" w:firstLineChars="150"/>
        <w:rPr>
          <w:color w:val="auto"/>
          <w:sz w:val="24"/>
          <w:szCs w:val="28"/>
          <w:highlight w:val="none"/>
        </w:rPr>
      </w:pPr>
      <w:r>
        <w:rPr>
          <w:rFonts w:hint="eastAsia"/>
          <w:color w:val="auto"/>
          <w:sz w:val="24"/>
          <w:szCs w:val="28"/>
          <w:highlight w:val="none"/>
        </w:rPr>
        <w:t>特此声明。</w:t>
      </w:r>
    </w:p>
    <w:p w14:paraId="2A2A8817">
      <w:pPr>
        <w:spacing w:line="360" w:lineRule="auto"/>
        <w:rPr>
          <w:color w:val="auto"/>
          <w:sz w:val="24"/>
          <w:szCs w:val="28"/>
          <w:highlight w:val="none"/>
        </w:rPr>
      </w:pPr>
    </w:p>
    <w:p w14:paraId="0BA9E7C9">
      <w:pPr>
        <w:spacing w:line="360" w:lineRule="auto"/>
        <w:jc w:val="center"/>
        <w:rPr>
          <w:bCs/>
          <w:color w:val="auto"/>
          <w:sz w:val="24"/>
          <w:szCs w:val="28"/>
          <w:highlight w:val="none"/>
        </w:rPr>
      </w:pPr>
      <w:r>
        <w:rPr>
          <w:rFonts w:hint="eastAsia"/>
          <w:bCs/>
          <w:color w:val="auto"/>
          <w:sz w:val="24"/>
          <w:szCs w:val="28"/>
          <w:highlight w:val="none"/>
          <w:lang w:val="en-US" w:eastAsia="zh-CN"/>
        </w:rPr>
        <w:t xml:space="preserve">                        </w:t>
      </w:r>
      <w:r>
        <w:rPr>
          <w:rFonts w:hint="eastAsia"/>
          <w:bCs/>
          <w:color w:val="auto"/>
          <w:sz w:val="24"/>
          <w:szCs w:val="28"/>
          <w:highlight w:val="none"/>
        </w:rPr>
        <w:t>供应商电子签章：</w:t>
      </w:r>
      <w:r>
        <w:rPr>
          <w:rFonts w:hint="eastAsia"/>
          <w:bCs/>
          <w:color w:val="auto"/>
          <w:sz w:val="24"/>
          <w:szCs w:val="28"/>
          <w:highlight w:val="none"/>
          <w:u w:val="single"/>
        </w:rPr>
        <w:t xml:space="preserve">                    </w:t>
      </w:r>
    </w:p>
    <w:p w14:paraId="14E0B96C">
      <w:pPr>
        <w:spacing w:line="360" w:lineRule="auto"/>
        <w:jc w:val="center"/>
        <w:rPr>
          <w:color w:val="auto"/>
          <w:sz w:val="24"/>
          <w:szCs w:val="28"/>
          <w:highlight w:val="none"/>
        </w:rPr>
      </w:pPr>
      <w:r>
        <w:rPr>
          <w:rFonts w:hint="eastAsia"/>
          <w:color w:val="auto"/>
          <w:sz w:val="24"/>
          <w:szCs w:val="28"/>
          <w:highlight w:val="none"/>
          <w:lang w:val="en-US" w:eastAsia="zh-CN"/>
        </w:rPr>
        <w:t xml:space="preserve">                        </w:t>
      </w:r>
      <w:r>
        <w:rPr>
          <w:rFonts w:hint="eastAsia"/>
          <w:color w:val="auto"/>
          <w:sz w:val="24"/>
          <w:szCs w:val="28"/>
          <w:highlight w:val="none"/>
        </w:rPr>
        <w:t>日          期：</w:t>
      </w:r>
      <w:r>
        <w:rPr>
          <w:rFonts w:hint="eastAsia"/>
          <w:color w:val="auto"/>
          <w:sz w:val="24"/>
          <w:szCs w:val="28"/>
          <w:highlight w:val="none"/>
          <w:u w:val="single"/>
        </w:rPr>
        <w:t xml:space="preserve">                    </w:t>
      </w:r>
    </w:p>
    <w:p w14:paraId="7262CEDC">
      <w:pPr>
        <w:spacing w:line="360" w:lineRule="auto"/>
        <w:rPr>
          <w:color w:val="auto"/>
          <w:sz w:val="24"/>
          <w:szCs w:val="28"/>
          <w:highlight w:val="none"/>
        </w:rPr>
      </w:pPr>
    </w:p>
    <w:p w14:paraId="5B155DB6">
      <w:pPr>
        <w:spacing w:line="360" w:lineRule="auto"/>
        <w:rPr>
          <w:color w:val="auto"/>
          <w:sz w:val="24"/>
          <w:szCs w:val="28"/>
          <w:highlight w:val="none"/>
        </w:rPr>
      </w:pPr>
    </w:p>
    <w:p w14:paraId="042766A8">
      <w:pPr>
        <w:pStyle w:val="28"/>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注：</w:t>
      </w:r>
    </w:p>
    <w:p w14:paraId="64D7B760">
      <w:pPr>
        <w:pStyle w:val="28"/>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1.本项目只允许有唯一的供应商授权代表，提供身份证明扫描件；</w:t>
      </w:r>
    </w:p>
    <w:p w14:paraId="49BC3BD1">
      <w:pPr>
        <w:spacing w:line="360" w:lineRule="auto"/>
        <w:jc w:val="left"/>
        <w:rPr>
          <w:color w:val="auto"/>
          <w:sz w:val="24"/>
          <w:highlight w:val="none"/>
        </w:rPr>
      </w:pPr>
      <w:r>
        <w:rPr>
          <w:rFonts w:hint="eastAsia"/>
          <w:color w:val="auto"/>
          <w:sz w:val="24"/>
          <w:highlight w:val="none"/>
        </w:rPr>
        <w:t>2.法定代表人参加谈判的无需提供授权书，仅提供身份证明扫描件。</w:t>
      </w:r>
    </w:p>
    <w:p w14:paraId="532F015C">
      <w:pPr>
        <w:widowControl/>
        <w:jc w:val="left"/>
        <w:rPr>
          <w:color w:val="auto"/>
          <w:sz w:val="24"/>
          <w:highlight w:val="none"/>
        </w:rPr>
      </w:pPr>
      <w:r>
        <w:rPr>
          <w:color w:val="auto"/>
          <w:sz w:val="24"/>
          <w:highlight w:val="none"/>
        </w:rPr>
        <w:br w:type="page"/>
      </w:r>
    </w:p>
    <w:p w14:paraId="166F0A53">
      <w:pPr>
        <w:keepNext/>
        <w:keepLines/>
        <w:spacing w:before="260" w:after="260" w:line="416" w:lineRule="auto"/>
        <w:jc w:val="center"/>
        <w:outlineLvl w:val="1"/>
        <w:rPr>
          <w:rFonts w:cs="@仿宋_GB2312" w:asciiTheme="minorEastAsia" w:hAnsiTheme="minorEastAsia" w:eastAsiaTheme="minorEastAsia"/>
          <w:b/>
          <w:bCs/>
          <w:color w:val="auto"/>
          <w:kern w:val="2"/>
          <w:sz w:val="24"/>
          <w:szCs w:val="24"/>
          <w:highlight w:val="none"/>
        </w:rPr>
      </w:pPr>
      <w:bookmarkStart w:id="678" w:name="_Toc15839"/>
      <w:bookmarkStart w:id="679" w:name="_Toc24843"/>
      <w:r>
        <w:rPr>
          <w:rFonts w:hint="eastAsia" w:cs="@仿宋_GB2312" w:asciiTheme="minorEastAsia" w:hAnsiTheme="minorEastAsia" w:eastAsiaTheme="minorEastAsia"/>
          <w:b/>
          <w:bCs/>
          <w:color w:val="auto"/>
          <w:kern w:val="2"/>
          <w:sz w:val="24"/>
          <w:szCs w:val="24"/>
          <w:highlight w:val="none"/>
        </w:rPr>
        <w:t>七、法定代表人身份证明书</w:t>
      </w:r>
      <w:bookmarkEnd w:id="678"/>
      <w:bookmarkEnd w:id="679"/>
    </w:p>
    <w:p w14:paraId="6A673DBB">
      <w:pPr>
        <w:autoSpaceDE w:val="0"/>
        <w:autoSpaceDN w:val="0"/>
        <w:adjustRightInd w:val="0"/>
        <w:spacing w:line="360" w:lineRule="auto"/>
        <w:jc w:val="center"/>
        <w:rPr>
          <w:rFonts w:ascii="@仿宋_GB2312" w:eastAsia="@仿宋_GB2312" w:cs="宋体"/>
          <w:b/>
          <w:color w:val="auto"/>
          <w:kern w:val="2"/>
          <w:sz w:val="21"/>
          <w:szCs w:val="24"/>
          <w:highlight w:val="none"/>
          <w:lang w:val="zh-CN"/>
        </w:rPr>
      </w:pPr>
    </w:p>
    <w:p w14:paraId="3BAF4021">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单位名称：</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p>
    <w:p w14:paraId="74C7F6CD">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单位性质：</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p>
    <w:p w14:paraId="6A11A1F7">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地    址：</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p>
    <w:p w14:paraId="75C7148D">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成立时间：</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年</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月</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日</w:t>
      </w:r>
    </w:p>
    <w:p w14:paraId="1D0C7567">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经营期限：</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p>
    <w:p w14:paraId="58B0FD96">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姓    名：</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 xml:space="preserve"> 性 </w:t>
      </w:r>
      <w:r>
        <w:rPr>
          <w:rFonts w:ascii="Calibri" w:hAnsi="Calibri" w:cs="Times New Roman"/>
          <w:color w:val="auto"/>
          <w:kern w:val="2"/>
          <w:sz w:val="24"/>
          <w:szCs w:val="28"/>
          <w:highlight w:val="none"/>
        </w:rPr>
        <w:t xml:space="preserve">  </w:t>
      </w:r>
      <w:r>
        <w:rPr>
          <w:rFonts w:hint="eastAsia" w:ascii="Calibri" w:hAnsi="Calibri" w:cs="Times New Roman"/>
          <w:color w:val="auto"/>
          <w:kern w:val="2"/>
          <w:sz w:val="24"/>
          <w:szCs w:val="28"/>
          <w:highlight w:val="none"/>
        </w:rPr>
        <w:t xml:space="preserve"> 别：</w:t>
      </w:r>
      <w:r>
        <w:rPr>
          <w:rFonts w:hint="eastAsia" w:ascii="Calibri" w:hAnsi="Calibri" w:cs="Times New Roman"/>
          <w:color w:val="auto"/>
          <w:kern w:val="2"/>
          <w:sz w:val="24"/>
          <w:szCs w:val="28"/>
          <w:highlight w:val="none"/>
          <w:u w:val="single"/>
        </w:rPr>
        <w:t xml:space="preserve">             </w:t>
      </w:r>
    </w:p>
    <w:p w14:paraId="38A9C87D">
      <w:pPr>
        <w:snapToGrid w:val="0"/>
        <w:spacing w:line="360" w:lineRule="auto"/>
        <w:ind w:firstLine="480" w:firstLineChars="200"/>
        <w:jc w:val="left"/>
        <w:rPr>
          <w:rFonts w:ascii="Calibri" w:hAnsi="Calibri" w:cs="Times New Roman"/>
          <w:color w:val="auto"/>
          <w:kern w:val="2"/>
          <w:sz w:val="24"/>
          <w:szCs w:val="28"/>
          <w:highlight w:val="none"/>
          <w:u w:val="single"/>
        </w:rPr>
      </w:pPr>
      <w:r>
        <w:rPr>
          <w:rFonts w:hint="eastAsia" w:ascii="Calibri" w:hAnsi="Calibri" w:cs="Times New Roman"/>
          <w:color w:val="auto"/>
          <w:kern w:val="2"/>
          <w:sz w:val="24"/>
          <w:szCs w:val="28"/>
          <w:highlight w:val="none"/>
        </w:rPr>
        <w:t>年    龄：</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 xml:space="preserve"> 职    务：</w:t>
      </w:r>
      <w:r>
        <w:rPr>
          <w:rFonts w:hint="eastAsia" w:ascii="Calibri" w:hAnsi="Calibri" w:cs="Times New Roman"/>
          <w:color w:val="auto"/>
          <w:kern w:val="2"/>
          <w:sz w:val="24"/>
          <w:szCs w:val="28"/>
          <w:highlight w:val="none"/>
          <w:u w:val="single"/>
        </w:rPr>
        <w:t xml:space="preserve">             </w:t>
      </w:r>
    </w:p>
    <w:p w14:paraId="63E8A7E9">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联系</w:t>
      </w:r>
      <w:r>
        <w:rPr>
          <w:rFonts w:ascii="Calibri" w:hAnsi="Calibri" w:cs="Times New Roman"/>
          <w:color w:val="auto"/>
          <w:kern w:val="2"/>
          <w:sz w:val="24"/>
          <w:szCs w:val="28"/>
          <w:highlight w:val="none"/>
        </w:rPr>
        <w:t>电话</w:t>
      </w:r>
      <w:r>
        <w:rPr>
          <w:rFonts w:hint="eastAsia" w:ascii="Calibri" w:hAnsi="Calibri" w:cs="Times New Roman"/>
          <w:color w:val="auto"/>
          <w:kern w:val="2"/>
          <w:sz w:val="24"/>
          <w:szCs w:val="28"/>
          <w:highlight w:val="none"/>
        </w:rPr>
        <w:t>：</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 xml:space="preserve"> 手机号码：</w:t>
      </w:r>
      <w:r>
        <w:rPr>
          <w:rFonts w:hint="eastAsia" w:ascii="Calibri" w:hAnsi="Calibri" w:cs="Times New Roman"/>
          <w:color w:val="auto"/>
          <w:kern w:val="2"/>
          <w:sz w:val="24"/>
          <w:szCs w:val="28"/>
          <w:highlight w:val="none"/>
          <w:u w:val="single"/>
        </w:rPr>
        <w:t xml:space="preserve">             </w:t>
      </w:r>
    </w:p>
    <w:p w14:paraId="08FEA0B9">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 xml:space="preserve">系  </w:t>
      </w:r>
      <w:r>
        <w:rPr>
          <w:rFonts w:hint="eastAsia" w:ascii="Calibri" w:hAnsi="Calibri" w:cs="Times New Roman"/>
          <w:color w:val="auto"/>
          <w:kern w:val="2"/>
          <w:sz w:val="24"/>
          <w:szCs w:val="28"/>
          <w:highlight w:val="none"/>
          <w:u w:val="single"/>
        </w:rPr>
        <w:t xml:space="preserve">   （供应商单位名称）       </w:t>
      </w:r>
      <w:r>
        <w:rPr>
          <w:rFonts w:hint="eastAsia" w:ascii="Calibri" w:hAnsi="Calibri" w:cs="Times New Roman"/>
          <w:color w:val="auto"/>
          <w:kern w:val="2"/>
          <w:sz w:val="24"/>
          <w:szCs w:val="28"/>
          <w:highlight w:val="none"/>
        </w:rPr>
        <w:t>的法定代表人。</w:t>
      </w:r>
    </w:p>
    <w:p w14:paraId="46B77A1A">
      <w:pPr>
        <w:spacing w:before="62" w:beforeLines="20" w:after="62" w:afterLines="20" w:line="540" w:lineRule="exact"/>
        <w:ind w:firstLine="610"/>
        <w:rPr>
          <w:rFonts w:ascii="@仿宋_GB2312" w:hAnsi="Calibri" w:eastAsia="@仿宋_GB2312" w:cs="宋体"/>
          <w:color w:val="auto"/>
          <w:kern w:val="2"/>
          <w:sz w:val="24"/>
          <w:szCs w:val="24"/>
          <w:highlight w:val="none"/>
        </w:rPr>
      </w:pPr>
    </w:p>
    <w:p w14:paraId="4C9F765B">
      <w:pPr>
        <w:spacing w:before="62" w:beforeLines="20" w:after="62" w:afterLines="20" w:line="540" w:lineRule="exact"/>
        <w:ind w:left="400" w:leftChars="200" w:firstLine="240" w:firstLineChars="100"/>
        <w:rPr>
          <w:rFonts w:ascii="Calibri" w:hAnsi="Calibri" w:cs="宋体"/>
          <w:color w:val="auto"/>
          <w:kern w:val="2"/>
          <w:sz w:val="24"/>
          <w:szCs w:val="24"/>
          <w:highlight w:val="none"/>
        </w:rPr>
      </w:pPr>
      <w:r>
        <w:rPr>
          <w:rFonts w:hint="eastAsia" w:ascii="Calibri" w:hAnsi="Calibri" w:cs="宋体"/>
          <w:color w:val="auto"/>
          <w:kern w:val="2"/>
          <w:sz w:val="24"/>
          <w:szCs w:val="24"/>
          <w:highlight w:val="none"/>
        </w:rPr>
        <w:t>特此证明。</w:t>
      </w:r>
    </w:p>
    <w:p w14:paraId="19169BCF">
      <w:pPr>
        <w:tabs>
          <w:tab w:val="left" w:pos="720"/>
          <w:tab w:val="left" w:pos="900"/>
        </w:tabs>
        <w:spacing w:before="62" w:beforeLines="20" w:after="62" w:afterLines="20" w:line="540" w:lineRule="exact"/>
        <w:ind w:firstLine="480" w:firstLineChars="200"/>
        <w:rPr>
          <w:rFonts w:ascii="Calibri" w:hAnsi="Calibri" w:cs="宋体"/>
          <w:color w:val="auto"/>
          <w:kern w:val="2"/>
          <w:sz w:val="24"/>
          <w:szCs w:val="24"/>
          <w:highlight w:val="none"/>
        </w:rPr>
      </w:pPr>
      <w:r>
        <w:rPr>
          <w:rFonts w:hint="eastAsia" w:ascii="Calibri" w:hAnsi="Calibri" w:cs="宋体"/>
          <w:color w:val="auto"/>
          <w:kern w:val="2"/>
          <w:sz w:val="24"/>
          <w:szCs w:val="24"/>
          <w:highlight w:val="none"/>
        </w:rPr>
        <w:t>附：法定代表人身份证扫描件</w:t>
      </w:r>
    </w:p>
    <w:p w14:paraId="1CB9A9EA">
      <w:pPr>
        <w:tabs>
          <w:tab w:val="left" w:pos="720"/>
          <w:tab w:val="left" w:pos="900"/>
        </w:tabs>
        <w:spacing w:before="62" w:beforeLines="20" w:after="62" w:afterLines="20" w:line="540" w:lineRule="exact"/>
        <w:ind w:firstLine="480" w:firstLineChars="200"/>
        <w:rPr>
          <w:rFonts w:ascii="@仿宋_GB2312" w:hAnsi="Calibri" w:eastAsia="@仿宋_GB2312" w:cs="宋体"/>
          <w:color w:val="auto"/>
          <w:kern w:val="2"/>
          <w:sz w:val="24"/>
          <w:szCs w:val="24"/>
          <w:highlight w:val="none"/>
        </w:rPr>
      </w:pPr>
    </w:p>
    <w:p w14:paraId="76F44EF7">
      <w:pPr>
        <w:tabs>
          <w:tab w:val="left" w:pos="720"/>
          <w:tab w:val="left" w:pos="900"/>
        </w:tabs>
        <w:spacing w:before="62" w:beforeLines="20" w:after="62" w:afterLines="20" w:line="540" w:lineRule="exact"/>
        <w:ind w:firstLine="4560" w:firstLineChars="1900"/>
        <w:rPr>
          <w:rFonts w:ascii="@仿宋_GB2312" w:hAnsi="Calibri" w:eastAsia="@仿宋_GB2312" w:cs="宋体"/>
          <w:color w:val="auto"/>
          <w:kern w:val="2"/>
          <w:sz w:val="24"/>
          <w:szCs w:val="24"/>
          <w:highlight w:val="none"/>
        </w:rPr>
      </w:pPr>
    </w:p>
    <w:p w14:paraId="46ECDFE6">
      <w:pPr>
        <w:spacing w:line="360" w:lineRule="auto"/>
        <w:ind w:firstLine="3840" w:firstLineChars="1600"/>
        <w:rPr>
          <w:rFonts w:cs="宋体"/>
          <w:color w:val="auto"/>
          <w:kern w:val="2"/>
          <w:sz w:val="24"/>
          <w:szCs w:val="24"/>
          <w:highlight w:val="none"/>
        </w:rPr>
      </w:pPr>
      <w:r>
        <w:rPr>
          <w:rFonts w:hint="eastAsia" w:cs="宋体"/>
          <w:color w:val="auto"/>
          <w:kern w:val="2"/>
          <w:sz w:val="24"/>
          <w:szCs w:val="24"/>
          <w:highlight w:val="none"/>
        </w:rPr>
        <w:t>供应商电子签章：</w:t>
      </w:r>
      <w:r>
        <w:rPr>
          <w:rFonts w:cs="宋体"/>
          <w:color w:val="auto"/>
          <w:kern w:val="2"/>
          <w:sz w:val="24"/>
          <w:szCs w:val="24"/>
          <w:highlight w:val="none"/>
          <w:u w:val="single"/>
        </w:rPr>
        <w:t xml:space="preserve">        </w:t>
      </w:r>
      <w:r>
        <w:rPr>
          <w:rFonts w:hint="eastAsia" w:cs="宋体"/>
          <w:color w:val="auto"/>
          <w:kern w:val="2"/>
          <w:sz w:val="24"/>
          <w:szCs w:val="24"/>
          <w:highlight w:val="none"/>
          <w:u w:val="single"/>
        </w:rPr>
        <w:t xml:space="preserve">      </w:t>
      </w:r>
      <w:r>
        <w:rPr>
          <w:rFonts w:cs="宋体"/>
          <w:color w:val="auto"/>
          <w:kern w:val="2"/>
          <w:sz w:val="24"/>
          <w:szCs w:val="24"/>
          <w:highlight w:val="none"/>
          <w:u w:val="single"/>
        </w:rPr>
        <w:t xml:space="preserve">       </w:t>
      </w:r>
    </w:p>
    <w:p w14:paraId="26A62CF2">
      <w:pPr>
        <w:spacing w:line="360" w:lineRule="auto"/>
        <w:ind w:firstLine="3840" w:firstLineChars="1600"/>
        <w:rPr>
          <w:rFonts w:cs="宋体"/>
          <w:color w:val="auto"/>
          <w:kern w:val="2"/>
          <w:sz w:val="24"/>
          <w:szCs w:val="24"/>
          <w:highlight w:val="none"/>
        </w:rPr>
      </w:pPr>
      <w:r>
        <w:rPr>
          <w:rFonts w:hint="eastAsia" w:cs="宋体"/>
          <w:color w:val="auto"/>
          <w:kern w:val="2"/>
          <w:sz w:val="24"/>
          <w:szCs w:val="24"/>
          <w:highlight w:val="none"/>
        </w:rPr>
        <w:t>日</w:t>
      </w:r>
      <w:r>
        <w:rPr>
          <w:rFonts w:cs="宋体"/>
          <w:color w:val="auto"/>
          <w:kern w:val="2"/>
          <w:sz w:val="24"/>
          <w:szCs w:val="24"/>
          <w:highlight w:val="none"/>
        </w:rPr>
        <w:t xml:space="preserve">   </w:t>
      </w:r>
      <w:r>
        <w:rPr>
          <w:rFonts w:hint="eastAsia" w:cs="宋体"/>
          <w:color w:val="auto"/>
          <w:kern w:val="2"/>
          <w:sz w:val="24"/>
          <w:szCs w:val="24"/>
          <w:highlight w:val="none"/>
        </w:rPr>
        <w:t xml:space="preserve">    </w:t>
      </w:r>
      <w:r>
        <w:rPr>
          <w:rFonts w:cs="宋体"/>
          <w:color w:val="auto"/>
          <w:kern w:val="2"/>
          <w:sz w:val="24"/>
          <w:szCs w:val="24"/>
          <w:highlight w:val="none"/>
        </w:rPr>
        <w:t xml:space="preserve">   </w:t>
      </w:r>
      <w:r>
        <w:rPr>
          <w:rFonts w:hint="eastAsia" w:cs="宋体"/>
          <w:color w:val="auto"/>
          <w:kern w:val="2"/>
          <w:sz w:val="24"/>
          <w:szCs w:val="24"/>
          <w:highlight w:val="none"/>
        </w:rPr>
        <w:t>期：</w:t>
      </w:r>
      <w:r>
        <w:rPr>
          <w:rFonts w:cs="宋体"/>
          <w:color w:val="auto"/>
          <w:kern w:val="2"/>
          <w:sz w:val="24"/>
          <w:szCs w:val="24"/>
          <w:highlight w:val="none"/>
          <w:u w:val="single"/>
        </w:rPr>
        <w:t xml:space="preserve">           </w:t>
      </w:r>
      <w:r>
        <w:rPr>
          <w:rFonts w:hint="eastAsia" w:cs="宋体"/>
          <w:color w:val="auto"/>
          <w:kern w:val="2"/>
          <w:sz w:val="24"/>
          <w:szCs w:val="24"/>
          <w:highlight w:val="none"/>
          <w:u w:val="single"/>
        </w:rPr>
        <w:t xml:space="preserve"> </w:t>
      </w:r>
      <w:r>
        <w:rPr>
          <w:rFonts w:cs="宋体"/>
          <w:color w:val="auto"/>
          <w:kern w:val="2"/>
          <w:sz w:val="24"/>
          <w:szCs w:val="24"/>
          <w:highlight w:val="none"/>
          <w:u w:val="single"/>
        </w:rPr>
        <w:t xml:space="preserve">    </w:t>
      </w:r>
      <w:r>
        <w:rPr>
          <w:rFonts w:hint="eastAsia" w:cs="宋体"/>
          <w:color w:val="auto"/>
          <w:kern w:val="2"/>
          <w:sz w:val="24"/>
          <w:szCs w:val="24"/>
          <w:highlight w:val="none"/>
          <w:u w:val="single"/>
        </w:rPr>
        <w:t xml:space="preserve">  </w:t>
      </w:r>
      <w:r>
        <w:rPr>
          <w:rFonts w:cs="宋体"/>
          <w:color w:val="auto"/>
          <w:kern w:val="2"/>
          <w:sz w:val="24"/>
          <w:szCs w:val="24"/>
          <w:highlight w:val="none"/>
          <w:u w:val="single"/>
        </w:rPr>
        <w:t xml:space="preserve">   </w:t>
      </w:r>
    </w:p>
    <w:p w14:paraId="12574F71">
      <w:pPr>
        <w:widowControl/>
        <w:jc w:val="left"/>
        <w:rPr>
          <w:rFonts w:cs="@仿宋_GB2312" w:asciiTheme="minorEastAsia" w:hAnsiTheme="minorEastAsia" w:eastAsiaTheme="minorEastAsia"/>
          <w:b/>
          <w:bCs/>
          <w:color w:val="auto"/>
          <w:kern w:val="2"/>
          <w:sz w:val="24"/>
          <w:szCs w:val="24"/>
          <w:highlight w:val="none"/>
        </w:rPr>
      </w:pPr>
      <w:r>
        <w:rPr>
          <w:rFonts w:cs="@仿宋_GB2312" w:asciiTheme="minorEastAsia" w:hAnsiTheme="minorEastAsia" w:eastAsiaTheme="minorEastAsia"/>
          <w:color w:val="auto"/>
          <w:kern w:val="2"/>
          <w:sz w:val="24"/>
          <w:szCs w:val="24"/>
          <w:highlight w:val="none"/>
        </w:rPr>
        <w:br w:type="page"/>
      </w:r>
    </w:p>
    <w:p w14:paraId="14D3389D">
      <w:pPr>
        <w:keepNext/>
        <w:keepLines/>
        <w:spacing w:before="260" w:after="260" w:line="416" w:lineRule="auto"/>
        <w:jc w:val="center"/>
        <w:outlineLvl w:val="1"/>
        <w:rPr>
          <w:rFonts w:hint="eastAsia" w:cs="@仿宋_GB2312" w:asciiTheme="minorEastAsia" w:hAnsiTheme="minorEastAsia" w:eastAsiaTheme="minorEastAsia"/>
          <w:b/>
          <w:bCs/>
          <w:color w:val="auto"/>
          <w:kern w:val="2"/>
          <w:sz w:val="24"/>
          <w:szCs w:val="24"/>
          <w:highlight w:val="none"/>
        </w:rPr>
      </w:pPr>
      <w:bookmarkStart w:id="680" w:name="_Toc32663"/>
      <w:bookmarkStart w:id="681" w:name="_Toc4373"/>
      <w:r>
        <w:rPr>
          <w:rFonts w:hint="eastAsia" w:cs="@仿宋_GB2312" w:asciiTheme="minorEastAsia" w:hAnsiTheme="minorEastAsia" w:eastAsiaTheme="minorEastAsia"/>
          <w:b/>
          <w:bCs/>
          <w:color w:val="auto"/>
          <w:kern w:val="2"/>
          <w:sz w:val="24"/>
          <w:szCs w:val="24"/>
          <w:highlight w:val="none"/>
          <w:lang w:val="en-US" w:eastAsia="zh-CN"/>
        </w:rPr>
        <w:t>八</w:t>
      </w:r>
      <w:r>
        <w:rPr>
          <w:rFonts w:hint="eastAsia" w:cs="@仿宋_GB2312" w:asciiTheme="minorEastAsia" w:hAnsiTheme="minorEastAsia" w:eastAsiaTheme="minorEastAsia"/>
          <w:b/>
          <w:bCs/>
          <w:color w:val="auto"/>
          <w:kern w:val="2"/>
          <w:sz w:val="24"/>
          <w:szCs w:val="24"/>
          <w:highlight w:val="none"/>
        </w:rPr>
        <w:t>、项目经理承诺书</w:t>
      </w:r>
      <w:bookmarkEnd w:id="680"/>
      <w:bookmarkEnd w:id="681"/>
    </w:p>
    <w:p w14:paraId="1E1D60A8">
      <w:pPr>
        <w:spacing w:line="360" w:lineRule="auto"/>
        <w:rPr>
          <w:rFonts w:hint="eastAsia" w:cs="宋体" w:asciiTheme="minorEastAsia" w:hAnsiTheme="minorEastAsia" w:eastAsiaTheme="minorEastAsia"/>
          <w:color w:val="auto"/>
          <w:kern w:val="2"/>
          <w:sz w:val="24"/>
          <w:szCs w:val="24"/>
          <w:highlight w:val="none"/>
          <w:lang w:eastAsia="zh-CN"/>
        </w:rPr>
      </w:pPr>
      <w:r>
        <w:rPr>
          <w:rFonts w:hint="eastAsia" w:cs="宋体" w:asciiTheme="minorEastAsia" w:hAnsiTheme="minorEastAsia" w:eastAsiaTheme="minorEastAsia"/>
          <w:b/>
          <w:color w:val="auto"/>
          <w:kern w:val="2"/>
          <w:sz w:val="24"/>
          <w:szCs w:val="24"/>
          <w:highlight w:val="none"/>
        </w:rPr>
        <w:t>致：</w:t>
      </w:r>
      <w:r>
        <w:rPr>
          <w:rFonts w:hint="eastAsia" w:cs="宋体" w:asciiTheme="minorEastAsia" w:hAnsiTheme="minorEastAsia" w:eastAsiaTheme="minorEastAsia"/>
          <w:b/>
          <w:color w:val="auto"/>
          <w:kern w:val="2"/>
          <w:sz w:val="24"/>
          <w:szCs w:val="24"/>
          <w:highlight w:val="none"/>
          <w:u w:val="none"/>
          <w:lang w:eastAsia="zh-CN"/>
        </w:rPr>
        <w:t>采购人</w:t>
      </w:r>
    </w:p>
    <w:p w14:paraId="6EAD0F77">
      <w:pPr>
        <w:spacing w:line="360" w:lineRule="auto"/>
        <w:ind w:firstLine="480" w:firstLineChars="200"/>
        <w:rPr>
          <w:rFonts w:cs="宋体"/>
          <w:color w:val="auto"/>
          <w:kern w:val="2"/>
          <w:sz w:val="24"/>
          <w:szCs w:val="24"/>
          <w:highlight w:val="none"/>
        </w:rPr>
      </w:pPr>
      <w:r>
        <w:rPr>
          <w:rFonts w:hint="eastAsia" w:cs="宋体"/>
          <w:color w:val="auto"/>
          <w:kern w:val="2"/>
          <w:sz w:val="24"/>
          <w:szCs w:val="24"/>
          <w:highlight w:val="none"/>
        </w:rPr>
        <w:t>本人作为我单位在本项目</w:t>
      </w:r>
      <w:r>
        <w:rPr>
          <w:rFonts w:hint="eastAsia" w:cs="宋体"/>
          <w:color w:val="auto"/>
          <w:kern w:val="2"/>
          <w:sz w:val="24"/>
          <w:szCs w:val="24"/>
          <w:highlight w:val="none"/>
          <w:lang w:eastAsia="zh-CN"/>
        </w:rPr>
        <w:t>谈判</w:t>
      </w:r>
      <w:r>
        <w:rPr>
          <w:rFonts w:hint="eastAsia" w:cs="宋体"/>
          <w:color w:val="auto"/>
          <w:kern w:val="2"/>
          <w:sz w:val="24"/>
          <w:szCs w:val="24"/>
          <w:highlight w:val="none"/>
        </w:rPr>
        <w:t>担任的项目经理，郑重承诺：</w:t>
      </w:r>
    </w:p>
    <w:p w14:paraId="71E31A82">
      <w:pPr>
        <w:spacing w:line="360" w:lineRule="auto"/>
        <w:ind w:firstLine="480" w:firstLineChars="200"/>
        <w:rPr>
          <w:rFonts w:cs="宋体"/>
          <w:color w:val="auto"/>
          <w:kern w:val="2"/>
          <w:sz w:val="24"/>
          <w:szCs w:val="24"/>
          <w:highlight w:val="none"/>
        </w:rPr>
      </w:pPr>
      <w:r>
        <w:rPr>
          <w:rFonts w:hint="eastAsia" w:cs="宋体"/>
          <w:color w:val="auto"/>
          <w:kern w:val="2"/>
          <w:sz w:val="24"/>
          <w:szCs w:val="24"/>
          <w:highlight w:val="none"/>
        </w:rPr>
        <w:t>一、本项目提供的项目经理业绩已经本人核实，工程实施过程中项目经理确为本人，合同（或竣工相关资料证明）的本人签字均为该工程实施时段所签，真实无误，不存在虚假和挂靠现象，也不存在为</w:t>
      </w:r>
      <w:r>
        <w:rPr>
          <w:rFonts w:hint="eastAsia" w:cs="宋体"/>
          <w:color w:val="auto"/>
          <w:kern w:val="2"/>
          <w:sz w:val="24"/>
          <w:szCs w:val="24"/>
          <w:highlight w:val="none"/>
          <w:lang w:eastAsia="zh-CN"/>
        </w:rPr>
        <w:t>谈判</w:t>
      </w:r>
      <w:r>
        <w:rPr>
          <w:rFonts w:hint="eastAsia" w:cs="宋体"/>
          <w:color w:val="auto"/>
          <w:kern w:val="2"/>
          <w:sz w:val="24"/>
          <w:szCs w:val="24"/>
          <w:highlight w:val="none"/>
        </w:rPr>
        <w:t>而造假的行为。</w:t>
      </w:r>
    </w:p>
    <w:p w14:paraId="04456CDA">
      <w:pPr>
        <w:spacing w:line="360" w:lineRule="auto"/>
        <w:ind w:firstLine="480" w:firstLineChars="200"/>
        <w:rPr>
          <w:rFonts w:cs="宋体"/>
          <w:color w:val="auto"/>
          <w:kern w:val="2"/>
          <w:sz w:val="24"/>
          <w:szCs w:val="24"/>
          <w:highlight w:val="none"/>
        </w:rPr>
      </w:pPr>
      <w:r>
        <w:rPr>
          <w:rFonts w:hint="eastAsia" w:cs="宋体"/>
          <w:color w:val="auto"/>
          <w:kern w:val="2"/>
          <w:sz w:val="24"/>
          <w:szCs w:val="24"/>
          <w:highlight w:val="none"/>
          <w:lang w:val="en-US" w:eastAsia="zh-CN"/>
        </w:rPr>
        <w:t>二</w:t>
      </w:r>
      <w:r>
        <w:rPr>
          <w:rFonts w:hint="eastAsia" w:cs="宋体"/>
          <w:color w:val="auto"/>
          <w:kern w:val="2"/>
          <w:sz w:val="24"/>
          <w:szCs w:val="24"/>
          <w:highlight w:val="none"/>
        </w:rPr>
        <w:t>、本人承诺，一旦成交，将严格按照</w:t>
      </w:r>
      <w:r>
        <w:rPr>
          <w:rFonts w:hint="eastAsia" w:cs="宋体"/>
          <w:color w:val="auto"/>
          <w:kern w:val="2"/>
          <w:sz w:val="24"/>
          <w:szCs w:val="24"/>
          <w:highlight w:val="none"/>
          <w:lang w:val="en-US" w:eastAsia="zh-CN"/>
        </w:rPr>
        <w:t>谈判</w:t>
      </w:r>
      <w:r>
        <w:rPr>
          <w:rFonts w:hint="eastAsia" w:cs="宋体"/>
          <w:color w:val="auto"/>
          <w:kern w:val="2"/>
          <w:sz w:val="24"/>
          <w:szCs w:val="24"/>
          <w:highlight w:val="none"/>
        </w:rPr>
        <w:t>文件规定履约。</w:t>
      </w:r>
    </w:p>
    <w:p w14:paraId="211C690C">
      <w:pPr>
        <w:spacing w:line="360" w:lineRule="auto"/>
        <w:ind w:firstLine="480" w:firstLineChars="200"/>
        <w:rPr>
          <w:rFonts w:hint="eastAsia" w:cs="宋体"/>
          <w:color w:val="auto"/>
          <w:kern w:val="2"/>
          <w:sz w:val="24"/>
          <w:szCs w:val="24"/>
          <w:highlight w:val="none"/>
        </w:rPr>
      </w:pPr>
      <w:r>
        <w:rPr>
          <w:rFonts w:hint="eastAsia" w:cs="宋体"/>
          <w:color w:val="auto"/>
          <w:kern w:val="2"/>
          <w:sz w:val="24"/>
          <w:szCs w:val="24"/>
          <w:highlight w:val="none"/>
          <w:lang w:val="en-US" w:eastAsia="zh-CN"/>
        </w:rPr>
        <w:t>三</w:t>
      </w:r>
      <w:r>
        <w:rPr>
          <w:rFonts w:hint="eastAsia" w:cs="宋体"/>
          <w:color w:val="auto"/>
          <w:kern w:val="2"/>
          <w:sz w:val="24"/>
          <w:szCs w:val="24"/>
          <w:highlight w:val="none"/>
        </w:rPr>
        <w:t>、本人声明，对以上承诺，一旦发现虚假现象，本人愿意承担相应法律责任，并随时无条件配合监管部门调查取证。</w:t>
      </w:r>
    </w:p>
    <w:p w14:paraId="22688AEB">
      <w:pPr>
        <w:spacing w:line="360" w:lineRule="auto"/>
        <w:ind w:firstLine="480" w:firstLineChars="200"/>
        <w:rPr>
          <w:rFonts w:hint="eastAsia" w:cs="宋体"/>
          <w:color w:val="auto"/>
          <w:kern w:val="2"/>
          <w:sz w:val="24"/>
          <w:szCs w:val="24"/>
          <w:highlight w:val="none"/>
          <w:lang w:val="en-US" w:eastAsia="zh-CN"/>
        </w:rPr>
      </w:pPr>
      <w:r>
        <w:rPr>
          <w:rFonts w:hint="eastAsia" w:cs="宋体"/>
          <w:color w:val="auto"/>
          <w:kern w:val="2"/>
          <w:sz w:val="24"/>
          <w:szCs w:val="24"/>
          <w:highlight w:val="none"/>
          <w:lang w:val="en-US" w:eastAsia="zh-CN"/>
        </w:rPr>
        <w:t>四、</w:t>
      </w:r>
      <w:r>
        <w:rPr>
          <w:rFonts w:hint="eastAsia" w:cs="宋体"/>
          <w:color w:val="auto"/>
          <w:kern w:val="2"/>
          <w:sz w:val="24"/>
          <w:szCs w:val="24"/>
          <w:highlight w:val="none"/>
          <w:u w:val="single"/>
        </w:rPr>
        <w:t xml:space="preserve">                   </w:t>
      </w:r>
    </w:p>
    <w:p w14:paraId="1ABA0D16">
      <w:pPr>
        <w:spacing w:line="360" w:lineRule="auto"/>
        <w:ind w:firstLine="480" w:firstLineChars="200"/>
        <w:rPr>
          <w:rFonts w:cs="宋体"/>
          <w:color w:val="auto"/>
          <w:kern w:val="2"/>
          <w:sz w:val="24"/>
          <w:szCs w:val="24"/>
          <w:highlight w:val="none"/>
        </w:rPr>
      </w:pPr>
    </w:p>
    <w:p w14:paraId="6C5A6DE5">
      <w:pPr>
        <w:spacing w:line="360" w:lineRule="auto"/>
        <w:ind w:firstLine="4200" w:firstLineChars="1750"/>
        <w:rPr>
          <w:rFonts w:cs="宋体"/>
          <w:color w:val="auto"/>
          <w:kern w:val="2"/>
          <w:sz w:val="24"/>
          <w:szCs w:val="24"/>
          <w:highlight w:val="none"/>
        </w:rPr>
      </w:pPr>
      <w:r>
        <w:rPr>
          <w:rFonts w:hint="eastAsia" w:cs="宋体"/>
          <w:color w:val="auto"/>
          <w:kern w:val="2"/>
          <w:sz w:val="24"/>
          <w:szCs w:val="24"/>
          <w:highlight w:val="none"/>
        </w:rPr>
        <w:t>项目经理签字：</w:t>
      </w:r>
      <w:r>
        <w:rPr>
          <w:rFonts w:hint="eastAsia" w:cs="宋体"/>
          <w:color w:val="auto"/>
          <w:kern w:val="2"/>
          <w:sz w:val="24"/>
          <w:szCs w:val="24"/>
          <w:highlight w:val="none"/>
          <w:u w:val="single"/>
        </w:rPr>
        <w:t xml:space="preserve">                   </w:t>
      </w:r>
    </w:p>
    <w:p w14:paraId="38237CFF">
      <w:pPr>
        <w:spacing w:line="360" w:lineRule="auto"/>
        <w:ind w:firstLine="4200" w:firstLineChars="1750"/>
        <w:rPr>
          <w:rFonts w:cs="宋体"/>
          <w:color w:val="auto"/>
          <w:kern w:val="2"/>
          <w:sz w:val="24"/>
          <w:szCs w:val="24"/>
          <w:highlight w:val="none"/>
        </w:rPr>
      </w:pPr>
      <w:r>
        <w:rPr>
          <w:rFonts w:hint="eastAsia" w:cs="宋体"/>
          <w:color w:val="auto"/>
          <w:kern w:val="2"/>
          <w:sz w:val="24"/>
          <w:szCs w:val="24"/>
          <w:highlight w:val="none"/>
        </w:rPr>
        <w:t>身份证号：</w:t>
      </w:r>
      <w:r>
        <w:rPr>
          <w:rFonts w:hint="eastAsia" w:cs="宋体"/>
          <w:color w:val="auto"/>
          <w:kern w:val="2"/>
          <w:sz w:val="24"/>
          <w:szCs w:val="24"/>
          <w:highlight w:val="none"/>
          <w:u w:val="single"/>
        </w:rPr>
        <w:t xml:space="preserve">                       </w:t>
      </w:r>
    </w:p>
    <w:p w14:paraId="290ACAC0">
      <w:pPr>
        <w:spacing w:line="360" w:lineRule="auto"/>
        <w:ind w:firstLine="4200" w:firstLineChars="1750"/>
        <w:rPr>
          <w:rFonts w:cs="宋体"/>
          <w:color w:val="auto"/>
          <w:kern w:val="2"/>
          <w:sz w:val="24"/>
          <w:szCs w:val="24"/>
          <w:highlight w:val="none"/>
        </w:rPr>
      </w:pPr>
      <w:r>
        <w:rPr>
          <w:rFonts w:hint="eastAsia" w:cs="宋体"/>
          <w:color w:val="auto"/>
          <w:kern w:val="2"/>
          <w:sz w:val="24"/>
          <w:szCs w:val="24"/>
          <w:highlight w:val="none"/>
        </w:rPr>
        <w:t>日    期：</w:t>
      </w:r>
      <w:r>
        <w:rPr>
          <w:rFonts w:hint="eastAsia" w:cs="宋体"/>
          <w:color w:val="auto"/>
          <w:kern w:val="2"/>
          <w:sz w:val="24"/>
          <w:szCs w:val="24"/>
          <w:highlight w:val="none"/>
          <w:u w:val="single"/>
        </w:rPr>
        <w:t xml:space="preserve"> </w:t>
      </w:r>
      <w:r>
        <w:rPr>
          <w:rFonts w:cs="宋体"/>
          <w:color w:val="auto"/>
          <w:kern w:val="2"/>
          <w:sz w:val="24"/>
          <w:szCs w:val="24"/>
          <w:highlight w:val="none"/>
          <w:u w:val="single"/>
        </w:rPr>
        <w:t xml:space="preserve"> </w:t>
      </w:r>
      <w:r>
        <w:rPr>
          <w:rFonts w:hint="eastAsia" w:cs="宋体"/>
          <w:color w:val="auto"/>
          <w:kern w:val="2"/>
          <w:sz w:val="24"/>
          <w:szCs w:val="24"/>
          <w:highlight w:val="none"/>
          <w:u w:val="single"/>
        </w:rPr>
        <w:t xml:space="preserve">                     </w:t>
      </w:r>
    </w:p>
    <w:p w14:paraId="07FACC05">
      <w:pPr>
        <w:spacing w:line="360" w:lineRule="auto"/>
        <w:ind w:firstLine="480" w:firstLineChars="200"/>
        <w:rPr>
          <w:rFonts w:cs="宋体"/>
          <w:color w:val="auto"/>
          <w:kern w:val="2"/>
          <w:sz w:val="24"/>
          <w:szCs w:val="24"/>
          <w:highlight w:val="none"/>
        </w:rPr>
      </w:pPr>
    </w:p>
    <w:p w14:paraId="3A002917">
      <w:pPr>
        <w:spacing w:line="360" w:lineRule="auto"/>
        <w:ind w:firstLine="480" w:firstLineChars="200"/>
        <w:rPr>
          <w:rFonts w:cs="宋体" w:asciiTheme="minorEastAsia" w:hAnsiTheme="minorEastAsia" w:eastAsiaTheme="minorEastAsia"/>
          <w:color w:val="auto"/>
          <w:kern w:val="2"/>
          <w:sz w:val="24"/>
          <w:szCs w:val="24"/>
          <w:highlight w:val="none"/>
        </w:rPr>
      </w:pPr>
      <w:r>
        <w:rPr>
          <w:rFonts w:hint="eastAsia" w:cs="宋体"/>
          <w:color w:val="auto"/>
          <w:kern w:val="2"/>
          <w:sz w:val="24"/>
          <w:szCs w:val="24"/>
          <w:highlight w:val="none"/>
        </w:rPr>
        <w:t>注：本页后附项目经理身份证明扫描件。</w:t>
      </w:r>
    </w:p>
    <w:p w14:paraId="656F406E">
      <w:pPr>
        <w:spacing w:line="360" w:lineRule="auto"/>
        <w:ind w:firstLine="4200" w:firstLineChars="1750"/>
        <w:rPr>
          <w:rFonts w:ascii="@仿宋_GB2312" w:eastAsia="@仿宋_GB2312" w:cs="宋体"/>
          <w:color w:val="auto"/>
          <w:kern w:val="2"/>
          <w:sz w:val="24"/>
          <w:szCs w:val="24"/>
          <w:highlight w:val="none"/>
          <w:lang w:val="zh-CN"/>
        </w:rPr>
      </w:pPr>
      <w:r>
        <w:rPr>
          <w:rFonts w:hint="eastAsia" w:ascii="@仿宋_GB2312" w:cs="@仿宋_GB2312"/>
          <w:color w:val="auto"/>
          <w:kern w:val="2"/>
          <w:sz w:val="24"/>
          <w:szCs w:val="28"/>
          <w:highlight w:val="none"/>
        </w:rPr>
        <w:br w:type="page"/>
      </w:r>
    </w:p>
    <w:p w14:paraId="65D5CCBD">
      <w:pPr>
        <w:widowControl/>
        <w:jc w:val="left"/>
        <w:rPr>
          <w:rFonts w:asciiTheme="minorEastAsia" w:hAnsiTheme="minorEastAsia" w:eastAsiaTheme="minorEastAsia"/>
          <w:b/>
          <w:color w:val="auto"/>
          <w:sz w:val="24"/>
          <w:highlight w:val="none"/>
        </w:rPr>
      </w:pPr>
    </w:p>
    <w:p w14:paraId="4EAD70AC">
      <w:pPr>
        <w:spacing w:line="360" w:lineRule="auto"/>
        <w:jc w:val="center"/>
        <w:outlineLvl w:val="1"/>
        <w:rPr>
          <w:rFonts w:asciiTheme="minorEastAsia" w:hAnsiTheme="minorEastAsia" w:eastAsiaTheme="minorEastAsia"/>
          <w:b/>
          <w:color w:val="auto"/>
          <w:sz w:val="24"/>
          <w:highlight w:val="none"/>
        </w:rPr>
      </w:pPr>
      <w:bookmarkStart w:id="682" w:name="_Toc8061"/>
      <w:bookmarkStart w:id="683" w:name="_Toc32708"/>
      <w:r>
        <w:rPr>
          <w:rFonts w:hint="eastAsia" w:asciiTheme="minorEastAsia" w:hAnsiTheme="minorEastAsia" w:eastAsiaTheme="minorEastAsia"/>
          <w:b/>
          <w:color w:val="auto"/>
          <w:sz w:val="24"/>
          <w:highlight w:val="none"/>
          <w:lang w:val="en-US" w:eastAsia="zh-CN"/>
        </w:rPr>
        <w:t>九</w:t>
      </w:r>
      <w:r>
        <w:rPr>
          <w:rFonts w:hint="eastAsia" w:asciiTheme="minorEastAsia" w:hAnsiTheme="minorEastAsia" w:eastAsiaTheme="minorEastAsia"/>
          <w:b/>
          <w:color w:val="auto"/>
          <w:sz w:val="24"/>
          <w:highlight w:val="none"/>
        </w:rPr>
        <w:t>、</w:t>
      </w:r>
      <w:bookmarkEnd w:id="682"/>
      <w:bookmarkEnd w:id="683"/>
      <w:bookmarkStart w:id="684" w:name="_Toc30935"/>
      <w:bookmarkStart w:id="685" w:name="_Toc30344"/>
      <w:r>
        <w:rPr>
          <w:rFonts w:hint="eastAsia" w:asciiTheme="minorEastAsia" w:hAnsiTheme="minorEastAsia" w:eastAsiaTheme="minorEastAsia"/>
          <w:b/>
          <w:color w:val="auto"/>
          <w:sz w:val="24"/>
          <w:highlight w:val="none"/>
        </w:rPr>
        <w:t>中小企业声明函</w:t>
      </w:r>
      <w:bookmarkEnd w:id="684"/>
      <w:bookmarkEnd w:id="685"/>
    </w:p>
    <w:p w14:paraId="2624D2FE">
      <w:pPr>
        <w:pStyle w:val="19"/>
        <w:jc w:val="center"/>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w:t>
      </w:r>
      <w:r>
        <w:rPr>
          <w:rFonts w:hint="eastAsia" w:ascii="宋体" w:hAnsi="宋体" w:eastAsia="宋体"/>
          <w:b w:val="0"/>
          <w:i/>
          <w:color w:val="auto"/>
          <w:sz w:val="24"/>
          <w:highlight w:val="none"/>
          <w:lang w:val="zh-CN" w:eastAsia="zh-CN"/>
        </w:rPr>
        <w:t>非中小企业</w:t>
      </w:r>
      <w:r>
        <w:rPr>
          <w:rFonts w:hint="eastAsia" w:ascii="宋体" w:hAnsi="宋体" w:eastAsia="宋体"/>
          <w:b w:val="0"/>
          <w:i/>
          <w:color w:val="auto"/>
          <w:sz w:val="24"/>
          <w:highlight w:val="none"/>
          <w:lang w:val="en-US" w:eastAsia="zh-CN"/>
        </w:rPr>
        <w:t>谈判，不需此件，请删去“中小企业声明函”）</w:t>
      </w:r>
    </w:p>
    <w:p w14:paraId="45FE22FE">
      <w:pPr>
        <w:rPr>
          <w:rFonts w:asciiTheme="minorEastAsia" w:hAnsiTheme="minorEastAsia" w:eastAsiaTheme="minorEastAsia"/>
          <w:color w:val="auto"/>
          <w:sz w:val="24"/>
          <w:szCs w:val="24"/>
          <w:highlight w:val="none"/>
        </w:rPr>
      </w:pPr>
    </w:p>
    <w:p w14:paraId="70833344">
      <w:pPr>
        <w:spacing w:line="360" w:lineRule="auto"/>
        <w:ind w:firstLine="435"/>
        <w:rPr>
          <w:rFonts w:cs="@仿宋_GB2312"/>
          <w:color w:val="auto"/>
          <w:kern w:val="2"/>
          <w:sz w:val="24"/>
          <w:szCs w:val="24"/>
          <w:highlight w:val="none"/>
          <w:lang w:val="zh-CN"/>
        </w:rPr>
      </w:pPr>
      <w:r>
        <w:rPr>
          <w:rFonts w:hint="eastAsia" w:cs="@仿宋_GB2312"/>
          <w:color w:val="auto"/>
          <w:kern w:val="2"/>
          <w:sz w:val="24"/>
          <w:szCs w:val="24"/>
          <w:highlight w:val="none"/>
          <w:lang w:val="zh-CN"/>
        </w:rPr>
        <w:t>本公司（联合体）郑重声明，根据《政府采购促进中小企业发展管理办法》（财库﹝2020﹞46号）的规定，本公司（联合体）参加</w:t>
      </w:r>
      <w:r>
        <w:rPr>
          <w:rFonts w:hint="eastAsia" w:cs="@仿宋_GB2312"/>
          <w:color w:val="auto"/>
          <w:kern w:val="2"/>
          <w:sz w:val="24"/>
          <w:szCs w:val="24"/>
          <w:highlight w:val="none"/>
          <w:u w:val="single"/>
          <w:lang w:val="zh-CN"/>
        </w:rPr>
        <w:t>（单位</w:t>
      </w:r>
      <w:r>
        <w:rPr>
          <w:rFonts w:hint="eastAsia" w:cs="@仿宋_GB2312"/>
          <w:color w:val="auto"/>
          <w:kern w:val="2"/>
          <w:sz w:val="24"/>
          <w:szCs w:val="24"/>
          <w:highlight w:val="none"/>
          <w:u w:val="single"/>
          <w:lang w:val="en-US" w:eastAsia="zh-CN"/>
        </w:rPr>
        <w:t>名称</w:t>
      </w:r>
      <w:r>
        <w:rPr>
          <w:rFonts w:hint="eastAsia" w:cs="@仿宋_GB2312"/>
          <w:color w:val="auto"/>
          <w:kern w:val="2"/>
          <w:sz w:val="24"/>
          <w:szCs w:val="24"/>
          <w:highlight w:val="none"/>
          <w:u w:val="single"/>
          <w:lang w:val="zh-CN"/>
        </w:rPr>
        <w:t>）</w:t>
      </w:r>
      <w:r>
        <w:rPr>
          <w:rFonts w:hint="eastAsia" w:cs="@仿宋_GB2312"/>
          <w:color w:val="auto"/>
          <w:kern w:val="2"/>
          <w:sz w:val="24"/>
          <w:szCs w:val="24"/>
          <w:highlight w:val="none"/>
          <w:lang w:val="zh-CN"/>
        </w:rPr>
        <w:t>的</w:t>
      </w:r>
      <w:r>
        <w:rPr>
          <w:rFonts w:hint="eastAsia" w:cs="@仿宋_GB2312"/>
          <w:color w:val="auto"/>
          <w:kern w:val="2"/>
          <w:sz w:val="24"/>
          <w:szCs w:val="24"/>
          <w:highlight w:val="none"/>
          <w:u w:val="single"/>
          <w:lang w:val="zh-CN"/>
        </w:rPr>
        <w:t>（项目</w:t>
      </w:r>
      <w:r>
        <w:rPr>
          <w:rFonts w:hint="eastAsia" w:cs="@仿宋_GB2312"/>
          <w:color w:val="auto"/>
          <w:kern w:val="2"/>
          <w:sz w:val="24"/>
          <w:szCs w:val="24"/>
          <w:highlight w:val="none"/>
          <w:u w:val="single"/>
          <w:lang w:val="en-US" w:eastAsia="zh-CN"/>
        </w:rPr>
        <w:t>名称</w:t>
      </w:r>
      <w:r>
        <w:rPr>
          <w:rFonts w:hint="eastAsia" w:cs="@仿宋_GB2312"/>
          <w:color w:val="auto"/>
          <w:kern w:val="2"/>
          <w:sz w:val="24"/>
          <w:szCs w:val="24"/>
          <w:highlight w:val="none"/>
          <w:u w:val="single"/>
          <w:lang w:val="zh-CN"/>
        </w:rPr>
        <w:t>）</w:t>
      </w:r>
      <w:r>
        <w:rPr>
          <w:rFonts w:hint="eastAsia" w:cs="@仿宋_GB2312"/>
          <w:color w:val="auto"/>
          <w:kern w:val="2"/>
          <w:sz w:val="24"/>
          <w:szCs w:val="24"/>
          <w:highlight w:val="none"/>
          <w:lang w:val="zh-CN"/>
        </w:rPr>
        <w:t xml:space="preserve">采购活动，工程的施工单位全部为符合政策要求的中小企业。相关企业（含联合体中的中小企业、签订分包意向协议的中小企业）的具体情况如下： </w:t>
      </w:r>
    </w:p>
    <w:p w14:paraId="1B1C122E">
      <w:pPr>
        <w:spacing w:line="360" w:lineRule="auto"/>
        <w:ind w:firstLine="435"/>
        <w:rPr>
          <w:rFonts w:cs="@仿宋_GB2312"/>
          <w:color w:val="auto"/>
          <w:kern w:val="2"/>
          <w:sz w:val="24"/>
          <w:szCs w:val="24"/>
          <w:highlight w:val="none"/>
          <w:lang w:val="zh-CN"/>
        </w:rPr>
      </w:pPr>
      <w:r>
        <w:rPr>
          <w:rFonts w:hint="eastAsia" w:cs="@仿宋_GB2312"/>
          <w:color w:val="auto"/>
          <w:kern w:val="2"/>
          <w:sz w:val="24"/>
          <w:szCs w:val="24"/>
          <w:highlight w:val="none"/>
          <w:lang w:val="zh-CN"/>
        </w:rPr>
        <w:t>1.</w:t>
      </w:r>
      <w:r>
        <w:rPr>
          <w:rFonts w:hint="eastAsia" w:cs="@仿宋_GB2312"/>
          <w:color w:val="auto"/>
          <w:kern w:val="2"/>
          <w:sz w:val="24"/>
          <w:szCs w:val="24"/>
          <w:highlight w:val="none"/>
          <w:u w:val="single"/>
          <w:lang w:val="zh-CN"/>
        </w:rPr>
        <w:t xml:space="preserve"> （标的名称） </w:t>
      </w:r>
      <w:r>
        <w:rPr>
          <w:rFonts w:hint="eastAsia" w:cs="@仿宋_GB2312"/>
          <w:color w:val="auto"/>
          <w:kern w:val="2"/>
          <w:sz w:val="24"/>
          <w:szCs w:val="24"/>
          <w:highlight w:val="none"/>
          <w:lang w:val="zh-CN"/>
        </w:rPr>
        <w:t>，属于</w:t>
      </w:r>
      <w:r>
        <w:rPr>
          <w:rFonts w:hint="eastAsia" w:cs="@仿宋_GB2312"/>
          <w:color w:val="auto"/>
          <w:kern w:val="2"/>
          <w:sz w:val="24"/>
          <w:szCs w:val="24"/>
          <w:highlight w:val="none"/>
          <w:u w:val="single"/>
          <w:lang w:val="zh-CN"/>
        </w:rPr>
        <w:t>（采购文件中明确的所属行业）</w:t>
      </w:r>
      <w:r>
        <w:rPr>
          <w:rFonts w:hint="eastAsia" w:cs="@仿宋_GB2312"/>
          <w:color w:val="auto"/>
          <w:kern w:val="2"/>
          <w:sz w:val="24"/>
          <w:szCs w:val="24"/>
          <w:highlight w:val="none"/>
          <w:lang w:val="zh-CN"/>
        </w:rPr>
        <w:t>行业；承建企业为</w:t>
      </w:r>
      <w:r>
        <w:rPr>
          <w:rFonts w:hint="eastAsia" w:cs="@仿宋_GB2312"/>
          <w:color w:val="auto"/>
          <w:kern w:val="2"/>
          <w:sz w:val="24"/>
          <w:szCs w:val="24"/>
          <w:highlight w:val="none"/>
          <w:u w:val="single"/>
          <w:lang w:val="zh-CN"/>
        </w:rPr>
        <w:t>（企业名称）</w:t>
      </w:r>
      <w:r>
        <w:rPr>
          <w:rFonts w:hint="eastAsia" w:cs="@仿宋_GB2312"/>
          <w:color w:val="auto"/>
          <w:kern w:val="2"/>
          <w:sz w:val="24"/>
          <w:szCs w:val="24"/>
          <w:highlight w:val="none"/>
          <w:lang w:val="zh-CN"/>
        </w:rPr>
        <w:t>，从业人员</w:t>
      </w:r>
      <w:r>
        <w:rPr>
          <w:rFonts w:hint="eastAsia" w:cs="@仿宋_GB2312"/>
          <w:color w:val="auto"/>
          <w:kern w:val="2"/>
          <w:sz w:val="24"/>
          <w:szCs w:val="24"/>
          <w:highlight w:val="none"/>
          <w:u w:val="single"/>
          <w:lang w:val="zh-CN"/>
        </w:rPr>
        <w:t xml:space="preserve">     </w:t>
      </w:r>
      <w:r>
        <w:rPr>
          <w:rFonts w:hint="eastAsia" w:cs="@仿宋_GB2312"/>
          <w:color w:val="auto"/>
          <w:kern w:val="2"/>
          <w:sz w:val="24"/>
          <w:szCs w:val="24"/>
          <w:highlight w:val="none"/>
          <w:lang w:val="zh-CN"/>
        </w:rPr>
        <w:t>人，营业收入为</w:t>
      </w:r>
      <w:r>
        <w:rPr>
          <w:rFonts w:hint="eastAsia" w:cs="@仿宋_GB2312"/>
          <w:color w:val="auto"/>
          <w:kern w:val="2"/>
          <w:sz w:val="24"/>
          <w:szCs w:val="24"/>
          <w:highlight w:val="none"/>
          <w:u w:val="single"/>
          <w:lang w:val="zh-CN"/>
        </w:rPr>
        <w:t xml:space="preserve">     </w:t>
      </w:r>
      <w:r>
        <w:rPr>
          <w:rFonts w:hint="eastAsia" w:cs="@仿宋_GB2312"/>
          <w:color w:val="auto"/>
          <w:kern w:val="2"/>
          <w:sz w:val="24"/>
          <w:szCs w:val="24"/>
          <w:highlight w:val="none"/>
          <w:lang w:val="zh-CN"/>
        </w:rPr>
        <w:t>万元，资产总额为</w:t>
      </w:r>
      <w:r>
        <w:rPr>
          <w:rFonts w:hint="eastAsia" w:cs="@仿宋_GB2312"/>
          <w:color w:val="auto"/>
          <w:kern w:val="2"/>
          <w:sz w:val="24"/>
          <w:szCs w:val="24"/>
          <w:highlight w:val="none"/>
          <w:u w:val="single"/>
          <w:lang w:val="zh-CN"/>
        </w:rPr>
        <w:t xml:space="preserve">     </w:t>
      </w:r>
      <w:r>
        <w:rPr>
          <w:rFonts w:hint="eastAsia" w:cs="@仿宋_GB2312"/>
          <w:color w:val="auto"/>
          <w:kern w:val="2"/>
          <w:sz w:val="24"/>
          <w:szCs w:val="24"/>
          <w:highlight w:val="none"/>
          <w:lang w:val="zh-CN"/>
        </w:rPr>
        <w:t>万元，属于</w:t>
      </w:r>
      <w:r>
        <w:rPr>
          <w:rFonts w:hint="eastAsia" w:cs="@仿宋_GB2312"/>
          <w:color w:val="auto"/>
          <w:kern w:val="2"/>
          <w:sz w:val="24"/>
          <w:szCs w:val="24"/>
          <w:highlight w:val="none"/>
          <w:u w:val="single"/>
          <w:lang w:val="zh-CN"/>
        </w:rPr>
        <w:t>（中型企业、小型企业、微型企业）</w:t>
      </w:r>
      <w:r>
        <w:rPr>
          <w:rFonts w:hint="eastAsia" w:cs="@仿宋_GB2312"/>
          <w:color w:val="auto"/>
          <w:kern w:val="2"/>
          <w:sz w:val="24"/>
          <w:szCs w:val="24"/>
          <w:highlight w:val="none"/>
          <w:lang w:val="zh-CN"/>
        </w:rPr>
        <w:t xml:space="preserve">； </w:t>
      </w:r>
    </w:p>
    <w:p w14:paraId="112E6A3F">
      <w:pPr>
        <w:spacing w:line="360" w:lineRule="auto"/>
        <w:ind w:firstLine="435"/>
        <w:rPr>
          <w:rFonts w:cs="@仿宋_GB2312"/>
          <w:color w:val="auto"/>
          <w:kern w:val="2"/>
          <w:sz w:val="24"/>
          <w:szCs w:val="24"/>
          <w:highlight w:val="none"/>
          <w:lang w:val="zh-CN"/>
        </w:rPr>
      </w:pPr>
      <w:r>
        <w:rPr>
          <w:rFonts w:hint="eastAsia" w:cs="@仿宋_GB2312"/>
          <w:color w:val="auto"/>
          <w:kern w:val="2"/>
          <w:sz w:val="24"/>
          <w:szCs w:val="24"/>
          <w:highlight w:val="none"/>
          <w:lang w:val="zh-CN"/>
        </w:rPr>
        <w:t>2.</w:t>
      </w:r>
      <w:r>
        <w:rPr>
          <w:rFonts w:hint="eastAsia" w:cs="@仿宋_GB2312"/>
          <w:color w:val="auto"/>
          <w:kern w:val="2"/>
          <w:sz w:val="24"/>
          <w:szCs w:val="24"/>
          <w:highlight w:val="none"/>
          <w:u w:val="single"/>
          <w:lang w:val="zh-CN"/>
        </w:rPr>
        <w:t xml:space="preserve"> （标的名称） </w:t>
      </w:r>
      <w:r>
        <w:rPr>
          <w:rFonts w:hint="eastAsia" w:cs="@仿宋_GB2312"/>
          <w:color w:val="auto"/>
          <w:kern w:val="2"/>
          <w:sz w:val="24"/>
          <w:szCs w:val="24"/>
          <w:highlight w:val="none"/>
          <w:lang w:val="zh-CN"/>
        </w:rPr>
        <w:t>，属于</w:t>
      </w:r>
      <w:r>
        <w:rPr>
          <w:rFonts w:hint="eastAsia" w:cs="@仿宋_GB2312"/>
          <w:color w:val="auto"/>
          <w:kern w:val="2"/>
          <w:sz w:val="24"/>
          <w:szCs w:val="24"/>
          <w:highlight w:val="none"/>
          <w:u w:val="single"/>
          <w:lang w:val="zh-CN"/>
        </w:rPr>
        <w:t>（采购文件中明确的所属行业）</w:t>
      </w:r>
      <w:r>
        <w:rPr>
          <w:rFonts w:hint="eastAsia" w:cs="@仿宋_GB2312"/>
          <w:color w:val="auto"/>
          <w:kern w:val="2"/>
          <w:sz w:val="24"/>
          <w:szCs w:val="24"/>
          <w:highlight w:val="none"/>
          <w:lang w:val="zh-CN"/>
        </w:rPr>
        <w:t>行业；承建企业为</w:t>
      </w:r>
      <w:r>
        <w:rPr>
          <w:rFonts w:hint="eastAsia" w:cs="@仿宋_GB2312"/>
          <w:color w:val="auto"/>
          <w:kern w:val="2"/>
          <w:sz w:val="24"/>
          <w:szCs w:val="24"/>
          <w:highlight w:val="none"/>
          <w:u w:val="single"/>
          <w:lang w:val="zh-CN"/>
        </w:rPr>
        <w:t>（企业名称）</w:t>
      </w:r>
      <w:r>
        <w:rPr>
          <w:rFonts w:hint="eastAsia" w:cs="@仿宋_GB2312"/>
          <w:color w:val="auto"/>
          <w:kern w:val="2"/>
          <w:sz w:val="24"/>
          <w:szCs w:val="24"/>
          <w:highlight w:val="none"/>
          <w:lang w:val="zh-CN"/>
        </w:rPr>
        <w:t>，从业人员</w:t>
      </w:r>
      <w:r>
        <w:rPr>
          <w:rFonts w:hint="eastAsia" w:cs="@仿宋_GB2312"/>
          <w:color w:val="auto"/>
          <w:kern w:val="2"/>
          <w:sz w:val="24"/>
          <w:szCs w:val="24"/>
          <w:highlight w:val="none"/>
          <w:u w:val="single"/>
          <w:lang w:val="zh-CN"/>
        </w:rPr>
        <w:t xml:space="preserve">     </w:t>
      </w:r>
      <w:r>
        <w:rPr>
          <w:rFonts w:hint="eastAsia" w:cs="@仿宋_GB2312"/>
          <w:color w:val="auto"/>
          <w:kern w:val="2"/>
          <w:sz w:val="24"/>
          <w:szCs w:val="24"/>
          <w:highlight w:val="none"/>
          <w:lang w:val="zh-CN"/>
        </w:rPr>
        <w:t>人，营业收入为</w:t>
      </w:r>
      <w:r>
        <w:rPr>
          <w:rFonts w:hint="eastAsia" w:cs="@仿宋_GB2312"/>
          <w:color w:val="auto"/>
          <w:kern w:val="2"/>
          <w:sz w:val="24"/>
          <w:szCs w:val="24"/>
          <w:highlight w:val="none"/>
          <w:u w:val="single"/>
          <w:lang w:val="zh-CN"/>
        </w:rPr>
        <w:t xml:space="preserve">     </w:t>
      </w:r>
      <w:r>
        <w:rPr>
          <w:rFonts w:hint="eastAsia" w:cs="@仿宋_GB2312"/>
          <w:color w:val="auto"/>
          <w:kern w:val="2"/>
          <w:sz w:val="24"/>
          <w:szCs w:val="24"/>
          <w:highlight w:val="none"/>
          <w:lang w:val="zh-CN"/>
        </w:rPr>
        <w:t>万元，资产总额为</w:t>
      </w:r>
      <w:r>
        <w:rPr>
          <w:rFonts w:hint="eastAsia" w:cs="@仿宋_GB2312"/>
          <w:color w:val="auto"/>
          <w:kern w:val="2"/>
          <w:sz w:val="24"/>
          <w:szCs w:val="24"/>
          <w:highlight w:val="none"/>
          <w:u w:val="single"/>
          <w:lang w:val="zh-CN"/>
        </w:rPr>
        <w:t xml:space="preserve">     </w:t>
      </w:r>
      <w:r>
        <w:rPr>
          <w:rFonts w:hint="eastAsia" w:cs="@仿宋_GB2312"/>
          <w:color w:val="auto"/>
          <w:kern w:val="2"/>
          <w:sz w:val="24"/>
          <w:szCs w:val="24"/>
          <w:highlight w:val="none"/>
          <w:lang w:val="zh-CN"/>
        </w:rPr>
        <w:t>万元，属于</w:t>
      </w:r>
      <w:r>
        <w:rPr>
          <w:rFonts w:hint="eastAsia" w:cs="@仿宋_GB2312"/>
          <w:color w:val="auto"/>
          <w:kern w:val="2"/>
          <w:sz w:val="24"/>
          <w:szCs w:val="24"/>
          <w:highlight w:val="none"/>
          <w:u w:val="single"/>
          <w:lang w:val="zh-CN"/>
        </w:rPr>
        <w:t>（中型企业、小型企业、微型企业）</w:t>
      </w:r>
      <w:r>
        <w:rPr>
          <w:rFonts w:hint="eastAsia" w:cs="@仿宋_GB2312"/>
          <w:color w:val="auto"/>
          <w:kern w:val="2"/>
          <w:sz w:val="24"/>
          <w:szCs w:val="24"/>
          <w:highlight w:val="none"/>
          <w:lang w:val="zh-CN"/>
        </w:rPr>
        <w:t xml:space="preserve">； </w:t>
      </w:r>
    </w:p>
    <w:p w14:paraId="7A2D5B35">
      <w:pPr>
        <w:spacing w:line="360" w:lineRule="auto"/>
        <w:ind w:firstLine="435"/>
        <w:rPr>
          <w:rFonts w:cs="@仿宋_GB2312"/>
          <w:color w:val="auto"/>
          <w:kern w:val="2"/>
          <w:sz w:val="24"/>
          <w:szCs w:val="24"/>
          <w:highlight w:val="none"/>
          <w:lang w:val="zh-CN"/>
        </w:rPr>
      </w:pPr>
      <w:r>
        <w:rPr>
          <w:rFonts w:hint="eastAsia" w:cs="@仿宋_GB2312"/>
          <w:color w:val="auto"/>
          <w:kern w:val="2"/>
          <w:sz w:val="24"/>
          <w:szCs w:val="24"/>
          <w:highlight w:val="none"/>
          <w:lang w:val="zh-CN"/>
        </w:rPr>
        <w:t>……</w:t>
      </w:r>
    </w:p>
    <w:p w14:paraId="5D324CC6">
      <w:pPr>
        <w:spacing w:line="360" w:lineRule="auto"/>
        <w:ind w:firstLine="435"/>
        <w:rPr>
          <w:rFonts w:cs="@仿宋_GB2312"/>
          <w:color w:val="auto"/>
          <w:kern w:val="2"/>
          <w:sz w:val="24"/>
          <w:szCs w:val="24"/>
          <w:highlight w:val="none"/>
          <w:lang w:val="zh-CN"/>
        </w:rPr>
      </w:pPr>
      <w:r>
        <w:rPr>
          <w:rFonts w:hint="eastAsia" w:cs="@仿宋_GB2312"/>
          <w:color w:val="auto"/>
          <w:kern w:val="2"/>
          <w:sz w:val="24"/>
          <w:szCs w:val="24"/>
          <w:highlight w:val="none"/>
          <w:lang w:val="zh-CN"/>
        </w:rPr>
        <w:t>以上企业，不属于大企业的分支机构，不存在控股股东为大企业的情形，也不存在与大企业的负责人为同一人的情形。</w:t>
      </w:r>
    </w:p>
    <w:p w14:paraId="621AE0F3">
      <w:pPr>
        <w:spacing w:line="360" w:lineRule="auto"/>
        <w:ind w:firstLine="435"/>
        <w:rPr>
          <w:rFonts w:cs="@仿宋_GB2312"/>
          <w:color w:val="auto"/>
          <w:kern w:val="2"/>
          <w:sz w:val="24"/>
          <w:szCs w:val="24"/>
          <w:highlight w:val="none"/>
          <w:lang w:val="zh-CN"/>
        </w:rPr>
      </w:pPr>
      <w:r>
        <w:rPr>
          <w:rFonts w:hint="eastAsia" w:cs="@仿宋_GB2312"/>
          <w:color w:val="auto"/>
          <w:kern w:val="2"/>
          <w:sz w:val="24"/>
          <w:szCs w:val="24"/>
          <w:highlight w:val="none"/>
          <w:lang w:val="zh-CN"/>
        </w:rPr>
        <w:t xml:space="preserve">本企业对上述声明内容的真实性负责。如有虚假，将依法承担相应责任。 </w:t>
      </w:r>
    </w:p>
    <w:p w14:paraId="7C7B5069">
      <w:pPr>
        <w:spacing w:line="360" w:lineRule="auto"/>
        <w:ind w:firstLine="435"/>
        <w:rPr>
          <w:rFonts w:cs="@仿宋_GB2312" w:asciiTheme="minorEastAsia" w:hAnsiTheme="minorEastAsia" w:eastAsiaTheme="minorEastAsia"/>
          <w:color w:val="auto"/>
          <w:kern w:val="2"/>
          <w:sz w:val="24"/>
          <w:szCs w:val="24"/>
          <w:highlight w:val="none"/>
        </w:rPr>
      </w:pPr>
    </w:p>
    <w:p w14:paraId="0FCA109F">
      <w:pPr>
        <w:spacing w:line="360" w:lineRule="auto"/>
        <w:ind w:firstLine="435"/>
        <w:rPr>
          <w:rFonts w:cs="@仿宋_GB2312" w:asciiTheme="minorEastAsia" w:hAnsiTheme="minorEastAsia" w:eastAsiaTheme="minorEastAsia"/>
          <w:color w:val="auto"/>
          <w:kern w:val="2"/>
          <w:sz w:val="24"/>
          <w:szCs w:val="24"/>
          <w:highlight w:val="none"/>
        </w:rPr>
      </w:pPr>
    </w:p>
    <w:p w14:paraId="6279806C">
      <w:pPr>
        <w:spacing w:line="360" w:lineRule="auto"/>
        <w:ind w:firstLine="4228" w:firstLineChars="1762"/>
        <w:rPr>
          <w:rFonts w:cs="@仿宋_GB2312" w:asciiTheme="minorEastAsia" w:hAnsiTheme="minorEastAsia" w:eastAsiaTheme="minorEastAsia"/>
          <w:color w:val="auto"/>
          <w:kern w:val="2"/>
          <w:sz w:val="24"/>
          <w:szCs w:val="24"/>
          <w:highlight w:val="none"/>
          <w:u w:val="single"/>
        </w:rPr>
      </w:pPr>
      <w:r>
        <w:rPr>
          <w:rFonts w:hint="eastAsia" w:cs="@仿宋_GB2312" w:asciiTheme="minorEastAsia" w:hAnsiTheme="minorEastAsia" w:eastAsiaTheme="minorEastAsia"/>
          <w:color w:val="auto"/>
          <w:kern w:val="2"/>
          <w:sz w:val="24"/>
          <w:szCs w:val="24"/>
          <w:highlight w:val="none"/>
        </w:rPr>
        <w:t>供应商</w:t>
      </w:r>
      <w:r>
        <w:rPr>
          <w:rFonts w:cs="@仿宋_GB2312" w:asciiTheme="minorEastAsia" w:hAnsiTheme="minorEastAsia" w:eastAsiaTheme="minorEastAsia"/>
          <w:color w:val="auto"/>
          <w:kern w:val="2"/>
          <w:sz w:val="24"/>
          <w:szCs w:val="24"/>
          <w:highlight w:val="none"/>
        </w:rPr>
        <w:t>电子签章</w:t>
      </w:r>
      <w:r>
        <w:rPr>
          <w:rFonts w:hint="eastAsia" w:cs="@仿宋_GB2312" w:asciiTheme="minorEastAsia" w:hAnsiTheme="minorEastAsia" w:eastAsiaTheme="minorEastAsia"/>
          <w:color w:val="auto"/>
          <w:kern w:val="2"/>
          <w:sz w:val="24"/>
          <w:szCs w:val="24"/>
          <w:highlight w:val="none"/>
        </w:rPr>
        <w:t>：</w:t>
      </w:r>
      <w:r>
        <w:rPr>
          <w:rFonts w:cs="@仿宋_GB2312" w:asciiTheme="minorEastAsia" w:hAnsiTheme="minorEastAsia" w:eastAsiaTheme="minorEastAsia"/>
          <w:color w:val="auto"/>
          <w:kern w:val="2"/>
          <w:sz w:val="24"/>
          <w:szCs w:val="24"/>
          <w:highlight w:val="none"/>
          <w:u w:val="single"/>
        </w:rPr>
        <w:t xml:space="preserve">             </w:t>
      </w:r>
    </w:p>
    <w:p w14:paraId="4FA50B74">
      <w:pPr>
        <w:tabs>
          <w:tab w:val="left" w:pos="4620"/>
        </w:tabs>
        <w:spacing w:line="360" w:lineRule="auto"/>
        <w:ind w:firstLine="4252" w:firstLineChars="1772"/>
        <w:rPr>
          <w:rFonts w:cs="@仿宋_GB2312" w:asciiTheme="minorEastAsia" w:hAnsiTheme="minorEastAsia" w:eastAsiaTheme="minorEastAsia"/>
          <w:color w:val="auto"/>
          <w:kern w:val="2"/>
          <w:sz w:val="24"/>
          <w:szCs w:val="24"/>
          <w:highlight w:val="none"/>
          <w:u w:val="single"/>
        </w:rPr>
      </w:pPr>
      <w:r>
        <w:rPr>
          <w:rFonts w:hint="eastAsia" w:cs="@仿宋_GB2312" w:asciiTheme="minorEastAsia" w:hAnsiTheme="minorEastAsia" w:eastAsiaTheme="minorEastAsia"/>
          <w:color w:val="auto"/>
          <w:kern w:val="2"/>
          <w:sz w:val="24"/>
          <w:szCs w:val="24"/>
          <w:highlight w:val="none"/>
        </w:rPr>
        <w:t>日</w:t>
      </w:r>
      <w:r>
        <w:rPr>
          <w:rFonts w:cs="@仿宋_GB2312" w:asciiTheme="minorEastAsia" w:hAnsiTheme="minorEastAsia" w:eastAsiaTheme="minorEastAsia"/>
          <w:color w:val="auto"/>
          <w:kern w:val="2"/>
          <w:sz w:val="24"/>
          <w:szCs w:val="24"/>
          <w:highlight w:val="none"/>
        </w:rPr>
        <w:t xml:space="preserve">      </w:t>
      </w:r>
      <w:r>
        <w:rPr>
          <w:rFonts w:hint="eastAsia" w:cs="@仿宋_GB2312" w:asciiTheme="minorEastAsia" w:hAnsiTheme="minorEastAsia" w:eastAsiaTheme="minorEastAsia"/>
          <w:color w:val="auto"/>
          <w:kern w:val="2"/>
          <w:sz w:val="24"/>
          <w:szCs w:val="24"/>
          <w:highlight w:val="none"/>
        </w:rPr>
        <w:t xml:space="preserve">    期：</w:t>
      </w:r>
      <w:r>
        <w:rPr>
          <w:rFonts w:cs="@仿宋_GB2312" w:asciiTheme="minorEastAsia" w:hAnsiTheme="minorEastAsia" w:eastAsiaTheme="minorEastAsia"/>
          <w:color w:val="auto"/>
          <w:kern w:val="2"/>
          <w:sz w:val="24"/>
          <w:szCs w:val="24"/>
          <w:highlight w:val="none"/>
          <w:u w:val="single"/>
        </w:rPr>
        <w:t xml:space="preserve">             </w:t>
      </w:r>
    </w:p>
    <w:p w14:paraId="6B7AE3F7">
      <w:pPr>
        <w:tabs>
          <w:tab w:val="left" w:pos="4620"/>
        </w:tabs>
        <w:spacing w:line="360" w:lineRule="auto"/>
        <w:jc w:val="left"/>
        <w:rPr>
          <w:rFonts w:cs="@仿宋_GB2312" w:asciiTheme="minorEastAsia" w:hAnsiTheme="minorEastAsia" w:eastAsiaTheme="minorEastAsia"/>
          <w:color w:val="auto"/>
          <w:kern w:val="2"/>
          <w:sz w:val="24"/>
          <w:szCs w:val="24"/>
          <w:highlight w:val="none"/>
        </w:rPr>
      </w:pPr>
    </w:p>
    <w:p w14:paraId="416ACC49">
      <w:pPr>
        <w:tabs>
          <w:tab w:val="left" w:pos="4620"/>
        </w:tabs>
        <w:spacing w:line="360" w:lineRule="auto"/>
        <w:jc w:val="left"/>
        <w:rPr>
          <w:rFonts w:cs="@仿宋_GB2312" w:asciiTheme="minorEastAsia" w:hAnsiTheme="minorEastAsia" w:eastAsiaTheme="minorEastAsia"/>
          <w:color w:val="auto"/>
          <w:kern w:val="2"/>
          <w:sz w:val="24"/>
          <w:szCs w:val="24"/>
          <w:highlight w:val="none"/>
        </w:rPr>
      </w:pPr>
    </w:p>
    <w:p w14:paraId="082C5231">
      <w:pPr>
        <w:tabs>
          <w:tab w:val="left" w:pos="4620"/>
        </w:tabs>
        <w:spacing w:line="360" w:lineRule="auto"/>
        <w:jc w:val="left"/>
        <w:rPr>
          <w:rFonts w:cs="@仿宋_GB2312" w:asciiTheme="minorEastAsia" w:hAnsiTheme="minorEastAsia" w:eastAsiaTheme="minorEastAsia"/>
          <w:color w:val="auto"/>
          <w:kern w:val="2"/>
          <w:sz w:val="24"/>
          <w:szCs w:val="24"/>
          <w:highlight w:val="none"/>
        </w:rPr>
      </w:pPr>
    </w:p>
    <w:p w14:paraId="3E31255B">
      <w:pPr>
        <w:tabs>
          <w:tab w:val="left" w:pos="4620"/>
        </w:tabs>
        <w:spacing w:line="360" w:lineRule="auto"/>
        <w:jc w:val="left"/>
        <w:rPr>
          <w:rFonts w:cs="@仿宋_GB2312" w:asciiTheme="minorEastAsia" w:hAnsiTheme="minorEastAsia" w:eastAsiaTheme="minorEastAsia"/>
          <w:color w:val="auto"/>
          <w:kern w:val="2"/>
          <w:sz w:val="24"/>
          <w:szCs w:val="24"/>
          <w:highlight w:val="none"/>
        </w:rPr>
      </w:pPr>
    </w:p>
    <w:p w14:paraId="40FB36D2">
      <w:pPr>
        <w:tabs>
          <w:tab w:val="left" w:pos="4620"/>
        </w:tabs>
        <w:spacing w:line="360" w:lineRule="auto"/>
        <w:jc w:val="left"/>
        <w:rPr>
          <w:rFonts w:hint="eastAsia" w:cs="@仿宋_GB2312" w:asciiTheme="minorEastAsia" w:hAnsiTheme="minorEastAsia" w:eastAsiaTheme="minorEastAsia"/>
          <w:b/>
          <w:color w:val="auto"/>
          <w:kern w:val="2"/>
          <w:sz w:val="21"/>
          <w:szCs w:val="24"/>
          <w:highlight w:val="none"/>
          <w:lang w:eastAsia="zh-CN"/>
        </w:rPr>
      </w:pPr>
      <w:r>
        <w:rPr>
          <w:rFonts w:hint="eastAsia" w:cs="@仿宋_GB2312" w:asciiTheme="minorEastAsia" w:hAnsiTheme="minorEastAsia" w:eastAsiaTheme="minorEastAsia"/>
          <w:b/>
          <w:color w:val="auto"/>
          <w:kern w:val="2"/>
          <w:sz w:val="21"/>
          <w:szCs w:val="24"/>
          <w:highlight w:val="none"/>
          <w:lang w:eastAsia="zh-CN"/>
        </w:rPr>
        <w:t>注：</w:t>
      </w:r>
    </w:p>
    <w:p w14:paraId="41DB90A5">
      <w:pPr>
        <w:tabs>
          <w:tab w:val="left" w:pos="4620"/>
        </w:tabs>
        <w:spacing w:line="360" w:lineRule="auto"/>
        <w:jc w:val="left"/>
        <w:rPr>
          <w:rFonts w:cs="@仿宋_GB2312" w:asciiTheme="minorEastAsia" w:hAnsiTheme="minorEastAsia" w:eastAsiaTheme="minorEastAsia"/>
          <w:color w:val="auto"/>
          <w:kern w:val="2"/>
          <w:sz w:val="21"/>
          <w:szCs w:val="24"/>
          <w:highlight w:val="none"/>
        </w:rPr>
      </w:pPr>
      <w:r>
        <w:rPr>
          <w:rFonts w:cs="@仿宋_GB2312" w:asciiTheme="minorEastAsia" w:hAnsiTheme="minorEastAsia" w:eastAsiaTheme="minorEastAsia"/>
          <w:color w:val="auto"/>
          <w:kern w:val="2"/>
          <w:sz w:val="21"/>
          <w:szCs w:val="24"/>
          <w:highlight w:val="none"/>
        </w:rPr>
        <w:t>1.从业人员、营业收入、资产总额填报上一年数据，无上一年数据的新成立企业可不填报。</w:t>
      </w:r>
    </w:p>
    <w:p w14:paraId="193EB1DE">
      <w:pPr>
        <w:tabs>
          <w:tab w:val="left" w:pos="4620"/>
        </w:tabs>
        <w:spacing w:line="360" w:lineRule="auto"/>
        <w:jc w:val="left"/>
        <w:rPr>
          <w:rFonts w:cs="宋体"/>
          <w:b/>
          <w:bCs/>
          <w:color w:val="auto"/>
          <w:kern w:val="2"/>
          <w:sz w:val="21"/>
          <w:szCs w:val="21"/>
          <w:highlight w:val="none"/>
        </w:rPr>
      </w:pPr>
      <w:r>
        <w:rPr>
          <w:rFonts w:hint="eastAsia" w:cs="宋体"/>
          <w:b/>
          <w:bCs/>
          <w:color w:val="auto"/>
          <w:sz w:val="21"/>
          <w:szCs w:val="21"/>
          <w:highlight w:val="none"/>
        </w:rPr>
        <w:t>2.</w:t>
      </w:r>
      <w:r>
        <w:rPr>
          <w:rFonts w:hint="eastAsia" w:cs="宋体"/>
          <w:b/>
          <w:bCs/>
          <w:color w:val="auto"/>
          <w:kern w:val="2"/>
          <w:sz w:val="21"/>
          <w:szCs w:val="21"/>
          <w:highlight w:val="none"/>
        </w:rPr>
        <w:t>供应商应根据《政府采购促进中小企业发展管理办法》（财库﹝2020﹞46号）和《关于印发中小企业划型标准规定的通知》(工信部联企业〔2011〕300号)相关规定，如实填写中小企业声明函。</w:t>
      </w:r>
      <w:r>
        <w:rPr>
          <w:rFonts w:hint="eastAsia" w:cs="宋体"/>
          <w:b/>
          <w:bCs/>
          <w:color w:val="auto"/>
          <w:kern w:val="2"/>
          <w:sz w:val="21"/>
          <w:szCs w:val="21"/>
          <w:highlight w:val="none"/>
          <w:lang w:val="zh-CN"/>
        </w:rPr>
        <w:t>如有虚假，将依法承担相应责任。</w:t>
      </w:r>
      <w:r>
        <w:rPr>
          <w:rFonts w:hint="eastAsia" w:cs="宋体"/>
          <w:b/>
          <w:bCs/>
          <w:color w:val="auto"/>
          <w:kern w:val="2"/>
          <w:sz w:val="21"/>
          <w:szCs w:val="21"/>
          <w:highlight w:val="none"/>
        </w:rPr>
        <w:t>供应商自行登录工业和信息化部官网进行中小企业规模类型自测（查询网址https://www.miit.gov.cn/）。</w:t>
      </w:r>
    </w:p>
    <w:p w14:paraId="4AB69522">
      <w:pPr>
        <w:tabs>
          <w:tab w:val="left" w:pos="4620"/>
        </w:tabs>
        <w:spacing w:line="360" w:lineRule="auto"/>
        <w:jc w:val="left"/>
        <w:rPr>
          <w:rFonts w:cs="宋体"/>
          <w:b/>
          <w:bCs/>
          <w:color w:val="auto"/>
          <w:kern w:val="2"/>
          <w:sz w:val="21"/>
          <w:szCs w:val="21"/>
          <w:highlight w:val="none"/>
        </w:rPr>
      </w:pPr>
      <w:r>
        <w:rPr>
          <w:rFonts w:hint="eastAsia" w:cs="宋体"/>
          <w:b/>
          <w:bCs/>
          <w:color w:val="auto"/>
          <w:kern w:val="2"/>
          <w:sz w:val="21"/>
          <w:szCs w:val="21"/>
          <w:highlight w:val="none"/>
        </w:rPr>
        <w:t>3.上述“</w:t>
      </w:r>
      <w:r>
        <w:rPr>
          <w:rFonts w:hint="eastAsia" w:cs="宋体"/>
          <w:b/>
          <w:bCs/>
          <w:color w:val="auto"/>
          <w:kern w:val="2"/>
          <w:sz w:val="21"/>
          <w:szCs w:val="21"/>
          <w:highlight w:val="none"/>
          <w:u w:val="single"/>
          <w:lang w:val="zh-CN"/>
        </w:rPr>
        <w:t>标的名称</w:t>
      </w:r>
      <w:r>
        <w:rPr>
          <w:rFonts w:hint="eastAsia" w:cs="宋体"/>
          <w:b/>
          <w:bCs/>
          <w:color w:val="auto"/>
          <w:kern w:val="2"/>
          <w:sz w:val="21"/>
          <w:szCs w:val="21"/>
          <w:highlight w:val="none"/>
        </w:rPr>
        <w:t>”，详见第三章采购需求前附表中明确的“标的名称”。</w:t>
      </w:r>
    </w:p>
    <w:p w14:paraId="57708ADB">
      <w:pPr>
        <w:tabs>
          <w:tab w:val="left" w:pos="4620"/>
        </w:tabs>
        <w:spacing w:line="360" w:lineRule="auto"/>
        <w:jc w:val="left"/>
        <w:rPr>
          <w:rFonts w:cs="宋体"/>
          <w:b/>
          <w:bCs/>
          <w:color w:val="auto"/>
          <w:kern w:val="2"/>
          <w:sz w:val="21"/>
          <w:szCs w:val="21"/>
          <w:highlight w:val="none"/>
        </w:rPr>
      </w:pPr>
      <w:r>
        <w:rPr>
          <w:rFonts w:hint="eastAsia" w:cs="宋体"/>
          <w:b/>
          <w:bCs/>
          <w:color w:val="auto"/>
          <w:kern w:val="2"/>
          <w:sz w:val="21"/>
          <w:szCs w:val="21"/>
          <w:highlight w:val="none"/>
        </w:rPr>
        <w:t>4.上述“</w:t>
      </w:r>
      <w:r>
        <w:rPr>
          <w:rFonts w:hint="eastAsia" w:cs="宋体"/>
          <w:b/>
          <w:bCs/>
          <w:color w:val="auto"/>
          <w:kern w:val="2"/>
          <w:sz w:val="21"/>
          <w:szCs w:val="21"/>
          <w:highlight w:val="none"/>
          <w:u w:val="single"/>
        </w:rPr>
        <w:t>采购文件中明确的所属行业</w:t>
      </w:r>
      <w:r>
        <w:rPr>
          <w:rFonts w:hint="eastAsia" w:cs="宋体"/>
          <w:b/>
          <w:bCs/>
          <w:color w:val="auto"/>
          <w:kern w:val="2"/>
          <w:sz w:val="21"/>
          <w:szCs w:val="21"/>
          <w:highlight w:val="none"/>
        </w:rPr>
        <w:t>”，详见第三章采购需求前附表中明确的“所属行业”。</w:t>
      </w:r>
    </w:p>
    <w:p w14:paraId="21282997">
      <w:pPr>
        <w:tabs>
          <w:tab w:val="left" w:pos="4620"/>
        </w:tabs>
        <w:spacing w:line="360" w:lineRule="auto"/>
        <w:jc w:val="left"/>
        <w:rPr>
          <w:rFonts w:cs="宋体"/>
          <w:b/>
          <w:bCs/>
          <w:color w:val="auto"/>
          <w:kern w:val="2"/>
          <w:sz w:val="21"/>
          <w:szCs w:val="21"/>
          <w:highlight w:val="none"/>
        </w:rPr>
      </w:pPr>
      <w:r>
        <w:rPr>
          <w:rFonts w:hint="eastAsia" w:cs="宋体"/>
          <w:b/>
          <w:bCs/>
          <w:color w:val="auto"/>
          <w:kern w:val="2"/>
          <w:sz w:val="21"/>
          <w:szCs w:val="21"/>
          <w:highlight w:val="none"/>
        </w:rPr>
        <w:t>5．填写示例：</w:t>
      </w:r>
      <w:r>
        <w:rPr>
          <w:rFonts w:hint="eastAsia" w:cs="宋体"/>
          <w:b/>
          <w:bCs/>
          <w:color w:val="auto"/>
          <w:kern w:val="2"/>
          <w:sz w:val="21"/>
          <w:szCs w:val="21"/>
          <w:highlight w:val="none"/>
          <w:u w:val="single"/>
        </w:rPr>
        <w:t>某标的名称</w:t>
      </w:r>
      <w:r>
        <w:rPr>
          <w:rFonts w:hint="eastAsia" w:cs="宋体"/>
          <w:b/>
          <w:bCs/>
          <w:color w:val="auto"/>
          <w:kern w:val="2"/>
          <w:sz w:val="21"/>
          <w:szCs w:val="21"/>
          <w:highlight w:val="none"/>
        </w:rPr>
        <w:t>（</w:t>
      </w:r>
      <w:r>
        <w:rPr>
          <w:rFonts w:hint="eastAsia" w:cs="宋体"/>
          <w:b/>
          <w:bCs/>
          <w:color w:val="auto"/>
          <w:kern w:val="2"/>
          <w:sz w:val="21"/>
          <w:szCs w:val="21"/>
          <w:highlight w:val="none"/>
          <w:u w:val="single"/>
        </w:rPr>
        <w:t>填写第三章采购需求前附表中明确的“标的名称”</w:t>
      </w:r>
      <w:r>
        <w:rPr>
          <w:rFonts w:hint="eastAsia" w:cs="宋体"/>
          <w:b/>
          <w:bCs/>
          <w:color w:val="auto"/>
          <w:kern w:val="2"/>
          <w:sz w:val="21"/>
          <w:szCs w:val="21"/>
          <w:highlight w:val="none"/>
        </w:rPr>
        <w:t>），属于</w:t>
      </w:r>
      <w:r>
        <w:rPr>
          <w:rFonts w:hint="eastAsia" w:cs="宋体"/>
          <w:b/>
          <w:bCs/>
          <w:color w:val="auto"/>
          <w:kern w:val="2"/>
          <w:sz w:val="21"/>
          <w:szCs w:val="21"/>
          <w:highlight w:val="none"/>
          <w:u w:val="single"/>
        </w:rPr>
        <w:t>（填写第三章采购需求前附表中明确的“所属行业”，如建筑业）</w:t>
      </w:r>
      <w:r>
        <w:rPr>
          <w:rFonts w:hint="eastAsia" w:cs="宋体"/>
          <w:b/>
          <w:bCs/>
          <w:color w:val="auto"/>
          <w:kern w:val="2"/>
          <w:sz w:val="21"/>
          <w:szCs w:val="21"/>
          <w:highlight w:val="none"/>
        </w:rPr>
        <w:t>行业；</w:t>
      </w:r>
      <w:r>
        <w:rPr>
          <w:rFonts w:hint="eastAsia" w:cs="宋体"/>
          <w:b/>
          <w:bCs/>
          <w:color w:val="auto"/>
          <w:kern w:val="2"/>
          <w:sz w:val="21"/>
          <w:szCs w:val="21"/>
          <w:highlight w:val="none"/>
          <w:lang w:eastAsia="zh-CN"/>
        </w:rPr>
        <w:t>承建</w:t>
      </w:r>
      <w:r>
        <w:rPr>
          <w:rFonts w:hint="eastAsia" w:cs="宋体"/>
          <w:b/>
          <w:bCs/>
          <w:color w:val="auto"/>
          <w:kern w:val="2"/>
          <w:sz w:val="21"/>
          <w:szCs w:val="21"/>
          <w:highlight w:val="none"/>
        </w:rPr>
        <w:t>企业为</w:t>
      </w:r>
      <w:r>
        <w:rPr>
          <w:rFonts w:hint="eastAsia" w:cs="宋体"/>
          <w:b/>
          <w:bCs/>
          <w:color w:val="auto"/>
          <w:kern w:val="2"/>
          <w:sz w:val="21"/>
          <w:szCs w:val="21"/>
          <w:highlight w:val="none"/>
          <w:u w:val="single"/>
          <w:lang w:val="zh-CN"/>
        </w:rPr>
        <w:t>某公司</w:t>
      </w:r>
      <w:r>
        <w:rPr>
          <w:rFonts w:hint="eastAsia" w:cs="宋体"/>
          <w:b/>
          <w:bCs/>
          <w:color w:val="auto"/>
          <w:kern w:val="2"/>
          <w:sz w:val="21"/>
          <w:szCs w:val="21"/>
          <w:highlight w:val="none"/>
        </w:rPr>
        <w:t>，</w:t>
      </w:r>
      <w:r>
        <w:rPr>
          <w:rFonts w:hint="eastAsia" w:cs="宋体"/>
          <w:b/>
          <w:bCs/>
          <w:color w:val="auto"/>
          <w:kern w:val="2"/>
          <w:sz w:val="21"/>
          <w:szCs w:val="21"/>
          <w:highlight w:val="none"/>
          <w:lang w:val="zh-CN"/>
        </w:rPr>
        <w:t>从业人员</w:t>
      </w:r>
      <w:r>
        <w:rPr>
          <w:rFonts w:hint="eastAsia" w:cs="宋体"/>
          <w:b/>
          <w:bCs/>
          <w:color w:val="auto"/>
          <w:kern w:val="2"/>
          <w:sz w:val="21"/>
          <w:szCs w:val="21"/>
          <w:highlight w:val="none"/>
          <w:u w:val="single"/>
        </w:rPr>
        <w:t>100</w:t>
      </w:r>
      <w:r>
        <w:rPr>
          <w:rFonts w:hint="eastAsia" w:cs="宋体"/>
          <w:b/>
          <w:bCs/>
          <w:color w:val="auto"/>
          <w:kern w:val="2"/>
          <w:sz w:val="21"/>
          <w:szCs w:val="21"/>
          <w:highlight w:val="none"/>
          <w:lang w:val="zh-CN"/>
        </w:rPr>
        <w:t>人</w:t>
      </w:r>
      <w:r>
        <w:rPr>
          <w:rFonts w:hint="eastAsia" w:cs="宋体"/>
          <w:b/>
          <w:bCs/>
          <w:color w:val="auto"/>
          <w:kern w:val="2"/>
          <w:sz w:val="21"/>
          <w:szCs w:val="21"/>
          <w:highlight w:val="none"/>
        </w:rPr>
        <w:t>，</w:t>
      </w:r>
      <w:r>
        <w:rPr>
          <w:rFonts w:hint="eastAsia" w:cs="宋体"/>
          <w:b/>
          <w:bCs/>
          <w:color w:val="auto"/>
          <w:kern w:val="2"/>
          <w:sz w:val="21"/>
          <w:szCs w:val="21"/>
          <w:highlight w:val="none"/>
          <w:lang w:val="zh-CN"/>
        </w:rPr>
        <w:t>营业收入为</w:t>
      </w:r>
      <w:r>
        <w:rPr>
          <w:rFonts w:hint="eastAsia" w:cs="宋体"/>
          <w:b/>
          <w:bCs/>
          <w:color w:val="auto"/>
          <w:kern w:val="2"/>
          <w:sz w:val="21"/>
          <w:szCs w:val="21"/>
          <w:highlight w:val="none"/>
          <w:u w:val="single"/>
        </w:rPr>
        <w:t>10000</w:t>
      </w:r>
      <w:r>
        <w:rPr>
          <w:rFonts w:hint="eastAsia" w:cs="宋体"/>
          <w:b/>
          <w:bCs/>
          <w:color w:val="auto"/>
          <w:kern w:val="2"/>
          <w:sz w:val="21"/>
          <w:szCs w:val="21"/>
          <w:highlight w:val="none"/>
          <w:lang w:val="zh-CN"/>
        </w:rPr>
        <w:t>万元</w:t>
      </w:r>
      <w:r>
        <w:rPr>
          <w:rFonts w:hint="eastAsia" w:cs="宋体"/>
          <w:b/>
          <w:bCs/>
          <w:color w:val="auto"/>
          <w:kern w:val="2"/>
          <w:sz w:val="21"/>
          <w:szCs w:val="21"/>
          <w:highlight w:val="none"/>
        </w:rPr>
        <w:t>，</w:t>
      </w:r>
      <w:r>
        <w:rPr>
          <w:rFonts w:hint="eastAsia" w:cs="宋体"/>
          <w:b/>
          <w:bCs/>
          <w:color w:val="auto"/>
          <w:kern w:val="2"/>
          <w:sz w:val="21"/>
          <w:szCs w:val="21"/>
          <w:highlight w:val="none"/>
          <w:lang w:val="zh-CN"/>
        </w:rPr>
        <w:t>资产总额为</w:t>
      </w:r>
      <w:r>
        <w:rPr>
          <w:rFonts w:hint="eastAsia" w:cs="宋体"/>
          <w:b/>
          <w:bCs/>
          <w:color w:val="auto"/>
          <w:kern w:val="2"/>
          <w:sz w:val="21"/>
          <w:szCs w:val="21"/>
          <w:highlight w:val="none"/>
          <w:u w:val="single"/>
        </w:rPr>
        <w:t>5000</w:t>
      </w:r>
      <w:r>
        <w:rPr>
          <w:rFonts w:hint="eastAsia" w:cs="宋体"/>
          <w:b/>
          <w:bCs/>
          <w:color w:val="auto"/>
          <w:kern w:val="2"/>
          <w:sz w:val="21"/>
          <w:szCs w:val="21"/>
          <w:highlight w:val="none"/>
          <w:lang w:val="zh-CN"/>
        </w:rPr>
        <w:t>万元</w:t>
      </w:r>
      <w:r>
        <w:rPr>
          <w:rFonts w:hint="eastAsia" w:cs="宋体"/>
          <w:b/>
          <w:bCs/>
          <w:color w:val="auto"/>
          <w:kern w:val="2"/>
          <w:sz w:val="21"/>
          <w:szCs w:val="21"/>
          <w:highlight w:val="none"/>
        </w:rPr>
        <w:t>，</w:t>
      </w:r>
      <w:r>
        <w:rPr>
          <w:rFonts w:hint="eastAsia" w:cs="宋体"/>
          <w:b/>
          <w:bCs/>
          <w:color w:val="auto"/>
          <w:kern w:val="2"/>
          <w:sz w:val="21"/>
          <w:szCs w:val="21"/>
          <w:highlight w:val="none"/>
          <w:lang w:val="zh-CN"/>
        </w:rPr>
        <w:t>属于</w:t>
      </w:r>
      <w:r>
        <w:rPr>
          <w:rFonts w:hint="eastAsia" w:cs="宋体"/>
          <w:b/>
          <w:bCs/>
          <w:color w:val="auto"/>
          <w:kern w:val="2"/>
          <w:sz w:val="21"/>
          <w:szCs w:val="21"/>
          <w:highlight w:val="none"/>
        </w:rPr>
        <w:t>中</w:t>
      </w:r>
      <w:r>
        <w:rPr>
          <w:rFonts w:hint="eastAsia" w:cs="宋体"/>
          <w:b/>
          <w:bCs/>
          <w:color w:val="auto"/>
          <w:kern w:val="2"/>
          <w:sz w:val="21"/>
          <w:szCs w:val="21"/>
          <w:highlight w:val="none"/>
          <w:u w:val="single"/>
          <w:lang w:val="zh-CN"/>
        </w:rPr>
        <w:t>型</w:t>
      </w:r>
      <w:r>
        <w:rPr>
          <w:rFonts w:hint="eastAsia" w:cs="宋体"/>
          <w:b/>
          <w:bCs/>
          <w:color w:val="auto"/>
          <w:kern w:val="2"/>
          <w:sz w:val="21"/>
          <w:szCs w:val="21"/>
          <w:highlight w:val="none"/>
          <w:lang w:val="zh-CN"/>
        </w:rPr>
        <w:t>企业</w:t>
      </w:r>
      <w:r>
        <w:rPr>
          <w:rFonts w:hint="eastAsia" w:cs="宋体"/>
          <w:b/>
          <w:bCs/>
          <w:color w:val="auto"/>
          <w:kern w:val="2"/>
          <w:sz w:val="21"/>
          <w:szCs w:val="21"/>
          <w:highlight w:val="none"/>
        </w:rPr>
        <w:t>[</w:t>
      </w:r>
      <w:r>
        <w:rPr>
          <w:rFonts w:hint="eastAsia" w:cs="宋体"/>
          <w:b/>
          <w:bCs/>
          <w:color w:val="auto"/>
          <w:kern w:val="2"/>
          <w:sz w:val="21"/>
          <w:szCs w:val="21"/>
          <w:highlight w:val="none"/>
          <w:lang w:val="en-US" w:eastAsia="zh-CN"/>
        </w:rPr>
        <w:t>供应商</w:t>
      </w:r>
      <w:r>
        <w:rPr>
          <w:rFonts w:hint="eastAsia" w:cs="宋体"/>
          <w:b/>
          <w:bCs/>
          <w:color w:val="auto"/>
          <w:kern w:val="2"/>
          <w:sz w:val="21"/>
          <w:szCs w:val="21"/>
          <w:highlight w:val="none"/>
        </w:rPr>
        <w:t>自行登录工业和信息化部官网进行中小企业规模类型自测（查询网址https://www.miit.gov.cn/）]。</w:t>
      </w:r>
    </w:p>
    <w:p w14:paraId="445EA083">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0EA313D6">
      <w:pPr>
        <w:spacing w:line="360" w:lineRule="auto"/>
        <w:jc w:val="center"/>
        <w:outlineLvl w:val="1"/>
        <w:rPr>
          <w:rFonts w:asciiTheme="minorEastAsia" w:hAnsiTheme="minorEastAsia" w:eastAsiaTheme="minorEastAsia"/>
          <w:b/>
          <w:color w:val="auto"/>
          <w:sz w:val="24"/>
          <w:highlight w:val="none"/>
        </w:rPr>
      </w:pPr>
      <w:bookmarkStart w:id="686" w:name="_Toc28558"/>
      <w:bookmarkStart w:id="687" w:name="_Toc12123"/>
      <w:r>
        <w:rPr>
          <w:rFonts w:hint="eastAsia" w:asciiTheme="minorEastAsia" w:hAnsiTheme="minorEastAsia" w:eastAsiaTheme="minorEastAsia"/>
          <w:b/>
          <w:color w:val="auto"/>
          <w:sz w:val="24"/>
          <w:highlight w:val="none"/>
        </w:rPr>
        <w:t>十、残疾人福利性单位声明函</w:t>
      </w:r>
      <w:bookmarkEnd w:id="686"/>
      <w:bookmarkEnd w:id="687"/>
    </w:p>
    <w:p w14:paraId="023E64CB">
      <w:pPr>
        <w:pStyle w:val="19"/>
        <w:jc w:val="center"/>
        <w:rPr>
          <w:rFonts w:asciiTheme="minorEastAsia" w:hAnsiTheme="minorEastAsia" w:eastAsiaTheme="minorEastAsia"/>
          <w:color w:val="auto"/>
          <w:spacing w:val="6"/>
          <w:sz w:val="24"/>
          <w:szCs w:val="24"/>
          <w:highlight w:val="none"/>
        </w:rPr>
      </w:pPr>
      <w:r>
        <w:rPr>
          <w:rFonts w:hint="eastAsia" w:ascii="宋体" w:hAnsi="宋体" w:eastAsia="宋体"/>
          <w:b w:val="0"/>
          <w:i/>
          <w:color w:val="auto"/>
          <w:sz w:val="24"/>
          <w:highlight w:val="none"/>
          <w:lang w:val="en-US" w:eastAsia="zh-CN"/>
        </w:rPr>
        <w:t>（非残疾人福利性单位谈判，请删去“残疾人福利性单位声明函”）</w:t>
      </w:r>
    </w:p>
    <w:p w14:paraId="77742057">
      <w:pPr>
        <w:spacing w:line="360" w:lineRule="auto"/>
        <w:rPr>
          <w:rFonts w:cs="Times New Roman"/>
          <w:color w:val="auto"/>
          <w:spacing w:val="6"/>
          <w:kern w:val="2"/>
          <w:sz w:val="24"/>
          <w:szCs w:val="24"/>
          <w:highlight w:val="none"/>
        </w:rPr>
      </w:pPr>
    </w:p>
    <w:p w14:paraId="6BA9FBA6">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 民政部 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单位的</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项目采购活动提供本单位制造的货物</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lang w:val="en-US" w:eastAsia="zh-CN"/>
        </w:rPr>
        <w:t>由本单位承担工程/提供服务</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rPr>
        <w:t>，或者提供其他残疾人福利性单位制造的货物（不包括使用非残疾人福利性单位注册商标的货物）。</w:t>
      </w:r>
    </w:p>
    <w:p w14:paraId="0247E70D">
      <w:pPr>
        <w:spacing w:line="360" w:lineRule="auto"/>
        <w:ind w:firstLine="435"/>
        <w:rPr>
          <w:rFonts w:cs="Times New Roman"/>
          <w:color w:val="auto"/>
          <w:spacing w:val="6"/>
          <w:kern w:val="2"/>
          <w:sz w:val="24"/>
          <w:szCs w:val="24"/>
          <w:highlight w:val="none"/>
        </w:rPr>
      </w:pPr>
      <w:r>
        <w:rPr>
          <w:rFonts w:hint="eastAsia" w:cs="Times New Roman"/>
          <w:color w:val="auto"/>
          <w:spacing w:val="6"/>
          <w:kern w:val="2"/>
          <w:sz w:val="24"/>
          <w:szCs w:val="24"/>
          <w:highlight w:val="none"/>
        </w:rPr>
        <w:t>本单位对上述声明的真实性负责。如有虚假，将依法承担相应责任。</w:t>
      </w:r>
    </w:p>
    <w:p w14:paraId="4B3824FC">
      <w:pPr>
        <w:spacing w:line="360" w:lineRule="auto"/>
        <w:ind w:firstLine="4228" w:firstLineChars="1762"/>
        <w:rPr>
          <w:rFonts w:cs="Times New Roman"/>
          <w:color w:val="auto"/>
          <w:kern w:val="2"/>
          <w:sz w:val="24"/>
          <w:szCs w:val="24"/>
          <w:highlight w:val="none"/>
        </w:rPr>
      </w:pPr>
    </w:p>
    <w:p w14:paraId="67C1E17C">
      <w:pPr>
        <w:spacing w:line="360" w:lineRule="auto"/>
        <w:ind w:firstLine="4228" w:firstLineChars="1762"/>
        <w:rPr>
          <w:rFonts w:cs="Times New Roman"/>
          <w:color w:val="auto"/>
          <w:kern w:val="2"/>
          <w:sz w:val="24"/>
          <w:szCs w:val="24"/>
          <w:highlight w:val="none"/>
        </w:rPr>
      </w:pPr>
    </w:p>
    <w:p w14:paraId="1DFDCD0C">
      <w:pPr>
        <w:spacing w:line="360" w:lineRule="auto"/>
        <w:ind w:firstLine="4228" w:firstLineChars="1762"/>
        <w:rPr>
          <w:rFonts w:cs="Times New Roman"/>
          <w:color w:val="auto"/>
          <w:kern w:val="2"/>
          <w:sz w:val="24"/>
          <w:szCs w:val="24"/>
          <w:highlight w:val="none"/>
          <w:u w:val="single"/>
        </w:rPr>
      </w:pPr>
      <w:r>
        <w:rPr>
          <w:rFonts w:hint="eastAsia" w:cs="Times New Roman"/>
          <w:color w:val="auto"/>
          <w:kern w:val="2"/>
          <w:sz w:val="24"/>
          <w:szCs w:val="24"/>
          <w:highlight w:val="none"/>
        </w:rPr>
        <w:t>供应商</w:t>
      </w:r>
      <w:r>
        <w:rPr>
          <w:rFonts w:cs="Times New Roman"/>
          <w:color w:val="auto"/>
          <w:kern w:val="2"/>
          <w:sz w:val="24"/>
          <w:szCs w:val="24"/>
          <w:highlight w:val="none"/>
        </w:rPr>
        <w:t>电子签章</w:t>
      </w:r>
      <w:r>
        <w:rPr>
          <w:rFonts w:hint="eastAsia" w:cs="Times New Roman"/>
          <w:color w:val="auto"/>
          <w:kern w:val="2"/>
          <w:sz w:val="24"/>
          <w:szCs w:val="24"/>
          <w:highlight w:val="none"/>
        </w:rPr>
        <w:t>：</w:t>
      </w:r>
      <w:r>
        <w:rPr>
          <w:rFonts w:cs="Times New Roman"/>
          <w:color w:val="auto"/>
          <w:kern w:val="2"/>
          <w:sz w:val="24"/>
          <w:szCs w:val="24"/>
          <w:highlight w:val="none"/>
          <w:u w:val="single"/>
        </w:rPr>
        <w:t xml:space="preserve">             </w:t>
      </w:r>
    </w:p>
    <w:p w14:paraId="470B8807">
      <w:pPr>
        <w:tabs>
          <w:tab w:val="left" w:pos="4620"/>
        </w:tabs>
        <w:spacing w:line="360" w:lineRule="auto"/>
        <w:ind w:firstLine="4252" w:firstLineChars="1772"/>
        <w:rPr>
          <w:rFonts w:cs="Times New Roman"/>
          <w:color w:val="auto"/>
          <w:kern w:val="2"/>
          <w:sz w:val="24"/>
          <w:szCs w:val="24"/>
          <w:highlight w:val="none"/>
          <w:u w:val="single"/>
        </w:rPr>
      </w:pPr>
      <w:r>
        <w:rPr>
          <w:rFonts w:hint="eastAsia" w:cs="Times New Roman"/>
          <w:color w:val="auto"/>
          <w:kern w:val="2"/>
          <w:sz w:val="24"/>
          <w:szCs w:val="24"/>
          <w:highlight w:val="none"/>
        </w:rPr>
        <w:t>日</w:t>
      </w:r>
      <w:r>
        <w:rPr>
          <w:rFonts w:cs="Times New Roman"/>
          <w:color w:val="auto"/>
          <w:kern w:val="2"/>
          <w:sz w:val="24"/>
          <w:szCs w:val="24"/>
          <w:highlight w:val="none"/>
        </w:rPr>
        <w:t xml:space="preserve">      </w:t>
      </w:r>
      <w:r>
        <w:rPr>
          <w:rFonts w:hint="eastAsia" w:cs="Times New Roman"/>
          <w:color w:val="auto"/>
          <w:kern w:val="2"/>
          <w:sz w:val="24"/>
          <w:szCs w:val="24"/>
          <w:highlight w:val="none"/>
        </w:rPr>
        <w:t xml:space="preserve">    期：</w:t>
      </w:r>
      <w:r>
        <w:rPr>
          <w:rFonts w:cs="Times New Roman"/>
          <w:color w:val="auto"/>
          <w:kern w:val="2"/>
          <w:sz w:val="24"/>
          <w:szCs w:val="24"/>
          <w:highlight w:val="none"/>
          <w:u w:val="single"/>
        </w:rPr>
        <w:t xml:space="preserve">             </w:t>
      </w:r>
    </w:p>
    <w:p w14:paraId="51D1C03B">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0AFA094">
      <w:pPr>
        <w:spacing w:line="360" w:lineRule="auto"/>
        <w:jc w:val="center"/>
        <w:outlineLvl w:val="1"/>
        <w:rPr>
          <w:rFonts w:asciiTheme="minorEastAsia" w:hAnsiTheme="minorEastAsia" w:eastAsiaTheme="minorEastAsia"/>
          <w:b/>
          <w:color w:val="auto"/>
          <w:sz w:val="24"/>
          <w:highlight w:val="none"/>
        </w:rPr>
      </w:pPr>
      <w:bookmarkStart w:id="688" w:name="_Toc15906"/>
      <w:bookmarkStart w:id="689" w:name="_Toc16830"/>
      <w:bookmarkStart w:id="690" w:name="_Hlk44283088"/>
      <w:r>
        <w:rPr>
          <w:rFonts w:hint="eastAsia" w:asciiTheme="minorEastAsia" w:hAnsiTheme="minorEastAsia" w:eastAsiaTheme="minorEastAsia"/>
          <w:b/>
          <w:color w:val="auto"/>
          <w:sz w:val="24"/>
          <w:highlight w:val="none"/>
        </w:rPr>
        <w:t>十</w:t>
      </w:r>
      <w:r>
        <w:rPr>
          <w:rFonts w:hint="eastAsia" w:asciiTheme="minorEastAsia" w:hAnsiTheme="minorEastAsia" w:eastAsiaTheme="minorEastAsia"/>
          <w:b/>
          <w:color w:val="auto"/>
          <w:sz w:val="24"/>
          <w:highlight w:val="none"/>
          <w:lang w:val="en-US" w:eastAsia="zh-CN"/>
        </w:rPr>
        <w:t>一</w:t>
      </w:r>
      <w:r>
        <w:rPr>
          <w:rFonts w:hint="eastAsia" w:asciiTheme="minorEastAsia" w:hAnsiTheme="minorEastAsia" w:eastAsiaTheme="minorEastAsia"/>
          <w:b/>
          <w:color w:val="auto"/>
          <w:sz w:val="24"/>
          <w:highlight w:val="none"/>
        </w:rPr>
        <w:t>、诚信履约承诺函</w:t>
      </w:r>
      <w:bookmarkEnd w:id="688"/>
      <w:bookmarkEnd w:id="689"/>
    </w:p>
    <w:p w14:paraId="23EFF63B">
      <w:pPr>
        <w:spacing w:line="360" w:lineRule="auto"/>
        <w:rPr>
          <w:rFonts w:cs="@仿宋_GB2312" w:asciiTheme="minorEastAsia" w:hAnsiTheme="minorEastAsia" w:eastAsiaTheme="minorEastAsia"/>
          <w:b/>
          <w:bCs/>
          <w:color w:val="auto"/>
          <w:kern w:val="2"/>
          <w:sz w:val="24"/>
          <w:highlight w:val="none"/>
        </w:rPr>
      </w:pPr>
    </w:p>
    <w:p w14:paraId="1357876D">
      <w:pPr>
        <w:spacing w:line="360" w:lineRule="auto"/>
        <w:rPr>
          <w:rFonts w:hint="eastAsia" w:cs="@仿宋_GB2312" w:asciiTheme="minorEastAsia" w:hAnsiTheme="minorEastAsia" w:eastAsiaTheme="minorEastAsia"/>
          <w:b/>
          <w:bCs/>
          <w:color w:val="auto"/>
          <w:kern w:val="2"/>
          <w:sz w:val="24"/>
          <w:highlight w:val="none"/>
          <w:u w:val="single"/>
          <w:lang w:eastAsia="zh-CN"/>
        </w:rPr>
      </w:pPr>
      <w:r>
        <w:rPr>
          <w:rFonts w:hint="eastAsia" w:cs="@仿宋_GB2312" w:asciiTheme="minorEastAsia" w:hAnsiTheme="minorEastAsia" w:eastAsiaTheme="minorEastAsia"/>
          <w:b/>
          <w:bCs/>
          <w:color w:val="auto"/>
          <w:kern w:val="2"/>
          <w:sz w:val="24"/>
          <w:highlight w:val="none"/>
        </w:rPr>
        <w:t>致：</w:t>
      </w:r>
      <w:r>
        <w:rPr>
          <w:rFonts w:hint="eastAsia" w:cs="@仿宋_GB2312" w:asciiTheme="minorEastAsia" w:hAnsiTheme="minorEastAsia" w:eastAsiaTheme="minorEastAsia"/>
          <w:b/>
          <w:bCs/>
          <w:color w:val="auto"/>
          <w:kern w:val="2"/>
          <w:sz w:val="24"/>
          <w:highlight w:val="none"/>
          <w:u w:val="none"/>
          <w:lang w:eastAsia="zh-CN"/>
        </w:rPr>
        <w:t>采购人</w:t>
      </w:r>
    </w:p>
    <w:p w14:paraId="6C757408">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572FD715">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（1）中标或者成交后无正当理由拒不与采购人签订政府采购合同；</w:t>
      </w:r>
    </w:p>
    <w:p w14:paraId="528B2013">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（2）未按照采购文件确定的事项签订政府采购合同；</w:t>
      </w:r>
    </w:p>
    <w:p w14:paraId="5FFD9BAD">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（3）将政府采购合同转包；</w:t>
      </w:r>
    </w:p>
    <w:p w14:paraId="7D6BB837">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（4）提供假冒伪劣产品；</w:t>
      </w:r>
    </w:p>
    <w:p w14:paraId="7B7386CC">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（5）擅自变更、中止或者终止政府采购合同。</w:t>
      </w:r>
    </w:p>
    <w:p w14:paraId="745F59E4">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288482A0">
      <w:pPr>
        <w:spacing w:line="360" w:lineRule="auto"/>
        <w:rPr>
          <w:rFonts w:cs="@仿宋_GB2312" w:asciiTheme="minorEastAsia" w:hAnsiTheme="minorEastAsia" w:eastAsiaTheme="minorEastAsia"/>
          <w:bCs/>
          <w:color w:val="auto"/>
          <w:kern w:val="2"/>
          <w:sz w:val="24"/>
          <w:highlight w:val="none"/>
        </w:rPr>
      </w:pPr>
    </w:p>
    <w:p w14:paraId="092A6FD8">
      <w:pPr>
        <w:spacing w:line="360" w:lineRule="auto"/>
        <w:rPr>
          <w:rFonts w:cs="@仿宋_GB2312" w:asciiTheme="minorEastAsia" w:hAnsiTheme="minorEastAsia" w:eastAsiaTheme="minorEastAsia"/>
          <w:bCs/>
          <w:color w:val="auto"/>
          <w:kern w:val="2"/>
          <w:sz w:val="24"/>
          <w:highlight w:val="none"/>
        </w:rPr>
      </w:pPr>
    </w:p>
    <w:p w14:paraId="5A63C991">
      <w:pPr>
        <w:spacing w:line="360" w:lineRule="auto"/>
        <w:ind w:firstLine="4320" w:firstLineChars="1800"/>
        <w:rPr>
          <w:rFonts w:cs="@仿宋_GB2312" w:asciiTheme="minorEastAsia" w:hAnsiTheme="minorEastAsia" w:eastAsiaTheme="minorEastAsia"/>
          <w:bCs/>
          <w:color w:val="auto"/>
          <w:kern w:val="2"/>
          <w:sz w:val="24"/>
          <w:highlight w:val="none"/>
          <w:u w:val="single"/>
        </w:rPr>
      </w:pPr>
      <w:r>
        <w:rPr>
          <w:rFonts w:hint="eastAsia" w:cs="@仿宋_GB2312" w:asciiTheme="minorEastAsia" w:hAnsiTheme="minorEastAsia" w:eastAsiaTheme="minorEastAsia"/>
          <w:bCs/>
          <w:color w:val="auto"/>
          <w:kern w:val="2"/>
          <w:sz w:val="24"/>
          <w:highlight w:val="none"/>
        </w:rPr>
        <w:t>供应商电子签章：</w:t>
      </w:r>
      <w:r>
        <w:rPr>
          <w:rFonts w:hint="eastAsia" w:cs="@仿宋_GB2312" w:asciiTheme="minorEastAsia" w:hAnsiTheme="minorEastAsia" w:eastAsiaTheme="minorEastAsia"/>
          <w:bCs/>
          <w:color w:val="auto"/>
          <w:kern w:val="2"/>
          <w:sz w:val="24"/>
          <w:highlight w:val="none"/>
          <w:u w:val="single"/>
        </w:rPr>
        <w:t xml:space="preserve">     </w:t>
      </w:r>
      <w:r>
        <w:rPr>
          <w:rFonts w:cs="@仿宋_GB2312" w:asciiTheme="minorEastAsia" w:hAnsiTheme="minorEastAsia" w:eastAsiaTheme="minorEastAsia"/>
          <w:bCs/>
          <w:color w:val="auto"/>
          <w:kern w:val="2"/>
          <w:sz w:val="24"/>
          <w:highlight w:val="none"/>
          <w:u w:val="single"/>
        </w:rPr>
        <w:t xml:space="preserve">    </w:t>
      </w:r>
      <w:r>
        <w:rPr>
          <w:rFonts w:hint="eastAsia" w:cs="@仿宋_GB2312" w:asciiTheme="minorEastAsia" w:hAnsiTheme="minorEastAsia" w:eastAsiaTheme="minorEastAsia"/>
          <w:bCs/>
          <w:color w:val="auto"/>
          <w:kern w:val="2"/>
          <w:sz w:val="24"/>
          <w:highlight w:val="none"/>
          <w:u w:val="single"/>
        </w:rPr>
        <w:t xml:space="preserve">    </w:t>
      </w:r>
    </w:p>
    <w:p w14:paraId="07D750ED">
      <w:pPr>
        <w:spacing w:line="360" w:lineRule="auto"/>
        <w:ind w:firstLine="4320" w:firstLineChars="1800"/>
        <w:rPr>
          <w:rFonts w:asciiTheme="minorEastAsia" w:hAnsiTheme="minorEastAsia" w:eastAsiaTheme="minorEastAsia"/>
          <w:b/>
          <w:color w:val="auto"/>
          <w:sz w:val="24"/>
          <w:highlight w:val="none"/>
        </w:rPr>
      </w:pPr>
      <w:r>
        <w:rPr>
          <w:rFonts w:hint="eastAsia" w:cs="@仿宋_GB2312" w:asciiTheme="minorEastAsia" w:hAnsiTheme="minorEastAsia" w:eastAsiaTheme="minorEastAsia"/>
          <w:bCs/>
          <w:color w:val="auto"/>
          <w:kern w:val="2"/>
          <w:sz w:val="24"/>
          <w:highlight w:val="none"/>
        </w:rPr>
        <w:t>日          期：</w:t>
      </w:r>
      <w:r>
        <w:rPr>
          <w:rFonts w:hint="eastAsia" w:cs="@仿宋_GB2312" w:asciiTheme="minorEastAsia" w:hAnsiTheme="minorEastAsia" w:eastAsiaTheme="minorEastAsia"/>
          <w:bCs/>
          <w:color w:val="auto"/>
          <w:kern w:val="2"/>
          <w:sz w:val="24"/>
          <w:highlight w:val="none"/>
          <w:u w:val="single"/>
        </w:rPr>
        <w:t xml:space="preserve">             </w:t>
      </w:r>
    </w:p>
    <w:p w14:paraId="41704021">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bookmarkEnd w:id="690"/>
    <w:p w14:paraId="1E958B06">
      <w:pPr>
        <w:spacing w:line="360" w:lineRule="auto"/>
        <w:jc w:val="center"/>
        <w:outlineLvl w:val="1"/>
        <w:rPr>
          <w:rFonts w:asciiTheme="minorEastAsia" w:hAnsiTheme="minorEastAsia" w:eastAsiaTheme="minorEastAsia"/>
          <w:b/>
          <w:color w:val="auto"/>
          <w:sz w:val="24"/>
          <w:highlight w:val="none"/>
        </w:rPr>
      </w:pPr>
      <w:bookmarkStart w:id="691" w:name="_Toc6061"/>
      <w:bookmarkStart w:id="692" w:name="_Toc13419"/>
      <w:r>
        <w:rPr>
          <w:rFonts w:hint="eastAsia" w:asciiTheme="minorEastAsia" w:hAnsiTheme="minorEastAsia" w:eastAsiaTheme="minorEastAsia"/>
          <w:b/>
          <w:color w:val="auto"/>
          <w:sz w:val="24"/>
          <w:highlight w:val="none"/>
        </w:rPr>
        <w:t>十</w:t>
      </w:r>
      <w:r>
        <w:rPr>
          <w:rFonts w:hint="eastAsia" w:asciiTheme="minorEastAsia" w:hAnsiTheme="minorEastAsia" w:eastAsiaTheme="minorEastAsia"/>
          <w:b/>
          <w:color w:val="auto"/>
          <w:sz w:val="24"/>
          <w:highlight w:val="none"/>
          <w:lang w:val="en-US" w:eastAsia="zh-CN"/>
        </w:rPr>
        <w:t>二</w:t>
      </w:r>
      <w:r>
        <w:rPr>
          <w:rFonts w:hint="eastAsia" w:asciiTheme="minorEastAsia" w:hAnsiTheme="minorEastAsia" w:eastAsiaTheme="minorEastAsia"/>
          <w:b/>
          <w:color w:val="auto"/>
          <w:sz w:val="24"/>
          <w:highlight w:val="none"/>
        </w:rPr>
        <w:t>、其他相关证明材料</w:t>
      </w:r>
      <w:bookmarkEnd w:id="691"/>
      <w:bookmarkEnd w:id="692"/>
    </w:p>
    <w:p w14:paraId="42C3EE1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邀请、采购需求及评标方法和标准规定的相关证明文件。</w:t>
      </w:r>
    </w:p>
    <w:p w14:paraId="7084964D">
      <w:pPr>
        <w:spacing w:line="360" w:lineRule="auto"/>
        <w:ind w:firstLine="480" w:firstLineChars="200"/>
        <w:rPr>
          <w:rFonts w:asciiTheme="minorEastAsia" w:hAnsiTheme="minorEastAsia" w:eastAsiaTheme="minorEastAsia"/>
          <w:color w:val="auto"/>
          <w:sz w:val="24"/>
          <w:highlight w:val="none"/>
        </w:rPr>
      </w:pPr>
    </w:p>
    <w:p w14:paraId="0ED8E42A">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5D783A5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供应商在响应文件制作时可在此栏内上传</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w:t>
      </w:r>
      <w:r>
        <w:rPr>
          <w:rFonts w:asciiTheme="minorEastAsia" w:hAnsiTheme="minorEastAsia" w:eastAsiaTheme="minorEastAsia"/>
          <w:color w:val="auto"/>
          <w:sz w:val="24"/>
          <w:highlight w:val="none"/>
        </w:rPr>
        <w:t>要求上传的证明资料</w:t>
      </w:r>
      <w:r>
        <w:rPr>
          <w:rFonts w:hint="eastAsia" w:asciiTheme="minorEastAsia" w:hAnsiTheme="minorEastAsia" w:eastAsiaTheme="minorEastAsia"/>
          <w:color w:val="auto"/>
          <w:sz w:val="24"/>
          <w:highlight w:val="none"/>
        </w:rPr>
        <w:t>，如营业执照、证书</w:t>
      </w:r>
      <w:r>
        <w:rPr>
          <w:rFonts w:asciiTheme="minorEastAsia" w:hAnsiTheme="minorEastAsia" w:eastAsiaTheme="minorEastAsia"/>
          <w:color w:val="auto"/>
          <w:sz w:val="24"/>
          <w:highlight w:val="none"/>
        </w:rPr>
        <w:t>等，应将上述证明材料制作成扫描件上传。</w:t>
      </w:r>
    </w:p>
    <w:p w14:paraId="634B4F34">
      <w:pPr>
        <w:pStyle w:val="50"/>
        <w:spacing w:before="0" w:beforeAutospacing="0" w:after="0" w:afterAutospacing="0" w:line="360" w:lineRule="auto"/>
        <w:ind w:firstLine="640"/>
        <w:jc w:val="both"/>
        <w:rPr>
          <w:color w:val="auto"/>
          <w:highlight w:val="none"/>
        </w:rPr>
      </w:pPr>
      <w:r>
        <w:rPr>
          <w:rFonts w:asciiTheme="minorEastAsia" w:hAnsiTheme="minorEastAsia" w:eastAsiaTheme="minorEastAsia"/>
          <w:color w:val="auto"/>
          <w:sz w:val="24"/>
          <w:highlight w:val="none"/>
        </w:rPr>
        <w:br w:type="page"/>
      </w:r>
    </w:p>
    <w:p w14:paraId="664DB770">
      <w:pPr>
        <w:widowControl/>
        <w:jc w:val="left"/>
        <w:rPr>
          <w:bCs/>
          <w:color w:val="auto"/>
          <w:sz w:val="24"/>
          <w:highlight w:val="none"/>
        </w:rPr>
      </w:pPr>
    </w:p>
    <w:p w14:paraId="7B3F8F9D">
      <w:pPr>
        <w:spacing w:line="360" w:lineRule="auto"/>
        <w:jc w:val="center"/>
        <w:outlineLvl w:val="0"/>
        <w:rPr>
          <w:b/>
          <w:bCs/>
          <w:color w:val="auto"/>
          <w:sz w:val="28"/>
          <w:highlight w:val="none"/>
        </w:rPr>
      </w:pPr>
      <w:bookmarkStart w:id="693" w:name="_Toc25478"/>
      <w:bookmarkStart w:id="694" w:name="_Toc921"/>
      <w:r>
        <w:rPr>
          <w:rFonts w:hint="eastAsia"/>
          <w:b/>
          <w:bCs/>
          <w:color w:val="auto"/>
          <w:sz w:val="28"/>
          <w:highlight w:val="none"/>
        </w:rPr>
        <w:t>第</w:t>
      </w:r>
      <w:r>
        <w:rPr>
          <w:rFonts w:hint="eastAsia"/>
          <w:b/>
          <w:bCs/>
          <w:color w:val="auto"/>
          <w:sz w:val="28"/>
          <w:highlight w:val="none"/>
          <w:lang w:val="en-US" w:eastAsia="zh-CN"/>
        </w:rPr>
        <w:t>七</w:t>
      </w:r>
      <w:r>
        <w:rPr>
          <w:rFonts w:hint="eastAsia"/>
          <w:b/>
          <w:bCs/>
          <w:color w:val="auto"/>
          <w:sz w:val="28"/>
          <w:highlight w:val="none"/>
        </w:rPr>
        <w:t>章  政府采购</w:t>
      </w:r>
      <w:r>
        <w:rPr>
          <w:rFonts w:hint="eastAsia" w:asciiTheme="minorEastAsia" w:hAnsiTheme="minorEastAsia" w:eastAsiaTheme="minorEastAsia"/>
          <w:b/>
          <w:color w:val="auto"/>
          <w:sz w:val="28"/>
          <w:highlight w:val="none"/>
        </w:rPr>
        <w:t>供应</w:t>
      </w:r>
      <w:r>
        <w:rPr>
          <w:rFonts w:hint="eastAsia"/>
          <w:b/>
          <w:bCs/>
          <w:color w:val="auto"/>
          <w:sz w:val="28"/>
          <w:highlight w:val="none"/>
        </w:rPr>
        <w:t>商询问函和质疑函范本</w:t>
      </w:r>
      <w:bookmarkEnd w:id="693"/>
      <w:bookmarkEnd w:id="694"/>
    </w:p>
    <w:p w14:paraId="064B6906">
      <w:pPr>
        <w:spacing w:line="360" w:lineRule="auto"/>
        <w:jc w:val="center"/>
        <w:outlineLvl w:val="1"/>
        <w:rPr>
          <w:rFonts w:ascii="仿宋" w:hAnsi="仿宋" w:eastAsia="仿宋" w:cs="仿宋"/>
          <w:b/>
          <w:bCs/>
          <w:color w:val="auto"/>
          <w:sz w:val="32"/>
          <w:szCs w:val="44"/>
          <w:highlight w:val="none"/>
        </w:rPr>
      </w:pPr>
      <w:bookmarkStart w:id="695" w:name="_Toc30776"/>
      <w:bookmarkStart w:id="696" w:name="_Toc7450"/>
      <w:r>
        <w:rPr>
          <w:rFonts w:hint="eastAsia" w:ascii="仿宋" w:hAnsi="仿宋" w:eastAsia="仿宋" w:cs="仿宋"/>
          <w:b/>
          <w:bCs/>
          <w:color w:val="auto"/>
          <w:sz w:val="32"/>
          <w:szCs w:val="44"/>
          <w:highlight w:val="none"/>
        </w:rPr>
        <w:t>询问函范本</w:t>
      </w:r>
      <w:bookmarkEnd w:id="695"/>
      <w:bookmarkEnd w:id="696"/>
    </w:p>
    <w:p w14:paraId="763A7628">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0C73ABE1">
      <w:pPr>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lang w:val="en-US" w:eastAsia="zh-CN"/>
        </w:rPr>
        <w:t>致：</w:t>
      </w:r>
      <w:r>
        <w:rPr>
          <w:rFonts w:hint="eastAsia" w:cs="仿宋" w:asciiTheme="minorEastAsia" w:hAnsiTheme="minorEastAsia" w:eastAsiaTheme="minorEastAsia"/>
          <w:color w:val="auto"/>
          <w:sz w:val="24"/>
          <w:szCs w:val="24"/>
          <w:highlight w:val="none"/>
          <w:lang w:eastAsia="zh-CN"/>
        </w:rPr>
        <w:t>采购人</w:t>
      </w:r>
    </w:p>
    <w:p w14:paraId="2664FA9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i/>
          <w:iCs/>
          <w:color w:val="auto"/>
          <w:sz w:val="24"/>
          <w:szCs w:val="24"/>
          <w:highlight w:val="none"/>
          <w:u w:val="none"/>
          <w:lang w:val="en-US" w:eastAsia="zh-CN"/>
        </w:rPr>
        <w:t>项目名称、编号</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2137D769">
      <w:pPr>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697" w:name="_Toc13620"/>
      <w:r>
        <w:rPr>
          <w:rFonts w:hint="eastAsia" w:cs="仿宋" w:asciiTheme="minorEastAsia" w:hAnsiTheme="minorEastAsia" w:eastAsiaTheme="minorEastAsia"/>
          <w:color w:val="auto"/>
          <w:sz w:val="24"/>
          <w:szCs w:val="24"/>
          <w:highlight w:val="none"/>
        </w:rPr>
        <w:t>一、(事项一)</w:t>
      </w:r>
      <w:bookmarkEnd w:id="697"/>
    </w:p>
    <w:p w14:paraId="666DE069">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5B563B3B">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3868CCDC">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57B5A353">
      <w:pPr>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698" w:name="_Toc14277"/>
      <w:r>
        <w:rPr>
          <w:rFonts w:hint="eastAsia" w:cs="仿宋" w:asciiTheme="minorEastAsia" w:hAnsiTheme="minorEastAsia" w:eastAsiaTheme="minorEastAsia"/>
          <w:color w:val="auto"/>
          <w:sz w:val="24"/>
          <w:szCs w:val="24"/>
          <w:highlight w:val="none"/>
        </w:rPr>
        <w:t>二、(事项二)</w:t>
      </w:r>
      <w:bookmarkEnd w:id="698"/>
    </w:p>
    <w:p w14:paraId="41E1C47E">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2EECD9C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06C58BA7">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3D1B41C1">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6F231AE6">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61798EDB">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0138DF1C">
      <w:pPr>
        <w:jc w:val="center"/>
        <w:outlineLvl w:val="1"/>
        <w:rPr>
          <w:rFonts w:ascii="仿宋" w:hAnsi="仿宋" w:eastAsia="仿宋" w:cs="仿宋"/>
          <w:b/>
          <w:bCs/>
          <w:color w:val="auto"/>
          <w:sz w:val="32"/>
          <w:szCs w:val="44"/>
          <w:highlight w:val="none"/>
        </w:rPr>
      </w:pPr>
      <w:bookmarkStart w:id="699" w:name="_Toc28125"/>
      <w:bookmarkStart w:id="700" w:name="_Toc16939"/>
      <w:r>
        <w:rPr>
          <w:rFonts w:hint="eastAsia" w:ascii="仿宋" w:hAnsi="仿宋" w:eastAsia="仿宋" w:cs="仿宋"/>
          <w:b/>
          <w:bCs/>
          <w:color w:val="auto"/>
          <w:sz w:val="32"/>
          <w:szCs w:val="44"/>
          <w:highlight w:val="none"/>
        </w:rPr>
        <w:t>质疑函范本</w:t>
      </w:r>
      <w:bookmarkEnd w:id="699"/>
      <w:bookmarkEnd w:id="700"/>
    </w:p>
    <w:p w14:paraId="4634E69A">
      <w:pPr>
        <w:adjustRightInd w:val="0"/>
        <w:snapToGrid w:val="0"/>
        <w:spacing w:before="312" w:beforeLines="100" w:line="360" w:lineRule="auto"/>
        <w:outlineLvl w:val="9"/>
        <w:rPr>
          <w:rFonts w:cs="仿宋" w:asciiTheme="minorEastAsia" w:hAnsiTheme="minorEastAsia" w:eastAsiaTheme="minorEastAsia"/>
          <w:b/>
          <w:bCs/>
          <w:color w:val="auto"/>
          <w:sz w:val="24"/>
          <w:szCs w:val="24"/>
          <w:highlight w:val="none"/>
        </w:rPr>
      </w:pPr>
      <w:bookmarkStart w:id="701" w:name="_Toc21660"/>
      <w:r>
        <w:rPr>
          <w:rFonts w:hint="eastAsia" w:cs="仿宋" w:asciiTheme="minorEastAsia" w:hAnsiTheme="minorEastAsia" w:eastAsiaTheme="minorEastAsia"/>
          <w:b/>
          <w:bCs/>
          <w:color w:val="auto"/>
          <w:sz w:val="24"/>
          <w:szCs w:val="24"/>
          <w:highlight w:val="none"/>
        </w:rPr>
        <w:t>一、质疑供应商基本信息</w:t>
      </w:r>
      <w:bookmarkEnd w:id="701"/>
    </w:p>
    <w:p w14:paraId="60F90701">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51430885">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558FCFD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5DD2776B">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57D0FCEA">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17BCBD0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3F23C61F">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702" w:name="_Toc4238"/>
      <w:r>
        <w:rPr>
          <w:rFonts w:hint="eastAsia" w:cs="仿宋" w:asciiTheme="minorEastAsia" w:hAnsiTheme="minorEastAsia" w:eastAsiaTheme="minorEastAsia"/>
          <w:b/>
          <w:bCs/>
          <w:color w:val="auto"/>
          <w:sz w:val="24"/>
          <w:szCs w:val="24"/>
          <w:highlight w:val="none"/>
        </w:rPr>
        <w:t>二、质疑项目基本情况</w:t>
      </w:r>
      <w:bookmarkEnd w:id="702"/>
    </w:p>
    <w:p w14:paraId="546B5D8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1BAA1A2A">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62C9EBA5">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52D5C6A5">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3960DAD4">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703" w:name="_Toc10846"/>
      <w:r>
        <w:rPr>
          <w:rFonts w:hint="eastAsia" w:cs="仿宋" w:asciiTheme="minorEastAsia" w:hAnsiTheme="minorEastAsia" w:eastAsiaTheme="minorEastAsia"/>
          <w:b/>
          <w:bCs/>
          <w:color w:val="auto"/>
          <w:sz w:val="24"/>
          <w:szCs w:val="24"/>
          <w:highlight w:val="none"/>
        </w:rPr>
        <w:t>三、质疑事项具体内容</w:t>
      </w:r>
      <w:bookmarkEnd w:id="703"/>
    </w:p>
    <w:p w14:paraId="6D105BA9">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21FDB117">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09220B95">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500E6D6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1C994694">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21AA1FA5">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5098D5E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3E8CD5F5">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704" w:name="_Toc15784"/>
      <w:r>
        <w:rPr>
          <w:rFonts w:hint="eastAsia" w:cs="仿宋" w:asciiTheme="minorEastAsia" w:hAnsiTheme="minorEastAsia" w:eastAsiaTheme="minorEastAsia"/>
          <w:b/>
          <w:bCs/>
          <w:color w:val="auto"/>
          <w:sz w:val="24"/>
          <w:szCs w:val="24"/>
          <w:highlight w:val="none"/>
        </w:rPr>
        <w:t>四、与质疑事项相关的质疑请求</w:t>
      </w:r>
      <w:bookmarkEnd w:id="704"/>
    </w:p>
    <w:p w14:paraId="47D5F869">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2E32E9F0">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10F6A8AE">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7F803E4C">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6302808F">
      <w:pPr>
        <w:outlineLvl w:val="0"/>
        <w:rPr>
          <w:rFonts w:asciiTheme="minorEastAsia" w:hAnsiTheme="minorEastAsia" w:eastAsiaTheme="minorEastAsia"/>
          <w:b/>
          <w:color w:val="auto"/>
          <w:sz w:val="28"/>
          <w:szCs w:val="32"/>
          <w:highlight w:val="none"/>
        </w:rPr>
      </w:pPr>
      <w:bookmarkStart w:id="705" w:name="_Toc17542"/>
      <w:bookmarkStart w:id="706" w:name="_Toc23661"/>
      <w:r>
        <w:rPr>
          <w:rFonts w:hint="eastAsia" w:asciiTheme="minorEastAsia" w:hAnsiTheme="minorEastAsia" w:eastAsiaTheme="minorEastAsia"/>
          <w:b/>
          <w:color w:val="auto"/>
          <w:sz w:val="28"/>
          <w:szCs w:val="32"/>
          <w:highlight w:val="none"/>
        </w:rPr>
        <w:t>质疑函制作说明：</w:t>
      </w:r>
      <w:bookmarkEnd w:id="705"/>
      <w:bookmarkEnd w:id="706"/>
    </w:p>
    <w:p w14:paraId="38E7183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6862A90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6D6488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4C7D2F2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33CD84C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79E86A2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headerReference r:id="rId7" w:type="default"/>
      <w:footerReference r:id="rId8"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S Sans Serif">
    <w:altName w:val="Arial"/>
    <w:panose1 w:val="020B0500000000000000"/>
    <w:charset w:val="00"/>
    <w:family w:val="swiss"/>
    <w:pitch w:val="default"/>
    <w:sig w:usb0="00000000" w:usb1="00000000" w:usb2="00000000" w:usb3="00000000" w:csb0="0000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创艺简黑体">
    <w:altName w:val="黑体"/>
    <w:panose1 w:val="00000000000000000000"/>
    <w:charset w:val="7A"/>
    <w:family w:val="auto"/>
    <w:pitch w:val="default"/>
    <w:sig w:usb0="00000000" w:usb1="00000000" w:usb2="00000010" w:usb3="00000000" w:csb0="0004000A"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F7078">
    <w:pPr>
      <w:pStyle w:val="3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F0C63">
    <w:pPr>
      <w:pStyle w:val="33"/>
      <w:rPr>
        <w:rFonts w:asciiTheme="minorEastAsia" w:hAnsiTheme="minorEastAsia" w:eastAsiaTheme="minorEastAsia"/>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11AD683">
                          <w:pPr>
                            <w:pStyle w:val="3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411AD683">
                    <w:pPr>
                      <w:pStyle w:val="3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100</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D036C">
    <w:pPr>
      <w:spacing w:line="189" w:lineRule="auto"/>
      <w:ind w:left="4430"/>
      <w:rPr>
        <w:rFonts w:ascii="Arial" w:hAnsi="Arial" w:eastAsia="Arial" w:cs="Arial"/>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8EEBDAF">
                          <w:pPr>
                            <w:pStyle w:val="33"/>
                          </w:pPr>
                          <w:r>
                            <w:t xml:space="preserve">第 </w:t>
                          </w:r>
                          <w:r>
                            <w:fldChar w:fldCharType="begin"/>
                          </w:r>
                          <w:r>
                            <w:instrText xml:space="preserve"> PAGE  \* MERGEFORMAT </w:instrText>
                          </w:r>
                          <w:r>
                            <w:fldChar w:fldCharType="separate"/>
                          </w:r>
                          <w:r>
                            <w:t>88</w:t>
                          </w:r>
                          <w:r>
                            <w:fldChar w:fldCharType="end"/>
                          </w:r>
                          <w:r>
                            <w:t xml:space="preserve"> 页 共 </w:t>
                          </w:r>
                          <w:r>
                            <w:fldChar w:fldCharType="begin"/>
                          </w:r>
                          <w:r>
                            <w:instrText xml:space="preserve"> NUMPAGES  \* MERGEFORMAT </w:instrText>
                          </w:r>
                          <w:r>
                            <w:fldChar w:fldCharType="separate"/>
                          </w:r>
                          <w:r>
                            <w:t>100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28EEBDAF">
                    <w:pPr>
                      <w:pStyle w:val="33"/>
                    </w:pPr>
                    <w:r>
                      <w:t xml:space="preserve">第 </w:t>
                    </w:r>
                    <w:r>
                      <w:fldChar w:fldCharType="begin"/>
                    </w:r>
                    <w:r>
                      <w:instrText xml:space="preserve"> PAGE  \* MERGEFORMAT </w:instrText>
                    </w:r>
                    <w:r>
                      <w:fldChar w:fldCharType="separate"/>
                    </w:r>
                    <w:r>
                      <w:t>88</w:t>
                    </w:r>
                    <w:r>
                      <w:fldChar w:fldCharType="end"/>
                    </w:r>
                    <w:r>
                      <w:t xml:space="preserve"> 页 共 </w:t>
                    </w:r>
                    <w:r>
                      <w:fldChar w:fldCharType="begin"/>
                    </w:r>
                    <w:r>
                      <w:instrText xml:space="preserve"> NUMPAGES  \* MERGEFORMAT </w:instrText>
                    </w:r>
                    <w:r>
                      <w:fldChar w:fldCharType="separate"/>
                    </w:r>
                    <w:r>
                      <w:t>100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4CBA1">
    <w:pPr>
      <w:pStyle w:val="34"/>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A9243">
    <w:pPr>
      <w:pStyle w:val="34"/>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CA1B2">
    <w:pPr>
      <w:pStyle w:val="34"/>
      <w:pBdr>
        <w:bottom w:val="none" w:color="auto" w:sz="0" w:space="1"/>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BF563F"/>
    <w:multiLevelType w:val="singleLevel"/>
    <w:tmpl w:val="97BF563F"/>
    <w:lvl w:ilvl="0" w:tentative="0">
      <w:start w:val="1"/>
      <w:numFmt w:val="decimal"/>
      <w:suff w:val="nothing"/>
      <w:lvlText w:val="（%1）"/>
      <w:lvlJc w:val="left"/>
    </w:lvl>
  </w:abstractNum>
  <w:abstractNum w:abstractNumId="1">
    <w:nsid w:val="D59201F4"/>
    <w:multiLevelType w:val="singleLevel"/>
    <w:tmpl w:val="D59201F4"/>
    <w:lvl w:ilvl="0" w:tentative="0">
      <w:start w:val="1"/>
      <w:numFmt w:val="decimal"/>
      <w:lvlText w:val="%1"/>
      <w:lvlJc w:val="left"/>
      <w:pPr>
        <w:tabs>
          <w:tab w:val="left" w:pos="420"/>
        </w:tabs>
        <w:ind w:left="425" w:hanging="425"/>
      </w:pPr>
      <w:rPr>
        <w:rFonts w:hint="default"/>
      </w:rPr>
    </w:lvl>
  </w:abstractNum>
  <w:abstractNum w:abstractNumId="2">
    <w:nsid w:val="506C173F"/>
    <w:multiLevelType w:val="singleLevel"/>
    <w:tmpl w:val="506C173F"/>
    <w:lvl w:ilvl="0" w:tentative="0">
      <w:start w:val="2"/>
      <w:numFmt w:val="chineseCounting"/>
      <w:suff w:val="nothing"/>
      <w:lvlText w:val="%1、"/>
      <w:lvlJc w:val="left"/>
      <w:rPr>
        <w:rFonts w:hint="eastAsia"/>
      </w:rPr>
    </w:lvl>
  </w:abstractNum>
  <w:abstractNum w:abstractNumId="3">
    <w:nsid w:val="7F7E5238"/>
    <w:multiLevelType w:val="multilevel"/>
    <w:tmpl w:val="7F7E5238"/>
    <w:lvl w:ilvl="0" w:tentative="0">
      <w:start w:val="1"/>
      <w:numFmt w:val="none"/>
      <w:pStyle w:val="177"/>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174"/>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pStyle w:val="179"/>
      <w:lvlText w:val="           "/>
      <w:lvlJc w:val="left"/>
      <w:pPr>
        <w:tabs>
          <w:tab w:val="left" w:pos="1440"/>
        </w:tabs>
        <w:ind w:left="1152" w:hanging="1152"/>
      </w:pPr>
      <w:rPr>
        <w:rFonts w:hint="eastAsia"/>
      </w:rPr>
    </w:lvl>
    <w:lvl w:ilvl="6" w:tentative="0">
      <w:start w:val="1"/>
      <w:numFmt w:val="decimal"/>
      <w:pStyle w:val="181"/>
      <w:lvlText w:val="%1.%2.%3.%4.%5.%6.%7"/>
      <w:lvlJc w:val="left"/>
      <w:pPr>
        <w:tabs>
          <w:tab w:val="left" w:pos="2520"/>
        </w:tabs>
        <w:ind w:left="1296" w:hanging="1296"/>
      </w:pPr>
      <w:rPr>
        <w:rFonts w:hint="eastAsia"/>
      </w:rPr>
    </w:lvl>
    <w:lvl w:ilvl="7" w:tentative="0">
      <w:start w:val="1"/>
      <w:numFmt w:val="decimal"/>
      <w:pStyle w:val="183"/>
      <w:lvlText w:val="%1.%2.%3.%4.%5.%6.%7.%8"/>
      <w:lvlJc w:val="left"/>
      <w:pPr>
        <w:tabs>
          <w:tab w:val="left" w:pos="1440"/>
        </w:tabs>
        <w:ind w:left="1440" w:hanging="1440"/>
      </w:pPr>
      <w:rPr>
        <w:rFonts w:hint="eastAsia"/>
      </w:rPr>
    </w:lvl>
    <w:lvl w:ilvl="8" w:tentative="0">
      <w:start w:val="1"/>
      <w:numFmt w:val="decimal"/>
      <w:pStyle w:val="185"/>
      <w:lvlText w:val="%1.%2.%3.%4.%5.%6.%7.%8.%9"/>
      <w:lvlJc w:val="left"/>
      <w:pPr>
        <w:tabs>
          <w:tab w:val="left" w:pos="1584"/>
        </w:tabs>
        <w:ind w:left="1584" w:hanging="1584"/>
      </w:pPr>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37F9"/>
    <w:rsid w:val="000049DA"/>
    <w:rsid w:val="000056B7"/>
    <w:rsid w:val="00005914"/>
    <w:rsid w:val="00007D87"/>
    <w:rsid w:val="000131F7"/>
    <w:rsid w:val="00014039"/>
    <w:rsid w:val="00016B6C"/>
    <w:rsid w:val="00020B57"/>
    <w:rsid w:val="00020B6D"/>
    <w:rsid w:val="00022976"/>
    <w:rsid w:val="000323E2"/>
    <w:rsid w:val="00040C25"/>
    <w:rsid w:val="00042139"/>
    <w:rsid w:val="00042B14"/>
    <w:rsid w:val="00044F49"/>
    <w:rsid w:val="000450C3"/>
    <w:rsid w:val="0005061B"/>
    <w:rsid w:val="00050A3F"/>
    <w:rsid w:val="00054AA3"/>
    <w:rsid w:val="00056ECB"/>
    <w:rsid w:val="00057B40"/>
    <w:rsid w:val="000648D2"/>
    <w:rsid w:val="00066AD7"/>
    <w:rsid w:val="00070E0E"/>
    <w:rsid w:val="0007146E"/>
    <w:rsid w:val="0007385B"/>
    <w:rsid w:val="00076DB7"/>
    <w:rsid w:val="00080FEB"/>
    <w:rsid w:val="00084047"/>
    <w:rsid w:val="00094D41"/>
    <w:rsid w:val="00097CB9"/>
    <w:rsid w:val="000A0161"/>
    <w:rsid w:val="000A10A9"/>
    <w:rsid w:val="000A2DA0"/>
    <w:rsid w:val="000A6693"/>
    <w:rsid w:val="000A7403"/>
    <w:rsid w:val="000A7970"/>
    <w:rsid w:val="000A7D94"/>
    <w:rsid w:val="000B1511"/>
    <w:rsid w:val="000B6249"/>
    <w:rsid w:val="000B6562"/>
    <w:rsid w:val="000C1068"/>
    <w:rsid w:val="000C1DB1"/>
    <w:rsid w:val="000D3F37"/>
    <w:rsid w:val="000E3C74"/>
    <w:rsid w:val="000E3F9B"/>
    <w:rsid w:val="000E478E"/>
    <w:rsid w:val="000E6689"/>
    <w:rsid w:val="000E69B9"/>
    <w:rsid w:val="000F0EBF"/>
    <w:rsid w:val="000F172B"/>
    <w:rsid w:val="000F2198"/>
    <w:rsid w:val="000F39B6"/>
    <w:rsid w:val="000F3A94"/>
    <w:rsid w:val="000F6B7B"/>
    <w:rsid w:val="000F6F95"/>
    <w:rsid w:val="0010021F"/>
    <w:rsid w:val="00100B0F"/>
    <w:rsid w:val="00101448"/>
    <w:rsid w:val="0010187C"/>
    <w:rsid w:val="0010219C"/>
    <w:rsid w:val="001037E3"/>
    <w:rsid w:val="00107022"/>
    <w:rsid w:val="0011660B"/>
    <w:rsid w:val="0012143A"/>
    <w:rsid w:val="0012203E"/>
    <w:rsid w:val="001258BA"/>
    <w:rsid w:val="0012753E"/>
    <w:rsid w:val="00130601"/>
    <w:rsid w:val="00130690"/>
    <w:rsid w:val="00130CD3"/>
    <w:rsid w:val="00132F4D"/>
    <w:rsid w:val="00133EA0"/>
    <w:rsid w:val="00140687"/>
    <w:rsid w:val="0014543C"/>
    <w:rsid w:val="00146421"/>
    <w:rsid w:val="00153B20"/>
    <w:rsid w:val="00155F64"/>
    <w:rsid w:val="001571EE"/>
    <w:rsid w:val="00157856"/>
    <w:rsid w:val="00157B7B"/>
    <w:rsid w:val="00160729"/>
    <w:rsid w:val="0016455F"/>
    <w:rsid w:val="00165398"/>
    <w:rsid w:val="00166794"/>
    <w:rsid w:val="00166ED8"/>
    <w:rsid w:val="001714C9"/>
    <w:rsid w:val="00171515"/>
    <w:rsid w:val="00172073"/>
    <w:rsid w:val="001721FA"/>
    <w:rsid w:val="00172B93"/>
    <w:rsid w:val="0018119B"/>
    <w:rsid w:val="001844AB"/>
    <w:rsid w:val="001853C7"/>
    <w:rsid w:val="00192879"/>
    <w:rsid w:val="001944B8"/>
    <w:rsid w:val="00196DA3"/>
    <w:rsid w:val="001971E5"/>
    <w:rsid w:val="001974FD"/>
    <w:rsid w:val="001A0C0F"/>
    <w:rsid w:val="001A68E5"/>
    <w:rsid w:val="001B25BE"/>
    <w:rsid w:val="001B2A54"/>
    <w:rsid w:val="001B2BA4"/>
    <w:rsid w:val="001B5014"/>
    <w:rsid w:val="001B7327"/>
    <w:rsid w:val="001C1E34"/>
    <w:rsid w:val="001D22EA"/>
    <w:rsid w:val="001D503E"/>
    <w:rsid w:val="001D53B4"/>
    <w:rsid w:val="001E1835"/>
    <w:rsid w:val="001E6BA1"/>
    <w:rsid w:val="001F28D2"/>
    <w:rsid w:val="001F2F45"/>
    <w:rsid w:val="001F3023"/>
    <w:rsid w:val="001F35F6"/>
    <w:rsid w:val="001F4AAF"/>
    <w:rsid w:val="001F74CA"/>
    <w:rsid w:val="001F7590"/>
    <w:rsid w:val="002003B6"/>
    <w:rsid w:val="0020244A"/>
    <w:rsid w:val="002049B4"/>
    <w:rsid w:val="0020520B"/>
    <w:rsid w:val="002076AD"/>
    <w:rsid w:val="00213C55"/>
    <w:rsid w:val="0021401C"/>
    <w:rsid w:val="00216DA5"/>
    <w:rsid w:val="00223CF4"/>
    <w:rsid w:val="00224B69"/>
    <w:rsid w:val="00224C4A"/>
    <w:rsid w:val="00231187"/>
    <w:rsid w:val="002329EB"/>
    <w:rsid w:val="0023407E"/>
    <w:rsid w:val="00240B40"/>
    <w:rsid w:val="00244182"/>
    <w:rsid w:val="002544A1"/>
    <w:rsid w:val="00257ECE"/>
    <w:rsid w:val="00260382"/>
    <w:rsid w:val="00260B94"/>
    <w:rsid w:val="0026247F"/>
    <w:rsid w:val="00264F2E"/>
    <w:rsid w:val="00271245"/>
    <w:rsid w:val="00272B17"/>
    <w:rsid w:val="00273F66"/>
    <w:rsid w:val="00274A9E"/>
    <w:rsid w:val="00276BA1"/>
    <w:rsid w:val="00280984"/>
    <w:rsid w:val="002832CF"/>
    <w:rsid w:val="002835E3"/>
    <w:rsid w:val="00284542"/>
    <w:rsid w:val="002856FD"/>
    <w:rsid w:val="002A0EE7"/>
    <w:rsid w:val="002A14D1"/>
    <w:rsid w:val="002A1A1D"/>
    <w:rsid w:val="002A28AD"/>
    <w:rsid w:val="002B04FD"/>
    <w:rsid w:val="002B5318"/>
    <w:rsid w:val="002B6D27"/>
    <w:rsid w:val="002B7A09"/>
    <w:rsid w:val="002C00C4"/>
    <w:rsid w:val="002C060C"/>
    <w:rsid w:val="002C078A"/>
    <w:rsid w:val="002D05DD"/>
    <w:rsid w:val="002D0E4D"/>
    <w:rsid w:val="002D2965"/>
    <w:rsid w:val="002D3D02"/>
    <w:rsid w:val="002D4CB5"/>
    <w:rsid w:val="002D5900"/>
    <w:rsid w:val="002D684B"/>
    <w:rsid w:val="002E003E"/>
    <w:rsid w:val="002E2142"/>
    <w:rsid w:val="002E2D3A"/>
    <w:rsid w:val="002E3B26"/>
    <w:rsid w:val="002E4AB8"/>
    <w:rsid w:val="002E7FC4"/>
    <w:rsid w:val="00310070"/>
    <w:rsid w:val="0031081B"/>
    <w:rsid w:val="003110EC"/>
    <w:rsid w:val="00314289"/>
    <w:rsid w:val="003206A6"/>
    <w:rsid w:val="0032560D"/>
    <w:rsid w:val="00327C92"/>
    <w:rsid w:val="00333292"/>
    <w:rsid w:val="003344E7"/>
    <w:rsid w:val="0033580B"/>
    <w:rsid w:val="003365E7"/>
    <w:rsid w:val="003378D5"/>
    <w:rsid w:val="003473D7"/>
    <w:rsid w:val="00351AC8"/>
    <w:rsid w:val="00353075"/>
    <w:rsid w:val="00363E02"/>
    <w:rsid w:val="00363F8C"/>
    <w:rsid w:val="00370201"/>
    <w:rsid w:val="00373A37"/>
    <w:rsid w:val="00373A96"/>
    <w:rsid w:val="003826C2"/>
    <w:rsid w:val="00383728"/>
    <w:rsid w:val="00384E57"/>
    <w:rsid w:val="003903BB"/>
    <w:rsid w:val="0039195E"/>
    <w:rsid w:val="00392627"/>
    <w:rsid w:val="00394128"/>
    <w:rsid w:val="00394ADC"/>
    <w:rsid w:val="00395235"/>
    <w:rsid w:val="0039561A"/>
    <w:rsid w:val="00397C7D"/>
    <w:rsid w:val="003A004F"/>
    <w:rsid w:val="003A2158"/>
    <w:rsid w:val="003A3AC4"/>
    <w:rsid w:val="003A5521"/>
    <w:rsid w:val="003B25A5"/>
    <w:rsid w:val="003B4130"/>
    <w:rsid w:val="003B715B"/>
    <w:rsid w:val="003C2C62"/>
    <w:rsid w:val="003C5566"/>
    <w:rsid w:val="003C577A"/>
    <w:rsid w:val="003C7E43"/>
    <w:rsid w:val="003D1D14"/>
    <w:rsid w:val="003D6C7C"/>
    <w:rsid w:val="003D6EFB"/>
    <w:rsid w:val="003D7E52"/>
    <w:rsid w:val="003E10B9"/>
    <w:rsid w:val="003E259A"/>
    <w:rsid w:val="003E25C6"/>
    <w:rsid w:val="003E46E1"/>
    <w:rsid w:val="003F7528"/>
    <w:rsid w:val="004011AA"/>
    <w:rsid w:val="0040202C"/>
    <w:rsid w:val="00404A8F"/>
    <w:rsid w:val="00406508"/>
    <w:rsid w:val="004110F6"/>
    <w:rsid w:val="00412755"/>
    <w:rsid w:val="0041456E"/>
    <w:rsid w:val="004148E3"/>
    <w:rsid w:val="00414F7E"/>
    <w:rsid w:val="004164F8"/>
    <w:rsid w:val="00421164"/>
    <w:rsid w:val="00426F05"/>
    <w:rsid w:val="004328E1"/>
    <w:rsid w:val="004427B7"/>
    <w:rsid w:val="0044349F"/>
    <w:rsid w:val="00443AB7"/>
    <w:rsid w:val="0044541D"/>
    <w:rsid w:val="00445F1F"/>
    <w:rsid w:val="00447862"/>
    <w:rsid w:val="00451F60"/>
    <w:rsid w:val="00452BB2"/>
    <w:rsid w:val="00456054"/>
    <w:rsid w:val="0045656D"/>
    <w:rsid w:val="00462D98"/>
    <w:rsid w:val="00463E7D"/>
    <w:rsid w:val="00472498"/>
    <w:rsid w:val="00472A44"/>
    <w:rsid w:val="00473A89"/>
    <w:rsid w:val="00475899"/>
    <w:rsid w:val="00482C78"/>
    <w:rsid w:val="00483ABC"/>
    <w:rsid w:val="0048634A"/>
    <w:rsid w:val="004874AE"/>
    <w:rsid w:val="0049056F"/>
    <w:rsid w:val="0049106C"/>
    <w:rsid w:val="004916E7"/>
    <w:rsid w:val="00491FF7"/>
    <w:rsid w:val="00492217"/>
    <w:rsid w:val="00494D24"/>
    <w:rsid w:val="004951D1"/>
    <w:rsid w:val="004960BB"/>
    <w:rsid w:val="004A1BA3"/>
    <w:rsid w:val="004A27D0"/>
    <w:rsid w:val="004A4D67"/>
    <w:rsid w:val="004B7E79"/>
    <w:rsid w:val="004C13CB"/>
    <w:rsid w:val="004C5B90"/>
    <w:rsid w:val="004D37D7"/>
    <w:rsid w:val="004D3D4B"/>
    <w:rsid w:val="004D4557"/>
    <w:rsid w:val="004D5498"/>
    <w:rsid w:val="004D66A5"/>
    <w:rsid w:val="004D6B00"/>
    <w:rsid w:val="004E1D50"/>
    <w:rsid w:val="004E3266"/>
    <w:rsid w:val="004E38BA"/>
    <w:rsid w:val="004E3EB6"/>
    <w:rsid w:val="004E50CA"/>
    <w:rsid w:val="004F27A0"/>
    <w:rsid w:val="0050027D"/>
    <w:rsid w:val="00501382"/>
    <w:rsid w:val="00502831"/>
    <w:rsid w:val="005048FB"/>
    <w:rsid w:val="00510798"/>
    <w:rsid w:val="005119B5"/>
    <w:rsid w:val="005125F1"/>
    <w:rsid w:val="005150CC"/>
    <w:rsid w:val="00524A11"/>
    <w:rsid w:val="00527768"/>
    <w:rsid w:val="00530EA4"/>
    <w:rsid w:val="005327FB"/>
    <w:rsid w:val="00533251"/>
    <w:rsid w:val="00533FCA"/>
    <w:rsid w:val="005346EF"/>
    <w:rsid w:val="005369F1"/>
    <w:rsid w:val="005470D4"/>
    <w:rsid w:val="0055705E"/>
    <w:rsid w:val="005616B5"/>
    <w:rsid w:val="00566690"/>
    <w:rsid w:val="005679A4"/>
    <w:rsid w:val="00574CE6"/>
    <w:rsid w:val="0059223D"/>
    <w:rsid w:val="0059365B"/>
    <w:rsid w:val="00593ABC"/>
    <w:rsid w:val="00597B15"/>
    <w:rsid w:val="005A044C"/>
    <w:rsid w:val="005A149F"/>
    <w:rsid w:val="005A3A32"/>
    <w:rsid w:val="005B2C9F"/>
    <w:rsid w:val="005B34C9"/>
    <w:rsid w:val="005B3C39"/>
    <w:rsid w:val="005B7D08"/>
    <w:rsid w:val="005C1D52"/>
    <w:rsid w:val="005D0200"/>
    <w:rsid w:val="005D44EF"/>
    <w:rsid w:val="005D5112"/>
    <w:rsid w:val="005D5D67"/>
    <w:rsid w:val="005F34CC"/>
    <w:rsid w:val="005F3914"/>
    <w:rsid w:val="005F3B5A"/>
    <w:rsid w:val="005F6AB4"/>
    <w:rsid w:val="00604549"/>
    <w:rsid w:val="0060572E"/>
    <w:rsid w:val="00606EBA"/>
    <w:rsid w:val="00607471"/>
    <w:rsid w:val="00610A66"/>
    <w:rsid w:val="006119B8"/>
    <w:rsid w:val="00613177"/>
    <w:rsid w:val="00613F7C"/>
    <w:rsid w:val="00614BF2"/>
    <w:rsid w:val="0061557C"/>
    <w:rsid w:val="00623DE2"/>
    <w:rsid w:val="00627601"/>
    <w:rsid w:val="006300D0"/>
    <w:rsid w:val="00632012"/>
    <w:rsid w:val="00634694"/>
    <w:rsid w:val="00634D55"/>
    <w:rsid w:val="00636517"/>
    <w:rsid w:val="00636EE7"/>
    <w:rsid w:val="00637690"/>
    <w:rsid w:val="00637ED5"/>
    <w:rsid w:val="00640E1E"/>
    <w:rsid w:val="00641BA3"/>
    <w:rsid w:val="0064389A"/>
    <w:rsid w:val="00645442"/>
    <w:rsid w:val="006525CD"/>
    <w:rsid w:val="00653F7F"/>
    <w:rsid w:val="006572DE"/>
    <w:rsid w:val="00662DCD"/>
    <w:rsid w:val="00662EE8"/>
    <w:rsid w:val="00663813"/>
    <w:rsid w:val="00664AFD"/>
    <w:rsid w:val="006665DC"/>
    <w:rsid w:val="00667567"/>
    <w:rsid w:val="0067391A"/>
    <w:rsid w:val="00674173"/>
    <w:rsid w:val="0067534F"/>
    <w:rsid w:val="00676A33"/>
    <w:rsid w:val="0067717E"/>
    <w:rsid w:val="00677D87"/>
    <w:rsid w:val="00690DB1"/>
    <w:rsid w:val="00693404"/>
    <w:rsid w:val="006953D9"/>
    <w:rsid w:val="006A1269"/>
    <w:rsid w:val="006A5803"/>
    <w:rsid w:val="006A65F3"/>
    <w:rsid w:val="006A69C3"/>
    <w:rsid w:val="006A7C15"/>
    <w:rsid w:val="006B1242"/>
    <w:rsid w:val="006B1DBC"/>
    <w:rsid w:val="006B1F84"/>
    <w:rsid w:val="006B3712"/>
    <w:rsid w:val="006B7D9A"/>
    <w:rsid w:val="006C06D9"/>
    <w:rsid w:val="006C3E22"/>
    <w:rsid w:val="006C5716"/>
    <w:rsid w:val="006C64B2"/>
    <w:rsid w:val="006C74A9"/>
    <w:rsid w:val="006D07DE"/>
    <w:rsid w:val="006D361A"/>
    <w:rsid w:val="006D4550"/>
    <w:rsid w:val="006D5B6D"/>
    <w:rsid w:val="006D6A81"/>
    <w:rsid w:val="006D7213"/>
    <w:rsid w:val="006E06D9"/>
    <w:rsid w:val="006E1D40"/>
    <w:rsid w:val="006E2E1F"/>
    <w:rsid w:val="006E5059"/>
    <w:rsid w:val="006F4C5B"/>
    <w:rsid w:val="006F5F03"/>
    <w:rsid w:val="006F5FFF"/>
    <w:rsid w:val="006F7F4C"/>
    <w:rsid w:val="00701431"/>
    <w:rsid w:val="00710804"/>
    <w:rsid w:val="00711FC6"/>
    <w:rsid w:val="00712952"/>
    <w:rsid w:val="007130B1"/>
    <w:rsid w:val="00713487"/>
    <w:rsid w:val="00715071"/>
    <w:rsid w:val="007231E9"/>
    <w:rsid w:val="00723731"/>
    <w:rsid w:val="00724F0E"/>
    <w:rsid w:val="007270A6"/>
    <w:rsid w:val="00727C59"/>
    <w:rsid w:val="007328C6"/>
    <w:rsid w:val="00733730"/>
    <w:rsid w:val="00734E5D"/>
    <w:rsid w:val="0073514E"/>
    <w:rsid w:val="00736013"/>
    <w:rsid w:val="00737BF8"/>
    <w:rsid w:val="0074339B"/>
    <w:rsid w:val="00750B60"/>
    <w:rsid w:val="00756245"/>
    <w:rsid w:val="00761662"/>
    <w:rsid w:val="00764043"/>
    <w:rsid w:val="00766A36"/>
    <w:rsid w:val="007757CF"/>
    <w:rsid w:val="007769F6"/>
    <w:rsid w:val="00780F9D"/>
    <w:rsid w:val="0078128F"/>
    <w:rsid w:val="007819D9"/>
    <w:rsid w:val="0078642F"/>
    <w:rsid w:val="0078683C"/>
    <w:rsid w:val="00790EDB"/>
    <w:rsid w:val="00791538"/>
    <w:rsid w:val="0079326E"/>
    <w:rsid w:val="00796E1C"/>
    <w:rsid w:val="00796EDE"/>
    <w:rsid w:val="007A5A58"/>
    <w:rsid w:val="007B1C56"/>
    <w:rsid w:val="007B29AB"/>
    <w:rsid w:val="007C1DD7"/>
    <w:rsid w:val="007C35D3"/>
    <w:rsid w:val="007C3CD5"/>
    <w:rsid w:val="007C4756"/>
    <w:rsid w:val="007C5E88"/>
    <w:rsid w:val="007C61EF"/>
    <w:rsid w:val="007D03DE"/>
    <w:rsid w:val="007D1C0D"/>
    <w:rsid w:val="007D2D23"/>
    <w:rsid w:val="007D6A53"/>
    <w:rsid w:val="007E27D6"/>
    <w:rsid w:val="007E2B06"/>
    <w:rsid w:val="007E3921"/>
    <w:rsid w:val="00801028"/>
    <w:rsid w:val="00803793"/>
    <w:rsid w:val="00804000"/>
    <w:rsid w:val="00805254"/>
    <w:rsid w:val="008101A2"/>
    <w:rsid w:val="00817A01"/>
    <w:rsid w:val="00820937"/>
    <w:rsid w:val="00825E35"/>
    <w:rsid w:val="00830A4E"/>
    <w:rsid w:val="008334F8"/>
    <w:rsid w:val="00834249"/>
    <w:rsid w:val="00835FFD"/>
    <w:rsid w:val="0084381F"/>
    <w:rsid w:val="00843E35"/>
    <w:rsid w:val="008455A8"/>
    <w:rsid w:val="00845F72"/>
    <w:rsid w:val="0084791E"/>
    <w:rsid w:val="00850A91"/>
    <w:rsid w:val="008524CE"/>
    <w:rsid w:val="00857633"/>
    <w:rsid w:val="00862EAF"/>
    <w:rsid w:val="00863491"/>
    <w:rsid w:val="0086440C"/>
    <w:rsid w:val="008674ED"/>
    <w:rsid w:val="00874EE6"/>
    <w:rsid w:val="00876659"/>
    <w:rsid w:val="0087734C"/>
    <w:rsid w:val="00882141"/>
    <w:rsid w:val="00886BD4"/>
    <w:rsid w:val="00886CA2"/>
    <w:rsid w:val="008876EC"/>
    <w:rsid w:val="008922A8"/>
    <w:rsid w:val="00895BD5"/>
    <w:rsid w:val="008A16C4"/>
    <w:rsid w:val="008A4A27"/>
    <w:rsid w:val="008A649F"/>
    <w:rsid w:val="008A6FED"/>
    <w:rsid w:val="008B0945"/>
    <w:rsid w:val="008B39C5"/>
    <w:rsid w:val="008B51AA"/>
    <w:rsid w:val="008C67F2"/>
    <w:rsid w:val="008C7E63"/>
    <w:rsid w:val="008D064A"/>
    <w:rsid w:val="008D2537"/>
    <w:rsid w:val="008D2B0F"/>
    <w:rsid w:val="008D633C"/>
    <w:rsid w:val="008D76DA"/>
    <w:rsid w:val="008D7DB2"/>
    <w:rsid w:val="008E449E"/>
    <w:rsid w:val="008E4BDD"/>
    <w:rsid w:val="008E770C"/>
    <w:rsid w:val="008F00F4"/>
    <w:rsid w:val="008F187F"/>
    <w:rsid w:val="008F402F"/>
    <w:rsid w:val="008F76E8"/>
    <w:rsid w:val="00904508"/>
    <w:rsid w:val="009078A1"/>
    <w:rsid w:val="00911E9C"/>
    <w:rsid w:val="0091345E"/>
    <w:rsid w:val="00917405"/>
    <w:rsid w:val="00920F7C"/>
    <w:rsid w:val="00922718"/>
    <w:rsid w:val="00924743"/>
    <w:rsid w:val="00932A87"/>
    <w:rsid w:val="00932F92"/>
    <w:rsid w:val="00934CAE"/>
    <w:rsid w:val="0093560E"/>
    <w:rsid w:val="0094257D"/>
    <w:rsid w:val="009443B6"/>
    <w:rsid w:val="00946F68"/>
    <w:rsid w:val="0095467C"/>
    <w:rsid w:val="00954A61"/>
    <w:rsid w:val="00955C6F"/>
    <w:rsid w:val="00956789"/>
    <w:rsid w:val="00966C7B"/>
    <w:rsid w:val="009679A2"/>
    <w:rsid w:val="009701DC"/>
    <w:rsid w:val="009715D8"/>
    <w:rsid w:val="009811A8"/>
    <w:rsid w:val="00985C4F"/>
    <w:rsid w:val="00986E3C"/>
    <w:rsid w:val="00991460"/>
    <w:rsid w:val="009932CF"/>
    <w:rsid w:val="009941BF"/>
    <w:rsid w:val="00995BF9"/>
    <w:rsid w:val="009975CC"/>
    <w:rsid w:val="009A0CAF"/>
    <w:rsid w:val="009A2207"/>
    <w:rsid w:val="009B0EDA"/>
    <w:rsid w:val="009B6C42"/>
    <w:rsid w:val="009C3F38"/>
    <w:rsid w:val="009D2998"/>
    <w:rsid w:val="009D31F7"/>
    <w:rsid w:val="009D32C2"/>
    <w:rsid w:val="009D50DB"/>
    <w:rsid w:val="009E2932"/>
    <w:rsid w:val="009E2DFA"/>
    <w:rsid w:val="009E3A0A"/>
    <w:rsid w:val="009F1936"/>
    <w:rsid w:val="009F3E91"/>
    <w:rsid w:val="009F4E0E"/>
    <w:rsid w:val="00A008DA"/>
    <w:rsid w:val="00A00C93"/>
    <w:rsid w:val="00A0571E"/>
    <w:rsid w:val="00A1397D"/>
    <w:rsid w:val="00A13A27"/>
    <w:rsid w:val="00A1499B"/>
    <w:rsid w:val="00A170D8"/>
    <w:rsid w:val="00A26BC5"/>
    <w:rsid w:val="00A27D73"/>
    <w:rsid w:val="00A30A1B"/>
    <w:rsid w:val="00A314C2"/>
    <w:rsid w:val="00A40B71"/>
    <w:rsid w:val="00A501BF"/>
    <w:rsid w:val="00A519A0"/>
    <w:rsid w:val="00A6249F"/>
    <w:rsid w:val="00A62A2E"/>
    <w:rsid w:val="00A63E86"/>
    <w:rsid w:val="00A75185"/>
    <w:rsid w:val="00A754A0"/>
    <w:rsid w:val="00A757C3"/>
    <w:rsid w:val="00A75E5B"/>
    <w:rsid w:val="00A75F4B"/>
    <w:rsid w:val="00A7684A"/>
    <w:rsid w:val="00A77B8B"/>
    <w:rsid w:val="00A80C58"/>
    <w:rsid w:val="00A83B69"/>
    <w:rsid w:val="00A86533"/>
    <w:rsid w:val="00A91CA2"/>
    <w:rsid w:val="00A9220A"/>
    <w:rsid w:val="00A92FB8"/>
    <w:rsid w:val="00A948F1"/>
    <w:rsid w:val="00AA0BE3"/>
    <w:rsid w:val="00AA18F9"/>
    <w:rsid w:val="00AA1D7D"/>
    <w:rsid w:val="00AA2790"/>
    <w:rsid w:val="00AA3806"/>
    <w:rsid w:val="00AB139D"/>
    <w:rsid w:val="00AB2A35"/>
    <w:rsid w:val="00AB2D05"/>
    <w:rsid w:val="00AB348D"/>
    <w:rsid w:val="00AB3EFB"/>
    <w:rsid w:val="00AC0B05"/>
    <w:rsid w:val="00AC1962"/>
    <w:rsid w:val="00AC7F9D"/>
    <w:rsid w:val="00AD079A"/>
    <w:rsid w:val="00AD1890"/>
    <w:rsid w:val="00AD6588"/>
    <w:rsid w:val="00AD7CCB"/>
    <w:rsid w:val="00AE2149"/>
    <w:rsid w:val="00AE2BF3"/>
    <w:rsid w:val="00AE33AE"/>
    <w:rsid w:val="00AE3F91"/>
    <w:rsid w:val="00AF5B63"/>
    <w:rsid w:val="00B0053D"/>
    <w:rsid w:val="00B039E3"/>
    <w:rsid w:val="00B06D36"/>
    <w:rsid w:val="00B12BC4"/>
    <w:rsid w:val="00B22838"/>
    <w:rsid w:val="00B30C9B"/>
    <w:rsid w:val="00B33E8F"/>
    <w:rsid w:val="00B33E95"/>
    <w:rsid w:val="00B3720B"/>
    <w:rsid w:val="00B372DF"/>
    <w:rsid w:val="00B420C8"/>
    <w:rsid w:val="00B45D0B"/>
    <w:rsid w:val="00B5558A"/>
    <w:rsid w:val="00B56513"/>
    <w:rsid w:val="00B5736B"/>
    <w:rsid w:val="00B576F1"/>
    <w:rsid w:val="00B6167E"/>
    <w:rsid w:val="00B61B64"/>
    <w:rsid w:val="00B64376"/>
    <w:rsid w:val="00B6570C"/>
    <w:rsid w:val="00B7401F"/>
    <w:rsid w:val="00B748E5"/>
    <w:rsid w:val="00B769CF"/>
    <w:rsid w:val="00B806C3"/>
    <w:rsid w:val="00B80D6F"/>
    <w:rsid w:val="00B84FCA"/>
    <w:rsid w:val="00B9089F"/>
    <w:rsid w:val="00B9127B"/>
    <w:rsid w:val="00B91826"/>
    <w:rsid w:val="00B91AEE"/>
    <w:rsid w:val="00B93568"/>
    <w:rsid w:val="00B95F5A"/>
    <w:rsid w:val="00B96EAD"/>
    <w:rsid w:val="00BA4B7C"/>
    <w:rsid w:val="00BA79F5"/>
    <w:rsid w:val="00BA7EA7"/>
    <w:rsid w:val="00BB30B2"/>
    <w:rsid w:val="00BB3AB6"/>
    <w:rsid w:val="00BB766D"/>
    <w:rsid w:val="00BC007B"/>
    <w:rsid w:val="00BC26BA"/>
    <w:rsid w:val="00BC35F8"/>
    <w:rsid w:val="00BC403F"/>
    <w:rsid w:val="00BC481B"/>
    <w:rsid w:val="00BD08DF"/>
    <w:rsid w:val="00BD2D29"/>
    <w:rsid w:val="00BD617C"/>
    <w:rsid w:val="00BE5974"/>
    <w:rsid w:val="00BE746B"/>
    <w:rsid w:val="00BE782C"/>
    <w:rsid w:val="00BF17B4"/>
    <w:rsid w:val="00BF376F"/>
    <w:rsid w:val="00BF426A"/>
    <w:rsid w:val="00BF46A6"/>
    <w:rsid w:val="00BF572F"/>
    <w:rsid w:val="00BF6CAD"/>
    <w:rsid w:val="00BF71FB"/>
    <w:rsid w:val="00C04DBF"/>
    <w:rsid w:val="00C05C07"/>
    <w:rsid w:val="00C05E4C"/>
    <w:rsid w:val="00C06545"/>
    <w:rsid w:val="00C11D8C"/>
    <w:rsid w:val="00C134AF"/>
    <w:rsid w:val="00C13A88"/>
    <w:rsid w:val="00C220FC"/>
    <w:rsid w:val="00C24DFA"/>
    <w:rsid w:val="00C24F9D"/>
    <w:rsid w:val="00C2521C"/>
    <w:rsid w:val="00C30182"/>
    <w:rsid w:val="00C31FC9"/>
    <w:rsid w:val="00C37581"/>
    <w:rsid w:val="00C37A63"/>
    <w:rsid w:val="00C42248"/>
    <w:rsid w:val="00C46A36"/>
    <w:rsid w:val="00C47037"/>
    <w:rsid w:val="00C509E3"/>
    <w:rsid w:val="00C53625"/>
    <w:rsid w:val="00C548BA"/>
    <w:rsid w:val="00C5679D"/>
    <w:rsid w:val="00C57784"/>
    <w:rsid w:val="00C602C1"/>
    <w:rsid w:val="00C63FC0"/>
    <w:rsid w:val="00C66392"/>
    <w:rsid w:val="00C71B9E"/>
    <w:rsid w:val="00C73D09"/>
    <w:rsid w:val="00C74C5E"/>
    <w:rsid w:val="00C768B0"/>
    <w:rsid w:val="00C82558"/>
    <w:rsid w:val="00C827A2"/>
    <w:rsid w:val="00C82965"/>
    <w:rsid w:val="00C82B69"/>
    <w:rsid w:val="00C82C8E"/>
    <w:rsid w:val="00C82CB3"/>
    <w:rsid w:val="00C91B28"/>
    <w:rsid w:val="00C91F3A"/>
    <w:rsid w:val="00C92E1A"/>
    <w:rsid w:val="00C93590"/>
    <w:rsid w:val="00CA4C7F"/>
    <w:rsid w:val="00CA5446"/>
    <w:rsid w:val="00CB123D"/>
    <w:rsid w:val="00CB14E5"/>
    <w:rsid w:val="00CB218D"/>
    <w:rsid w:val="00CB377B"/>
    <w:rsid w:val="00CB5625"/>
    <w:rsid w:val="00CB5797"/>
    <w:rsid w:val="00CC1400"/>
    <w:rsid w:val="00CC1C17"/>
    <w:rsid w:val="00CC4F7F"/>
    <w:rsid w:val="00CD09E1"/>
    <w:rsid w:val="00CE1780"/>
    <w:rsid w:val="00CE4913"/>
    <w:rsid w:val="00CE66BD"/>
    <w:rsid w:val="00CF0671"/>
    <w:rsid w:val="00CF247A"/>
    <w:rsid w:val="00CF44AD"/>
    <w:rsid w:val="00CF4D7C"/>
    <w:rsid w:val="00CF4FC0"/>
    <w:rsid w:val="00CF7486"/>
    <w:rsid w:val="00D1072F"/>
    <w:rsid w:val="00D108A5"/>
    <w:rsid w:val="00D12CF8"/>
    <w:rsid w:val="00D14585"/>
    <w:rsid w:val="00D153C8"/>
    <w:rsid w:val="00D169F2"/>
    <w:rsid w:val="00D20EFF"/>
    <w:rsid w:val="00D236BB"/>
    <w:rsid w:val="00D3019D"/>
    <w:rsid w:val="00D31324"/>
    <w:rsid w:val="00D4386E"/>
    <w:rsid w:val="00D51432"/>
    <w:rsid w:val="00D53ED8"/>
    <w:rsid w:val="00D541A0"/>
    <w:rsid w:val="00D54BB8"/>
    <w:rsid w:val="00D5697F"/>
    <w:rsid w:val="00D64857"/>
    <w:rsid w:val="00D6493A"/>
    <w:rsid w:val="00D649A5"/>
    <w:rsid w:val="00D660EA"/>
    <w:rsid w:val="00D66833"/>
    <w:rsid w:val="00D67875"/>
    <w:rsid w:val="00D71E86"/>
    <w:rsid w:val="00D72F0F"/>
    <w:rsid w:val="00D731C6"/>
    <w:rsid w:val="00D745C5"/>
    <w:rsid w:val="00D75327"/>
    <w:rsid w:val="00D77D6B"/>
    <w:rsid w:val="00D801FE"/>
    <w:rsid w:val="00D80C36"/>
    <w:rsid w:val="00D81A32"/>
    <w:rsid w:val="00D86EE1"/>
    <w:rsid w:val="00D90F82"/>
    <w:rsid w:val="00D945DC"/>
    <w:rsid w:val="00D95E90"/>
    <w:rsid w:val="00D96126"/>
    <w:rsid w:val="00DA2FD5"/>
    <w:rsid w:val="00DB0C86"/>
    <w:rsid w:val="00DB4B1C"/>
    <w:rsid w:val="00DB5085"/>
    <w:rsid w:val="00DB619F"/>
    <w:rsid w:val="00DB7211"/>
    <w:rsid w:val="00DC1062"/>
    <w:rsid w:val="00DC132C"/>
    <w:rsid w:val="00DC181A"/>
    <w:rsid w:val="00DC5727"/>
    <w:rsid w:val="00DD149F"/>
    <w:rsid w:val="00DD43F0"/>
    <w:rsid w:val="00DD44DE"/>
    <w:rsid w:val="00DE09AB"/>
    <w:rsid w:val="00DE352F"/>
    <w:rsid w:val="00DE4A3F"/>
    <w:rsid w:val="00DE5A99"/>
    <w:rsid w:val="00DF4367"/>
    <w:rsid w:val="00DF7291"/>
    <w:rsid w:val="00E03FF0"/>
    <w:rsid w:val="00E0574A"/>
    <w:rsid w:val="00E1243D"/>
    <w:rsid w:val="00E12742"/>
    <w:rsid w:val="00E146D4"/>
    <w:rsid w:val="00E14815"/>
    <w:rsid w:val="00E21D37"/>
    <w:rsid w:val="00E220ED"/>
    <w:rsid w:val="00E22B44"/>
    <w:rsid w:val="00E233AD"/>
    <w:rsid w:val="00E2457D"/>
    <w:rsid w:val="00E26EB1"/>
    <w:rsid w:val="00E30ACD"/>
    <w:rsid w:val="00E32735"/>
    <w:rsid w:val="00E34236"/>
    <w:rsid w:val="00E44B88"/>
    <w:rsid w:val="00E50BFA"/>
    <w:rsid w:val="00E66E36"/>
    <w:rsid w:val="00E702ED"/>
    <w:rsid w:val="00E709A4"/>
    <w:rsid w:val="00E71D4A"/>
    <w:rsid w:val="00E75917"/>
    <w:rsid w:val="00E772DB"/>
    <w:rsid w:val="00E86012"/>
    <w:rsid w:val="00E860CA"/>
    <w:rsid w:val="00E86BAB"/>
    <w:rsid w:val="00E92962"/>
    <w:rsid w:val="00E94E10"/>
    <w:rsid w:val="00E96743"/>
    <w:rsid w:val="00E96A42"/>
    <w:rsid w:val="00E97497"/>
    <w:rsid w:val="00EA046F"/>
    <w:rsid w:val="00EA49C5"/>
    <w:rsid w:val="00EA6279"/>
    <w:rsid w:val="00EB402C"/>
    <w:rsid w:val="00EB5027"/>
    <w:rsid w:val="00EC1836"/>
    <w:rsid w:val="00EC3990"/>
    <w:rsid w:val="00EC484B"/>
    <w:rsid w:val="00EC7E58"/>
    <w:rsid w:val="00ED15FA"/>
    <w:rsid w:val="00ED4BB4"/>
    <w:rsid w:val="00ED5C9F"/>
    <w:rsid w:val="00EE050C"/>
    <w:rsid w:val="00EE2113"/>
    <w:rsid w:val="00EE34D0"/>
    <w:rsid w:val="00EE5730"/>
    <w:rsid w:val="00EE6E9A"/>
    <w:rsid w:val="00EF2AC4"/>
    <w:rsid w:val="00EF397E"/>
    <w:rsid w:val="00F0340C"/>
    <w:rsid w:val="00F04CED"/>
    <w:rsid w:val="00F06F68"/>
    <w:rsid w:val="00F11241"/>
    <w:rsid w:val="00F11D35"/>
    <w:rsid w:val="00F15E9D"/>
    <w:rsid w:val="00F23FA7"/>
    <w:rsid w:val="00F24C2D"/>
    <w:rsid w:val="00F272C4"/>
    <w:rsid w:val="00F27D59"/>
    <w:rsid w:val="00F316E1"/>
    <w:rsid w:val="00F31BE4"/>
    <w:rsid w:val="00F32155"/>
    <w:rsid w:val="00F32A81"/>
    <w:rsid w:val="00F40C82"/>
    <w:rsid w:val="00F4197F"/>
    <w:rsid w:val="00F41F2C"/>
    <w:rsid w:val="00F438EE"/>
    <w:rsid w:val="00F44F2A"/>
    <w:rsid w:val="00F45367"/>
    <w:rsid w:val="00F46998"/>
    <w:rsid w:val="00F5093F"/>
    <w:rsid w:val="00F5382D"/>
    <w:rsid w:val="00F53D9C"/>
    <w:rsid w:val="00F5462B"/>
    <w:rsid w:val="00F54653"/>
    <w:rsid w:val="00F569DE"/>
    <w:rsid w:val="00F57205"/>
    <w:rsid w:val="00F634AD"/>
    <w:rsid w:val="00F63677"/>
    <w:rsid w:val="00F659DA"/>
    <w:rsid w:val="00F671CE"/>
    <w:rsid w:val="00F674DA"/>
    <w:rsid w:val="00F70658"/>
    <w:rsid w:val="00F74B50"/>
    <w:rsid w:val="00F75B81"/>
    <w:rsid w:val="00F761CA"/>
    <w:rsid w:val="00F804C4"/>
    <w:rsid w:val="00F80C7E"/>
    <w:rsid w:val="00F82F83"/>
    <w:rsid w:val="00F90C64"/>
    <w:rsid w:val="00F9210C"/>
    <w:rsid w:val="00F92B30"/>
    <w:rsid w:val="00F933B9"/>
    <w:rsid w:val="00F94674"/>
    <w:rsid w:val="00F94919"/>
    <w:rsid w:val="00F94A59"/>
    <w:rsid w:val="00FA25B6"/>
    <w:rsid w:val="00FA2FAF"/>
    <w:rsid w:val="00FA54F6"/>
    <w:rsid w:val="00FA64B1"/>
    <w:rsid w:val="00FA70F3"/>
    <w:rsid w:val="00FA71CD"/>
    <w:rsid w:val="00FB0453"/>
    <w:rsid w:val="00FB0C07"/>
    <w:rsid w:val="00FB298D"/>
    <w:rsid w:val="00FB3171"/>
    <w:rsid w:val="00FB444E"/>
    <w:rsid w:val="00FB5DC9"/>
    <w:rsid w:val="00FC1439"/>
    <w:rsid w:val="00FC3F65"/>
    <w:rsid w:val="00FC5007"/>
    <w:rsid w:val="00FC724B"/>
    <w:rsid w:val="00FC7910"/>
    <w:rsid w:val="00FD01E0"/>
    <w:rsid w:val="00FD50FC"/>
    <w:rsid w:val="00FE1627"/>
    <w:rsid w:val="00FE2D4E"/>
    <w:rsid w:val="00FE4C3C"/>
    <w:rsid w:val="00FF092F"/>
    <w:rsid w:val="00FF0DA7"/>
    <w:rsid w:val="00FF2DF6"/>
    <w:rsid w:val="00FF44E0"/>
    <w:rsid w:val="00FF6C72"/>
    <w:rsid w:val="015659DA"/>
    <w:rsid w:val="02486573"/>
    <w:rsid w:val="02CB7F49"/>
    <w:rsid w:val="035F40DD"/>
    <w:rsid w:val="03EF075E"/>
    <w:rsid w:val="040E548E"/>
    <w:rsid w:val="04643CEC"/>
    <w:rsid w:val="057535C8"/>
    <w:rsid w:val="058B39C0"/>
    <w:rsid w:val="059565ED"/>
    <w:rsid w:val="05AC0D47"/>
    <w:rsid w:val="062C3E14"/>
    <w:rsid w:val="069C5B81"/>
    <w:rsid w:val="06CE52A8"/>
    <w:rsid w:val="0726460B"/>
    <w:rsid w:val="07306BE6"/>
    <w:rsid w:val="073B3E0F"/>
    <w:rsid w:val="074D717F"/>
    <w:rsid w:val="07C16525"/>
    <w:rsid w:val="09652EA6"/>
    <w:rsid w:val="0A6D6A59"/>
    <w:rsid w:val="0AD835BA"/>
    <w:rsid w:val="0AF87D87"/>
    <w:rsid w:val="0B6D7C36"/>
    <w:rsid w:val="0B723658"/>
    <w:rsid w:val="0BD115F6"/>
    <w:rsid w:val="0BD718A0"/>
    <w:rsid w:val="0BE33FF4"/>
    <w:rsid w:val="0C6852C9"/>
    <w:rsid w:val="0C8F3D96"/>
    <w:rsid w:val="0C913FA4"/>
    <w:rsid w:val="0CEC743A"/>
    <w:rsid w:val="0D844972"/>
    <w:rsid w:val="0D992BFA"/>
    <w:rsid w:val="0E545297"/>
    <w:rsid w:val="0F960BD1"/>
    <w:rsid w:val="0FEC01B6"/>
    <w:rsid w:val="102C27E7"/>
    <w:rsid w:val="103D2038"/>
    <w:rsid w:val="1055163A"/>
    <w:rsid w:val="1056270F"/>
    <w:rsid w:val="10C5247C"/>
    <w:rsid w:val="11102465"/>
    <w:rsid w:val="11956312"/>
    <w:rsid w:val="12067E67"/>
    <w:rsid w:val="12FC1310"/>
    <w:rsid w:val="14257B28"/>
    <w:rsid w:val="14442136"/>
    <w:rsid w:val="14A95C11"/>
    <w:rsid w:val="155E4C4D"/>
    <w:rsid w:val="162419F3"/>
    <w:rsid w:val="16AB2114"/>
    <w:rsid w:val="172C6BAA"/>
    <w:rsid w:val="17750F09"/>
    <w:rsid w:val="1784011D"/>
    <w:rsid w:val="17EC4792"/>
    <w:rsid w:val="189866C8"/>
    <w:rsid w:val="18F5648F"/>
    <w:rsid w:val="19E155F7"/>
    <w:rsid w:val="19F33BB6"/>
    <w:rsid w:val="1A187C36"/>
    <w:rsid w:val="1A3B4F13"/>
    <w:rsid w:val="1C753DEE"/>
    <w:rsid w:val="1D306ECF"/>
    <w:rsid w:val="1D81260B"/>
    <w:rsid w:val="1DE52AD1"/>
    <w:rsid w:val="1E711203"/>
    <w:rsid w:val="1F3276F4"/>
    <w:rsid w:val="1FEE0D9C"/>
    <w:rsid w:val="20C11F53"/>
    <w:rsid w:val="21797FE0"/>
    <w:rsid w:val="21AF0D0A"/>
    <w:rsid w:val="234C3DF7"/>
    <w:rsid w:val="23907598"/>
    <w:rsid w:val="23E06A22"/>
    <w:rsid w:val="241646BB"/>
    <w:rsid w:val="242C3F8C"/>
    <w:rsid w:val="2449262D"/>
    <w:rsid w:val="24673AC7"/>
    <w:rsid w:val="246F40D7"/>
    <w:rsid w:val="24774A18"/>
    <w:rsid w:val="24A06DFA"/>
    <w:rsid w:val="24B77ED6"/>
    <w:rsid w:val="2506185B"/>
    <w:rsid w:val="25761B3F"/>
    <w:rsid w:val="25B10902"/>
    <w:rsid w:val="267D63A6"/>
    <w:rsid w:val="26A61FB0"/>
    <w:rsid w:val="26D97A21"/>
    <w:rsid w:val="278301EA"/>
    <w:rsid w:val="278A787E"/>
    <w:rsid w:val="27AA76B5"/>
    <w:rsid w:val="27E85AF1"/>
    <w:rsid w:val="28090FC9"/>
    <w:rsid w:val="28BE1833"/>
    <w:rsid w:val="2920604A"/>
    <w:rsid w:val="296333CC"/>
    <w:rsid w:val="297406FE"/>
    <w:rsid w:val="29B368CB"/>
    <w:rsid w:val="2AC60E73"/>
    <w:rsid w:val="2B806CA3"/>
    <w:rsid w:val="2B9B0870"/>
    <w:rsid w:val="2BED6E09"/>
    <w:rsid w:val="2D1633EB"/>
    <w:rsid w:val="2DF16206"/>
    <w:rsid w:val="2DFA27F2"/>
    <w:rsid w:val="2E3D3BD6"/>
    <w:rsid w:val="2E76495E"/>
    <w:rsid w:val="2F5C6564"/>
    <w:rsid w:val="302E5052"/>
    <w:rsid w:val="30522E72"/>
    <w:rsid w:val="31007675"/>
    <w:rsid w:val="324C2C90"/>
    <w:rsid w:val="32D94B0D"/>
    <w:rsid w:val="3321791E"/>
    <w:rsid w:val="334A3B6B"/>
    <w:rsid w:val="344C063B"/>
    <w:rsid w:val="34930017"/>
    <w:rsid w:val="350E7D08"/>
    <w:rsid w:val="3528253D"/>
    <w:rsid w:val="361D268E"/>
    <w:rsid w:val="3659703F"/>
    <w:rsid w:val="36A03381"/>
    <w:rsid w:val="377E398B"/>
    <w:rsid w:val="37A37610"/>
    <w:rsid w:val="38767A34"/>
    <w:rsid w:val="38AF2CB3"/>
    <w:rsid w:val="392A6A70"/>
    <w:rsid w:val="3A190B5C"/>
    <w:rsid w:val="3B92336A"/>
    <w:rsid w:val="3BEB0739"/>
    <w:rsid w:val="3D464925"/>
    <w:rsid w:val="3D8E3A72"/>
    <w:rsid w:val="3D9A7546"/>
    <w:rsid w:val="3E654273"/>
    <w:rsid w:val="3E8E1868"/>
    <w:rsid w:val="3E925791"/>
    <w:rsid w:val="3F3426F2"/>
    <w:rsid w:val="3F8F0431"/>
    <w:rsid w:val="401435B0"/>
    <w:rsid w:val="40254DC4"/>
    <w:rsid w:val="403C77B5"/>
    <w:rsid w:val="403D352D"/>
    <w:rsid w:val="407B7BAD"/>
    <w:rsid w:val="411E510D"/>
    <w:rsid w:val="41C869E6"/>
    <w:rsid w:val="42842924"/>
    <w:rsid w:val="431C567C"/>
    <w:rsid w:val="43E678CC"/>
    <w:rsid w:val="458D714C"/>
    <w:rsid w:val="465C4C5A"/>
    <w:rsid w:val="469E3992"/>
    <w:rsid w:val="47FA40E1"/>
    <w:rsid w:val="481C1BC8"/>
    <w:rsid w:val="485E6108"/>
    <w:rsid w:val="48665B32"/>
    <w:rsid w:val="48743B3D"/>
    <w:rsid w:val="48A24875"/>
    <w:rsid w:val="48FE5CE3"/>
    <w:rsid w:val="49B276EA"/>
    <w:rsid w:val="49B605D8"/>
    <w:rsid w:val="49BF2A4F"/>
    <w:rsid w:val="4A471230"/>
    <w:rsid w:val="4BBC7D76"/>
    <w:rsid w:val="4BF54CBC"/>
    <w:rsid w:val="4C5440D8"/>
    <w:rsid w:val="4CCB12D0"/>
    <w:rsid w:val="4D13189E"/>
    <w:rsid w:val="4D4759EB"/>
    <w:rsid w:val="4D545FE5"/>
    <w:rsid w:val="4D6A7AD1"/>
    <w:rsid w:val="4DA6688A"/>
    <w:rsid w:val="4EA15069"/>
    <w:rsid w:val="4EE03A01"/>
    <w:rsid w:val="4F8C5937"/>
    <w:rsid w:val="4FC350DF"/>
    <w:rsid w:val="5001570E"/>
    <w:rsid w:val="500718A1"/>
    <w:rsid w:val="50E00577"/>
    <w:rsid w:val="51973BEE"/>
    <w:rsid w:val="5209326F"/>
    <w:rsid w:val="52185A99"/>
    <w:rsid w:val="52334F8D"/>
    <w:rsid w:val="528D3D0D"/>
    <w:rsid w:val="52B2321D"/>
    <w:rsid w:val="52BE482B"/>
    <w:rsid w:val="52CB277F"/>
    <w:rsid w:val="54CD3304"/>
    <w:rsid w:val="55131DDA"/>
    <w:rsid w:val="556C28C7"/>
    <w:rsid w:val="565B309E"/>
    <w:rsid w:val="56C66210"/>
    <w:rsid w:val="574941A0"/>
    <w:rsid w:val="57595F84"/>
    <w:rsid w:val="57BB14B0"/>
    <w:rsid w:val="57BD0D84"/>
    <w:rsid w:val="5809250B"/>
    <w:rsid w:val="581035A9"/>
    <w:rsid w:val="58170ED4"/>
    <w:rsid w:val="58DA7713"/>
    <w:rsid w:val="59995821"/>
    <w:rsid w:val="5A113DE3"/>
    <w:rsid w:val="5B4E5AC9"/>
    <w:rsid w:val="5B64628F"/>
    <w:rsid w:val="5C391541"/>
    <w:rsid w:val="5CA01A5A"/>
    <w:rsid w:val="5CE943C9"/>
    <w:rsid w:val="5CF35248"/>
    <w:rsid w:val="5D1350D5"/>
    <w:rsid w:val="5DF97B87"/>
    <w:rsid w:val="5E785A05"/>
    <w:rsid w:val="5E9241C4"/>
    <w:rsid w:val="5EC4414D"/>
    <w:rsid w:val="5F245B8C"/>
    <w:rsid w:val="5F722862"/>
    <w:rsid w:val="5FC77254"/>
    <w:rsid w:val="605B4A8E"/>
    <w:rsid w:val="60665609"/>
    <w:rsid w:val="60705C16"/>
    <w:rsid w:val="60EA6962"/>
    <w:rsid w:val="627D7A8D"/>
    <w:rsid w:val="6295006F"/>
    <w:rsid w:val="632A1297"/>
    <w:rsid w:val="636C761C"/>
    <w:rsid w:val="63DC1C35"/>
    <w:rsid w:val="64EA414E"/>
    <w:rsid w:val="656B0071"/>
    <w:rsid w:val="65C15EE3"/>
    <w:rsid w:val="66A009FE"/>
    <w:rsid w:val="66E96F94"/>
    <w:rsid w:val="679127F1"/>
    <w:rsid w:val="68FE6526"/>
    <w:rsid w:val="692F6511"/>
    <w:rsid w:val="69B9672F"/>
    <w:rsid w:val="6A0674F5"/>
    <w:rsid w:val="6A3B3D97"/>
    <w:rsid w:val="6A497BD0"/>
    <w:rsid w:val="6A7F28CF"/>
    <w:rsid w:val="6B0F2FA0"/>
    <w:rsid w:val="6BA95B9A"/>
    <w:rsid w:val="6C5D623A"/>
    <w:rsid w:val="6CBA18DE"/>
    <w:rsid w:val="6D674868"/>
    <w:rsid w:val="6D6904D2"/>
    <w:rsid w:val="6E066998"/>
    <w:rsid w:val="6E087F44"/>
    <w:rsid w:val="6E672132"/>
    <w:rsid w:val="71E575C6"/>
    <w:rsid w:val="72743DB7"/>
    <w:rsid w:val="727447D3"/>
    <w:rsid w:val="72B8066E"/>
    <w:rsid w:val="72C41A54"/>
    <w:rsid w:val="72C62AF2"/>
    <w:rsid w:val="730A0F49"/>
    <w:rsid w:val="73306456"/>
    <w:rsid w:val="73693599"/>
    <w:rsid w:val="736E72E6"/>
    <w:rsid w:val="73C963C3"/>
    <w:rsid w:val="7489001F"/>
    <w:rsid w:val="74AE38FD"/>
    <w:rsid w:val="74FC2405"/>
    <w:rsid w:val="753F634B"/>
    <w:rsid w:val="75504B8E"/>
    <w:rsid w:val="75F96FD3"/>
    <w:rsid w:val="76797C2F"/>
    <w:rsid w:val="76FA503D"/>
    <w:rsid w:val="76FC1307"/>
    <w:rsid w:val="775678A3"/>
    <w:rsid w:val="77CD6969"/>
    <w:rsid w:val="795F2373"/>
    <w:rsid w:val="799B26EC"/>
    <w:rsid w:val="79FA090D"/>
    <w:rsid w:val="7A010B4C"/>
    <w:rsid w:val="7AB21E46"/>
    <w:rsid w:val="7ACA7190"/>
    <w:rsid w:val="7ACF47A6"/>
    <w:rsid w:val="7AFD5272"/>
    <w:rsid w:val="7B021ACD"/>
    <w:rsid w:val="7B1E7CC8"/>
    <w:rsid w:val="7B7535A0"/>
    <w:rsid w:val="7C312D2E"/>
    <w:rsid w:val="7D3B4910"/>
    <w:rsid w:val="7E3B658C"/>
    <w:rsid w:val="7F285D26"/>
    <w:rsid w:val="7F4813E0"/>
    <w:rsid w:val="7F565496"/>
    <w:rsid w:val="7FBA76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0" w:semiHidden="0" w:name="footnote text"/>
    <w:lsdException w:qFormat="1" w:unhideWhenUsed="0" w:uiPriority="0" w:semiHidden="0" w:name="annotation text"/>
    <w:lsdException w:qFormat="1" w:uiPriority="99" w:semiHidden="0" w:name="header"/>
    <w:lsdException w:qFormat="1" w:uiPriority="99" w:semiHidden="0" w:name="footer"/>
    <w:lsdException w:qFormat="1" w:unhideWhenUsed="0" w:uiPriority="0"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qFormat="1" w:uiPriority="0" w:semiHidden="0"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uiPriority="99" w:name="List Continue 3"/>
    <w:lsdException w:qFormat="1" w:unhideWhenUsed="0" w:uiPriority="0" w:semiHidden="0"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nhideWhenUsed="0" w:uiPriority="0" w:semiHidden="0" w:name="HTML Sample"/>
    <w:lsdException w:qFormat="1" w:uiPriority="99" w:name="HTML Typewriter"/>
    <w:lsdException w:qFormat="1"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宋体" w:hAnsi="宋体" w:eastAsia="宋体" w:cstheme="minorBidi"/>
      <w:lang w:val="en-US" w:eastAsia="zh-CN" w:bidi="ar-SA"/>
    </w:rPr>
  </w:style>
  <w:style w:type="paragraph" w:styleId="2">
    <w:name w:val="heading 1"/>
    <w:basedOn w:val="1"/>
    <w:next w:val="1"/>
    <w:link w:val="92"/>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05"/>
    <w:autoRedefine/>
    <w:unhideWhenUsed/>
    <w:qFormat/>
    <w:uiPriority w:val="0"/>
    <w:pPr>
      <w:keepNext/>
      <w:keepLines/>
      <w:spacing w:before="260" w:after="260" w:line="416" w:lineRule="auto"/>
      <w:outlineLvl w:val="1"/>
    </w:pPr>
    <w:rPr>
      <w:rFonts w:ascii="Cambria" w:hAnsi="Cambria" w:cs="Times New Roman"/>
      <w:b/>
      <w:bCs/>
      <w:kern w:val="2"/>
      <w:sz w:val="32"/>
      <w:szCs w:val="32"/>
      <w:lang w:val="zh-CN"/>
    </w:rPr>
  </w:style>
  <w:style w:type="paragraph" w:styleId="4">
    <w:name w:val="heading 3"/>
    <w:basedOn w:val="1"/>
    <w:next w:val="1"/>
    <w:link w:val="94"/>
    <w:autoRedefine/>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99"/>
    <w:autoRedefine/>
    <w:qFormat/>
    <w:uiPriority w:val="0"/>
    <w:pPr>
      <w:keepNext/>
      <w:keepLines/>
      <w:spacing w:before="280" w:after="290" w:line="376" w:lineRule="auto"/>
      <w:outlineLvl w:val="3"/>
    </w:pPr>
    <w:rPr>
      <w:b/>
      <w:bCs/>
      <w:sz w:val="28"/>
      <w:szCs w:val="28"/>
    </w:rPr>
  </w:style>
  <w:style w:type="paragraph" w:styleId="6">
    <w:name w:val="heading 5"/>
    <w:basedOn w:val="1"/>
    <w:next w:val="1"/>
    <w:link w:val="106"/>
    <w:autoRedefine/>
    <w:qFormat/>
    <w:uiPriority w:val="0"/>
    <w:pPr>
      <w:keepNext/>
      <w:keepLines/>
      <w:spacing w:before="280" w:after="290" w:line="376" w:lineRule="auto"/>
      <w:outlineLvl w:val="4"/>
    </w:pPr>
    <w:rPr>
      <w:rFonts w:ascii="Calibri" w:hAnsi="Calibri" w:cs="Times New Roman"/>
      <w:b/>
      <w:bCs/>
      <w:kern w:val="2"/>
      <w:sz w:val="28"/>
      <w:szCs w:val="28"/>
      <w:lang w:val="zh-CN"/>
    </w:rPr>
  </w:style>
  <w:style w:type="paragraph" w:styleId="7">
    <w:name w:val="heading 6"/>
    <w:basedOn w:val="6"/>
    <w:next w:val="1"/>
    <w:link w:val="107"/>
    <w:autoRedefine/>
    <w:qFormat/>
    <w:uiPriority w:val="0"/>
    <w:pPr>
      <w:tabs>
        <w:tab w:val="left" w:pos="1440"/>
      </w:tabs>
      <w:spacing w:before="260" w:after="260" w:line="360" w:lineRule="auto"/>
      <w:ind w:left="1134" w:hanging="1134"/>
      <w:outlineLvl w:val="5"/>
    </w:pPr>
    <w:rPr>
      <w:rFonts w:ascii="Times New Roman" w:hAnsi="Times New Roman"/>
      <w:sz w:val="30"/>
      <w:szCs w:val="18"/>
    </w:rPr>
  </w:style>
  <w:style w:type="paragraph" w:styleId="8">
    <w:name w:val="heading 7"/>
    <w:basedOn w:val="7"/>
    <w:next w:val="1"/>
    <w:link w:val="108"/>
    <w:autoRedefine/>
    <w:qFormat/>
    <w:uiPriority w:val="0"/>
    <w:pPr>
      <w:tabs>
        <w:tab w:val="left" w:pos="1800"/>
        <w:tab w:val="clear" w:pos="1440"/>
      </w:tabs>
      <w:ind w:left="1276" w:hanging="1276"/>
      <w:outlineLvl w:val="6"/>
    </w:pPr>
  </w:style>
  <w:style w:type="paragraph" w:styleId="9">
    <w:name w:val="heading 8"/>
    <w:basedOn w:val="1"/>
    <w:next w:val="1"/>
    <w:link w:val="109"/>
    <w:autoRedefine/>
    <w:qFormat/>
    <w:uiPriority w:val="0"/>
    <w:pPr>
      <w:keepNext/>
      <w:keepLines/>
      <w:spacing w:line="400" w:lineRule="exact"/>
      <w:jc w:val="center"/>
      <w:outlineLvl w:val="7"/>
    </w:pPr>
    <w:rPr>
      <w:rFonts w:eastAsia="黑体" w:cs="Times New Roman"/>
      <w:kern w:val="2"/>
      <w:sz w:val="32"/>
      <w:szCs w:val="32"/>
      <w:lang w:val="zh-CN"/>
    </w:rPr>
  </w:style>
  <w:style w:type="paragraph" w:styleId="10">
    <w:name w:val="heading 9"/>
    <w:basedOn w:val="1"/>
    <w:next w:val="1"/>
    <w:link w:val="110"/>
    <w:autoRedefine/>
    <w:unhideWhenUsed/>
    <w:qFormat/>
    <w:uiPriority w:val="0"/>
    <w:pPr>
      <w:keepNext/>
      <w:keepLines/>
      <w:spacing w:before="240" w:after="64" w:line="320" w:lineRule="auto"/>
      <w:outlineLvl w:val="8"/>
    </w:pPr>
    <w:rPr>
      <w:rFonts w:ascii="Cambria" w:hAnsi="Cambria" w:cs="Times New Roman"/>
      <w:kern w:val="2"/>
      <w:sz w:val="21"/>
      <w:szCs w:val="21"/>
      <w:lang w:val="zh-CN"/>
    </w:rPr>
  </w:style>
  <w:style w:type="character" w:default="1" w:styleId="57">
    <w:name w:val="Default Paragraph Font"/>
    <w:autoRedefine/>
    <w:semiHidden/>
    <w:unhideWhenUsed/>
    <w:qFormat/>
    <w:uiPriority w:val="1"/>
  </w:style>
  <w:style w:type="table" w:default="1" w:styleId="55">
    <w:name w:val="Normal Table"/>
    <w:autoRedefine/>
    <w:semiHidden/>
    <w:unhideWhenUsed/>
    <w:qFormat/>
    <w:uiPriority w:val="99"/>
    <w:tblPr>
      <w:tblCellMar>
        <w:top w:w="0" w:type="dxa"/>
        <w:left w:w="108" w:type="dxa"/>
        <w:bottom w:w="0" w:type="dxa"/>
        <w:right w:w="108" w:type="dxa"/>
      </w:tblCellMar>
    </w:tblPr>
  </w:style>
  <w:style w:type="paragraph" w:styleId="11">
    <w:name w:val="List 3"/>
    <w:basedOn w:val="1"/>
    <w:autoRedefine/>
    <w:qFormat/>
    <w:uiPriority w:val="0"/>
    <w:pPr>
      <w:ind w:left="100" w:leftChars="400" w:hanging="200" w:hangingChars="200"/>
    </w:pPr>
    <w:rPr>
      <w:rFonts w:ascii="Calibri" w:hAnsi="Calibri" w:cs="Times New Roman"/>
      <w:kern w:val="2"/>
      <w:sz w:val="21"/>
      <w:szCs w:val="22"/>
    </w:rPr>
  </w:style>
  <w:style w:type="paragraph" w:styleId="12">
    <w:name w:val="toc 7"/>
    <w:basedOn w:val="1"/>
    <w:next w:val="1"/>
    <w:autoRedefine/>
    <w:unhideWhenUsed/>
    <w:qFormat/>
    <w:uiPriority w:val="39"/>
    <w:pPr>
      <w:ind w:left="1260"/>
      <w:jc w:val="left"/>
    </w:pPr>
    <w:rPr>
      <w:rFonts w:ascii="Calibri" w:hAnsi="Calibri" w:cs="Calibri"/>
      <w:kern w:val="2"/>
      <w:sz w:val="18"/>
      <w:szCs w:val="18"/>
    </w:rPr>
  </w:style>
  <w:style w:type="paragraph" w:styleId="13">
    <w:name w:val="Normal Indent"/>
    <w:basedOn w:val="1"/>
    <w:autoRedefine/>
    <w:qFormat/>
    <w:uiPriority w:val="0"/>
    <w:pPr>
      <w:autoSpaceDE w:val="0"/>
      <w:autoSpaceDN w:val="0"/>
      <w:adjustRightInd w:val="0"/>
      <w:ind w:firstLine="420"/>
      <w:jc w:val="left"/>
    </w:pPr>
    <w:rPr>
      <w:rFonts w:hAnsi="Times New Roman" w:cs="Times New Roman"/>
      <w:sz w:val="24"/>
    </w:rPr>
  </w:style>
  <w:style w:type="paragraph" w:styleId="14">
    <w:name w:val="caption"/>
    <w:basedOn w:val="1"/>
    <w:next w:val="1"/>
    <w:autoRedefine/>
    <w:qFormat/>
    <w:uiPriority w:val="0"/>
    <w:pPr>
      <w:spacing w:before="152" w:after="160"/>
    </w:pPr>
    <w:rPr>
      <w:rFonts w:ascii="Arial" w:hAnsi="Arial" w:eastAsia="黑体" w:cs="Arial"/>
      <w:kern w:val="2"/>
    </w:rPr>
  </w:style>
  <w:style w:type="paragraph" w:styleId="15">
    <w:name w:val="Document Map"/>
    <w:basedOn w:val="1"/>
    <w:link w:val="154"/>
    <w:autoRedefine/>
    <w:qFormat/>
    <w:uiPriority w:val="0"/>
    <w:pPr>
      <w:shd w:val="clear" w:color="auto" w:fill="000080"/>
    </w:pPr>
    <w:rPr>
      <w:rFonts w:ascii="Calibri" w:hAnsi="Calibri" w:cs="Times New Roman"/>
      <w:bCs/>
      <w:kern w:val="2"/>
      <w:sz w:val="21"/>
      <w:szCs w:val="32"/>
      <w:lang w:val="zh-CN"/>
    </w:rPr>
  </w:style>
  <w:style w:type="paragraph" w:styleId="16">
    <w:name w:val="annotation text"/>
    <w:basedOn w:val="1"/>
    <w:link w:val="91"/>
    <w:autoRedefine/>
    <w:qFormat/>
    <w:uiPriority w:val="0"/>
    <w:pPr>
      <w:jc w:val="left"/>
    </w:pPr>
    <w:rPr>
      <w:rFonts w:ascii="Arial" w:hAnsi="Arial" w:eastAsia="黑体" w:cs="Arial"/>
    </w:rPr>
  </w:style>
  <w:style w:type="paragraph" w:styleId="17">
    <w:name w:val="Salutation"/>
    <w:basedOn w:val="1"/>
    <w:next w:val="1"/>
    <w:link w:val="121"/>
    <w:autoRedefine/>
    <w:qFormat/>
    <w:uiPriority w:val="0"/>
    <w:rPr>
      <w:rFonts w:ascii="仿宋_GB2312" w:hAnsi="Times New Roman" w:eastAsia="仿宋_GB2312" w:cs="Times New Roman"/>
      <w:kern w:val="2"/>
      <w:sz w:val="28"/>
      <w:lang w:val="zh-CN"/>
    </w:rPr>
  </w:style>
  <w:style w:type="paragraph" w:styleId="18">
    <w:name w:val="Body Text 3"/>
    <w:basedOn w:val="1"/>
    <w:link w:val="140"/>
    <w:autoRedefine/>
    <w:qFormat/>
    <w:uiPriority w:val="0"/>
    <w:pPr>
      <w:adjustRightInd w:val="0"/>
      <w:snapToGrid w:val="0"/>
    </w:pPr>
    <w:rPr>
      <w:rFonts w:ascii="仿宋_GB2312" w:eastAsia="仿宋_GB2312" w:cs="Times New Roman"/>
      <w:bCs/>
      <w:color w:val="000000"/>
      <w:kern w:val="2"/>
      <w:sz w:val="24"/>
      <w:szCs w:val="32"/>
      <w:lang w:val="zh-CN"/>
    </w:rPr>
  </w:style>
  <w:style w:type="paragraph" w:styleId="19">
    <w:name w:val="Body Text"/>
    <w:basedOn w:val="1"/>
    <w:link w:val="100"/>
    <w:autoRedefine/>
    <w:qFormat/>
    <w:uiPriority w:val="0"/>
    <w:pPr>
      <w:spacing w:after="120"/>
    </w:pPr>
    <w:rPr>
      <w:rFonts w:ascii="@微软简标宋" w:hAnsi="@微软简标宋" w:eastAsia="@微软简标宋" w:cs="@微软简标宋"/>
      <w:szCs w:val="24"/>
      <w:lang w:val="zh-CN"/>
    </w:rPr>
  </w:style>
  <w:style w:type="paragraph" w:styleId="20">
    <w:name w:val="Body Text Indent"/>
    <w:basedOn w:val="1"/>
    <w:next w:val="21"/>
    <w:link w:val="115"/>
    <w:autoRedefine/>
    <w:unhideWhenUsed/>
    <w:qFormat/>
    <w:uiPriority w:val="0"/>
    <w:pPr>
      <w:spacing w:after="120"/>
      <w:ind w:left="420" w:leftChars="200"/>
    </w:pPr>
    <w:rPr>
      <w:rFonts w:asciiTheme="minorHAnsi" w:hAnsiTheme="minorHAnsi"/>
      <w:kern w:val="2"/>
      <w:sz w:val="21"/>
      <w:szCs w:val="22"/>
    </w:rPr>
  </w:style>
  <w:style w:type="paragraph" w:styleId="21">
    <w:name w:val="envelope return"/>
    <w:basedOn w:val="1"/>
    <w:next w:val="12"/>
    <w:qFormat/>
    <w:uiPriority w:val="0"/>
    <w:pPr>
      <w:widowControl/>
      <w:snapToGrid w:val="0"/>
      <w:spacing w:line="357" w:lineRule="atLeast"/>
      <w:textAlignment w:val="baseline"/>
    </w:pPr>
    <w:rPr>
      <w:rFonts w:ascii="Arial" w:hAnsi="Arial"/>
      <w:color w:val="000000"/>
      <w:kern w:val="0"/>
      <w:u w:val="none" w:color="000000"/>
    </w:rPr>
  </w:style>
  <w:style w:type="paragraph" w:styleId="22">
    <w:name w:val="List 2"/>
    <w:basedOn w:val="1"/>
    <w:autoRedefine/>
    <w:qFormat/>
    <w:uiPriority w:val="0"/>
    <w:pPr>
      <w:ind w:left="100" w:leftChars="200" w:hanging="200" w:hangingChars="200"/>
    </w:pPr>
    <w:rPr>
      <w:rFonts w:ascii="Calibri" w:hAnsi="Calibri" w:cs="Times New Roman"/>
      <w:kern w:val="2"/>
      <w:sz w:val="21"/>
      <w:szCs w:val="22"/>
    </w:rPr>
  </w:style>
  <w:style w:type="paragraph" w:styleId="23">
    <w:name w:val="List Continue"/>
    <w:basedOn w:val="1"/>
    <w:autoRedefine/>
    <w:qFormat/>
    <w:uiPriority w:val="0"/>
    <w:pPr>
      <w:spacing w:after="120"/>
      <w:ind w:left="420" w:leftChars="200"/>
    </w:pPr>
    <w:rPr>
      <w:rFonts w:ascii="Calibri" w:hAnsi="Calibri" w:cs="Times New Roman"/>
      <w:kern w:val="2"/>
      <w:sz w:val="21"/>
      <w:szCs w:val="22"/>
    </w:rPr>
  </w:style>
  <w:style w:type="paragraph" w:styleId="24">
    <w:name w:val="Block Text"/>
    <w:basedOn w:val="1"/>
    <w:autoRedefine/>
    <w:qFormat/>
    <w:uiPriority w:val="0"/>
    <w:pPr>
      <w:autoSpaceDE w:val="0"/>
      <w:autoSpaceDN w:val="0"/>
      <w:adjustRightInd w:val="0"/>
      <w:spacing w:line="1270" w:lineRule="exact"/>
      <w:ind w:left="2160" w:right="-20" w:hanging="2160" w:hangingChars="300"/>
      <w:jc w:val="left"/>
    </w:pPr>
    <w:rPr>
      <w:rFonts w:ascii="Calibri" w:hAnsi="Calibri" w:eastAsia="仿宋_GB2312" w:cs="Times New Roman"/>
      <w:kern w:val="2"/>
      <w:sz w:val="72"/>
    </w:rPr>
  </w:style>
  <w:style w:type="paragraph" w:styleId="25">
    <w:name w:val="index 4"/>
    <w:basedOn w:val="1"/>
    <w:next w:val="1"/>
    <w:autoRedefine/>
    <w:qFormat/>
    <w:uiPriority w:val="0"/>
    <w:pPr>
      <w:ind w:left="600" w:leftChars="600"/>
    </w:pPr>
    <w:rPr>
      <w:rFonts w:ascii="Times New Roman" w:hAnsi="Times New Roman" w:cs="Times New Roman"/>
      <w:kern w:val="2"/>
      <w:sz w:val="21"/>
      <w:szCs w:val="24"/>
    </w:rPr>
  </w:style>
  <w:style w:type="paragraph" w:styleId="26">
    <w:name w:val="toc 5"/>
    <w:basedOn w:val="1"/>
    <w:next w:val="1"/>
    <w:autoRedefine/>
    <w:unhideWhenUsed/>
    <w:qFormat/>
    <w:uiPriority w:val="39"/>
    <w:pPr>
      <w:ind w:left="840"/>
      <w:jc w:val="left"/>
    </w:pPr>
    <w:rPr>
      <w:rFonts w:ascii="Calibri" w:hAnsi="Calibri" w:cs="Calibri"/>
      <w:kern w:val="2"/>
      <w:sz w:val="18"/>
      <w:szCs w:val="18"/>
    </w:rPr>
  </w:style>
  <w:style w:type="paragraph" w:styleId="27">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sz w:val="22"/>
      <w:szCs w:val="22"/>
    </w:rPr>
  </w:style>
  <w:style w:type="paragraph" w:styleId="28">
    <w:name w:val="Plain Text"/>
    <w:basedOn w:val="1"/>
    <w:link w:val="80"/>
    <w:autoRedefine/>
    <w:qFormat/>
    <w:uiPriority w:val="0"/>
    <w:rPr>
      <w:rFonts w:hAnsi="Courier New" w:eastAsiaTheme="minorEastAsia"/>
      <w:szCs w:val="22"/>
    </w:rPr>
  </w:style>
  <w:style w:type="paragraph" w:styleId="29">
    <w:name w:val="toc 8"/>
    <w:basedOn w:val="1"/>
    <w:next w:val="1"/>
    <w:autoRedefine/>
    <w:unhideWhenUsed/>
    <w:qFormat/>
    <w:uiPriority w:val="39"/>
    <w:pPr>
      <w:ind w:left="1470"/>
      <w:jc w:val="left"/>
    </w:pPr>
    <w:rPr>
      <w:rFonts w:ascii="Calibri" w:hAnsi="Calibri" w:cs="Calibri"/>
      <w:kern w:val="2"/>
      <w:sz w:val="18"/>
      <w:szCs w:val="18"/>
    </w:rPr>
  </w:style>
  <w:style w:type="paragraph" w:styleId="30">
    <w:name w:val="Date"/>
    <w:basedOn w:val="1"/>
    <w:next w:val="1"/>
    <w:link w:val="87"/>
    <w:autoRedefine/>
    <w:qFormat/>
    <w:uiPriority w:val="0"/>
    <w:rPr>
      <w:rFonts w:ascii="Arial" w:hAnsi="Arial" w:cs="Arial"/>
      <w:b/>
      <w:sz w:val="28"/>
    </w:rPr>
  </w:style>
  <w:style w:type="paragraph" w:styleId="31">
    <w:name w:val="Body Text Indent 2"/>
    <w:basedOn w:val="1"/>
    <w:link w:val="136"/>
    <w:autoRedefine/>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32">
    <w:name w:val="Balloon Text"/>
    <w:basedOn w:val="1"/>
    <w:link w:val="74"/>
    <w:autoRedefine/>
    <w:unhideWhenUsed/>
    <w:qFormat/>
    <w:uiPriority w:val="0"/>
    <w:rPr>
      <w:sz w:val="18"/>
      <w:szCs w:val="18"/>
    </w:rPr>
  </w:style>
  <w:style w:type="paragraph" w:styleId="33">
    <w:name w:val="footer"/>
    <w:basedOn w:val="1"/>
    <w:link w:val="79"/>
    <w:autoRedefine/>
    <w:unhideWhenUsed/>
    <w:qFormat/>
    <w:uiPriority w:val="99"/>
    <w:pPr>
      <w:tabs>
        <w:tab w:val="center" w:pos="4153"/>
        <w:tab w:val="right" w:pos="8306"/>
      </w:tabs>
      <w:snapToGrid w:val="0"/>
      <w:jc w:val="left"/>
    </w:pPr>
    <w:rPr>
      <w:sz w:val="18"/>
      <w:szCs w:val="18"/>
    </w:rPr>
  </w:style>
  <w:style w:type="paragraph" w:styleId="34">
    <w:name w:val="header"/>
    <w:basedOn w:val="1"/>
    <w:link w:val="7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autoRedefine/>
    <w:unhideWhenUsed/>
    <w:qFormat/>
    <w:uiPriority w:val="39"/>
    <w:pPr>
      <w:widowControl/>
      <w:spacing w:after="100" w:line="276" w:lineRule="auto"/>
      <w:jc w:val="left"/>
    </w:pPr>
    <w:rPr>
      <w:rFonts w:asciiTheme="minorHAnsi" w:hAnsiTheme="minorHAnsi" w:eastAsiaTheme="minorEastAsia"/>
      <w:sz w:val="22"/>
      <w:szCs w:val="22"/>
    </w:rPr>
  </w:style>
  <w:style w:type="paragraph" w:styleId="36">
    <w:name w:val="List Continue 4"/>
    <w:basedOn w:val="1"/>
    <w:autoRedefine/>
    <w:qFormat/>
    <w:uiPriority w:val="0"/>
    <w:pPr>
      <w:spacing w:after="120"/>
      <w:ind w:left="1680" w:leftChars="800"/>
    </w:pPr>
    <w:rPr>
      <w:rFonts w:ascii="Calibri" w:hAnsi="Calibri" w:cs="Times New Roman"/>
      <w:kern w:val="2"/>
      <w:sz w:val="21"/>
      <w:szCs w:val="22"/>
    </w:rPr>
  </w:style>
  <w:style w:type="paragraph" w:styleId="37">
    <w:name w:val="toc 4"/>
    <w:basedOn w:val="1"/>
    <w:next w:val="1"/>
    <w:autoRedefine/>
    <w:unhideWhenUsed/>
    <w:qFormat/>
    <w:uiPriority w:val="39"/>
    <w:pPr>
      <w:ind w:left="630"/>
      <w:jc w:val="left"/>
    </w:pPr>
    <w:rPr>
      <w:rFonts w:ascii="Calibri" w:hAnsi="Calibri" w:cs="Calibri"/>
      <w:kern w:val="2"/>
      <w:sz w:val="18"/>
      <w:szCs w:val="18"/>
    </w:rPr>
  </w:style>
  <w:style w:type="paragraph" w:styleId="38">
    <w:name w:val="index heading"/>
    <w:basedOn w:val="1"/>
    <w:next w:val="39"/>
    <w:autoRedefine/>
    <w:semiHidden/>
    <w:qFormat/>
    <w:uiPriority w:val="0"/>
    <w:rPr>
      <w:rFonts w:ascii="Times New Roman" w:hAnsi="Times New Roman" w:cs="Times New Roman"/>
      <w:kern w:val="2"/>
      <w:sz w:val="21"/>
      <w:szCs w:val="24"/>
    </w:rPr>
  </w:style>
  <w:style w:type="paragraph" w:styleId="39">
    <w:name w:val="index 1"/>
    <w:basedOn w:val="1"/>
    <w:next w:val="1"/>
    <w:autoRedefine/>
    <w:qFormat/>
    <w:uiPriority w:val="0"/>
    <w:pPr>
      <w:jc w:val="center"/>
    </w:pPr>
    <w:rPr>
      <w:rFonts w:ascii="Arial" w:hAnsi="Arial" w:eastAsia="Arial" w:cs="Arial"/>
      <w:b/>
      <w:bCs/>
      <w:sz w:val="28"/>
    </w:rPr>
  </w:style>
  <w:style w:type="paragraph" w:styleId="40">
    <w:name w:val="Subtitle"/>
    <w:basedOn w:val="1"/>
    <w:link w:val="228"/>
    <w:autoRedefine/>
    <w:qFormat/>
    <w:uiPriority w:val="0"/>
    <w:pPr>
      <w:spacing w:before="240" w:after="60" w:line="312" w:lineRule="auto"/>
      <w:jc w:val="center"/>
      <w:outlineLvl w:val="1"/>
    </w:pPr>
    <w:rPr>
      <w:rFonts w:ascii="Arial" w:hAnsi="Arial" w:cs="Times New Roman"/>
      <w:b/>
      <w:bCs/>
      <w:kern w:val="28"/>
      <w:sz w:val="32"/>
      <w:szCs w:val="32"/>
      <w:lang w:val="zh-CN"/>
    </w:rPr>
  </w:style>
  <w:style w:type="paragraph" w:styleId="41">
    <w:name w:val="List"/>
    <w:basedOn w:val="1"/>
    <w:autoRedefine/>
    <w:qFormat/>
    <w:uiPriority w:val="0"/>
    <w:pPr>
      <w:ind w:left="200" w:hanging="200" w:hangingChars="200"/>
    </w:pPr>
    <w:rPr>
      <w:rFonts w:ascii="Calibri" w:hAnsi="Calibri" w:cs="Times New Roman"/>
      <w:kern w:val="2"/>
      <w:sz w:val="21"/>
      <w:szCs w:val="22"/>
    </w:rPr>
  </w:style>
  <w:style w:type="paragraph" w:styleId="42">
    <w:name w:val="footnote text"/>
    <w:basedOn w:val="1"/>
    <w:link w:val="117"/>
    <w:autoRedefine/>
    <w:unhideWhenUsed/>
    <w:qFormat/>
    <w:uiPriority w:val="0"/>
    <w:pPr>
      <w:snapToGrid w:val="0"/>
      <w:jc w:val="left"/>
    </w:pPr>
    <w:rPr>
      <w:rFonts w:ascii="Times New Roman" w:hAnsi="Times New Roman" w:cs="Times New Roman"/>
      <w:kern w:val="2"/>
      <w:sz w:val="18"/>
      <w:szCs w:val="18"/>
      <w:lang w:val="zh-CN"/>
    </w:rPr>
  </w:style>
  <w:style w:type="paragraph" w:styleId="43">
    <w:name w:val="toc 6"/>
    <w:basedOn w:val="1"/>
    <w:next w:val="1"/>
    <w:autoRedefine/>
    <w:unhideWhenUsed/>
    <w:qFormat/>
    <w:uiPriority w:val="39"/>
    <w:pPr>
      <w:ind w:left="1050"/>
      <w:jc w:val="left"/>
    </w:pPr>
    <w:rPr>
      <w:rFonts w:ascii="Calibri" w:hAnsi="Calibri" w:cs="Calibri"/>
      <w:kern w:val="2"/>
      <w:sz w:val="18"/>
      <w:szCs w:val="18"/>
    </w:rPr>
  </w:style>
  <w:style w:type="paragraph" w:styleId="44">
    <w:name w:val="Body Text Indent 3"/>
    <w:basedOn w:val="1"/>
    <w:link w:val="135"/>
    <w:autoRedefine/>
    <w:qFormat/>
    <w:uiPriority w:val="0"/>
    <w:pPr>
      <w:widowControl/>
      <w:overflowPunct w:val="0"/>
      <w:autoSpaceDE w:val="0"/>
      <w:autoSpaceDN w:val="0"/>
      <w:adjustRightInd w:val="0"/>
      <w:spacing w:line="360" w:lineRule="auto"/>
      <w:ind w:firstLine="540"/>
      <w:textAlignment w:val="baseline"/>
    </w:pPr>
    <w:rPr>
      <w:rFonts w:hAnsi="MS Sans Serif" w:cs="Times New Roman"/>
      <w:bCs/>
      <w:color w:val="000000"/>
      <w:sz w:val="24"/>
      <w:lang w:val="zh-CN"/>
    </w:rPr>
  </w:style>
  <w:style w:type="paragraph" w:styleId="45">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sz w:val="22"/>
      <w:szCs w:val="22"/>
    </w:rPr>
  </w:style>
  <w:style w:type="paragraph" w:styleId="46">
    <w:name w:val="toc 9"/>
    <w:basedOn w:val="1"/>
    <w:next w:val="1"/>
    <w:autoRedefine/>
    <w:unhideWhenUsed/>
    <w:qFormat/>
    <w:uiPriority w:val="39"/>
    <w:pPr>
      <w:ind w:left="1680"/>
      <w:jc w:val="left"/>
    </w:pPr>
    <w:rPr>
      <w:rFonts w:ascii="Calibri" w:hAnsi="Calibri" w:cs="Calibri"/>
      <w:kern w:val="2"/>
      <w:sz w:val="18"/>
      <w:szCs w:val="18"/>
    </w:rPr>
  </w:style>
  <w:style w:type="paragraph" w:styleId="47">
    <w:name w:val="Body Text 2"/>
    <w:basedOn w:val="1"/>
    <w:link w:val="139"/>
    <w:autoRedefine/>
    <w:qFormat/>
    <w:uiPriority w:val="0"/>
    <w:pPr>
      <w:spacing w:line="360" w:lineRule="auto"/>
    </w:pPr>
    <w:rPr>
      <w:rFonts w:hAnsi="Times New Roman" w:cs="Times New Roman"/>
      <w:spacing w:val="-20"/>
      <w:kern w:val="2"/>
      <w:sz w:val="28"/>
      <w:lang w:val="zh-CN"/>
    </w:rPr>
  </w:style>
  <w:style w:type="paragraph" w:styleId="48">
    <w:name w:val="List 4"/>
    <w:basedOn w:val="1"/>
    <w:autoRedefine/>
    <w:qFormat/>
    <w:uiPriority w:val="0"/>
    <w:pPr>
      <w:ind w:left="100" w:leftChars="600" w:hanging="200" w:hangingChars="200"/>
    </w:pPr>
    <w:rPr>
      <w:rFonts w:ascii="Calibri" w:hAnsi="Calibri" w:cs="Times New Roman"/>
      <w:kern w:val="2"/>
      <w:sz w:val="21"/>
      <w:szCs w:val="22"/>
    </w:rPr>
  </w:style>
  <w:style w:type="paragraph" w:styleId="49">
    <w:name w:val="List Continue 2"/>
    <w:basedOn w:val="1"/>
    <w:autoRedefine/>
    <w:qFormat/>
    <w:uiPriority w:val="0"/>
    <w:pPr>
      <w:spacing w:after="120"/>
      <w:ind w:left="840" w:leftChars="400"/>
    </w:pPr>
    <w:rPr>
      <w:rFonts w:ascii="Calibri" w:hAnsi="Calibri" w:cs="Times New Roman"/>
      <w:kern w:val="2"/>
      <w:sz w:val="21"/>
      <w:szCs w:val="22"/>
    </w:rPr>
  </w:style>
  <w:style w:type="paragraph" w:styleId="50">
    <w:name w:val="Normal (Web)"/>
    <w:basedOn w:val="1"/>
    <w:autoRedefine/>
    <w:qFormat/>
    <w:uiPriority w:val="0"/>
    <w:pPr>
      <w:widowControl/>
      <w:spacing w:before="100" w:beforeAutospacing="1" w:after="100" w:afterAutospacing="1"/>
      <w:jc w:val="left"/>
    </w:pPr>
    <w:rPr>
      <w:rFonts w:cs="宋体"/>
      <w:color w:val="0066CC"/>
      <w:sz w:val="24"/>
      <w:szCs w:val="24"/>
    </w:rPr>
  </w:style>
  <w:style w:type="paragraph" w:styleId="51">
    <w:name w:val="Title"/>
    <w:basedOn w:val="3"/>
    <w:next w:val="1"/>
    <w:link w:val="143"/>
    <w:autoRedefine/>
    <w:qFormat/>
    <w:uiPriority w:val="0"/>
    <w:pPr>
      <w:spacing w:before="0" w:after="0" w:line="360" w:lineRule="auto"/>
      <w:jc w:val="center"/>
    </w:pPr>
    <w:rPr>
      <w:rFonts w:ascii="宋体" w:hAnsi="宋体" w:eastAsia="黑体"/>
      <w:bCs w:val="0"/>
      <w:smallCaps/>
      <w:snapToGrid w:val="0"/>
      <w:sz w:val="44"/>
      <w:szCs w:val="24"/>
    </w:rPr>
  </w:style>
  <w:style w:type="paragraph" w:styleId="52">
    <w:name w:val="annotation subject"/>
    <w:basedOn w:val="16"/>
    <w:next w:val="16"/>
    <w:link w:val="102"/>
    <w:autoRedefine/>
    <w:unhideWhenUsed/>
    <w:qFormat/>
    <w:uiPriority w:val="0"/>
    <w:rPr>
      <w:rFonts w:ascii="宋体" w:hAnsi="宋体" w:eastAsia="宋体" w:cstheme="minorBidi"/>
      <w:b/>
      <w:bCs/>
    </w:rPr>
  </w:style>
  <w:style w:type="paragraph" w:styleId="53">
    <w:name w:val="Body Text First Indent"/>
    <w:basedOn w:val="19"/>
    <w:autoRedefine/>
    <w:semiHidden/>
    <w:unhideWhenUsed/>
    <w:qFormat/>
    <w:uiPriority w:val="99"/>
    <w:pPr>
      <w:ind w:firstLine="420" w:firstLineChars="100"/>
    </w:pPr>
  </w:style>
  <w:style w:type="paragraph" w:styleId="54">
    <w:name w:val="Body Text First Indent 2"/>
    <w:basedOn w:val="20"/>
    <w:next w:val="1"/>
    <w:qFormat/>
    <w:uiPriority w:val="0"/>
    <w:pPr>
      <w:spacing w:after="120" w:afterLines="0"/>
      <w:ind w:left="420" w:leftChars="200" w:firstLine="420" w:firstLineChars="200"/>
    </w:pPr>
  </w:style>
  <w:style w:type="table" w:styleId="56">
    <w:name w:val="Table Grid"/>
    <w:basedOn w:val="55"/>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8">
    <w:name w:val="Strong"/>
    <w:autoRedefine/>
    <w:qFormat/>
    <w:uiPriority w:val="0"/>
    <w:rPr>
      <w:b/>
      <w:bCs/>
    </w:rPr>
  </w:style>
  <w:style w:type="character" w:styleId="59">
    <w:name w:val="page number"/>
    <w:basedOn w:val="57"/>
    <w:autoRedefine/>
    <w:qFormat/>
    <w:uiPriority w:val="0"/>
  </w:style>
  <w:style w:type="character" w:styleId="60">
    <w:name w:val="FollowedHyperlink"/>
    <w:basedOn w:val="57"/>
    <w:autoRedefine/>
    <w:semiHidden/>
    <w:unhideWhenUsed/>
    <w:qFormat/>
    <w:uiPriority w:val="99"/>
    <w:rPr>
      <w:color w:val="800080" w:themeColor="followedHyperlink"/>
      <w:u w:val="single"/>
      <w14:textFill>
        <w14:solidFill>
          <w14:schemeClr w14:val="folHlink"/>
        </w14:solidFill>
      </w14:textFill>
    </w:rPr>
  </w:style>
  <w:style w:type="character" w:styleId="61">
    <w:name w:val="Emphasis"/>
    <w:autoRedefine/>
    <w:qFormat/>
    <w:uiPriority w:val="0"/>
    <w:rPr>
      <w:color w:val="CC0033"/>
    </w:rPr>
  </w:style>
  <w:style w:type="character" w:styleId="62">
    <w:name w:val="HTML Definition"/>
    <w:basedOn w:val="57"/>
    <w:semiHidden/>
    <w:unhideWhenUsed/>
    <w:qFormat/>
    <w:uiPriority w:val="99"/>
  </w:style>
  <w:style w:type="character" w:styleId="63">
    <w:name w:val="HTML Typewriter"/>
    <w:basedOn w:val="57"/>
    <w:semiHidden/>
    <w:unhideWhenUsed/>
    <w:qFormat/>
    <w:uiPriority w:val="99"/>
    <w:rPr>
      <w:rFonts w:hint="default" w:ascii="monospace" w:hAnsi="monospace" w:eastAsia="monospace" w:cs="monospace"/>
      <w:sz w:val="20"/>
    </w:rPr>
  </w:style>
  <w:style w:type="character" w:styleId="64">
    <w:name w:val="HTML Acronym"/>
    <w:basedOn w:val="57"/>
    <w:semiHidden/>
    <w:unhideWhenUsed/>
    <w:qFormat/>
    <w:uiPriority w:val="99"/>
  </w:style>
  <w:style w:type="character" w:styleId="65">
    <w:name w:val="HTML Variable"/>
    <w:basedOn w:val="57"/>
    <w:semiHidden/>
    <w:unhideWhenUsed/>
    <w:qFormat/>
    <w:uiPriority w:val="99"/>
  </w:style>
  <w:style w:type="character" w:styleId="66">
    <w:name w:val="Hyperlink"/>
    <w:basedOn w:val="57"/>
    <w:autoRedefine/>
    <w:unhideWhenUsed/>
    <w:qFormat/>
    <w:uiPriority w:val="99"/>
    <w:rPr>
      <w:color w:val="0000FF" w:themeColor="hyperlink"/>
      <w:u w:val="single"/>
      <w14:textFill>
        <w14:solidFill>
          <w14:schemeClr w14:val="hlink"/>
        </w14:solidFill>
      </w14:textFill>
    </w:rPr>
  </w:style>
  <w:style w:type="character" w:styleId="67">
    <w:name w:val="HTML Code"/>
    <w:basedOn w:val="57"/>
    <w:semiHidden/>
    <w:unhideWhenUsed/>
    <w:qFormat/>
    <w:uiPriority w:val="99"/>
    <w:rPr>
      <w:rFonts w:hint="default" w:ascii="monospace" w:hAnsi="monospace" w:eastAsia="monospace" w:cs="monospace"/>
      <w:sz w:val="20"/>
    </w:rPr>
  </w:style>
  <w:style w:type="character" w:styleId="68">
    <w:name w:val="annotation reference"/>
    <w:basedOn w:val="57"/>
    <w:autoRedefine/>
    <w:unhideWhenUsed/>
    <w:qFormat/>
    <w:uiPriority w:val="0"/>
    <w:rPr>
      <w:sz w:val="21"/>
      <w:szCs w:val="21"/>
    </w:rPr>
  </w:style>
  <w:style w:type="character" w:styleId="69">
    <w:name w:val="HTML Cite"/>
    <w:basedOn w:val="57"/>
    <w:semiHidden/>
    <w:unhideWhenUsed/>
    <w:qFormat/>
    <w:uiPriority w:val="99"/>
  </w:style>
  <w:style w:type="character" w:styleId="70">
    <w:name w:val="footnote reference"/>
    <w:autoRedefine/>
    <w:unhideWhenUsed/>
    <w:qFormat/>
    <w:uiPriority w:val="0"/>
    <w:rPr>
      <w:vertAlign w:val="superscript"/>
    </w:rPr>
  </w:style>
  <w:style w:type="character" w:styleId="71">
    <w:name w:val="HTML Keyboard"/>
    <w:basedOn w:val="57"/>
    <w:semiHidden/>
    <w:unhideWhenUsed/>
    <w:qFormat/>
    <w:uiPriority w:val="99"/>
    <w:rPr>
      <w:rFonts w:hint="default" w:ascii="monospace" w:hAnsi="monospace" w:eastAsia="monospace" w:cs="monospace"/>
      <w:sz w:val="20"/>
    </w:rPr>
  </w:style>
  <w:style w:type="character" w:styleId="72">
    <w:name w:val="HTML Sample"/>
    <w:autoRedefine/>
    <w:qFormat/>
    <w:uiPriority w:val="0"/>
    <w:rPr>
      <w:rFonts w:hint="default" w:ascii="monospace" w:hAnsi="monospace" w:eastAsia="monospace" w:cs="monospace"/>
      <w:sz w:val="21"/>
      <w:szCs w:val="21"/>
    </w:rPr>
  </w:style>
  <w:style w:type="paragraph" w:customStyle="1" w:styleId="73">
    <w:name w:val="样式1"/>
    <w:basedOn w:val="1"/>
    <w:next w:val="5"/>
    <w:autoRedefine/>
    <w:qFormat/>
    <w:uiPriority w:val="0"/>
    <w:pPr>
      <w:spacing w:line="360" w:lineRule="auto"/>
      <w:ind w:firstLine="420" w:firstLineChars="200"/>
    </w:pPr>
    <w:rPr>
      <w:rFonts w:cs="Times New Roman"/>
      <w:kern w:val="2"/>
      <w:sz w:val="21"/>
      <w:szCs w:val="21"/>
    </w:rPr>
  </w:style>
  <w:style w:type="character" w:customStyle="1" w:styleId="74">
    <w:name w:val="批注框文本 Char"/>
    <w:basedOn w:val="57"/>
    <w:link w:val="32"/>
    <w:autoRedefine/>
    <w:qFormat/>
    <w:uiPriority w:val="0"/>
    <w:rPr>
      <w:rFonts w:ascii="@仿宋_GB2312" w:hAnsi="@仿宋_GB2312" w:eastAsia="@仿宋_GB2312" w:cs="@仿宋_GB2312"/>
      <w:sz w:val="18"/>
      <w:szCs w:val="18"/>
    </w:rPr>
  </w:style>
  <w:style w:type="paragraph" w:customStyle="1" w:styleId="75">
    <w:name w:val="正文（缩进）"/>
    <w:basedOn w:val="1"/>
    <w:autoRedefine/>
    <w:qFormat/>
    <w:uiPriority w:val="0"/>
    <w:pPr>
      <w:widowControl/>
      <w:spacing w:before="156" w:after="156"/>
      <w:ind w:firstLine="480" w:firstLineChars="200"/>
      <w:jc w:val="left"/>
    </w:pPr>
    <w:rPr>
      <w:sz w:val="24"/>
      <w:szCs w:val="24"/>
    </w:rPr>
  </w:style>
  <w:style w:type="paragraph" w:customStyle="1" w:styleId="76">
    <w:name w:val="xl31"/>
    <w:basedOn w:val="1"/>
    <w:autoRedefine/>
    <w:qFormat/>
    <w:uiPriority w:val="0"/>
    <w:pPr>
      <w:widowControl/>
      <w:spacing w:before="100" w:beforeAutospacing="1" w:after="100" w:afterAutospacing="1"/>
      <w:jc w:val="center"/>
    </w:pPr>
    <w:rPr>
      <w:b/>
      <w:bCs/>
      <w:sz w:val="28"/>
      <w:szCs w:val="28"/>
    </w:rPr>
  </w:style>
  <w:style w:type="paragraph" w:customStyle="1" w:styleId="77">
    <w:name w:val="D&amp;L"/>
    <w:basedOn w:val="34"/>
    <w:autoRedefine/>
    <w:qFormat/>
    <w:uiPriority w:val="0"/>
    <w:pPr>
      <w:pBdr>
        <w:bottom w:val="thinThickSmallGap" w:color="auto" w:sz="18" w:space="1"/>
      </w:pBdr>
      <w:adjustRightInd w:val="0"/>
      <w:snapToGrid/>
      <w:spacing w:line="240" w:lineRule="atLeast"/>
      <w:textAlignment w:val="baseline"/>
    </w:pPr>
    <w:rPr>
      <w:sz w:val="24"/>
      <w:szCs w:val="20"/>
    </w:rPr>
  </w:style>
  <w:style w:type="character" w:customStyle="1" w:styleId="78">
    <w:name w:val="页眉 Char"/>
    <w:basedOn w:val="57"/>
    <w:link w:val="34"/>
    <w:autoRedefine/>
    <w:qFormat/>
    <w:uiPriority w:val="99"/>
    <w:rPr>
      <w:rFonts w:ascii="@仿宋_GB2312" w:hAnsi="@仿宋_GB2312" w:eastAsia="@仿宋_GB2312" w:cs="@仿宋_GB2312"/>
      <w:sz w:val="18"/>
      <w:szCs w:val="18"/>
    </w:rPr>
  </w:style>
  <w:style w:type="character" w:customStyle="1" w:styleId="79">
    <w:name w:val="页脚 Char"/>
    <w:basedOn w:val="57"/>
    <w:link w:val="33"/>
    <w:autoRedefine/>
    <w:qFormat/>
    <w:uiPriority w:val="99"/>
    <w:rPr>
      <w:rFonts w:ascii="@仿宋_GB2312" w:hAnsi="@仿宋_GB2312" w:eastAsia="@仿宋_GB2312" w:cs="@仿宋_GB2312"/>
      <w:sz w:val="18"/>
      <w:szCs w:val="18"/>
    </w:rPr>
  </w:style>
  <w:style w:type="character" w:customStyle="1" w:styleId="80">
    <w:name w:val="纯文本 Char"/>
    <w:link w:val="28"/>
    <w:autoRedefine/>
    <w:qFormat/>
    <w:uiPriority w:val="0"/>
    <w:rPr>
      <w:rFonts w:ascii="宋体" w:hAnsi="Courier New"/>
    </w:rPr>
  </w:style>
  <w:style w:type="character" w:customStyle="1" w:styleId="81">
    <w:name w:val="纯文本 字符1"/>
    <w:basedOn w:val="57"/>
    <w:autoRedefine/>
    <w:semiHidden/>
    <w:qFormat/>
    <w:uiPriority w:val="99"/>
    <w:rPr>
      <w:rFonts w:hAnsi="Courier New" w:cs="Courier New" w:asciiTheme="minorEastAsia"/>
      <w:szCs w:val="20"/>
    </w:rPr>
  </w:style>
  <w:style w:type="character" w:customStyle="1" w:styleId="82">
    <w:name w:val="未处理的提及1"/>
    <w:basedOn w:val="57"/>
    <w:autoRedefine/>
    <w:semiHidden/>
    <w:unhideWhenUsed/>
    <w:qFormat/>
    <w:uiPriority w:val="99"/>
    <w:rPr>
      <w:color w:val="605E5C"/>
      <w:shd w:val="clear" w:color="auto" w:fill="E1DFDD"/>
    </w:rPr>
  </w:style>
  <w:style w:type="paragraph" w:styleId="83">
    <w:name w:val="List Paragraph"/>
    <w:basedOn w:val="1"/>
    <w:autoRedefine/>
    <w:qFormat/>
    <w:uiPriority w:val="34"/>
    <w:pPr>
      <w:ind w:firstLine="420" w:firstLineChars="200"/>
    </w:pPr>
  </w:style>
  <w:style w:type="paragraph" w:customStyle="1" w:styleId="84">
    <w:name w:val="Char Char Char Char Char Char Char1 Char"/>
    <w:basedOn w:val="1"/>
    <w:autoRedefine/>
    <w:qFormat/>
    <w:uiPriority w:val="0"/>
    <w:rPr>
      <w:rFonts w:ascii="Arial" w:hAnsi="Arial" w:cs="Arial"/>
      <w:sz w:val="24"/>
    </w:rPr>
  </w:style>
  <w:style w:type="table" w:customStyle="1" w:styleId="85">
    <w:name w:val="网格表 1 浅色1"/>
    <w:basedOn w:val="55"/>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86">
    <w:name w:val="日期 字符"/>
    <w:basedOn w:val="57"/>
    <w:autoRedefine/>
    <w:semiHidden/>
    <w:qFormat/>
    <w:uiPriority w:val="99"/>
    <w:rPr>
      <w:rFonts w:ascii="@仿宋_GB2312" w:hAnsi="@仿宋_GB2312" w:eastAsia="@仿宋_GB2312" w:cs="@仿宋_GB2312"/>
      <w:szCs w:val="20"/>
    </w:rPr>
  </w:style>
  <w:style w:type="character" w:customStyle="1" w:styleId="87">
    <w:name w:val="日期 Char"/>
    <w:link w:val="30"/>
    <w:autoRedefine/>
    <w:qFormat/>
    <w:uiPriority w:val="0"/>
    <w:rPr>
      <w:rFonts w:ascii="Arial" w:hAnsi="Arial" w:eastAsia="宋体" w:cs="Arial"/>
      <w:b/>
      <w:sz w:val="28"/>
      <w:szCs w:val="20"/>
    </w:rPr>
  </w:style>
  <w:style w:type="character" w:customStyle="1" w:styleId="88">
    <w:name w:val="纯文本 Char1"/>
    <w:link w:val="89"/>
    <w:autoRedefine/>
    <w:qFormat/>
    <w:locked/>
    <w:uiPriority w:val="99"/>
    <w:rPr>
      <w:rFonts w:ascii="Arial" w:hAnsi="Arial" w:eastAsia="Arial"/>
      <w:kern w:val="2"/>
      <w:sz w:val="21"/>
      <w:lang w:val="en-US" w:eastAsia="zh-CN" w:bidi="ar-SA"/>
    </w:rPr>
  </w:style>
  <w:style w:type="paragraph" w:customStyle="1" w:styleId="89">
    <w:name w:val="纯文本1"/>
    <w:basedOn w:val="1"/>
    <w:link w:val="88"/>
    <w:autoRedefine/>
    <w:qFormat/>
    <w:uiPriority w:val="0"/>
    <w:rPr>
      <w:rFonts w:ascii="Arial" w:hAnsi="Arial" w:eastAsia="Arial"/>
    </w:rPr>
  </w:style>
  <w:style w:type="character" w:customStyle="1" w:styleId="90">
    <w:name w:val="批注文字 Char"/>
    <w:basedOn w:val="57"/>
    <w:autoRedefine/>
    <w:qFormat/>
    <w:uiPriority w:val="0"/>
    <w:rPr>
      <w:rFonts w:ascii="@仿宋_GB2312" w:hAnsi="@仿宋_GB2312" w:eastAsia="@仿宋_GB2312" w:cs="@仿宋_GB2312"/>
      <w:szCs w:val="20"/>
    </w:rPr>
  </w:style>
  <w:style w:type="character" w:customStyle="1" w:styleId="91">
    <w:name w:val="批注文字 Char1"/>
    <w:link w:val="16"/>
    <w:autoRedefine/>
    <w:qFormat/>
    <w:uiPriority w:val="99"/>
    <w:rPr>
      <w:rFonts w:ascii="Arial" w:hAnsi="Arial" w:eastAsia="黑体" w:cs="Arial"/>
      <w:szCs w:val="20"/>
    </w:rPr>
  </w:style>
  <w:style w:type="character" w:customStyle="1" w:styleId="92">
    <w:name w:val="标题 1 Char"/>
    <w:basedOn w:val="57"/>
    <w:link w:val="2"/>
    <w:autoRedefine/>
    <w:qFormat/>
    <w:uiPriority w:val="0"/>
    <w:rPr>
      <w:rFonts w:ascii="@仿宋_GB2312" w:hAnsi="@仿宋_GB2312" w:eastAsia="@仿宋_GB2312" w:cs="@仿宋_GB2312"/>
      <w:b/>
      <w:bCs/>
      <w:kern w:val="44"/>
      <w:sz w:val="44"/>
      <w:szCs w:val="44"/>
    </w:rPr>
  </w:style>
  <w:style w:type="paragraph" w:customStyle="1" w:styleId="93">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94">
    <w:name w:val="标题 3 Char"/>
    <w:basedOn w:val="57"/>
    <w:link w:val="4"/>
    <w:autoRedefine/>
    <w:qFormat/>
    <w:uiPriority w:val="0"/>
    <w:rPr>
      <w:rFonts w:ascii="@仿宋_GB2312" w:hAnsi="@仿宋_GB2312" w:eastAsia="@仿宋_GB2312" w:cs="@仿宋_GB2312"/>
      <w:b/>
      <w:bCs/>
      <w:sz w:val="32"/>
      <w:szCs w:val="32"/>
    </w:rPr>
  </w:style>
  <w:style w:type="character" w:customStyle="1" w:styleId="95">
    <w:name w:val="fontstyle01"/>
    <w:basedOn w:val="57"/>
    <w:autoRedefine/>
    <w:qFormat/>
    <w:uiPriority w:val="0"/>
    <w:rPr>
      <w:rFonts w:hint="eastAsia" w:ascii="宋体" w:hAnsi="宋体" w:eastAsia="宋体"/>
      <w:color w:val="000000"/>
      <w:sz w:val="22"/>
      <w:szCs w:val="22"/>
    </w:rPr>
  </w:style>
  <w:style w:type="character" w:customStyle="1" w:styleId="96">
    <w:name w:val="fontstyle21"/>
    <w:basedOn w:val="57"/>
    <w:autoRedefine/>
    <w:qFormat/>
    <w:uiPriority w:val="0"/>
    <w:rPr>
      <w:rFonts w:hint="default" w:ascii="TimesNewRomanPSMT" w:hAnsi="TimesNewRomanPSMT"/>
      <w:color w:val="000000"/>
      <w:sz w:val="22"/>
      <w:szCs w:val="22"/>
    </w:rPr>
  </w:style>
  <w:style w:type="character" w:customStyle="1" w:styleId="97">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98">
    <w:name w:val="标题 4 字符"/>
    <w:basedOn w:val="57"/>
    <w:autoRedefine/>
    <w:semiHidden/>
    <w:qFormat/>
    <w:uiPriority w:val="9"/>
    <w:rPr>
      <w:rFonts w:asciiTheme="majorHAnsi" w:hAnsiTheme="majorHAnsi" w:eastAsiaTheme="majorEastAsia" w:cstheme="majorBidi"/>
      <w:b/>
      <w:bCs/>
      <w:sz w:val="28"/>
      <w:szCs w:val="28"/>
    </w:rPr>
  </w:style>
  <w:style w:type="character" w:customStyle="1" w:styleId="99">
    <w:name w:val="标题 4 Char"/>
    <w:link w:val="5"/>
    <w:autoRedefine/>
    <w:qFormat/>
    <w:uiPriority w:val="0"/>
    <w:rPr>
      <w:rFonts w:ascii="@仿宋_GB2312" w:hAnsi="@仿宋_GB2312" w:eastAsia="@仿宋_GB2312" w:cs="@仿宋_GB2312"/>
      <w:b/>
      <w:bCs/>
      <w:sz w:val="28"/>
      <w:szCs w:val="28"/>
    </w:rPr>
  </w:style>
  <w:style w:type="character" w:customStyle="1" w:styleId="100">
    <w:name w:val="正文文本 Char"/>
    <w:basedOn w:val="57"/>
    <w:link w:val="19"/>
    <w:autoRedefine/>
    <w:qFormat/>
    <w:uiPriority w:val="0"/>
    <w:rPr>
      <w:rFonts w:ascii="@微软简标宋" w:hAnsi="@微软简标宋" w:eastAsia="@微软简标宋" w:cs="@微软简标宋"/>
      <w:szCs w:val="24"/>
      <w:lang w:val="zh-CN" w:eastAsia="zh-CN"/>
    </w:rPr>
  </w:style>
  <w:style w:type="table" w:customStyle="1" w:styleId="101">
    <w:name w:val="网格型1"/>
    <w:basedOn w:val="55"/>
    <w:autoRedefine/>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2">
    <w:name w:val="批注主题 Char"/>
    <w:basedOn w:val="91"/>
    <w:link w:val="52"/>
    <w:autoRedefine/>
    <w:qFormat/>
    <w:uiPriority w:val="0"/>
    <w:rPr>
      <w:rFonts w:ascii="Arial" w:hAnsi="Arial" w:eastAsia="黑体" w:cs="Arial"/>
      <w:b/>
      <w:bCs/>
      <w:szCs w:val="20"/>
    </w:rPr>
  </w:style>
  <w:style w:type="paragraph" w:customStyle="1" w:styleId="103">
    <w:name w:val="普通 (Web)"/>
    <w:basedOn w:val="1"/>
    <w:autoRedefine/>
    <w:qFormat/>
    <w:uiPriority w:val="0"/>
    <w:pPr>
      <w:widowControl/>
      <w:spacing w:before="100" w:beforeAutospacing="1" w:after="100" w:afterAutospacing="1"/>
      <w:jc w:val="left"/>
    </w:pPr>
    <w:rPr>
      <w:rFonts w:cs="Times New Roman"/>
      <w:sz w:val="24"/>
      <w:szCs w:val="24"/>
    </w:rPr>
  </w:style>
  <w:style w:type="table" w:customStyle="1" w:styleId="104">
    <w:name w:val="网格型2"/>
    <w:basedOn w:val="55"/>
    <w:autoRedefine/>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5">
    <w:name w:val="标题 2 Char"/>
    <w:basedOn w:val="57"/>
    <w:link w:val="3"/>
    <w:autoRedefine/>
    <w:qFormat/>
    <w:uiPriority w:val="0"/>
    <w:rPr>
      <w:rFonts w:ascii="Cambria" w:hAnsi="Cambria" w:cs="Times New Roman"/>
      <w:b/>
      <w:bCs/>
      <w:kern w:val="2"/>
      <w:sz w:val="32"/>
      <w:szCs w:val="32"/>
      <w:lang w:val="zh-CN" w:eastAsia="zh-CN"/>
    </w:rPr>
  </w:style>
  <w:style w:type="character" w:customStyle="1" w:styleId="106">
    <w:name w:val="标题 5 Char"/>
    <w:basedOn w:val="57"/>
    <w:link w:val="6"/>
    <w:autoRedefine/>
    <w:qFormat/>
    <w:uiPriority w:val="0"/>
    <w:rPr>
      <w:rFonts w:ascii="Calibri" w:hAnsi="Calibri" w:cs="Times New Roman"/>
      <w:b/>
      <w:bCs/>
      <w:kern w:val="2"/>
      <w:sz w:val="28"/>
      <w:szCs w:val="28"/>
      <w:lang w:val="zh-CN" w:eastAsia="zh-CN"/>
    </w:rPr>
  </w:style>
  <w:style w:type="character" w:customStyle="1" w:styleId="107">
    <w:name w:val="标题 6 Char"/>
    <w:basedOn w:val="57"/>
    <w:link w:val="7"/>
    <w:autoRedefine/>
    <w:qFormat/>
    <w:uiPriority w:val="0"/>
    <w:rPr>
      <w:rFonts w:ascii="Times New Roman" w:hAnsi="Times New Roman" w:cs="Times New Roman"/>
      <w:b/>
      <w:bCs/>
      <w:kern w:val="2"/>
      <w:sz w:val="30"/>
      <w:szCs w:val="18"/>
      <w:lang w:val="zh-CN" w:eastAsia="zh-CN"/>
    </w:rPr>
  </w:style>
  <w:style w:type="character" w:customStyle="1" w:styleId="108">
    <w:name w:val="标题 7 Char"/>
    <w:basedOn w:val="57"/>
    <w:link w:val="8"/>
    <w:autoRedefine/>
    <w:qFormat/>
    <w:uiPriority w:val="0"/>
    <w:rPr>
      <w:rFonts w:ascii="Times New Roman" w:hAnsi="Times New Roman" w:cs="Times New Roman"/>
      <w:b/>
      <w:bCs/>
      <w:kern w:val="2"/>
      <w:sz w:val="30"/>
      <w:szCs w:val="18"/>
      <w:lang w:val="zh-CN" w:eastAsia="zh-CN"/>
    </w:rPr>
  </w:style>
  <w:style w:type="character" w:customStyle="1" w:styleId="109">
    <w:name w:val="标题 8 Char"/>
    <w:basedOn w:val="57"/>
    <w:link w:val="9"/>
    <w:autoRedefine/>
    <w:qFormat/>
    <w:uiPriority w:val="0"/>
    <w:rPr>
      <w:rFonts w:eastAsia="黑体" w:cs="Times New Roman"/>
      <w:kern w:val="2"/>
      <w:sz w:val="32"/>
      <w:szCs w:val="32"/>
      <w:lang w:val="zh-CN" w:eastAsia="zh-CN"/>
    </w:rPr>
  </w:style>
  <w:style w:type="character" w:customStyle="1" w:styleId="110">
    <w:name w:val="标题 9 Char"/>
    <w:basedOn w:val="57"/>
    <w:link w:val="10"/>
    <w:autoRedefine/>
    <w:qFormat/>
    <w:uiPriority w:val="0"/>
    <w:rPr>
      <w:rFonts w:ascii="Cambria" w:hAnsi="Cambria" w:cs="Times New Roman"/>
      <w:kern w:val="2"/>
      <w:sz w:val="21"/>
      <w:szCs w:val="21"/>
      <w:lang w:val="zh-CN" w:eastAsia="zh-CN"/>
    </w:rPr>
  </w:style>
  <w:style w:type="character" w:customStyle="1" w:styleId="111">
    <w:name w:val="纯文本 Char2"/>
    <w:autoRedefine/>
    <w:qFormat/>
    <w:uiPriority w:val="0"/>
    <w:rPr>
      <w:rFonts w:ascii="宋体" w:hAnsi="Courier New"/>
    </w:rPr>
  </w:style>
  <w:style w:type="table" w:customStyle="1" w:styleId="112">
    <w:name w:val="网格型3"/>
    <w:basedOn w:val="55"/>
    <w:autoRedefine/>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3">
    <w:name w:val="网格表 1 浅色11"/>
    <w:basedOn w:val="55"/>
    <w:autoRedefine/>
    <w:qFormat/>
    <w:uiPriority w:val="46"/>
    <w:rPr>
      <w:rFonts w:asciiTheme="minorHAnsi" w:hAnsiTheme="minorHAnsi" w:eastAsiaTheme="minorEastAsia"/>
      <w:kern w:val="2"/>
      <w:sz w:val="21"/>
      <w:szCs w:val="22"/>
    </w:r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paragraph" w:customStyle="1" w:styleId="114">
    <w:name w:val="TOC 标题2"/>
    <w:basedOn w:val="2"/>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115">
    <w:name w:val="正文文本缩进 Char"/>
    <w:basedOn w:val="57"/>
    <w:link w:val="20"/>
    <w:autoRedefine/>
    <w:qFormat/>
    <w:uiPriority w:val="0"/>
    <w:rPr>
      <w:rFonts w:asciiTheme="minorHAnsi" w:hAnsiTheme="minorHAnsi"/>
      <w:kern w:val="2"/>
      <w:sz w:val="21"/>
      <w:szCs w:val="22"/>
    </w:rPr>
  </w:style>
  <w:style w:type="paragraph" w:customStyle="1" w:styleId="116">
    <w:name w:val="Char"/>
    <w:basedOn w:val="1"/>
    <w:autoRedefine/>
    <w:qFormat/>
    <w:uiPriority w:val="0"/>
    <w:rPr>
      <w:rFonts w:ascii="Tahoma" w:hAnsi="Tahoma" w:cs="Times New Roman"/>
      <w:sz w:val="24"/>
    </w:rPr>
  </w:style>
  <w:style w:type="character" w:customStyle="1" w:styleId="117">
    <w:name w:val="脚注文本 Char"/>
    <w:basedOn w:val="57"/>
    <w:link w:val="42"/>
    <w:autoRedefine/>
    <w:qFormat/>
    <w:uiPriority w:val="0"/>
    <w:rPr>
      <w:rFonts w:ascii="Times New Roman" w:hAnsi="Times New Roman" w:cs="Times New Roman"/>
      <w:kern w:val="2"/>
      <w:sz w:val="18"/>
      <w:szCs w:val="18"/>
      <w:lang w:val="zh-CN" w:eastAsia="zh-CN"/>
    </w:rPr>
  </w:style>
  <w:style w:type="paragraph" w:customStyle="1" w:styleId="118">
    <w:name w:val="样式 标题 3 + (中文) 黑体 小四 非加粗 段前: 7.8 磅 段后: 0 磅 行距: 固定值 20 磅"/>
    <w:basedOn w:val="4"/>
    <w:autoRedefine/>
    <w:qFormat/>
    <w:uiPriority w:val="0"/>
    <w:pPr>
      <w:spacing w:before="120" w:after="120" w:line="400" w:lineRule="exact"/>
      <w:jc w:val="left"/>
    </w:pPr>
    <w:rPr>
      <w:rFonts w:ascii="黑体" w:hAnsi="黑体" w:eastAsia="黑体" w:cs="宋体"/>
      <w:bCs w:val="0"/>
      <w:kern w:val="2"/>
      <w:sz w:val="24"/>
      <w:szCs w:val="20"/>
      <w:lang w:val="zh-CN"/>
    </w:rPr>
  </w:style>
  <w:style w:type="paragraph" w:customStyle="1" w:styleId="119">
    <w:name w:val="样式 标题 2 + Times New Roman 四号 非加粗 段前: 5 磅 段后: 0 磅 行距: 固定值 20..."/>
    <w:basedOn w:val="3"/>
    <w:autoRedefine/>
    <w:qFormat/>
    <w:uiPriority w:val="0"/>
    <w:pPr>
      <w:spacing w:before="100" w:after="0" w:line="400" w:lineRule="exact"/>
    </w:pPr>
    <w:rPr>
      <w:rFonts w:ascii="Times New Roman" w:hAnsi="Times New Roman" w:eastAsia="黑体" w:cs="宋体"/>
      <w:b w:val="0"/>
      <w:bCs w:val="0"/>
      <w:sz w:val="28"/>
      <w:szCs w:val="20"/>
    </w:rPr>
  </w:style>
  <w:style w:type="paragraph" w:customStyle="1" w:styleId="120">
    <w:name w:val="Normal_2"/>
    <w:autoRedefine/>
    <w:qFormat/>
    <w:uiPriority w:val="0"/>
    <w:rPr>
      <w:rFonts w:ascii="Times New Roman" w:hAnsi="Times New Roman" w:eastAsia="Times New Roman" w:cs="Times New Roman"/>
      <w:sz w:val="24"/>
      <w:szCs w:val="24"/>
      <w:lang w:val="en-US" w:eastAsia="zh-CN" w:bidi="ar-SA"/>
    </w:rPr>
  </w:style>
  <w:style w:type="character" w:customStyle="1" w:styleId="121">
    <w:name w:val="称呼 Char"/>
    <w:basedOn w:val="57"/>
    <w:link w:val="17"/>
    <w:autoRedefine/>
    <w:qFormat/>
    <w:uiPriority w:val="0"/>
    <w:rPr>
      <w:rFonts w:ascii="仿宋_GB2312" w:hAnsi="Times New Roman" w:eastAsia="仿宋_GB2312" w:cs="Times New Roman"/>
      <w:kern w:val="2"/>
      <w:sz w:val="28"/>
      <w:lang w:val="zh-CN" w:eastAsia="zh-CN"/>
    </w:rPr>
  </w:style>
  <w:style w:type="paragraph" w:customStyle="1" w:styleId="1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123">
    <w:name w:val="正文1"/>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24">
    <w:name w:val="正文_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5">
    <w:name w:val="正文_2_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6">
    <w:name w:val="正文_2_1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7">
    <w:name w:val="Normal_1"/>
    <w:autoRedefine/>
    <w:qFormat/>
    <w:uiPriority w:val="0"/>
    <w:rPr>
      <w:rFonts w:ascii="Times New Roman" w:hAnsi="Times New Roman" w:eastAsia="Times New Roman" w:cs="Times New Roman"/>
      <w:sz w:val="24"/>
      <w:szCs w:val="24"/>
      <w:lang w:val="en-US" w:eastAsia="zh-CN" w:bidi="ar-SA"/>
    </w:rPr>
  </w:style>
  <w:style w:type="paragraph" w:customStyle="1" w:styleId="128">
    <w:name w:val="Normal_3"/>
    <w:autoRedefine/>
    <w:qFormat/>
    <w:uiPriority w:val="0"/>
    <w:rPr>
      <w:rFonts w:ascii="Times New Roman" w:hAnsi="Times New Roman" w:eastAsia="Times New Roman" w:cs="Times New Roman"/>
      <w:sz w:val="24"/>
      <w:szCs w:val="24"/>
      <w:lang w:val="en-US" w:eastAsia="zh-CN" w:bidi="ar-SA"/>
    </w:rPr>
  </w:style>
  <w:style w:type="paragraph" w:customStyle="1" w:styleId="129">
    <w:name w:val="Char Char Char Char Char Char"/>
    <w:basedOn w:val="1"/>
    <w:autoRedefine/>
    <w:qFormat/>
    <w:uiPriority w:val="0"/>
    <w:rPr>
      <w:rFonts w:ascii="Tahoma" w:hAnsi="Tahoma" w:cs="Times New Roman"/>
      <w:kern w:val="2"/>
      <w:sz w:val="24"/>
    </w:rPr>
  </w:style>
  <w:style w:type="paragraph" w:customStyle="1" w:styleId="130">
    <w:name w:val="Blockquote"/>
    <w:basedOn w:val="1"/>
    <w:link w:val="131"/>
    <w:autoRedefine/>
    <w:qFormat/>
    <w:uiPriority w:val="0"/>
    <w:pPr>
      <w:autoSpaceDE w:val="0"/>
      <w:autoSpaceDN w:val="0"/>
      <w:adjustRightInd w:val="0"/>
      <w:spacing w:before="100" w:after="100"/>
      <w:ind w:left="360" w:right="360"/>
      <w:jc w:val="left"/>
    </w:pPr>
    <w:rPr>
      <w:rFonts w:ascii="Times New Roman" w:hAnsi="Times New Roman" w:cs="Times New Roman"/>
      <w:sz w:val="24"/>
      <w:lang w:val="zh-CN"/>
    </w:rPr>
  </w:style>
  <w:style w:type="character" w:customStyle="1" w:styleId="131">
    <w:name w:val="Blockquote Char"/>
    <w:link w:val="130"/>
    <w:autoRedefine/>
    <w:qFormat/>
    <w:uiPriority w:val="0"/>
    <w:rPr>
      <w:rFonts w:ascii="Times New Roman" w:hAnsi="Times New Roman" w:cs="Times New Roman"/>
      <w:sz w:val="24"/>
      <w:lang w:val="zh-CN" w:eastAsia="zh-CN"/>
    </w:rPr>
  </w:style>
  <w:style w:type="paragraph" w:customStyle="1" w:styleId="132">
    <w:name w:val="xl22"/>
    <w:basedOn w:val="1"/>
    <w:autoRedefine/>
    <w:qFormat/>
    <w:uiPriority w:val="0"/>
    <w:pPr>
      <w:widowControl/>
      <w:pBdr>
        <w:bottom w:val="single" w:color="auto" w:sz="4" w:space="0"/>
        <w:right w:val="single" w:color="auto" w:sz="4" w:space="0"/>
      </w:pBdr>
      <w:spacing w:before="100" w:beforeAutospacing="1" w:after="100" w:afterAutospacing="1"/>
      <w:jc w:val="center"/>
    </w:pPr>
    <w:rPr>
      <w:rFonts w:ascii="Calibri" w:hAnsi="Calibri" w:cs="Times New Roman"/>
      <w:sz w:val="24"/>
      <w:szCs w:val="22"/>
    </w:rPr>
  </w:style>
  <w:style w:type="character" w:customStyle="1" w:styleId="133">
    <w:name w:val="tdrownotice1"/>
    <w:autoRedefine/>
    <w:qFormat/>
    <w:uiPriority w:val="0"/>
    <w:rPr>
      <w:sz w:val="22"/>
    </w:rPr>
  </w:style>
  <w:style w:type="paragraph" w:customStyle="1" w:styleId="134">
    <w:name w:val="段落2"/>
    <w:basedOn w:val="1"/>
    <w:autoRedefine/>
    <w:qFormat/>
    <w:uiPriority w:val="0"/>
    <w:pPr>
      <w:spacing w:line="360" w:lineRule="auto"/>
      <w:ind w:firstLine="480" w:firstLineChars="200"/>
    </w:pPr>
    <w:rPr>
      <w:rFonts w:ascii="Calibri" w:hAnsi="Calibri" w:cs="Courier New"/>
      <w:kern w:val="2"/>
      <w:sz w:val="24"/>
      <w:szCs w:val="21"/>
    </w:rPr>
  </w:style>
  <w:style w:type="character" w:customStyle="1" w:styleId="135">
    <w:name w:val="正文文本缩进 3 Char"/>
    <w:basedOn w:val="57"/>
    <w:link w:val="44"/>
    <w:autoRedefine/>
    <w:qFormat/>
    <w:uiPriority w:val="0"/>
    <w:rPr>
      <w:rFonts w:hAnsi="MS Sans Serif" w:cs="Times New Roman"/>
      <w:bCs/>
      <w:color w:val="000000"/>
      <w:sz w:val="24"/>
      <w:lang w:val="zh-CN" w:eastAsia="zh-CN"/>
    </w:rPr>
  </w:style>
  <w:style w:type="character" w:customStyle="1" w:styleId="136">
    <w:name w:val="正文文本缩进 2 Char"/>
    <w:basedOn w:val="57"/>
    <w:link w:val="31"/>
    <w:autoRedefine/>
    <w:qFormat/>
    <w:uiPriority w:val="0"/>
    <w:rPr>
      <w:rFonts w:hAnsi="MS Sans Serif" w:cs="Times New Roman"/>
      <w:bCs/>
      <w:spacing w:val="12"/>
      <w:sz w:val="24"/>
      <w:lang w:val="zh-CN" w:eastAsia="zh-CN"/>
    </w:rPr>
  </w:style>
  <w:style w:type="paragraph" w:customStyle="1" w:styleId="137">
    <w:name w:val="目录"/>
    <w:basedOn w:val="1"/>
    <w:autoRedefine/>
    <w:qFormat/>
    <w:uiPriority w:val="0"/>
    <w:pPr>
      <w:widowControl/>
      <w:jc w:val="center"/>
    </w:pPr>
    <w:rPr>
      <w:rFonts w:hAnsi="Calibri" w:cs="Times New Roman"/>
      <w:b/>
      <w:sz w:val="36"/>
    </w:rPr>
  </w:style>
  <w:style w:type="paragraph" w:customStyle="1" w:styleId="138">
    <w:name w:val="目录文字"/>
    <w:basedOn w:val="1"/>
    <w:autoRedefine/>
    <w:qFormat/>
    <w:uiPriority w:val="0"/>
    <w:pPr>
      <w:widowControl/>
      <w:spacing w:line="480" w:lineRule="auto"/>
      <w:jc w:val="left"/>
    </w:pPr>
    <w:rPr>
      <w:rFonts w:cs="Times New Roman"/>
      <w:sz w:val="24"/>
    </w:rPr>
  </w:style>
  <w:style w:type="character" w:customStyle="1" w:styleId="139">
    <w:name w:val="正文文本 2 Char"/>
    <w:basedOn w:val="57"/>
    <w:link w:val="47"/>
    <w:autoRedefine/>
    <w:qFormat/>
    <w:uiPriority w:val="0"/>
    <w:rPr>
      <w:rFonts w:hAnsi="Times New Roman" w:cs="Times New Roman"/>
      <w:spacing w:val="-20"/>
      <w:kern w:val="2"/>
      <w:sz w:val="28"/>
      <w:lang w:val="zh-CN" w:eastAsia="zh-CN"/>
    </w:rPr>
  </w:style>
  <w:style w:type="character" w:customStyle="1" w:styleId="140">
    <w:name w:val="正文文本 3 Char"/>
    <w:basedOn w:val="57"/>
    <w:link w:val="18"/>
    <w:autoRedefine/>
    <w:qFormat/>
    <w:uiPriority w:val="0"/>
    <w:rPr>
      <w:rFonts w:ascii="仿宋_GB2312" w:eastAsia="仿宋_GB2312" w:cs="Times New Roman"/>
      <w:bCs/>
      <w:color w:val="000000"/>
      <w:kern w:val="2"/>
      <w:sz w:val="24"/>
      <w:szCs w:val="32"/>
      <w:lang w:val="zh-CN" w:eastAsia="zh-CN"/>
    </w:rPr>
  </w:style>
  <w:style w:type="paragraph" w:customStyle="1" w:styleId="141">
    <w:name w:val="Preformatted"/>
    <w:basedOn w:val="1"/>
    <w:autoRedefine/>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cs="Times New Roman"/>
    </w:rPr>
  </w:style>
  <w:style w:type="paragraph" w:customStyle="1" w:styleId="142">
    <w:name w:val="xl33"/>
    <w:basedOn w:val="1"/>
    <w:autoRedefine/>
    <w:qFormat/>
    <w:uiPriority w:val="0"/>
    <w:pPr>
      <w:widowControl/>
      <w:pBdr>
        <w:left w:val="single" w:color="auto" w:sz="4" w:space="0"/>
      </w:pBdr>
      <w:spacing w:before="100" w:beforeAutospacing="1" w:after="100" w:afterAutospacing="1"/>
      <w:jc w:val="center"/>
      <w:textAlignment w:val="center"/>
    </w:pPr>
    <w:rPr>
      <w:rFonts w:ascii="Arial Unicode MS" w:hAnsi="Arial Unicode MS" w:eastAsia="Arial Unicode MS" w:cs="Arial Unicode MS"/>
      <w:sz w:val="28"/>
      <w:szCs w:val="28"/>
    </w:rPr>
  </w:style>
  <w:style w:type="character" w:customStyle="1" w:styleId="143">
    <w:name w:val="标题 Char"/>
    <w:basedOn w:val="57"/>
    <w:link w:val="51"/>
    <w:autoRedefine/>
    <w:qFormat/>
    <w:uiPriority w:val="0"/>
    <w:rPr>
      <w:rFonts w:eastAsia="黑体" w:cs="Times New Roman"/>
      <w:b/>
      <w:smallCaps/>
      <w:snapToGrid w:val="0"/>
      <w:kern w:val="2"/>
      <w:sz w:val="44"/>
      <w:szCs w:val="24"/>
      <w:lang w:val="zh-CN" w:eastAsia="zh-CN"/>
    </w:rPr>
  </w:style>
  <w:style w:type="paragraph" w:customStyle="1" w:styleId="144">
    <w:name w:val="段落1 Char"/>
    <w:basedOn w:val="28"/>
    <w:autoRedefine/>
    <w:qFormat/>
    <w:uiPriority w:val="0"/>
    <w:pPr>
      <w:spacing w:line="360" w:lineRule="auto"/>
    </w:pPr>
    <w:rPr>
      <w:rFonts w:ascii="Times New Roman" w:hAnsi="Times New Roman" w:eastAsia="宋体" w:cs="Times New Roman"/>
      <w:kern w:val="2"/>
      <w:sz w:val="24"/>
      <w:szCs w:val="21"/>
      <w:lang w:val="zh-CN"/>
    </w:rPr>
  </w:style>
  <w:style w:type="paragraph" w:customStyle="1" w:styleId="145">
    <w:name w:val="样式3"/>
    <w:basedOn w:val="1"/>
    <w:autoRedefine/>
    <w:qFormat/>
    <w:uiPriority w:val="0"/>
    <w:pPr>
      <w:tabs>
        <w:tab w:val="left" w:pos="560"/>
        <w:tab w:val="left" w:pos="1120"/>
      </w:tabs>
      <w:spacing w:line="480" w:lineRule="atLeast"/>
    </w:pPr>
    <w:rPr>
      <w:rFonts w:ascii="Calibri" w:hAnsi="Calibri" w:eastAsia="创艺简黑体" w:cs="Times New Roman"/>
      <w:b/>
      <w:kern w:val="2"/>
      <w:sz w:val="28"/>
    </w:rPr>
  </w:style>
  <w:style w:type="paragraph" w:customStyle="1" w:styleId="146">
    <w:name w:val="简单回函地址"/>
    <w:basedOn w:val="1"/>
    <w:autoRedefine/>
    <w:qFormat/>
    <w:uiPriority w:val="0"/>
    <w:rPr>
      <w:rFonts w:ascii="Calibri" w:hAnsi="Calibri" w:cs="Times New Roman"/>
      <w:kern w:val="2"/>
      <w:sz w:val="21"/>
      <w:szCs w:val="22"/>
    </w:rPr>
  </w:style>
  <w:style w:type="paragraph" w:customStyle="1" w:styleId="147">
    <w:name w:val="Char Char Char Char"/>
    <w:basedOn w:val="1"/>
    <w:autoRedefine/>
    <w:qFormat/>
    <w:uiPriority w:val="0"/>
    <w:pPr>
      <w:snapToGrid w:val="0"/>
      <w:spacing w:line="360" w:lineRule="auto"/>
      <w:ind w:firstLine="200" w:firstLineChars="200"/>
    </w:pPr>
    <w:rPr>
      <w:rFonts w:ascii="Calibri" w:hAnsi="Calibri" w:eastAsia="仿宋_GB2312" w:cs="Times New Roman"/>
      <w:kern w:val="2"/>
      <w:sz w:val="24"/>
      <w:szCs w:val="22"/>
    </w:rPr>
  </w:style>
  <w:style w:type="paragraph" w:customStyle="1" w:styleId="148">
    <w:name w:val="Default Paragraph Char Char Char Char"/>
    <w:basedOn w:val="1"/>
    <w:next w:val="1"/>
    <w:autoRedefine/>
    <w:qFormat/>
    <w:uiPriority w:val="0"/>
    <w:pPr>
      <w:widowControl/>
      <w:spacing w:line="360" w:lineRule="auto"/>
      <w:jc w:val="left"/>
    </w:pPr>
    <w:rPr>
      <w:rFonts w:ascii="Calibri" w:hAnsi="Calibri" w:cs="Times New Roman"/>
      <w:sz w:val="21"/>
      <w:lang w:eastAsia="en-US"/>
    </w:rPr>
  </w:style>
  <w:style w:type="character" w:customStyle="1" w:styleId="149">
    <w:name w:val="t_tag"/>
    <w:basedOn w:val="57"/>
    <w:autoRedefine/>
    <w:qFormat/>
    <w:uiPriority w:val="0"/>
  </w:style>
  <w:style w:type="table" w:customStyle="1" w:styleId="150">
    <w:name w:val="网格型11"/>
    <w:basedOn w:val="55"/>
    <w:autoRedefine/>
    <w:qFormat/>
    <w:uiPriority w:val="5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51">
    <w:name w:val="批注框文本 Char1"/>
    <w:basedOn w:val="57"/>
    <w:autoRedefine/>
    <w:qFormat/>
    <w:uiPriority w:val="0"/>
    <w:rPr>
      <w:rFonts w:ascii="Times New Roman" w:hAnsi="Times New Roman" w:eastAsia="宋体" w:cs="Times New Roman"/>
      <w:sz w:val="18"/>
      <w:szCs w:val="18"/>
    </w:rPr>
  </w:style>
  <w:style w:type="character" w:customStyle="1" w:styleId="152">
    <w:name w:val="批注主题 Char1"/>
    <w:basedOn w:val="91"/>
    <w:autoRedefine/>
    <w:qFormat/>
    <w:uiPriority w:val="0"/>
    <w:rPr>
      <w:rFonts w:ascii="@仿宋_GB2312" w:hAnsi="@仿宋_GB2312" w:eastAsia="@仿宋_GB2312" w:cs="@仿宋_GB2312"/>
      <w:b/>
      <w:bCs/>
      <w:szCs w:val="20"/>
    </w:rPr>
  </w:style>
  <w:style w:type="paragraph" w:customStyle="1" w:styleId="153">
    <w:name w:val="Char10 Char Char Char Char Char Char Char Char Char"/>
    <w:basedOn w:val="1"/>
    <w:next w:val="1"/>
    <w:autoRedefine/>
    <w:qFormat/>
    <w:uiPriority w:val="0"/>
    <w:rPr>
      <w:rFonts w:ascii="Calibri" w:hAnsi="Calibri" w:cs="Times New Roman"/>
      <w:kern w:val="2"/>
      <w:sz w:val="21"/>
      <w:szCs w:val="22"/>
    </w:rPr>
  </w:style>
  <w:style w:type="character" w:customStyle="1" w:styleId="154">
    <w:name w:val="文档结构图 Char"/>
    <w:basedOn w:val="57"/>
    <w:link w:val="15"/>
    <w:autoRedefine/>
    <w:qFormat/>
    <w:uiPriority w:val="0"/>
    <w:rPr>
      <w:rFonts w:ascii="Calibri" w:hAnsi="Calibri" w:cs="Times New Roman"/>
      <w:bCs/>
      <w:kern w:val="2"/>
      <w:sz w:val="21"/>
      <w:szCs w:val="32"/>
      <w:shd w:val="clear" w:color="auto" w:fill="000080"/>
      <w:lang w:val="zh-CN" w:eastAsia="zh-CN"/>
    </w:rPr>
  </w:style>
  <w:style w:type="character" w:customStyle="1" w:styleId="155">
    <w:name w:val="标题 1 Char1"/>
    <w:autoRedefine/>
    <w:qFormat/>
    <w:uiPriority w:val="0"/>
    <w:rPr>
      <w:rFonts w:ascii="Calibri" w:hAnsi="Calibri" w:eastAsia="宋体"/>
      <w:b/>
      <w:kern w:val="44"/>
      <w:sz w:val="44"/>
      <w:szCs w:val="44"/>
    </w:rPr>
  </w:style>
  <w:style w:type="character" w:customStyle="1" w:styleId="156">
    <w:name w:val="标题 3 Char1"/>
    <w:autoRedefine/>
    <w:semiHidden/>
    <w:qFormat/>
    <w:uiPriority w:val="0"/>
    <w:rPr>
      <w:rFonts w:ascii="Calibri" w:hAnsi="Calibri" w:eastAsia="宋体"/>
      <w:b/>
      <w:kern w:val="2"/>
      <w:sz w:val="32"/>
    </w:rPr>
  </w:style>
  <w:style w:type="character" w:customStyle="1" w:styleId="157">
    <w:name w:val="标题 4 Char1"/>
    <w:autoRedefine/>
    <w:semiHidden/>
    <w:qFormat/>
    <w:uiPriority w:val="0"/>
    <w:rPr>
      <w:rFonts w:ascii="Cambria" w:hAnsi="Cambria" w:eastAsia="宋体"/>
      <w:b/>
      <w:kern w:val="2"/>
      <w:sz w:val="28"/>
      <w:szCs w:val="28"/>
    </w:rPr>
  </w:style>
  <w:style w:type="character" w:customStyle="1" w:styleId="158">
    <w:name w:val="标题 5 Char1"/>
    <w:autoRedefine/>
    <w:semiHidden/>
    <w:qFormat/>
    <w:uiPriority w:val="0"/>
    <w:rPr>
      <w:rFonts w:ascii="Calibri" w:hAnsi="Calibri" w:eastAsia="宋体"/>
      <w:b/>
      <w:kern w:val="2"/>
      <w:sz w:val="28"/>
      <w:szCs w:val="28"/>
    </w:rPr>
  </w:style>
  <w:style w:type="character" w:customStyle="1" w:styleId="159">
    <w:name w:val="标题 6 Char1"/>
    <w:autoRedefine/>
    <w:semiHidden/>
    <w:qFormat/>
    <w:uiPriority w:val="0"/>
    <w:rPr>
      <w:rFonts w:ascii="Cambria" w:hAnsi="Cambria" w:eastAsia="宋体"/>
      <w:b/>
      <w:kern w:val="2"/>
      <w:sz w:val="24"/>
      <w:szCs w:val="24"/>
    </w:rPr>
  </w:style>
  <w:style w:type="character" w:customStyle="1" w:styleId="160">
    <w:name w:val="标题 7 Char1"/>
    <w:autoRedefine/>
    <w:semiHidden/>
    <w:qFormat/>
    <w:uiPriority w:val="0"/>
    <w:rPr>
      <w:rFonts w:ascii="Calibri" w:hAnsi="Calibri" w:eastAsia="宋体"/>
      <w:b/>
      <w:kern w:val="2"/>
      <w:sz w:val="24"/>
      <w:szCs w:val="24"/>
    </w:rPr>
  </w:style>
  <w:style w:type="character" w:customStyle="1" w:styleId="161">
    <w:name w:val="标题 8 Char1"/>
    <w:autoRedefine/>
    <w:semiHidden/>
    <w:qFormat/>
    <w:uiPriority w:val="0"/>
    <w:rPr>
      <w:rFonts w:ascii="Cambria" w:hAnsi="Cambria" w:eastAsia="宋体"/>
      <w:kern w:val="2"/>
      <w:sz w:val="24"/>
      <w:szCs w:val="24"/>
    </w:rPr>
  </w:style>
  <w:style w:type="character" w:customStyle="1" w:styleId="162">
    <w:name w:val="标题 9 Char1"/>
    <w:autoRedefine/>
    <w:semiHidden/>
    <w:qFormat/>
    <w:uiPriority w:val="0"/>
    <w:rPr>
      <w:rFonts w:ascii="Cambria" w:hAnsi="Cambria" w:eastAsia="宋体"/>
      <w:kern w:val="2"/>
      <w:sz w:val="21"/>
      <w:szCs w:val="21"/>
    </w:rPr>
  </w:style>
  <w:style w:type="paragraph" w:customStyle="1" w:styleId="163">
    <w:name w:val="MsoNormal"/>
    <w:basedOn w:val="164"/>
    <w:autoRedefine/>
    <w:qFormat/>
    <w:uiPriority w:val="0"/>
    <w:rPr>
      <w:rFonts w:ascii="Calibri" w:hAnsi="Calibri" w:eastAsia="Calibri"/>
      <w:sz w:val="21"/>
    </w:rPr>
  </w:style>
  <w:style w:type="paragraph" w:customStyle="1" w:styleId="164">
    <w:name w:val="Normal_0"/>
    <w:autoRedefine/>
    <w:qFormat/>
    <w:uiPriority w:val="0"/>
    <w:rPr>
      <w:rFonts w:ascii="Times New Roman" w:hAnsi="Times New Roman" w:eastAsia="宋体" w:cs="Times New Roman"/>
      <w:sz w:val="24"/>
      <w:szCs w:val="24"/>
      <w:lang w:val="en-US" w:eastAsia="zh-CN" w:bidi="ar-SA"/>
    </w:rPr>
  </w:style>
  <w:style w:type="paragraph" w:customStyle="1" w:styleId="165">
    <w:name w:val="标题 2_0"/>
    <w:basedOn w:val="166"/>
    <w:next w:val="167"/>
    <w:link w:val="168"/>
    <w:autoRedefine/>
    <w:qFormat/>
    <w:uiPriority w:val="0"/>
    <w:pPr>
      <w:keepNext/>
      <w:keepLines/>
      <w:spacing w:before="260" w:after="260" w:line="500" w:lineRule="exact"/>
      <w:jc w:val="center"/>
      <w:outlineLvl w:val="1"/>
    </w:pPr>
    <w:rPr>
      <w:rFonts w:ascii="黑体" w:hAnsi="宋体" w:eastAsia="黑体"/>
      <w:b/>
      <w:smallCaps/>
      <w:snapToGrid w:val="0"/>
      <w:kern w:val="0"/>
      <w:sz w:val="36"/>
      <w:lang w:val="zh-CN"/>
    </w:rPr>
  </w:style>
  <w:style w:type="paragraph" w:customStyle="1" w:styleId="166">
    <w:name w:val="正文_0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7">
    <w:name w:val="正文_0"/>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68">
    <w:name w:val="标题 2 Char_0"/>
    <w:link w:val="165"/>
    <w:autoRedefine/>
    <w:qFormat/>
    <w:uiPriority w:val="0"/>
    <w:rPr>
      <w:rFonts w:ascii="黑体" w:eastAsia="黑体" w:cs="Times New Roman"/>
      <w:b/>
      <w:smallCaps/>
      <w:snapToGrid w:val="0"/>
      <w:sz w:val="36"/>
      <w:szCs w:val="24"/>
      <w:lang w:val="zh-CN" w:eastAsia="zh-CN"/>
    </w:rPr>
  </w:style>
  <w:style w:type="paragraph" w:customStyle="1" w:styleId="169">
    <w:name w:val="纯文本_0"/>
    <w:basedOn w:val="167"/>
    <w:link w:val="170"/>
    <w:autoRedefine/>
    <w:qFormat/>
    <w:uiPriority w:val="99"/>
    <w:rPr>
      <w:rFonts w:ascii="宋体" w:hAnsi="Courier New"/>
      <w:szCs w:val="21"/>
    </w:rPr>
  </w:style>
  <w:style w:type="character" w:customStyle="1" w:styleId="170">
    <w:name w:val="Texte Char1"/>
    <w:link w:val="169"/>
    <w:autoRedefine/>
    <w:qFormat/>
    <w:uiPriority w:val="99"/>
    <w:rPr>
      <w:rFonts w:hAnsi="Courier New" w:cs="Times New Roman"/>
      <w:kern w:val="2"/>
      <w:sz w:val="21"/>
      <w:szCs w:val="21"/>
    </w:rPr>
  </w:style>
  <w:style w:type="paragraph" w:customStyle="1" w:styleId="171">
    <w:name w:val="纯文本_1"/>
    <w:basedOn w:val="172"/>
    <w:link w:val="173"/>
    <w:autoRedefine/>
    <w:qFormat/>
    <w:uiPriority w:val="0"/>
    <w:rPr>
      <w:rFonts w:ascii="宋体" w:hAnsi="Courier New"/>
      <w:szCs w:val="21"/>
      <w:lang w:val="zh-CN"/>
    </w:rPr>
  </w:style>
  <w:style w:type="paragraph" w:customStyle="1" w:styleId="172">
    <w:name w:val="正文_1"/>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73">
    <w:name w:val="纯文本 Char1_0"/>
    <w:link w:val="171"/>
    <w:autoRedefine/>
    <w:qFormat/>
    <w:uiPriority w:val="0"/>
    <w:rPr>
      <w:rFonts w:hAnsi="Courier New" w:cs="Times New Roman"/>
      <w:kern w:val="2"/>
      <w:sz w:val="21"/>
      <w:szCs w:val="21"/>
      <w:lang w:val="zh-CN" w:eastAsia="zh-CN"/>
    </w:rPr>
  </w:style>
  <w:style w:type="paragraph" w:customStyle="1" w:styleId="174">
    <w:name w:val="标题 3_0"/>
    <w:basedOn w:val="175"/>
    <w:next w:val="176"/>
    <w:link w:val="187"/>
    <w:autoRedefine/>
    <w:qFormat/>
    <w:uiPriority w:val="0"/>
    <w:pPr>
      <w:keepNext/>
      <w:keepLines/>
      <w:widowControl/>
      <w:numPr>
        <w:ilvl w:val="2"/>
        <w:numId w:val="1"/>
      </w:numPr>
      <w:spacing w:before="120" w:after="120" w:line="360" w:lineRule="auto"/>
      <w:jc w:val="center"/>
      <w:outlineLvl w:val="2"/>
    </w:pPr>
    <w:rPr>
      <w:b/>
      <w:kern w:val="0"/>
      <w:sz w:val="32"/>
      <w:szCs w:val="20"/>
      <w:lang w:val="zh-CN"/>
    </w:rPr>
  </w:style>
  <w:style w:type="paragraph" w:customStyle="1" w:styleId="175">
    <w:name w:val="正文_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6">
    <w:name w:val="正文缩进_0"/>
    <w:basedOn w:val="175"/>
    <w:autoRedefine/>
    <w:unhideWhenUsed/>
    <w:qFormat/>
    <w:uiPriority w:val="0"/>
    <w:pPr>
      <w:ind w:firstLine="420" w:firstLineChars="200"/>
    </w:pPr>
    <w:rPr>
      <w:rFonts w:ascii="Calibri" w:hAnsi="Calibri"/>
      <w:bCs/>
      <w:szCs w:val="32"/>
    </w:rPr>
  </w:style>
  <w:style w:type="paragraph" w:customStyle="1" w:styleId="177">
    <w:name w:val="标题 1_0"/>
    <w:basedOn w:val="175"/>
    <w:next w:val="175"/>
    <w:link w:val="178"/>
    <w:autoRedefine/>
    <w:qFormat/>
    <w:uiPriority w:val="0"/>
    <w:pPr>
      <w:keepNext/>
      <w:widowControl/>
      <w:numPr>
        <w:ilvl w:val="0"/>
        <w:numId w:val="1"/>
      </w:numPr>
      <w:jc w:val="center"/>
      <w:outlineLvl w:val="0"/>
    </w:pPr>
    <w:rPr>
      <w:rFonts w:ascii="黑体" w:eastAsia="黑体"/>
      <w:kern w:val="0"/>
      <w:sz w:val="52"/>
      <w:szCs w:val="20"/>
      <w:lang w:val="zh-CN"/>
    </w:rPr>
  </w:style>
  <w:style w:type="character" w:customStyle="1" w:styleId="178">
    <w:name w:val="标题 1 Char_0"/>
    <w:link w:val="177"/>
    <w:autoRedefine/>
    <w:qFormat/>
    <w:uiPriority w:val="0"/>
    <w:rPr>
      <w:rFonts w:ascii="黑体" w:hAnsi="Times New Roman" w:eastAsia="黑体" w:cs="Times New Roman"/>
      <w:sz w:val="52"/>
      <w:lang w:val="zh-CN" w:eastAsia="zh-CN"/>
    </w:rPr>
  </w:style>
  <w:style w:type="paragraph" w:customStyle="1" w:styleId="179">
    <w:name w:val="标题 6_0"/>
    <w:basedOn w:val="175"/>
    <w:next w:val="175"/>
    <w:link w:val="180"/>
    <w:autoRedefine/>
    <w:qFormat/>
    <w:uiPriority w:val="0"/>
    <w:pPr>
      <w:keepNext/>
      <w:keepLines/>
      <w:widowControl/>
      <w:numPr>
        <w:ilvl w:val="5"/>
        <w:numId w:val="1"/>
      </w:numPr>
      <w:spacing w:before="240" w:after="64" w:line="320" w:lineRule="auto"/>
      <w:jc w:val="left"/>
      <w:outlineLvl w:val="5"/>
    </w:pPr>
    <w:rPr>
      <w:rFonts w:ascii="Arial" w:hAnsi="Arial" w:eastAsia="黑体"/>
      <w:b/>
      <w:bCs/>
      <w:kern w:val="0"/>
      <w:sz w:val="24"/>
      <w:lang w:val="zh-CN"/>
    </w:rPr>
  </w:style>
  <w:style w:type="character" w:customStyle="1" w:styleId="180">
    <w:name w:val="标题 6 Char_0"/>
    <w:link w:val="179"/>
    <w:autoRedefine/>
    <w:qFormat/>
    <w:uiPriority w:val="0"/>
    <w:rPr>
      <w:rFonts w:ascii="Arial" w:hAnsi="Arial" w:eastAsia="黑体" w:cs="Times New Roman"/>
      <w:b/>
      <w:bCs/>
      <w:sz w:val="24"/>
      <w:szCs w:val="24"/>
      <w:lang w:val="zh-CN" w:eastAsia="zh-CN"/>
    </w:rPr>
  </w:style>
  <w:style w:type="paragraph" w:customStyle="1" w:styleId="181">
    <w:name w:val="标题 7_0"/>
    <w:basedOn w:val="175"/>
    <w:next w:val="175"/>
    <w:link w:val="182"/>
    <w:autoRedefine/>
    <w:qFormat/>
    <w:uiPriority w:val="0"/>
    <w:pPr>
      <w:keepNext/>
      <w:keepLines/>
      <w:widowControl/>
      <w:numPr>
        <w:ilvl w:val="6"/>
        <w:numId w:val="1"/>
      </w:numPr>
      <w:spacing w:before="240" w:after="64" w:line="320" w:lineRule="auto"/>
      <w:jc w:val="left"/>
      <w:outlineLvl w:val="6"/>
    </w:pPr>
    <w:rPr>
      <w:b/>
      <w:bCs/>
      <w:kern w:val="0"/>
      <w:sz w:val="24"/>
      <w:lang w:val="zh-CN"/>
    </w:rPr>
  </w:style>
  <w:style w:type="character" w:customStyle="1" w:styleId="182">
    <w:name w:val="标题 7 Char_0"/>
    <w:link w:val="181"/>
    <w:autoRedefine/>
    <w:qFormat/>
    <w:uiPriority w:val="0"/>
    <w:rPr>
      <w:rFonts w:ascii="Times New Roman" w:hAnsi="Times New Roman" w:cs="Times New Roman"/>
      <w:b/>
      <w:bCs/>
      <w:sz w:val="24"/>
      <w:szCs w:val="24"/>
      <w:lang w:val="zh-CN" w:eastAsia="zh-CN"/>
    </w:rPr>
  </w:style>
  <w:style w:type="paragraph" w:customStyle="1" w:styleId="183">
    <w:name w:val="标题 8_0"/>
    <w:basedOn w:val="175"/>
    <w:next w:val="175"/>
    <w:link w:val="184"/>
    <w:autoRedefine/>
    <w:qFormat/>
    <w:uiPriority w:val="0"/>
    <w:pPr>
      <w:keepNext/>
      <w:keepLines/>
      <w:widowControl/>
      <w:numPr>
        <w:ilvl w:val="7"/>
        <w:numId w:val="1"/>
      </w:numPr>
      <w:spacing w:before="240" w:after="64" w:line="320" w:lineRule="auto"/>
      <w:jc w:val="left"/>
      <w:outlineLvl w:val="7"/>
    </w:pPr>
    <w:rPr>
      <w:rFonts w:ascii="Arial" w:hAnsi="Arial" w:eastAsia="黑体"/>
      <w:kern w:val="0"/>
      <w:sz w:val="24"/>
      <w:lang w:val="zh-CN"/>
    </w:rPr>
  </w:style>
  <w:style w:type="character" w:customStyle="1" w:styleId="184">
    <w:name w:val="标题 8 Char_0"/>
    <w:link w:val="183"/>
    <w:autoRedefine/>
    <w:qFormat/>
    <w:uiPriority w:val="0"/>
    <w:rPr>
      <w:rFonts w:ascii="Arial" w:hAnsi="Arial" w:eastAsia="黑体" w:cs="Times New Roman"/>
      <w:sz w:val="24"/>
      <w:szCs w:val="24"/>
      <w:lang w:val="zh-CN" w:eastAsia="zh-CN"/>
    </w:rPr>
  </w:style>
  <w:style w:type="paragraph" w:customStyle="1" w:styleId="185">
    <w:name w:val="标题 9_0"/>
    <w:basedOn w:val="175"/>
    <w:next w:val="175"/>
    <w:link w:val="186"/>
    <w:autoRedefine/>
    <w:qFormat/>
    <w:uiPriority w:val="0"/>
    <w:pPr>
      <w:keepNext/>
      <w:keepLines/>
      <w:widowControl/>
      <w:numPr>
        <w:ilvl w:val="8"/>
        <w:numId w:val="1"/>
      </w:numPr>
      <w:spacing w:before="240" w:after="64" w:line="320" w:lineRule="auto"/>
      <w:jc w:val="left"/>
      <w:outlineLvl w:val="8"/>
    </w:pPr>
    <w:rPr>
      <w:rFonts w:ascii="Arial" w:hAnsi="Arial" w:eastAsia="黑体"/>
      <w:kern w:val="0"/>
      <w:szCs w:val="21"/>
      <w:lang w:val="zh-CN"/>
    </w:rPr>
  </w:style>
  <w:style w:type="character" w:customStyle="1" w:styleId="186">
    <w:name w:val="标题 9 Char_0"/>
    <w:link w:val="185"/>
    <w:autoRedefine/>
    <w:qFormat/>
    <w:uiPriority w:val="0"/>
    <w:rPr>
      <w:rFonts w:ascii="Arial" w:hAnsi="Arial" w:eastAsia="黑体" w:cs="Times New Roman"/>
      <w:sz w:val="21"/>
      <w:szCs w:val="21"/>
      <w:lang w:val="zh-CN" w:eastAsia="zh-CN"/>
    </w:rPr>
  </w:style>
  <w:style w:type="character" w:customStyle="1" w:styleId="187">
    <w:name w:val="标题 3 Char_0"/>
    <w:link w:val="174"/>
    <w:autoRedefine/>
    <w:qFormat/>
    <w:uiPriority w:val="0"/>
    <w:rPr>
      <w:rFonts w:ascii="Times New Roman" w:hAnsi="Times New Roman" w:cs="Times New Roman"/>
      <w:b/>
      <w:sz w:val="32"/>
      <w:lang w:val="zh-CN" w:eastAsia="zh-CN"/>
    </w:rPr>
  </w:style>
  <w:style w:type="paragraph" w:customStyle="1" w:styleId="188">
    <w:name w:val="Blockquote_0"/>
    <w:basedOn w:val="175"/>
    <w:link w:val="189"/>
    <w:autoRedefine/>
    <w:qFormat/>
    <w:uiPriority w:val="0"/>
    <w:pPr>
      <w:autoSpaceDE w:val="0"/>
      <w:autoSpaceDN w:val="0"/>
      <w:adjustRightInd w:val="0"/>
      <w:spacing w:before="100" w:after="100"/>
      <w:ind w:left="360" w:right="360"/>
      <w:jc w:val="left"/>
    </w:pPr>
    <w:rPr>
      <w:kern w:val="0"/>
      <w:sz w:val="24"/>
      <w:szCs w:val="20"/>
      <w:lang w:val="zh-CN"/>
    </w:rPr>
  </w:style>
  <w:style w:type="character" w:customStyle="1" w:styleId="189">
    <w:name w:val="Blockquote Char_0"/>
    <w:link w:val="188"/>
    <w:autoRedefine/>
    <w:qFormat/>
    <w:locked/>
    <w:uiPriority w:val="0"/>
    <w:rPr>
      <w:rFonts w:ascii="Times New Roman" w:hAnsi="Times New Roman" w:cs="Times New Roman"/>
      <w:sz w:val="24"/>
      <w:lang w:val="zh-CN" w:eastAsia="zh-CN"/>
    </w:rPr>
  </w:style>
  <w:style w:type="paragraph" w:customStyle="1" w:styleId="190">
    <w:name w:val="标题 4_0"/>
    <w:basedOn w:val="175"/>
    <w:next w:val="175"/>
    <w:link w:val="191"/>
    <w:autoRedefine/>
    <w:qFormat/>
    <w:uiPriority w:val="0"/>
    <w:pPr>
      <w:keepNext/>
      <w:keepLines/>
      <w:widowControl/>
      <w:spacing w:before="120" w:after="120" w:line="360" w:lineRule="auto"/>
      <w:jc w:val="center"/>
      <w:outlineLvl w:val="3"/>
    </w:pPr>
    <w:rPr>
      <w:rFonts w:ascii="Arial" w:hAnsi="Arial" w:eastAsia="黑体"/>
      <w:kern w:val="0"/>
      <w:sz w:val="28"/>
      <w:szCs w:val="20"/>
      <w:lang w:val="zh-CN"/>
    </w:rPr>
  </w:style>
  <w:style w:type="character" w:customStyle="1" w:styleId="191">
    <w:name w:val="标题 4 Char_0"/>
    <w:link w:val="190"/>
    <w:autoRedefine/>
    <w:qFormat/>
    <w:uiPriority w:val="0"/>
    <w:rPr>
      <w:rFonts w:ascii="Arial" w:hAnsi="Arial" w:eastAsia="黑体" w:cs="Times New Roman"/>
      <w:sz w:val="28"/>
      <w:lang w:val="zh-CN" w:eastAsia="zh-CN"/>
    </w:rPr>
  </w:style>
  <w:style w:type="paragraph" w:customStyle="1" w:styleId="192">
    <w:name w:val="纯文本_2"/>
    <w:basedOn w:val="175"/>
    <w:link w:val="193"/>
    <w:autoRedefine/>
    <w:qFormat/>
    <w:uiPriority w:val="0"/>
    <w:rPr>
      <w:rFonts w:ascii="宋体" w:hAnsi="Courier New"/>
      <w:szCs w:val="21"/>
      <w:lang w:val="zh-CN"/>
    </w:rPr>
  </w:style>
  <w:style w:type="character" w:customStyle="1" w:styleId="193">
    <w:name w:val="纯文本 Char1_1"/>
    <w:link w:val="192"/>
    <w:autoRedefine/>
    <w:qFormat/>
    <w:uiPriority w:val="0"/>
    <w:rPr>
      <w:rFonts w:hAnsi="Courier New" w:cs="Times New Roman"/>
      <w:kern w:val="2"/>
      <w:sz w:val="21"/>
      <w:szCs w:val="21"/>
      <w:lang w:val="zh-CN" w:eastAsia="zh-CN"/>
    </w:rPr>
  </w:style>
  <w:style w:type="paragraph" w:customStyle="1" w:styleId="194">
    <w:name w:val="Blockquote_0_1"/>
    <w:basedOn w:val="195"/>
    <w:link w:val="196"/>
    <w:autoRedefine/>
    <w:qFormat/>
    <w:uiPriority w:val="0"/>
    <w:pPr>
      <w:autoSpaceDE w:val="0"/>
      <w:autoSpaceDN w:val="0"/>
      <w:adjustRightInd w:val="0"/>
      <w:spacing w:before="100" w:after="100"/>
      <w:ind w:left="360" w:right="360"/>
      <w:jc w:val="left"/>
    </w:pPr>
    <w:rPr>
      <w:kern w:val="0"/>
      <w:sz w:val="24"/>
      <w:szCs w:val="20"/>
      <w:lang w:val="zh-CN"/>
    </w:rPr>
  </w:style>
  <w:style w:type="paragraph" w:customStyle="1" w:styleId="195">
    <w:name w:val="正文_1_1"/>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96">
    <w:name w:val="Blockquote Char_0_1"/>
    <w:link w:val="194"/>
    <w:autoRedefine/>
    <w:qFormat/>
    <w:locked/>
    <w:uiPriority w:val="0"/>
    <w:rPr>
      <w:rFonts w:ascii="Times New Roman" w:hAnsi="Times New Roman" w:cs="Times New Roman"/>
      <w:sz w:val="24"/>
      <w:lang w:val="zh-CN" w:eastAsia="zh-CN"/>
    </w:rPr>
  </w:style>
  <w:style w:type="paragraph" w:customStyle="1" w:styleId="197">
    <w:name w:val="正文文本_0"/>
    <w:basedOn w:val="175"/>
    <w:link w:val="198"/>
    <w:autoRedefine/>
    <w:qFormat/>
    <w:uiPriority w:val="0"/>
    <w:pPr>
      <w:spacing w:after="120"/>
    </w:pPr>
    <w:rPr>
      <w:lang w:val="zh-CN"/>
    </w:rPr>
  </w:style>
  <w:style w:type="character" w:customStyle="1" w:styleId="198">
    <w:name w:val="正文文本 Char_0"/>
    <w:link w:val="197"/>
    <w:autoRedefine/>
    <w:qFormat/>
    <w:uiPriority w:val="0"/>
    <w:rPr>
      <w:rFonts w:ascii="Times New Roman" w:hAnsi="Times New Roman" w:cs="Times New Roman"/>
      <w:kern w:val="2"/>
      <w:sz w:val="21"/>
      <w:szCs w:val="24"/>
      <w:lang w:val="zh-CN" w:eastAsia="zh-CN"/>
    </w:rPr>
  </w:style>
  <w:style w:type="paragraph" w:customStyle="1" w:styleId="199">
    <w:name w:val="普通(网站)_0"/>
    <w:basedOn w:val="175"/>
    <w:autoRedefine/>
    <w:qFormat/>
    <w:uiPriority w:val="0"/>
    <w:pPr>
      <w:widowControl/>
      <w:spacing w:before="100" w:beforeAutospacing="1" w:after="100" w:afterAutospacing="1"/>
      <w:jc w:val="left"/>
    </w:pPr>
    <w:rPr>
      <w:rFonts w:ascii="宋体" w:hAnsi="宋体"/>
      <w:kern w:val="0"/>
      <w:sz w:val="24"/>
    </w:rPr>
  </w:style>
  <w:style w:type="paragraph" w:customStyle="1" w:styleId="200">
    <w:name w:val="正文_1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1">
    <w:name w:val="正文_2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02">
    <w:name w:val="脚注文本_0"/>
    <w:basedOn w:val="124"/>
    <w:link w:val="203"/>
    <w:autoRedefine/>
    <w:unhideWhenUsed/>
    <w:qFormat/>
    <w:uiPriority w:val="0"/>
    <w:pPr>
      <w:adjustRightInd w:val="0"/>
      <w:snapToGrid w:val="0"/>
      <w:spacing w:line="420" w:lineRule="atLeast"/>
      <w:ind w:firstLine="454"/>
      <w:jc w:val="left"/>
    </w:pPr>
    <w:rPr>
      <w:rFonts w:ascii="Times New Roman" w:hAnsi="Times New Roman"/>
      <w:kern w:val="0"/>
      <w:sz w:val="18"/>
      <w:szCs w:val="20"/>
      <w:lang w:val="zh-CN"/>
    </w:rPr>
  </w:style>
  <w:style w:type="character" w:customStyle="1" w:styleId="203">
    <w:name w:val="脚注文本 Char_0"/>
    <w:link w:val="202"/>
    <w:autoRedefine/>
    <w:qFormat/>
    <w:uiPriority w:val="0"/>
    <w:rPr>
      <w:rFonts w:ascii="Times New Roman" w:hAnsi="Times New Roman" w:cs="Times New Roman"/>
      <w:sz w:val="18"/>
      <w:lang w:val="zh-CN" w:eastAsia="zh-CN"/>
    </w:rPr>
  </w:style>
  <w:style w:type="paragraph" w:customStyle="1" w:styleId="204">
    <w:name w:val="font5"/>
    <w:basedOn w:val="1"/>
    <w:autoRedefine/>
    <w:qFormat/>
    <w:uiPriority w:val="0"/>
    <w:pPr>
      <w:widowControl/>
      <w:spacing w:before="100" w:beforeAutospacing="1" w:after="100" w:afterAutospacing="1"/>
      <w:jc w:val="left"/>
    </w:pPr>
    <w:rPr>
      <w:rFonts w:hint="eastAsia" w:cs="Times New Roman"/>
      <w:sz w:val="18"/>
      <w:szCs w:val="18"/>
    </w:rPr>
  </w:style>
  <w:style w:type="paragraph" w:customStyle="1" w:styleId="205">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18"/>
      <w:szCs w:val="18"/>
    </w:rPr>
  </w:style>
  <w:style w:type="paragraph" w:customStyle="1" w:styleId="206">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18"/>
      <w:szCs w:val="18"/>
    </w:rPr>
  </w:style>
  <w:style w:type="paragraph" w:customStyle="1" w:styleId="207">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cs="Times New Roman"/>
      <w:sz w:val="24"/>
      <w:szCs w:val="24"/>
    </w:rPr>
  </w:style>
  <w:style w:type="paragraph" w:customStyle="1" w:styleId="208">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cs="Times New Roman"/>
      <w:sz w:val="18"/>
      <w:szCs w:val="18"/>
    </w:rPr>
  </w:style>
  <w:style w:type="paragraph" w:customStyle="1" w:styleId="209">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Times New Roman"/>
      <w:sz w:val="24"/>
      <w:szCs w:val="24"/>
    </w:rPr>
  </w:style>
  <w:style w:type="paragraph" w:customStyle="1" w:styleId="210">
    <w:name w:val="xl29"/>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Times New Roman"/>
      <w:sz w:val="24"/>
      <w:szCs w:val="24"/>
    </w:rPr>
  </w:style>
  <w:style w:type="paragraph" w:customStyle="1" w:styleId="211">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24"/>
      <w:szCs w:val="24"/>
    </w:rPr>
  </w:style>
  <w:style w:type="paragraph" w:customStyle="1" w:styleId="212">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18"/>
      <w:szCs w:val="18"/>
    </w:rPr>
  </w:style>
  <w:style w:type="paragraph" w:customStyle="1" w:styleId="213">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sz w:val="18"/>
      <w:szCs w:val="18"/>
    </w:rPr>
  </w:style>
  <w:style w:type="paragraph" w:customStyle="1" w:styleId="214">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18"/>
      <w:szCs w:val="18"/>
    </w:rPr>
  </w:style>
  <w:style w:type="paragraph" w:customStyle="1" w:styleId="215">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22"/>
      <w:szCs w:val="22"/>
    </w:rPr>
  </w:style>
  <w:style w:type="paragraph" w:customStyle="1" w:styleId="216">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sz w:val="24"/>
      <w:szCs w:val="24"/>
    </w:rPr>
  </w:style>
  <w:style w:type="paragraph" w:customStyle="1" w:styleId="217">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cs="Times New Roman"/>
      <w:sz w:val="24"/>
      <w:szCs w:val="24"/>
    </w:rPr>
  </w:style>
  <w:style w:type="paragraph" w:customStyle="1" w:styleId="218">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24"/>
      <w:szCs w:val="24"/>
    </w:rPr>
  </w:style>
  <w:style w:type="paragraph" w:customStyle="1" w:styleId="219">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24"/>
      <w:szCs w:val="24"/>
    </w:rPr>
  </w:style>
  <w:style w:type="paragraph" w:customStyle="1" w:styleId="220">
    <w:name w:val="xl4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cs="Times New Roman"/>
      <w:sz w:val="24"/>
      <w:szCs w:val="24"/>
    </w:rPr>
  </w:style>
  <w:style w:type="paragraph" w:customStyle="1" w:styleId="221">
    <w:name w:val="xl42"/>
    <w:basedOn w:val="1"/>
    <w:autoRedefine/>
    <w:qFormat/>
    <w:uiPriority w:val="0"/>
    <w:pPr>
      <w:widowControl/>
      <w:spacing w:before="100" w:beforeAutospacing="1" w:after="100" w:afterAutospacing="1"/>
      <w:jc w:val="center"/>
      <w:textAlignment w:val="center"/>
    </w:pPr>
    <w:rPr>
      <w:rFonts w:cs="Times New Roman"/>
      <w:b/>
      <w:bCs/>
      <w:sz w:val="32"/>
      <w:szCs w:val="32"/>
    </w:rPr>
  </w:style>
  <w:style w:type="paragraph" w:customStyle="1" w:styleId="222">
    <w:name w:val="xl43"/>
    <w:basedOn w:val="1"/>
    <w:autoRedefine/>
    <w:qFormat/>
    <w:uiPriority w:val="0"/>
    <w:pPr>
      <w:widowControl/>
      <w:spacing w:before="100" w:beforeAutospacing="1" w:after="100" w:afterAutospacing="1"/>
      <w:jc w:val="left"/>
      <w:textAlignment w:val="top"/>
    </w:pPr>
    <w:rPr>
      <w:rFonts w:cs="Times New Roman"/>
      <w:sz w:val="24"/>
      <w:szCs w:val="24"/>
    </w:rPr>
  </w:style>
  <w:style w:type="paragraph" w:customStyle="1" w:styleId="223">
    <w:name w:val="xl44"/>
    <w:basedOn w:val="1"/>
    <w:autoRedefine/>
    <w:qFormat/>
    <w:uiPriority w:val="0"/>
    <w:pPr>
      <w:widowControl/>
      <w:spacing w:before="100" w:beforeAutospacing="1" w:after="100" w:afterAutospacing="1"/>
      <w:jc w:val="center"/>
      <w:textAlignment w:val="center"/>
    </w:pPr>
    <w:rPr>
      <w:rFonts w:cs="Times New Roman"/>
      <w:b/>
      <w:bCs/>
      <w:sz w:val="32"/>
      <w:szCs w:val="32"/>
    </w:rPr>
  </w:style>
  <w:style w:type="paragraph" w:customStyle="1" w:styleId="224">
    <w:name w:val="xl45"/>
    <w:basedOn w:val="1"/>
    <w:autoRedefine/>
    <w:qFormat/>
    <w:uiPriority w:val="0"/>
    <w:pPr>
      <w:widowControl/>
      <w:spacing w:before="100" w:beforeAutospacing="1" w:after="100" w:afterAutospacing="1"/>
      <w:jc w:val="left"/>
      <w:textAlignment w:val="top"/>
    </w:pPr>
    <w:rPr>
      <w:rFonts w:cs="Times New Roman"/>
      <w:sz w:val="24"/>
      <w:szCs w:val="24"/>
    </w:rPr>
  </w:style>
  <w:style w:type="paragraph" w:customStyle="1" w:styleId="225">
    <w:name w:val="font6"/>
    <w:basedOn w:val="1"/>
    <w:autoRedefine/>
    <w:qFormat/>
    <w:uiPriority w:val="0"/>
    <w:pPr>
      <w:widowControl/>
      <w:spacing w:before="100" w:beforeAutospacing="1" w:after="100" w:afterAutospacing="1"/>
      <w:jc w:val="left"/>
    </w:pPr>
    <w:rPr>
      <w:rFonts w:ascii="Times New Roman" w:hAnsi="Times New Roman" w:cs="Times New Roman"/>
      <w:sz w:val="18"/>
      <w:szCs w:val="18"/>
    </w:rPr>
  </w:style>
  <w:style w:type="paragraph" w:customStyle="1" w:styleId="226">
    <w:name w:val="Char Char Char Char Char"/>
    <w:basedOn w:val="1"/>
    <w:autoRedefine/>
    <w:qFormat/>
    <w:uiPriority w:val="0"/>
    <w:rPr>
      <w:rFonts w:ascii="Tahoma" w:hAnsi="Tahoma" w:cs="Times New Roman"/>
      <w:kern w:val="2"/>
      <w:sz w:val="24"/>
    </w:rPr>
  </w:style>
  <w:style w:type="paragraph" w:customStyle="1" w:styleId="227">
    <w:name w:val="范本目录"/>
    <w:basedOn w:val="1"/>
    <w:autoRedefine/>
    <w:qFormat/>
    <w:uiPriority w:val="0"/>
    <w:pPr>
      <w:adjustRightInd w:val="0"/>
      <w:snapToGrid w:val="0"/>
      <w:spacing w:before="48" w:beforeLines="20" w:after="48" w:afterLines="20" w:line="540" w:lineRule="exact"/>
      <w:jc w:val="center"/>
    </w:pPr>
    <w:rPr>
      <w:rFonts w:ascii="Times New Roman" w:cs="Times New Roman"/>
      <w:b/>
      <w:bCs/>
      <w:kern w:val="2"/>
      <w:sz w:val="36"/>
      <w:szCs w:val="24"/>
    </w:rPr>
  </w:style>
  <w:style w:type="character" w:customStyle="1" w:styleId="228">
    <w:name w:val="副标题 Char"/>
    <w:basedOn w:val="57"/>
    <w:link w:val="40"/>
    <w:autoRedefine/>
    <w:qFormat/>
    <w:uiPriority w:val="0"/>
    <w:rPr>
      <w:rFonts w:ascii="Arial" w:hAnsi="Arial" w:cs="Times New Roman"/>
      <w:b/>
      <w:bCs/>
      <w:kern w:val="28"/>
      <w:sz w:val="32"/>
      <w:szCs w:val="32"/>
      <w:lang w:val="zh-CN" w:eastAsia="zh-CN"/>
    </w:rPr>
  </w:style>
  <w:style w:type="character" w:customStyle="1" w:styleId="229">
    <w:name w:val="Char Char"/>
    <w:autoRedefine/>
    <w:qFormat/>
    <w:uiPriority w:val="0"/>
    <w:rPr>
      <w:rFonts w:ascii="宋体" w:hAnsi="Courier New" w:eastAsia="宋体" w:cs="Courier New"/>
      <w:kern w:val="2"/>
      <w:sz w:val="21"/>
      <w:szCs w:val="21"/>
      <w:lang w:val="en-US" w:eastAsia="zh-CN" w:bidi="ar-SA"/>
    </w:rPr>
  </w:style>
  <w:style w:type="character" w:customStyle="1" w:styleId="230">
    <w:name w:val="标题4 Char Char"/>
    <w:link w:val="231"/>
    <w:autoRedefine/>
    <w:qFormat/>
    <w:uiPriority w:val="0"/>
    <w:rPr>
      <w:rFonts w:ascii="Arial" w:hAnsi="Arial"/>
      <w:b/>
      <w:bCs/>
      <w:sz w:val="24"/>
      <w:szCs w:val="32"/>
    </w:rPr>
  </w:style>
  <w:style w:type="paragraph" w:customStyle="1" w:styleId="231">
    <w:name w:val="标题4"/>
    <w:basedOn w:val="3"/>
    <w:next w:val="25"/>
    <w:link w:val="230"/>
    <w:autoRedefine/>
    <w:qFormat/>
    <w:uiPriority w:val="0"/>
    <w:pPr>
      <w:spacing w:before="0" w:after="0" w:line="413" w:lineRule="auto"/>
    </w:pPr>
    <w:rPr>
      <w:rFonts w:ascii="Arial" w:hAnsi="Arial" w:cstheme="minorBidi"/>
      <w:kern w:val="0"/>
      <w:sz w:val="24"/>
      <w:lang w:val="en-US"/>
    </w:rPr>
  </w:style>
  <w:style w:type="character" w:customStyle="1" w:styleId="232">
    <w:name w:val="明显引用 Char"/>
    <w:link w:val="233"/>
    <w:autoRedefine/>
    <w:qFormat/>
    <w:uiPriority w:val="0"/>
    <w:rPr>
      <w:b/>
      <w:bCs/>
      <w:i/>
      <w:iCs/>
      <w:color w:val="4F81BD"/>
    </w:rPr>
  </w:style>
  <w:style w:type="paragraph" w:styleId="233">
    <w:name w:val="Intense Quote"/>
    <w:basedOn w:val="1"/>
    <w:next w:val="1"/>
    <w:link w:val="232"/>
    <w:autoRedefine/>
    <w:qFormat/>
    <w:uiPriority w:val="0"/>
    <w:pPr>
      <w:pBdr>
        <w:bottom w:val="single" w:color="4F81BD" w:themeColor="accent1" w:sz="4" w:space="4"/>
      </w:pBdr>
      <w:spacing w:before="200" w:after="280"/>
      <w:ind w:left="936" w:right="936"/>
    </w:pPr>
    <w:rPr>
      <w:b/>
      <w:bCs/>
      <w:i/>
      <w:iCs/>
      <w:color w:val="4F81BD"/>
    </w:rPr>
  </w:style>
  <w:style w:type="paragraph" w:customStyle="1" w:styleId="234">
    <w:name w:val="明显引用1"/>
    <w:basedOn w:val="1"/>
    <w:next w:val="1"/>
    <w:autoRedefine/>
    <w:qFormat/>
    <w:uiPriority w:val="0"/>
    <w:pPr>
      <w:pBdr>
        <w:bottom w:val="single" w:color="4F81BD" w:sz="4" w:space="4"/>
      </w:pBdr>
      <w:spacing w:before="200" w:after="280"/>
      <w:ind w:left="936" w:right="936"/>
    </w:pPr>
    <w:rPr>
      <w:rFonts w:ascii="Calibri" w:hAnsi="Calibri" w:cs="Times New Roman"/>
      <w:b/>
      <w:bCs/>
      <w:i/>
      <w:iCs/>
      <w:color w:val="4F81BD"/>
      <w:kern w:val="2"/>
      <w:sz w:val="21"/>
      <w:szCs w:val="22"/>
    </w:rPr>
  </w:style>
  <w:style w:type="character" w:customStyle="1" w:styleId="235">
    <w:name w:val="明显引用 Char1"/>
    <w:basedOn w:val="57"/>
    <w:autoRedefine/>
    <w:qFormat/>
    <w:uiPriority w:val="30"/>
    <w:rPr>
      <w:rFonts w:ascii="Times New Roman" w:hAnsi="Times New Roman" w:eastAsia="宋体" w:cs="Times New Roman"/>
      <w:i/>
      <w:iCs/>
      <w:color w:val="5B9BD5"/>
      <w:szCs w:val="24"/>
    </w:rPr>
  </w:style>
  <w:style w:type="character" w:customStyle="1" w:styleId="236">
    <w:name w:val="标题5 Char Char"/>
    <w:link w:val="237"/>
    <w:autoRedefine/>
    <w:qFormat/>
    <w:uiPriority w:val="0"/>
    <w:rPr>
      <w:rFonts w:ascii="Arial" w:hAnsi="Arial"/>
      <w:b/>
      <w:bCs/>
      <w:sz w:val="24"/>
      <w:szCs w:val="32"/>
    </w:rPr>
  </w:style>
  <w:style w:type="paragraph" w:customStyle="1" w:styleId="237">
    <w:name w:val="标题5"/>
    <w:basedOn w:val="4"/>
    <w:link w:val="236"/>
    <w:autoRedefine/>
    <w:qFormat/>
    <w:uiPriority w:val="0"/>
    <w:pPr>
      <w:spacing w:line="413" w:lineRule="auto"/>
      <w:jc w:val="left"/>
    </w:pPr>
    <w:rPr>
      <w:rFonts w:ascii="Arial" w:hAnsi="Arial"/>
      <w:sz w:val="24"/>
    </w:rPr>
  </w:style>
  <w:style w:type="character" w:customStyle="1" w:styleId="238">
    <w:name w:val="引用 Char"/>
    <w:link w:val="239"/>
    <w:autoRedefine/>
    <w:qFormat/>
    <w:uiPriority w:val="0"/>
    <w:rPr>
      <w:i/>
      <w:iCs/>
      <w:color w:val="000000"/>
    </w:rPr>
  </w:style>
  <w:style w:type="paragraph" w:styleId="239">
    <w:name w:val="Quote"/>
    <w:basedOn w:val="1"/>
    <w:next w:val="1"/>
    <w:link w:val="238"/>
    <w:autoRedefine/>
    <w:qFormat/>
    <w:uiPriority w:val="0"/>
    <w:rPr>
      <w:i/>
      <w:iCs/>
      <w:color w:val="000000"/>
    </w:rPr>
  </w:style>
  <w:style w:type="paragraph" w:customStyle="1" w:styleId="240">
    <w:name w:val="引用1"/>
    <w:basedOn w:val="1"/>
    <w:next w:val="1"/>
    <w:autoRedefine/>
    <w:qFormat/>
    <w:uiPriority w:val="0"/>
    <w:rPr>
      <w:rFonts w:ascii="Calibri" w:hAnsi="Calibri" w:cs="Times New Roman"/>
      <w:i/>
      <w:iCs/>
      <w:color w:val="000000"/>
      <w:kern w:val="2"/>
      <w:sz w:val="21"/>
      <w:szCs w:val="22"/>
    </w:rPr>
  </w:style>
  <w:style w:type="character" w:customStyle="1" w:styleId="241">
    <w:name w:val="引用 Char1"/>
    <w:basedOn w:val="57"/>
    <w:autoRedefine/>
    <w:qFormat/>
    <w:uiPriority w:val="29"/>
    <w:rPr>
      <w:rFonts w:ascii="Times New Roman" w:hAnsi="Times New Roman" w:eastAsia="宋体" w:cs="Times New Roman"/>
      <w:i/>
      <w:iCs/>
      <w:color w:val="404040"/>
      <w:szCs w:val="24"/>
    </w:rPr>
  </w:style>
  <w:style w:type="character" w:customStyle="1" w:styleId="242">
    <w:name w:val="ask-title2"/>
    <w:autoRedefine/>
    <w:qFormat/>
    <w:uiPriority w:val="0"/>
  </w:style>
  <w:style w:type="character" w:customStyle="1" w:styleId="243">
    <w:name w:val="正文文本 Char1"/>
    <w:autoRedefine/>
    <w:qFormat/>
    <w:uiPriority w:val="0"/>
    <w:rPr>
      <w:kern w:val="2"/>
      <w:sz w:val="21"/>
      <w:szCs w:val="22"/>
    </w:rPr>
  </w:style>
  <w:style w:type="character" w:customStyle="1" w:styleId="244">
    <w:name w:val="不明显强调1"/>
    <w:autoRedefine/>
    <w:qFormat/>
    <w:uiPriority w:val="0"/>
    <w:rPr>
      <w:i/>
      <w:iCs/>
      <w:color w:val="808080"/>
    </w:rPr>
  </w:style>
  <w:style w:type="character" w:customStyle="1" w:styleId="245">
    <w:name w:val="明显参考1"/>
    <w:autoRedefine/>
    <w:qFormat/>
    <w:uiPriority w:val="0"/>
    <w:rPr>
      <w:b/>
      <w:bCs/>
      <w:smallCaps/>
      <w:color w:val="C0504D"/>
      <w:spacing w:val="5"/>
      <w:u w:val="single"/>
    </w:rPr>
  </w:style>
  <w:style w:type="character" w:customStyle="1" w:styleId="246">
    <w:name w:val="书籍标题1"/>
    <w:autoRedefine/>
    <w:qFormat/>
    <w:uiPriority w:val="0"/>
    <w:rPr>
      <w:b/>
      <w:bCs/>
      <w:smallCaps/>
      <w:spacing w:val="5"/>
    </w:rPr>
  </w:style>
  <w:style w:type="character" w:customStyle="1" w:styleId="247">
    <w:name w:val="日期 Char1"/>
    <w:autoRedefine/>
    <w:qFormat/>
    <w:uiPriority w:val="0"/>
    <w:rPr>
      <w:kern w:val="2"/>
      <w:sz w:val="21"/>
      <w:szCs w:val="22"/>
    </w:rPr>
  </w:style>
  <w:style w:type="character" w:customStyle="1" w:styleId="248">
    <w:name w:val="明显强调1"/>
    <w:autoRedefine/>
    <w:qFormat/>
    <w:uiPriority w:val="0"/>
    <w:rPr>
      <w:b/>
      <w:bCs/>
      <w:i/>
      <w:iCs/>
      <w:color w:val="4F81BD"/>
    </w:rPr>
  </w:style>
  <w:style w:type="character" w:customStyle="1" w:styleId="249">
    <w:name w:val="textcontents"/>
    <w:autoRedefine/>
    <w:qFormat/>
    <w:uiPriority w:val="0"/>
    <w:rPr>
      <w:rFonts w:cs="Times New Roman"/>
    </w:rPr>
  </w:style>
  <w:style w:type="character" w:customStyle="1" w:styleId="250">
    <w:name w:val="不明显参考1"/>
    <w:autoRedefine/>
    <w:qFormat/>
    <w:uiPriority w:val="0"/>
    <w:rPr>
      <w:smallCaps/>
      <w:color w:val="C0504D"/>
      <w:u w:val="single"/>
    </w:rPr>
  </w:style>
  <w:style w:type="character" w:customStyle="1" w:styleId="251">
    <w:name w:val="批注文字 Char Char"/>
    <w:autoRedefine/>
    <w:qFormat/>
    <w:uiPriority w:val="0"/>
    <w:rPr>
      <w:rFonts w:ascii="宋体" w:hAnsi="Times New Roman" w:eastAsia="宋体" w:cs="Times New Roman"/>
      <w:sz w:val="28"/>
      <w:szCs w:val="20"/>
    </w:rPr>
  </w:style>
  <w:style w:type="character" w:customStyle="1" w:styleId="252">
    <w:name w:val="文档结构图 Char1"/>
    <w:autoRedefine/>
    <w:qFormat/>
    <w:uiPriority w:val="0"/>
    <w:rPr>
      <w:rFonts w:ascii="宋体"/>
      <w:kern w:val="2"/>
      <w:sz w:val="18"/>
      <w:szCs w:val="18"/>
    </w:rPr>
  </w:style>
  <w:style w:type="paragraph" w:customStyle="1" w:styleId="253">
    <w:name w:val="修订1"/>
    <w:autoRedefine/>
    <w:qFormat/>
    <w:uiPriority w:val="0"/>
    <w:rPr>
      <w:rFonts w:ascii="Times New Roman" w:hAnsi="Times New Roman" w:eastAsia="宋体" w:cs="Times New Roman"/>
      <w:kern w:val="2"/>
      <w:sz w:val="21"/>
      <w:szCs w:val="24"/>
      <w:lang w:val="en-US" w:eastAsia="zh-CN" w:bidi="ar-SA"/>
    </w:rPr>
  </w:style>
  <w:style w:type="character" w:customStyle="1" w:styleId="254">
    <w:name w:val="页脚 Char1"/>
    <w:autoRedefine/>
    <w:semiHidden/>
    <w:qFormat/>
    <w:uiPriority w:val="99"/>
    <w:rPr>
      <w:kern w:val="2"/>
      <w:sz w:val="18"/>
      <w:szCs w:val="18"/>
    </w:rPr>
  </w:style>
  <w:style w:type="character" w:customStyle="1" w:styleId="255">
    <w:name w:val="批注框文本 Char2"/>
    <w:autoRedefine/>
    <w:semiHidden/>
    <w:qFormat/>
    <w:uiPriority w:val="99"/>
    <w:rPr>
      <w:kern w:val="2"/>
      <w:sz w:val="18"/>
      <w:szCs w:val="18"/>
    </w:rPr>
  </w:style>
  <w:style w:type="character" w:customStyle="1" w:styleId="256">
    <w:name w:val="批注主题 Char2"/>
    <w:autoRedefine/>
    <w:semiHidden/>
    <w:qFormat/>
    <w:uiPriority w:val="99"/>
    <w:rPr>
      <w:b/>
      <w:bCs/>
      <w:kern w:val="2"/>
      <w:sz w:val="21"/>
      <w:szCs w:val="22"/>
    </w:rPr>
  </w:style>
  <w:style w:type="character" w:customStyle="1" w:styleId="257">
    <w:name w:val="文档结构图 Char2"/>
    <w:autoRedefine/>
    <w:semiHidden/>
    <w:qFormat/>
    <w:uiPriority w:val="99"/>
    <w:rPr>
      <w:rFonts w:ascii="宋体"/>
      <w:kern w:val="2"/>
      <w:sz w:val="18"/>
      <w:szCs w:val="18"/>
    </w:rPr>
  </w:style>
  <w:style w:type="character" w:customStyle="1" w:styleId="258">
    <w:name w:val="页眉 Char1"/>
    <w:autoRedefine/>
    <w:semiHidden/>
    <w:qFormat/>
    <w:uiPriority w:val="99"/>
    <w:rPr>
      <w:kern w:val="2"/>
      <w:sz w:val="18"/>
      <w:szCs w:val="18"/>
    </w:rPr>
  </w:style>
  <w:style w:type="character" w:customStyle="1" w:styleId="259">
    <w:name w:val="日期 Char2"/>
    <w:autoRedefine/>
    <w:semiHidden/>
    <w:qFormat/>
    <w:uiPriority w:val="99"/>
    <w:rPr>
      <w:kern w:val="2"/>
      <w:sz w:val="21"/>
      <w:szCs w:val="22"/>
    </w:rPr>
  </w:style>
  <w:style w:type="character" w:customStyle="1" w:styleId="260">
    <w:name w:val="正文文本 Char2"/>
    <w:autoRedefine/>
    <w:semiHidden/>
    <w:qFormat/>
    <w:uiPriority w:val="99"/>
    <w:rPr>
      <w:kern w:val="2"/>
      <w:sz w:val="21"/>
      <w:szCs w:val="22"/>
    </w:rPr>
  </w:style>
  <w:style w:type="character" w:customStyle="1" w:styleId="261">
    <w:name w:val="标题 Char1"/>
    <w:autoRedefine/>
    <w:qFormat/>
    <w:uiPriority w:val="10"/>
    <w:rPr>
      <w:rFonts w:ascii="Cambria" w:hAnsi="Cambria" w:cs="Times New Roman"/>
      <w:b/>
      <w:bCs/>
      <w:kern w:val="2"/>
      <w:sz w:val="32"/>
      <w:szCs w:val="32"/>
    </w:rPr>
  </w:style>
  <w:style w:type="character" w:customStyle="1" w:styleId="262">
    <w:name w:val="副标题 Char1"/>
    <w:autoRedefine/>
    <w:qFormat/>
    <w:uiPriority w:val="11"/>
    <w:rPr>
      <w:rFonts w:ascii="Cambria" w:hAnsi="Cambria" w:cs="Times New Roman"/>
      <w:b/>
      <w:bCs/>
      <w:kern w:val="28"/>
      <w:sz w:val="32"/>
      <w:szCs w:val="32"/>
    </w:rPr>
  </w:style>
  <w:style w:type="paragraph" w:customStyle="1" w:styleId="263">
    <w:name w:val="空半行"/>
    <w:basedOn w:val="1"/>
    <w:autoRedefine/>
    <w:qFormat/>
    <w:uiPriority w:val="0"/>
    <w:pPr>
      <w:adjustRightInd w:val="0"/>
      <w:spacing w:line="120" w:lineRule="exact"/>
      <w:textAlignment w:val="baseline"/>
    </w:pPr>
    <w:rPr>
      <w:rFonts w:ascii="Times New Roman" w:hAnsi="Times New Roman" w:eastAsia="仿宋_GB2312" w:cs="Times New Roman"/>
      <w:color w:val="FFFFFF"/>
      <w:sz w:val="30"/>
    </w:rPr>
  </w:style>
  <w:style w:type="paragraph" w:styleId="264">
    <w:name w:val="No Spacing"/>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5">
    <w:name w:val="flNote"/>
    <w:basedOn w:val="1"/>
    <w:autoRedefine/>
    <w:qFormat/>
    <w:uiPriority w:val="0"/>
    <w:pPr>
      <w:adjustRightInd w:val="0"/>
      <w:spacing w:before="320" w:after="160" w:line="360" w:lineRule="atLeast"/>
      <w:jc w:val="center"/>
      <w:textAlignment w:val="baseline"/>
    </w:pPr>
    <w:rPr>
      <w:rFonts w:ascii="Arial" w:hAnsi="Times New Roman" w:eastAsia="黑体" w:cs="Times New Roman"/>
      <w:sz w:val="30"/>
    </w:rPr>
  </w:style>
  <w:style w:type="character" w:customStyle="1" w:styleId="266">
    <w:name w:val="正文2 Char"/>
    <w:link w:val="267"/>
    <w:autoRedefine/>
    <w:qFormat/>
    <w:uiPriority w:val="0"/>
    <w:rPr>
      <w:rFonts w:ascii="楷体" w:eastAsia="楷体"/>
      <w:b/>
      <w:color w:val="0000FF"/>
    </w:rPr>
  </w:style>
  <w:style w:type="paragraph" w:customStyle="1" w:styleId="267">
    <w:name w:val="正文2"/>
    <w:link w:val="266"/>
    <w:autoRedefine/>
    <w:qFormat/>
    <w:uiPriority w:val="0"/>
    <w:pPr>
      <w:widowControl w:val="0"/>
      <w:adjustRightInd w:val="0"/>
      <w:snapToGrid w:val="0"/>
      <w:spacing w:line="360" w:lineRule="auto"/>
      <w:ind w:firstLine="200" w:firstLineChars="200"/>
      <w:jc w:val="both"/>
      <w:textAlignment w:val="baseline"/>
    </w:pPr>
    <w:rPr>
      <w:rFonts w:ascii="楷体" w:hAnsi="宋体" w:eastAsia="楷体" w:cstheme="minorBidi"/>
      <w:b/>
      <w:color w:val="0000FF"/>
      <w:lang w:val="en-US" w:eastAsia="zh-CN" w:bidi="ar-SA"/>
    </w:rPr>
  </w:style>
  <w:style w:type="paragraph" w:customStyle="1" w:styleId="268">
    <w:name w:val="p0"/>
    <w:basedOn w:val="1"/>
    <w:autoRedefine/>
    <w:qFormat/>
    <w:uiPriority w:val="0"/>
    <w:pPr>
      <w:widowControl/>
      <w:spacing w:before="100" w:beforeAutospacing="1" w:after="100" w:afterAutospacing="1"/>
      <w:jc w:val="left"/>
    </w:pPr>
    <w:rPr>
      <w:rFonts w:cs="宋体"/>
      <w:sz w:val="24"/>
      <w:szCs w:val="24"/>
    </w:rPr>
  </w:style>
  <w:style w:type="character" w:customStyle="1" w:styleId="269">
    <w:name w:val="正文文本 (2)_"/>
    <w:link w:val="270"/>
    <w:autoRedefine/>
    <w:qFormat/>
    <w:locked/>
    <w:uiPriority w:val="99"/>
    <w:rPr>
      <w:rFonts w:ascii="MingLiU" w:eastAsia="MingLiU" w:cs="MingLiU"/>
      <w:spacing w:val="20"/>
      <w:sz w:val="22"/>
      <w:shd w:val="clear" w:color="auto" w:fill="FFFFFF"/>
    </w:rPr>
  </w:style>
  <w:style w:type="paragraph" w:customStyle="1" w:styleId="270">
    <w:name w:val="正文文本 (2)1"/>
    <w:basedOn w:val="1"/>
    <w:link w:val="269"/>
    <w:autoRedefine/>
    <w:qFormat/>
    <w:uiPriority w:val="99"/>
    <w:pPr>
      <w:shd w:val="clear" w:color="auto" w:fill="FFFFFF"/>
      <w:spacing w:before="300" w:line="439" w:lineRule="exact"/>
      <w:jc w:val="distribute"/>
    </w:pPr>
    <w:rPr>
      <w:rFonts w:ascii="MingLiU" w:eastAsia="MingLiU" w:cs="MingLiU"/>
      <w:spacing w:val="20"/>
      <w:sz w:val="22"/>
    </w:rPr>
  </w:style>
  <w:style w:type="character" w:customStyle="1" w:styleId="271">
    <w:name w:val="正文文本 (2) + 间距 0 pt5"/>
    <w:autoRedefine/>
    <w:qFormat/>
    <w:uiPriority w:val="99"/>
    <w:rPr>
      <w:rFonts w:ascii="MingLiU" w:eastAsia="MingLiU" w:cs="MingLiU"/>
      <w:spacing w:val="0"/>
      <w:sz w:val="22"/>
      <w:shd w:val="clear" w:color="auto" w:fill="FFFFFF"/>
    </w:rPr>
  </w:style>
  <w:style w:type="character" w:customStyle="1" w:styleId="272">
    <w:name w:val="访问过的超链接1"/>
    <w:basedOn w:val="57"/>
    <w:autoRedefine/>
    <w:semiHidden/>
    <w:unhideWhenUsed/>
    <w:qFormat/>
    <w:uiPriority w:val="99"/>
    <w:rPr>
      <w:color w:val="954F72"/>
      <w:u w:val="single"/>
    </w:rPr>
  </w:style>
  <w:style w:type="character" w:customStyle="1" w:styleId="273">
    <w:name w:val="明显引用 Char2"/>
    <w:basedOn w:val="57"/>
    <w:autoRedefine/>
    <w:qFormat/>
    <w:uiPriority w:val="30"/>
    <w:rPr>
      <w:b/>
      <w:bCs/>
      <w:i/>
      <w:iCs/>
      <w:color w:val="4F81BD" w:themeColor="accent1"/>
      <w14:textFill>
        <w14:solidFill>
          <w14:schemeClr w14:val="accent1"/>
        </w14:solidFill>
      </w14:textFill>
    </w:rPr>
  </w:style>
  <w:style w:type="character" w:customStyle="1" w:styleId="274">
    <w:name w:val="引用 Char2"/>
    <w:basedOn w:val="57"/>
    <w:autoRedefine/>
    <w:qFormat/>
    <w:uiPriority w:val="29"/>
    <w:rPr>
      <w:i/>
      <w:iCs/>
      <w:color w:val="000000" w:themeColor="text1"/>
      <w14:textFill>
        <w14:solidFill>
          <w14:schemeClr w14:val="tx1"/>
        </w14:solidFill>
      </w14:textFill>
    </w:rPr>
  </w:style>
  <w:style w:type="table" w:customStyle="1" w:styleId="275">
    <w:name w:val="网格型4"/>
    <w:basedOn w:val="55"/>
    <w:autoRedefine/>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76">
    <w:name w:val="Table Normal"/>
    <w:autoRedefine/>
    <w:semiHidden/>
    <w:unhideWhenUsed/>
    <w:qFormat/>
    <w:uiPriority w:val="0"/>
    <w:tblPr>
      <w:tblCellMar>
        <w:top w:w="0" w:type="dxa"/>
        <w:left w:w="0" w:type="dxa"/>
        <w:bottom w:w="0" w:type="dxa"/>
        <w:right w:w="0" w:type="dxa"/>
      </w:tblCellMar>
    </w:tblPr>
  </w:style>
  <w:style w:type="paragraph" w:customStyle="1" w:styleId="277">
    <w:name w:val="Table Text"/>
    <w:basedOn w:val="1"/>
    <w:autoRedefine/>
    <w:semiHidden/>
    <w:qFormat/>
    <w:uiPriority w:val="0"/>
    <w:rPr>
      <w:rFonts w:ascii="Arial" w:hAnsi="Arial" w:eastAsia="Arial" w:cs="Arial"/>
      <w:sz w:val="21"/>
      <w:szCs w:val="21"/>
      <w:lang w:val="en-US" w:eastAsia="en-US" w:bidi="ar-SA"/>
    </w:rPr>
  </w:style>
  <w:style w:type="paragraph" w:customStyle="1" w:styleId="278">
    <w:name w:val="正文 New"/>
    <w:qFormat/>
    <w:uiPriority w:val="0"/>
    <w:pPr>
      <w:widowControl w:val="0"/>
      <w:spacing w:line="440" w:lineRule="exact"/>
      <w:ind w:left="357" w:hanging="357"/>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44CFDD-AEC3-4BBC-9B81-C7151120817D}">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100</Pages>
  <Words>2187</Words>
  <Characters>2838</Characters>
  <Lines>1</Lines>
  <Paragraphs>1</Paragraphs>
  <TotalTime>19</TotalTime>
  <ScaleCrop>false</ScaleCrop>
  <LinksUpToDate>false</LinksUpToDate>
  <CharactersWithSpaces>2943</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2021-12-20T01:22:00Z</dcterms:created>
  <dc:creator>Anakin</dc:creator>
  <cp:lastModifiedBy>Pim Pom丶</cp:lastModifiedBy>
  <cp:lastPrinted>2019-12-07T15:20:00Z</cp:lastPrinted>
  <dcterms:modified xsi:type="dcterms:W3CDTF">2026-11-02T02:56:28Z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BE393E6EDC3845A1908AECFA21276DCE_12</vt:lpwstr>
  </property>
  <property fmtid="{D5CDD505-2E9C-101B-9397-08002B2CF9AE}" pid="4" name="KSOTemplateDocerSaveRecord">
    <vt:lpwstr>eyJoZGlkIjoiMDk2MmQyNTdjMmYyM2I4Njk3YjVkOTliYjhhNDZiYTEiLCJ1c2VySWQiOiI0MDkyMjI1MTkifQ==</vt:lpwstr>
  </property>
</Properties>
</file>