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D8E9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bookmarkStart w:id="357" w:name="_GoBack"/>
    </w:p>
    <w:p w14:paraId="5CE4A700">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bookmarkStart w:id="0" w:name="_Hlk9544796"/>
      <w:r>
        <w:rPr>
          <w:rFonts w:hint="eastAsia" w:ascii="宋体" w:hAnsi="宋体" w:eastAsia="宋体"/>
          <w:b/>
          <w:bCs/>
          <w:color w:val="auto"/>
          <w:sz w:val="52"/>
          <w:szCs w:val="52"/>
          <w:highlight w:val="none"/>
        </w:rPr>
        <w:t>安徽省政府采购项目</w:t>
      </w:r>
    </w:p>
    <w:p w14:paraId="4AE78AE8">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rPr>
        <w:t>（服务类）</w:t>
      </w:r>
    </w:p>
    <w:p w14:paraId="2FC8D34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r>
        <w:rPr>
          <w:rFonts w:hint="eastAsia" w:ascii="宋体" w:hAnsi="宋体" w:eastAsia="宋体"/>
          <w:b/>
          <w:bCs/>
          <w:color w:val="auto"/>
          <w:sz w:val="52"/>
          <w:szCs w:val="52"/>
          <w:highlight w:val="none"/>
        </w:rPr>
        <w:t>（2026年版）</w:t>
      </w:r>
    </w:p>
    <w:p w14:paraId="465F15D3">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48D52C3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350E681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4BCFF79">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1A17DC0">
      <w:pPr>
        <w:pStyle w:val="9"/>
        <w:rPr>
          <w:rFonts w:ascii="宋体" w:hAnsi="宋体" w:eastAsia="宋体"/>
          <w:b/>
          <w:bCs/>
          <w:color w:val="auto"/>
          <w:sz w:val="44"/>
          <w:szCs w:val="44"/>
          <w:highlight w:val="none"/>
        </w:rPr>
      </w:pPr>
    </w:p>
    <w:p w14:paraId="0B6222D1">
      <w:pPr>
        <w:pStyle w:val="9"/>
        <w:rPr>
          <w:rFonts w:ascii="宋体" w:hAnsi="宋体" w:eastAsia="宋体"/>
          <w:b/>
          <w:bCs/>
          <w:color w:val="auto"/>
          <w:sz w:val="44"/>
          <w:szCs w:val="44"/>
          <w:highlight w:val="none"/>
        </w:rPr>
      </w:pPr>
    </w:p>
    <w:p w14:paraId="4EDE6D43">
      <w:pPr>
        <w:tabs>
          <w:tab w:val="left" w:pos="2410"/>
        </w:tabs>
        <w:wordWrap w:val="0"/>
        <w:autoSpaceDE w:val="0"/>
        <w:autoSpaceDN w:val="0"/>
        <w:adjustRightInd w:val="0"/>
        <w:snapToGrid w:val="0"/>
        <w:spacing w:line="360" w:lineRule="auto"/>
        <w:ind w:left="2477" w:leftChars="304" w:hanging="1839" w:hangingChars="509"/>
        <w:rPr>
          <w:rFonts w:hint="eastAsia" w:ascii="宋体" w:hAnsi="宋体" w:eastAsia="宋体"/>
          <w:b/>
          <w:color w:val="auto"/>
          <w:spacing w:val="20"/>
          <w:kern w:val="0"/>
          <w:sz w:val="32"/>
          <w:szCs w:val="32"/>
          <w:highlight w:val="none"/>
          <w:u w:val="single"/>
          <w:lang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eastAsia="zh-CN"/>
        </w:rPr>
        <w:t>安徽滁州技师学院信息化标杆校数据融合基座项目</w:t>
      </w:r>
    </w:p>
    <w:p w14:paraId="46128C2A">
      <w:pPr>
        <w:tabs>
          <w:tab w:val="left" w:pos="2410"/>
        </w:tabs>
        <w:wordWrap w:val="0"/>
        <w:autoSpaceDE w:val="0"/>
        <w:autoSpaceDN w:val="0"/>
        <w:adjustRightInd w:val="0"/>
        <w:snapToGrid w:val="0"/>
        <w:spacing w:line="360" w:lineRule="auto"/>
        <w:ind w:firstLine="679" w:firstLineChars="188"/>
        <w:rPr>
          <w:rFonts w:ascii="宋体" w:hAnsi="宋体" w:eastAsia="宋体"/>
          <w:b/>
          <w:color w:val="auto"/>
          <w:spacing w:val="20"/>
          <w:kern w:val="0"/>
          <w:sz w:val="32"/>
          <w:szCs w:val="32"/>
          <w:highlight w:val="none"/>
          <w:u w:val="single"/>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rPr>
        <w:t>：</w:t>
      </w:r>
      <w:r>
        <w:rPr>
          <w:rFonts w:hint="eastAsia" w:ascii="宋体" w:hAnsi="宋体" w:eastAsia="宋体"/>
          <w:b/>
          <w:color w:val="auto"/>
          <w:spacing w:val="20"/>
          <w:kern w:val="0"/>
          <w:sz w:val="32"/>
          <w:szCs w:val="32"/>
          <w:highlight w:val="none"/>
          <w:u w:val="single"/>
          <w:lang w:eastAsia="zh-CN"/>
        </w:rPr>
        <w:t>czsjcg202610-020</w:t>
      </w:r>
      <w:r>
        <w:rPr>
          <w:rFonts w:hint="eastAsia" w:ascii="宋体" w:hAnsi="宋体" w:eastAsia="宋体"/>
          <w:b/>
          <w:color w:val="auto"/>
          <w:spacing w:val="20"/>
          <w:kern w:val="0"/>
          <w:sz w:val="32"/>
          <w:szCs w:val="32"/>
          <w:highlight w:val="none"/>
          <w:u w:val="single"/>
        </w:rPr>
        <w:t xml:space="preserve"> </w:t>
      </w:r>
    </w:p>
    <w:p w14:paraId="50980584">
      <w:pPr>
        <w:tabs>
          <w:tab w:val="left" w:pos="2410"/>
        </w:tabs>
        <w:autoSpaceDE w:val="0"/>
        <w:autoSpaceDN w:val="0"/>
        <w:adjustRightInd w:val="0"/>
        <w:snapToGrid w:val="0"/>
        <w:spacing w:line="360" w:lineRule="auto"/>
        <w:ind w:left="2477" w:leftChars="304" w:hanging="1839" w:hangingChars="509"/>
        <w:rPr>
          <w:rFonts w:hint="eastAsia" w:ascii="宋体" w:hAnsi="宋体" w:eastAsia="宋体"/>
          <w:b/>
          <w:color w:val="auto"/>
          <w:spacing w:val="20"/>
          <w:kern w:val="0"/>
          <w:sz w:val="32"/>
          <w:szCs w:val="32"/>
          <w:highlight w:val="none"/>
          <w:lang w:eastAsia="zh-CN"/>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eastAsia="zh-CN"/>
        </w:rPr>
        <w:t>滁州市机电工程学校（滁州市第一职业高级中学、滁州技师学院）</w:t>
      </w:r>
    </w:p>
    <w:p w14:paraId="7318861F">
      <w:pPr>
        <w:tabs>
          <w:tab w:val="left" w:pos="2410"/>
        </w:tabs>
        <w:autoSpaceDE w:val="0"/>
        <w:autoSpaceDN w:val="0"/>
        <w:adjustRightInd w:val="0"/>
        <w:snapToGrid w:val="0"/>
        <w:spacing w:line="360" w:lineRule="auto"/>
        <w:ind w:firstLine="679" w:firstLineChars="188"/>
        <w:rPr>
          <w:rFonts w:hint="eastAsia" w:ascii="宋体" w:hAnsi="宋体" w:eastAsia="宋体"/>
          <w:b/>
          <w:color w:val="auto"/>
          <w:spacing w:val="20"/>
          <w:kern w:val="0"/>
          <w:sz w:val="32"/>
          <w:szCs w:val="32"/>
          <w:highlight w:val="none"/>
          <w:lang w:eastAsia="zh-CN"/>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eastAsia="zh-CN"/>
        </w:rPr>
        <w:t>滁州市政府采购中心</w:t>
      </w:r>
    </w:p>
    <w:p w14:paraId="0EDE460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032450E">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238FE5E1">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30E26092">
      <w:pPr>
        <w:pStyle w:val="19"/>
        <w:tabs>
          <w:tab w:val="right" w:leader="dot" w:pos="8306"/>
        </w:tabs>
        <w:rPr>
          <w:color w:val="auto"/>
          <w:highlight w:val="none"/>
        </w:rPr>
      </w:pPr>
      <w:r>
        <w:rPr>
          <w:rFonts w:hint="eastAsia" w:ascii="宋体" w:hAnsi="宋体" w:cs="宋体"/>
          <w:b/>
          <w:color w:val="auto"/>
          <w:sz w:val="28"/>
          <w:szCs w:val="28"/>
          <w:highlight w:val="none"/>
        </w:rPr>
        <w:fldChar w:fldCharType="begin"/>
      </w:r>
      <w:r>
        <w:rPr>
          <w:rFonts w:hint="eastAsia" w:ascii="宋体" w:hAnsi="宋体" w:cs="宋体"/>
          <w:b/>
          <w:color w:val="auto"/>
          <w:sz w:val="28"/>
          <w:szCs w:val="28"/>
          <w:highlight w:val="none"/>
        </w:rPr>
        <w:instrText xml:space="preserve"> TOC \o "1-2" \h \z \u </w:instrText>
      </w:r>
      <w:r>
        <w:rPr>
          <w:rFonts w:hint="eastAsia" w:ascii="宋体" w:hAnsi="宋体" w:cs="宋体"/>
          <w:b/>
          <w:color w:val="auto"/>
          <w:sz w:val="28"/>
          <w:szCs w:val="28"/>
          <w:highlight w:val="none"/>
        </w:rPr>
        <w:fldChar w:fldCharType="separate"/>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HYPERLINK \l _Toc4707 </w:instrText>
      </w:r>
      <w:r>
        <w:rPr>
          <w:rFonts w:hint="eastAsia" w:ascii="宋体" w:hAnsi="宋体" w:cs="宋体"/>
          <w:color w:val="auto"/>
          <w:szCs w:val="28"/>
          <w:highlight w:val="none"/>
        </w:rPr>
        <w:fldChar w:fldCharType="separate"/>
      </w:r>
      <w:r>
        <w:rPr>
          <w:rFonts w:hint="eastAsia" w:ascii="宋体" w:hAnsi="宋体" w:eastAsia="宋体"/>
          <w:color w:val="auto"/>
          <w:highlight w:val="none"/>
        </w:rPr>
        <w:t xml:space="preserve">第一章 </w:t>
      </w:r>
      <w:r>
        <w:rPr>
          <w:rFonts w:ascii="宋体" w:hAnsi="宋体" w:eastAsia="宋体"/>
          <w:color w:val="auto"/>
          <w:highlight w:val="none"/>
        </w:rPr>
        <w:t xml:space="preserve"> 投标邀请</w:t>
      </w:r>
      <w:r>
        <w:rPr>
          <w:color w:val="auto"/>
          <w:highlight w:val="none"/>
        </w:rPr>
        <w:tab/>
      </w:r>
      <w:r>
        <w:rPr>
          <w:color w:val="auto"/>
          <w:highlight w:val="none"/>
        </w:rPr>
        <w:fldChar w:fldCharType="begin"/>
      </w:r>
      <w:r>
        <w:rPr>
          <w:color w:val="auto"/>
          <w:highlight w:val="none"/>
        </w:rPr>
        <w:instrText xml:space="preserve"> PAGEREF _Toc4707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cs="宋体"/>
          <w:color w:val="auto"/>
          <w:szCs w:val="28"/>
          <w:highlight w:val="none"/>
        </w:rPr>
        <w:fldChar w:fldCharType="end"/>
      </w:r>
    </w:p>
    <w:p w14:paraId="6057FCF4">
      <w:pPr>
        <w:pStyle w:val="19"/>
        <w:tabs>
          <w:tab w:val="right" w:leader="dot" w:pos="8306"/>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_Toc18727 </w:instrText>
      </w:r>
      <w:r>
        <w:rPr>
          <w:rFonts w:hint="eastAsia" w:ascii="宋体" w:hAnsi="宋体" w:eastAsia="宋体" w:cs="宋体"/>
          <w:color w:val="auto"/>
          <w:szCs w:val="28"/>
          <w:highlight w:val="none"/>
        </w:rPr>
        <w:fldChar w:fldCharType="separate"/>
      </w:r>
      <w:r>
        <w:rPr>
          <w:rFonts w:hint="eastAsia" w:ascii="宋体" w:hAnsi="宋体" w:eastAsia="宋体"/>
          <w:color w:val="auto"/>
          <w:highlight w:val="none"/>
        </w:rPr>
        <w:t>第二章</w:t>
      </w:r>
      <w:r>
        <w:rPr>
          <w:rFonts w:ascii="宋体" w:hAnsi="宋体" w:eastAsia="宋体"/>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_Toc18727 \h </w:instrText>
      </w:r>
      <w:r>
        <w:rPr>
          <w:color w:val="auto"/>
          <w:highlight w:val="none"/>
        </w:rPr>
        <w:fldChar w:fldCharType="separate"/>
      </w:r>
      <w:r>
        <w:rPr>
          <w:color w:val="auto"/>
          <w:highlight w:val="none"/>
        </w:rPr>
        <w:t>4</w:t>
      </w:r>
      <w:r>
        <w:rPr>
          <w:color w:val="auto"/>
          <w:highlight w:val="none"/>
        </w:rPr>
        <w:fldChar w:fldCharType="end"/>
      </w:r>
      <w:r>
        <w:rPr>
          <w:rFonts w:hint="eastAsia" w:ascii="宋体" w:hAnsi="宋体" w:eastAsia="宋体" w:cs="宋体"/>
          <w:color w:val="auto"/>
          <w:szCs w:val="28"/>
          <w:highlight w:val="none"/>
        </w:rPr>
        <w:fldChar w:fldCharType="end"/>
      </w:r>
    </w:p>
    <w:p w14:paraId="3C4060C1">
      <w:pPr>
        <w:pStyle w:val="19"/>
        <w:tabs>
          <w:tab w:val="right" w:leader="dot" w:pos="8306"/>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_Toc27170 </w:instrText>
      </w:r>
      <w:r>
        <w:rPr>
          <w:rFonts w:hint="eastAsia" w:ascii="宋体" w:hAnsi="宋体" w:eastAsia="宋体" w:cs="宋体"/>
          <w:color w:val="auto"/>
          <w:szCs w:val="28"/>
          <w:highlight w:val="none"/>
        </w:rPr>
        <w:fldChar w:fldCharType="separate"/>
      </w:r>
      <w:r>
        <w:rPr>
          <w:rFonts w:hint="eastAsia" w:ascii="宋体" w:hAnsi="宋体" w:eastAsia="宋体"/>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_Toc27170 \h </w:instrText>
      </w:r>
      <w:r>
        <w:rPr>
          <w:color w:val="auto"/>
          <w:highlight w:val="none"/>
        </w:rPr>
        <w:fldChar w:fldCharType="separate"/>
      </w:r>
      <w:r>
        <w:rPr>
          <w:color w:val="auto"/>
          <w:highlight w:val="none"/>
        </w:rPr>
        <w:t>24</w:t>
      </w:r>
      <w:r>
        <w:rPr>
          <w:color w:val="auto"/>
          <w:highlight w:val="none"/>
        </w:rPr>
        <w:fldChar w:fldCharType="end"/>
      </w:r>
      <w:r>
        <w:rPr>
          <w:rFonts w:hint="eastAsia" w:ascii="宋体" w:hAnsi="宋体" w:eastAsia="宋体" w:cs="宋体"/>
          <w:color w:val="auto"/>
          <w:szCs w:val="28"/>
          <w:highlight w:val="none"/>
        </w:rPr>
        <w:fldChar w:fldCharType="end"/>
      </w:r>
    </w:p>
    <w:p w14:paraId="7EB39426">
      <w:pPr>
        <w:pStyle w:val="19"/>
        <w:tabs>
          <w:tab w:val="right" w:leader="dot" w:pos="8306"/>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_Toc17528 </w:instrText>
      </w:r>
      <w:r>
        <w:rPr>
          <w:rFonts w:hint="eastAsia" w:ascii="宋体" w:hAnsi="宋体" w:eastAsia="宋体" w:cs="宋体"/>
          <w:color w:val="auto"/>
          <w:szCs w:val="28"/>
          <w:highlight w:val="none"/>
        </w:rPr>
        <w:fldChar w:fldCharType="separate"/>
      </w:r>
      <w:r>
        <w:rPr>
          <w:rFonts w:hint="eastAsia" w:ascii="宋体" w:hAnsi="宋体" w:eastAsia="宋体"/>
          <w:color w:val="auto"/>
          <w:highlight w:val="none"/>
        </w:rPr>
        <w:t>第四章 评标方法和标准（综合评分法）</w:t>
      </w:r>
      <w:r>
        <w:rPr>
          <w:color w:val="auto"/>
          <w:highlight w:val="none"/>
        </w:rPr>
        <w:tab/>
      </w:r>
      <w:r>
        <w:rPr>
          <w:color w:val="auto"/>
          <w:highlight w:val="none"/>
        </w:rPr>
        <w:fldChar w:fldCharType="begin"/>
      </w:r>
      <w:r>
        <w:rPr>
          <w:color w:val="auto"/>
          <w:highlight w:val="none"/>
        </w:rPr>
        <w:instrText xml:space="preserve"> PAGEREF _Toc17528 \h </w:instrText>
      </w:r>
      <w:r>
        <w:rPr>
          <w:color w:val="auto"/>
          <w:highlight w:val="none"/>
        </w:rPr>
        <w:fldChar w:fldCharType="separate"/>
      </w:r>
      <w:r>
        <w:rPr>
          <w:color w:val="auto"/>
          <w:highlight w:val="none"/>
        </w:rPr>
        <w:t>56</w:t>
      </w:r>
      <w:r>
        <w:rPr>
          <w:color w:val="auto"/>
          <w:highlight w:val="none"/>
        </w:rPr>
        <w:fldChar w:fldCharType="end"/>
      </w:r>
      <w:r>
        <w:rPr>
          <w:rFonts w:hint="eastAsia" w:ascii="宋体" w:hAnsi="宋体" w:eastAsia="宋体" w:cs="宋体"/>
          <w:color w:val="auto"/>
          <w:szCs w:val="28"/>
          <w:highlight w:val="none"/>
        </w:rPr>
        <w:fldChar w:fldCharType="end"/>
      </w:r>
    </w:p>
    <w:p w14:paraId="240CCAEE">
      <w:pPr>
        <w:pStyle w:val="19"/>
        <w:tabs>
          <w:tab w:val="right" w:leader="dot" w:pos="8306"/>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_Toc3631 </w:instrText>
      </w:r>
      <w:r>
        <w:rPr>
          <w:rFonts w:hint="eastAsia" w:ascii="宋体" w:hAnsi="宋体" w:eastAsia="宋体" w:cs="宋体"/>
          <w:color w:val="auto"/>
          <w:szCs w:val="28"/>
          <w:highlight w:val="none"/>
        </w:rPr>
        <w:fldChar w:fldCharType="separate"/>
      </w:r>
      <w:r>
        <w:rPr>
          <w:rFonts w:hint="eastAsia" w:ascii="宋体" w:hAnsi="宋体" w:eastAsia="宋体"/>
          <w:color w:val="auto"/>
          <w:highlight w:val="none"/>
        </w:rPr>
        <w:t>第</w:t>
      </w:r>
      <w:r>
        <w:rPr>
          <w:rFonts w:hint="eastAsia" w:ascii="宋体" w:hAnsi="宋体" w:eastAsia="宋体"/>
          <w:color w:val="auto"/>
          <w:highlight w:val="none"/>
          <w:lang w:val="en-US" w:eastAsia="zh-CN"/>
        </w:rPr>
        <w:t>五</w:t>
      </w:r>
      <w:r>
        <w:rPr>
          <w:rFonts w:hint="eastAsia" w:ascii="宋体" w:hAnsi="宋体" w:eastAsia="宋体"/>
          <w:color w:val="auto"/>
          <w:highlight w:val="none"/>
        </w:rPr>
        <w:t xml:space="preserve">章 </w:t>
      </w:r>
      <w:r>
        <w:rPr>
          <w:rFonts w:ascii="宋体" w:hAnsi="宋体" w:eastAsia="宋体"/>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_Toc3631 \h </w:instrText>
      </w:r>
      <w:r>
        <w:rPr>
          <w:color w:val="auto"/>
          <w:highlight w:val="none"/>
        </w:rPr>
        <w:fldChar w:fldCharType="separate"/>
      </w:r>
      <w:r>
        <w:rPr>
          <w:color w:val="auto"/>
          <w:highlight w:val="none"/>
        </w:rPr>
        <w:t>66</w:t>
      </w:r>
      <w:r>
        <w:rPr>
          <w:color w:val="auto"/>
          <w:highlight w:val="none"/>
        </w:rPr>
        <w:fldChar w:fldCharType="end"/>
      </w:r>
      <w:r>
        <w:rPr>
          <w:rFonts w:hint="eastAsia" w:ascii="宋体" w:hAnsi="宋体" w:eastAsia="宋体" w:cs="宋体"/>
          <w:color w:val="auto"/>
          <w:szCs w:val="28"/>
          <w:highlight w:val="none"/>
        </w:rPr>
        <w:fldChar w:fldCharType="end"/>
      </w:r>
    </w:p>
    <w:p w14:paraId="1A455027">
      <w:pPr>
        <w:pStyle w:val="19"/>
        <w:tabs>
          <w:tab w:val="right" w:leader="dot" w:pos="8306"/>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_Toc16716 </w:instrText>
      </w:r>
      <w:r>
        <w:rPr>
          <w:rFonts w:hint="eastAsia" w:ascii="宋体" w:hAnsi="宋体" w:eastAsia="宋体" w:cs="宋体"/>
          <w:color w:val="auto"/>
          <w:szCs w:val="28"/>
          <w:highlight w:val="none"/>
        </w:rPr>
        <w:fldChar w:fldCharType="separate"/>
      </w:r>
      <w:r>
        <w:rPr>
          <w:rFonts w:hint="eastAsia" w:ascii="宋体" w:hAnsi="宋体" w:eastAsia="宋体"/>
          <w:color w:val="auto"/>
          <w:highlight w:val="none"/>
        </w:rPr>
        <w:t>第</w:t>
      </w:r>
      <w:r>
        <w:rPr>
          <w:rFonts w:hint="eastAsia" w:ascii="宋体" w:hAnsi="宋体" w:eastAsia="宋体"/>
          <w:color w:val="auto"/>
          <w:highlight w:val="none"/>
          <w:lang w:val="en-US" w:eastAsia="zh-CN"/>
        </w:rPr>
        <w:t>六</w:t>
      </w:r>
      <w:r>
        <w:rPr>
          <w:rFonts w:hint="eastAsia" w:ascii="宋体" w:hAnsi="宋体" w:eastAsia="宋体"/>
          <w:color w:val="auto"/>
          <w:highlight w:val="none"/>
        </w:rPr>
        <w:t>章 投标文件格式</w:t>
      </w:r>
      <w:r>
        <w:rPr>
          <w:color w:val="auto"/>
          <w:highlight w:val="none"/>
        </w:rPr>
        <w:tab/>
      </w:r>
      <w:r>
        <w:rPr>
          <w:color w:val="auto"/>
          <w:highlight w:val="none"/>
        </w:rPr>
        <w:fldChar w:fldCharType="begin"/>
      </w:r>
      <w:r>
        <w:rPr>
          <w:color w:val="auto"/>
          <w:highlight w:val="none"/>
        </w:rPr>
        <w:instrText xml:space="preserve"> PAGEREF _Toc16716 \h </w:instrText>
      </w:r>
      <w:r>
        <w:rPr>
          <w:color w:val="auto"/>
          <w:highlight w:val="none"/>
        </w:rPr>
        <w:fldChar w:fldCharType="separate"/>
      </w:r>
      <w:r>
        <w:rPr>
          <w:color w:val="auto"/>
          <w:highlight w:val="none"/>
        </w:rPr>
        <w:t>75</w:t>
      </w:r>
      <w:r>
        <w:rPr>
          <w:color w:val="auto"/>
          <w:highlight w:val="none"/>
        </w:rPr>
        <w:fldChar w:fldCharType="end"/>
      </w:r>
      <w:r>
        <w:rPr>
          <w:rFonts w:hint="eastAsia" w:ascii="宋体" w:hAnsi="宋体" w:eastAsia="宋体" w:cs="宋体"/>
          <w:color w:val="auto"/>
          <w:szCs w:val="28"/>
          <w:highlight w:val="none"/>
        </w:rPr>
        <w:fldChar w:fldCharType="end"/>
      </w:r>
    </w:p>
    <w:p w14:paraId="7397A2A8">
      <w:pPr>
        <w:pStyle w:val="19"/>
        <w:tabs>
          <w:tab w:val="right" w:leader="dot" w:pos="8306"/>
        </w:tabs>
        <w:rPr>
          <w:color w:val="auto"/>
          <w:highlight w:val="none"/>
        </w:rPr>
      </w:pPr>
      <w:r>
        <w:rPr>
          <w:rFonts w:hint="eastAsia" w:ascii="宋体" w:hAnsi="宋体" w:eastAsia="宋体" w:cs="宋体"/>
          <w:color w:val="auto"/>
          <w:szCs w:val="28"/>
          <w:highlight w:val="none"/>
        </w:rPr>
        <w:fldChar w:fldCharType="begin"/>
      </w:r>
      <w:r>
        <w:rPr>
          <w:rFonts w:hint="eastAsia" w:ascii="宋体" w:hAnsi="宋体" w:eastAsia="宋体" w:cs="宋体"/>
          <w:color w:val="auto"/>
          <w:szCs w:val="28"/>
          <w:highlight w:val="none"/>
        </w:rPr>
        <w:instrText xml:space="preserve"> HYPERLINK \l _Toc2876 </w:instrText>
      </w:r>
      <w:r>
        <w:rPr>
          <w:rFonts w:hint="eastAsia" w:ascii="宋体" w:hAnsi="宋体" w:eastAsia="宋体" w:cs="宋体"/>
          <w:color w:val="auto"/>
          <w:szCs w:val="28"/>
          <w:highlight w:val="none"/>
        </w:rPr>
        <w:fldChar w:fldCharType="separate"/>
      </w:r>
      <w:r>
        <w:rPr>
          <w:rFonts w:hint="eastAsia" w:ascii="宋体" w:hAnsi="宋体" w:eastAsia="宋体" w:cs="宋体"/>
          <w:color w:val="auto"/>
          <w:szCs w:val="28"/>
          <w:highlight w:val="none"/>
          <w:lang w:bidi="ar"/>
        </w:rPr>
        <w:t>第</w:t>
      </w:r>
      <w:r>
        <w:rPr>
          <w:rFonts w:hint="eastAsia" w:ascii="宋体" w:hAnsi="宋体" w:cs="宋体"/>
          <w:color w:val="auto"/>
          <w:szCs w:val="28"/>
          <w:highlight w:val="none"/>
          <w:lang w:val="en-US" w:eastAsia="zh-CN" w:bidi="ar"/>
        </w:rPr>
        <w:t>七</w:t>
      </w:r>
      <w:r>
        <w:rPr>
          <w:rFonts w:hint="eastAsia" w:ascii="宋体" w:hAnsi="宋体" w:eastAsia="宋体" w:cs="宋体"/>
          <w:color w:val="auto"/>
          <w:szCs w:val="28"/>
          <w:highlight w:val="none"/>
          <w:lang w:bidi="ar"/>
        </w:rPr>
        <w:t>章</w:t>
      </w:r>
      <w:r>
        <w:rPr>
          <w:rFonts w:hint="eastAsia" w:ascii="宋体" w:hAnsi="宋体" w:eastAsia="宋体"/>
          <w:bCs/>
          <w:color w:val="auto"/>
          <w:szCs w:val="28"/>
          <w:highlight w:val="none"/>
          <w:lang w:bidi="ar"/>
        </w:rPr>
        <w:t xml:space="preserve"> </w:t>
      </w:r>
      <w:r>
        <w:rPr>
          <w:rFonts w:hint="eastAsia" w:ascii="宋体" w:hAnsi="宋体" w:eastAsia="宋体" w:cs="宋体"/>
          <w:bCs/>
          <w:color w:val="auto"/>
          <w:szCs w:val="28"/>
          <w:highlight w:val="none"/>
          <w:lang w:bidi="ar"/>
        </w:rPr>
        <w:t>政府采购</w:t>
      </w:r>
      <w:r>
        <w:rPr>
          <w:rFonts w:hint="eastAsia" w:ascii="宋体" w:hAnsi="宋体" w:eastAsia="宋体" w:cs="宋体"/>
          <w:color w:val="auto"/>
          <w:szCs w:val="28"/>
          <w:highlight w:val="none"/>
          <w:lang w:bidi="ar"/>
        </w:rPr>
        <w:t>供应</w:t>
      </w:r>
      <w:r>
        <w:rPr>
          <w:rFonts w:hint="eastAsia" w:ascii="宋体" w:hAnsi="宋体" w:eastAsia="宋体" w:cs="宋体"/>
          <w:bCs/>
          <w:color w:val="auto"/>
          <w:szCs w:val="28"/>
          <w:highlight w:val="none"/>
          <w:lang w:bidi="ar"/>
        </w:rPr>
        <w:t>商询问函和质疑函范本</w:t>
      </w:r>
      <w:r>
        <w:rPr>
          <w:color w:val="auto"/>
          <w:highlight w:val="none"/>
        </w:rPr>
        <w:tab/>
      </w:r>
      <w:r>
        <w:rPr>
          <w:color w:val="auto"/>
          <w:highlight w:val="none"/>
        </w:rPr>
        <w:fldChar w:fldCharType="begin"/>
      </w:r>
      <w:r>
        <w:rPr>
          <w:color w:val="auto"/>
          <w:highlight w:val="none"/>
        </w:rPr>
        <w:instrText xml:space="preserve"> PAGEREF _Toc2876 \h </w:instrText>
      </w:r>
      <w:r>
        <w:rPr>
          <w:color w:val="auto"/>
          <w:highlight w:val="none"/>
        </w:rPr>
        <w:fldChar w:fldCharType="separate"/>
      </w:r>
      <w:r>
        <w:rPr>
          <w:color w:val="auto"/>
          <w:highlight w:val="none"/>
        </w:rPr>
        <w:t>90</w:t>
      </w:r>
      <w:r>
        <w:rPr>
          <w:color w:val="auto"/>
          <w:highlight w:val="none"/>
        </w:rPr>
        <w:fldChar w:fldCharType="end"/>
      </w:r>
      <w:r>
        <w:rPr>
          <w:rFonts w:hint="eastAsia" w:ascii="宋体" w:hAnsi="宋体" w:eastAsia="宋体" w:cs="宋体"/>
          <w:color w:val="auto"/>
          <w:szCs w:val="28"/>
          <w:highlight w:val="none"/>
        </w:rPr>
        <w:fldChar w:fldCharType="end"/>
      </w:r>
    </w:p>
    <w:p w14:paraId="055E5D35">
      <w:pPr>
        <w:spacing w:line="360" w:lineRule="auto"/>
        <w:rPr>
          <w:rFonts w:ascii="宋体" w:hAnsi="宋体" w:eastAsia="宋体"/>
          <w:b/>
          <w:color w:val="auto"/>
          <w:sz w:val="32"/>
          <w:highlight w:val="none"/>
        </w:rPr>
      </w:pPr>
      <w:r>
        <w:rPr>
          <w:rFonts w:hint="eastAsia" w:ascii="宋体" w:hAnsi="宋体" w:eastAsia="宋体" w:cs="宋体"/>
          <w:color w:val="auto"/>
          <w:szCs w:val="28"/>
          <w:highlight w:val="none"/>
        </w:rPr>
        <w:fldChar w:fldCharType="end"/>
      </w:r>
    </w:p>
    <w:p w14:paraId="102A5DFF">
      <w:pPr>
        <w:spacing w:line="360" w:lineRule="auto"/>
        <w:jc w:val="center"/>
        <w:outlineLvl w:val="1"/>
        <w:rPr>
          <w:rFonts w:ascii="宋体" w:hAnsi="宋体" w:eastAsia="宋体"/>
          <w:b/>
          <w:color w:val="auto"/>
          <w:sz w:val="28"/>
          <w:highlight w:val="none"/>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p>
    <w:p w14:paraId="4464CBC4">
      <w:pPr>
        <w:spacing w:line="360" w:lineRule="auto"/>
        <w:jc w:val="center"/>
        <w:outlineLvl w:val="0"/>
        <w:rPr>
          <w:rFonts w:ascii="宋体" w:hAnsi="宋体" w:eastAsia="宋体"/>
          <w:b/>
          <w:color w:val="auto"/>
          <w:sz w:val="28"/>
          <w:highlight w:val="none"/>
        </w:rPr>
      </w:pPr>
      <w:bookmarkStart w:id="1" w:name="_Toc4707"/>
      <w:r>
        <w:rPr>
          <w:rFonts w:hint="eastAsia" w:ascii="宋体" w:hAnsi="宋体" w:eastAsia="宋体"/>
          <w:b/>
          <w:color w:val="auto"/>
          <w:sz w:val="28"/>
          <w:highlight w:val="none"/>
        </w:rPr>
        <w:t xml:space="preserve">第一章 </w:t>
      </w:r>
      <w:r>
        <w:rPr>
          <w:rFonts w:ascii="宋体" w:hAnsi="宋体" w:eastAsia="宋体"/>
          <w:b/>
          <w:color w:val="auto"/>
          <w:sz w:val="28"/>
          <w:highlight w:val="none"/>
        </w:rPr>
        <w:t xml:space="preserve"> 投标邀请</w:t>
      </w:r>
      <w:bookmarkEnd w:id="1"/>
    </w:p>
    <w:p w14:paraId="69E9E6A8">
      <w:pPr>
        <w:wordWrap w:val="0"/>
        <w:autoSpaceDE w:val="0"/>
        <w:spacing w:line="360" w:lineRule="auto"/>
        <w:ind w:firstLine="480" w:firstLineChars="200"/>
        <w:outlineLvl w:val="2"/>
        <w:rPr>
          <w:rFonts w:ascii="宋体" w:hAnsi="宋体" w:eastAsia="宋体" w:cs="宋体"/>
          <w:color w:val="auto"/>
          <w:sz w:val="24"/>
          <w:szCs w:val="24"/>
          <w:highlight w:val="none"/>
        </w:rPr>
      </w:pPr>
      <w:bookmarkStart w:id="2" w:name="_Toc1215"/>
      <w:bookmarkEnd w:id="2"/>
      <w:bookmarkStart w:id="3" w:name="_Toc7265"/>
      <w:bookmarkStart w:id="4" w:name="_Toc13296"/>
      <w:r>
        <w:rPr>
          <w:rFonts w:hint="eastAsia" w:ascii="宋体" w:hAnsi="宋体" w:eastAsia="宋体" w:cs="宋体"/>
          <w:color w:val="auto"/>
          <w:sz w:val="24"/>
          <w:szCs w:val="24"/>
          <w:highlight w:val="none"/>
        </w:rPr>
        <w:t>项目概况</w:t>
      </w:r>
    </w:p>
    <w:p w14:paraId="4D42ADAC">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eastAsia="zh-CN"/>
        </w:rPr>
        <w:t>安徽滁州技师学院信息化标杆校数据融合基座项目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的潜在投标人应在</w:t>
      </w:r>
      <w:r>
        <w:rPr>
          <w:rFonts w:hint="eastAsia" w:ascii="宋体" w:hAnsi="宋体" w:eastAsia="宋体" w:cs="宋体"/>
          <w:color w:val="auto"/>
          <w:sz w:val="24"/>
          <w:szCs w:val="24"/>
          <w:highlight w:val="none"/>
          <w:u w:val="single"/>
        </w:rPr>
        <w:t>滁州市公共资源交易中心网（</w:t>
      </w:r>
      <w:r>
        <w:rPr>
          <w:color w:val="auto"/>
          <w:highlight w:val="none"/>
        </w:rPr>
        <w:fldChar w:fldCharType="begin"/>
      </w:r>
      <w:r>
        <w:rPr>
          <w:color w:val="auto"/>
          <w:highlight w:val="none"/>
        </w:rPr>
        <w:instrText xml:space="preserve"> HYPERLINK "https://ggzy.chuzhou.gov.cn/" </w:instrText>
      </w:r>
      <w:r>
        <w:rPr>
          <w:color w:val="auto"/>
          <w:highlight w:val="none"/>
        </w:rPr>
        <w:fldChar w:fldCharType="separate"/>
      </w:r>
      <w:r>
        <w:rPr>
          <w:rStyle w:val="37"/>
          <w:rFonts w:hint="eastAsia" w:ascii="宋体" w:hAnsi="宋体" w:eastAsia="宋体" w:cs="宋体"/>
          <w:color w:val="auto"/>
          <w:sz w:val="24"/>
          <w:szCs w:val="24"/>
          <w:highlight w:val="none"/>
          <w:u w:val="single"/>
        </w:rPr>
        <w:t>http://ggzy.chuzhou.gov.cn/</w:t>
      </w:r>
      <w:r>
        <w:rPr>
          <w:rStyle w:val="37"/>
          <w:rFonts w:hint="eastAsia" w:ascii="宋体" w:hAnsi="宋体" w:eastAsia="宋体" w:cs="宋体"/>
          <w:color w:val="auto"/>
          <w:sz w:val="24"/>
          <w:szCs w:val="24"/>
          <w:highlight w:val="none"/>
          <w:u w:val="single"/>
        </w:rPr>
        <w:fldChar w:fldCharType="end"/>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获取招标文件，并于</w:t>
      </w:r>
      <w:r>
        <w:rPr>
          <w:rFonts w:hint="eastAsia" w:ascii="宋体" w:hAnsi="宋体" w:eastAsia="宋体" w:cs="宋体"/>
          <w:color w:val="auto"/>
          <w:sz w:val="24"/>
          <w:szCs w:val="24"/>
          <w:highlight w:val="none"/>
          <w:u w:val="single"/>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 xml:space="preserve">0 </w:t>
      </w:r>
      <w:r>
        <w:rPr>
          <w:rFonts w:hint="eastAsia" w:ascii="宋体" w:hAnsi="宋体" w:eastAsia="宋体" w:cs="宋体"/>
          <w:color w:val="auto"/>
          <w:sz w:val="24"/>
          <w:szCs w:val="24"/>
          <w:highlight w:val="none"/>
        </w:rPr>
        <w:t>分（</w:t>
      </w:r>
      <w:r>
        <w:rPr>
          <w:rFonts w:hint="eastAsia" w:ascii="宋体" w:hAnsi="宋体" w:eastAsia="宋体" w:cs="宋体"/>
          <w:bCs/>
          <w:color w:val="auto"/>
          <w:sz w:val="24"/>
          <w:szCs w:val="24"/>
          <w:highlight w:val="none"/>
        </w:rPr>
        <w:t>北京时间）前递交投标文件。</w:t>
      </w:r>
    </w:p>
    <w:p w14:paraId="120D75E1">
      <w:pPr>
        <w:spacing w:line="360" w:lineRule="auto"/>
        <w:ind w:firstLine="437"/>
        <w:outlineLvl w:val="1"/>
        <w:rPr>
          <w:rFonts w:ascii="宋体" w:hAnsi="宋体" w:eastAsia="宋体"/>
          <w:b/>
          <w:bCs/>
          <w:color w:val="auto"/>
          <w:sz w:val="24"/>
          <w:szCs w:val="24"/>
          <w:highlight w:val="none"/>
        </w:rPr>
      </w:pPr>
      <w:bookmarkStart w:id="5" w:name="_Toc28359079"/>
      <w:bookmarkEnd w:id="5"/>
      <w:bookmarkStart w:id="6" w:name="_Toc58430305"/>
      <w:bookmarkEnd w:id="6"/>
      <w:bookmarkStart w:id="7" w:name="_Toc28359002"/>
      <w:bookmarkEnd w:id="7"/>
      <w:bookmarkStart w:id="8" w:name="_Toc35393621"/>
      <w:bookmarkEnd w:id="8"/>
      <w:bookmarkStart w:id="9" w:name="_Toc35393790"/>
      <w:bookmarkEnd w:id="9"/>
      <w:bookmarkStart w:id="10" w:name="_Toc175"/>
      <w:bookmarkStart w:id="11" w:name="_Hlk24379207"/>
      <w:bookmarkStart w:id="12" w:name="_Toc11849"/>
      <w:bookmarkStart w:id="13" w:name="_Toc28568"/>
      <w:bookmarkStart w:id="14" w:name="_Toc10682"/>
      <w:r>
        <w:rPr>
          <w:rFonts w:hint="eastAsia" w:ascii="宋体" w:hAnsi="宋体" w:eastAsia="宋体" w:cs="宋体"/>
          <w:b/>
          <w:bCs/>
          <w:color w:val="auto"/>
          <w:sz w:val="24"/>
          <w:szCs w:val="24"/>
          <w:highlight w:val="none"/>
        </w:rPr>
        <w:t>一、项目基本情况</w:t>
      </w:r>
      <w:bookmarkEnd w:id="10"/>
      <w:bookmarkEnd w:id="11"/>
      <w:bookmarkEnd w:id="12"/>
      <w:bookmarkEnd w:id="13"/>
      <w:bookmarkEnd w:id="14"/>
    </w:p>
    <w:p w14:paraId="296FFCC6">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1.项目编号：</w:t>
      </w:r>
      <w:r>
        <w:rPr>
          <w:rFonts w:hint="eastAsia" w:ascii="宋体" w:hAnsi="宋体" w:eastAsia="宋体" w:cs="宋体"/>
          <w:color w:val="auto"/>
          <w:sz w:val="24"/>
          <w:szCs w:val="24"/>
          <w:highlight w:val="none"/>
          <w:lang w:eastAsia="zh-CN"/>
        </w:rPr>
        <w:t>czsjcg202610-020</w:t>
      </w:r>
      <w:r>
        <w:rPr>
          <w:rFonts w:hint="eastAsia" w:ascii="宋体" w:hAnsi="宋体" w:eastAsia="宋体" w:cs="宋体"/>
          <w:color w:val="auto"/>
          <w:sz w:val="24"/>
          <w:szCs w:val="24"/>
          <w:highlight w:val="none"/>
        </w:rPr>
        <w:t xml:space="preserve"> </w:t>
      </w:r>
    </w:p>
    <w:p w14:paraId="48410F12">
      <w:pPr>
        <w:wordWrap w:val="0"/>
        <w:autoSpaceDE w:val="0"/>
        <w:spacing w:line="360" w:lineRule="auto"/>
        <w:ind w:firstLine="480" w:firstLineChars="200"/>
        <w:outlineLvl w:val="2"/>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2.项目名称：</w:t>
      </w:r>
      <w:r>
        <w:rPr>
          <w:rFonts w:hint="eastAsia" w:ascii="宋体" w:hAnsi="宋体" w:eastAsia="宋体" w:cs="宋体"/>
          <w:color w:val="auto"/>
          <w:sz w:val="24"/>
          <w:szCs w:val="24"/>
          <w:highlight w:val="none"/>
          <w:lang w:eastAsia="zh-CN"/>
        </w:rPr>
        <w:t>安徽滁州技师学院信息化标杆校数据融合基座项目</w:t>
      </w:r>
    </w:p>
    <w:p w14:paraId="02EC08E6">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3.预算金额：</w:t>
      </w:r>
      <w:r>
        <w:rPr>
          <w:rFonts w:hint="eastAsia" w:ascii="宋体" w:hAnsi="宋体" w:eastAsia="宋体" w:cs="宋体"/>
          <w:color w:val="auto"/>
          <w:sz w:val="24"/>
          <w:szCs w:val="24"/>
          <w:highlight w:val="none"/>
          <w:lang w:eastAsia="zh-CN"/>
        </w:rPr>
        <w:t>1190000.00</w:t>
      </w:r>
      <w:r>
        <w:rPr>
          <w:rFonts w:hint="eastAsia" w:ascii="宋体" w:hAnsi="宋体" w:eastAsia="宋体" w:cs="宋体"/>
          <w:color w:val="auto"/>
          <w:sz w:val="24"/>
          <w:szCs w:val="24"/>
          <w:highlight w:val="none"/>
        </w:rPr>
        <w:t>元</w:t>
      </w:r>
    </w:p>
    <w:p w14:paraId="341E0D7D">
      <w:pPr>
        <w:pStyle w:val="22"/>
        <w:widowControl/>
        <w:spacing w:before="0" w:beforeAutospacing="0" w:after="0" w:afterAutospacing="0" w:line="300" w:lineRule="atLeast"/>
        <w:ind w:firstLine="480" w:firstLineChars="200"/>
        <w:jc w:val="both"/>
        <w:rPr>
          <w:color w:val="auto"/>
          <w:highlight w:val="none"/>
        </w:rPr>
      </w:pPr>
      <w:r>
        <w:rPr>
          <w:rFonts w:hint="eastAsia" w:ascii="宋体" w:hAnsi="宋体" w:eastAsia="宋体" w:cs="宋体"/>
          <w:color w:val="auto"/>
          <w:szCs w:val="24"/>
          <w:highlight w:val="none"/>
        </w:rPr>
        <w:t>4.最高限价：</w:t>
      </w:r>
      <w:r>
        <w:rPr>
          <w:rFonts w:hint="eastAsia" w:ascii="宋体" w:hAnsi="宋体" w:eastAsia="宋体" w:cs="宋体"/>
          <w:color w:val="auto"/>
          <w:szCs w:val="24"/>
          <w:highlight w:val="none"/>
          <w:lang w:eastAsia="zh-CN"/>
        </w:rPr>
        <w:t>1190000.00</w:t>
      </w:r>
      <w:r>
        <w:rPr>
          <w:rFonts w:hint="eastAsia" w:ascii="宋体" w:hAnsi="宋体" w:eastAsia="宋体" w:cs="宋体"/>
          <w:color w:val="auto"/>
          <w:szCs w:val="24"/>
          <w:highlight w:val="none"/>
        </w:rPr>
        <w:t>元，投标报价不得高于最高限价，否则按无效投标处理。</w:t>
      </w:r>
    </w:p>
    <w:p w14:paraId="7FF83526">
      <w:pPr>
        <w:wordWrap w:val="0"/>
        <w:autoSpaceDE w:val="0"/>
        <w:spacing w:line="360" w:lineRule="auto"/>
        <w:ind w:firstLine="480" w:firstLineChars="200"/>
        <w:outlineLvl w:val="2"/>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4"/>
          <w:szCs w:val="24"/>
          <w:highlight w:val="none"/>
        </w:rPr>
        <w:t>5.采</w:t>
      </w:r>
      <w:r>
        <w:rPr>
          <w:rFonts w:hint="eastAsia" w:ascii="宋体" w:hAnsi="宋体" w:eastAsia="宋体" w:cs="宋体"/>
          <w:color w:val="auto"/>
          <w:kern w:val="0"/>
          <w:sz w:val="24"/>
          <w:szCs w:val="24"/>
          <w:highlight w:val="none"/>
          <w:lang w:val="en-US" w:eastAsia="zh-CN" w:bidi="ar-SA"/>
        </w:rPr>
        <w:t>购需求：建设范围包括但不限于：数据中台、结构化数据开发、元数据管理、智能开放网关、统一调度中心、数据标准管理、数据模型管理、数据质量管理、数据上报平台、数据门户、数据治理服务、数据应用开发等。建设成果应支撑全校数据统一汇聚、标准化治理、受控开放与深度应用，并为对</w:t>
      </w:r>
      <w:r>
        <w:rPr>
          <w:rFonts w:hint="eastAsia" w:ascii="宋体" w:hAnsi="宋体" w:eastAsia="宋体" w:cs="宋体"/>
          <w:color w:val="auto"/>
          <w:kern w:val="0"/>
          <w:sz w:val="24"/>
          <w:szCs w:val="24"/>
          <w:highlight w:val="none"/>
          <w:lang w:val="en-US" w:eastAsia="zh-CN" w:bidi="ar-SA"/>
        </w:rPr>
        <w:t>接上级主管部门相关</w:t>
      </w:r>
      <w:r>
        <w:rPr>
          <w:rFonts w:hint="eastAsia" w:ascii="宋体" w:hAnsi="宋体" w:eastAsia="宋体" w:cs="宋体"/>
          <w:color w:val="auto"/>
          <w:kern w:val="0"/>
          <w:sz w:val="24"/>
          <w:szCs w:val="24"/>
          <w:highlight w:val="none"/>
          <w:lang w:val="en-US" w:eastAsia="zh-CN" w:bidi="ar-SA"/>
        </w:rPr>
        <w:t>数据上报要求提供底座。</w:t>
      </w:r>
    </w:p>
    <w:p w14:paraId="701BE13F">
      <w:pPr>
        <w:wordWrap w:val="0"/>
        <w:autoSpaceDE w:val="0"/>
        <w:spacing w:line="360" w:lineRule="auto"/>
        <w:ind w:firstLine="480" w:firstLineChars="200"/>
        <w:outlineLvl w:val="2"/>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6.合同履行期限：</w:t>
      </w:r>
      <w:r>
        <w:rPr>
          <w:rFonts w:hint="eastAsia" w:ascii="宋体" w:hAnsi="宋体" w:eastAsia="宋体" w:cs="宋体"/>
          <w:color w:val="auto"/>
          <w:kern w:val="0"/>
          <w:sz w:val="24"/>
          <w:szCs w:val="24"/>
          <w:highlight w:val="none"/>
          <w:lang w:val="en-US" w:eastAsia="zh-CN" w:bidi="ar-SA"/>
        </w:rPr>
        <w:t>自合同签订生效后，接到采购人通知之日起45个日历天内完成建设工作，并验收合格交付使用。</w:t>
      </w:r>
    </w:p>
    <w:p w14:paraId="789D2432">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7.本项目不接受联合体投标。</w:t>
      </w:r>
    </w:p>
    <w:p w14:paraId="3F828B2C">
      <w:pPr>
        <w:spacing w:line="360" w:lineRule="auto"/>
        <w:ind w:firstLine="437"/>
        <w:outlineLvl w:val="1"/>
        <w:rPr>
          <w:rFonts w:ascii="宋体" w:hAnsi="宋体" w:eastAsia="宋体"/>
          <w:b/>
          <w:bCs/>
          <w:color w:val="auto"/>
          <w:sz w:val="24"/>
          <w:szCs w:val="24"/>
          <w:highlight w:val="none"/>
        </w:rPr>
      </w:pPr>
      <w:bookmarkStart w:id="15" w:name="_Toc35393791"/>
      <w:bookmarkEnd w:id="15"/>
      <w:bookmarkStart w:id="16" w:name="_Toc58430306"/>
      <w:bookmarkEnd w:id="16"/>
      <w:bookmarkStart w:id="17" w:name="_Toc28359003"/>
      <w:bookmarkEnd w:id="17"/>
      <w:bookmarkStart w:id="18" w:name="_Toc35393622"/>
      <w:bookmarkEnd w:id="18"/>
      <w:bookmarkStart w:id="19" w:name="_Toc28359080"/>
      <w:bookmarkStart w:id="20" w:name="_Toc30387"/>
      <w:bookmarkStart w:id="21" w:name="_Toc20469"/>
      <w:bookmarkStart w:id="22" w:name="_Toc20045"/>
      <w:bookmarkStart w:id="23" w:name="_Toc7082"/>
      <w:r>
        <w:rPr>
          <w:rFonts w:hint="eastAsia" w:ascii="宋体" w:hAnsi="宋体" w:eastAsia="宋体" w:cs="宋体"/>
          <w:b/>
          <w:bCs/>
          <w:color w:val="auto"/>
          <w:sz w:val="24"/>
          <w:szCs w:val="24"/>
          <w:highlight w:val="none"/>
        </w:rPr>
        <w:t>二、申请人的资格要求</w:t>
      </w:r>
      <w:bookmarkEnd w:id="19"/>
      <w:bookmarkEnd w:id="20"/>
      <w:bookmarkEnd w:id="21"/>
      <w:bookmarkEnd w:id="22"/>
      <w:bookmarkEnd w:id="23"/>
    </w:p>
    <w:p w14:paraId="0E21FE50">
      <w:pPr>
        <w:wordWrap w:val="0"/>
        <w:autoSpaceDE w:val="0"/>
        <w:spacing w:line="360" w:lineRule="auto"/>
        <w:ind w:firstLine="480" w:firstLineChars="20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1.满足《中华人民共和国政府采购法》第二十二条规定；</w:t>
      </w:r>
    </w:p>
    <w:p w14:paraId="4484635A">
      <w:pPr>
        <w:wordWrap w:val="0"/>
        <w:autoSpaceDE w:val="0"/>
        <w:spacing w:line="360" w:lineRule="auto"/>
        <w:ind w:firstLine="480" w:firstLineChars="200"/>
        <w:outlineLvl w:val="2"/>
        <w:rPr>
          <w:rFonts w:hint="eastAsia" w:ascii="宋体" w:hAnsi="宋体" w:eastAsia="宋体" w:cs="宋体"/>
          <w:color w:val="auto"/>
          <w:sz w:val="24"/>
          <w:szCs w:val="24"/>
          <w:highlight w:val="none"/>
          <w:lang w:val="en-US" w:eastAsia="zh-CN"/>
        </w:rPr>
      </w:pPr>
      <w:bookmarkStart w:id="24" w:name="_Toc28359081"/>
      <w:bookmarkEnd w:id="24"/>
      <w:bookmarkStart w:id="25" w:name="_Toc28359004"/>
      <w:r>
        <w:rPr>
          <w:rFonts w:hint="eastAsia" w:ascii="宋体" w:hAnsi="宋体" w:eastAsia="宋体" w:cs="宋体"/>
          <w:color w:val="auto"/>
          <w:sz w:val="24"/>
          <w:szCs w:val="24"/>
          <w:highlight w:val="none"/>
        </w:rPr>
        <w:t>2.落实政府采购政策需满足的资格要求：</w:t>
      </w:r>
      <w:bookmarkEnd w:id="25"/>
      <w:r>
        <w:rPr>
          <w:rFonts w:hint="eastAsia" w:ascii="宋体" w:hAnsi="宋体" w:eastAsia="宋体" w:cs="宋体"/>
          <w:color w:val="auto"/>
          <w:sz w:val="24"/>
          <w:szCs w:val="24"/>
          <w:highlight w:val="none"/>
          <w:lang w:val="en-US" w:eastAsia="zh-CN"/>
        </w:rPr>
        <w:t>本项目符合财政部、工业和信息化部制定的《政府采购促进中小企业发展管理办法》第六条第三款（按照本办法规定预留采购份额无法确保充分供应、充分竞争，或者存在可能影响政府采购目标实现的情形）之规定，</w:t>
      </w:r>
      <w:r>
        <w:rPr>
          <w:rFonts w:hint="eastAsia" w:ascii="宋体" w:hAnsi="宋体" w:eastAsia="宋体" w:cs="宋体"/>
          <w:color w:val="auto"/>
          <w:sz w:val="24"/>
          <w:szCs w:val="24"/>
          <w:highlight w:val="none"/>
          <w:lang w:val="en-US" w:eastAsia="zh-CN"/>
        </w:rPr>
        <w:t>为非专门面向中小企业采购项目</w:t>
      </w:r>
      <w:r>
        <w:rPr>
          <w:rFonts w:hint="eastAsia" w:ascii="宋体" w:hAnsi="宋体" w:eastAsia="宋体" w:cs="宋体"/>
          <w:color w:val="auto"/>
          <w:sz w:val="24"/>
          <w:szCs w:val="24"/>
          <w:highlight w:val="none"/>
          <w:lang w:val="en-US" w:eastAsia="zh-CN"/>
        </w:rPr>
        <w:t>。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5335DDDC">
      <w:pPr>
        <w:wordWrap w:val="0"/>
        <w:autoSpaceDE w:val="0"/>
        <w:spacing w:line="360" w:lineRule="auto"/>
        <w:ind w:firstLine="480" w:firstLineChars="200"/>
        <w:outlineLvl w:val="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3.本项目的特定资格要求</w:t>
      </w:r>
      <w:r>
        <w:rPr>
          <w:rFonts w:hint="eastAsia" w:ascii="宋体" w:hAnsi="宋体" w:eastAsia="宋体" w:cs="宋体"/>
          <w:color w:val="auto"/>
          <w:sz w:val="24"/>
          <w:szCs w:val="24"/>
          <w:highlight w:val="none"/>
          <w:lang w:val="en-US" w:eastAsia="zh-CN"/>
        </w:rPr>
        <w:t>：/。</w:t>
      </w:r>
    </w:p>
    <w:p w14:paraId="780F379D">
      <w:pPr>
        <w:spacing w:line="360" w:lineRule="auto"/>
        <w:ind w:firstLine="437"/>
        <w:outlineLvl w:val="1"/>
        <w:rPr>
          <w:rFonts w:ascii="宋体" w:hAnsi="宋体" w:eastAsia="宋体"/>
          <w:b/>
          <w:bCs/>
          <w:color w:val="auto"/>
          <w:sz w:val="24"/>
          <w:szCs w:val="24"/>
          <w:highlight w:val="none"/>
        </w:rPr>
      </w:pPr>
      <w:bookmarkStart w:id="26" w:name="_Toc35393792"/>
      <w:bookmarkEnd w:id="26"/>
      <w:bookmarkStart w:id="27" w:name="_Toc35393623"/>
      <w:bookmarkEnd w:id="27"/>
      <w:bookmarkStart w:id="28" w:name="_Toc7815"/>
      <w:bookmarkStart w:id="29" w:name="_Toc58430307"/>
      <w:bookmarkStart w:id="30" w:name="_Toc7539"/>
      <w:bookmarkStart w:id="31" w:name="_Toc25245"/>
      <w:bookmarkStart w:id="32" w:name="_Toc16308"/>
      <w:r>
        <w:rPr>
          <w:rFonts w:hint="eastAsia" w:ascii="宋体" w:hAnsi="宋体" w:eastAsia="宋体" w:cs="宋体"/>
          <w:b/>
          <w:bCs/>
          <w:color w:val="auto"/>
          <w:sz w:val="24"/>
          <w:szCs w:val="24"/>
          <w:highlight w:val="none"/>
        </w:rPr>
        <w:t>三、获取招标文件</w:t>
      </w:r>
      <w:bookmarkEnd w:id="28"/>
      <w:bookmarkEnd w:id="29"/>
      <w:bookmarkEnd w:id="30"/>
      <w:bookmarkEnd w:id="31"/>
      <w:bookmarkEnd w:id="32"/>
    </w:p>
    <w:p w14:paraId="7AD5805C">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时间：2026年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21 </w:t>
      </w:r>
      <w:r>
        <w:rPr>
          <w:rFonts w:hint="eastAsia" w:ascii="宋体" w:hAnsi="宋体" w:eastAsia="宋体" w:cs="宋体"/>
          <w:color w:val="auto"/>
          <w:sz w:val="24"/>
          <w:szCs w:val="24"/>
          <w:highlight w:val="none"/>
        </w:rPr>
        <w:t>日至2026年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11</w:t>
      </w:r>
      <w:r>
        <w:rPr>
          <w:rFonts w:hint="eastAsia" w:ascii="宋体" w:hAnsi="宋体" w:eastAsia="宋体" w:cs="宋体"/>
          <w:color w:val="auto"/>
          <w:sz w:val="24"/>
          <w:szCs w:val="24"/>
          <w:highlight w:val="none"/>
        </w:rPr>
        <w:t>日</w:t>
      </w:r>
    </w:p>
    <w:p w14:paraId="6BAA5336">
      <w:pPr>
        <w:wordWrap w:val="0"/>
        <w:autoSpaceDE w:val="0"/>
        <w:spacing w:line="360" w:lineRule="auto"/>
        <w:ind w:firstLine="480" w:firstLineChars="200"/>
        <w:outlineLvl w:val="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地点：滁州市公共资源交易中心网</w:t>
      </w:r>
    </w:p>
    <w:p w14:paraId="00474053">
      <w:pPr>
        <w:wordWrap w:val="0"/>
        <w:autoSpaceDE w:val="0"/>
        <w:spacing w:line="360" w:lineRule="auto"/>
        <w:ind w:firstLine="480" w:firstLineChars="200"/>
        <w:outlineLvl w:val="2"/>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方式：网上下载</w:t>
      </w:r>
    </w:p>
    <w:p w14:paraId="487B4D73">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售价：0元</w:t>
      </w:r>
    </w:p>
    <w:p w14:paraId="3D570F71">
      <w:pPr>
        <w:spacing w:line="360" w:lineRule="auto"/>
        <w:ind w:firstLine="437"/>
        <w:outlineLvl w:val="1"/>
        <w:rPr>
          <w:rFonts w:ascii="宋体" w:hAnsi="宋体" w:eastAsia="宋体"/>
          <w:b/>
          <w:bCs/>
          <w:color w:val="auto"/>
          <w:sz w:val="24"/>
          <w:szCs w:val="24"/>
          <w:highlight w:val="none"/>
        </w:rPr>
      </w:pPr>
      <w:bookmarkStart w:id="33" w:name="_Toc35393624"/>
      <w:bookmarkEnd w:id="33"/>
      <w:bookmarkStart w:id="34" w:name="_Toc28359082"/>
      <w:bookmarkEnd w:id="34"/>
      <w:bookmarkStart w:id="35" w:name="_Toc35393793"/>
      <w:bookmarkEnd w:id="35"/>
      <w:bookmarkStart w:id="36" w:name="_Toc28359005"/>
      <w:bookmarkEnd w:id="36"/>
      <w:bookmarkStart w:id="37" w:name="_Toc58430308"/>
      <w:bookmarkStart w:id="38" w:name="_Toc11593"/>
      <w:bookmarkStart w:id="39" w:name="_Toc12218"/>
      <w:bookmarkStart w:id="40" w:name="_Toc5997"/>
      <w:bookmarkStart w:id="41" w:name="_Toc5014"/>
      <w:r>
        <w:rPr>
          <w:rFonts w:hint="eastAsia" w:ascii="宋体" w:hAnsi="宋体" w:eastAsia="宋体" w:cs="宋体"/>
          <w:b/>
          <w:bCs/>
          <w:color w:val="auto"/>
          <w:sz w:val="24"/>
          <w:szCs w:val="24"/>
          <w:highlight w:val="none"/>
        </w:rPr>
        <w:t>四、提交投标文件</w:t>
      </w:r>
      <w:bookmarkEnd w:id="37"/>
      <w:r>
        <w:rPr>
          <w:rFonts w:hint="eastAsia" w:ascii="宋体" w:hAnsi="宋体" w:eastAsia="宋体" w:cs="宋体"/>
          <w:b/>
          <w:bCs/>
          <w:color w:val="auto"/>
          <w:sz w:val="24"/>
          <w:szCs w:val="24"/>
          <w:highlight w:val="none"/>
        </w:rPr>
        <w:t>截止时间、开标时间和地点</w:t>
      </w:r>
      <w:bookmarkEnd w:id="38"/>
      <w:bookmarkEnd w:id="39"/>
      <w:bookmarkEnd w:id="40"/>
      <w:bookmarkEnd w:id="41"/>
    </w:p>
    <w:p w14:paraId="4FF84209">
      <w:pPr>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0分（北京时间）</w:t>
      </w:r>
    </w:p>
    <w:p w14:paraId="020A20E6">
      <w:pPr>
        <w:autoSpaceDE w:val="0"/>
        <w:spacing w:line="360" w:lineRule="auto"/>
        <w:ind w:firstLine="480" w:firstLineChars="200"/>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rPr>
        <w:t>地点：滁州市公共资源交易平台电子交易系统</w:t>
      </w:r>
    </w:p>
    <w:p w14:paraId="599CD1EC">
      <w:pPr>
        <w:spacing w:line="360" w:lineRule="auto"/>
        <w:ind w:firstLine="437"/>
        <w:outlineLvl w:val="1"/>
        <w:rPr>
          <w:rFonts w:ascii="宋体" w:hAnsi="宋体" w:eastAsia="宋体"/>
          <w:b/>
          <w:bCs/>
          <w:color w:val="auto"/>
          <w:sz w:val="24"/>
          <w:szCs w:val="24"/>
          <w:highlight w:val="none"/>
        </w:rPr>
      </w:pPr>
      <w:bookmarkStart w:id="42" w:name="_Toc28359007"/>
      <w:bookmarkEnd w:id="42"/>
      <w:bookmarkStart w:id="43" w:name="_Toc35393625"/>
      <w:bookmarkEnd w:id="43"/>
      <w:bookmarkStart w:id="44" w:name="_Toc35393794"/>
      <w:bookmarkEnd w:id="44"/>
      <w:bookmarkStart w:id="45" w:name="_Toc58430309"/>
      <w:bookmarkEnd w:id="45"/>
      <w:bookmarkStart w:id="46" w:name="_Toc32366"/>
      <w:bookmarkStart w:id="47" w:name="_Toc2214"/>
      <w:bookmarkStart w:id="48" w:name="_Toc10242"/>
      <w:bookmarkStart w:id="49" w:name="_Toc28359084"/>
      <w:bookmarkStart w:id="50" w:name="_Toc3904"/>
      <w:r>
        <w:rPr>
          <w:rFonts w:hint="eastAsia" w:ascii="宋体" w:hAnsi="宋体" w:eastAsia="宋体" w:cs="宋体"/>
          <w:b/>
          <w:bCs/>
          <w:color w:val="auto"/>
          <w:sz w:val="24"/>
          <w:szCs w:val="24"/>
          <w:highlight w:val="none"/>
        </w:rPr>
        <w:t>五、公告期限</w:t>
      </w:r>
      <w:bookmarkEnd w:id="46"/>
      <w:bookmarkEnd w:id="47"/>
      <w:bookmarkEnd w:id="48"/>
      <w:bookmarkEnd w:id="49"/>
      <w:bookmarkEnd w:id="50"/>
    </w:p>
    <w:p w14:paraId="702E37AE">
      <w:pPr>
        <w:wordWrap w:val="0"/>
        <w:autoSpaceDE w:val="0"/>
        <w:spacing w:line="360" w:lineRule="auto"/>
        <w:ind w:firstLine="480" w:firstLineChars="200"/>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rPr>
        <w:t>自本公告发布之日起5个工作日。</w:t>
      </w:r>
    </w:p>
    <w:p w14:paraId="381B031A">
      <w:pPr>
        <w:spacing w:line="360" w:lineRule="auto"/>
        <w:ind w:firstLine="437"/>
        <w:outlineLvl w:val="1"/>
        <w:rPr>
          <w:rFonts w:ascii="宋体" w:hAnsi="宋体" w:eastAsia="宋体"/>
          <w:b/>
          <w:bCs/>
          <w:color w:val="auto"/>
          <w:sz w:val="24"/>
          <w:szCs w:val="24"/>
          <w:highlight w:val="none"/>
        </w:rPr>
      </w:pPr>
      <w:bookmarkStart w:id="51" w:name="_Toc58430310"/>
      <w:bookmarkEnd w:id="51"/>
      <w:bookmarkStart w:id="52" w:name="_Toc24358"/>
      <w:bookmarkStart w:id="53" w:name="_Toc13982"/>
      <w:bookmarkStart w:id="54" w:name="_Toc21574"/>
      <w:bookmarkStart w:id="55" w:name="_Toc13212"/>
      <w:r>
        <w:rPr>
          <w:rFonts w:hint="eastAsia" w:ascii="宋体" w:hAnsi="宋体" w:eastAsia="宋体" w:cs="宋体"/>
          <w:b/>
          <w:bCs/>
          <w:color w:val="auto"/>
          <w:sz w:val="24"/>
          <w:szCs w:val="24"/>
          <w:highlight w:val="none"/>
        </w:rPr>
        <w:t>六、其他补充事宜</w:t>
      </w:r>
      <w:bookmarkEnd w:id="52"/>
      <w:bookmarkEnd w:id="53"/>
      <w:bookmarkEnd w:id="54"/>
      <w:bookmarkEnd w:id="55"/>
    </w:p>
    <w:p w14:paraId="7F52BDB4">
      <w:pPr>
        <w:wordWrap w:val="0"/>
        <w:autoSpaceDE w:val="0"/>
        <w:spacing w:line="360" w:lineRule="auto"/>
        <w:ind w:firstLine="480" w:firstLineChars="200"/>
        <w:outlineLvl w:val="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项目采用全流程电子化采购方式，相关操作说明如下：</w:t>
      </w:r>
    </w:p>
    <w:p w14:paraId="2444AA9D">
      <w:pPr>
        <w:wordWrap w:val="0"/>
        <w:autoSpaceDE w:val="0"/>
        <w:spacing w:line="360" w:lineRule="auto"/>
        <w:ind w:firstLine="480" w:firstLineChars="200"/>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CA数字证书有关问题：安徽CA客服400-880-4959、0550-3019013（工作日），CFCA客服025-66085508、0550-3801669（工作日）；3.市场主体招标环节和投标环节系统使用问题：400-998-0000（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79520533">
      <w:pPr>
        <w:autoSpaceDE w:val="0"/>
        <w:spacing w:line="360" w:lineRule="auto"/>
        <w:ind w:firstLine="480" w:firstLineChars="200"/>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rPr>
        <w:t>2.请投标人登录滁州市公共资源交易中心网站查看参加本项目的程序。（具体操作步骤和程序请参见服务指南&gt;交易须知&gt;投标人填写投标信息、下载文件及网上提问操作手册）。</w:t>
      </w:r>
    </w:p>
    <w:p w14:paraId="5A9E7042">
      <w:pPr>
        <w:wordWrap w:val="0"/>
        <w:autoSpaceDE w:val="0"/>
        <w:spacing w:line="360" w:lineRule="auto"/>
        <w:ind w:firstLine="480" w:firstLineChars="200"/>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rPr>
        <w:t>3.本项目采用不见面开标（远程解密)方式，开标时投标人无须至开标现场进行解密，开标采取远程解密方式解密投标文件，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0B458233">
      <w:pPr>
        <w:autoSpaceDE w:val="0"/>
        <w:spacing w:line="360" w:lineRule="auto"/>
        <w:ind w:firstLine="480" w:firstLineChars="200"/>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p w14:paraId="04A0996D">
      <w:pPr>
        <w:spacing w:line="360" w:lineRule="auto"/>
        <w:ind w:firstLine="437"/>
        <w:outlineLvl w:val="1"/>
        <w:rPr>
          <w:rFonts w:ascii="宋体" w:hAnsi="宋体" w:eastAsia="宋体"/>
          <w:b/>
          <w:bCs/>
          <w:color w:val="auto"/>
          <w:sz w:val="24"/>
          <w:szCs w:val="18"/>
          <w:highlight w:val="none"/>
        </w:rPr>
      </w:pPr>
      <w:bookmarkStart w:id="56" w:name="_Toc23875"/>
      <w:bookmarkStart w:id="57" w:name="_Toc17239"/>
      <w:bookmarkStart w:id="58" w:name="_Toc30624"/>
      <w:bookmarkStart w:id="59" w:name="_Toc2682"/>
      <w:r>
        <w:rPr>
          <w:rFonts w:hint="eastAsia" w:ascii="宋体" w:hAnsi="宋体" w:eastAsia="宋体"/>
          <w:b/>
          <w:bCs/>
          <w:color w:val="auto"/>
          <w:sz w:val="24"/>
          <w:szCs w:val="18"/>
          <w:highlight w:val="none"/>
        </w:rPr>
        <w:t>七、</w:t>
      </w:r>
      <w:bookmarkEnd w:id="3"/>
      <w:r>
        <w:rPr>
          <w:rFonts w:hint="eastAsia" w:ascii="宋体" w:hAnsi="宋体" w:eastAsia="宋体"/>
          <w:b/>
          <w:bCs/>
          <w:color w:val="auto"/>
          <w:sz w:val="24"/>
          <w:szCs w:val="18"/>
          <w:highlight w:val="none"/>
        </w:rPr>
        <w:t>对本次招标提出询问，请按以下方式联系</w:t>
      </w:r>
      <w:bookmarkEnd w:id="4"/>
      <w:bookmarkEnd w:id="56"/>
      <w:bookmarkEnd w:id="57"/>
      <w:bookmarkEnd w:id="58"/>
      <w:bookmarkEnd w:id="59"/>
    </w:p>
    <w:p w14:paraId="202A953C">
      <w:pPr>
        <w:spacing w:line="360" w:lineRule="auto"/>
        <w:ind w:firstLine="437"/>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1CABDFD6">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lang w:eastAsia="zh-CN"/>
        </w:rPr>
        <w:t>滁州市机电工程学校（滁州市第一职业高级中学、滁州技师学院）</w:t>
      </w:r>
    </w:p>
    <w:p w14:paraId="08B6E1B2">
      <w:pPr>
        <w:spacing w:line="360" w:lineRule="auto"/>
        <w:ind w:firstLine="480" w:firstLineChars="200"/>
        <w:jc w:val="left"/>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eastAsia="zh-CN"/>
        </w:rPr>
        <w:t>安徽省滁州市丰乐大道2238号</w:t>
      </w:r>
    </w:p>
    <w:p w14:paraId="6AFD320B">
      <w:pPr>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single"/>
          <w:lang w:eastAsia="zh-CN"/>
        </w:rPr>
        <w:t>左老师</w:t>
      </w:r>
      <w:r>
        <w:rPr>
          <w:rFonts w:hint="eastAsia" w:ascii="宋体" w:hAnsi="宋体" w:eastAsia="宋体" w:cs="宋体"/>
          <w:color w:val="auto"/>
          <w:sz w:val="24"/>
          <w:szCs w:val="24"/>
          <w:highlight w:val="none"/>
        </w:rPr>
        <w:t xml:space="preserve">  </w:t>
      </w:r>
    </w:p>
    <w:p w14:paraId="0E75BBAC">
      <w:pPr>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lang w:eastAsia="zh-CN"/>
        </w:rPr>
        <w:t>18755001678</w:t>
      </w:r>
    </w:p>
    <w:p w14:paraId="55AD69B5">
      <w:pPr>
        <w:autoSpaceDE w:val="0"/>
        <w:spacing w:line="360" w:lineRule="auto"/>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78BD35BE">
      <w:pPr>
        <w:autoSpaceDE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4"/>
          <w:highlight w:val="none"/>
          <w:u w:val="single"/>
          <w:lang w:eastAsia="zh-CN"/>
        </w:rPr>
        <w:t>滁州市政府采购中心</w:t>
      </w:r>
    </w:p>
    <w:p w14:paraId="1AE6D259">
      <w:pPr>
        <w:autoSpaceDE w:val="0"/>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eastAsia="zh-CN"/>
        </w:rPr>
        <w:t>滁州市龙蟠大道109号房产大厦2楼</w:t>
      </w:r>
    </w:p>
    <w:p w14:paraId="284D9A82">
      <w:pPr>
        <w:autoSpaceDE w:val="0"/>
        <w:spacing w:line="360" w:lineRule="auto"/>
        <w:ind w:firstLine="480" w:firstLineChars="20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single"/>
          <w:lang w:eastAsia="zh-CN"/>
        </w:rPr>
        <w:t>王芳</w:t>
      </w:r>
    </w:p>
    <w:p w14:paraId="442D4318">
      <w:pPr>
        <w:autoSpaceDE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lang w:eastAsia="zh-CN"/>
        </w:rPr>
        <w:t>0550-3519519、18955055067</w:t>
      </w:r>
    </w:p>
    <w:p w14:paraId="1773CFB4">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3.政府采购监督管理部门信息 </w:t>
      </w:r>
    </w:p>
    <w:p w14:paraId="50F3FA04">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4"/>
          <w:highlight w:val="none"/>
          <w:u w:val="single"/>
        </w:rPr>
        <w:t xml:space="preserve">滁州市公共资源交易监督管理局 </w:t>
      </w:r>
    </w:p>
    <w:p w14:paraId="3ACB4C30">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滁州市龙蟠大道109号房产大厦三楼 </w:t>
      </w:r>
    </w:p>
    <w:p w14:paraId="24369406">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rPr>
        <w:t>0550-3801656</w:t>
      </w:r>
    </w:p>
    <w:p w14:paraId="5CD961B3">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1A8600B9">
      <w:pPr>
        <w:spacing w:line="360" w:lineRule="auto"/>
        <w:jc w:val="center"/>
        <w:outlineLvl w:val="0"/>
        <w:rPr>
          <w:rFonts w:ascii="宋体" w:hAnsi="宋体" w:eastAsia="宋体"/>
          <w:b/>
          <w:color w:val="auto"/>
          <w:sz w:val="28"/>
          <w:highlight w:val="none"/>
        </w:rPr>
      </w:pPr>
      <w:bookmarkStart w:id="60" w:name="_Toc18727"/>
      <w:r>
        <w:rPr>
          <w:rFonts w:hint="eastAsia" w:ascii="宋体" w:hAnsi="宋体" w:eastAsia="宋体"/>
          <w:b/>
          <w:color w:val="auto"/>
          <w:sz w:val="28"/>
          <w:highlight w:val="none"/>
        </w:rPr>
        <w:t>第二章</w:t>
      </w:r>
      <w:r>
        <w:rPr>
          <w:rFonts w:ascii="宋体" w:hAnsi="宋体" w:eastAsia="宋体"/>
          <w:b/>
          <w:color w:val="auto"/>
          <w:sz w:val="28"/>
          <w:highlight w:val="none"/>
        </w:rPr>
        <w:t>投标人须知</w:t>
      </w:r>
      <w:bookmarkEnd w:id="60"/>
    </w:p>
    <w:p w14:paraId="21D673E1">
      <w:pPr>
        <w:spacing w:line="360" w:lineRule="auto"/>
        <w:jc w:val="center"/>
        <w:outlineLvl w:val="1"/>
        <w:rPr>
          <w:rFonts w:ascii="宋体" w:hAnsi="宋体" w:eastAsia="宋体"/>
          <w:b/>
          <w:color w:val="auto"/>
          <w:sz w:val="24"/>
          <w:highlight w:val="none"/>
        </w:rPr>
      </w:pPr>
      <w:bookmarkStart w:id="61" w:name="_Toc22418"/>
      <w:bookmarkStart w:id="62" w:name="_Toc3735"/>
      <w:bookmarkStart w:id="63" w:name="_Toc31627"/>
      <w:bookmarkStart w:id="64" w:name="_Toc13589"/>
      <w:bookmarkStart w:id="65" w:name="_Toc22112"/>
      <w:bookmarkStart w:id="66" w:name="_Toc7178"/>
      <w:r>
        <w:rPr>
          <w:rFonts w:hint="eastAsia" w:ascii="宋体" w:hAnsi="宋体" w:eastAsia="宋体"/>
          <w:b/>
          <w:color w:val="auto"/>
          <w:sz w:val="24"/>
          <w:highlight w:val="none"/>
        </w:rPr>
        <w:t>一、</w:t>
      </w:r>
      <w:r>
        <w:rPr>
          <w:rFonts w:ascii="宋体" w:hAnsi="宋体" w:eastAsia="宋体"/>
          <w:b/>
          <w:color w:val="auto"/>
          <w:sz w:val="24"/>
          <w:highlight w:val="none"/>
        </w:rPr>
        <w:t>投标人须知前附表</w:t>
      </w:r>
      <w:bookmarkEnd w:id="61"/>
      <w:bookmarkEnd w:id="62"/>
      <w:bookmarkEnd w:id="63"/>
      <w:bookmarkEnd w:id="64"/>
      <w:bookmarkEnd w:id="65"/>
      <w:bookmarkEnd w:id="66"/>
    </w:p>
    <w:p w14:paraId="3B283AD5">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87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032"/>
        <w:gridCol w:w="5734"/>
      </w:tblGrid>
      <w:tr w14:paraId="1CFA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1165CAC8">
            <w:pPr>
              <w:pStyle w:val="4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2032" w:type="dxa"/>
            <w:vAlign w:val="center"/>
          </w:tcPr>
          <w:p w14:paraId="0921267D">
            <w:pPr>
              <w:pStyle w:val="4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5734" w:type="dxa"/>
            <w:vAlign w:val="center"/>
          </w:tcPr>
          <w:p w14:paraId="57CE35FE">
            <w:pPr>
              <w:pStyle w:val="4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795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4C4E42A">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5</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2" w:type="dxa"/>
            <w:vAlign w:val="center"/>
          </w:tcPr>
          <w:p w14:paraId="5071F161">
            <w:pPr>
              <w:pStyle w:val="44"/>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kern w:val="2"/>
                <w:sz w:val="24"/>
                <w:szCs w:val="22"/>
                <w:highlight w:val="none"/>
              </w:rPr>
              <w:t>现场考察或标前答疑会</w:t>
            </w:r>
          </w:p>
        </w:tc>
        <w:tc>
          <w:tcPr>
            <w:tcW w:w="5734" w:type="dxa"/>
            <w:vAlign w:val="center"/>
          </w:tcPr>
          <w:p w14:paraId="3E45F313">
            <w:pPr>
              <w:spacing w:line="360" w:lineRule="auto"/>
              <w:rPr>
                <w:rFonts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1C8AFBC4">
            <w:pPr>
              <w:spacing w:line="360" w:lineRule="auto"/>
              <w:rPr>
                <w:rFonts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统一组织或统一召开</w:t>
            </w:r>
          </w:p>
          <w:p w14:paraId="1AE95C35">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w:t>
            </w:r>
            <w:r>
              <w:rPr>
                <w:rFonts w:hint="eastAsia" w:ascii="宋体" w:hAnsi="宋体" w:eastAsia="宋体"/>
                <w:bCs/>
                <w:color w:val="auto"/>
                <w:sz w:val="24"/>
                <w:highlight w:val="none"/>
              </w:rPr>
              <w:t>分</w:t>
            </w:r>
          </w:p>
          <w:p w14:paraId="0583141B">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w:t>
            </w:r>
          </w:p>
          <w:p w14:paraId="10A701CA">
            <w:pPr>
              <w:spacing w:line="360" w:lineRule="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w:t>
            </w:r>
          </w:p>
          <w:p w14:paraId="71FC5BC6">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Cs w:val="0"/>
                <w:color w:val="auto"/>
                <w:sz w:val="24"/>
                <w:highlight w:val="none"/>
              </w:rPr>
              <w:t>注：如投标人未参加采购人统一组织的现场考察或采购人统一召开的标前答疑会，视同放弃现场考察或标前答疑会，由此引起的一切责任由投标人自行承担。</w:t>
            </w:r>
          </w:p>
        </w:tc>
      </w:tr>
      <w:tr w14:paraId="33AE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0336100D">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6</w:t>
            </w:r>
            <w:r>
              <w:rPr>
                <w:rFonts w:ascii="宋体" w:hAnsi="宋体" w:eastAsia="宋体"/>
                <w:bCs/>
                <w:color w:val="auto"/>
                <w:kern w:val="2"/>
                <w:highlight w:val="none"/>
              </w:rPr>
              <w:t>.1</w:t>
            </w:r>
          </w:p>
        </w:tc>
        <w:tc>
          <w:tcPr>
            <w:tcW w:w="2032" w:type="dxa"/>
            <w:vAlign w:val="center"/>
          </w:tcPr>
          <w:p w14:paraId="4C1268DC">
            <w:pPr>
              <w:pStyle w:val="44"/>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5734" w:type="dxa"/>
            <w:vAlign w:val="center"/>
          </w:tcPr>
          <w:p w14:paraId="794DAB38">
            <w:pPr>
              <w:pStyle w:val="44"/>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10 </w:t>
            </w:r>
            <w:r>
              <w:rPr>
                <w:rFonts w:hint="eastAsia" w:ascii="宋体" w:hAnsi="宋体" w:eastAsia="宋体"/>
                <w:b w:val="0"/>
                <w:color w:val="auto"/>
                <w:sz w:val="24"/>
                <w:highlight w:val="none"/>
                <w:u w:val="single"/>
              </w:rPr>
              <w:t xml:space="preserve"> </w:t>
            </w:r>
            <w:r>
              <w:rPr>
                <w:rFonts w:ascii="宋体" w:hAnsi="宋体" w:eastAsia="宋体"/>
                <w:b w:val="0"/>
                <w:color w:val="auto"/>
                <w:sz w:val="24"/>
                <w:highlight w:val="none"/>
              </w:rPr>
              <w:t>月</w:t>
            </w: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 28</w:t>
            </w:r>
            <w:r>
              <w:rPr>
                <w:rFonts w:hint="eastAsia" w:ascii="宋体" w:hAnsi="宋体" w:eastAsia="宋体"/>
                <w:b w:val="0"/>
                <w:color w:val="auto"/>
                <w:sz w:val="24"/>
                <w:highlight w:val="none"/>
                <w:u w:val="single"/>
              </w:rPr>
              <w:t xml:space="preserve"> </w:t>
            </w:r>
            <w:r>
              <w:rPr>
                <w:rFonts w:ascii="宋体" w:hAnsi="宋体" w:eastAsia="宋体"/>
                <w:b w:val="0"/>
                <w:color w:val="auto"/>
                <w:sz w:val="24"/>
                <w:highlight w:val="none"/>
              </w:rPr>
              <w:t>日</w:t>
            </w:r>
            <w:r>
              <w:rPr>
                <w:rFonts w:hint="eastAsia" w:ascii="宋体" w:hAnsi="宋体" w:eastAsia="宋体"/>
                <w:b w:val="0"/>
                <w:color w:val="auto"/>
                <w:sz w:val="24"/>
                <w:highlight w:val="none"/>
                <w:u w:val="single"/>
              </w:rPr>
              <w:t xml:space="preserve"> 17 </w:t>
            </w:r>
            <w:r>
              <w:rPr>
                <w:rFonts w:ascii="宋体" w:hAnsi="宋体" w:eastAsia="宋体"/>
                <w:b w:val="0"/>
                <w:color w:val="auto"/>
                <w:sz w:val="24"/>
                <w:highlight w:val="none"/>
              </w:rPr>
              <w:t>时</w:t>
            </w:r>
            <w:r>
              <w:rPr>
                <w:rFonts w:hint="eastAsia" w:ascii="宋体" w:hAnsi="宋体" w:eastAsia="宋体"/>
                <w:b w:val="0"/>
                <w:color w:val="auto"/>
                <w:sz w:val="24"/>
                <w:highlight w:val="none"/>
                <w:u w:val="single"/>
              </w:rPr>
              <w:t xml:space="preserve"> 30 </w:t>
            </w:r>
            <w:r>
              <w:rPr>
                <w:rFonts w:hint="eastAsia" w:ascii="宋体" w:hAnsi="宋体" w:eastAsia="宋体"/>
                <w:b w:val="0"/>
                <w:color w:val="auto"/>
                <w:sz w:val="24"/>
                <w:highlight w:val="none"/>
              </w:rPr>
              <w:t>分</w:t>
            </w:r>
          </w:p>
        </w:tc>
      </w:tr>
      <w:tr w14:paraId="3D6E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74D16F3">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2032" w:type="dxa"/>
            <w:vAlign w:val="center"/>
          </w:tcPr>
          <w:p w14:paraId="73764FD3">
            <w:pPr>
              <w:pStyle w:val="44"/>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5734" w:type="dxa"/>
            <w:vAlign w:val="center"/>
          </w:tcPr>
          <w:p w14:paraId="1CE152E8">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不分包     □分为  个包</w:t>
            </w:r>
          </w:p>
          <w:p w14:paraId="0B364E80">
            <w:pPr>
              <w:pStyle w:val="44"/>
              <w:widowControl w:val="0"/>
              <w:spacing w:before="0" w:beforeAutospacing="0" w:after="0" w:afterAutospacing="0"/>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color w:val="auto"/>
                <w:sz w:val="24"/>
                <w:szCs w:val="20"/>
                <w:highlight w:val="none"/>
                <w:u w:val="single"/>
              </w:rPr>
              <w:t>/</w:t>
            </w:r>
          </w:p>
        </w:tc>
      </w:tr>
      <w:tr w14:paraId="1EA5B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05" w:type="dxa"/>
            <w:vAlign w:val="center"/>
          </w:tcPr>
          <w:p w14:paraId="467AB99B">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2032" w:type="dxa"/>
            <w:vAlign w:val="center"/>
          </w:tcPr>
          <w:p w14:paraId="6D2F56DB">
            <w:pPr>
              <w:pStyle w:val="44"/>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5734" w:type="dxa"/>
            <w:vAlign w:val="center"/>
          </w:tcPr>
          <w:p w14:paraId="4C2410CF">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C14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7218E51">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2032" w:type="dxa"/>
            <w:vAlign w:val="center"/>
          </w:tcPr>
          <w:p w14:paraId="3D5DAF23">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5734" w:type="dxa"/>
            <w:vAlign w:val="center"/>
          </w:tcPr>
          <w:p w14:paraId="4E14B944">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90个</w:t>
            </w:r>
            <w:r>
              <w:rPr>
                <w:rFonts w:hint="eastAsia" w:ascii="宋体" w:hAnsi="宋体" w:eastAsia="宋体"/>
                <w:b w:val="0"/>
                <w:color w:val="auto"/>
                <w:sz w:val="24"/>
                <w:highlight w:val="none"/>
              </w:rPr>
              <w:t>日历日</w:t>
            </w:r>
          </w:p>
        </w:tc>
      </w:tr>
      <w:tr w14:paraId="3E1B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7FFEC75B">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13</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2" w:type="dxa"/>
            <w:vAlign w:val="center"/>
          </w:tcPr>
          <w:p w14:paraId="6C32DA7A">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5734" w:type="dxa"/>
            <w:vAlign w:val="center"/>
          </w:tcPr>
          <w:p w14:paraId="75F4743A">
            <w:pPr>
              <w:pStyle w:val="44"/>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szCs w:val="20"/>
                <w:highlight w:val="none"/>
              </w:rPr>
              <w:t>投标截止时间后</w:t>
            </w:r>
            <w:r>
              <w:rPr>
                <w:rFonts w:hint="eastAsia" w:ascii="宋体" w:hAnsi="宋体" w:eastAsia="宋体"/>
                <w:b w:val="0"/>
                <w:color w:val="auto"/>
                <w:sz w:val="24"/>
                <w:szCs w:val="20"/>
                <w:highlight w:val="none"/>
                <w:u w:val="single"/>
              </w:rPr>
              <w:t xml:space="preserve"> 60 </w:t>
            </w:r>
            <w:r>
              <w:rPr>
                <w:rFonts w:hint="eastAsia" w:ascii="宋体" w:hAnsi="宋体" w:eastAsia="宋体"/>
                <w:b w:val="0"/>
                <w:color w:val="auto"/>
                <w:sz w:val="24"/>
                <w:szCs w:val="20"/>
                <w:highlight w:val="none"/>
              </w:rPr>
              <w:t>分钟内</w:t>
            </w:r>
            <w:r>
              <w:rPr>
                <w:rFonts w:hint="eastAsia" w:ascii="宋体" w:hAnsi="宋体" w:eastAsia="宋体" w:cs="宋体"/>
                <w:color w:val="auto"/>
                <w:sz w:val="24"/>
                <w:szCs w:val="24"/>
                <w:highlight w:val="none"/>
              </w:rPr>
              <w:t>（以本项目网上招投标系统解密倒计时为准）</w:t>
            </w:r>
            <w:r>
              <w:rPr>
                <w:rFonts w:hint="eastAsia" w:ascii="宋体" w:hAnsi="宋体" w:eastAsia="宋体"/>
                <w:b w:val="0"/>
                <w:color w:val="auto"/>
                <w:sz w:val="24"/>
                <w:szCs w:val="20"/>
                <w:highlight w:val="none"/>
              </w:rPr>
              <w:t>。</w:t>
            </w:r>
          </w:p>
        </w:tc>
      </w:tr>
      <w:tr w14:paraId="3015E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A1FCF37">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14.1</w:t>
            </w:r>
          </w:p>
        </w:tc>
        <w:tc>
          <w:tcPr>
            <w:tcW w:w="2032" w:type="dxa"/>
            <w:vAlign w:val="center"/>
          </w:tcPr>
          <w:p w14:paraId="415D48F2">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5734" w:type="dxa"/>
            <w:vAlign w:val="center"/>
          </w:tcPr>
          <w:p w14:paraId="32C44F32">
            <w:pPr>
              <w:pStyle w:val="44"/>
              <w:widowControl w:val="0"/>
              <w:spacing w:before="0" w:beforeAutospacing="0" w:after="0" w:afterAutospacing="0" w:line="360" w:lineRule="auto"/>
              <w:jc w:val="both"/>
              <w:rPr>
                <w:rFonts w:ascii="宋体" w:hAnsi="宋体" w:eastAsia="宋体"/>
                <w:b w:val="0"/>
                <w:bCs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采购人审查</w:t>
            </w:r>
          </w:p>
          <w:p w14:paraId="301EFE7E">
            <w:pPr>
              <w:pStyle w:val="44"/>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50C7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423D9EB">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.2</w:t>
            </w:r>
          </w:p>
        </w:tc>
        <w:tc>
          <w:tcPr>
            <w:tcW w:w="2032" w:type="dxa"/>
            <w:vAlign w:val="center"/>
          </w:tcPr>
          <w:p w14:paraId="7E6BE8C1">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5734" w:type="dxa"/>
            <w:vAlign w:val="center"/>
          </w:tcPr>
          <w:p w14:paraId="0CCD32E5">
            <w:pPr>
              <w:pStyle w:val="44"/>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rPr>
              <w:t>最低评标价法</w:t>
            </w:r>
          </w:p>
          <w:p w14:paraId="37263B8E">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hint="eastAsia" w:ascii="宋体" w:hAnsi="宋体" w:eastAsia="宋体"/>
                <w:b w:val="0"/>
                <w:color w:val="auto"/>
                <w:sz w:val="24"/>
                <w:highlight w:val="none"/>
              </w:rPr>
              <w:t>综合评分法</w:t>
            </w:r>
          </w:p>
        </w:tc>
      </w:tr>
      <w:tr w14:paraId="5F63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13279555">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w:t>
            </w:r>
            <w:r>
              <w:rPr>
                <w:rFonts w:ascii="宋体" w:hAnsi="宋体" w:eastAsia="宋体"/>
                <w:bCs/>
                <w:color w:val="auto"/>
                <w:kern w:val="2"/>
                <w:highlight w:val="none"/>
              </w:rPr>
              <w:t>.3</w:t>
            </w:r>
          </w:p>
        </w:tc>
        <w:tc>
          <w:tcPr>
            <w:tcW w:w="2032" w:type="dxa"/>
            <w:vAlign w:val="center"/>
          </w:tcPr>
          <w:p w14:paraId="70989FD0">
            <w:pPr>
              <w:pStyle w:val="44"/>
              <w:widowControl w:val="0"/>
              <w:spacing w:before="0" w:beforeAutospacing="0" w:after="0" w:afterAutospacing="0" w:line="360" w:lineRule="auto"/>
              <w:jc w:val="both"/>
              <w:rPr>
                <w:rFonts w:ascii="宋体" w:hAnsi="宋体" w:eastAsia="宋体"/>
                <w:b w:val="0"/>
                <w:color w:val="auto"/>
                <w:sz w:val="24"/>
                <w:highlight w:val="none"/>
              </w:rPr>
            </w:pPr>
          </w:p>
          <w:p w14:paraId="2A37E8C6">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报价扣除（非专门面向中小企业采购项目适用）</w:t>
            </w:r>
          </w:p>
          <w:p w14:paraId="3DE9B14C">
            <w:pPr>
              <w:pStyle w:val="44"/>
              <w:widowControl w:val="0"/>
              <w:spacing w:before="0" w:beforeAutospacing="0" w:after="0" w:afterAutospacing="0" w:line="360" w:lineRule="auto"/>
              <w:jc w:val="both"/>
              <w:rPr>
                <w:rFonts w:ascii="宋体" w:hAnsi="宋体" w:eastAsia="宋体"/>
                <w:b w:val="0"/>
                <w:i/>
                <w:color w:val="auto"/>
                <w:sz w:val="24"/>
                <w:highlight w:val="none"/>
              </w:rPr>
            </w:pPr>
          </w:p>
        </w:tc>
        <w:tc>
          <w:tcPr>
            <w:tcW w:w="5734" w:type="dxa"/>
            <w:shd w:val="clear" w:color="auto" w:fill="auto"/>
            <w:vAlign w:val="center"/>
          </w:tcPr>
          <w:p w14:paraId="31F09438">
            <w:pPr>
              <w:keepNext w:val="0"/>
              <w:keepLines w:val="0"/>
              <w:widowControl/>
              <w:suppressLineNumbers w:val="0"/>
              <w:jc w:val="left"/>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对小型和微型企业的价格给予 10%的扣除后参与评审；其评审价=最终响应报价*（90%）</w:t>
            </w:r>
            <w:r>
              <w:rPr>
                <w:rFonts w:hint="eastAsia" w:ascii="宋体" w:hAnsi="宋体" w:eastAsia="宋体"/>
                <w:b w:val="0"/>
                <w:color w:val="auto"/>
                <w:sz w:val="24"/>
                <w:highlight w:val="none"/>
                <w:u w:val="none"/>
                <w:lang w:val="en-US" w:eastAsia="zh-CN"/>
              </w:rPr>
              <w:t>。</w:t>
            </w:r>
          </w:p>
          <w:p w14:paraId="63CC9B2C">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43F8CD3D">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728F8D8D">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hint="eastAsia" w:ascii="宋体" w:hAnsi="宋体" w:eastAsia="宋体"/>
                <w:b w:val="0"/>
                <w:color w:val="auto"/>
                <w:sz w:val="24"/>
                <w:highlight w:val="none"/>
              </w:rPr>
              <w:t>。</w:t>
            </w:r>
          </w:p>
          <w:p w14:paraId="28A1D73B">
            <w:pPr>
              <w:pStyle w:val="44"/>
              <w:widowControl w:val="0"/>
              <w:spacing w:before="0" w:beforeAutospacing="0" w:after="0" w:afterAutospacing="0" w:line="360" w:lineRule="auto"/>
              <w:jc w:val="both"/>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  </w:t>
            </w:r>
            <w:r>
              <w:rPr>
                <w:rFonts w:hint="eastAsia" w:ascii="宋体" w:hAnsi="宋体" w:eastAsia="宋体"/>
                <w:b w:val="0"/>
                <w:color w:val="auto"/>
                <w:sz w:val="24"/>
                <w:highlight w:val="none"/>
              </w:rPr>
              <w:t>。</w:t>
            </w:r>
          </w:p>
        </w:tc>
      </w:tr>
      <w:tr w14:paraId="7891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18DEEA88">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17.4</w:t>
            </w:r>
          </w:p>
        </w:tc>
        <w:tc>
          <w:tcPr>
            <w:tcW w:w="2032" w:type="dxa"/>
            <w:vAlign w:val="center"/>
          </w:tcPr>
          <w:p w14:paraId="3AD81DED">
            <w:pPr>
              <w:widowControl/>
              <w:jc w:val="left"/>
              <w:rPr>
                <w:rFonts w:ascii="宋体" w:hAnsi="宋体" w:eastAsia="宋体"/>
                <w:i/>
                <w:color w:val="auto"/>
                <w:sz w:val="24"/>
                <w:highlight w:val="none"/>
              </w:rPr>
            </w:pPr>
            <w:r>
              <w:rPr>
                <w:rFonts w:hint="eastAsia" w:ascii="宋体" w:hAnsi="宋体" w:eastAsia="宋体"/>
                <w:color w:val="auto"/>
                <w:sz w:val="24"/>
                <w:highlight w:val="none"/>
              </w:rPr>
              <w:t>本国产品价格扣除</w:t>
            </w:r>
            <w:r>
              <w:rPr>
                <w:rFonts w:hint="eastAsia" w:ascii="宋体" w:hAnsi="宋体" w:eastAsia="宋体" w:cs="Times New Roman"/>
                <w:i/>
                <w:iCs/>
                <w:color w:val="auto"/>
                <w:sz w:val="24"/>
                <w:highlight w:val="none"/>
              </w:rPr>
              <w:t>（适用于</w:t>
            </w:r>
            <w:r>
              <w:rPr>
                <w:rFonts w:hint="eastAsia" w:ascii="宋体" w:hAnsi="宋体" w:eastAsia="宋体" w:cs="宋体"/>
                <w:i/>
                <w:iCs/>
                <w:color w:val="auto"/>
                <w:sz w:val="24"/>
                <w:szCs w:val="24"/>
                <w:highlight w:val="none"/>
                <w:shd w:val="clear" w:color="auto" w:fill="FFFFFF"/>
              </w:rPr>
              <w:t>服务项目中涉及的既有本国产品又有非本国产品参与竞争的货物</w:t>
            </w:r>
            <w:r>
              <w:rPr>
                <w:rFonts w:hint="eastAsia" w:ascii="宋体" w:hAnsi="宋体" w:eastAsia="宋体" w:cs="Times New Roman"/>
                <w:i/>
                <w:iCs/>
                <w:color w:val="auto"/>
                <w:sz w:val="24"/>
                <w:highlight w:val="none"/>
              </w:rPr>
              <w:t>）</w:t>
            </w:r>
          </w:p>
        </w:tc>
        <w:tc>
          <w:tcPr>
            <w:tcW w:w="5734" w:type="dxa"/>
            <w:vAlign w:val="center"/>
          </w:tcPr>
          <w:p w14:paraId="1000E19F">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（1）项目或者采购包中采购内容为单一产品的，既有本国产品又有非本国产品参与竞争的，对本国产品给予价格扣除</w:t>
            </w:r>
            <w:r>
              <w:rPr>
                <w:rFonts w:hint="eastAsia" w:ascii="宋体" w:hAnsi="宋体" w:eastAsia="宋体"/>
                <w:b w:val="0"/>
                <w:color w:val="auto"/>
                <w:sz w:val="24"/>
                <w:highlight w:val="none"/>
                <w:u w:val="single"/>
              </w:rPr>
              <w:t>20%</w:t>
            </w:r>
            <w:r>
              <w:rPr>
                <w:rFonts w:hint="eastAsia" w:ascii="宋体" w:hAnsi="宋体" w:eastAsia="宋体"/>
                <w:b w:val="0"/>
                <w:color w:val="auto"/>
                <w:sz w:val="24"/>
                <w:highlight w:val="none"/>
              </w:rPr>
              <w:t>。</w:t>
            </w:r>
          </w:p>
          <w:p w14:paraId="0CDC400C">
            <w:pPr>
              <w:pStyle w:val="44"/>
              <w:widowControl w:val="0"/>
              <w:spacing w:before="0" w:beforeAutospacing="0" w:after="0" w:afterAutospacing="0" w:line="360" w:lineRule="auto"/>
              <w:ind w:left="-59" w:leftChars="-28"/>
              <w:jc w:val="both"/>
              <w:rPr>
                <w:rFonts w:ascii="宋体" w:hAnsi="宋体" w:eastAsia="宋体"/>
                <w:b w:val="0"/>
                <w:color w:val="auto"/>
                <w:sz w:val="24"/>
                <w:highlight w:val="none"/>
              </w:rPr>
            </w:pPr>
            <w:r>
              <w:rPr>
                <w:rFonts w:hint="eastAsia" w:ascii="宋体" w:hAnsi="宋体" w:eastAsia="宋体"/>
                <w:b w:val="0"/>
                <w:color w:val="auto"/>
                <w:sz w:val="24"/>
                <w:highlight w:val="none"/>
              </w:rPr>
              <w:t>（2）项目或者采购包中含有多种产品的，符合本国产品标准的产品成本之和占该投标人提供的全部产品成本之和的比例≥80%，所有产品价格扣除</w:t>
            </w:r>
            <w:r>
              <w:rPr>
                <w:rFonts w:hint="eastAsia" w:ascii="宋体" w:hAnsi="宋体" w:eastAsia="宋体"/>
                <w:b w:val="0"/>
                <w:color w:val="auto"/>
                <w:sz w:val="24"/>
                <w:highlight w:val="none"/>
                <w:u w:val="single"/>
              </w:rPr>
              <w:t>20%</w:t>
            </w:r>
            <w:r>
              <w:rPr>
                <w:rFonts w:hint="eastAsia" w:ascii="宋体" w:hAnsi="宋体" w:eastAsia="宋体"/>
                <w:b w:val="0"/>
                <w:color w:val="auto"/>
                <w:sz w:val="24"/>
                <w:highlight w:val="none"/>
              </w:rPr>
              <w:t>。</w:t>
            </w:r>
          </w:p>
        </w:tc>
      </w:tr>
      <w:tr w14:paraId="7DC1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0842FFE5">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2032" w:type="dxa"/>
            <w:vAlign w:val="center"/>
          </w:tcPr>
          <w:p w14:paraId="0D5FAD84">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5734" w:type="dxa"/>
            <w:vAlign w:val="center"/>
          </w:tcPr>
          <w:p w14:paraId="2A9052B5">
            <w:pPr>
              <w:pStyle w:val="44"/>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bCs w:val="0"/>
                <w:color w:val="auto"/>
                <w:sz w:val="24"/>
                <w:szCs w:val="24"/>
                <w:highlight w:val="none"/>
              </w:rPr>
              <w:t>评标委员会推荐 3 名中标候选人。</w:t>
            </w:r>
          </w:p>
        </w:tc>
      </w:tr>
      <w:tr w14:paraId="1566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0B3A89C2">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032" w:type="dxa"/>
            <w:vAlign w:val="center"/>
          </w:tcPr>
          <w:p w14:paraId="5FC39D3C">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5734" w:type="dxa"/>
            <w:vAlign w:val="center"/>
          </w:tcPr>
          <w:p w14:paraId="6E73E4C1">
            <w:pPr>
              <w:spacing w:line="360" w:lineRule="auto"/>
              <w:rPr>
                <w:rFonts w:ascii="宋体" w:hAnsi="宋体" w:eastAsia="宋体"/>
                <w:color w:val="auto"/>
                <w:kern w:val="0"/>
                <w:sz w:val="24"/>
                <w:szCs w:val="24"/>
                <w:highlight w:val="none"/>
              </w:rPr>
            </w:pPr>
            <w:r>
              <w:rPr>
                <w:rFonts w:hint="eastAsia" w:ascii="宋体" w:hAnsi="宋体" w:eastAsia="宋体"/>
                <w:color w:val="auto"/>
                <w:sz w:val="24"/>
                <w:szCs w:val="24"/>
                <w:highlight w:val="none"/>
              </w:rPr>
              <w:t>☑</w:t>
            </w:r>
            <w:r>
              <w:rPr>
                <w:rFonts w:hint="eastAsia" w:ascii="宋体" w:hAnsi="宋体" w:eastAsia="宋体"/>
                <w:color w:val="auto"/>
                <w:kern w:val="0"/>
                <w:sz w:val="24"/>
                <w:szCs w:val="24"/>
                <w:highlight w:val="none"/>
              </w:rPr>
              <w:t>采购人委托评标委员会确定</w:t>
            </w:r>
          </w:p>
          <w:p w14:paraId="6F1BB7C5">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kern w:val="2"/>
                <w:sz w:val="24"/>
                <w:szCs w:val="24"/>
                <w:highlight w:val="none"/>
              </w:rPr>
              <w:t>□采购人确定</w:t>
            </w:r>
          </w:p>
        </w:tc>
      </w:tr>
      <w:tr w14:paraId="53FE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05B111E3">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rPr>
              <w:t>3</w:t>
            </w:r>
            <w:r>
              <w:rPr>
                <w:rFonts w:ascii="宋体" w:hAnsi="宋体" w:eastAsia="宋体"/>
                <w:bCs/>
                <w:color w:val="auto"/>
                <w:kern w:val="2"/>
                <w:highlight w:val="none"/>
              </w:rPr>
              <w:t>.3</w:t>
            </w:r>
          </w:p>
        </w:tc>
        <w:tc>
          <w:tcPr>
            <w:tcW w:w="2032" w:type="dxa"/>
            <w:vAlign w:val="center"/>
          </w:tcPr>
          <w:p w14:paraId="7507D7D3">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随中标结果公告同时公告的内容</w:t>
            </w:r>
          </w:p>
        </w:tc>
        <w:tc>
          <w:tcPr>
            <w:tcW w:w="5734" w:type="dxa"/>
            <w:vAlign w:val="center"/>
          </w:tcPr>
          <w:p w14:paraId="48EFB9DB">
            <w:pPr>
              <w:pStyle w:val="44"/>
              <w:widowControl w:val="0"/>
              <w:spacing w:before="0" w:beforeAutospacing="0" w:after="0" w:afterAutospacing="0" w:line="500" w:lineRule="exact"/>
              <w:jc w:val="both"/>
              <w:rPr>
                <w:rFonts w:ascii="宋体" w:hAnsi="宋体" w:eastAsia="宋体" w:cs="宋体"/>
                <w:b w:val="0"/>
                <w:color w:val="auto"/>
                <w:sz w:val="24"/>
                <w:highlight w:val="none"/>
              </w:rPr>
            </w:pPr>
            <w:r>
              <w:rPr>
                <w:rFonts w:hint="eastAsia" w:ascii="宋体" w:hAnsi="宋体" w:eastAsia="宋体" w:cs="宋体"/>
                <w:b w:val="0"/>
                <w:color w:val="auto"/>
                <w:sz w:val="24"/>
                <w:highlight w:val="none"/>
              </w:rPr>
              <w:t>（1）中小企业声明函；</w:t>
            </w:r>
          </w:p>
          <w:p w14:paraId="2FB9D84F">
            <w:pPr>
              <w:pStyle w:val="44"/>
              <w:widowControl w:val="0"/>
              <w:spacing w:before="0" w:beforeAutospacing="0" w:after="0" w:afterAutospacing="0" w:line="500" w:lineRule="exact"/>
              <w:jc w:val="both"/>
              <w:rPr>
                <w:rFonts w:ascii="宋体" w:hAnsi="宋体" w:eastAsia="宋体" w:cs="宋体"/>
                <w:b w:val="0"/>
                <w:i/>
                <w:color w:val="auto"/>
                <w:sz w:val="24"/>
                <w:highlight w:val="none"/>
              </w:rPr>
            </w:pPr>
            <w:r>
              <w:rPr>
                <w:rFonts w:hint="eastAsia" w:ascii="宋体" w:hAnsi="宋体" w:eastAsia="宋体" w:cs="宋体"/>
                <w:b w:val="0"/>
                <w:color w:val="auto"/>
                <w:sz w:val="24"/>
                <w:highlight w:val="none"/>
              </w:rPr>
              <w:t>（2）残疾人福利性单位声明函；</w:t>
            </w:r>
            <w:r>
              <w:rPr>
                <w:rFonts w:hint="eastAsia" w:ascii="宋体" w:hAnsi="宋体" w:eastAsia="宋体" w:cs="宋体"/>
                <w:b w:val="0"/>
                <w:i/>
                <w:iCs/>
                <w:color w:val="auto"/>
                <w:sz w:val="24"/>
                <w:highlight w:val="none"/>
              </w:rPr>
              <w:t>（如有）</w:t>
            </w:r>
          </w:p>
          <w:p w14:paraId="6DD65EC4">
            <w:pPr>
              <w:pStyle w:val="44"/>
              <w:widowControl w:val="0"/>
              <w:spacing w:before="0" w:beforeAutospacing="0" w:after="0" w:afterAutospacing="0" w:line="500" w:lineRule="exact"/>
              <w:jc w:val="both"/>
              <w:rPr>
                <w:rFonts w:hint="eastAsia" w:ascii="宋体" w:hAnsi="宋体" w:eastAsia="宋体"/>
                <w:b w:val="0"/>
                <w:color w:val="auto"/>
                <w:sz w:val="24"/>
                <w:highlight w:val="none"/>
                <w:lang w:eastAsia="zh-CN"/>
              </w:rPr>
            </w:pPr>
            <w:r>
              <w:rPr>
                <w:rFonts w:hint="eastAsia" w:ascii="宋体" w:hAnsi="宋体" w:eastAsia="宋体" w:cs="宋体"/>
                <w:b w:val="0"/>
                <w:color w:val="auto"/>
                <w:sz w:val="24"/>
                <w:highlight w:val="none"/>
              </w:rPr>
              <w:t>（3）中标（成交）供应商的评审总得分</w:t>
            </w:r>
            <w:r>
              <w:rPr>
                <w:rFonts w:hint="eastAsia" w:ascii="宋体" w:hAnsi="宋体" w:eastAsia="宋体" w:cs="宋体"/>
                <w:b w:val="0"/>
                <w:color w:val="auto"/>
                <w:sz w:val="24"/>
                <w:highlight w:val="none"/>
                <w:lang w:eastAsia="zh-CN"/>
              </w:rPr>
              <w:t>。</w:t>
            </w:r>
          </w:p>
        </w:tc>
      </w:tr>
      <w:tr w14:paraId="7ED2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6442B01E">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24</w:t>
            </w:r>
            <w:r>
              <w:rPr>
                <w:rFonts w:ascii="宋体" w:hAnsi="宋体" w:eastAsia="宋体"/>
                <w:bCs/>
                <w:color w:val="auto"/>
                <w:kern w:val="2"/>
                <w:highlight w:val="none"/>
              </w:rPr>
              <w:t>.1</w:t>
            </w:r>
          </w:p>
        </w:tc>
        <w:tc>
          <w:tcPr>
            <w:tcW w:w="2032" w:type="dxa"/>
            <w:vAlign w:val="center"/>
          </w:tcPr>
          <w:p w14:paraId="6D6B6189">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5734" w:type="dxa"/>
            <w:vAlign w:val="center"/>
          </w:tcPr>
          <w:p w14:paraId="4B89C186">
            <w:pPr>
              <w:pStyle w:val="44"/>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 ☑数据电文</w:t>
            </w:r>
          </w:p>
        </w:tc>
      </w:tr>
      <w:tr w14:paraId="685A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D8EE247">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2032" w:type="dxa"/>
            <w:vAlign w:val="center"/>
          </w:tcPr>
          <w:p w14:paraId="4D8B9D07">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5734" w:type="dxa"/>
            <w:vAlign w:val="center"/>
          </w:tcPr>
          <w:p w14:paraId="0013EA37">
            <w:pPr>
              <w:spacing w:line="360" w:lineRule="auto"/>
              <w:rPr>
                <w:rFonts w:ascii="宋体" w:hAnsi="宋体" w:eastAsia="宋体"/>
                <w:color w:val="auto"/>
                <w:kern w:val="0"/>
                <w:sz w:val="24"/>
                <w:szCs w:val="24"/>
                <w:highlight w:val="none"/>
              </w:rPr>
            </w:pPr>
            <w:r>
              <w:rPr>
                <w:rFonts w:hint="eastAsia" w:ascii="宋体" w:hAnsi="宋体" w:eastAsia="宋体"/>
                <w:color w:val="auto"/>
                <w:sz w:val="24"/>
                <w:szCs w:val="24"/>
                <w:highlight w:val="none"/>
              </w:rPr>
              <w:t>☑</w:t>
            </w:r>
            <w:r>
              <w:rPr>
                <w:rFonts w:hint="eastAsia" w:ascii="宋体" w:hAnsi="宋体" w:eastAsia="宋体"/>
                <w:color w:val="auto"/>
                <w:kern w:val="0"/>
                <w:sz w:val="24"/>
                <w:szCs w:val="24"/>
                <w:highlight w:val="none"/>
              </w:rPr>
              <w:t>投标人自行登录电子</w:t>
            </w:r>
            <w:r>
              <w:rPr>
                <w:rFonts w:hint="eastAsia" w:ascii="宋体" w:hAnsi="宋体" w:eastAsia="宋体" w:cs="宋体"/>
                <w:color w:val="auto"/>
                <w:sz w:val="24"/>
                <w:szCs w:val="24"/>
                <w:highlight w:val="none"/>
              </w:rPr>
              <w:t>交易</w:t>
            </w:r>
            <w:r>
              <w:rPr>
                <w:rFonts w:hint="eastAsia" w:ascii="宋体" w:hAnsi="宋体" w:eastAsia="宋体"/>
                <w:color w:val="auto"/>
                <w:kern w:val="0"/>
                <w:sz w:val="24"/>
                <w:szCs w:val="24"/>
                <w:highlight w:val="none"/>
              </w:rPr>
              <w:t>系统查看</w:t>
            </w:r>
          </w:p>
          <w:p w14:paraId="170CFD33">
            <w:pPr>
              <w:pStyle w:val="44"/>
              <w:widowControl w:val="0"/>
              <w:spacing w:before="0" w:beforeAutospacing="0" w:after="0" w:afterAutospacing="0" w:line="360" w:lineRule="auto"/>
              <w:jc w:val="both"/>
              <w:rPr>
                <w:rFonts w:ascii="宋体" w:hAnsi="宋体" w:eastAsia="宋体"/>
                <w:b w:val="0"/>
                <w:bCs w:val="0"/>
                <w:color w:val="auto"/>
                <w:kern w:val="2"/>
                <w:sz w:val="24"/>
                <w:szCs w:val="24"/>
                <w:highlight w:val="none"/>
              </w:rPr>
            </w:pPr>
            <w:r>
              <w:rPr>
                <w:rFonts w:hint="eastAsia" w:ascii="宋体" w:hAnsi="宋体" w:eastAsia="宋体"/>
                <w:b w:val="0"/>
                <w:bCs w:val="0"/>
                <w:color w:val="auto"/>
                <w:kern w:val="2"/>
                <w:sz w:val="24"/>
                <w:szCs w:val="24"/>
                <w:highlight w:val="none"/>
              </w:rPr>
              <w:t>□评标现场告知</w:t>
            </w:r>
          </w:p>
        </w:tc>
      </w:tr>
      <w:tr w14:paraId="524A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7" w:hRule="atLeast"/>
          <w:jc w:val="center"/>
        </w:trPr>
        <w:tc>
          <w:tcPr>
            <w:tcW w:w="1005" w:type="dxa"/>
            <w:vAlign w:val="center"/>
          </w:tcPr>
          <w:p w14:paraId="6BC9E82D">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2032" w:type="dxa"/>
            <w:vAlign w:val="center"/>
          </w:tcPr>
          <w:p w14:paraId="3BDCFFA8">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5734" w:type="dxa"/>
          </w:tcPr>
          <w:p w14:paraId="2848ACDF">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071C9C84">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☑免收</w:t>
            </w:r>
          </w:p>
          <w:p w14:paraId="6FAD1B96">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bCs/>
                <w:color w:val="auto"/>
                <w:sz w:val="24"/>
                <w:highlight w:val="none"/>
                <w:u w:val="single"/>
              </w:rPr>
              <w:t>/</w:t>
            </w:r>
            <w:r>
              <w:rPr>
                <w:rFonts w:ascii="宋体" w:hAnsi="宋体" w:eastAsia="宋体"/>
                <w:bCs/>
                <w:color w:val="auto"/>
                <w:kern w:val="0"/>
                <w:sz w:val="24"/>
                <w:szCs w:val="28"/>
                <w:highlight w:val="none"/>
              </w:rPr>
              <w:t>%</w:t>
            </w:r>
          </w:p>
          <w:p w14:paraId="5F084D11">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sz w:val="24"/>
                <w:highlight w:val="none"/>
                <w:u w:val="single"/>
              </w:rPr>
              <w:t>/</w:t>
            </w:r>
            <w:r>
              <w:rPr>
                <w:rFonts w:hint="eastAsia" w:ascii="宋体" w:hAnsi="宋体" w:eastAsia="宋体"/>
                <w:bCs/>
                <w:color w:val="auto"/>
                <w:kern w:val="0"/>
                <w:sz w:val="24"/>
                <w:szCs w:val="28"/>
                <w:highlight w:val="none"/>
              </w:rPr>
              <w:t>元</w:t>
            </w:r>
          </w:p>
          <w:p w14:paraId="5C815D84">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69ED70B6">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5509D533">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（3）收取单位：</w:t>
            </w:r>
            <w:r>
              <w:rPr>
                <w:rFonts w:hint="eastAsia" w:ascii="宋体" w:hAnsi="宋体" w:eastAsia="宋体"/>
                <w:bCs/>
                <w:color w:val="auto"/>
                <w:sz w:val="24"/>
                <w:highlight w:val="none"/>
                <w:u w:val="single"/>
              </w:rPr>
              <w:t>/</w:t>
            </w:r>
          </w:p>
          <w:p w14:paraId="7544F29F">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（4）收取账号：</w:t>
            </w:r>
            <w:r>
              <w:rPr>
                <w:rFonts w:hint="eastAsia" w:ascii="宋体" w:hAnsi="宋体" w:eastAsia="宋体"/>
                <w:bCs/>
                <w:color w:val="auto"/>
                <w:sz w:val="24"/>
                <w:highlight w:val="none"/>
                <w:u w:val="single"/>
              </w:rPr>
              <w:t>/</w:t>
            </w:r>
          </w:p>
          <w:p w14:paraId="711CA995">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（5）</w:t>
            </w:r>
            <w:r>
              <w:rPr>
                <w:rFonts w:hint="eastAsia" w:ascii="宋体" w:hAnsi="宋体" w:eastAsia="宋体"/>
                <w:color w:val="auto"/>
                <w:sz w:val="24"/>
                <w:highlight w:val="none"/>
              </w:rPr>
              <w:t>退还时间：</w:t>
            </w:r>
            <w:r>
              <w:rPr>
                <w:rFonts w:hint="eastAsia" w:ascii="宋体" w:hAnsi="宋体" w:eastAsia="宋体"/>
                <w:bCs/>
                <w:color w:val="auto"/>
                <w:sz w:val="24"/>
                <w:highlight w:val="none"/>
                <w:u w:val="single"/>
              </w:rPr>
              <w:t>/</w:t>
            </w:r>
          </w:p>
          <w:p w14:paraId="73A2A1A7">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1206C7E">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13EEFC1C">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60C6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005" w:type="dxa"/>
            <w:vAlign w:val="center"/>
          </w:tcPr>
          <w:p w14:paraId="10E7B196">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27</w:t>
            </w:r>
            <w:r>
              <w:rPr>
                <w:rFonts w:ascii="宋体" w:hAnsi="宋体" w:eastAsia="宋体"/>
                <w:bCs/>
                <w:color w:val="auto"/>
                <w:kern w:val="2"/>
                <w:highlight w:val="none"/>
              </w:rPr>
              <w:t>.1</w:t>
            </w:r>
          </w:p>
        </w:tc>
        <w:tc>
          <w:tcPr>
            <w:tcW w:w="2032" w:type="dxa"/>
            <w:vAlign w:val="center"/>
          </w:tcPr>
          <w:p w14:paraId="239485D6">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签订合同和合同公告时间</w:t>
            </w:r>
          </w:p>
        </w:tc>
        <w:tc>
          <w:tcPr>
            <w:tcW w:w="5734" w:type="dxa"/>
          </w:tcPr>
          <w:p w14:paraId="13DF1B04">
            <w:pPr>
              <w:adjustRightInd w:val="0"/>
              <w:snapToGrid w:val="0"/>
              <w:spacing w:line="360" w:lineRule="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711C2BBC">
            <w:pPr>
              <w:adjustRightInd w:val="0"/>
              <w:snapToGrid w:val="0"/>
              <w:spacing w:line="360" w:lineRule="auto"/>
              <w:rPr>
                <w:rFonts w:ascii="宋体" w:hAnsi="宋体" w:eastAsia="宋体"/>
                <w:b/>
                <w:bCs/>
                <w:color w:val="auto"/>
                <w:kern w:val="0"/>
                <w:sz w:val="24"/>
                <w:szCs w:val="24"/>
                <w:highlight w:val="none"/>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09347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462077BF">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28</w:t>
            </w:r>
            <w:r>
              <w:rPr>
                <w:rFonts w:ascii="宋体" w:hAnsi="宋体" w:eastAsia="宋体"/>
                <w:bCs/>
                <w:color w:val="auto"/>
                <w:kern w:val="2"/>
                <w:highlight w:val="none"/>
              </w:rPr>
              <w:t>.1</w:t>
            </w:r>
          </w:p>
        </w:tc>
        <w:tc>
          <w:tcPr>
            <w:tcW w:w="2032" w:type="dxa"/>
            <w:vAlign w:val="center"/>
          </w:tcPr>
          <w:p w14:paraId="669EB1E7">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代理费用</w:t>
            </w:r>
          </w:p>
        </w:tc>
        <w:tc>
          <w:tcPr>
            <w:tcW w:w="5734" w:type="dxa"/>
            <w:vAlign w:val="center"/>
          </w:tcPr>
          <w:p w14:paraId="21BFABAF">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中标人</w:t>
            </w:r>
          </w:p>
          <w:p w14:paraId="05FCEC71">
            <w:pPr>
              <w:spacing w:before="24" w:line="360" w:lineRule="auto"/>
              <w:rPr>
                <w:rFonts w:hint="eastAsia" w:ascii="宋体" w:hAnsi="宋体" w:eastAsia="宋体"/>
                <w:bCs/>
                <w:color w:val="auto"/>
                <w:kern w:val="0"/>
                <w:sz w:val="24"/>
                <w:szCs w:val="28"/>
                <w:highlight w:val="none"/>
                <w:u w:val="singl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银行转账</w:t>
            </w:r>
          </w:p>
          <w:p w14:paraId="0EC22899">
            <w:pPr>
              <w:adjustRightInd w:val="0"/>
              <w:snapToGrid w:val="0"/>
              <w:spacing w:line="360" w:lineRule="auto"/>
              <w:rPr>
                <w:rFonts w:ascii="宋体" w:hAnsi="宋体" w:eastAsia="宋体"/>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val="0"/>
                <w:color w:val="auto"/>
                <w:kern w:val="2"/>
                <w:sz w:val="24"/>
                <w:szCs w:val="24"/>
                <w:highlight w:val="none"/>
                <w:u w:val="single"/>
              </w:rPr>
              <w:t>按照《滁州市公共资源交易代理机构及从业人员管理办法》(滁公管〔2025〕1 号)执行</w:t>
            </w:r>
          </w:p>
        </w:tc>
      </w:tr>
      <w:tr w14:paraId="0EC0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3C3A2062">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31</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2032" w:type="dxa"/>
            <w:vAlign w:val="center"/>
          </w:tcPr>
          <w:p w14:paraId="1CF91D88">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5734" w:type="dxa"/>
            <w:vAlign w:val="center"/>
          </w:tcPr>
          <w:p w14:paraId="1BEE9A4A">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bCs w:val="0"/>
                <w:color w:val="auto"/>
                <w:sz w:val="24"/>
                <w:highlight w:val="none"/>
                <w:u w:val="single"/>
              </w:rPr>
              <w:t>供应商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color w:val="auto"/>
                <w:sz w:val="24"/>
                <w:highlight w:val="none"/>
                <w:u w:val="single"/>
              </w:rPr>
              <w:t>。</w:t>
            </w:r>
          </w:p>
          <w:p w14:paraId="2BA1BEFC">
            <w:pPr>
              <w:pStyle w:val="44"/>
              <w:widowControl w:val="0"/>
              <w:spacing w:before="0" w:beforeAutospacing="0" w:after="0" w:afterAutospacing="0" w:line="360" w:lineRule="auto"/>
              <w:jc w:val="both"/>
              <w:rPr>
                <w:rFonts w:hint="eastAsia" w:ascii="宋体" w:hAnsi="宋体" w:eastAsia="宋体"/>
                <w:b w:val="0"/>
                <w:bCs w:val="0"/>
                <w:color w:val="auto"/>
                <w:sz w:val="24"/>
                <w:szCs w:val="18"/>
                <w:highlight w:val="none"/>
                <w:lang w:eastAsia="zh-CN"/>
              </w:rPr>
            </w:pPr>
            <w:r>
              <w:rPr>
                <w:rFonts w:hint="eastAsia" w:ascii="宋体" w:hAnsi="宋体" w:eastAsia="宋体"/>
                <w:b w:val="0"/>
                <w:color w:val="auto"/>
                <w:sz w:val="24"/>
                <w:highlight w:val="none"/>
              </w:rPr>
              <w:t>接收部门：</w:t>
            </w:r>
            <w:r>
              <w:rPr>
                <w:rFonts w:hint="eastAsia" w:ascii="宋体" w:hAnsi="宋体" w:eastAsia="宋体"/>
                <w:b w:val="0"/>
                <w:bCs w:val="0"/>
                <w:color w:val="auto"/>
                <w:sz w:val="24"/>
                <w:highlight w:val="none"/>
                <w:u w:val="single"/>
                <w:lang w:eastAsia="zh-CN"/>
              </w:rPr>
              <w:t>滁州市机电工程学校（滁州市第一职业高级中学、滁州技师学院）</w:t>
            </w:r>
            <w:r>
              <w:rPr>
                <w:rFonts w:hint="eastAsia" w:ascii="宋体" w:hAnsi="宋体" w:eastAsia="宋体"/>
                <w:b w:val="0"/>
                <w:bCs w:val="0"/>
                <w:color w:val="auto"/>
                <w:sz w:val="24"/>
                <w:highlight w:val="none"/>
                <w:u w:val="single"/>
              </w:rPr>
              <w:t>、</w:t>
            </w:r>
            <w:r>
              <w:rPr>
                <w:rFonts w:hint="eastAsia" w:ascii="宋体" w:hAnsi="宋体" w:eastAsia="宋体"/>
                <w:b w:val="0"/>
                <w:bCs w:val="0"/>
                <w:color w:val="auto"/>
                <w:sz w:val="24"/>
                <w:highlight w:val="none"/>
                <w:u w:val="single"/>
                <w:lang w:eastAsia="zh-CN"/>
              </w:rPr>
              <w:t>滁州市政府采购中心</w:t>
            </w:r>
          </w:p>
          <w:p w14:paraId="77288290">
            <w:pPr>
              <w:pStyle w:val="44"/>
              <w:widowControl w:val="0"/>
              <w:wordWrap w:val="0"/>
              <w:spacing w:before="0" w:beforeAutospacing="0" w:after="0" w:afterAutospacing="0" w:line="360" w:lineRule="auto"/>
              <w:jc w:val="both"/>
              <w:rPr>
                <w:rFonts w:hint="eastAsia" w:ascii="宋体" w:hAnsi="宋体" w:eastAsia="宋体"/>
                <w:b w:val="0"/>
                <w:bCs w:val="0"/>
                <w:color w:val="auto"/>
                <w:sz w:val="24"/>
                <w:szCs w:val="18"/>
                <w:highlight w:val="none"/>
                <w:lang w:eastAsia="zh-CN"/>
              </w:rPr>
            </w:pPr>
            <w:r>
              <w:rPr>
                <w:rFonts w:ascii="宋体" w:hAnsi="宋体" w:eastAsia="宋体"/>
                <w:b w:val="0"/>
                <w:bCs w:val="0"/>
                <w:color w:val="auto"/>
                <w:sz w:val="24"/>
                <w:highlight w:val="none"/>
              </w:rPr>
              <w:t>联系电话：</w:t>
            </w:r>
            <w:r>
              <w:rPr>
                <w:rFonts w:hint="eastAsia" w:ascii="宋体" w:hAnsi="宋体" w:eastAsia="宋体" w:cs="宋体"/>
                <w:b w:val="0"/>
                <w:bCs w:val="0"/>
                <w:color w:val="auto"/>
                <w:sz w:val="24"/>
                <w:highlight w:val="none"/>
                <w:u w:val="single"/>
                <w:lang w:eastAsia="zh-CN"/>
              </w:rPr>
              <w:t>18755001678</w:t>
            </w:r>
            <w:r>
              <w:rPr>
                <w:rFonts w:hint="eastAsia" w:ascii="宋体" w:hAnsi="宋体" w:eastAsia="宋体"/>
                <w:b w:val="0"/>
                <w:bCs w:val="0"/>
                <w:color w:val="auto"/>
                <w:sz w:val="24"/>
                <w:highlight w:val="none"/>
                <w:u w:val="single"/>
              </w:rPr>
              <w:t>、</w:t>
            </w:r>
            <w:r>
              <w:rPr>
                <w:rFonts w:hint="eastAsia" w:ascii="宋体" w:hAnsi="宋体" w:eastAsia="宋体" w:cs="宋体"/>
                <w:b w:val="0"/>
                <w:bCs w:val="0"/>
                <w:color w:val="auto"/>
                <w:sz w:val="24"/>
                <w:szCs w:val="24"/>
                <w:highlight w:val="none"/>
                <w:u w:val="single"/>
                <w:lang w:eastAsia="zh-CN"/>
              </w:rPr>
              <w:t>0550-3519519、18955055067</w:t>
            </w:r>
          </w:p>
          <w:p w14:paraId="6825D747">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highlight w:val="none"/>
              </w:rPr>
              <w:t>通讯地址：</w:t>
            </w:r>
            <w:r>
              <w:rPr>
                <w:rFonts w:hint="eastAsia" w:ascii="宋体" w:hAnsi="宋体" w:eastAsia="宋体" w:cs="宋体"/>
                <w:b w:val="0"/>
                <w:bCs w:val="0"/>
                <w:color w:val="auto"/>
                <w:sz w:val="24"/>
                <w:highlight w:val="none"/>
                <w:u w:val="single"/>
                <w:lang w:eastAsia="zh-CN"/>
              </w:rPr>
              <w:t>安徽省滁州市丰乐大道2238号</w:t>
            </w:r>
            <w:r>
              <w:rPr>
                <w:rFonts w:hint="eastAsia" w:ascii="宋体" w:hAnsi="宋体" w:eastAsia="宋体"/>
                <w:b w:val="0"/>
                <w:bCs w:val="0"/>
                <w:color w:val="auto"/>
                <w:sz w:val="24"/>
                <w:highlight w:val="none"/>
                <w:u w:val="single"/>
              </w:rPr>
              <w:t>、</w:t>
            </w:r>
            <w:r>
              <w:rPr>
                <w:rFonts w:hint="eastAsia" w:ascii="宋体" w:hAnsi="宋体" w:eastAsia="宋体"/>
                <w:b w:val="0"/>
                <w:bCs w:val="0"/>
                <w:color w:val="auto"/>
                <w:sz w:val="24"/>
                <w:highlight w:val="none"/>
                <w:u w:val="single"/>
                <w:lang w:eastAsia="zh-CN"/>
              </w:rPr>
              <w:t>滁州市龙蟠大道109号房产大厦2楼</w:t>
            </w:r>
            <w:r>
              <w:rPr>
                <w:rFonts w:hint="eastAsia" w:ascii="宋体" w:hAnsi="宋体" w:eastAsia="宋体"/>
                <w:b w:val="0"/>
                <w:bCs w:val="0"/>
                <w:color w:val="auto"/>
                <w:sz w:val="24"/>
                <w:highlight w:val="none"/>
                <w:u w:val="single"/>
              </w:rPr>
              <w:t xml:space="preserve"> </w:t>
            </w:r>
          </w:p>
        </w:tc>
      </w:tr>
      <w:tr w14:paraId="74F0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13A58BBA">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32</w:t>
            </w:r>
          </w:p>
        </w:tc>
        <w:tc>
          <w:tcPr>
            <w:tcW w:w="2032" w:type="dxa"/>
            <w:vAlign w:val="center"/>
          </w:tcPr>
          <w:p w14:paraId="50EE0BE7">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5734" w:type="dxa"/>
            <w:vAlign w:val="center"/>
          </w:tcPr>
          <w:p w14:paraId="574B72A3">
            <w:pPr>
              <w:pStyle w:val="44"/>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1.解释权：</w:t>
            </w:r>
          </w:p>
          <w:p w14:paraId="0479A944">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4A5F453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43EEE23D">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3E6A0BC9">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0552FEC2">
            <w:pPr>
              <w:pStyle w:val="44"/>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asciiTheme="minorEastAsia" w:hAnsiTheme="minorEastAsia" w:eastAsiaTheme="minorEastAsia"/>
                <w:b w:val="0"/>
                <w:color w:val="auto"/>
                <w:kern w:val="2"/>
                <w:sz w:val="24"/>
                <w:szCs w:val="24"/>
                <w:highlight w:val="none"/>
              </w:rPr>
              <w:t>人负责解释。</w:t>
            </w:r>
          </w:p>
          <w:p w14:paraId="5C03F8B2">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1F68A28D">
            <w:pPr>
              <w:pStyle w:val="44"/>
              <w:widowControl w:val="0"/>
              <w:spacing w:before="0" w:beforeAutospacing="0" w:after="0" w:afterAutospacing="0" w:line="360" w:lineRule="auto"/>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3.电子保函指引：中标人可访问安徽省政府采购网“融资/保函”栏目，申请办理电子保函（包括：履约保函、预付款保函）。</w:t>
            </w:r>
          </w:p>
          <w:p w14:paraId="0C30C58E">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46179341">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11790712">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6B110AF0">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俞冉：18256950224</w:t>
            </w:r>
          </w:p>
          <w:p w14:paraId="07DD8B62">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sz w:val="24"/>
                <w:highlight w:val="none"/>
              </w:rPr>
              <w:t>5.</w:t>
            </w:r>
            <w:r>
              <w:rPr>
                <w:rFonts w:hint="eastAsia" w:ascii="宋体" w:hAnsi="宋体" w:eastAsia="宋体" w:cs="宋体"/>
                <w:b w:val="0"/>
                <w:color w:val="auto"/>
                <w:kern w:val="2"/>
                <w:sz w:val="24"/>
                <w:szCs w:val="24"/>
                <w:highlight w:val="none"/>
              </w:rPr>
              <w:t>特别提示：</w:t>
            </w:r>
          </w:p>
          <w:p w14:paraId="5938DB2F">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753D76D5">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5204C4A3">
            <w:pPr>
              <w:pStyle w:val="44"/>
              <w:widowControl w:val="0"/>
              <w:wordWrap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4009980000。</w:t>
            </w:r>
          </w:p>
          <w:p w14:paraId="1BF8736A">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257066F3">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 xml:space="preserve">（4）投标人应当用本单位CA数字证书制作投标文件，制作成功后进行投标文件上传。 </w:t>
            </w:r>
          </w:p>
          <w:p w14:paraId="642A5004">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464C9E31">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45D977E">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15898083">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5713DCDB">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300CB166">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71FE68D9">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48094205">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263696F4">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1749E004">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0823B6F9">
            <w:pPr>
              <w:pStyle w:val="44"/>
              <w:widowControl w:val="0"/>
              <w:spacing w:before="0" w:beforeAutospacing="0" w:after="0" w:afterAutospacing="0" w:line="440" w:lineRule="exact"/>
              <w:jc w:val="both"/>
              <w:rPr>
                <w:rFonts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  投标文件格式、附件1“关于联合惩戒失信行为 加强信用查询管理的通知”等章节中 “招标人”、“供应商”，等同于“采购人”、“投标人”。</w:t>
            </w:r>
          </w:p>
          <w:p w14:paraId="5D2F26CD">
            <w:pPr>
              <w:pStyle w:val="44"/>
              <w:widowControl w:val="0"/>
              <w:spacing w:before="0" w:beforeAutospacing="0" w:after="0" w:afterAutospacing="0" w:line="360" w:lineRule="auto"/>
              <w:jc w:val="both"/>
              <w:rPr>
                <w:rFonts w:ascii="宋体" w:hAnsi="宋体" w:eastAsia="宋体" w:cs="宋体"/>
                <w:b w:val="0"/>
                <w:bCs w:val="0"/>
                <w:color w:val="auto"/>
                <w:sz w:val="24"/>
                <w:szCs w:val="24"/>
                <w:highlight w:val="none"/>
              </w:rPr>
            </w:pPr>
            <w:r>
              <w:rPr>
                <w:rFonts w:hint="eastAsia" w:ascii="宋体" w:hAnsi="宋体" w:eastAsia="宋体" w:cs="宋体"/>
                <w:b w:val="0"/>
                <w:color w:val="auto"/>
                <w:kern w:val="2"/>
                <w:sz w:val="24"/>
                <w:szCs w:val="24"/>
                <w:highlight w:val="none"/>
              </w:rPr>
              <w:t>8.落实政府采购支持节能产品、环境标志产品政策。</w:t>
            </w:r>
          </w:p>
        </w:tc>
      </w:tr>
    </w:tbl>
    <w:p w14:paraId="4815876B">
      <w:pPr>
        <w:spacing w:line="360" w:lineRule="auto"/>
        <w:jc w:val="center"/>
        <w:outlineLvl w:val="1"/>
        <w:rPr>
          <w:rFonts w:ascii="宋体" w:hAnsi="宋体" w:eastAsia="宋体"/>
          <w:b/>
          <w:color w:val="auto"/>
          <w:sz w:val="24"/>
          <w:highlight w:val="none"/>
        </w:rPr>
      </w:pPr>
      <w:r>
        <w:rPr>
          <w:rFonts w:ascii="宋体" w:hAnsi="宋体" w:eastAsia="宋体"/>
          <w:b/>
          <w:color w:val="auto"/>
          <w:sz w:val="28"/>
          <w:highlight w:val="none"/>
        </w:rPr>
        <w:br w:type="page"/>
      </w:r>
      <w:bookmarkStart w:id="67" w:name="_Toc9427"/>
      <w:bookmarkStart w:id="68" w:name="_Toc6561"/>
      <w:bookmarkStart w:id="69" w:name="_Toc21845"/>
      <w:bookmarkStart w:id="70" w:name="_Toc30252"/>
      <w:bookmarkStart w:id="71" w:name="_Toc24882"/>
      <w:bookmarkStart w:id="72" w:name="_Toc19369"/>
      <w:r>
        <w:rPr>
          <w:rFonts w:hint="eastAsia" w:ascii="宋体" w:hAnsi="宋体" w:eastAsia="宋体"/>
          <w:b/>
          <w:color w:val="auto"/>
          <w:sz w:val="24"/>
          <w:highlight w:val="none"/>
        </w:rPr>
        <w:t>二、</w:t>
      </w:r>
      <w:r>
        <w:rPr>
          <w:rFonts w:ascii="宋体" w:hAnsi="宋体" w:eastAsia="宋体"/>
          <w:b/>
          <w:color w:val="auto"/>
          <w:sz w:val="24"/>
          <w:highlight w:val="none"/>
        </w:rPr>
        <w:t>投标人须知</w:t>
      </w:r>
      <w:r>
        <w:rPr>
          <w:rFonts w:hint="eastAsia" w:ascii="宋体" w:hAnsi="宋体" w:eastAsia="宋体"/>
          <w:b/>
          <w:color w:val="auto"/>
          <w:sz w:val="24"/>
          <w:highlight w:val="none"/>
        </w:rPr>
        <w:t>正文</w:t>
      </w:r>
      <w:bookmarkEnd w:id="67"/>
      <w:bookmarkEnd w:id="68"/>
      <w:bookmarkEnd w:id="69"/>
      <w:bookmarkEnd w:id="70"/>
      <w:bookmarkEnd w:id="71"/>
      <w:bookmarkEnd w:id="72"/>
    </w:p>
    <w:p w14:paraId="7CF8FA98">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1.采购人、采购代理机构及投标人</w:t>
      </w:r>
    </w:p>
    <w:p w14:paraId="76B29A8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.1采购人：是指依法开展政府采购活动的国家机关、事业单位、团体组织。</w:t>
      </w:r>
    </w:p>
    <w:p w14:paraId="3CDFB41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.2采购代理机构：是指集中采购机构或从事采购代理业务的社会中介机构。</w:t>
      </w:r>
    </w:p>
    <w:p w14:paraId="6D0DB2D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193016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3FA9ACD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6B58F84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以采购代理机构认可的方式获得本项目的招标文件。</w:t>
      </w:r>
    </w:p>
    <w:p w14:paraId="4F39371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3</w:t>
      </w:r>
      <w:r>
        <w:rPr>
          <w:rFonts w:ascii="宋体" w:hAnsi="宋体" w:eastAsia="宋体"/>
          <w:color w:val="auto"/>
          <w:sz w:val="24"/>
          <w:highlight w:val="none"/>
        </w:rPr>
        <w:t>若</w:t>
      </w:r>
      <w:r>
        <w:rPr>
          <w:rFonts w:hint="eastAsia" w:ascii="宋体" w:hAnsi="宋体" w:eastAsia="宋体"/>
          <w:color w:val="auto"/>
          <w:sz w:val="24"/>
          <w:highlight w:val="none"/>
        </w:rPr>
        <w:t>采购需求</w:t>
      </w:r>
      <w:r>
        <w:rPr>
          <w:rFonts w:ascii="宋体" w:hAnsi="宋体" w:eastAsia="宋体"/>
          <w:color w:val="auto"/>
          <w:sz w:val="24"/>
          <w:highlight w:val="none"/>
        </w:rPr>
        <w:t>中写明允许采购进口产品，投标人应保证所投产品可履行合法报通关手续进入中国关境内。</w:t>
      </w:r>
    </w:p>
    <w:p w14:paraId="61029CC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若采购需求中未写明允许采购进口产品，如投标人所投产品为进口产品，其投标将被认定为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3C4680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77CCC1C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5.1两个以上供应商可以组成一个投标联合体，以一个投标人的身份投标。联合体投标的，</w:t>
      </w:r>
      <w:r>
        <w:rPr>
          <w:rFonts w:hint="eastAsia" w:ascii="宋体" w:hAnsi="宋体" w:eastAsia="宋体"/>
          <w:color w:val="auto"/>
          <w:sz w:val="24"/>
          <w:highlight w:val="none"/>
        </w:rPr>
        <w:t>招标文件获取</w:t>
      </w:r>
      <w:r>
        <w:rPr>
          <w:rFonts w:ascii="宋体" w:hAnsi="宋体" w:eastAsia="宋体"/>
          <w:color w:val="auto"/>
          <w:sz w:val="24"/>
          <w:highlight w:val="none"/>
        </w:rPr>
        <w:t>手续由联合体</w:t>
      </w:r>
      <w:r>
        <w:rPr>
          <w:rFonts w:hint="eastAsia" w:ascii="宋体" w:hAnsi="宋体" w:eastAsia="宋体"/>
          <w:color w:val="auto"/>
          <w:sz w:val="24"/>
          <w:highlight w:val="none"/>
        </w:rPr>
        <w:t>中</w:t>
      </w:r>
      <w:r>
        <w:rPr>
          <w:rFonts w:ascii="宋体" w:hAnsi="宋体" w:eastAsia="宋体"/>
          <w:color w:val="auto"/>
          <w:sz w:val="24"/>
          <w:highlight w:val="none"/>
        </w:rPr>
        <w:t>任</w:t>
      </w:r>
      <w:r>
        <w:rPr>
          <w:rFonts w:hint="eastAsia" w:ascii="宋体" w:hAnsi="宋体" w:eastAsia="宋体"/>
          <w:color w:val="auto"/>
          <w:sz w:val="24"/>
          <w:highlight w:val="none"/>
        </w:rPr>
        <w:t>一成员单位</w:t>
      </w:r>
      <w:r>
        <w:rPr>
          <w:rFonts w:ascii="宋体" w:hAnsi="宋体" w:eastAsia="宋体"/>
          <w:color w:val="auto"/>
          <w:sz w:val="24"/>
          <w:highlight w:val="none"/>
        </w:rPr>
        <w:t>办理均可。</w:t>
      </w:r>
    </w:p>
    <w:p w14:paraId="0532427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5.2联合体各方均应符合《中华人民共和国政府采购法》第二十二条规定的条件。</w:t>
      </w:r>
    </w:p>
    <w:p w14:paraId="742D779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5.3采购人根据采购项目对投标人的特殊要求，联合体中至少应当有一方符合相关规定。</w:t>
      </w:r>
    </w:p>
    <w:p w14:paraId="0F5104C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23190D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328DC7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042BFD21">
      <w:pPr>
        <w:spacing w:line="360" w:lineRule="auto"/>
        <w:ind w:firstLine="435"/>
        <w:rPr>
          <w:rFonts w:ascii="宋体" w:hAnsi="宋体" w:eastAsia="宋体"/>
          <w:b/>
          <w:bCs/>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5.7</w:t>
      </w:r>
      <w:r>
        <w:rPr>
          <w:rFonts w:hint="eastAsia" w:ascii="宋体" w:hAnsi="宋体" w:eastAsia="宋体"/>
          <w:color w:val="auto"/>
          <w:sz w:val="24"/>
          <w:highlight w:val="none"/>
        </w:rPr>
        <w:t>以联合体形式参加政府采购活动的，联合体各方不得再单独参加或者与其他供应商另外组成联合体参加本项目投标，否则相关投标将被认定为</w:t>
      </w:r>
      <w:r>
        <w:rPr>
          <w:rFonts w:hint="eastAsia" w:ascii="宋体" w:hAnsi="宋体" w:eastAsia="宋体"/>
          <w:b/>
          <w:bCs/>
          <w:color w:val="auto"/>
          <w:sz w:val="24"/>
          <w:highlight w:val="none"/>
        </w:rPr>
        <w:t>投标无效。</w:t>
      </w:r>
    </w:p>
    <w:p w14:paraId="269A9D3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rPr>
        <w:t>申请人的资格要求</w:t>
      </w:r>
      <w:r>
        <w:rPr>
          <w:rFonts w:ascii="宋体" w:hAnsi="宋体" w:eastAsia="宋体"/>
          <w:color w:val="auto"/>
          <w:sz w:val="24"/>
          <w:highlight w:val="none"/>
        </w:rPr>
        <w:t>。</w:t>
      </w:r>
    </w:p>
    <w:p w14:paraId="148E836E">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2.资金落实情况</w:t>
      </w:r>
    </w:p>
    <w:p w14:paraId="3A54BFC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.1</w:t>
      </w:r>
      <w:r>
        <w:rPr>
          <w:rFonts w:hint="eastAsia" w:ascii="宋体" w:hAnsi="宋体" w:eastAsia="宋体"/>
          <w:color w:val="auto"/>
          <w:sz w:val="24"/>
          <w:highlight w:val="none"/>
        </w:rPr>
        <w:t>本项目的采购人已获得足以支付本次招标后所签订的合同项下的资金。</w:t>
      </w:r>
    </w:p>
    <w:p w14:paraId="604DB3DE">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3.投标费用</w:t>
      </w:r>
    </w:p>
    <w:p w14:paraId="1FFA3A8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5DA4B9BD">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4.适用法律</w:t>
      </w:r>
    </w:p>
    <w:p w14:paraId="137680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华人民共和国政府采购法实施条例》及本项目本级和上级财政部门、政府采购监督管理部门的政府采购有关规定的约束，其权利受到上述法律法规的保护。</w:t>
      </w:r>
    </w:p>
    <w:p w14:paraId="4424A805">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5.招标文件构成</w:t>
      </w:r>
    </w:p>
    <w:p w14:paraId="4D4E9B7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5.1招标文件包括下列内容：</w:t>
      </w:r>
    </w:p>
    <w:p w14:paraId="5BADE670">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第一章</w:t>
      </w:r>
      <w:r>
        <w:rPr>
          <w:rFonts w:ascii="宋体" w:hAnsi="宋体" w:eastAsia="宋体"/>
          <w:color w:val="auto"/>
          <w:sz w:val="24"/>
          <w:highlight w:val="none"/>
        </w:rPr>
        <w:t xml:space="preserve">  投标邀请</w:t>
      </w:r>
    </w:p>
    <w:p w14:paraId="396E2CDB">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第二章</w:t>
      </w:r>
      <w:r>
        <w:rPr>
          <w:rFonts w:ascii="宋体" w:hAnsi="宋体" w:eastAsia="宋体"/>
          <w:color w:val="auto"/>
          <w:sz w:val="24"/>
          <w:highlight w:val="none"/>
        </w:rPr>
        <w:t xml:space="preserve">  投标人须知</w:t>
      </w:r>
    </w:p>
    <w:p w14:paraId="52BBA30D">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第三章</w:t>
      </w:r>
      <w:r>
        <w:rPr>
          <w:rFonts w:ascii="宋体" w:hAnsi="宋体" w:eastAsia="宋体"/>
          <w:color w:val="auto"/>
          <w:sz w:val="24"/>
          <w:highlight w:val="none"/>
        </w:rPr>
        <w:t xml:space="preserve">  采购需求</w:t>
      </w:r>
    </w:p>
    <w:p w14:paraId="036B0D3B">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第四章</w:t>
      </w:r>
      <w:r>
        <w:rPr>
          <w:rFonts w:ascii="宋体" w:hAnsi="宋体" w:eastAsia="宋体"/>
          <w:color w:val="auto"/>
          <w:sz w:val="24"/>
          <w:highlight w:val="none"/>
        </w:rPr>
        <w:t xml:space="preserve">  评标</w:t>
      </w:r>
      <w:r>
        <w:rPr>
          <w:rFonts w:hint="eastAsia" w:ascii="宋体" w:hAnsi="宋体" w:eastAsia="宋体"/>
          <w:color w:val="auto"/>
          <w:sz w:val="24"/>
          <w:highlight w:val="none"/>
        </w:rPr>
        <w:t>方法</w:t>
      </w:r>
      <w:r>
        <w:rPr>
          <w:rFonts w:ascii="宋体" w:hAnsi="宋体" w:eastAsia="宋体"/>
          <w:color w:val="auto"/>
          <w:sz w:val="24"/>
          <w:highlight w:val="none"/>
        </w:rPr>
        <w:t>和标准</w:t>
      </w:r>
    </w:p>
    <w:p w14:paraId="3CE74C4D">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第五章</w:t>
      </w:r>
      <w:r>
        <w:rPr>
          <w:rFonts w:ascii="宋体" w:hAnsi="宋体" w:eastAsia="宋体"/>
          <w:color w:val="auto"/>
          <w:sz w:val="24"/>
          <w:highlight w:val="none"/>
        </w:rPr>
        <w:t xml:space="preserve">  政府采购合同</w:t>
      </w:r>
    </w:p>
    <w:p w14:paraId="106704D6">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第六章</w:t>
      </w:r>
      <w:r>
        <w:rPr>
          <w:rFonts w:ascii="宋体" w:hAnsi="宋体" w:eastAsia="宋体"/>
          <w:color w:val="auto"/>
          <w:sz w:val="24"/>
          <w:highlight w:val="none"/>
        </w:rPr>
        <w:t xml:space="preserve">  投标文件格式</w:t>
      </w:r>
    </w:p>
    <w:p w14:paraId="5B313791">
      <w:pPr>
        <w:spacing w:line="360" w:lineRule="auto"/>
        <w:ind w:firstLine="840" w:firstLineChars="350"/>
        <w:rPr>
          <w:rFonts w:ascii="宋体" w:hAnsi="宋体" w:eastAsia="宋体"/>
          <w:color w:val="auto"/>
          <w:sz w:val="24"/>
          <w:highlight w:val="none"/>
        </w:rPr>
      </w:pPr>
      <w:r>
        <w:rPr>
          <w:rFonts w:hint="eastAsia" w:ascii="宋体" w:hAnsi="宋体" w:eastAsia="宋体"/>
          <w:color w:val="auto"/>
          <w:sz w:val="24"/>
          <w:highlight w:val="none"/>
        </w:rPr>
        <w:t>第七章</w:t>
      </w:r>
      <w:r>
        <w:rPr>
          <w:rFonts w:ascii="宋体" w:hAnsi="宋体" w:eastAsia="宋体"/>
          <w:color w:val="auto"/>
          <w:sz w:val="24"/>
          <w:highlight w:val="none"/>
        </w:rPr>
        <w:t xml:space="preserve">  政府采购</w:t>
      </w:r>
      <w:r>
        <w:rPr>
          <w:rFonts w:hint="eastAsia" w:ascii="宋体" w:hAnsi="宋体" w:eastAsia="宋体"/>
          <w:color w:val="auto"/>
          <w:sz w:val="24"/>
          <w:highlight w:val="none"/>
        </w:rPr>
        <w:t>询问函和</w:t>
      </w:r>
      <w:r>
        <w:rPr>
          <w:rFonts w:ascii="宋体" w:hAnsi="宋体" w:eastAsia="宋体"/>
          <w:color w:val="auto"/>
          <w:sz w:val="24"/>
          <w:highlight w:val="none"/>
        </w:rPr>
        <w:t>质疑函范本</w:t>
      </w:r>
    </w:p>
    <w:p w14:paraId="0A2DAD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现场</w:t>
      </w:r>
      <w:r>
        <w:rPr>
          <w:rFonts w:hint="eastAsia" w:ascii="宋体" w:hAnsi="宋体" w:eastAsia="宋体"/>
          <w:color w:val="auto"/>
          <w:sz w:val="24"/>
          <w:highlight w:val="none"/>
        </w:rPr>
        <w:t>考察（</w:t>
      </w:r>
      <w:r>
        <w:rPr>
          <w:rFonts w:hint="eastAsia" w:ascii="宋体" w:hAnsi="宋体" w:eastAsia="宋体"/>
          <w:bCs/>
          <w:color w:val="auto"/>
          <w:sz w:val="24"/>
          <w:szCs w:val="22"/>
          <w:highlight w:val="none"/>
        </w:rPr>
        <w:t>标前答疑会</w:t>
      </w:r>
      <w:r>
        <w:rPr>
          <w:rFonts w:hint="eastAsia" w:ascii="宋体" w:hAnsi="宋体" w:eastAsia="宋体"/>
          <w:color w:val="auto"/>
          <w:sz w:val="24"/>
          <w:highlight w:val="none"/>
        </w:rPr>
        <w:t>）</w:t>
      </w:r>
      <w:r>
        <w:rPr>
          <w:rFonts w:ascii="宋体" w:hAnsi="宋体" w:eastAsia="宋体"/>
          <w:color w:val="auto"/>
          <w:sz w:val="24"/>
          <w:highlight w:val="none"/>
        </w:rPr>
        <w:t>及相关事项见</w:t>
      </w:r>
      <w:r>
        <w:rPr>
          <w:rFonts w:ascii="宋体" w:hAnsi="宋体" w:eastAsia="宋体"/>
          <w:color w:val="auto"/>
          <w:sz w:val="24"/>
          <w:highlight w:val="none"/>
          <w:u w:val="single"/>
        </w:rPr>
        <w:t>投标</w:t>
      </w:r>
      <w:r>
        <w:rPr>
          <w:rFonts w:hint="eastAsia" w:ascii="宋体" w:hAnsi="宋体" w:eastAsia="宋体"/>
          <w:color w:val="auto"/>
          <w:sz w:val="24"/>
          <w:highlight w:val="none"/>
          <w:u w:val="single"/>
        </w:rPr>
        <w:t>人</w:t>
      </w:r>
      <w:r>
        <w:rPr>
          <w:rFonts w:ascii="宋体" w:hAnsi="宋体" w:eastAsia="宋体"/>
          <w:color w:val="auto"/>
          <w:sz w:val="24"/>
          <w:highlight w:val="none"/>
          <w:u w:val="single"/>
        </w:rPr>
        <w:t>须知前附表</w:t>
      </w:r>
      <w:r>
        <w:rPr>
          <w:rFonts w:ascii="宋体" w:hAnsi="宋体" w:eastAsia="宋体"/>
          <w:color w:val="auto"/>
          <w:sz w:val="24"/>
          <w:highlight w:val="none"/>
        </w:rPr>
        <w:t>。</w:t>
      </w:r>
    </w:p>
    <w:p w14:paraId="1573B84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w:t>
      </w: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投标人应认真阅读招标文件所有的事项、格式、条款和技术规范等。</w:t>
      </w:r>
    </w:p>
    <w:p w14:paraId="1370353C">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6</w:t>
      </w:r>
      <w:r>
        <w:rPr>
          <w:rFonts w:ascii="宋体" w:hAnsi="宋体" w:eastAsia="宋体"/>
          <w:b/>
          <w:color w:val="auto"/>
          <w:sz w:val="24"/>
          <w:highlight w:val="none"/>
        </w:rPr>
        <w:t>.</w:t>
      </w:r>
      <w:r>
        <w:rPr>
          <w:rFonts w:hint="eastAsia" w:ascii="宋体" w:hAnsi="宋体" w:eastAsia="宋体"/>
          <w:b/>
          <w:color w:val="auto"/>
          <w:sz w:val="24"/>
          <w:highlight w:val="none"/>
        </w:rPr>
        <w:t>招标文件的澄清与修改</w:t>
      </w:r>
    </w:p>
    <w:p w14:paraId="52B70B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w:t>
      </w:r>
      <w:r>
        <w:rPr>
          <w:rFonts w:ascii="宋体" w:hAnsi="宋体" w:eastAsia="宋体"/>
          <w:color w:val="auto"/>
          <w:sz w:val="24"/>
          <w:highlight w:val="none"/>
        </w:rPr>
        <w:t>.</w:t>
      </w:r>
      <w:r>
        <w:rPr>
          <w:rFonts w:hint="eastAsia" w:ascii="宋体" w:hAnsi="宋体" w:eastAsia="宋体"/>
          <w:color w:val="auto"/>
          <w:sz w:val="24"/>
          <w:highlight w:val="none"/>
        </w:rPr>
        <w:t>1投标人如对招标文件内容有疑问，必须在投标人须知前附表规定的网上询问截止时间前以网上提问形式（电子交易系统）提交给采购代理机构</w:t>
      </w:r>
      <w:r>
        <w:rPr>
          <w:rFonts w:ascii="宋体" w:hAnsi="宋体" w:eastAsia="宋体"/>
          <w:color w:val="auto"/>
          <w:sz w:val="24"/>
          <w:highlight w:val="none"/>
        </w:rPr>
        <w:t>。</w:t>
      </w:r>
    </w:p>
    <w:p w14:paraId="53394D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6.2采购人可主动地或在答复投标人提出的询问时对招标文件进行澄清与修改。采购代理机构将在安徽省政府采购网</w:t>
      </w:r>
      <w:r>
        <w:rPr>
          <w:rFonts w:hint="eastAsia" w:asciiTheme="minorEastAsia" w:hAnsiTheme="minorEastAsia" w:eastAsiaTheme="minorEastAsia"/>
          <w:color w:val="auto"/>
          <w:sz w:val="24"/>
          <w:highlight w:val="none"/>
        </w:rPr>
        <w:t>和滁州市公共资源交易中心</w:t>
      </w:r>
      <w:r>
        <w:rPr>
          <w:rFonts w:hint="eastAsia" w:ascii="宋体" w:hAnsi="宋体" w:eastAsia="宋体"/>
          <w:color w:val="auto"/>
          <w:sz w:val="24"/>
          <w:highlight w:val="none"/>
        </w:rPr>
        <w:t>以发布更正公告的方式，澄清或修改招标文件，更正公告的内容作为招标文件的组成部分，对投标人起约束作用。投标人应主动上网查询。采购代理机构不承担投标人未及时关注相关信息引发的相关责任。</w:t>
      </w:r>
    </w:p>
    <w:p w14:paraId="586E9B5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26494AB1">
      <w:pPr>
        <w:spacing w:line="360" w:lineRule="auto"/>
        <w:ind w:firstLine="435"/>
        <w:rPr>
          <w:rFonts w:ascii="宋体" w:hAnsi="宋体" w:eastAsia="宋体"/>
          <w:i/>
          <w:iCs/>
          <w:color w:val="auto"/>
          <w:sz w:val="24"/>
          <w:highlight w:val="none"/>
        </w:rPr>
      </w:pPr>
      <w:r>
        <w:rPr>
          <w:rFonts w:hint="eastAsia" w:ascii="宋体" w:hAnsi="宋体" w:eastAsia="宋体"/>
          <w:color w:val="auto"/>
          <w:sz w:val="24"/>
          <w:highlight w:val="none"/>
        </w:rPr>
        <w:t>6.4对于没有提出疑问又参与了本项目投标的投标人将被视为完全认同本招标文件（含更正公告的内容）。</w:t>
      </w:r>
    </w:p>
    <w:p w14:paraId="64C34117">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7</w:t>
      </w:r>
      <w:r>
        <w:rPr>
          <w:rFonts w:ascii="宋体" w:hAnsi="宋体" w:eastAsia="宋体"/>
          <w:b/>
          <w:color w:val="auto"/>
          <w:sz w:val="24"/>
          <w:highlight w:val="none"/>
        </w:rPr>
        <w:t>.</w:t>
      </w:r>
      <w:r>
        <w:rPr>
          <w:rFonts w:hint="eastAsia" w:ascii="宋体" w:hAnsi="宋体" w:eastAsia="宋体"/>
          <w:b/>
          <w:color w:val="auto"/>
          <w:sz w:val="24"/>
          <w:highlight w:val="none"/>
        </w:rPr>
        <w:t>投标范围及投标文件中标准和计量单位的使用</w:t>
      </w:r>
    </w:p>
    <w:p w14:paraId="31A4F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1FFA44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F294377">
      <w:pPr>
        <w:spacing w:line="360" w:lineRule="auto"/>
        <w:ind w:firstLine="435"/>
        <w:rPr>
          <w:rFonts w:asciiTheme="minorEastAsia" w:hAnsiTheme="minorEastAsia" w:eastAsiaTheme="minorEastAsia"/>
          <w:color w:val="auto"/>
          <w:sz w:val="24"/>
          <w:highlight w:val="none"/>
        </w:rPr>
      </w:pPr>
      <w:bookmarkStart w:id="73" w:name="_Hlk16458980"/>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投标人所投货物、服务及工程（如有）均应符合国家强制性标准。</w:t>
      </w:r>
    </w:p>
    <w:bookmarkEnd w:id="73"/>
    <w:p w14:paraId="4D0E02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2D92F7A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7A333B98">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8</w:t>
      </w:r>
      <w:r>
        <w:rPr>
          <w:rFonts w:ascii="宋体" w:hAnsi="宋体" w:eastAsia="宋体"/>
          <w:b/>
          <w:color w:val="auto"/>
          <w:sz w:val="24"/>
          <w:highlight w:val="none"/>
        </w:rPr>
        <w:t>.</w:t>
      </w:r>
      <w:r>
        <w:rPr>
          <w:rFonts w:hint="eastAsia" w:ascii="宋体" w:hAnsi="宋体" w:eastAsia="宋体"/>
          <w:b/>
          <w:color w:val="auto"/>
          <w:sz w:val="24"/>
          <w:highlight w:val="none"/>
        </w:rPr>
        <w:t>投标文件构成</w:t>
      </w:r>
    </w:p>
    <w:p w14:paraId="1A8241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12152C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74" w:name="_Hlk11703583"/>
      <w:r>
        <w:rPr>
          <w:rFonts w:hint="eastAsia" w:asciiTheme="minorEastAsia" w:hAnsiTheme="minorEastAsia" w:eastAsiaTheme="minorEastAsia"/>
          <w:color w:val="auto"/>
          <w:sz w:val="24"/>
          <w:highlight w:val="none"/>
        </w:rPr>
        <w:t>等。</w:t>
      </w:r>
    </w:p>
    <w:bookmarkEnd w:id="74"/>
    <w:p w14:paraId="514791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419F8D4C">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9</w:t>
      </w:r>
      <w:r>
        <w:rPr>
          <w:rFonts w:ascii="宋体" w:hAnsi="宋体" w:eastAsia="宋体"/>
          <w:b/>
          <w:color w:val="auto"/>
          <w:sz w:val="24"/>
          <w:highlight w:val="none"/>
        </w:rPr>
        <w:t>.</w:t>
      </w:r>
      <w:r>
        <w:rPr>
          <w:rFonts w:hint="eastAsia" w:ascii="宋体" w:hAnsi="宋体" w:eastAsia="宋体"/>
          <w:b/>
          <w:color w:val="auto"/>
          <w:sz w:val="24"/>
          <w:highlight w:val="none"/>
        </w:rPr>
        <w:t>投标报价</w:t>
      </w:r>
    </w:p>
    <w:p w14:paraId="20FC7C85">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9</w:t>
      </w:r>
      <w:r>
        <w:rPr>
          <w:rFonts w:ascii="宋体" w:hAnsi="宋体" w:eastAsia="宋体"/>
          <w:color w:val="auto"/>
          <w:sz w:val="24"/>
          <w:highlight w:val="none"/>
        </w:rPr>
        <w:t>.1</w:t>
      </w:r>
      <w:r>
        <w:rPr>
          <w:rFonts w:asciiTheme="minorEastAsia" w:hAnsiTheme="minorEastAsia" w:eastAsiaTheme="minorEastAsia"/>
          <w:color w:val="auto"/>
          <w:sz w:val="24"/>
          <w:highlight w:val="none"/>
        </w:rPr>
        <w:t>投标人的报价应当包括满足本次招标全部采购需求</w:t>
      </w:r>
      <w:r>
        <w:rPr>
          <w:rFonts w:hint="eastAsia" w:asciiTheme="minorEastAsia" w:hAnsiTheme="minorEastAsia" w:eastAsiaTheme="minorEastAsia"/>
          <w:color w:val="auto"/>
          <w:sz w:val="24"/>
          <w:highlight w:val="none"/>
        </w:rPr>
        <w:t>。除招标文件另有规定外，所有投标均应以人民币报价。投标人的投标报价应遵守《中华人民共和国价格法》。</w:t>
      </w:r>
    </w:p>
    <w:p w14:paraId="1141C0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2294F5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4793C4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采购人不接受具有附加条件的报价。</w:t>
      </w:r>
    </w:p>
    <w:p w14:paraId="0ADD6C7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9</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采购人不接受具有附加条件的报价。</w:t>
      </w:r>
    </w:p>
    <w:p w14:paraId="6B973CE4">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10</w:t>
      </w:r>
      <w:r>
        <w:rPr>
          <w:rFonts w:ascii="宋体" w:hAnsi="宋体" w:eastAsia="宋体"/>
          <w:b/>
          <w:color w:val="auto"/>
          <w:sz w:val="24"/>
          <w:highlight w:val="none"/>
        </w:rPr>
        <w:t>.</w:t>
      </w:r>
      <w:r>
        <w:rPr>
          <w:rFonts w:hint="eastAsia" w:ascii="宋体" w:hAnsi="宋体" w:eastAsia="宋体"/>
          <w:b/>
          <w:color w:val="auto"/>
          <w:sz w:val="24"/>
          <w:highlight w:val="none"/>
        </w:rPr>
        <w:t>投标保证金</w:t>
      </w:r>
    </w:p>
    <w:p w14:paraId="2407D5F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10.1本项目不收取投标保证金。</w:t>
      </w:r>
    </w:p>
    <w:p w14:paraId="5BA918C2">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11</w:t>
      </w:r>
      <w:r>
        <w:rPr>
          <w:rFonts w:ascii="宋体" w:hAnsi="宋体" w:eastAsia="宋体"/>
          <w:b/>
          <w:color w:val="auto"/>
          <w:sz w:val="24"/>
          <w:highlight w:val="none"/>
        </w:rPr>
        <w:t>.</w:t>
      </w:r>
      <w:r>
        <w:rPr>
          <w:rFonts w:hint="eastAsia" w:ascii="宋体" w:hAnsi="宋体" w:eastAsia="宋体"/>
          <w:b/>
          <w:color w:val="auto"/>
          <w:sz w:val="24"/>
          <w:highlight w:val="none"/>
        </w:rPr>
        <w:t>投标有效期</w:t>
      </w:r>
    </w:p>
    <w:p w14:paraId="0127C01E">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11.1投标有效期为从投标截止之日算起的日历天数，投标有效期详见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D01F91E">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11.2在投标有效期内，投标人的投标保持有效，投标人不得要求撤销或修改其投标文件。投标有效期不满足要求的投标，其投标将被认定为</w:t>
      </w:r>
      <w:r>
        <w:rPr>
          <w:rFonts w:hint="eastAsia" w:ascii="宋体" w:hAnsi="宋体" w:eastAsia="宋体"/>
          <w:b/>
          <w:bCs/>
          <w:color w:val="auto"/>
          <w:sz w:val="24"/>
          <w:highlight w:val="none"/>
        </w:rPr>
        <w:t>投标无效</w:t>
      </w:r>
      <w:r>
        <w:rPr>
          <w:rFonts w:hint="eastAsia" w:ascii="宋体" w:hAnsi="宋体" w:eastAsia="宋体"/>
          <w:color w:val="auto"/>
          <w:sz w:val="24"/>
          <w:highlight w:val="none"/>
        </w:rPr>
        <w:t>。</w:t>
      </w:r>
    </w:p>
    <w:p w14:paraId="7FBED2E8">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11.3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56ADFFF2">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12</w:t>
      </w:r>
      <w:r>
        <w:rPr>
          <w:rFonts w:ascii="宋体" w:hAnsi="宋体" w:eastAsia="宋体"/>
          <w:b/>
          <w:color w:val="auto"/>
          <w:sz w:val="24"/>
          <w:highlight w:val="none"/>
        </w:rPr>
        <w:t>.</w:t>
      </w:r>
      <w:r>
        <w:rPr>
          <w:rFonts w:hint="eastAsia" w:ascii="宋体" w:hAnsi="宋体" w:eastAsia="宋体"/>
          <w:b/>
          <w:color w:val="auto"/>
          <w:sz w:val="24"/>
          <w:highlight w:val="none"/>
        </w:rPr>
        <w:t>投标文件的递交、修改与撤回</w:t>
      </w:r>
    </w:p>
    <w:p w14:paraId="6C40D5E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2.1投标人应当在招标公告规定的投标截止时间前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E5A1952">
      <w:pPr>
        <w:spacing w:line="360" w:lineRule="auto"/>
        <w:ind w:firstLine="435"/>
        <w:rPr>
          <w:rFonts w:ascii="宋体" w:hAnsi="宋体" w:eastAsia="宋体"/>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318A0694">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13</w:t>
      </w:r>
      <w:r>
        <w:rPr>
          <w:rFonts w:ascii="宋体" w:hAnsi="宋体" w:eastAsia="宋体"/>
          <w:b/>
          <w:color w:val="auto"/>
          <w:sz w:val="24"/>
          <w:highlight w:val="none"/>
        </w:rPr>
        <w:t>.</w:t>
      </w:r>
      <w:r>
        <w:rPr>
          <w:rFonts w:hint="eastAsia" w:ascii="宋体" w:hAnsi="宋体" w:eastAsia="宋体"/>
          <w:b/>
          <w:color w:val="auto"/>
          <w:sz w:val="24"/>
          <w:highlight w:val="none"/>
        </w:rPr>
        <w:t>开标</w:t>
      </w:r>
    </w:p>
    <w:p w14:paraId="172B208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6C8C9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67AFD7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13.3采购人或采购代理机构将对开标过程进行记录，由参加开标的各投标人代表和相关工作人员签字确认，并存档备查。</w:t>
      </w:r>
    </w:p>
    <w:p w14:paraId="5FE35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2F80088E">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13.4投标人代表对开标过程和开标记录有疑义，以及认为采购人、采购代理机构相关工作人员有需要回避的情形的，应当场提出询问或者回避申请。</w:t>
      </w:r>
    </w:p>
    <w:p w14:paraId="5DD4F8CA">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14</w:t>
      </w:r>
      <w:r>
        <w:rPr>
          <w:rFonts w:ascii="宋体" w:hAnsi="宋体" w:eastAsia="宋体"/>
          <w:b/>
          <w:color w:val="auto"/>
          <w:sz w:val="24"/>
          <w:highlight w:val="none"/>
        </w:rPr>
        <w:t>.</w:t>
      </w:r>
      <w:r>
        <w:rPr>
          <w:rFonts w:hint="eastAsia" w:ascii="宋体" w:hAnsi="宋体" w:eastAsia="宋体"/>
          <w:b/>
          <w:color w:val="auto"/>
          <w:sz w:val="24"/>
          <w:highlight w:val="none"/>
        </w:rPr>
        <w:t>资格审查及组建评标委员会</w:t>
      </w:r>
    </w:p>
    <w:p w14:paraId="4E5948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525198BA">
      <w:pPr>
        <w:spacing w:line="360" w:lineRule="auto"/>
        <w:ind w:firstLine="435"/>
        <w:rPr>
          <w:rFonts w:ascii="宋体" w:hAnsi="宋体" w:eastAsia="宋体" w:cs="宋体"/>
          <w:color w:val="auto"/>
          <w:sz w:val="24"/>
          <w:szCs w:val="24"/>
          <w:highlight w:val="none"/>
        </w:rPr>
      </w:pPr>
      <w:bookmarkStart w:id="75" w:name="_Hlk24663244"/>
      <w:r>
        <w:rPr>
          <w:rFonts w:hint="eastAsia" w:ascii="宋体" w:hAnsi="宋体" w:eastAsia="宋体" w:cs="宋体"/>
          <w:color w:val="auto"/>
          <w:sz w:val="24"/>
          <w:szCs w:val="24"/>
          <w:highlight w:val="none"/>
        </w:rPr>
        <w:t>14.2采购人或采购代理机构将在投标截止时间后至评审结束前通过“信用中国”网站(www.creditchina.gov.cn)、中国政府采购网(www.ccgp.gov.cn)查询相关投标人信用记录，并对投标人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1F5D05B8">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4EB117C5">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75"/>
    <w:p w14:paraId="7AE9B5AF">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14.3按照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72EBE199">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15</w:t>
      </w:r>
      <w:r>
        <w:rPr>
          <w:rFonts w:ascii="宋体" w:hAnsi="宋体" w:eastAsia="宋体"/>
          <w:b/>
          <w:color w:val="auto"/>
          <w:sz w:val="24"/>
          <w:highlight w:val="none"/>
        </w:rPr>
        <w:t>.</w:t>
      </w:r>
      <w:r>
        <w:rPr>
          <w:rFonts w:hint="eastAsia" w:ascii="宋体" w:hAnsi="宋体" w:eastAsia="宋体"/>
          <w:b/>
          <w:color w:val="auto"/>
          <w:sz w:val="24"/>
          <w:highlight w:val="none"/>
        </w:rPr>
        <w:t>投标文件符合性审查与澄清</w:t>
      </w:r>
    </w:p>
    <w:p w14:paraId="5E3AA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0A5242C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2投标文件的澄清</w:t>
      </w:r>
    </w:p>
    <w:p w14:paraId="10D99F1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07BA2A4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0BF49A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41CE1C0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1B1735A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15.3</w:t>
      </w:r>
      <w:r>
        <w:rPr>
          <w:rFonts w:ascii="宋体" w:hAnsi="宋体" w:eastAsia="宋体"/>
          <w:color w:val="auto"/>
          <w:sz w:val="24"/>
          <w:highlight w:val="none"/>
        </w:rPr>
        <w:t>投标文件报价出现前后不一致的，按照下列规定修正：</w:t>
      </w:r>
    </w:p>
    <w:p w14:paraId="64713495">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65FB22D3">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6E73EBAA">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7024D1FD">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4F98D33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同时出现两种以上不一致的，按照前款规定的顺序修正。修正后的报价按照第15.4条的规定经投标人确认后产生约束力，无论投标人是接受或是拒绝调整后的价格，都应当由投标人在系统中确认。投标人拒绝对投标文件出现的错漏按上述原则进行修正、澄清、说明，其投标将被认定为</w:t>
      </w:r>
      <w:r>
        <w:rPr>
          <w:rFonts w:hint="eastAsia" w:ascii="宋体" w:hAnsi="宋体" w:eastAsia="宋体"/>
          <w:b/>
          <w:bCs/>
          <w:color w:val="auto"/>
          <w:sz w:val="24"/>
          <w:highlight w:val="none"/>
        </w:rPr>
        <w:t>投标无效</w:t>
      </w:r>
      <w:r>
        <w:rPr>
          <w:rFonts w:hint="eastAsia" w:ascii="宋体" w:hAnsi="宋体" w:eastAsia="宋体"/>
          <w:color w:val="auto"/>
          <w:sz w:val="24"/>
          <w:highlight w:val="none"/>
        </w:rPr>
        <w:t>。</w:t>
      </w:r>
    </w:p>
    <w:p w14:paraId="34EBCC02">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54FE3933">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16.投标无效</w:t>
      </w:r>
    </w:p>
    <w:p w14:paraId="37E536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6F69296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3065A7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46C7D50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16.</w:t>
      </w:r>
      <w:r>
        <w:rPr>
          <w:rFonts w:ascii="宋体" w:hAnsi="宋体" w:eastAsia="宋体"/>
          <w:color w:val="auto"/>
          <w:sz w:val="24"/>
          <w:highlight w:val="none"/>
        </w:rPr>
        <w:t>2如发现下列情况之一的，其投标将被认定为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7B4445C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0536EE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277B433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3ECD7C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6C1FC2D8">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1982D5E7">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17.比较与评价</w:t>
      </w:r>
    </w:p>
    <w:p w14:paraId="4B54B5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17.1经符合性审查合格</w:t>
      </w:r>
      <w:r>
        <w:rPr>
          <w:rFonts w:hint="eastAsia" w:ascii="宋体" w:hAnsi="宋体" w:eastAsia="宋体" w:cs="Times New Roman"/>
          <w:color w:val="auto"/>
          <w:sz w:val="24"/>
          <w:highlight w:val="none"/>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0BB419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174B133E">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362DE6E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19FEDF7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rPr>
        <w:t>和</w:t>
      </w:r>
      <w:r>
        <w:rPr>
          <w:rFonts w:ascii="宋体" w:hAnsi="宋体" w:eastAsia="宋体"/>
          <w:color w:val="auto"/>
          <w:sz w:val="24"/>
          <w:highlight w:val="none"/>
        </w:rPr>
        <w:t>《财政部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61CEB12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516E89A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8A44BED">
      <w:pPr>
        <w:pStyle w:val="44"/>
        <w:widowControl w:val="0"/>
        <w:spacing w:before="0" w:beforeAutospacing="0" w:after="0" w:afterAutospacing="0" w:line="360" w:lineRule="auto"/>
        <w:ind w:firstLine="480" w:firstLineChars="2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72017EAA">
      <w:pPr>
        <w:pStyle w:val="44"/>
        <w:widowControl w:val="0"/>
        <w:spacing w:before="0" w:beforeAutospacing="0" w:after="0" w:afterAutospacing="0" w:line="360" w:lineRule="auto"/>
        <w:ind w:firstLine="480" w:firstLineChars="2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3E65291C">
      <w:pPr>
        <w:pStyle w:val="44"/>
        <w:widowControl w:val="0"/>
        <w:spacing w:before="0" w:beforeAutospacing="0" w:after="0" w:afterAutospacing="0" w:line="360" w:lineRule="auto"/>
        <w:ind w:firstLine="480" w:firstLineChars="200"/>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9E6D9A2">
      <w:pPr>
        <w:pStyle w:val="44"/>
        <w:widowControl w:val="0"/>
        <w:spacing w:before="0" w:beforeAutospacing="0" w:after="0" w:afterAutospacing="0" w:line="360" w:lineRule="auto"/>
        <w:ind w:firstLine="482" w:firstLineChars="200"/>
        <w:jc w:val="both"/>
        <w:rPr>
          <w:bCs w:val="0"/>
          <w:color w:val="auto"/>
          <w:highlight w:val="none"/>
        </w:rPr>
      </w:pPr>
      <w:r>
        <w:rPr>
          <w:rFonts w:hint="eastAsia" w:ascii="宋体" w:hAnsi="宋体" w:eastAsia="宋体" w:cs="宋体"/>
          <w:bCs w:val="0"/>
          <w:color w:val="auto"/>
          <w:sz w:val="24"/>
          <w:szCs w:val="24"/>
          <w:highlight w:val="none"/>
        </w:rPr>
        <w:t>17.5同时符合17.3和17.4的价格评审优惠时，评标价为投标报价分别扣除促进中小企业发展政策的价格评审优惠和本国产品支持政策的价格评审优惠后的价格。</w:t>
      </w:r>
    </w:p>
    <w:p w14:paraId="3837FA1D">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18</w:t>
      </w:r>
      <w:r>
        <w:rPr>
          <w:rFonts w:ascii="宋体" w:hAnsi="宋体" w:eastAsia="宋体"/>
          <w:b/>
          <w:color w:val="auto"/>
          <w:sz w:val="24"/>
          <w:highlight w:val="none"/>
        </w:rPr>
        <w:t>.</w:t>
      </w:r>
      <w:r>
        <w:rPr>
          <w:rFonts w:hint="eastAsia" w:ascii="宋体" w:hAnsi="宋体" w:eastAsia="宋体"/>
          <w:b/>
          <w:color w:val="auto"/>
          <w:sz w:val="24"/>
          <w:highlight w:val="none"/>
        </w:rPr>
        <w:t>废标、重新招标与变更采购方式</w:t>
      </w:r>
    </w:p>
    <w:p w14:paraId="5682F1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18.1出现下列情形之一，将导致项目废标：</w:t>
      </w:r>
    </w:p>
    <w:p w14:paraId="78718964">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36B0CC0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378FBE0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207AB1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1DED89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CC21E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7E1C6E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color w:val="auto"/>
          <w:sz w:val="24"/>
          <w:szCs w:val="24"/>
          <w:highlight w:val="none"/>
        </w:rPr>
        <w:t>政府采购监督管理部门</w:t>
      </w:r>
      <w:r>
        <w:rPr>
          <w:rFonts w:hint="eastAsia" w:asciiTheme="minorEastAsia" w:hAnsiTheme="minorEastAsia" w:eastAsiaTheme="minorEastAsia"/>
          <w:color w:val="auto"/>
          <w:sz w:val="24"/>
          <w:highlight w:val="none"/>
        </w:rPr>
        <w:t>批准。</w:t>
      </w:r>
    </w:p>
    <w:p w14:paraId="23BBC70F">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19</w:t>
      </w:r>
      <w:r>
        <w:rPr>
          <w:rFonts w:ascii="宋体" w:hAnsi="宋体" w:eastAsia="宋体"/>
          <w:b/>
          <w:color w:val="auto"/>
          <w:sz w:val="24"/>
          <w:highlight w:val="none"/>
        </w:rPr>
        <w:t>.</w:t>
      </w:r>
      <w:r>
        <w:rPr>
          <w:rFonts w:hint="eastAsia" w:ascii="宋体" w:hAnsi="宋体" w:eastAsia="宋体"/>
          <w:b/>
          <w:color w:val="auto"/>
          <w:sz w:val="24"/>
          <w:highlight w:val="none"/>
        </w:rPr>
        <w:t>保密要求</w:t>
      </w:r>
    </w:p>
    <w:p w14:paraId="75D0571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19.1评标将在严格保密的情况下进行。</w:t>
      </w:r>
    </w:p>
    <w:p w14:paraId="54AA535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19.2有关人员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54B205F">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20</w:t>
      </w:r>
      <w:r>
        <w:rPr>
          <w:rFonts w:ascii="宋体" w:hAnsi="宋体" w:eastAsia="宋体"/>
          <w:b/>
          <w:color w:val="auto"/>
          <w:sz w:val="24"/>
          <w:highlight w:val="none"/>
        </w:rPr>
        <w:t>.</w:t>
      </w:r>
      <w:r>
        <w:rPr>
          <w:rFonts w:hint="eastAsia" w:ascii="宋体" w:hAnsi="宋体" w:eastAsia="宋体"/>
          <w:b/>
          <w:color w:val="auto"/>
          <w:sz w:val="24"/>
          <w:highlight w:val="none"/>
        </w:rPr>
        <w:t>中标候选人的确定原则及标准</w:t>
      </w:r>
    </w:p>
    <w:p w14:paraId="4E259D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08B7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2D85C663">
      <w:pPr>
        <w:spacing w:line="360" w:lineRule="auto"/>
        <w:ind w:firstLine="435"/>
        <w:rPr>
          <w:rFonts w:eastAsiaTheme="minorEastAsia"/>
          <w:color w:val="auto"/>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00188708">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21</w:t>
      </w:r>
      <w:r>
        <w:rPr>
          <w:rFonts w:ascii="宋体" w:hAnsi="宋体" w:eastAsia="宋体"/>
          <w:b/>
          <w:color w:val="auto"/>
          <w:sz w:val="24"/>
          <w:highlight w:val="none"/>
        </w:rPr>
        <w:t>.</w:t>
      </w:r>
      <w:r>
        <w:rPr>
          <w:rFonts w:hint="eastAsia" w:ascii="宋体" w:hAnsi="宋体" w:eastAsia="宋体"/>
          <w:b/>
          <w:color w:val="auto"/>
          <w:sz w:val="24"/>
          <w:highlight w:val="none"/>
        </w:rPr>
        <w:t>确定中标候选人和中标人</w:t>
      </w:r>
    </w:p>
    <w:p w14:paraId="4800E0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4BDCAD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601C109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2FB66E2B">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22</w:t>
      </w:r>
      <w:r>
        <w:rPr>
          <w:rFonts w:ascii="宋体" w:hAnsi="宋体" w:eastAsia="宋体"/>
          <w:b/>
          <w:color w:val="auto"/>
          <w:sz w:val="24"/>
          <w:highlight w:val="none"/>
        </w:rPr>
        <w:t>.</w:t>
      </w:r>
      <w:r>
        <w:rPr>
          <w:rFonts w:hint="eastAsia" w:ascii="宋体" w:hAnsi="宋体" w:eastAsia="宋体"/>
          <w:b/>
          <w:color w:val="auto"/>
          <w:sz w:val="24"/>
          <w:highlight w:val="none"/>
        </w:rPr>
        <w:t>编写评标报告</w:t>
      </w:r>
    </w:p>
    <w:p w14:paraId="04AD29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0214A751">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23</w:t>
      </w:r>
      <w:r>
        <w:rPr>
          <w:rFonts w:ascii="宋体" w:hAnsi="宋体" w:eastAsia="宋体"/>
          <w:b/>
          <w:color w:val="auto"/>
          <w:sz w:val="24"/>
          <w:highlight w:val="none"/>
        </w:rPr>
        <w:t>.</w:t>
      </w:r>
      <w:r>
        <w:rPr>
          <w:rFonts w:hint="eastAsia" w:ascii="宋体" w:hAnsi="宋体" w:eastAsia="宋体"/>
          <w:b/>
          <w:color w:val="auto"/>
          <w:sz w:val="24"/>
          <w:highlight w:val="none"/>
        </w:rPr>
        <w:t>中标结果公告</w:t>
      </w:r>
    </w:p>
    <w:p w14:paraId="6D6375D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23</w:t>
      </w:r>
      <w:r>
        <w:rPr>
          <w:rFonts w:ascii="宋体" w:hAnsi="宋体" w:eastAsia="宋体"/>
          <w:color w:val="auto"/>
          <w:sz w:val="24"/>
          <w:highlight w:val="none"/>
        </w:rPr>
        <w:t>.1</w:t>
      </w:r>
      <w:r>
        <w:rPr>
          <w:rFonts w:hint="eastAsia" w:ascii="宋体" w:hAnsi="宋体" w:eastAsia="宋体"/>
          <w:color w:val="auto"/>
          <w:sz w:val="24"/>
          <w:highlight w:val="none"/>
        </w:rPr>
        <w:t>除</w:t>
      </w:r>
      <w:r>
        <w:rPr>
          <w:rFonts w:ascii="宋体" w:hAnsi="宋体" w:eastAsia="宋体"/>
          <w:color w:val="auto"/>
          <w:sz w:val="24"/>
          <w:highlight w:val="none"/>
          <w:u w:val="single"/>
        </w:rPr>
        <w:t>投标</w:t>
      </w:r>
      <w:r>
        <w:rPr>
          <w:rFonts w:hint="eastAsia" w:ascii="宋体" w:hAnsi="宋体" w:eastAsia="宋体"/>
          <w:color w:val="auto"/>
          <w:sz w:val="24"/>
          <w:highlight w:val="none"/>
          <w:u w:val="single"/>
        </w:rPr>
        <w:t>人</w:t>
      </w:r>
      <w:r>
        <w:rPr>
          <w:rFonts w:ascii="宋体" w:hAnsi="宋体" w:eastAsia="宋体"/>
          <w:color w:val="auto"/>
          <w:sz w:val="24"/>
          <w:highlight w:val="none"/>
          <w:u w:val="single"/>
        </w:rPr>
        <w:t>须知前附表</w:t>
      </w:r>
      <w:r>
        <w:rPr>
          <w:rFonts w:ascii="宋体" w:hAnsi="宋体" w:eastAsia="宋体"/>
          <w:color w:val="auto"/>
          <w:sz w:val="24"/>
          <w:highlight w:val="none"/>
        </w:rPr>
        <w:t>规定由评标委员会直接确定中标</w:t>
      </w:r>
      <w:r>
        <w:rPr>
          <w:rFonts w:hint="eastAsia" w:ascii="宋体" w:hAnsi="宋体" w:eastAsia="宋体"/>
          <w:color w:val="auto"/>
          <w:sz w:val="24"/>
          <w:highlight w:val="none"/>
        </w:rPr>
        <w:t>人外，</w:t>
      </w:r>
      <w:r>
        <w:rPr>
          <w:rFonts w:ascii="宋体" w:hAnsi="宋体" w:eastAsia="宋体"/>
          <w:color w:val="auto"/>
          <w:sz w:val="24"/>
          <w:highlight w:val="none"/>
        </w:rPr>
        <w:t>在评标结束后2个工作日内</w:t>
      </w:r>
      <w:r>
        <w:rPr>
          <w:rFonts w:hint="eastAsia" w:ascii="宋体" w:hAnsi="宋体" w:eastAsia="宋体"/>
          <w:color w:val="auto"/>
          <w:sz w:val="24"/>
          <w:highlight w:val="none"/>
        </w:rPr>
        <w:t>，</w:t>
      </w:r>
      <w:r>
        <w:rPr>
          <w:rFonts w:ascii="宋体" w:hAnsi="宋体" w:eastAsia="宋体"/>
          <w:color w:val="auto"/>
          <w:sz w:val="24"/>
          <w:highlight w:val="none"/>
        </w:rPr>
        <w:t>采购代理机构将评标报告送采购人。采购人应当自收到评标报告之日起</w:t>
      </w:r>
      <w:r>
        <w:rPr>
          <w:rFonts w:hint="eastAsia" w:ascii="宋体" w:hAnsi="宋体" w:eastAsia="宋体"/>
          <w:color w:val="auto"/>
          <w:sz w:val="24"/>
          <w:highlight w:val="none"/>
        </w:rPr>
        <w:t>5</w:t>
      </w:r>
      <w:r>
        <w:rPr>
          <w:rFonts w:ascii="宋体" w:hAnsi="宋体" w:eastAsia="宋体"/>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BAC816B">
      <w:pPr>
        <w:wordWrap w:val="0"/>
        <w:spacing w:line="360" w:lineRule="auto"/>
        <w:ind w:firstLine="437"/>
        <w:rPr>
          <w:rFonts w:ascii="宋体" w:hAnsi="宋体" w:eastAsia="宋体"/>
          <w:color w:val="auto"/>
          <w:sz w:val="24"/>
          <w:szCs w:val="18"/>
          <w:highlight w:val="none"/>
        </w:rPr>
      </w:pPr>
      <w:r>
        <w:rPr>
          <w:rFonts w:hint="eastAsia" w:ascii="宋体" w:hAnsi="宋体" w:eastAsia="宋体"/>
          <w:color w:val="auto"/>
          <w:sz w:val="24"/>
          <w:highlight w:val="none"/>
        </w:rPr>
        <w:t>23</w:t>
      </w:r>
      <w:r>
        <w:rPr>
          <w:rFonts w:ascii="宋体" w:hAnsi="宋体" w:eastAsia="宋体"/>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自中标人确定之日起2个工作日内，采购代理机构将在安徽省政府采购网（www.ccgp-anhui.gov.cn）和</w:t>
      </w:r>
      <w:r>
        <w:rPr>
          <w:rFonts w:hint="eastAsia" w:ascii="宋体" w:hAnsi="宋体" w:eastAsia="宋体" w:cs="宋体"/>
          <w:color w:val="auto"/>
          <w:sz w:val="24"/>
          <w:szCs w:val="24"/>
          <w:highlight w:val="none"/>
        </w:rPr>
        <w:t>滁州市公共资源交易中心网（</w:t>
      </w:r>
      <w:r>
        <w:rPr>
          <w:color w:val="auto"/>
          <w:highlight w:val="none"/>
        </w:rPr>
        <w:fldChar w:fldCharType="begin"/>
      </w:r>
      <w:r>
        <w:rPr>
          <w:color w:val="auto"/>
          <w:highlight w:val="none"/>
        </w:rPr>
        <w:instrText xml:space="preserve"> HYPERLINK "https://ggzy.chuzhou.gov.cn/" </w:instrText>
      </w:r>
      <w:r>
        <w:rPr>
          <w:color w:val="auto"/>
          <w:highlight w:val="none"/>
        </w:rPr>
        <w:fldChar w:fldCharType="separate"/>
      </w:r>
      <w:r>
        <w:rPr>
          <w:rStyle w:val="37"/>
          <w:rFonts w:hint="eastAsia" w:ascii="宋体" w:hAnsi="宋体" w:eastAsia="宋体" w:cs="宋体"/>
          <w:color w:val="auto"/>
          <w:sz w:val="24"/>
          <w:szCs w:val="24"/>
          <w:highlight w:val="none"/>
        </w:rPr>
        <w:t>http://ggzy.chuzhou.gov.cn/</w:t>
      </w:r>
      <w:r>
        <w:rPr>
          <w:rStyle w:val="37"/>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w:t>
      </w:r>
      <w:r>
        <w:rPr>
          <w:rFonts w:hint="eastAsia" w:ascii="宋体" w:hAnsi="宋体" w:eastAsia="宋体"/>
          <w:color w:val="auto"/>
          <w:sz w:val="24"/>
          <w:szCs w:val="18"/>
          <w:highlight w:val="none"/>
        </w:rPr>
        <w:t>上发布中标结果公告。</w:t>
      </w:r>
    </w:p>
    <w:p w14:paraId="43ED94D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23.3</w:t>
      </w:r>
      <w:r>
        <w:rPr>
          <w:rFonts w:ascii="宋体" w:hAnsi="宋体" w:eastAsia="宋体"/>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宋体" w:hAnsi="宋体" w:eastAsia="宋体"/>
          <w:color w:val="auto"/>
          <w:sz w:val="24"/>
          <w:highlight w:val="none"/>
        </w:rPr>
        <w:t>服务范围</w:t>
      </w:r>
      <w:r>
        <w:rPr>
          <w:rFonts w:ascii="宋体" w:hAnsi="宋体" w:eastAsia="宋体"/>
          <w:color w:val="auto"/>
          <w:sz w:val="24"/>
          <w:highlight w:val="none"/>
        </w:rPr>
        <w:t>、</w:t>
      </w:r>
      <w:r>
        <w:rPr>
          <w:rFonts w:hint="eastAsia" w:ascii="宋体" w:hAnsi="宋体" w:eastAsia="宋体"/>
          <w:color w:val="auto"/>
          <w:sz w:val="24"/>
          <w:highlight w:val="none"/>
        </w:rPr>
        <w:t>服务要求</w:t>
      </w:r>
      <w:r>
        <w:rPr>
          <w:rFonts w:ascii="宋体" w:hAnsi="宋体" w:eastAsia="宋体"/>
          <w:color w:val="auto"/>
          <w:sz w:val="24"/>
          <w:highlight w:val="none"/>
        </w:rPr>
        <w:t>、</w:t>
      </w:r>
      <w:r>
        <w:rPr>
          <w:rFonts w:hint="eastAsia" w:ascii="宋体" w:hAnsi="宋体" w:eastAsia="宋体"/>
          <w:color w:val="auto"/>
          <w:sz w:val="24"/>
          <w:highlight w:val="none"/>
        </w:rPr>
        <w:t>服务时间</w:t>
      </w:r>
      <w:r>
        <w:rPr>
          <w:rFonts w:ascii="宋体" w:hAnsi="宋体" w:eastAsia="宋体"/>
          <w:color w:val="auto"/>
          <w:sz w:val="24"/>
          <w:highlight w:val="none"/>
        </w:rPr>
        <w:t>、</w:t>
      </w:r>
      <w:r>
        <w:rPr>
          <w:rFonts w:hint="eastAsia" w:ascii="宋体" w:hAnsi="宋体" w:eastAsia="宋体"/>
          <w:color w:val="auto"/>
          <w:sz w:val="24"/>
          <w:highlight w:val="none"/>
        </w:rPr>
        <w:t>服务标准</w:t>
      </w:r>
      <w:r>
        <w:rPr>
          <w:rFonts w:ascii="宋体" w:hAnsi="宋体" w:eastAsia="宋体"/>
          <w:color w:val="auto"/>
          <w:sz w:val="24"/>
          <w:highlight w:val="none"/>
        </w:rPr>
        <w:t>，中标公告期限、评审专家名单以及</w:t>
      </w:r>
      <w:r>
        <w:rPr>
          <w:rFonts w:hint="eastAsia" w:ascii="宋体" w:hAnsi="宋体" w:eastAsia="宋体"/>
          <w:color w:val="auto"/>
          <w:sz w:val="24"/>
          <w:highlight w:val="none"/>
          <w:u w:val="single"/>
        </w:rPr>
        <w:t>投标人须知前附表</w:t>
      </w:r>
      <w:r>
        <w:rPr>
          <w:rFonts w:ascii="宋体" w:hAnsi="宋体" w:eastAsia="宋体"/>
          <w:color w:val="auto"/>
          <w:sz w:val="24"/>
          <w:highlight w:val="none"/>
        </w:rPr>
        <w:t>中约定进行公告的内容。中标公告期限为1个工作日。</w:t>
      </w:r>
    </w:p>
    <w:p w14:paraId="0C7444C4">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24</w:t>
      </w:r>
      <w:r>
        <w:rPr>
          <w:rFonts w:ascii="宋体" w:hAnsi="宋体" w:eastAsia="宋体"/>
          <w:b/>
          <w:color w:val="auto"/>
          <w:sz w:val="24"/>
          <w:highlight w:val="none"/>
        </w:rPr>
        <w:t>.</w:t>
      </w:r>
      <w:r>
        <w:rPr>
          <w:rFonts w:hint="eastAsia" w:ascii="宋体" w:hAnsi="宋体" w:eastAsia="宋体"/>
          <w:b/>
          <w:color w:val="auto"/>
          <w:sz w:val="24"/>
          <w:highlight w:val="none"/>
        </w:rPr>
        <w:t>中标通知书</w:t>
      </w:r>
    </w:p>
    <w:p w14:paraId="637ED750">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4</w:t>
      </w:r>
      <w:r>
        <w:rPr>
          <w:rFonts w:ascii="宋体" w:hAnsi="宋体" w:eastAsia="宋体"/>
          <w:color w:val="auto"/>
          <w:sz w:val="24"/>
          <w:highlight w:val="none"/>
        </w:rPr>
        <w:t>.1采购代理机构发布中标结果公告</w:t>
      </w:r>
      <w:r>
        <w:rPr>
          <w:rFonts w:hint="eastAsia" w:ascii="宋体" w:hAnsi="宋体" w:eastAsia="宋体"/>
          <w:iCs/>
          <w:color w:val="auto"/>
          <w:sz w:val="24"/>
          <w:highlight w:val="none"/>
        </w:rPr>
        <w:t>的</w:t>
      </w:r>
      <w:r>
        <w:rPr>
          <w:rFonts w:ascii="宋体" w:hAnsi="宋体" w:eastAsia="宋体"/>
          <w:color w:val="auto"/>
          <w:sz w:val="24"/>
          <w:highlight w:val="none"/>
        </w:rPr>
        <w:t>同时以</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规定的</w:t>
      </w:r>
      <w:r>
        <w:rPr>
          <w:rFonts w:ascii="宋体" w:hAnsi="宋体" w:eastAsia="宋体"/>
          <w:color w:val="auto"/>
          <w:sz w:val="24"/>
          <w:highlight w:val="none"/>
        </w:rPr>
        <w:t>形式向中标人发出中标通知书。</w:t>
      </w:r>
      <w:r>
        <w:rPr>
          <w:rFonts w:hint="eastAsia" w:ascii="宋体" w:hAnsi="宋体" w:eastAsia="宋体"/>
          <w:color w:val="auto"/>
          <w:sz w:val="24"/>
          <w:highlight w:val="none"/>
        </w:rPr>
        <w:t>中标通知书须加盖采购人、采购代理机构公章并经公共资源交易中心加盖见证章后，方可发出。</w:t>
      </w:r>
    </w:p>
    <w:p w14:paraId="1416F62D">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4</w:t>
      </w:r>
      <w:r>
        <w:rPr>
          <w:rFonts w:ascii="宋体" w:hAnsi="宋体" w:eastAsia="宋体"/>
          <w:color w:val="auto"/>
          <w:sz w:val="24"/>
          <w:highlight w:val="none"/>
        </w:rPr>
        <w:t>.2中标通知书对采购人和中标</w:t>
      </w:r>
      <w:r>
        <w:rPr>
          <w:rFonts w:hint="eastAsia" w:ascii="宋体" w:hAnsi="宋体" w:eastAsia="宋体"/>
          <w:color w:val="auto"/>
          <w:sz w:val="24"/>
          <w:highlight w:val="none"/>
        </w:rPr>
        <w:t>人</w:t>
      </w:r>
      <w:r>
        <w:rPr>
          <w:rFonts w:ascii="宋体" w:hAnsi="宋体" w:eastAsia="宋体"/>
          <w:color w:val="auto"/>
          <w:sz w:val="24"/>
          <w:highlight w:val="none"/>
        </w:rPr>
        <w:t>具有同等法律效力。中标通知书发出以后，采购人改变中标结果或者中标</w:t>
      </w:r>
      <w:r>
        <w:rPr>
          <w:rFonts w:hint="eastAsia" w:ascii="宋体" w:hAnsi="宋体" w:eastAsia="宋体"/>
          <w:color w:val="auto"/>
          <w:sz w:val="24"/>
          <w:highlight w:val="none"/>
        </w:rPr>
        <w:t>人</w:t>
      </w:r>
      <w:r>
        <w:rPr>
          <w:rFonts w:ascii="宋体" w:hAnsi="宋体" w:eastAsia="宋体"/>
          <w:color w:val="auto"/>
          <w:sz w:val="24"/>
          <w:highlight w:val="none"/>
        </w:rPr>
        <w:t>放弃中标，应当承担相应的法律责任。</w:t>
      </w:r>
    </w:p>
    <w:p w14:paraId="4FEED538">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4</w:t>
      </w:r>
      <w:r>
        <w:rPr>
          <w:rFonts w:ascii="宋体" w:hAnsi="宋体" w:eastAsia="宋体"/>
          <w:color w:val="auto"/>
          <w:sz w:val="24"/>
          <w:highlight w:val="none"/>
        </w:rPr>
        <w:t>.3中标通知书是合同的组成部分。</w:t>
      </w:r>
    </w:p>
    <w:p w14:paraId="18769A04">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25</w:t>
      </w:r>
      <w:r>
        <w:rPr>
          <w:rFonts w:ascii="宋体" w:hAnsi="宋体" w:eastAsia="宋体"/>
          <w:b/>
          <w:color w:val="auto"/>
          <w:sz w:val="24"/>
          <w:highlight w:val="none"/>
        </w:rPr>
        <w:t>.</w:t>
      </w:r>
      <w:r>
        <w:rPr>
          <w:rFonts w:hint="eastAsia" w:ascii="宋体" w:hAnsi="宋体" w:eastAsia="宋体"/>
          <w:b/>
          <w:color w:val="auto"/>
          <w:sz w:val="24"/>
          <w:highlight w:val="none"/>
        </w:rPr>
        <w:t>告知招标结果</w:t>
      </w:r>
    </w:p>
    <w:p w14:paraId="18FF48A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25</w:t>
      </w:r>
      <w:r>
        <w:rPr>
          <w:rFonts w:ascii="宋体" w:hAnsi="宋体" w:eastAsia="宋体"/>
          <w:color w:val="auto"/>
          <w:sz w:val="24"/>
          <w:highlight w:val="none"/>
        </w:rPr>
        <w:t>.1</w:t>
      </w:r>
      <w:r>
        <w:rPr>
          <w:rFonts w:hint="eastAsia" w:ascii="宋体" w:hAnsi="宋体" w:eastAsia="宋体"/>
          <w:color w:val="auto"/>
          <w:sz w:val="24"/>
          <w:highlight w:val="none"/>
        </w:rPr>
        <w:t>在公告</w:t>
      </w:r>
      <w:r>
        <w:rPr>
          <w:rFonts w:ascii="宋体" w:hAnsi="宋体" w:eastAsia="宋体"/>
          <w:color w:val="auto"/>
          <w:sz w:val="24"/>
          <w:highlight w:val="none"/>
        </w:rPr>
        <w:t>中标结果的同时，采购代理机构同时以</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规定的</w:t>
      </w:r>
      <w:r>
        <w:rPr>
          <w:rFonts w:ascii="宋体" w:hAnsi="宋体" w:eastAsia="宋体"/>
          <w:color w:val="auto"/>
          <w:sz w:val="24"/>
          <w:highlight w:val="none"/>
        </w:rPr>
        <w:t>形式</w:t>
      </w:r>
      <w:r>
        <w:rPr>
          <w:rFonts w:hint="eastAsia" w:ascii="宋体" w:hAnsi="宋体" w:eastAsia="宋体"/>
          <w:color w:val="auto"/>
          <w:sz w:val="24"/>
          <w:highlight w:val="none"/>
        </w:rPr>
        <w:t>告知未通过资格审查的投标人未通过的原因；采用综合评分法评审的，还将告知未中标人本人的评审得分和排序。</w:t>
      </w:r>
    </w:p>
    <w:p w14:paraId="1493B153">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26</w:t>
      </w:r>
      <w:r>
        <w:rPr>
          <w:rFonts w:ascii="宋体" w:hAnsi="宋体" w:eastAsia="宋体"/>
          <w:b/>
          <w:color w:val="auto"/>
          <w:sz w:val="24"/>
          <w:highlight w:val="none"/>
        </w:rPr>
        <w:t>.</w:t>
      </w:r>
      <w:r>
        <w:rPr>
          <w:rFonts w:hint="eastAsia" w:ascii="宋体" w:hAnsi="宋体" w:eastAsia="宋体"/>
          <w:b/>
          <w:color w:val="auto"/>
          <w:sz w:val="24"/>
          <w:highlight w:val="none"/>
        </w:rPr>
        <w:t>履约保证金</w:t>
      </w:r>
    </w:p>
    <w:p w14:paraId="0106718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26.1中标人应按照</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规定缴纳履约保证金。</w:t>
      </w:r>
    </w:p>
    <w:p w14:paraId="6F3E209B">
      <w:pPr>
        <w:spacing w:line="360" w:lineRule="auto"/>
        <w:ind w:firstLine="435"/>
        <w:rPr>
          <w:rFonts w:ascii="宋体" w:hAnsi="宋体" w:eastAsia="宋体"/>
          <w:b/>
          <w:color w:val="auto"/>
          <w:sz w:val="24"/>
          <w:highlight w:val="none"/>
        </w:rPr>
      </w:pPr>
      <w:r>
        <w:rPr>
          <w:rFonts w:hint="eastAsia" w:ascii="宋体" w:hAnsi="宋体" w:eastAsia="宋体"/>
          <w:color w:val="auto"/>
          <w:sz w:val="24"/>
          <w:highlight w:val="none"/>
        </w:rPr>
        <w:t>26.</w:t>
      </w:r>
      <w:r>
        <w:rPr>
          <w:rFonts w:ascii="宋体" w:hAnsi="宋体" w:eastAsia="宋体"/>
          <w:color w:val="auto"/>
          <w:sz w:val="24"/>
          <w:highlight w:val="none"/>
        </w:rPr>
        <w:t>2</w:t>
      </w:r>
      <w:r>
        <w:rPr>
          <w:rFonts w:hint="eastAsia" w:ascii="宋体" w:hAnsi="宋体" w:eastAsia="宋体"/>
          <w:color w:val="auto"/>
          <w:sz w:val="24"/>
          <w:highlight w:val="none"/>
        </w:rPr>
        <w:t>如果中标人没有按照上述履约保证金的规定执行，将视为放弃中标资格。在此情况下，采购人可</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，也可以重新开展采购活动。</w:t>
      </w:r>
    </w:p>
    <w:p w14:paraId="3D75CEF9">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27</w:t>
      </w:r>
      <w:r>
        <w:rPr>
          <w:rFonts w:ascii="宋体" w:hAnsi="宋体" w:eastAsia="宋体"/>
          <w:b/>
          <w:color w:val="auto"/>
          <w:sz w:val="24"/>
          <w:highlight w:val="none"/>
        </w:rPr>
        <w:t>.</w:t>
      </w:r>
      <w:r>
        <w:rPr>
          <w:rFonts w:hint="eastAsia" w:ascii="宋体" w:hAnsi="宋体" w:eastAsia="宋体"/>
          <w:b/>
          <w:color w:val="auto"/>
          <w:sz w:val="24"/>
          <w:highlight w:val="none"/>
        </w:rPr>
        <w:t>签订合同</w:t>
      </w:r>
    </w:p>
    <w:p w14:paraId="6B9204C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27.1</w:t>
      </w:r>
      <w:r>
        <w:rPr>
          <w:rFonts w:hint="eastAsia" w:ascii="宋体" w:hAnsi="宋体" w:eastAsia="宋体" w:cs="宋体"/>
          <w:color w:val="auto"/>
          <w:sz w:val="24"/>
          <w:szCs w:val="24"/>
          <w:highlight w:val="none"/>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规定的时间内完成政府采购合同签订及合同公告。</w:t>
      </w:r>
    </w:p>
    <w:p w14:paraId="5BCEAD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27.2招标文件、中标人的投标文件及其澄清文件等，均为签订合同的依据。</w:t>
      </w:r>
    </w:p>
    <w:p w14:paraId="22E3B62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14CF28F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27.4依据《政府采购促进中小企业发展管理办法》（财库〔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A646EAA">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28</w:t>
      </w:r>
      <w:r>
        <w:rPr>
          <w:rFonts w:ascii="宋体" w:hAnsi="宋体" w:eastAsia="宋体"/>
          <w:b/>
          <w:color w:val="auto"/>
          <w:sz w:val="24"/>
          <w:highlight w:val="none"/>
        </w:rPr>
        <w:t>.</w:t>
      </w:r>
      <w:r>
        <w:rPr>
          <w:rFonts w:hint="eastAsia" w:ascii="宋体" w:hAnsi="宋体" w:eastAsia="宋体"/>
          <w:b/>
          <w:color w:val="auto"/>
          <w:sz w:val="24"/>
          <w:highlight w:val="none"/>
        </w:rPr>
        <w:t>代理费用</w:t>
      </w:r>
    </w:p>
    <w:p w14:paraId="29F65A2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w:t>
      </w:r>
      <w:r>
        <w:rPr>
          <w:rFonts w:hint="eastAsia" w:ascii="宋体" w:hAnsi="宋体" w:eastAsia="宋体"/>
          <w:color w:val="auto"/>
          <w:sz w:val="24"/>
          <w:highlight w:val="none"/>
        </w:rPr>
        <w:t>本项目代理费用的收取按</w:t>
      </w:r>
      <w:r>
        <w:rPr>
          <w:rFonts w:hint="eastAsia" w:ascii="宋体" w:hAnsi="宋体" w:eastAsia="宋体"/>
          <w:color w:val="auto"/>
          <w:sz w:val="24"/>
          <w:highlight w:val="none"/>
          <w:u w:val="single"/>
        </w:rPr>
        <w:t>投标人须知前附表的</w:t>
      </w:r>
      <w:r>
        <w:rPr>
          <w:rFonts w:hint="eastAsia" w:ascii="宋体" w:hAnsi="宋体" w:eastAsia="宋体"/>
          <w:color w:val="auto"/>
          <w:sz w:val="24"/>
          <w:highlight w:val="none"/>
        </w:rPr>
        <w:t>规定执行。</w:t>
      </w:r>
    </w:p>
    <w:p w14:paraId="6AED87AC">
      <w:pPr>
        <w:spacing w:line="360" w:lineRule="auto"/>
        <w:ind w:firstLine="437"/>
        <w:outlineLvl w:val="2"/>
        <w:rPr>
          <w:rFonts w:ascii="宋体" w:hAnsi="宋体" w:eastAsia="宋体"/>
          <w:b/>
          <w:color w:val="auto"/>
          <w:sz w:val="24"/>
          <w:highlight w:val="none"/>
        </w:rPr>
      </w:pPr>
      <w:bookmarkStart w:id="76" w:name="_Toc518923100"/>
      <w:bookmarkStart w:id="77" w:name="_Toc2583661"/>
      <w:r>
        <w:rPr>
          <w:rFonts w:hint="eastAsia" w:ascii="宋体" w:hAnsi="宋体" w:eastAsia="宋体"/>
          <w:b/>
          <w:color w:val="auto"/>
          <w:sz w:val="24"/>
          <w:highlight w:val="none"/>
        </w:rPr>
        <w:t>29.廉洁自律</w:t>
      </w:r>
      <w:r>
        <w:rPr>
          <w:rFonts w:ascii="宋体" w:hAnsi="宋体" w:eastAsia="宋体"/>
          <w:b/>
          <w:color w:val="auto"/>
          <w:sz w:val="24"/>
          <w:highlight w:val="none"/>
        </w:rPr>
        <w:t>规定</w:t>
      </w:r>
      <w:bookmarkEnd w:id="76"/>
      <w:bookmarkEnd w:id="77"/>
    </w:p>
    <w:p w14:paraId="357AB4D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3F78708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0A829FE7">
      <w:pPr>
        <w:spacing w:line="360" w:lineRule="auto"/>
        <w:ind w:firstLine="437"/>
        <w:outlineLvl w:val="2"/>
        <w:rPr>
          <w:rFonts w:ascii="宋体" w:hAnsi="宋体" w:eastAsia="宋体"/>
          <w:b/>
          <w:color w:val="auto"/>
          <w:sz w:val="24"/>
          <w:highlight w:val="none"/>
        </w:rPr>
      </w:pPr>
      <w:bookmarkStart w:id="78" w:name="_Toc518923101"/>
      <w:bookmarkStart w:id="79" w:name="_Toc2583662"/>
      <w:r>
        <w:rPr>
          <w:rFonts w:hint="eastAsia" w:ascii="宋体" w:hAnsi="宋体" w:eastAsia="宋体"/>
          <w:b/>
          <w:color w:val="auto"/>
          <w:sz w:val="24"/>
          <w:highlight w:val="none"/>
        </w:rPr>
        <w:t>30.人员回避</w:t>
      </w:r>
      <w:bookmarkEnd w:id="78"/>
      <w:bookmarkEnd w:id="79"/>
    </w:p>
    <w:p w14:paraId="503D09C1">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50AC0ABA">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31</w:t>
      </w:r>
      <w:r>
        <w:rPr>
          <w:rFonts w:ascii="宋体" w:hAnsi="宋体" w:eastAsia="宋体"/>
          <w:b/>
          <w:color w:val="auto"/>
          <w:sz w:val="24"/>
          <w:highlight w:val="none"/>
        </w:rPr>
        <w:t>.</w:t>
      </w:r>
      <w:r>
        <w:rPr>
          <w:rFonts w:hint="eastAsia" w:ascii="宋体" w:hAnsi="宋体" w:eastAsia="宋体"/>
          <w:b/>
          <w:color w:val="auto"/>
          <w:sz w:val="24"/>
          <w:highlight w:val="none"/>
        </w:rPr>
        <w:t>质疑的提出与接收</w:t>
      </w:r>
    </w:p>
    <w:p w14:paraId="732464B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56380CC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F4F21E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31.3采购代理机构质疑函接收部门、联系电话和通讯地址，见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59D4A58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4DDF53F5">
      <w:pPr>
        <w:spacing w:line="360" w:lineRule="auto"/>
        <w:ind w:firstLine="437"/>
        <w:outlineLvl w:val="2"/>
        <w:rPr>
          <w:rFonts w:ascii="宋体" w:hAnsi="宋体" w:eastAsia="宋体"/>
          <w:b/>
          <w:color w:val="auto"/>
          <w:sz w:val="24"/>
          <w:szCs w:val="24"/>
          <w:highlight w:val="none"/>
        </w:rPr>
      </w:pPr>
      <w:r>
        <w:rPr>
          <w:rFonts w:hint="eastAsia" w:ascii="宋体" w:hAnsi="宋体" w:eastAsia="宋体" w:cs="宋体"/>
          <w:b/>
          <w:color w:val="auto"/>
          <w:sz w:val="24"/>
          <w:szCs w:val="24"/>
          <w:highlight w:val="none"/>
        </w:rPr>
        <w:t>32</w:t>
      </w:r>
      <w:r>
        <w:rPr>
          <w:rFonts w:hint="eastAsia" w:ascii="宋体" w:hAnsi="宋体" w:eastAsia="宋体"/>
          <w:b/>
          <w:color w:val="auto"/>
          <w:sz w:val="24"/>
          <w:szCs w:val="24"/>
          <w:highlight w:val="none"/>
        </w:rPr>
        <w:t>.</w:t>
      </w:r>
      <w:r>
        <w:rPr>
          <w:rFonts w:hint="eastAsia" w:ascii="宋体" w:hAnsi="宋体" w:eastAsia="宋体" w:cs="宋体"/>
          <w:b/>
          <w:color w:val="auto"/>
          <w:sz w:val="24"/>
          <w:szCs w:val="24"/>
          <w:highlight w:val="none"/>
        </w:rPr>
        <w:t>投诉</w:t>
      </w:r>
    </w:p>
    <w:p w14:paraId="0BA4BA05">
      <w:pPr>
        <w:wordWrap w:val="0"/>
        <w:autoSpaceDE w:val="0"/>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49810764">
      <w:pPr>
        <w:wordWrap w:val="0"/>
        <w:autoSpaceDE w:val="0"/>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76055C4B">
      <w:pPr>
        <w:wordWrap w:val="0"/>
        <w:autoSpaceDE w:val="0"/>
        <w:spacing w:line="360" w:lineRule="auto"/>
        <w:ind w:firstLine="437"/>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6B2A8B3">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33</w:t>
      </w:r>
      <w:r>
        <w:rPr>
          <w:rFonts w:ascii="宋体" w:hAnsi="宋体" w:eastAsia="宋体"/>
          <w:b/>
          <w:color w:val="auto"/>
          <w:sz w:val="24"/>
          <w:highlight w:val="none"/>
        </w:rPr>
        <w:t>.</w:t>
      </w:r>
      <w:r>
        <w:rPr>
          <w:rFonts w:hint="eastAsia" w:ascii="宋体" w:hAnsi="宋体" w:eastAsia="宋体"/>
          <w:b/>
          <w:color w:val="auto"/>
          <w:sz w:val="24"/>
          <w:highlight w:val="none"/>
        </w:rPr>
        <w:t>需要补充的其他内容</w:t>
      </w:r>
    </w:p>
    <w:p w14:paraId="4EFEB3D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需要补充的其他内容，见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1C453C22">
      <w:pPr>
        <w:widowControl/>
        <w:jc w:val="left"/>
        <w:rPr>
          <w:rFonts w:ascii="宋体" w:hAnsi="宋体" w:eastAsia="宋体"/>
          <w:b/>
          <w:color w:val="auto"/>
          <w:sz w:val="28"/>
          <w:highlight w:val="none"/>
        </w:rPr>
      </w:pPr>
      <w:r>
        <w:rPr>
          <w:rFonts w:ascii="宋体" w:hAnsi="宋体" w:eastAsia="宋体"/>
          <w:color w:val="auto"/>
          <w:sz w:val="24"/>
          <w:highlight w:val="none"/>
        </w:rPr>
        <w:br w:type="page"/>
      </w:r>
    </w:p>
    <w:p w14:paraId="2720AAB6">
      <w:pPr>
        <w:numPr>
          <w:ilvl w:val="0"/>
          <w:numId w:val="1"/>
        </w:numPr>
        <w:spacing w:line="360" w:lineRule="auto"/>
        <w:jc w:val="center"/>
        <w:outlineLvl w:val="0"/>
        <w:rPr>
          <w:rFonts w:ascii="宋体" w:hAnsi="宋体" w:eastAsia="宋体"/>
          <w:b/>
          <w:color w:val="auto"/>
          <w:sz w:val="28"/>
          <w:highlight w:val="none"/>
        </w:rPr>
      </w:pPr>
      <w:bookmarkStart w:id="80" w:name="_Toc27170"/>
      <w:r>
        <w:rPr>
          <w:rFonts w:hint="eastAsia" w:ascii="宋体" w:hAnsi="宋体" w:eastAsia="宋体"/>
          <w:b/>
          <w:color w:val="auto"/>
          <w:sz w:val="28"/>
          <w:highlight w:val="none"/>
        </w:rPr>
        <w:t>采购需求</w:t>
      </w:r>
      <w:bookmarkEnd w:id="80"/>
    </w:p>
    <w:p w14:paraId="2B41D119">
      <w:pPr>
        <w:spacing w:line="360" w:lineRule="auto"/>
        <w:rPr>
          <w:rFonts w:ascii="宋体" w:hAnsi="宋体" w:eastAsia="宋体"/>
          <w:b/>
          <w:color w:val="auto"/>
          <w:sz w:val="24"/>
          <w:szCs w:val="24"/>
          <w:highlight w:val="none"/>
        </w:rPr>
      </w:pPr>
      <w:r>
        <w:rPr>
          <w:rFonts w:hint="eastAsia" w:ascii="宋体" w:hAnsi="宋体" w:eastAsia="宋体"/>
          <w:b/>
          <w:color w:val="auto"/>
          <w:sz w:val="24"/>
          <w:szCs w:val="24"/>
          <w:highlight w:val="none"/>
        </w:rPr>
        <w:t>前注：</w:t>
      </w:r>
    </w:p>
    <w:p w14:paraId="16FF82C7">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1.本采购需求中提出的服务方案仅为参考，如无明确限制，投标人可以进行优化，提供满足采购人实际需要的更优（或者性能实质上不低于的）服务方案，且此方案须经评标委员会评审认可。</w:t>
      </w:r>
    </w:p>
    <w:p w14:paraId="6348C5D6">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79DA8FC2">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在投标文件中提供所投产品须具有市场监管总局公布的《参与实施政府采购节能产品认证机构目录》中的认证机构出具的、处于有效期内的节能产品认证证书。</w:t>
      </w:r>
    </w:p>
    <w:p w14:paraId="50CA10B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2EF4305">
      <w:pPr>
        <w:spacing w:line="440" w:lineRule="exact"/>
        <w:ind w:firstLine="480" w:firstLineChars="200"/>
        <w:rPr>
          <w:rFonts w:ascii="宋体" w:hAnsi="宋体" w:eastAsia="宋体"/>
          <w:bCs/>
          <w:color w:val="auto"/>
          <w:sz w:val="24"/>
          <w:szCs w:val="24"/>
          <w:highlight w:val="none"/>
        </w:rPr>
      </w:pPr>
      <w:r>
        <w:rPr>
          <w:rFonts w:hint="eastAsia" w:ascii="宋体" w:hAnsi="宋体" w:eastAsia="宋体" w:cs="宋体"/>
          <w:color w:val="auto"/>
          <w:sz w:val="24"/>
          <w:szCs w:val="24"/>
          <w:highlight w:val="none"/>
        </w:rPr>
        <w:t>3.如采购人允许采用分包方式履行合同的，应当明确可以分包履行的相关内容。</w:t>
      </w:r>
    </w:p>
    <w:p w14:paraId="5FEB0629">
      <w:pPr>
        <w:spacing w:line="360" w:lineRule="auto"/>
        <w:ind w:firstLine="437"/>
        <w:outlineLvl w:val="1"/>
        <w:rPr>
          <w:rFonts w:ascii="宋体" w:hAnsi="宋体" w:eastAsia="宋体"/>
          <w:b/>
          <w:color w:val="auto"/>
          <w:sz w:val="24"/>
          <w:szCs w:val="24"/>
          <w:highlight w:val="none"/>
        </w:rPr>
      </w:pPr>
      <w:bookmarkStart w:id="81" w:name="_Toc21543"/>
      <w:bookmarkStart w:id="82" w:name="_Toc1657"/>
      <w:bookmarkStart w:id="83" w:name="_Toc4148"/>
      <w:bookmarkStart w:id="84" w:name="_Toc26508"/>
      <w:bookmarkStart w:id="85" w:name="_Toc3333"/>
      <w:bookmarkStart w:id="86" w:name="_Toc21798"/>
      <w:bookmarkStart w:id="87" w:name="_Hlk23621890"/>
      <w:r>
        <w:rPr>
          <w:rFonts w:hint="eastAsia" w:ascii="宋体" w:hAnsi="宋体" w:eastAsia="宋体"/>
          <w:b/>
          <w:color w:val="auto"/>
          <w:sz w:val="24"/>
          <w:szCs w:val="24"/>
          <w:highlight w:val="none"/>
        </w:rPr>
        <w:t>一、采购需求前附表</w:t>
      </w:r>
      <w:bookmarkEnd w:id="81"/>
      <w:bookmarkEnd w:id="82"/>
      <w:bookmarkEnd w:id="83"/>
      <w:bookmarkEnd w:id="84"/>
      <w:bookmarkEnd w:id="85"/>
      <w:bookmarkEnd w:id="86"/>
    </w:p>
    <w:tbl>
      <w:tblPr>
        <w:tblStyle w:val="27"/>
        <w:tblW w:w="8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925"/>
        <w:gridCol w:w="5672"/>
      </w:tblGrid>
      <w:tr w14:paraId="13E0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65829BC">
            <w:pPr>
              <w:pStyle w:val="45"/>
              <w:pBdr>
                <w:bottom w:val="none" w:color="auto" w:sz="0" w:space="0"/>
              </w:pBdr>
              <w:tabs>
                <w:tab w:val="clear" w:pos="4153"/>
                <w:tab w:val="clear" w:pos="8306"/>
              </w:tabs>
              <w:adjustRightInd/>
              <w:spacing w:line="240" w:lineRule="auto"/>
              <w:textAlignment w:val="auto"/>
              <w:rPr>
                <w:rFonts w:ascii="宋体" w:hAnsi="宋体" w:eastAsia="宋体"/>
                <w:b/>
                <w:color w:val="auto"/>
                <w:kern w:val="2"/>
                <w:szCs w:val="24"/>
                <w:highlight w:val="none"/>
              </w:rPr>
            </w:pPr>
            <w:r>
              <w:rPr>
                <w:rFonts w:hint="eastAsia" w:ascii="宋体" w:hAnsi="宋体" w:eastAsia="宋体"/>
                <w:b/>
                <w:color w:val="auto"/>
                <w:kern w:val="2"/>
                <w:szCs w:val="24"/>
                <w:highlight w:val="none"/>
              </w:rPr>
              <w:t>序号</w:t>
            </w:r>
          </w:p>
        </w:tc>
        <w:tc>
          <w:tcPr>
            <w:tcW w:w="1925" w:type="dxa"/>
            <w:vAlign w:val="center"/>
          </w:tcPr>
          <w:p w14:paraId="0F45FF25">
            <w:pPr>
              <w:pStyle w:val="44"/>
              <w:widowControl w:val="0"/>
              <w:spacing w:before="0" w:beforeAutospacing="0" w:after="0" w:afterAutospacing="0" w:line="360" w:lineRule="auto"/>
              <w:rPr>
                <w:rFonts w:ascii="宋体" w:hAnsi="宋体" w:eastAsia="宋体"/>
                <w:bCs w:val="0"/>
                <w:color w:val="auto"/>
                <w:sz w:val="24"/>
                <w:szCs w:val="24"/>
                <w:highlight w:val="none"/>
              </w:rPr>
            </w:pPr>
            <w:r>
              <w:rPr>
                <w:rFonts w:hint="eastAsia" w:ascii="宋体" w:hAnsi="宋体" w:eastAsia="宋体"/>
                <w:bCs w:val="0"/>
                <w:color w:val="auto"/>
                <w:sz w:val="24"/>
                <w:szCs w:val="24"/>
                <w:highlight w:val="none"/>
              </w:rPr>
              <w:t>条款名称</w:t>
            </w:r>
          </w:p>
        </w:tc>
        <w:tc>
          <w:tcPr>
            <w:tcW w:w="5672" w:type="dxa"/>
            <w:vAlign w:val="center"/>
          </w:tcPr>
          <w:p w14:paraId="0B59ECDC">
            <w:pPr>
              <w:pStyle w:val="44"/>
              <w:widowControl w:val="0"/>
              <w:spacing w:before="0" w:beforeAutospacing="0" w:after="0" w:afterAutospacing="0" w:line="360" w:lineRule="auto"/>
              <w:rPr>
                <w:rFonts w:ascii="宋体" w:hAnsi="宋体" w:eastAsia="宋体"/>
                <w:bCs w:val="0"/>
                <w:color w:val="auto"/>
                <w:sz w:val="24"/>
                <w:szCs w:val="24"/>
                <w:highlight w:val="none"/>
              </w:rPr>
            </w:pPr>
            <w:r>
              <w:rPr>
                <w:rFonts w:hint="eastAsia" w:ascii="宋体" w:hAnsi="宋体" w:eastAsia="宋体"/>
                <w:bCs w:val="0"/>
                <w:color w:val="auto"/>
                <w:sz w:val="24"/>
                <w:szCs w:val="24"/>
                <w:highlight w:val="none"/>
              </w:rPr>
              <w:t>内容、说明与要求</w:t>
            </w:r>
          </w:p>
        </w:tc>
      </w:tr>
      <w:tr w14:paraId="6486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24AED16D">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szCs w:val="24"/>
                <w:highlight w:val="none"/>
              </w:rPr>
            </w:pPr>
            <w:r>
              <w:rPr>
                <w:rFonts w:hint="eastAsia" w:ascii="宋体" w:hAnsi="宋体" w:eastAsia="宋体"/>
                <w:bCs/>
                <w:color w:val="auto"/>
                <w:kern w:val="2"/>
                <w:szCs w:val="24"/>
                <w:highlight w:val="none"/>
              </w:rPr>
              <w:t>1</w:t>
            </w:r>
          </w:p>
        </w:tc>
        <w:tc>
          <w:tcPr>
            <w:tcW w:w="1925" w:type="dxa"/>
            <w:vAlign w:val="center"/>
          </w:tcPr>
          <w:p w14:paraId="61A4FACB">
            <w:pPr>
              <w:pStyle w:val="44"/>
              <w:widowControl w:val="0"/>
              <w:spacing w:before="0" w:beforeAutospacing="0" w:after="0" w:afterAutospacing="0" w:line="360" w:lineRule="auto"/>
              <w:rPr>
                <w:rFonts w:ascii="宋体" w:hAnsi="宋体" w:eastAsia="宋体"/>
                <w:b w:val="0"/>
                <w:bCs w:val="0"/>
                <w:color w:val="auto"/>
                <w:kern w:val="2"/>
                <w:sz w:val="24"/>
                <w:szCs w:val="24"/>
                <w:highlight w:val="none"/>
              </w:rPr>
            </w:pPr>
            <w:r>
              <w:rPr>
                <w:rFonts w:hint="eastAsia" w:ascii="宋体" w:hAnsi="宋体" w:eastAsia="宋体"/>
                <w:b w:val="0"/>
                <w:bCs w:val="0"/>
                <w:color w:val="auto"/>
                <w:kern w:val="2"/>
                <w:sz w:val="24"/>
                <w:szCs w:val="24"/>
                <w:highlight w:val="none"/>
              </w:rPr>
              <w:t>付款方式</w:t>
            </w:r>
          </w:p>
        </w:tc>
        <w:tc>
          <w:tcPr>
            <w:tcW w:w="5672" w:type="dxa"/>
          </w:tcPr>
          <w:p w14:paraId="1136206E">
            <w:pPr>
              <w:widowControl/>
              <w:jc w:val="left"/>
              <w:textAlignment w:val="top"/>
              <w:rPr>
                <w:rFonts w:hint="eastAsia" w:eastAsia="@仿宋_GB2312"/>
                <w:color w:val="auto"/>
                <w:sz w:val="24"/>
                <w:szCs w:val="24"/>
                <w:highlight w:val="none"/>
                <w:lang w:eastAsia="zh-CN"/>
              </w:rPr>
            </w:pPr>
            <w:r>
              <w:rPr>
                <w:rFonts w:hint="eastAsia" w:ascii="Times New Roman" w:hAnsi="Times New Roman" w:eastAsia="宋体" w:cs="Times New Roman"/>
                <w:color w:val="auto"/>
                <w:kern w:val="0"/>
                <w:sz w:val="24"/>
                <w:szCs w:val="24"/>
                <w:highlight w:val="none"/>
                <w:lang w:eastAsia="zh-CN"/>
              </w:rPr>
              <w:t>合同签订且具备实施条件后，支付合同价的</w:t>
            </w:r>
            <w:r>
              <w:rPr>
                <w:rFonts w:hint="eastAsia" w:ascii="Times New Roman" w:hAnsi="Times New Roman" w:eastAsia="宋体" w:cs="Times New Roman"/>
                <w:color w:val="auto"/>
                <w:kern w:val="0"/>
                <w:sz w:val="24"/>
                <w:szCs w:val="24"/>
                <w:highlight w:val="none"/>
                <w:lang w:val="en-US" w:eastAsia="zh-CN"/>
              </w:rPr>
              <w:t>7</w:t>
            </w:r>
            <w:r>
              <w:rPr>
                <w:rFonts w:hint="eastAsia" w:ascii="Times New Roman" w:hAnsi="Times New Roman" w:eastAsia="宋体" w:cs="Times New Roman"/>
                <w:color w:val="auto"/>
                <w:kern w:val="0"/>
                <w:sz w:val="24"/>
                <w:szCs w:val="24"/>
                <w:highlight w:val="none"/>
                <w:lang w:eastAsia="zh-CN"/>
              </w:rPr>
              <w:t>0%预付款（预付款支付前，中标人须提供同等金额的见索即付保函），</w:t>
            </w:r>
            <w:r>
              <w:rPr>
                <w:rFonts w:hint="eastAsia" w:ascii="Times New Roman" w:hAnsi="Times New Roman" w:eastAsia="宋体" w:cs="Times New Roman"/>
                <w:color w:val="auto"/>
                <w:kern w:val="0"/>
                <w:sz w:val="24"/>
                <w:szCs w:val="24"/>
                <w:highlight w:val="none"/>
                <w:lang w:val="en-US" w:eastAsia="zh-CN"/>
              </w:rPr>
              <w:t>项目建设完成</w:t>
            </w:r>
            <w:r>
              <w:rPr>
                <w:rFonts w:hint="eastAsia" w:ascii="Times New Roman" w:hAnsi="Times New Roman" w:eastAsia="宋体" w:cs="Times New Roman"/>
                <w:color w:val="auto"/>
                <w:kern w:val="0"/>
                <w:sz w:val="24"/>
                <w:szCs w:val="24"/>
                <w:highlight w:val="none"/>
                <w:lang w:eastAsia="zh-CN"/>
              </w:rPr>
              <w:t>并经验收合格后，采购人支付剩余合同价款。</w:t>
            </w:r>
          </w:p>
        </w:tc>
      </w:tr>
      <w:tr w14:paraId="02D8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24159EBF">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szCs w:val="24"/>
                <w:highlight w:val="none"/>
              </w:rPr>
            </w:pPr>
            <w:r>
              <w:rPr>
                <w:rFonts w:hint="eastAsia" w:ascii="宋体" w:hAnsi="宋体" w:eastAsia="宋体"/>
                <w:bCs/>
                <w:color w:val="auto"/>
                <w:kern w:val="2"/>
                <w:szCs w:val="24"/>
                <w:highlight w:val="none"/>
              </w:rPr>
              <w:t>2</w:t>
            </w:r>
          </w:p>
        </w:tc>
        <w:tc>
          <w:tcPr>
            <w:tcW w:w="1925" w:type="dxa"/>
            <w:vAlign w:val="center"/>
          </w:tcPr>
          <w:p w14:paraId="6C77D974">
            <w:pPr>
              <w:pStyle w:val="44"/>
              <w:widowControl w:val="0"/>
              <w:spacing w:before="0" w:beforeAutospacing="0" w:after="0" w:afterAutospacing="0" w:line="360" w:lineRule="auto"/>
              <w:rPr>
                <w:rFonts w:ascii="宋体" w:hAnsi="宋体" w:eastAsia="宋体"/>
                <w:b w:val="0"/>
                <w:color w:val="auto"/>
                <w:sz w:val="24"/>
                <w:szCs w:val="24"/>
                <w:highlight w:val="none"/>
              </w:rPr>
            </w:pPr>
            <w:r>
              <w:rPr>
                <w:rFonts w:hint="eastAsia" w:ascii="宋体" w:hAnsi="宋体" w:eastAsia="宋体"/>
                <w:b w:val="0"/>
                <w:color w:val="auto"/>
                <w:sz w:val="24"/>
                <w:szCs w:val="24"/>
                <w:highlight w:val="none"/>
              </w:rPr>
              <w:t>服务地点</w:t>
            </w:r>
          </w:p>
        </w:tc>
        <w:tc>
          <w:tcPr>
            <w:tcW w:w="5672" w:type="dxa"/>
            <w:vAlign w:val="center"/>
          </w:tcPr>
          <w:p w14:paraId="4CDE2FB3">
            <w:pPr>
              <w:pStyle w:val="44"/>
              <w:widowControl w:val="0"/>
              <w:wordWrap w:val="0"/>
              <w:spacing w:before="0" w:beforeAutospacing="0" w:after="0" w:afterAutospacing="0" w:line="360" w:lineRule="auto"/>
              <w:jc w:val="both"/>
              <w:rPr>
                <w:rFonts w:ascii="宋体" w:hAnsi="宋体" w:eastAsia="宋体" w:cs="宋体"/>
                <w:b w:val="0"/>
                <w:bCs w:val="0"/>
                <w:color w:val="auto"/>
                <w:sz w:val="24"/>
                <w:szCs w:val="24"/>
                <w:highlight w:val="none"/>
                <w:lang w:bidi="ar"/>
              </w:rPr>
            </w:pPr>
            <w:r>
              <w:rPr>
                <w:rFonts w:hint="eastAsia" w:ascii="宋体" w:hAnsi="宋体" w:eastAsia="宋体" w:cs="宋体"/>
                <w:b w:val="0"/>
                <w:bCs w:val="0"/>
                <w:color w:val="auto"/>
                <w:sz w:val="24"/>
                <w:szCs w:val="24"/>
                <w:highlight w:val="none"/>
                <w:lang w:bidi="ar"/>
              </w:rPr>
              <w:t>采购人指定地点。</w:t>
            </w:r>
          </w:p>
        </w:tc>
      </w:tr>
      <w:tr w14:paraId="5EDE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1C6A7FD">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szCs w:val="24"/>
                <w:highlight w:val="none"/>
              </w:rPr>
            </w:pPr>
            <w:r>
              <w:rPr>
                <w:rFonts w:hint="eastAsia" w:ascii="宋体" w:hAnsi="宋体" w:eastAsia="宋体"/>
                <w:bCs/>
                <w:color w:val="auto"/>
                <w:kern w:val="2"/>
                <w:szCs w:val="24"/>
                <w:highlight w:val="none"/>
              </w:rPr>
              <w:t>3</w:t>
            </w:r>
          </w:p>
        </w:tc>
        <w:tc>
          <w:tcPr>
            <w:tcW w:w="1925" w:type="dxa"/>
            <w:vAlign w:val="center"/>
          </w:tcPr>
          <w:p w14:paraId="4D278587">
            <w:pPr>
              <w:pStyle w:val="44"/>
              <w:widowControl w:val="0"/>
              <w:spacing w:before="0" w:beforeAutospacing="0" w:after="0" w:afterAutospacing="0" w:line="360" w:lineRule="auto"/>
              <w:rPr>
                <w:rFonts w:ascii="宋体" w:hAnsi="宋体" w:eastAsia="宋体"/>
                <w:b w:val="0"/>
                <w:color w:val="auto"/>
                <w:sz w:val="24"/>
                <w:szCs w:val="24"/>
                <w:highlight w:val="none"/>
              </w:rPr>
            </w:pPr>
            <w:r>
              <w:rPr>
                <w:rFonts w:hint="eastAsia" w:ascii="宋体" w:hAnsi="宋体" w:eastAsia="宋体"/>
                <w:b w:val="0"/>
                <w:color w:val="auto"/>
                <w:sz w:val="24"/>
                <w:szCs w:val="24"/>
                <w:highlight w:val="none"/>
              </w:rPr>
              <w:t>服务期限</w:t>
            </w:r>
          </w:p>
        </w:tc>
        <w:tc>
          <w:tcPr>
            <w:tcW w:w="5672" w:type="dxa"/>
            <w:vAlign w:val="center"/>
          </w:tcPr>
          <w:p w14:paraId="003A7D1D">
            <w:pPr>
              <w:widowControl/>
              <w:jc w:val="left"/>
              <w:rPr>
                <w:rFonts w:hint="eastAsia" w:ascii="宋体" w:hAnsi="宋体" w:eastAsia="宋体" w:cs="宋体"/>
                <w:color w:val="auto"/>
                <w:kern w:val="0"/>
                <w:sz w:val="24"/>
                <w:szCs w:val="24"/>
                <w:highlight w:val="none"/>
                <w:lang w:eastAsia="zh-CN" w:bidi="ar"/>
              </w:rPr>
            </w:pPr>
            <w:r>
              <w:rPr>
                <w:rFonts w:hint="eastAsia" w:ascii="Times New Roman" w:hAnsi="Times New Roman" w:eastAsia="宋体" w:cs="Times New Roman"/>
                <w:color w:val="auto"/>
                <w:kern w:val="0"/>
                <w:sz w:val="24"/>
                <w:szCs w:val="24"/>
                <w:highlight w:val="none"/>
                <w:lang w:eastAsia="zh-CN"/>
              </w:rPr>
              <w:t>自合同签订生效后，接到采购人通知之日起</w:t>
            </w:r>
            <w:r>
              <w:rPr>
                <w:rFonts w:hint="eastAsia" w:ascii="Times New Roman" w:hAnsi="Times New Roman" w:eastAsia="宋体" w:cs="Times New Roman"/>
                <w:color w:val="auto"/>
                <w:kern w:val="0"/>
                <w:sz w:val="24"/>
                <w:szCs w:val="24"/>
                <w:highlight w:val="none"/>
                <w:lang w:val="en-US" w:eastAsia="zh-CN"/>
              </w:rPr>
              <w:t>45</w:t>
            </w:r>
            <w:r>
              <w:rPr>
                <w:rFonts w:hint="eastAsia" w:ascii="Times New Roman" w:hAnsi="Times New Roman" w:eastAsia="宋体" w:cs="Times New Roman"/>
                <w:color w:val="auto"/>
                <w:kern w:val="0"/>
                <w:sz w:val="24"/>
                <w:szCs w:val="24"/>
                <w:highlight w:val="none"/>
                <w:lang w:eastAsia="zh-CN"/>
              </w:rPr>
              <w:t>个日历天内完成建设工作，并验收合格交付使用。</w:t>
            </w:r>
          </w:p>
        </w:tc>
      </w:tr>
      <w:tr w14:paraId="787E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17C89F6E">
            <w:pPr>
              <w:pStyle w:val="45"/>
              <w:pBdr>
                <w:bottom w:val="none" w:color="auto" w:sz="0" w:space="0"/>
              </w:pBdr>
              <w:tabs>
                <w:tab w:val="clear" w:pos="4153"/>
                <w:tab w:val="clear" w:pos="8306"/>
              </w:tabs>
              <w:adjustRightInd/>
              <w:spacing w:line="240" w:lineRule="auto"/>
              <w:textAlignment w:val="auto"/>
              <w:rPr>
                <w:rFonts w:ascii="宋体" w:hAnsi="宋体" w:eastAsia="宋体"/>
                <w:bCs/>
                <w:color w:val="auto"/>
                <w:kern w:val="2"/>
                <w:szCs w:val="24"/>
                <w:highlight w:val="none"/>
              </w:rPr>
            </w:pPr>
            <w:r>
              <w:rPr>
                <w:rFonts w:hint="eastAsia" w:ascii="宋体" w:hAnsi="宋体" w:eastAsia="宋体"/>
                <w:bCs/>
                <w:color w:val="auto"/>
                <w:kern w:val="2"/>
                <w:szCs w:val="24"/>
                <w:highlight w:val="none"/>
              </w:rPr>
              <w:t>4</w:t>
            </w:r>
          </w:p>
        </w:tc>
        <w:tc>
          <w:tcPr>
            <w:tcW w:w="1925" w:type="dxa"/>
            <w:vAlign w:val="center"/>
          </w:tcPr>
          <w:p w14:paraId="0698F643">
            <w:pPr>
              <w:pStyle w:val="44"/>
              <w:widowControl w:val="0"/>
              <w:spacing w:before="0" w:beforeAutospacing="0" w:after="0" w:afterAutospacing="0" w:line="360" w:lineRule="auto"/>
              <w:rPr>
                <w:rFonts w:ascii="宋体" w:hAnsi="宋体" w:eastAsia="宋体"/>
                <w:b w:val="0"/>
                <w:color w:val="auto"/>
                <w:sz w:val="24"/>
                <w:szCs w:val="24"/>
                <w:highlight w:val="none"/>
              </w:rPr>
            </w:pPr>
            <w:r>
              <w:rPr>
                <w:rFonts w:hint="eastAsia" w:ascii="宋体" w:hAnsi="宋体" w:eastAsia="宋体"/>
                <w:b w:val="0"/>
                <w:color w:val="auto"/>
                <w:sz w:val="24"/>
                <w:szCs w:val="24"/>
                <w:highlight w:val="none"/>
              </w:rPr>
              <w:t>本项目采购标的名称及所属行业</w:t>
            </w:r>
          </w:p>
        </w:tc>
        <w:tc>
          <w:tcPr>
            <w:tcW w:w="5672" w:type="dxa"/>
            <w:vAlign w:val="center"/>
          </w:tcPr>
          <w:p w14:paraId="352C1DC4">
            <w:pPr>
              <w:widowControl/>
              <w:jc w:val="left"/>
              <w:rPr>
                <w:rFonts w:ascii="宋体" w:hAnsi="宋体" w:eastAsia="宋体" w:cs="宋体"/>
                <w:color w:val="auto"/>
                <w:kern w:val="0"/>
                <w:sz w:val="24"/>
                <w:szCs w:val="24"/>
                <w:highlight w:val="none"/>
                <w:lang w:bidi="ar"/>
              </w:rPr>
            </w:pPr>
            <w:r>
              <w:rPr>
                <w:rFonts w:ascii="Times New Roman" w:hAnsi="Times New Roman" w:eastAsia="宋体" w:cs="Times New Roman"/>
                <w:color w:val="auto"/>
                <w:kern w:val="0"/>
                <w:sz w:val="24"/>
                <w:szCs w:val="24"/>
                <w:highlight w:val="none"/>
              </w:rPr>
              <w:t>标的名称：</w:t>
            </w:r>
            <w:r>
              <w:rPr>
                <w:rFonts w:hint="eastAsia" w:ascii="Times New Roman" w:hAnsi="Times New Roman" w:eastAsia="宋体" w:cs="Times New Roman"/>
                <w:color w:val="auto"/>
                <w:kern w:val="0"/>
                <w:sz w:val="24"/>
                <w:szCs w:val="24"/>
                <w:highlight w:val="none"/>
                <w:lang w:eastAsia="zh-CN"/>
              </w:rPr>
              <w:t>安徽滁州技师学院信息化标杆校数据融合基座项目</w:t>
            </w:r>
            <w:r>
              <w:rPr>
                <w:rFonts w:ascii="Times New Roman" w:hAnsi="Times New Roman" w:eastAsia="宋体" w:cs="Times New Roman"/>
                <w:color w:val="auto"/>
                <w:kern w:val="0"/>
                <w:sz w:val="24"/>
                <w:szCs w:val="24"/>
                <w:highlight w:val="none"/>
              </w:rPr>
              <w:br w:type="textWrapping"/>
            </w:r>
            <w:r>
              <w:rPr>
                <w:rFonts w:ascii="Times New Roman" w:hAnsi="Times New Roman" w:eastAsia="宋体" w:cs="Times New Roman"/>
                <w:color w:val="auto"/>
                <w:kern w:val="0"/>
                <w:sz w:val="24"/>
                <w:szCs w:val="24"/>
                <w:highlight w:val="none"/>
              </w:rPr>
              <w:t>所属行业：</w:t>
            </w:r>
            <w:r>
              <w:rPr>
                <w:rFonts w:hint="eastAsia" w:ascii="宋体" w:hAnsi="宋体" w:eastAsia="宋体" w:cs="宋体"/>
                <w:b w:val="0"/>
                <w:bCs w:val="0"/>
                <w:color w:val="auto"/>
                <w:kern w:val="2"/>
                <w:sz w:val="24"/>
                <w:szCs w:val="24"/>
                <w:highlight w:val="none"/>
                <w:lang w:val="en-US" w:eastAsia="zh-CN" w:bidi="ar-SA"/>
              </w:rPr>
              <w:t>软件和信息技术服务业</w:t>
            </w:r>
          </w:p>
        </w:tc>
      </w:tr>
      <w:tr w14:paraId="1933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3E595780">
            <w:pPr>
              <w:pStyle w:val="45"/>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szCs w:val="24"/>
                <w:highlight w:val="none"/>
              </w:rPr>
            </w:pPr>
            <w:r>
              <w:rPr>
                <w:rFonts w:hint="eastAsia" w:ascii="宋体" w:hAnsi="宋体" w:eastAsia="宋体"/>
                <w:bCs/>
                <w:color w:val="auto"/>
                <w:kern w:val="2"/>
                <w:sz w:val="24"/>
                <w:szCs w:val="24"/>
                <w:highlight w:val="none"/>
                <w:lang w:val="en-US" w:eastAsia="zh-CN"/>
              </w:rPr>
              <w:t>5</w:t>
            </w:r>
          </w:p>
        </w:tc>
        <w:tc>
          <w:tcPr>
            <w:tcW w:w="1925" w:type="dxa"/>
            <w:vAlign w:val="center"/>
          </w:tcPr>
          <w:p w14:paraId="1F04D1FD">
            <w:pPr>
              <w:pStyle w:val="44"/>
              <w:widowControl w:val="0"/>
              <w:spacing w:before="0" w:beforeAutospacing="0" w:after="0" w:afterAutospacing="0" w:line="360" w:lineRule="auto"/>
              <w:rPr>
                <w:rFonts w:hint="eastAsia" w:ascii="宋体" w:hAnsi="宋体" w:eastAsia="宋体"/>
                <w:b w:val="0"/>
                <w:color w:val="auto"/>
                <w:sz w:val="24"/>
                <w:szCs w:val="24"/>
                <w:highlight w:val="none"/>
              </w:rPr>
            </w:pPr>
            <w:r>
              <w:rPr>
                <w:rFonts w:hint="eastAsia" w:ascii="宋体" w:hAnsi="宋体" w:eastAsia="宋体"/>
                <w:b w:val="0"/>
                <w:color w:val="auto"/>
                <w:sz w:val="24"/>
                <w:szCs w:val="24"/>
                <w:highlight w:val="none"/>
                <w:lang w:val="en-US" w:eastAsia="zh-CN"/>
              </w:rPr>
              <w:t>质保要求</w:t>
            </w:r>
          </w:p>
        </w:tc>
        <w:tc>
          <w:tcPr>
            <w:tcW w:w="5672" w:type="dxa"/>
            <w:vAlign w:val="center"/>
          </w:tcPr>
          <w:p w14:paraId="1C574814">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1.硬件整体质保不低于 3 年；软件整体质保不低于 5 年（自终验合格之日起算），质保期内免费提供 Bug 修复、安全补丁及版本升级。；</w:t>
            </w:r>
          </w:p>
          <w:p w14:paraId="24F1E76D">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2.产品的功能布局、栏目结构、UI 界面及交互流程，均须完全按照采购人提出的要求部署配置并随采购人要求调整，不得以任何理由拒绝、拖延、降低标准或另行收费。</w:t>
            </w:r>
          </w:p>
          <w:p w14:paraId="45629A99">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3.终验后须提供不少于2年的驻场服务，驻场技术人员不少于 1 人，驻场人员须具备本项目相关技术能力，接受采购人日常管理。</w:t>
            </w:r>
          </w:p>
          <w:p w14:paraId="2F864E37">
            <w:pPr>
              <w:pBdr>
                <w:top w:val="none" w:color="auto" w:sz="0" w:space="0"/>
                <w:left w:val="none" w:color="auto" w:sz="0" w:space="0"/>
                <w:bottom w:val="none" w:color="auto" w:sz="0" w:space="0"/>
                <w:right w:val="none" w:color="auto" w:sz="0" w:space="0"/>
              </w:pBdr>
              <w:spacing w:line="240" w:lineRule="auto"/>
              <w:textAlignment w:val="top"/>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4.终验后须提供不少于3 年的免费远程运维支持（含电话、邮件、远程桌面等）。第4年至投标人承诺的软件质保期内，仍须免费提供系统维护、Bug修复与安全补丁服务，远程响应及到场时限按本项目售后承诺评分中投标人自报的标准执行。</w:t>
            </w:r>
          </w:p>
          <w:p w14:paraId="34353C97">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.投标人须为本项目配备项目负责人1人，项目技术负责人1人，</w:t>
            </w:r>
            <w:r>
              <w:rPr>
                <w:rFonts w:hint="eastAsia" w:ascii="宋体" w:hAnsi="宋体" w:eastAsia="宋体" w:cs="宋体"/>
                <w:color w:val="auto"/>
                <w:kern w:val="0"/>
                <w:sz w:val="24"/>
                <w:szCs w:val="24"/>
                <w:highlight w:val="none"/>
                <w:lang w:val="en-US" w:eastAsia="zh-CN" w:bidi="ar"/>
              </w:rPr>
              <w:t>系统安全负责人1人</w:t>
            </w:r>
            <w:r>
              <w:rPr>
                <w:rFonts w:hint="eastAsia" w:ascii="宋体" w:hAnsi="宋体" w:eastAsia="宋体" w:cs="宋体"/>
                <w:color w:val="auto"/>
                <w:sz w:val="24"/>
                <w:szCs w:val="24"/>
                <w:highlight w:val="none"/>
                <w:lang w:eastAsia="zh-CN"/>
              </w:rPr>
              <w:t>且该项目负责人、技术负责人</w:t>
            </w:r>
            <w:r>
              <w:rPr>
                <w:rFonts w:hint="eastAsia" w:ascii="宋体" w:hAnsi="宋体" w:eastAsia="宋体" w:cs="宋体"/>
                <w:color w:val="auto"/>
                <w:sz w:val="24"/>
                <w:szCs w:val="24"/>
                <w:highlight w:val="none"/>
                <w:lang w:val="en-US" w:eastAsia="zh-CN"/>
              </w:rPr>
              <w:t>与</w:t>
            </w:r>
            <w:r>
              <w:rPr>
                <w:rFonts w:hint="eastAsia" w:ascii="宋体" w:hAnsi="宋体" w:eastAsia="宋体" w:cs="宋体"/>
                <w:color w:val="auto"/>
                <w:kern w:val="0"/>
                <w:sz w:val="24"/>
                <w:szCs w:val="24"/>
                <w:highlight w:val="none"/>
                <w:lang w:val="en-US" w:eastAsia="zh-CN" w:bidi="ar"/>
              </w:rPr>
              <w:t>安全负责人</w:t>
            </w:r>
            <w:r>
              <w:rPr>
                <w:rFonts w:hint="eastAsia" w:ascii="宋体" w:hAnsi="宋体" w:eastAsia="宋体" w:cs="宋体"/>
                <w:color w:val="auto"/>
                <w:sz w:val="24"/>
                <w:szCs w:val="24"/>
                <w:highlight w:val="none"/>
                <w:lang w:eastAsia="zh-CN"/>
              </w:rPr>
              <w:t>须提供人员劳动合同和缴纳社保证明（投标截止时间前三个月内任意一个月，投标人为其缴纳社保证明）</w:t>
            </w:r>
          </w:p>
        </w:tc>
      </w:tr>
      <w:tr w14:paraId="2143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2A48FD1F">
            <w:pPr>
              <w:pStyle w:val="45"/>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szCs w:val="24"/>
                <w:highlight w:val="none"/>
              </w:rPr>
            </w:pPr>
            <w:r>
              <w:rPr>
                <w:rFonts w:hint="eastAsia" w:ascii="宋体" w:hAnsi="宋体" w:eastAsia="宋体"/>
                <w:bCs/>
                <w:color w:val="auto"/>
                <w:kern w:val="2"/>
                <w:sz w:val="24"/>
                <w:szCs w:val="24"/>
                <w:highlight w:val="none"/>
                <w:lang w:val="en-US" w:eastAsia="zh-CN"/>
              </w:rPr>
              <w:t>6</w:t>
            </w:r>
          </w:p>
        </w:tc>
        <w:tc>
          <w:tcPr>
            <w:tcW w:w="1925" w:type="dxa"/>
            <w:vAlign w:val="center"/>
          </w:tcPr>
          <w:p w14:paraId="4734DB6C">
            <w:pPr>
              <w:pStyle w:val="44"/>
              <w:widowControl w:val="0"/>
              <w:spacing w:before="0" w:beforeAutospacing="0" w:after="0" w:afterAutospacing="0" w:line="360" w:lineRule="auto"/>
              <w:rPr>
                <w:rFonts w:hint="eastAsia" w:ascii="宋体" w:hAnsi="宋体" w:eastAsia="宋体"/>
                <w:b w:val="0"/>
                <w:color w:val="auto"/>
                <w:sz w:val="24"/>
                <w:szCs w:val="24"/>
                <w:highlight w:val="none"/>
              </w:rPr>
            </w:pPr>
            <w:r>
              <w:rPr>
                <w:rFonts w:hint="eastAsia" w:ascii="宋体" w:hAnsi="宋体" w:eastAsia="宋体"/>
                <w:b w:val="0"/>
                <w:color w:val="auto"/>
                <w:sz w:val="24"/>
                <w:szCs w:val="24"/>
                <w:highlight w:val="none"/>
                <w:lang w:val="en-US" w:eastAsia="zh-CN"/>
              </w:rPr>
              <w:t>系统性能要求</w:t>
            </w:r>
          </w:p>
        </w:tc>
        <w:tc>
          <w:tcPr>
            <w:tcW w:w="5672" w:type="dxa"/>
            <w:vAlign w:val="center"/>
          </w:tcPr>
          <w:p w14:paraId="3352A0FE">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系统保证不间断、稳定可靠运行，无计划外中断。</w:t>
            </w:r>
          </w:p>
          <w:p w14:paraId="06B78FE3">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普通页面响应时间，</w:t>
            </w:r>
            <w:r>
              <w:rPr>
                <w:rFonts w:hint="eastAsia" w:ascii="宋体" w:hAnsi="宋体" w:eastAsia="宋体" w:cs="宋体"/>
                <w:color w:val="auto"/>
                <w:sz w:val="24"/>
                <w:szCs w:val="24"/>
                <w:highlight w:val="none"/>
                <w:lang w:val="en-US" w:eastAsia="zh-CN"/>
              </w:rPr>
              <w:t>不超过</w:t>
            </w:r>
            <w:r>
              <w:rPr>
                <w:rFonts w:hint="eastAsia" w:ascii="宋体" w:hAnsi="宋体" w:eastAsia="宋体" w:cs="宋体"/>
                <w:color w:val="auto"/>
                <w:sz w:val="24"/>
                <w:szCs w:val="24"/>
                <w:highlight w:val="none"/>
                <w:lang w:eastAsia="zh-CN"/>
              </w:rPr>
              <w:t>1秒。</w:t>
            </w:r>
          </w:p>
          <w:p w14:paraId="4264F1AB">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查询页面响应时间，</w:t>
            </w:r>
            <w:r>
              <w:rPr>
                <w:rFonts w:hint="eastAsia" w:ascii="宋体" w:hAnsi="宋体" w:eastAsia="宋体" w:cs="宋体"/>
                <w:color w:val="auto"/>
                <w:sz w:val="24"/>
                <w:szCs w:val="24"/>
                <w:highlight w:val="none"/>
                <w:lang w:val="en-US" w:eastAsia="zh-CN"/>
              </w:rPr>
              <w:t>不超过</w:t>
            </w:r>
            <w:r>
              <w:rPr>
                <w:rFonts w:hint="eastAsia" w:ascii="宋体" w:hAnsi="宋体" w:eastAsia="宋体" w:cs="宋体"/>
                <w:color w:val="auto"/>
                <w:sz w:val="24"/>
                <w:szCs w:val="24"/>
                <w:highlight w:val="none"/>
                <w:lang w:eastAsia="zh-CN"/>
              </w:rPr>
              <w:t>2秒。</w:t>
            </w:r>
          </w:p>
          <w:p w14:paraId="6B7A0299">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后台数据批处理时间应在</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小时内完成。</w:t>
            </w:r>
          </w:p>
          <w:p w14:paraId="6A25A189">
            <w:pPr>
              <w:keepNext w:val="0"/>
              <w:keepLines w:val="0"/>
              <w:widowControl/>
              <w:suppressLineNumbers w:val="0"/>
              <w:pBdr>
                <w:top w:val="none" w:color="auto" w:sz="0" w:space="0"/>
                <w:left w:val="none" w:color="auto" w:sz="0" w:space="0"/>
                <w:bottom w:val="none" w:color="auto" w:sz="0" w:space="0"/>
                <w:right w:val="none" w:color="auto" w:sz="0" w:space="0"/>
              </w:pBdr>
              <w:jc w:val="left"/>
              <w:textAlignment w:val="top"/>
              <w:rPr>
                <w:rFonts w:ascii="Times New Roman" w:hAnsi="Times New Roman" w:eastAsia="宋体" w:cs="Times New Roman"/>
                <w:color w:val="auto"/>
                <w:kern w:val="0"/>
                <w:sz w:val="24"/>
                <w:szCs w:val="24"/>
                <w:highlight w:val="none"/>
              </w:rPr>
            </w:pPr>
            <w:r>
              <w:rPr>
                <w:rFonts w:hint="eastAsia" w:ascii="宋体" w:hAnsi="宋体" w:eastAsia="宋体" w:cs="宋体"/>
                <w:color w:val="auto"/>
                <w:sz w:val="24"/>
                <w:szCs w:val="24"/>
                <w:highlight w:val="none"/>
                <w:lang w:val="en-US" w:eastAsia="zh-CN"/>
              </w:rPr>
              <w:t>5.具备</w:t>
            </w:r>
            <w:r>
              <w:rPr>
                <w:rFonts w:hint="eastAsia" w:ascii="宋体" w:hAnsi="宋体" w:eastAsia="宋体" w:cs="宋体"/>
                <w:color w:val="auto"/>
                <w:sz w:val="24"/>
                <w:szCs w:val="24"/>
                <w:highlight w:val="none"/>
                <w:lang w:eastAsia="zh-CN"/>
              </w:rPr>
              <w:t>负载均衡、可扩展性。</w:t>
            </w:r>
          </w:p>
        </w:tc>
      </w:tr>
      <w:tr w14:paraId="647AF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EE129BC">
            <w:pPr>
              <w:pStyle w:val="45"/>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szCs w:val="24"/>
                <w:highlight w:val="none"/>
              </w:rPr>
            </w:pPr>
            <w:r>
              <w:rPr>
                <w:rFonts w:hint="eastAsia" w:ascii="宋体" w:hAnsi="宋体" w:eastAsia="宋体"/>
                <w:bCs/>
                <w:color w:val="auto"/>
                <w:kern w:val="2"/>
                <w:sz w:val="24"/>
                <w:szCs w:val="24"/>
                <w:highlight w:val="none"/>
                <w:lang w:val="en-US" w:eastAsia="zh-CN"/>
              </w:rPr>
              <w:t>7</w:t>
            </w:r>
          </w:p>
        </w:tc>
        <w:tc>
          <w:tcPr>
            <w:tcW w:w="1925" w:type="dxa"/>
            <w:vAlign w:val="center"/>
          </w:tcPr>
          <w:p w14:paraId="2EBC243D">
            <w:pPr>
              <w:pStyle w:val="44"/>
              <w:widowControl w:val="0"/>
              <w:spacing w:before="0" w:beforeAutospacing="0" w:after="0" w:afterAutospacing="0" w:line="360" w:lineRule="auto"/>
              <w:rPr>
                <w:rFonts w:hint="eastAsia" w:ascii="宋体" w:hAnsi="宋体" w:eastAsia="宋体"/>
                <w:b w:val="0"/>
                <w:color w:val="auto"/>
                <w:sz w:val="24"/>
                <w:szCs w:val="24"/>
                <w:highlight w:val="none"/>
              </w:rPr>
            </w:pPr>
            <w:r>
              <w:rPr>
                <w:rFonts w:hint="eastAsia" w:ascii="宋体" w:hAnsi="宋体" w:eastAsia="宋体"/>
                <w:b w:val="0"/>
                <w:color w:val="auto"/>
                <w:sz w:val="24"/>
                <w:szCs w:val="24"/>
                <w:highlight w:val="none"/>
                <w:lang w:val="en-US" w:eastAsia="zh-CN"/>
              </w:rPr>
              <w:t>系统扩展性要求</w:t>
            </w:r>
          </w:p>
        </w:tc>
        <w:tc>
          <w:tcPr>
            <w:tcW w:w="5672" w:type="dxa"/>
            <w:vAlign w:val="center"/>
          </w:tcPr>
          <w:p w14:paraId="76A34C5A">
            <w:pPr>
              <w:keepNext w:val="0"/>
              <w:keepLines w:val="0"/>
              <w:widowControl/>
              <w:suppressLineNumbers w:val="0"/>
              <w:spacing w:line="360" w:lineRule="exact"/>
              <w:jc w:val="left"/>
              <w:textAlignment w:val="auto"/>
              <w:rPr>
                <w:rFonts w:ascii="Times New Roman" w:hAnsi="Times New Roman" w:eastAsia="宋体" w:cs="Times New Roman"/>
                <w:color w:val="auto"/>
                <w:kern w:val="0"/>
                <w:sz w:val="24"/>
                <w:szCs w:val="24"/>
                <w:highlight w:val="none"/>
              </w:rPr>
            </w:pPr>
            <w:r>
              <w:rPr>
                <w:rFonts w:hint="eastAsia" w:ascii="宋体" w:hAnsi="宋体" w:eastAsia="宋体" w:cs="宋体"/>
                <w:color w:val="auto"/>
                <w:sz w:val="24"/>
                <w:szCs w:val="24"/>
                <w:highlight w:val="none"/>
                <w:lang w:eastAsia="zh-CN"/>
              </w:rPr>
              <w:t>系统完全采用模块化的设计框架，模块之间遵循高内聚、低耦合的设计原则，具有灵活方便的添加新模块和变更模块的功能。</w:t>
            </w:r>
          </w:p>
        </w:tc>
      </w:tr>
      <w:tr w14:paraId="23F1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346814F8">
            <w:pPr>
              <w:pStyle w:val="45"/>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szCs w:val="24"/>
                <w:highlight w:val="none"/>
              </w:rPr>
            </w:pPr>
            <w:r>
              <w:rPr>
                <w:rFonts w:hint="eastAsia" w:ascii="宋体" w:hAnsi="宋体" w:eastAsia="宋体"/>
                <w:bCs/>
                <w:color w:val="auto"/>
                <w:kern w:val="2"/>
                <w:sz w:val="24"/>
                <w:szCs w:val="24"/>
                <w:highlight w:val="none"/>
                <w:lang w:val="en-US" w:eastAsia="zh-CN"/>
              </w:rPr>
              <w:t>8</w:t>
            </w:r>
          </w:p>
        </w:tc>
        <w:tc>
          <w:tcPr>
            <w:tcW w:w="1925" w:type="dxa"/>
            <w:vAlign w:val="center"/>
          </w:tcPr>
          <w:p w14:paraId="253142D2">
            <w:pPr>
              <w:spacing w:line="360" w:lineRule="exact"/>
              <w:jc w:val="center"/>
              <w:rPr>
                <w:rFonts w:hint="eastAsia" w:ascii="宋体" w:hAnsi="宋体" w:eastAsia="宋体"/>
                <w:b w:val="0"/>
                <w:color w:val="auto"/>
                <w:sz w:val="24"/>
                <w:szCs w:val="24"/>
                <w:highlight w:val="none"/>
              </w:rPr>
            </w:pPr>
            <w:r>
              <w:rPr>
                <w:rFonts w:hint="eastAsia" w:ascii="宋体" w:hAnsi="宋体" w:eastAsia="宋体" w:cs="Arial"/>
                <w:b w:val="0"/>
                <w:bCs/>
                <w:snapToGrid w:val="0"/>
                <w:color w:val="auto"/>
                <w:kern w:val="0"/>
                <w:sz w:val="24"/>
                <w:szCs w:val="24"/>
                <w:highlight w:val="none"/>
                <w:lang w:val="en-US" w:eastAsia="zh-CN" w:bidi="ar-SA"/>
              </w:rPr>
              <w:t>系统运行环境与兼容性要求</w:t>
            </w:r>
          </w:p>
        </w:tc>
        <w:tc>
          <w:tcPr>
            <w:tcW w:w="5672" w:type="dxa"/>
            <w:vAlign w:val="center"/>
          </w:tcPr>
          <w:p w14:paraId="0641DFC5">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1.除OA系统外，本次新建所有系统必须满足国家信创要求，完成对国产CPU（飞腾/鲲鹏/龙芯/海光/兆芯等主流架构）、国产操作系统（银河麒麟、统信UOS等）、国产数据库及国产中间件的适配。</w:t>
            </w:r>
          </w:p>
          <w:p w14:paraId="5E2BD7F1">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2.信创系统的浏览器兼容要求：在信创环境下须兼容至少2款主流国产浏览器（如红莲花、奇安信、360信创、UOS浏览器等）；同时在通用环境下须兼容Chrome、Edge、Firefox中至少2款主流浏览器的最新两个正式大版本。</w:t>
            </w:r>
          </w:p>
          <w:p w14:paraId="4D87F8DF">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3.OA系统（信创豁免）的兼容要求：服务端须兼容WindowsServer及主流Linux发行版；客户端浏览器须兼容Chrome、Edge、Firefox、360极速浏览器中至少3款，并视业务需要兼容IE11及以上版本。</w:t>
            </w:r>
          </w:p>
          <w:p w14:paraId="63EEC882">
            <w:pPr>
              <w:pBdr>
                <w:top w:val="none" w:color="auto" w:sz="0" w:space="0"/>
                <w:left w:val="none" w:color="auto" w:sz="0" w:space="0"/>
                <w:bottom w:val="none" w:color="auto" w:sz="0" w:space="0"/>
                <w:right w:val="none" w:color="auto" w:sz="0" w:space="0"/>
              </w:pBdr>
              <w:spacing w:line="240" w:lineRule="auto"/>
              <w:textAlignment w:val="top"/>
              <w:rPr>
                <w:rFonts w:ascii="Times New Roman" w:hAnsi="Times New Roman" w:eastAsia="宋体" w:cs="Times New Roman"/>
                <w:color w:val="auto"/>
                <w:kern w:val="0"/>
                <w:sz w:val="24"/>
                <w:szCs w:val="24"/>
                <w:highlight w:val="none"/>
              </w:rPr>
            </w:pPr>
            <w:r>
              <w:rPr>
                <w:rFonts w:hint="eastAsia" w:ascii="宋体" w:hAnsi="宋体" w:eastAsia="宋体" w:cs="宋体"/>
                <w:color w:val="auto"/>
                <w:sz w:val="24"/>
                <w:szCs w:val="24"/>
                <w:highlight w:val="none"/>
                <w:lang w:eastAsia="zh-CN"/>
              </w:rPr>
              <w:t>4.上述所有系统的B/S架构页面须遵循响应式设计，在主流分辨率（1366×768及以上）下正常显示。</w:t>
            </w:r>
          </w:p>
        </w:tc>
      </w:tr>
      <w:tr w14:paraId="6EE2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5C084744">
            <w:pPr>
              <w:pStyle w:val="45"/>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szCs w:val="24"/>
                <w:highlight w:val="none"/>
              </w:rPr>
            </w:pPr>
            <w:r>
              <w:rPr>
                <w:rFonts w:hint="eastAsia" w:ascii="宋体" w:hAnsi="宋体" w:eastAsia="宋体"/>
                <w:bCs/>
                <w:color w:val="auto"/>
                <w:kern w:val="2"/>
                <w:sz w:val="24"/>
                <w:szCs w:val="24"/>
                <w:highlight w:val="none"/>
                <w:lang w:val="en-US" w:eastAsia="zh-CN"/>
              </w:rPr>
              <w:t>9</w:t>
            </w:r>
          </w:p>
        </w:tc>
        <w:tc>
          <w:tcPr>
            <w:tcW w:w="1925" w:type="dxa"/>
            <w:vAlign w:val="center"/>
          </w:tcPr>
          <w:p w14:paraId="0B1A0514">
            <w:pPr>
              <w:spacing w:line="360" w:lineRule="exact"/>
              <w:jc w:val="center"/>
              <w:rPr>
                <w:rFonts w:hint="eastAsia" w:ascii="宋体" w:hAnsi="宋体" w:eastAsia="宋体"/>
                <w:b w:val="0"/>
                <w:color w:val="auto"/>
                <w:sz w:val="24"/>
                <w:szCs w:val="24"/>
                <w:highlight w:val="none"/>
              </w:rPr>
            </w:pPr>
            <w:r>
              <w:rPr>
                <w:rFonts w:hint="eastAsia" w:ascii="宋体" w:hAnsi="宋体" w:eastAsia="宋体" w:cs="Arial"/>
                <w:b w:val="0"/>
                <w:bCs/>
                <w:snapToGrid w:val="0"/>
                <w:color w:val="auto"/>
                <w:kern w:val="0"/>
                <w:sz w:val="24"/>
                <w:szCs w:val="24"/>
                <w:highlight w:val="none"/>
                <w:lang w:val="en-US" w:eastAsia="zh-CN" w:bidi="ar-SA"/>
              </w:rPr>
              <w:t>系统安全性要求</w:t>
            </w:r>
          </w:p>
        </w:tc>
        <w:tc>
          <w:tcPr>
            <w:tcW w:w="5672" w:type="dxa"/>
            <w:vAlign w:val="center"/>
          </w:tcPr>
          <w:p w14:paraId="4227FFBA">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提供安全手段防止非授权用户的非法侵入、攻击，避免操作人员的越级操作。</w:t>
            </w:r>
          </w:p>
          <w:p w14:paraId="399551FA">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软件自身具备网页防篡改、防注入式攻击、脚本过滤、防口令猜测、IP地址访问控制等安全措施。</w:t>
            </w:r>
          </w:p>
          <w:p w14:paraId="4B755552">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采用分级管理模式，对不同级别用户的操作权限和数据访问范围有严格的限制，系统管理员可以根据学校情况灵活设置安全策略。</w:t>
            </w:r>
          </w:p>
          <w:p w14:paraId="30A8D575">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具备容灾能力，根据学校特点能够记录系统访问日志及操作日志，备份和恢复系统数据，保证系统安全稳定运行。</w:t>
            </w:r>
          </w:p>
          <w:p w14:paraId="4C6891F4">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对敏感性数据进行加密保存，需支持标准主流加密算法，对安全性要求特别高的数据需进行物理隔离。</w:t>
            </w:r>
          </w:p>
          <w:p w14:paraId="27C82626">
            <w:pPr>
              <w:keepNext w:val="0"/>
              <w:keepLines w:val="0"/>
              <w:pageBreakBefore w:val="0"/>
              <w:widowControl w:val="0"/>
              <w:kinsoku/>
              <w:wordWrap/>
              <w:overflowPunct/>
              <w:topLinePunct w:val="0"/>
              <w:autoSpaceDE/>
              <w:autoSpaceDN/>
              <w:bidi w:val="0"/>
              <w:adjustRightInd/>
              <w:snapToGrid/>
              <w:spacing w:line="240" w:lineRule="auto"/>
              <w:rPr>
                <w:rFonts w:hint="default"/>
                <w:color w:val="auto"/>
                <w:highlight w:val="none"/>
                <w:lang w:val="en-US"/>
              </w:rPr>
            </w:pPr>
            <w:r>
              <w:rPr>
                <w:rFonts w:hint="eastAsia" w:ascii="宋体" w:hAnsi="宋体" w:eastAsia="宋体" w:cs="宋体"/>
                <w:i w:val="0"/>
                <w:iCs w:val="0"/>
                <w:color w:val="auto"/>
                <w:kern w:val="0"/>
                <w:sz w:val="24"/>
                <w:szCs w:val="24"/>
                <w:highlight w:val="none"/>
                <w:u w:val="none"/>
                <w:lang w:val="en-US" w:eastAsia="zh-CN" w:bidi="ar"/>
              </w:rPr>
              <w:t>6.本次新建所有系统均需要通过二级等保测评，确保学生个人信息、缴费数据、财务数据等敏感信息安全可控，防止数据泄露、丢失或篡改，测评费用由投标人支付。</w:t>
            </w:r>
          </w:p>
        </w:tc>
      </w:tr>
      <w:tr w14:paraId="7FFC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24C70167">
            <w:pPr>
              <w:pStyle w:val="45"/>
              <w:pBdr>
                <w:bottom w:val="none" w:color="auto" w:sz="0" w:space="0"/>
              </w:pBdr>
              <w:tabs>
                <w:tab w:val="clear" w:pos="4153"/>
                <w:tab w:val="clear" w:pos="8306"/>
              </w:tabs>
              <w:adjustRightInd/>
              <w:spacing w:line="240" w:lineRule="auto"/>
              <w:jc w:val="center"/>
              <w:textAlignment w:val="auto"/>
              <w:rPr>
                <w:rFonts w:hint="default" w:ascii="宋体" w:hAnsi="宋体" w:eastAsia="宋体"/>
                <w:bCs/>
                <w:color w:val="auto"/>
                <w:kern w:val="2"/>
                <w:szCs w:val="24"/>
                <w:highlight w:val="none"/>
                <w:lang w:val="en-US"/>
              </w:rPr>
            </w:pPr>
            <w:r>
              <w:rPr>
                <w:rFonts w:hint="eastAsia" w:ascii="宋体" w:hAnsi="宋体" w:eastAsia="宋体"/>
                <w:bCs/>
                <w:color w:val="auto"/>
                <w:kern w:val="2"/>
                <w:sz w:val="24"/>
                <w:szCs w:val="24"/>
                <w:highlight w:val="none"/>
                <w:lang w:val="en-US" w:eastAsia="zh-CN"/>
              </w:rPr>
              <w:t>10</w:t>
            </w:r>
          </w:p>
        </w:tc>
        <w:tc>
          <w:tcPr>
            <w:tcW w:w="1925" w:type="dxa"/>
            <w:vAlign w:val="center"/>
          </w:tcPr>
          <w:p w14:paraId="146E2E33">
            <w:pPr>
              <w:spacing w:line="360" w:lineRule="exact"/>
              <w:jc w:val="center"/>
              <w:rPr>
                <w:rFonts w:hint="eastAsia" w:ascii="宋体" w:hAnsi="宋体" w:eastAsia="宋体"/>
                <w:b w:val="0"/>
                <w:color w:val="auto"/>
                <w:sz w:val="24"/>
                <w:szCs w:val="24"/>
                <w:highlight w:val="none"/>
              </w:rPr>
            </w:pPr>
            <w:r>
              <w:rPr>
                <w:rFonts w:hint="eastAsia" w:ascii="宋体" w:hAnsi="宋体" w:eastAsia="宋体" w:cs="Arial"/>
                <w:b w:val="0"/>
                <w:bCs/>
                <w:snapToGrid w:val="0"/>
                <w:color w:val="auto"/>
                <w:kern w:val="0"/>
                <w:sz w:val="24"/>
                <w:szCs w:val="24"/>
                <w:highlight w:val="none"/>
                <w:lang w:val="en-US" w:eastAsia="zh-CN" w:bidi="ar-SA"/>
              </w:rPr>
              <w:t>系统维护性要求</w:t>
            </w:r>
          </w:p>
        </w:tc>
        <w:tc>
          <w:tcPr>
            <w:tcW w:w="5672" w:type="dxa"/>
            <w:vAlign w:val="center"/>
          </w:tcPr>
          <w:p w14:paraId="3BF8B2D2">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仿宋" w:hAnsi="仿宋" w:eastAsia="仿宋" w:cs="仿宋"/>
                <w:color w:val="auto"/>
                <w:szCs w:val="21"/>
                <w:highlight w:val="none"/>
                <w:lang w:val="en-US" w:eastAsia="zh-CN"/>
              </w:rPr>
              <w:t>1.</w:t>
            </w:r>
            <w:r>
              <w:rPr>
                <w:rFonts w:hint="eastAsia" w:ascii="宋体" w:hAnsi="宋体" w:eastAsia="宋体" w:cs="宋体"/>
                <w:color w:val="auto"/>
                <w:sz w:val="24"/>
                <w:szCs w:val="24"/>
                <w:highlight w:val="none"/>
                <w:lang w:eastAsia="zh-CN"/>
              </w:rPr>
              <w:t>系统为管理员提供丰富的系统设置和维护功能，包括用户和权限设置、字段维护、代码表维护、日志监控、数据批量处理等等，让管理员在办公室就可以对系统进行各项日常维护工作。</w:t>
            </w:r>
          </w:p>
          <w:p w14:paraId="1A9C14AA">
            <w:pPr>
              <w:pBdr>
                <w:top w:val="none" w:color="auto" w:sz="0" w:space="0"/>
                <w:left w:val="none" w:color="auto" w:sz="0" w:space="0"/>
                <w:bottom w:val="none" w:color="auto" w:sz="0" w:space="0"/>
                <w:right w:val="none" w:color="auto" w:sz="0" w:space="0"/>
              </w:pBdr>
              <w:spacing w:line="240" w:lineRule="auto"/>
              <w:textAlignment w:val="top"/>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系统升级和日常维护只需要在服务器进行即可。</w:t>
            </w:r>
          </w:p>
          <w:p w14:paraId="01EE5DC4">
            <w:pPr>
              <w:pBdr>
                <w:top w:val="none" w:color="auto" w:sz="0" w:space="0"/>
                <w:left w:val="none" w:color="auto" w:sz="0" w:space="0"/>
                <w:bottom w:val="none" w:color="auto" w:sz="0" w:space="0"/>
                <w:right w:val="none" w:color="auto" w:sz="0" w:space="0"/>
              </w:pBdr>
              <w:spacing w:line="240" w:lineRule="auto"/>
              <w:textAlignment w:val="top"/>
              <w:rPr>
                <w:rFonts w:ascii="Times New Roman" w:hAnsi="Times New Roman" w:eastAsia="宋体" w:cs="Times New Roman"/>
                <w:color w:val="auto"/>
                <w:kern w:val="0"/>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系统出现异常时，需支持全天电话，需支持</w:t>
            </w:r>
            <w:r>
              <w:rPr>
                <w:rFonts w:hint="eastAsia" w:ascii="宋体" w:hAnsi="宋体" w:eastAsia="宋体" w:cs="宋体"/>
                <w:color w:val="auto"/>
                <w:sz w:val="24"/>
                <w:szCs w:val="24"/>
                <w:highlight w:val="none"/>
                <w:lang w:val="en-US" w:eastAsia="zh-CN"/>
              </w:rPr>
              <w:t>48</w:t>
            </w:r>
            <w:r>
              <w:rPr>
                <w:rFonts w:hint="eastAsia" w:ascii="宋体" w:hAnsi="宋体" w:eastAsia="宋体" w:cs="宋体"/>
                <w:color w:val="auto"/>
                <w:sz w:val="24"/>
                <w:szCs w:val="24"/>
                <w:highlight w:val="none"/>
                <w:lang w:eastAsia="zh-CN"/>
              </w:rPr>
              <w:t>小时内到达现场提供服务。</w:t>
            </w:r>
          </w:p>
        </w:tc>
      </w:tr>
      <w:tr w14:paraId="03FF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611AB985">
            <w:pPr>
              <w:pStyle w:val="45"/>
              <w:pBdr>
                <w:bottom w:val="none" w:color="auto" w:sz="0" w:space="0"/>
              </w:pBdr>
              <w:tabs>
                <w:tab w:val="clear" w:pos="4153"/>
                <w:tab w:val="clear" w:pos="8306"/>
              </w:tabs>
              <w:adjustRightInd/>
              <w:spacing w:line="240" w:lineRule="auto"/>
              <w:jc w:val="center"/>
              <w:textAlignment w:val="auto"/>
              <w:rPr>
                <w:rFonts w:hint="default" w:ascii="宋体" w:hAnsi="宋体" w:eastAsia="宋体"/>
                <w:bCs/>
                <w:color w:val="auto"/>
                <w:kern w:val="2"/>
                <w:szCs w:val="24"/>
                <w:highlight w:val="none"/>
                <w:lang w:val="en-US"/>
              </w:rPr>
            </w:pPr>
            <w:r>
              <w:rPr>
                <w:rFonts w:hint="eastAsia" w:ascii="宋体" w:hAnsi="宋体" w:eastAsia="宋体"/>
                <w:bCs/>
                <w:color w:val="auto"/>
                <w:kern w:val="2"/>
                <w:sz w:val="24"/>
                <w:szCs w:val="24"/>
                <w:highlight w:val="none"/>
                <w:lang w:val="en-US" w:eastAsia="zh-CN"/>
              </w:rPr>
              <w:t>11</w:t>
            </w:r>
          </w:p>
        </w:tc>
        <w:tc>
          <w:tcPr>
            <w:tcW w:w="1925" w:type="dxa"/>
            <w:vAlign w:val="center"/>
          </w:tcPr>
          <w:p w14:paraId="720A89C9">
            <w:pPr>
              <w:spacing w:line="360" w:lineRule="exact"/>
              <w:jc w:val="center"/>
              <w:rPr>
                <w:rFonts w:hint="eastAsia" w:ascii="宋体" w:hAnsi="宋体" w:eastAsia="宋体"/>
                <w:b w:val="0"/>
                <w:color w:val="auto"/>
                <w:sz w:val="24"/>
                <w:szCs w:val="24"/>
                <w:highlight w:val="none"/>
              </w:rPr>
            </w:pPr>
            <w:r>
              <w:rPr>
                <w:rFonts w:hint="eastAsia" w:ascii="宋体" w:hAnsi="宋体" w:eastAsia="宋体" w:cs="Arial"/>
                <w:b w:val="0"/>
                <w:bCs/>
                <w:snapToGrid w:val="0"/>
                <w:color w:val="auto"/>
                <w:kern w:val="0"/>
                <w:sz w:val="24"/>
                <w:szCs w:val="24"/>
                <w:highlight w:val="none"/>
                <w:lang w:val="en-US" w:eastAsia="zh-CN" w:bidi="ar-SA"/>
              </w:rPr>
              <w:t>系统对接要求</w:t>
            </w:r>
          </w:p>
        </w:tc>
        <w:tc>
          <w:tcPr>
            <w:tcW w:w="5672" w:type="dxa"/>
            <w:vAlign w:val="center"/>
          </w:tcPr>
          <w:p w14:paraId="57022356">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一、总体要求</w:t>
            </w:r>
          </w:p>
          <w:p w14:paraId="34600101">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数据中台承担各业务系统数据汇聚、清洗、治理与共享职能，严禁中台直接写入业务系统数据库，不替代原有业务系统功能。</w:t>
            </w:r>
          </w:p>
          <w:p w14:paraId="7C28D87E">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遵循一数一源原则，明确各类主数据权威来源系统，采用松耦合架构对接，降低对源业务系统运行的影响。</w:t>
            </w:r>
          </w:p>
          <w:p w14:paraId="0DFB8392">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各接入系统须遵循校级统一数据标准与规范。本项目实施阶段，中标人须配合采购人完成校级数据标准与规范的编制工作（包括但不限于数据元定义、编码规则、接口规范、数据交换格式等），经采购人确认后执行；存量系统须按该标准完成适配改造，实现全面接入</w:t>
            </w:r>
            <w:r>
              <w:rPr>
                <w:rFonts w:hint="eastAsia" w:ascii="Times New Roman" w:hAnsi="Times New Roman" w:eastAsia="宋体" w:cs="Times New Roman"/>
                <w:color w:val="auto"/>
                <w:kern w:val="0"/>
                <w:sz w:val="24"/>
                <w:szCs w:val="24"/>
                <w:highlight w:val="none"/>
                <w:lang w:eastAsia="zh-CN"/>
              </w:rPr>
              <w:t>，相关适配改造费用已包含在项目总报价中，中标人不得另行收取任何费用</w:t>
            </w:r>
            <w:r>
              <w:rPr>
                <w:rFonts w:hint="eastAsia" w:ascii="Times New Roman" w:hAnsi="Times New Roman" w:eastAsia="宋体" w:cs="Times New Roman"/>
                <w:color w:val="auto"/>
                <w:kern w:val="0"/>
                <w:sz w:val="24"/>
                <w:szCs w:val="24"/>
                <w:highlight w:val="none"/>
              </w:rPr>
              <w:t>；在本项目质保期内，采购人新建的涉及后勤管理、行政服务、办公协同、</w:t>
            </w:r>
            <w:r>
              <w:rPr>
                <w:rFonts w:hint="eastAsia" w:ascii="Times New Roman" w:hAnsi="Times New Roman" w:eastAsia="宋体" w:cs="Times New Roman"/>
                <w:color w:val="auto"/>
                <w:kern w:val="0"/>
                <w:sz w:val="24"/>
                <w:szCs w:val="24"/>
                <w:highlight w:val="none"/>
                <w:lang w:val="en-US" w:eastAsia="zh-CN"/>
              </w:rPr>
              <w:t>学生管理、</w:t>
            </w:r>
            <w:r>
              <w:rPr>
                <w:rFonts w:hint="eastAsia" w:ascii="Times New Roman" w:hAnsi="Times New Roman" w:eastAsia="宋体" w:cs="Times New Roman"/>
                <w:color w:val="auto"/>
                <w:kern w:val="0"/>
                <w:sz w:val="24"/>
                <w:szCs w:val="24"/>
                <w:highlight w:val="none"/>
              </w:rPr>
              <w:t>教学管理、</w:t>
            </w:r>
            <w:r>
              <w:rPr>
                <w:rFonts w:hint="eastAsia" w:ascii="Times New Roman" w:hAnsi="Times New Roman" w:eastAsia="宋体" w:cs="Times New Roman"/>
                <w:color w:val="auto"/>
                <w:kern w:val="0"/>
                <w:sz w:val="24"/>
                <w:szCs w:val="24"/>
                <w:highlight w:val="none"/>
                <w:lang w:val="en-US" w:eastAsia="zh-CN"/>
              </w:rPr>
              <w:t>财务管理、人事管理、</w:t>
            </w:r>
            <w:r>
              <w:rPr>
                <w:rFonts w:hint="eastAsia" w:ascii="Times New Roman" w:hAnsi="Times New Roman" w:eastAsia="宋体" w:cs="Times New Roman"/>
                <w:color w:val="auto"/>
                <w:kern w:val="0"/>
                <w:sz w:val="24"/>
                <w:szCs w:val="24"/>
                <w:highlight w:val="none"/>
              </w:rPr>
              <w:t>资产管理等方面的系统，中标人须无条件提供接入配合服务，包括但不限于开发适配接口、数据映射、联调测试等相关工作，相关费用亦已包含在项目总报价中</w:t>
            </w:r>
            <w:r>
              <w:rPr>
                <w:rFonts w:hint="eastAsia"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rPr>
              <w:t>不得另行收取。</w:t>
            </w:r>
          </w:p>
          <w:p w14:paraId="79F998A9">
            <w:pPr>
              <w:spacing w:line="240" w:lineRule="auto"/>
              <w:rPr>
                <w:rFonts w:hint="default" w:ascii="Times New Roman" w:hAnsi="Times New Roman" w:eastAsia="宋体" w:cs="Times New Roman"/>
                <w:color w:val="auto"/>
                <w:kern w:val="0"/>
                <w:sz w:val="24"/>
                <w:szCs w:val="24"/>
                <w:highlight w:val="none"/>
                <w:lang w:val="en-US" w:eastAsia="zh-CN"/>
              </w:rPr>
            </w:pPr>
            <w:r>
              <w:rPr>
                <w:rFonts w:ascii="宋体" w:hAnsi="宋体" w:eastAsia="宋体" w:cs="宋体"/>
                <w:color w:val="auto"/>
                <w:sz w:val="24"/>
                <w:szCs w:val="24"/>
                <w:highlight w:val="none"/>
              </w:rPr>
              <w:t>存量系统适配改造范围详见附件</w:t>
            </w:r>
            <w:r>
              <w:rPr>
                <w:rFonts w:hint="eastAsia" w:ascii="宋体" w:hAnsi="宋体" w:eastAsia="宋体" w:cs="宋体"/>
                <w:color w:val="auto"/>
                <w:sz w:val="24"/>
                <w:szCs w:val="24"/>
                <w:highlight w:val="none"/>
                <w:lang w:val="en-US" w:eastAsia="zh-CN"/>
              </w:rPr>
              <w:t>采购需求前附表12</w:t>
            </w:r>
            <w:r>
              <w:rPr>
                <w:rFonts w:ascii="宋体" w:hAnsi="宋体" w:eastAsia="宋体" w:cs="宋体"/>
                <w:color w:val="auto"/>
                <w:sz w:val="24"/>
                <w:szCs w:val="24"/>
                <w:highlight w:val="none"/>
              </w:rPr>
              <w:t>，中标人须按清单逐套完成接入，不得以系统原厂商不配合、无接口文档等理由拒绝或加价。</w:t>
            </w:r>
          </w:p>
          <w:p w14:paraId="2DD524DA">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 数据共享坚持按需开放、最小权限，所有数据操作可审计、可追溯。</w:t>
            </w:r>
          </w:p>
          <w:p w14:paraId="365F1C0C">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5. 业务系统版本升级、接口及表结构变更，应提前告知中台并完成联调验证。</w:t>
            </w:r>
          </w:p>
          <w:p w14:paraId="7DBDAD65">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二、接入方式要求</w:t>
            </w:r>
          </w:p>
          <w:p w14:paraId="3DA64620">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可根据业务系统实际情况选择适配的接入方式：</w:t>
            </w:r>
          </w:p>
          <w:p w14:paraId="1C1CC9A2">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接口服务方式：业务系统提供标准化访问接口，支持增量数据获取。</w:t>
            </w:r>
          </w:p>
          <w:p w14:paraId="2D35DB57">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消息推送方式：适用于高频事件类数据，由业务系统推送数据变更信息。</w:t>
            </w:r>
          </w:p>
          <w:p w14:paraId="5B35DE2D">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数据库增量抽取方式：仅限无接口能力的存量系统使用，仅开放只读权限，采用增量采集机制，禁止执行写操作。</w:t>
            </w:r>
          </w:p>
          <w:p w14:paraId="7C7C91A4">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 文件导入仅作为临时过渡方式，不用于常态化数据同步。</w:t>
            </w:r>
          </w:p>
          <w:p w14:paraId="72C47061">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三、数据同步要求</w:t>
            </w:r>
          </w:p>
          <w:p w14:paraId="0CACF339">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支持全量基线同步与增量同步，日常运行优先采用增量同步，识别数据新增、修改、失效状态；业务系统宜采用逻辑删除标记数据失效。</w:t>
            </w:r>
          </w:p>
          <w:p w14:paraId="3DD507C3">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按业务场景配置同步时效，满足基础主数据、事件类数据、统计类数据的不同同步周期需求。</w:t>
            </w:r>
          </w:p>
          <w:p w14:paraId="4093A8AD">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具备失败重试、断点续传能力；源系统停机期间同步任务可暂停，系统恢复后补传增量数据。</w:t>
            </w:r>
          </w:p>
          <w:p w14:paraId="18B9503F">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 支持批量与实时数据协同处理，支撑批流融合分析场景。</w:t>
            </w:r>
          </w:p>
          <w:p w14:paraId="4DF46724">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四、数据与接口规范要求</w:t>
            </w:r>
          </w:p>
          <w:p w14:paraId="6BC9A0EF">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接口通信采用加密传输，具备身份鉴权机制，大数据量查询支持分页。</w:t>
            </w:r>
          </w:p>
          <w:p w14:paraId="0F8622C0">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时间字段统一采用北京时间，字符编码为 UTF-8；人员、组织机构采用全局唯一标识，字典编码优先采用国标、行标及校级标准。</w:t>
            </w:r>
          </w:p>
          <w:p w14:paraId="05FF7C97">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敏感信息支持脱敏处理，原始敏感数据仅限授权场景访问。</w:t>
            </w:r>
          </w:p>
          <w:p w14:paraId="7031E1AE">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 对接数据支持纳入中台元数据管理，支撑数据血缘构建与溯源。</w:t>
            </w:r>
          </w:p>
          <w:p w14:paraId="1A5D634B">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五、数据质量与治理对接要求</w:t>
            </w:r>
          </w:p>
          <w:p w14:paraId="1F63DF4D">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源业务系统配合提供元数据及业务释义，支撑数据地图、字段级血缘构建。</w:t>
            </w:r>
          </w:p>
          <w:p w14:paraId="2EB534D9">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源系统保障输出数据基础质量，中台开展质量检核，发现问题反馈源系统核查整改。</w:t>
            </w:r>
          </w:p>
          <w:p w14:paraId="261A39A1">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数据字典、代码表变更时及时同步，保障标准、元数据、业务数据一致性。</w:t>
            </w:r>
          </w:p>
          <w:p w14:paraId="56E03C69">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六、安全与审计要求</w:t>
            </w:r>
          </w:p>
          <w:p w14:paraId="4FFFE334">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数据传输采取安全防护措施，数据库同步链路部署在内网隔离环境，业务数据库禁止对公网开放。</w:t>
            </w:r>
          </w:p>
          <w:p w14:paraId="3CFFE732">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数据访问账号遵循最小权限原则，访问凭证支持定期更换。</w:t>
            </w:r>
          </w:p>
          <w:p w14:paraId="4748EFA9">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完整留存数据操作审计日志，保存周期不少于 6 个月，支持审计查询与高危操作筛查。</w:t>
            </w:r>
          </w:p>
          <w:p w14:paraId="5EB97B2C">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 对外共享数据履行校内审批流程，落实字段级权限管控，按数据安全分级执行对应保护策略。</w:t>
            </w:r>
          </w:p>
          <w:p w14:paraId="6A70691B">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七、运维协同要求</w:t>
            </w:r>
          </w:p>
          <w:p w14:paraId="103F59D5">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数据同步资源与业务生产资源隔离，不得影响原有业务系统正常运行。</w:t>
            </w:r>
          </w:p>
          <w:p w14:paraId="40E05F11">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同步出现异常时双方协同排查，业务厂商负责源端核查，中台负责采集加工链路排查。</w:t>
            </w:r>
          </w:p>
          <w:p w14:paraId="3C3A5FED">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提供完整对接实施方案，覆盖调研、联调、测试、试运行、上线全流程，明确故障响应机制。</w:t>
            </w:r>
          </w:p>
          <w:p w14:paraId="767814C2">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rPr>
              <w:t>八、业务系统厂商配合要求</w:t>
            </w:r>
          </w:p>
          <w:p w14:paraId="4BD35B01">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提供数据字典、码表、接口文档、表关系说明、数据变更规则等技术资料。</w:t>
            </w:r>
          </w:p>
          <w:p w14:paraId="1089A86B">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配合完成对接联调、数据校验，负责源端脏数据核查与修正。</w:t>
            </w:r>
          </w:p>
          <w:p w14:paraId="4214CED0">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系统迭代、接口及表结构变更，提前通知并配合联调验证。</w:t>
            </w:r>
          </w:p>
          <w:p w14:paraId="7B0B33C3">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九、禁止性要求</w:t>
            </w:r>
          </w:p>
          <w:p w14:paraId="27467B31">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 禁止中台直接写入业务系统数据库；</w:t>
            </w:r>
          </w:p>
          <w:p w14:paraId="28A4C30C">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 禁止无鉴权接口对公网暴露；</w:t>
            </w:r>
          </w:p>
          <w:p w14:paraId="40E7AAC4">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 禁止高频全量查询大表，影响业务系统性能；</w:t>
            </w:r>
          </w:p>
          <w:p w14:paraId="79D3E7E4">
            <w:pPr>
              <w:spacing w:line="240" w:lineRule="auto"/>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 禁止未经脱敏对外输出隐私敏感信息；</w:t>
            </w:r>
          </w:p>
          <w:p w14:paraId="64A8A6A8">
            <w:pPr>
              <w:spacing w:line="240" w:lineRule="auto"/>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5. 禁止未经联调验证随意变更接口、数据表字段结构。</w:t>
            </w:r>
          </w:p>
        </w:tc>
      </w:tr>
      <w:tr w14:paraId="69DD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5" w:type="dxa"/>
            <w:vAlign w:val="center"/>
          </w:tcPr>
          <w:p w14:paraId="30B88F2F">
            <w:pPr>
              <w:pStyle w:val="45"/>
              <w:pBdr>
                <w:bottom w:val="none" w:color="auto" w:sz="0" w:space="0"/>
              </w:pBdr>
              <w:tabs>
                <w:tab w:val="clear" w:pos="4153"/>
                <w:tab w:val="clear" w:pos="8306"/>
              </w:tabs>
              <w:adjustRightInd/>
              <w:spacing w:line="240" w:lineRule="auto"/>
              <w:jc w:val="center"/>
              <w:textAlignment w:val="auto"/>
              <w:rPr>
                <w:rFonts w:hint="default" w:ascii="宋体" w:hAnsi="宋体" w:eastAsia="宋体"/>
                <w:bCs/>
                <w:color w:val="auto"/>
                <w:kern w:val="2"/>
                <w:sz w:val="24"/>
                <w:szCs w:val="24"/>
                <w:highlight w:val="none"/>
                <w:lang w:val="en-US" w:eastAsia="zh-CN"/>
              </w:rPr>
            </w:pPr>
            <w:r>
              <w:rPr>
                <w:rFonts w:hint="eastAsia" w:ascii="宋体" w:hAnsi="宋体" w:eastAsia="宋体"/>
                <w:bCs/>
                <w:color w:val="auto"/>
                <w:kern w:val="2"/>
                <w:sz w:val="24"/>
                <w:szCs w:val="24"/>
                <w:highlight w:val="none"/>
                <w:lang w:val="en-US" w:eastAsia="zh-CN"/>
              </w:rPr>
              <w:t>12</w:t>
            </w:r>
          </w:p>
        </w:tc>
        <w:tc>
          <w:tcPr>
            <w:tcW w:w="1925" w:type="dxa"/>
            <w:vAlign w:val="center"/>
          </w:tcPr>
          <w:p w14:paraId="3C9C2423">
            <w:pPr>
              <w:spacing w:line="360" w:lineRule="exact"/>
              <w:jc w:val="center"/>
              <w:rPr>
                <w:rFonts w:hint="default" w:ascii="宋体" w:hAnsi="宋体" w:eastAsia="宋体" w:cs="Arial"/>
                <w:b w:val="0"/>
                <w:bCs/>
                <w:snapToGrid w:val="0"/>
                <w:color w:val="auto"/>
                <w:kern w:val="0"/>
                <w:sz w:val="24"/>
                <w:szCs w:val="24"/>
                <w:highlight w:val="none"/>
                <w:lang w:val="en-US" w:eastAsia="zh-CN" w:bidi="ar-SA"/>
              </w:rPr>
            </w:pPr>
            <w:r>
              <w:rPr>
                <w:rFonts w:hint="eastAsia" w:ascii="宋体" w:hAnsi="宋体" w:eastAsia="宋体" w:cs="Arial"/>
                <w:b w:val="0"/>
                <w:bCs/>
                <w:snapToGrid w:val="0"/>
                <w:color w:val="auto"/>
                <w:kern w:val="0"/>
                <w:sz w:val="24"/>
                <w:szCs w:val="24"/>
                <w:highlight w:val="none"/>
                <w:lang w:val="en-US" w:eastAsia="zh-CN" w:bidi="ar-SA"/>
              </w:rPr>
              <w:t>存量系统清单</w:t>
            </w:r>
          </w:p>
        </w:tc>
        <w:tc>
          <w:tcPr>
            <w:tcW w:w="5672" w:type="dxa"/>
            <w:vAlign w:val="center"/>
          </w:tcPr>
          <w:p w14:paraId="4C45007C">
            <w:pPr>
              <w:spacing w:line="240" w:lineRule="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 教务系统</w:t>
            </w:r>
          </w:p>
          <w:p w14:paraId="3328B48C">
            <w:pPr>
              <w:spacing w:line="240" w:lineRule="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2. 一卡通系统</w:t>
            </w:r>
          </w:p>
          <w:p w14:paraId="698119B1">
            <w:pPr>
              <w:spacing w:line="240" w:lineRule="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3. 迎新报名系统</w:t>
            </w:r>
          </w:p>
          <w:p w14:paraId="742CC76F">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 xml:space="preserve">4. </w:t>
            </w:r>
            <w:r>
              <w:rPr>
                <w:rFonts w:hint="default" w:ascii="Times New Roman" w:hAnsi="Times New Roman" w:eastAsia="宋体" w:cs="Times New Roman"/>
                <w:color w:val="auto"/>
                <w:kern w:val="0"/>
                <w:sz w:val="24"/>
                <w:szCs w:val="24"/>
                <w:highlight w:val="none"/>
                <w:lang w:val="en-US" w:eastAsia="zh-CN"/>
              </w:rPr>
              <w:t>现代学徒制资源及平台</w:t>
            </w:r>
          </w:p>
          <w:p w14:paraId="66DA3393">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 xml:space="preserve">5. </w:t>
            </w:r>
            <w:r>
              <w:rPr>
                <w:rFonts w:hint="default" w:ascii="Times New Roman" w:hAnsi="Times New Roman" w:eastAsia="宋体" w:cs="Times New Roman"/>
                <w:color w:val="auto"/>
                <w:kern w:val="0"/>
                <w:sz w:val="24"/>
                <w:szCs w:val="24"/>
                <w:highlight w:val="none"/>
                <w:lang w:val="en-US" w:eastAsia="zh-CN"/>
              </w:rPr>
              <w:t>智慧德育管理平台</w:t>
            </w:r>
          </w:p>
          <w:p w14:paraId="0DE0D6FF">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 xml:space="preserve">6. </w:t>
            </w:r>
            <w:r>
              <w:rPr>
                <w:rFonts w:hint="default" w:ascii="Times New Roman" w:hAnsi="Times New Roman" w:eastAsia="宋体" w:cs="Times New Roman"/>
                <w:color w:val="auto"/>
                <w:kern w:val="0"/>
                <w:sz w:val="24"/>
                <w:szCs w:val="24"/>
                <w:highlight w:val="none"/>
                <w:lang w:val="en-US" w:eastAsia="zh-CN"/>
              </w:rPr>
              <w:t>网络教学平台</w:t>
            </w:r>
          </w:p>
          <w:p w14:paraId="211AEC7E">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 xml:space="preserve">7. </w:t>
            </w:r>
            <w:r>
              <w:rPr>
                <w:rFonts w:hint="default" w:ascii="Times New Roman" w:hAnsi="Times New Roman" w:eastAsia="宋体" w:cs="Times New Roman"/>
                <w:color w:val="auto"/>
                <w:kern w:val="0"/>
                <w:sz w:val="24"/>
                <w:szCs w:val="24"/>
                <w:highlight w:val="none"/>
                <w:lang w:val="en-US" w:eastAsia="zh-CN"/>
              </w:rPr>
              <w:t>图书管理系统</w:t>
            </w:r>
          </w:p>
          <w:p w14:paraId="4BDD6F0A">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 xml:space="preserve">8. </w:t>
            </w:r>
            <w:r>
              <w:rPr>
                <w:rFonts w:hint="default" w:ascii="Times New Roman" w:hAnsi="Times New Roman" w:eastAsia="宋体" w:cs="Times New Roman"/>
                <w:color w:val="auto"/>
                <w:kern w:val="0"/>
                <w:sz w:val="24"/>
                <w:szCs w:val="24"/>
                <w:highlight w:val="none"/>
                <w:lang w:val="en-US" w:eastAsia="zh-CN"/>
              </w:rPr>
              <w:t>心理健康教育管理系统</w:t>
            </w:r>
          </w:p>
          <w:p w14:paraId="0ED67E78">
            <w:pPr>
              <w:spacing w:line="240" w:lineRule="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 xml:space="preserve">9. </w:t>
            </w:r>
            <w:r>
              <w:rPr>
                <w:rFonts w:hint="default" w:ascii="Times New Roman" w:hAnsi="Times New Roman" w:eastAsia="宋体" w:cs="Times New Roman"/>
                <w:color w:val="auto"/>
                <w:kern w:val="0"/>
                <w:sz w:val="24"/>
                <w:szCs w:val="24"/>
                <w:highlight w:val="none"/>
                <w:lang w:val="en-US" w:eastAsia="zh-CN"/>
              </w:rPr>
              <w:t>线上财务缴费系统</w:t>
            </w:r>
          </w:p>
        </w:tc>
      </w:tr>
      <w:bookmarkEnd w:id="87"/>
    </w:tbl>
    <w:p w14:paraId="2F157221">
      <w:pPr>
        <w:pStyle w:val="14"/>
        <w:spacing w:line="360" w:lineRule="auto"/>
        <w:ind w:firstLine="482" w:firstLineChars="200"/>
        <w:outlineLvl w:val="1"/>
        <w:rPr>
          <w:rFonts w:hint="eastAsia" w:hAnsi="宋体" w:cs="宋体"/>
          <w:b/>
          <w:bCs/>
          <w:color w:val="auto"/>
          <w:sz w:val="24"/>
          <w:szCs w:val="24"/>
          <w:highlight w:val="none"/>
        </w:rPr>
      </w:pPr>
      <w:r>
        <w:rPr>
          <w:rFonts w:hint="eastAsia" w:hAnsi="宋体" w:cs="宋体"/>
          <w:b/>
          <w:color w:val="auto"/>
          <w:sz w:val="24"/>
          <w:szCs w:val="24"/>
          <w:highlight w:val="none"/>
        </w:rPr>
        <w:t>二、</w:t>
      </w:r>
      <w:r>
        <w:rPr>
          <w:rFonts w:hint="eastAsia" w:hAnsi="宋体" w:cs="宋体"/>
          <w:b/>
          <w:bCs/>
          <w:color w:val="auto"/>
          <w:sz w:val="24"/>
          <w:szCs w:val="24"/>
          <w:highlight w:val="none"/>
        </w:rPr>
        <w:t>服务内容及要求</w:t>
      </w:r>
    </w:p>
    <w:p w14:paraId="2EC53EA9">
      <w:pPr>
        <w:pStyle w:val="14"/>
        <w:spacing w:line="360" w:lineRule="auto"/>
        <w:ind w:firstLine="482" w:firstLineChars="200"/>
        <w:rPr>
          <w:rFonts w:hint="default" w:hAnsi="宋体" w:eastAsia="宋体" w:cs="宋体"/>
          <w:b/>
          <w:bCs/>
          <w:color w:val="auto"/>
          <w:sz w:val="24"/>
          <w:szCs w:val="24"/>
          <w:highlight w:val="none"/>
          <w:lang w:val="en-US" w:eastAsia="zh-CN"/>
        </w:rPr>
      </w:pPr>
      <w:r>
        <w:rPr>
          <w:rFonts w:hint="eastAsia" w:hAnsi="宋体" w:cs="宋体"/>
          <w:b/>
          <w:bCs/>
          <w:color w:val="auto"/>
          <w:sz w:val="24"/>
          <w:szCs w:val="24"/>
          <w:highlight w:val="none"/>
          <w:lang w:val="en-US" w:eastAsia="zh-CN"/>
        </w:rPr>
        <w:t>采购需求清单</w:t>
      </w:r>
    </w:p>
    <w:tbl>
      <w:tblPr>
        <w:tblStyle w:val="27"/>
        <w:tblW w:w="8792" w:type="dxa"/>
        <w:jc w:val="center"/>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Layout w:type="fixed"/>
        <w:tblCellMar>
          <w:top w:w="0" w:type="dxa"/>
          <w:left w:w="108" w:type="dxa"/>
          <w:bottom w:w="0" w:type="dxa"/>
          <w:right w:w="108" w:type="dxa"/>
        </w:tblCellMar>
      </w:tblPr>
      <w:tblGrid>
        <w:gridCol w:w="701"/>
        <w:gridCol w:w="896"/>
        <w:gridCol w:w="5798"/>
        <w:gridCol w:w="686"/>
        <w:gridCol w:w="711"/>
      </w:tblGrid>
      <w:tr w14:paraId="51A61C6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664" w:hRule="atLeast"/>
          <w:jc w:val="center"/>
        </w:trPr>
        <w:tc>
          <w:tcPr>
            <w:tcW w:w="701" w:type="dxa"/>
            <w:tcBorders>
              <w:bottom w:val="single" w:color="000000" w:sz="4" w:space="0"/>
            </w:tcBorders>
            <w:noWrap w:val="0"/>
            <w:vAlign w:val="center"/>
          </w:tcPr>
          <w:p w14:paraId="446592A4">
            <w:pPr>
              <w:keepNext w:val="0"/>
              <w:keepLines w:val="0"/>
              <w:widowControl/>
              <w:suppressLineNumbers w:val="0"/>
              <w:jc w:val="center"/>
              <w:textAlignment w:val="center"/>
              <w:rPr>
                <w:rFonts w:ascii="方正黑体简体" w:hAnsi="方正黑体简体" w:eastAsia="方正黑体简体" w:cs="方正黑体简体"/>
                <w:i w:val="0"/>
                <w:iCs w:val="0"/>
                <w:color w:val="auto"/>
                <w:sz w:val="24"/>
                <w:szCs w:val="24"/>
                <w:highlight w:val="none"/>
                <w:u w:val="none"/>
              </w:rPr>
            </w:pPr>
            <w:r>
              <w:rPr>
                <w:rFonts w:hint="eastAsia" w:ascii="方正黑体简体" w:hAnsi="方正黑体简体" w:eastAsia="方正黑体简体" w:cs="方正黑体简体"/>
                <w:i w:val="0"/>
                <w:iCs w:val="0"/>
                <w:color w:val="auto"/>
                <w:kern w:val="0"/>
                <w:sz w:val="24"/>
                <w:szCs w:val="24"/>
                <w:highlight w:val="none"/>
                <w:u w:val="none"/>
                <w:lang w:val="en-US" w:eastAsia="zh-CN" w:bidi="ar"/>
              </w:rPr>
              <w:t>序号</w:t>
            </w:r>
          </w:p>
        </w:tc>
        <w:tc>
          <w:tcPr>
            <w:tcW w:w="896" w:type="dxa"/>
            <w:tcBorders>
              <w:bottom w:val="single" w:color="000000" w:sz="4" w:space="0"/>
            </w:tcBorders>
            <w:noWrap w:val="0"/>
            <w:vAlign w:val="center"/>
          </w:tcPr>
          <w:p w14:paraId="3749BF61">
            <w:pPr>
              <w:keepNext w:val="0"/>
              <w:keepLines w:val="0"/>
              <w:widowControl/>
              <w:suppressLineNumbers w:val="0"/>
              <w:jc w:val="center"/>
              <w:textAlignment w:val="center"/>
              <w:rPr>
                <w:rFonts w:hint="eastAsia" w:ascii="方正黑体简体" w:hAnsi="方正黑体简体" w:eastAsia="方正黑体简体" w:cs="方正黑体简体"/>
                <w:i w:val="0"/>
                <w:iCs w:val="0"/>
                <w:color w:val="auto"/>
                <w:sz w:val="24"/>
                <w:szCs w:val="24"/>
                <w:highlight w:val="none"/>
                <w:u w:val="none"/>
              </w:rPr>
            </w:pPr>
            <w:r>
              <w:rPr>
                <w:rFonts w:hint="eastAsia" w:ascii="方正黑体简体" w:hAnsi="方正黑体简体" w:eastAsia="方正黑体简体" w:cs="方正黑体简体"/>
                <w:i w:val="0"/>
                <w:iCs w:val="0"/>
                <w:color w:val="auto"/>
                <w:kern w:val="0"/>
                <w:sz w:val="24"/>
                <w:szCs w:val="24"/>
                <w:highlight w:val="none"/>
                <w:u w:val="none"/>
                <w:lang w:val="en-US" w:eastAsia="zh-CN" w:bidi="ar"/>
              </w:rPr>
              <w:t>项目</w:t>
            </w:r>
          </w:p>
        </w:tc>
        <w:tc>
          <w:tcPr>
            <w:tcW w:w="5798" w:type="dxa"/>
            <w:tcBorders>
              <w:bottom w:val="single" w:color="000000" w:sz="4" w:space="0"/>
            </w:tcBorders>
            <w:noWrap w:val="0"/>
            <w:vAlign w:val="center"/>
          </w:tcPr>
          <w:p w14:paraId="5B0BCA68">
            <w:pPr>
              <w:keepNext w:val="0"/>
              <w:keepLines w:val="0"/>
              <w:widowControl/>
              <w:suppressLineNumbers w:val="0"/>
              <w:jc w:val="center"/>
              <w:textAlignment w:val="center"/>
              <w:rPr>
                <w:rFonts w:hint="default" w:ascii="方正黑体简体" w:hAnsi="方正黑体简体" w:eastAsia="方正黑体简体" w:cs="方正黑体简体"/>
                <w:i w:val="0"/>
                <w:iCs w:val="0"/>
                <w:color w:val="auto"/>
                <w:sz w:val="24"/>
                <w:szCs w:val="24"/>
                <w:highlight w:val="none"/>
                <w:u w:val="none"/>
                <w:lang w:val="en-US"/>
              </w:rPr>
            </w:pPr>
            <w:r>
              <w:rPr>
                <w:rFonts w:hint="eastAsia" w:ascii="方正黑体简体" w:hAnsi="方正黑体简体" w:eastAsia="方正黑体简体" w:cs="方正黑体简体"/>
                <w:i w:val="0"/>
                <w:iCs w:val="0"/>
                <w:color w:val="auto"/>
                <w:kern w:val="0"/>
                <w:sz w:val="24"/>
                <w:szCs w:val="24"/>
                <w:highlight w:val="none"/>
                <w:u w:val="none"/>
                <w:lang w:val="en-US" w:eastAsia="zh-CN" w:bidi="ar"/>
              </w:rPr>
              <w:t>技术参数及功能要求</w:t>
            </w:r>
          </w:p>
        </w:tc>
        <w:tc>
          <w:tcPr>
            <w:tcW w:w="686" w:type="dxa"/>
            <w:tcBorders>
              <w:bottom w:val="single" w:color="000000" w:sz="4" w:space="0"/>
            </w:tcBorders>
            <w:noWrap w:val="0"/>
            <w:vAlign w:val="center"/>
          </w:tcPr>
          <w:p w14:paraId="0364381B">
            <w:pPr>
              <w:keepNext w:val="0"/>
              <w:keepLines w:val="0"/>
              <w:widowControl/>
              <w:suppressLineNumbers w:val="0"/>
              <w:jc w:val="center"/>
              <w:textAlignment w:val="center"/>
              <w:rPr>
                <w:rFonts w:hint="eastAsia" w:ascii="方正黑体简体" w:hAnsi="方正黑体简体" w:eastAsia="方正黑体简体" w:cs="方正黑体简体"/>
                <w:i w:val="0"/>
                <w:iCs w:val="0"/>
                <w:color w:val="auto"/>
                <w:sz w:val="24"/>
                <w:szCs w:val="24"/>
                <w:highlight w:val="none"/>
                <w:u w:val="none"/>
              </w:rPr>
            </w:pPr>
            <w:r>
              <w:rPr>
                <w:rFonts w:hint="eastAsia" w:ascii="方正黑体简体" w:hAnsi="方正黑体简体" w:eastAsia="方正黑体简体" w:cs="方正黑体简体"/>
                <w:i w:val="0"/>
                <w:iCs w:val="0"/>
                <w:color w:val="auto"/>
                <w:kern w:val="0"/>
                <w:sz w:val="24"/>
                <w:szCs w:val="24"/>
                <w:highlight w:val="none"/>
                <w:u w:val="none"/>
                <w:lang w:val="en-US" w:eastAsia="zh-CN" w:bidi="ar"/>
              </w:rPr>
              <w:t>数量</w:t>
            </w:r>
          </w:p>
        </w:tc>
        <w:tc>
          <w:tcPr>
            <w:tcW w:w="711" w:type="dxa"/>
            <w:tcBorders>
              <w:bottom w:val="single" w:color="000000" w:sz="4" w:space="0"/>
            </w:tcBorders>
            <w:noWrap w:val="0"/>
            <w:vAlign w:val="center"/>
          </w:tcPr>
          <w:p w14:paraId="63EE8E69">
            <w:pPr>
              <w:keepNext w:val="0"/>
              <w:keepLines w:val="0"/>
              <w:widowControl/>
              <w:suppressLineNumbers w:val="0"/>
              <w:jc w:val="center"/>
              <w:textAlignment w:val="center"/>
              <w:rPr>
                <w:rFonts w:hint="eastAsia" w:ascii="方正黑体简体" w:hAnsi="方正黑体简体" w:eastAsia="方正黑体简体" w:cs="方正黑体简体"/>
                <w:i w:val="0"/>
                <w:iCs w:val="0"/>
                <w:color w:val="auto"/>
                <w:sz w:val="24"/>
                <w:szCs w:val="24"/>
                <w:highlight w:val="none"/>
                <w:u w:val="none"/>
              </w:rPr>
            </w:pPr>
            <w:r>
              <w:rPr>
                <w:rFonts w:hint="eastAsia" w:ascii="方正黑体简体" w:hAnsi="方正黑体简体" w:eastAsia="方正黑体简体" w:cs="方正黑体简体"/>
                <w:i w:val="0"/>
                <w:iCs w:val="0"/>
                <w:color w:val="auto"/>
                <w:kern w:val="0"/>
                <w:sz w:val="24"/>
                <w:szCs w:val="24"/>
                <w:highlight w:val="none"/>
                <w:u w:val="none"/>
                <w:lang w:val="en-US" w:eastAsia="zh-CN" w:bidi="ar"/>
              </w:rPr>
              <w:t>单位</w:t>
            </w:r>
          </w:p>
        </w:tc>
      </w:tr>
      <w:tr w14:paraId="38729AE3">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90" w:hRule="atLeast"/>
          <w:jc w:val="center"/>
        </w:trPr>
        <w:tc>
          <w:tcPr>
            <w:tcW w:w="701" w:type="dxa"/>
            <w:tcBorders>
              <w:top w:val="single" w:color="000000" w:sz="4" w:space="0"/>
              <w:bottom w:val="single" w:color="000000" w:sz="4" w:space="0"/>
            </w:tcBorders>
            <w:noWrap w:val="0"/>
            <w:vAlign w:val="center"/>
          </w:tcPr>
          <w:p w14:paraId="0E820BE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1</w:t>
            </w:r>
          </w:p>
        </w:tc>
        <w:tc>
          <w:tcPr>
            <w:tcW w:w="896" w:type="dxa"/>
            <w:tcBorders>
              <w:top w:val="single" w:color="000000" w:sz="4" w:space="0"/>
              <w:bottom w:val="single" w:color="000000" w:sz="4" w:space="0"/>
            </w:tcBorders>
            <w:noWrap w:val="0"/>
            <w:vAlign w:val="center"/>
          </w:tcPr>
          <w:p w14:paraId="3D7232EC">
            <w:pPr>
              <w:keepNext w:val="0"/>
              <w:keepLines w:val="0"/>
              <w:widowControl/>
              <w:suppressLineNumbers w:val="0"/>
              <w:jc w:val="center"/>
              <w:textAlignment w:val="center"/>
              <w:rPr>
                <w:rFonts w:hint="default"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数据中台</w:t>
            </w:r>
          </w:p>
        </w:tc>
        <w:tc>
          <w:tcPr>
            <w:tcW w:w="5798" w:type="dxa"/>
            <w:tcBorders>
              <w:top w:val="single" w:color="000000" w:sz="4" w:space="0"/>
              <w:bottom w:val="single" w:color="000000" w:sz="4" w:space="0"/>
            </w:tcBorders>
            <w:noWrap w:val="0"/>
            <w:vAlign w:val="center"/>
          </w:tcPr>
          <w:p w14:paraId="310659C6">
            <w:pPr>
              <w:widowControl/>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将采购人现有教务、一卡通、迎新等所有</w:t>
            </w:r>
            <w:r>
              <w:rPr>
                <w:rFonts w:hint="eastAsia" w:ascii="宋体" w:hAnsi="宋体" w:eastAsia="宋体" w:cs="宋体"/>
                <w:b w:val="0"/>
                <w:bCs w:val="0"/>
                <w:color w:val="auto"/>
                <w:sz w:val="21"/>
                <w:szCs w:val="21"/>
                <w:highlight w:val="none"/>
                <w:lang w:val="en-US" w:eastAsia="zh-CN"/>
              </w:rPr>
              <w:t>存量系统</w:t>
            </w:r>
            <w:r>
              <w:rPr>
                <w:rFonts w:hint="eastAsia" w:ascii="宋体" w:hAnsi="宋体" w:eastAsia="宋体" w:cs="宋体"/>
                <w:b w:val="0"/>
                <w:bCs w:val="0"/>
                <w:color w:val="auto"/>
                <w:sz w:val="21"/>
                <w:szCs w:val="21"/>
                <w:highlight w:val="none"/>
                <w:lang w:val="en-US" w:eastAsia="zh-CN"/>
              </w:rPr>
              <w:t>产生的批量与实时数据快速汇聚至数据湖仓，支撑实时预警（如宿舍违规用电告警）、实时统计（如课堂人数）及复杂批流融合分析。框架应具备多源接入、流式/批量处理、多引擎适配、插件化扩展与可视化编排能力。</w:t>
            </w:r>
          </w:p>
          <w:p w14:paraId="2607DCC7">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1.1 多源异构数据接入与落地</w:t>
            </w:r>
          </w:p>
          <w:p w14:paraId="27612CCF">
            <w:pPr>
              <w:widowControl/>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支持连接学校常见的 Oracle、MySQL、SQL Server 等数据库及 Kafka、HTTP 接口等流式数据源，实现秒级读取；处理后数据可直接写入学校现有存储和云存储，适配多样化存储落地需求。</w:t>
            </w:r>
          </w:p>
          <w:p w14:paraId="7ACF6B5C">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1.2 插件化扩展机制</w:t>
            </w:r>
          </w:p>
          <w:p w14:paraId="085CD470">
            <w:pPr>
              <w:widowControl/>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当学校未来新增新的数据源类型时，可通过新增插件快速扩展数据源接入，无需改造核心代码；插件须覆盖数据接入、数据转换、数据落地三类能力，可基于标准API自行开发定制插件。</w:t>
            </w:r>
          </w:p>
          <w:p w14:paraId="50673EEA">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 多执行引擎适配</w:t>
            </w:r>
          </w:p>
          <w:p w14:paraId="49B4FE31">
            <w:pPr>
              <w:widowControl/>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要求批流一体数据开发引擎既可调用内置引擎，也可调用 Flink、Spark 等主流大数据计算引擎；可根据要求灵活选择，保障性能。供应商须明确标注支持的引擎版本，避免兼容性问题。</w:t>
            </w:r>
          </w:p>
          <w:p w14:paraId="7D466AFB">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1.4 批流一体处理</w:t>
            </w:r>
          </w:p>
          <w:p w14:paraId="2674D4B2">
            <w:pPr>
              <w:widowControl/>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支持在同一任务中混合编排批量数据与流式数据（如将每日全量学生信息与实时消费流水关联，生成当日消费行为分析等），满足批流融合复杂场景。</w:t>
            </w:r>
          </w:p>
          <w:p w14:paraId="70249635">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▲1.5 可视化任务编排</w:t>
            </w:r>
          </w:p>
          <w:p w14:paraId="7BCB9635">
            <w:pPr>
              <w:widowControl/>
              <w:jc w:val="left"/>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通过图形化拖拽或可视化配置方式连接数据源、处理组件与目标端，快速构建任务流；同一任务流可编排多个步骤，降低开发门槛。</w:t>
            </w:r>
            <w:r>
              <w:rPr>
                <w:rFonts w:hint="eastAsia" w:ascii="宋体" w:hAnsi="宋体" w:eastAsia="宋体" w:cs="宋体"/>
                <w:color w:val="auto"/>
                <w:sz w:val="21"/>
                <w:szCs w:val="21"/>
                <w:highlight w:val="none"/>
                <w:lang w:val="en-US" w:eastAsia="zh-CN"/>
              </w:rPr>
              <w:t>（提供功能截图或技术说明书或官网截图）</w:t>
            </w:r>
          </w:p>
          <w:p w14:paraId="76CA1244">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1.6 HTTP 组件与混合编排</w:t>
            </w:r>
          </w:p>
          <w:p w14:paraId="46F91433">
            <w:pPr>
              <w:widowControl/>
              <w:jc w:val="left"/>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框架自带 HTTP 组件，可引用 HTTP 接口作为数据源，与其他类型数据源混合嵌套编排，灵活适配接口级数据接入、跨系统数据联动场景。</w:t>
            </w:r>
          </w:p>
        </w:tc>
        <w:tc>
          <w:tcPr>
            <w:tcW w:w="686" w:type="dxa"/>
            <w:tcBorders>
              <w:top w:val="single" w:color="000000" w:sz="4" w:space="0"/>
              <w:bottom w:val="single" w:color="000000" w:sz="4" w:space="0"/>
            </w:tcBorders>
            <w:noWrap/>
            <w:vAlign w:val="center"/>
          </w:tcPr>
          <w:p w14:paraId="198BFB1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ign w:val="center"/>
          </w:tcPr>
          <w:p w14:paraId="34BC8B82">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套</w:t>
            </w:r>
          </w:p>
        </w:tc>
      </w:tr>
      <w:tr w14:paraId="4916314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1621" w:hRule="atLeast"/>
          <w:jc w:val="center"/>
        </w:trPr>
        <w:tc>
          <w:tcPr>
            <w:tcW w:w="701" w:type="dxa"/>
            <w:tcBorders>
              <w:top w:val="single" w:color="000000" w:sz="4" w:space="0"/>
              <w:bottom w:val="single" w:color="000000" w:sz="4" w:space="0"/>
            </w:tcBorders>
            <w:noWrap w:val="0"/>
            <w:vAlign w:val="center"/>
          </w:tcPr>
          <w:p w14:paraId="42BC4A6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2</w:t>
            </w:r>
          </w:p>
        </w:tc>
        <w:tc>
          <w:tcPr>
            <w:tcW w:w="896" w:type="dxa"/>
            <w:tcBorders>
              <w:top w:val="single" w:color="000000" w:sz="4" w:space="0"/>
              <w:bottom w:val="single" w:color="000000" w:sz="4" w:space="0"/>
            </w:tcBorders>
            <w:noWrap w:val="0"/>
            <w:vAlign w:val="center"/>
          </w:tcPr>
          <w:p w14:paraId="09280739">
            <w:pPr>
              <w:keepNext w:val="0"/>
              <w:keepLines w:val="0"/>
              <w:widowControl/>
              <w:suppressLineNumbers w:val="0"/>
              <w:jc w:val="center"/>
              <w:textAlignment w:val="center"/>
              <w:rPr>
                <w:rFonts w:hint="default"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结构数据开发（离线、实时、元数据）</w:t>
            </w:r>
          </w:p>
        </w:tc>
        <w:tc>
          <w:tcPr>
            <w:tcW w:w="5798" w:type="dxa"/>
            <w:tcBorders>
              <w:top w:val="single" w:color="000000" w:sz="4" w:space="0"/>
              <w:bottom w:val="single" w:color="000000" w:sz="4" w:space="0"/>
            </w:tcBorders>
            <w:noWrap w:val="0"/>
            <w:vAlign w:val="center"/>
          </w:tcPr>
          <w:p w14:paraId="12C7AA1F">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采购人有日常数据的采集转换、批量集成、历史数据入湖、跨系统数据融合及全链路追溯，保障数据高效、准确、可管可控地流转等业务需求。系统应具备离线数据开发、实时数据开发、元数据管理等功能，具体要求如下。</w:t>
            </w:r>
          </w:p>
          <w:p w14:paraId="5A6ED717">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2.1离线数据开发（一键入湖 + 可视化集成）</w:t>
            </w:r>
          </w:p>
          <w:p w14:paraId="76DB263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2.1.1一键入湖与基础配置</w:t>
            </w:r>
          </w:p>
          <w:p w14:paraId="7B7A0FED">
            <w:pPr>
              <w:widowControl/>
              <w:jc w:val="left"/>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i w:val="0"/>
                <w:iCs w:val="0"/>
                <w:color w:val="auto"/>
                <w:kern w:val="0"/>
                <w:sz w:val="21"/>
                <w:szCs w:val="21"/>
                <w:highlight w:val="none"/>
                <w:u w:val="none"/>
                <w:lang w:val="en-US" w:eastAsia="zh-CN" w:bidi="ar"/>
              </w:rPr>
              <w:t>面向学校历史数据快速入仓：支持一键完成数据 1:1 入湖；管理员通过可视化界面配置，无需编写</w:t>
            </w:r>
            <w:r>
              <w:rPr>
                <w:rFonts w:hint="eastAsia" w:ascii="宋体" w:hAnsi="宋体" w:eastAsia="宋体" w:cs="宋体"/>
                <w:i w:val="0"/>
                <w:iCs w:val="0"/>
                <w:color w:val="auto"/>
                <w:kern w:val="0"/>
                <w:sz w:val="21"/>
                <w:szCs w:val="21"/>
                <w:highlight w:val="none"/>
                <w:u w:val="none"/>
                <w:lang w:val="en-US" w:eastAsia="zh-CN" w:bidi="ar"/>
              </w:rPr>
              <w:t>相关代码</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color w:val="auto"/>
                <w:sz w:val="21"/>
                <w:szCs w:val="21"/>
                <w:highlight w:val="none"/>
                <w:lang w:val="en-US" w:eastAsia="zh-CN"/>
              </w:rPr>
              <w:t>（提供功能截图或技术说明书或官网截图）</w:t>
            </w:r>
          </w:p>
          <w:p w14:paraId="40A4E72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2.1.2跨源数据关联融合</w:t>
            </w:r>
          </w:p>
          <w:p w14:paraId="440EAD5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单个开发任务可选择多个异构数据源（如教务库+学工库等）作为输入，通过连接组件关联加工，解决「学生基本信息与消费行为融合」等跨部门数据融合需求。</w:t>
            </w:r>
          </w:p>
          <w:p w14:paraId="3B4838F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2.1.3增量拉链表</w:t>
            </w:r>
          </w:p>
          <w:p w14:paraId="1D67CAB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需提供增量数据拉链表配置功能，当发生学生专业变更、学籍异动等业务信息变动时，支持自定义增量拉链表的表名、操作类型标识字段、有效开始时间字段、有效结束时间字段；支持配置自动忽略比对的时间戳字段列表，适配不同业务系统的时间字段命名规范。通过拉链表自动留存数据变化记录，完整保存业务对象各阶段历史状态，支持学生业务信息变更全过程查询与历史状态追溯。功能布局及UI界面参考示意如下：</w:t>
            </w:r>
          </w:p>
          <w:p w14:paraId="68D1447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drawing>
                <wp:inline distT="0" distB="0" distL="114300" distR="114300">
                  <wp:extent cx="3356610" cy="1809750"/>
                  <wp:effectExtent l="0" t="0" r="152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tretch>
                            <a:fillRect/>
                          </a:stretch>
                        </pic:blipFill>
                        <pic:spPr>
                          <a:xfrm>
                            <a:off x="0" y="0"/>
                            <a:ext cx="3356610" cy="1809750"/>
                          </a:xfrm>
                          <a:prstGeom prst="rect">
                            <a:avLst/>
                          </a:prstGeom>
                          <a:noFill/>
                          <a:ln>
                            <a:noFill/>
                          </a:ln>
                        </pic:spPr>
                      </pic:pic>
                    </a:graphicData>
                  </a:graphic>
                </wp:inline>
              </w:drawing>
            </w:r>
          </w:p>
          <w:p w14:paraId="1DB6DDDD">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本图仅为业务逻辑示意，图中所有界面布局、按钮名称、字段命名、菜单分类均为示例，不做为实际交付要求，供应商以同等功能实现即可。</w:t>
            </w:r>
          </w:p>
          <w:p w14:paraId="518F720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2.1.4数据质量过滤</w:t>
            </w:r>
          </w:p>
          <w:p w14:paraId="4E0257F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同步过程中开启质量过滤，不符合规则的数据不入库，从源头保障入湖数据质量。</w:t>
            </w:r>
          </w:p>
          <w:p w14:paraId="4DA846C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2.1.5分批并发与容错</w:t>
            </w:r>
          </w:p>
          <w:p w14:paraId="5DC165B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能够将大任务切分为数据块分批提交、指定最大并发数，提升数据同步效率；接口任务运行过程中出现个别数据错误时，可选择自动跳过并继续执行，避免整体失败，任务执行后可查看失败明细。</w:t>
            </w:r>
          </w:p>
          <w:p w14:paraId="01FAFB8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2.1.6接口授权与开发支撑</w:t>
            </w:r>
          </w:p>
          <w:p w14:paraId="22C24C0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能够将接口授权给前台用户，供第三方程序调用；提供 Java、Python 等示例代码，降低业务部门对接门槛。</w:t>
            </w:r>
          </w:p>
          <w:p w14:paraId="157D20B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2.1.7多任务流异构编排</w:t>
            </w:r>
          </w:p>
          <w:p w14:paraId="547D147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系统需具备</w:t>
            </w:r>
            <w:r>
              <w:rPr>
                <w:rFonts w:hint="default" w:ascii="宋体" w:hAnsi="宋体" w:eastAsia="宋体" w:cs="宋体"/>
                <w:i w:val="0"/>
                <w:iCs w:val="0"/>
                <w:color w:val="auto"/>
                <w:kern w:val="0"/>
                <w:sz w:val="21"/>
                <w:szCs w:val="21"/>
                <w:highlight w:val="none"/>
                <w:u w:val="none"/>
                <w:lang w:val="en-US" w:eastAsia="zh-CN" w:bidi="ar"/>
              </w:rPr>
              <w:t>多任务流编排能力：在统一的数据开发界面内，通过拖拽式操作完成任务的快速配置；单个任务可同时接入关系型数据库、HTTP 接口等多种异构数据源，并通过</w:t>
            </w:r>
            <w:r>
              <w:rPr>
                <w:rFonts w:hint="eastAsia" w:ascii="宋体" w:hAnsi="宋体" w:eastAsia="宋体" w:cs="宋体"/>
                <w:i w:val="0"/>
                <w:iCs w:val="0"/>
                <w:color w:val="auto"/>
                <w:kern w:val="0"/>
                <w:sz w:val="21"/>
                <w:szCs w:val="21"/>
                <w:highlight w:val="none"/>
                <w:u w:val="none"/>
                <w:lang w:val="en-US" w:eastAsia="zh-CN" w:bidi="ar"/>
              </w:rPr>
              <w:t>少</w:t>
            </w:r>
            <w:r>
              <w:rPr>
                <w:rFonts w:hint="default" w:ascii="宋体" w:hAnsi="宋体" w:eastAsia="宋体" w:cs="宋体"/>
                <w:i w:val="0"/>
                <w:iCs w:val="0"/>
                <w:color w:val="auto"/>
                <w:kern w:val="0"/>
                <w:sz w:val="21"/>
                <w:szCs w:val="21"/>
                <w:highlight w:val="none"/>
                <w:u w:val="none"/>
                <w:lang w:val="en-US" w:eastAsia="zh-CN" w:bidi="ar"/>
              </w:rPr>
              <w:t>代码或零代码方式完成异构数据源之间的关联与转换映射；同一任务流内可编排多个处理步骤，以满足复杂业务场景下的任务开发需求。</w:t>
            </w:r>
            <w:r>
              <w:rPr>
                <w:rFonts w:hint="eastAsia" w:ascii="宋体" w:hAnsi="宋体" w:eastAsia="宋体" w:cs="宋体"/>
                <w:i w:val="0"/>
                <w:iCs w:val="0"/>
                <w:color w:val="auto"/>
                <w:kern w:val="0"/>
                <w:sz w:val="21"/>
                <w:szCs w:val="21"/>
                <w:highlight w:val="none"/>
                <w:u w:val="none"/>
                <w:lang w:val="en-US" w:eastAsia="zh-CN" w:bidi="ar"/>
              </w:rPr>
              <w:t>功能布局及UI界面参考示意如下：</w:t>
            </w:r>
          </w:p>
          <w:p w14:paraId="3FA1F13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drawing>
                <wp:inline distT="0" distB="0" distL="114300" distR="114300">
                  <wp:extent cx="2750820" cy="1416685"/>
                  <wp:effectExtent l="0" t="0" r="11430" b="1206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2750820" cy="1416685"/>
                          </a:xfrm>
                          <a:prstGeom prst="rect">
                            <a:avLst/>
                          </a:prstGeom>
                          <a:noFill/>
                          <a:ln>
                            <a:noFill/>
                          </a:ln>
                        </pic:spPr>
                      </pic:pic>
                    </a:graphicData>
                  </a:graphic>
                </wp:inline>
              </w:drawing>
            </w:r>
          </w:p>
          <w:p w14:paraId="4C0F583E">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本图仅为业务逻辑示意，图中所有界面布局、按钮名称、字段命名、菜单分类均为示例，不做为实际交付要求，供应商以同等功能实现即可。</w:t>
            </w:r>
          </w:p>
          <w:p w14:paraId="19CA069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2.1.8接口类型与命名配置</w:t>
            </w:r>
          </w:p>
          <w:p w14:paraId="2CF7C1E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针对学校数据集成的场景，</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创建</w:t>
            </w:r>
            <w:r>
              <w:rPr>
                <w:rFonts w:hint="eastAsia" w:ascii="宋体" w:hAnsi="宋体" w:eastAsia="宋体" w:cs="宋体"/>
                <w:i w:val="0"/>
                <w:iCs w:val="0"/>
                <w:color w:val="auto"/>
                <w:kern w:val="0"/>
                <w:sz w:val="21"/>
                <w:szCs w:val="21"/>
                <w:highlight w:val="none"/>
                <w:u w:val="none"/>
                <w:lang w:val="en-US" w:eastAsia="zh-CN" w:bidi="ar"/>
              </w:rPr>
              <w:t>不同</w:t>
            </w:r>
            <w:r>
              <w:rPr>
                <w:rFonts w:hint="default" w:ascii="宋体" w:hAnsi="宋体" w:eastAsia="宋体" w:cs="宋体"/>
                <w:i w:val="0"/>
                <w:iCs w:val="0"/>
                <w:color w:val="auto"/>
                <w:kern w:val="0"/>
                <w:sz w:val="21"/>
                <w:szCs w:val="21"/>
                <w:highlight w:val="none"/>
                <w:u w:val="none"/>
                <w:lang w:val="en-US" w:eastAsia="zh-CN" w:bidi="ar"/>
              </w:rPr>
              <w:t>类型接口：针对日常的数据采集和转换，</w:t>
            </w:r>
            <w:r>
              <w:rPr>
                <w:rFonts w:hint="eastAsia" w:ascii="宋体" w:hAnsi="宋体" w:eastAsia="宋体" w:cs="宋体"/>
                <w:i w:val="0"/>
                <w:iCs w:val="0"/>
                <w:color w:val="auto"/>
                <w:kern w:val="0"/>
                <w:sz w:val="21"/>
                <w:szCs w:val="21"/>
                <w:highlight w:val="none"/>
                <w:u w:val="none"/>
                <w:lang w:val="en-US" w:eastAsia="zh-CN" w:bidi="ar"/>
              </w:rPr>
              <w:t>和</w:t>
            </w:r>
            <w:r>
              <w:rPr>
                <w:rFonts w:hint="default" w:ascii="宋体" w:hAnsi="宋体" w:eastAsia="宋体" w:cs="宋体"/>
                <w:i w:val="0"/>
                <w:iCs w:val="0"/>
                <w:color w:val="auto"/>
                <w:kern w:val="0"/>
                <w:sz w:val="21"/>
                <w:szCs w:val="21"/>
                <w:highlight w:val="none"/>
                <w:u w:val="none"/>
                <w:lang w:val="en-US" w:eastAsia="zh-CN" w:bidi="ar"/>
              </w:rPr>
              <w:t>数据治理过程中的批量快速集成和数据库迁移场景。接口命名可根据</w:t>
            </w:r>
            <w:r>
              <w:rPr>
                <w:rFonts w:hint="eastAsia" w:ascii="宋体" w:hAnsi="宋体" w:eastAsia="宋体" w:cs="宋体"/>
                <w:i w:val="0"/>
                <w:iCs w:val="0"/>
                <w:color w:val="auto"/>
                <w:kern w:val="0"/>
                <w:sz w:val="21"/>
                <w:szCs w:val="21"/>
                <w:highlight w:val="none"/>
                <w:u w:val="none"/>
                <w:lang w:val="en-US" w:eastAsia="zh-CN" w:bidi="ar"/>
              </w:rPr>
              <w:t>采购人</w:t>
            </w:r>
            <w:r>
              <w:rPr>
                <w:rFonts w:hint="default" w:ascii="宋体" w:hAnsi="宋体" w:eastAsia="宋体" w:cs="宋体"/>
                <w:i w:val="0"/>
                <w:iCs w:val="0"/>
                <w:color w:val="auto"/>
                <w:kern w:val="0"/>
                <w:sz w:val="21"/>
                <w:szCs w:val="21"/>
                <w:highlight w:val="none"/>
                <w:u w:val="none"/>
                <w:lang w:val="en-US" w:eastAsia="zh-CN" w:bidi="ar"/>
              </w:rPr>
              <w:t>业务需求进行自定义配置，方便系统管理员日常维护及操作；</w:t>
            </w:r>
            <w:r>
              <w:rPr>
                <w:rFonts w:hint="eastAsia" w:ascii="宋体" w:hAnsi="宋体" w:eastAsia="宋体" w:cs="宋体"/>
                <w:i w:val="0"/>
                <w:iCs w:val="0"/>
                <w:color w:val="auto"/>
                <w:kern w:val="0"/>
                <w:sz w:val="21"/>
                <w:szCs w:val="21"/>
                <w:highlight w:val="none"/>
                <w:u w:val="none"/>
                <w:lang w:val="en-US" w:eastAsia="zh-CN" w:bidi="ar"/>
              </w:rPr>
              <w:t>创建接口时，</w:t>
            </w:r>
            <w:r>
              <w:rPr>
                <w:rFonts w:hint="default" w:ascii="宋体" w:hAnsi="宋体" w:eastAsia="宋体" w:cs="宋体"/>
                <w:i w:val="0"/>
                <w:iCs w:val="0"/>
                <w:color w:val="auto"/>
                <w:kern w:val="0"/>
                <w:sz w:val="21"/>
                <w:szCs w:val="21"/>
                <w:highlight w:val="none"/>
                <w:u w:val="none"/>
                <w:lang w:val="en-US" w:eastAsia="zh-CN" w:bidi="ar"/>
              </w:rPr>
              <w:t>可选择目标表名称大小写，便于管理员查看。</w:t>
            </w:r>
          </w:p>
          <w:p w14:paraId="1DD00FC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2.1.9源表配置与目标表管理</w:t>
            </w:r>
          </w:p>
          <w:p w14:paraId="14F23E83">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创建接口时，可查看源表字段信息和创建目标表的</w:t>
            </w:r>
            <w:r>
              <w:rPr>
                <w:rFonts w:hint="eastAsia" w:ascii="宋体" w:hAnsi="宋体" w:eastAsia="宋体" w:cs="宋体"/>
                <w:i w:val="0"/>
                <w:iCs w:val="0"/>
                <w:color w:val="auto"/>
                <w:kern w:val="0"/>
                <w:sz w:val="21"/>
                <w:szCs w:val="21"/>
                <w:highlight w:val="none"/>
                <w:u w:val="none"/>
                <w:lang w:val="en-US" w:eastAsia="zh-CN" w:bidi="ar"/>
              </w:rPr>
              <w:t>数据库命令</w:t>
            </w:r>
            <w:r>
              <w:rPr>
                <w:rFonts w:hint="default" w:ascii="宋体" w:hAnsi="宋体" w:eastAsia="宋体" w:cs="宋体"/>
                <w:i w:val="0"/>
                <w:iCs w:val="0"/>
                <w:color w:val="auto"/>
                <w:kern w:val="0"/>
                <w:sz w:val="21"/>
                <w:szCs w:val="21"/>
                <w:highlight w:val="none"/>
                <w:u w:val="none"/>
                <w:lang w:val="en-US" w:eastAsia="zh-CN" w:bidi="ar"/>
              </w:rPr>
              <w:t>，可筛选未创建过接口的源表，方便管理员快速查找未创建接口的源表；可在线查看集成接口的创建结果及创建历史记录。创建接口时可设置判断条件，接口执行前可选择清空或不清空目标表。</w:t>
            </w:r>
          </w:p>
          <w:p w14:paraId="208D789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2.1.10清洗转换组件</w:t>
            </w:r>
          </w:p>
          <w:p w14:paraId="3FD5504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提供多种清洗转换组件，包括但不限于拷贝、加密、HTTP转换、连接、正则切分、数据值过滤、替换、切割、字段转行、字段合列、Flink组件等，满足多样化数据加工需要。</w:t>
            </w:r>
          </w:p>
          <w:p w14:paraId="7564254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2.1.11字段映射与数据抽取</w:t>
            </w:r>
          </w:p>
          <w:p w14:paraId="6C696769">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支持将源表和目标表的字段进行映射，自动映射包括同名映射、同位置匹配，也</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手动添加映射关系；数据抽取方式至少支持全量抽取和增量抽取两种类型；可根据数据清洗需要为目标表的字段进行代码转换和函数的一键配置。</w:t>
            </w:r>
          </w:p>
          <w:p w14:paraId="2867AD3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2.1.12接口批量与分类管理</w:t>
            </w:r>
          </w:p>
          <w:p w14:paraId="3204492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w:t>
            </w:r>
            <w:r>
              <w:rPr>
                <w:rFonts w:hint="default" w:ascii="宋体" w:hAnsi="宋体" w:eastAsia="宋体" w:cs="宋体"/>
                <w:i w:val="0"/>
                <w:iCs w:val="0"/>
                <w:color w:val="auto"/>
                <w:kern w:val="0"/>
                <w:sz w:val="21"/>
                <w:szCs w:val="21"/>
                <w:highlight w:val="none"/>
                <w:u w:val="none"/>
                <w:lang w:val="en-US" w:eastAsia="zh-CN" w:bidi="ar"/>
              </w:rPr>
              <w:t>批量完成接口的配置功能，包括批量执行、批量终止执行、批量为接口设置分类、批量导出接口及批量删除接口；</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对接口进行自定义分类管理，可根据管理需要将不同接口划分到不同分类下，</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自定义分类管理，可调整分类层级与顺序。</w:t>
            </w:r>
          </w:p>
          <w:p w14:paraId="5A33A0F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2.1.13接口配置状态与回收站</w:t>
            </w:r>
          </w:p>
          <w:p w14:paraId="184C33F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可查看接口的配置状态，通过配置状态查看接口中的数据源是否连接正常、接口的输入输出组件是否已配置；接口</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删除恢复机制，误删除的数据任务可恢复；彻底删除时</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关联清理对应目标资源，避免冗余数据。</w:t>
            </w:r>
          </w:p>
          <w:p w14:paraId="6B25B82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2.1.14接口检索与运行详情</w:t>
            </w:r>
          </w:p>
          <w:p w14:paraId="0EDC3D9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支持按照接口名称、接口类型、接口状态、源库、目标库、接口配置状态、描述、调度名称、创建人、只显示错误记录数、开始日期等进行接口的筛选和查看；运行中的接口可查看运行详情，</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输入输出的数据量大小、数据量条数、运行日志</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；可查看接口历史运行记录，</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每次执行的耗时、读取/修改/删除/不变/插入/错误/质量不符的数据条数、运行日志</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w:t>
            </w:r>
          </w:p>
          <w:p w14:paraId="383112F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2.1.15接口日志检索与安全加密</w:t>
            </w:r>
          </w:p>
          <w:p w14:paraId="632B8255">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接口日志</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通过搜索关键词或定位关键字（Caused by、error）等方式进行详细错误日志查看，</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复制日志；</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基于字段安全等级自动匹配加密/解密策略，可自动继承源端加密配置并在目标端应用对应密钥，可手动调整。</w:t>
            </w:r>
          </w:p>
          <w:p w14:paraId="064495D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2.1.16增量阈值与性能优化</w:t>
            </w:r>
          </w:p>
          <w:p w14:paraId="13E6D966">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可对增量接口进行阈值设置，当源表数据量与目标表数据量的差距超过阈值时接口不执行；</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高性能同步，可通过并行处理、批量提交、内存优化等机制提升离线数据处理效率，缩短执行窗口；</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多种任务触发方式，包括但不限于平台内置调度、外部系统调用、命令行/API触发等，避免接口过多时调度队列堆积；可将管理端接口的目标表注释同步为接口描述。</w:t>
            </w:r>
          </w:p>
          <w:p w14:paraId="7549554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2.1.17同步监控与预警</w:t>
            </w:r>
          </w:p>
          <w:p w14:paraId="0194F2A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针对数据同步任务提供运行预警能力，可配置异常触发规则，包括执行耗时异常、任务执行失败、执行超时、任务重叠执行等场景，保障任务稳定运行。</w:t>
            </w:r>
          </w:p>
          <w:p w14:paraId="745E0562">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2.2实时数据开发（秒级同步）</w:t>
            </w:r>
          </w:p>
          <w:p w14:paraId="71CE2FA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2.2.1</w:t>
            </w:r>
            <w:r>
              <w:rPr>
                <w:rFonts w:hint="default" w:ascii="宋体" w:hAnsi="宋体" w:eastAsia="宋体" w:cs="宋体"/>
                <w:i w:val="0"/>
                <w:iCs w:val="0"/>
                <w:color w:val="auto"/>
                <w:kern w:val="0"/>
                <w:sz w:val="21"/>
                <w:szCs w:val="21"/>
                <w:highlight w:val="none"/>
                <w:u w:val="none"/>
                <w:lang w:val="en-US" w:eastAsia="zh-CN" w:bidi="ar"/>
              </w:rPr>
              <w:t>秒级实时同步</w:t>
            </w:r>
          </w:p>
          <w:p w14:paraId="2CAB1DA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面向课堂人数统计、消费实时预警等场景：跨异构数据库实现秒级同步，源端增删改后目标端秒级感知；完整同步插入、更新、删除三种模式。</w:t>
            </w:r>
          </w:p>
          <w:p w14:paraId="5ED1D5D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2.2.2</w:t>
            </w:r>
            <w:r>
              <w:rPr>
                <w:rFonts w:hint="default" w:ascii="宋体" w:hAnsi="宋体" w:eastAsia="宋体" w:cs="宋体"/>
                <w:i w:val="0"/>
                <w:iCs w:val="0"/>
                <w:color w:val="auto"/>
                <w:kern w:val="0"/>
                <w:sz w:val="21"/>
                <w:szCs w:val="21"/>
                <w:highlight w:val="none"/>
                <w:u w:val="none"/>
                <w:lang w:val="en-US" w:eastAsia="zh-CN" w:bidi="ar"/>
              </w:rPr>
              <w:t>CDC 与非 CDC 双模式</w:t>
            </w:r>
          </w:p>
          <w:p w14:paraId="7054B8E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基于数据库日志的 CDC 同步（兼容</w:t>
            </w:r>
            <w:r>
              <w:rPr>
                <w:rFonts w:hint="eastAsia" w:ascii="宋体" w:hAnsi="宋体" w:eastAsia="宋体" w:cs="宋体"/>
                <w:i w:val="0"/>
                <w:iCs w:val="0"/>
                <w:color w:val="auto"/>
                <w:kern w:val="0"/>
                <w:sz w:val="21"/>
                <w:szCs w:val="21"/>
                <w:highlight w:val="none"/>
                <w:u w:val="none"/>
                <w:lang w:val="en-US" w:eastAsia="zh-CN" w:bidi="ar"/>
              </w:rPr>
              <w:t>不限于</w:t>
            </w:r>
            <w:r>
              <w:rPr>
                <w:rFonts w:hint="default" w:ascii="宋体" w:hAnsi="宋体" w:eastAsia="宋体" w:cs="宋体"/>
                <w:i w:val="0"/>
                <w:iCs w:val="0"/>
                <w:color w:val="auto"/>
                <w:kern w:val="0"/>
                <w:sz w:val="21"/>
                <w:szCs w:val="21"/>
                <w:highlight w:val="none"/>
                <w:u w:val="none"/>
                <w:lang w:val="en-US" w:eastAsia="zh-CN" w:bidi="ar"/>
              </w:rPr>
              <w:t xml:space="preserve"> Oracle、MySQL、SQL Server、MongoDB</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能力</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不依赖 CDC 的免配置实时同步（数据库未开 CDC 亦可），覆盖不同数据库条件。</w:t>
            </w:r>
          </w:p>
          <w:p w14:paraId="13C7E16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2.2.3</w:t>
            </w:r>
            <w:r>
              <w:rPr>
                <w:rFonts w:hint="default" w:ascii="宋体" w:hAnsi="宋体" w:eastAsia="宋体" w:cs="宋体"/>
                <w:i w:val="0"/>
                <w:iCs w:val="0"/>
                <w:color w:val="auto"/>
                <w:kern w:val="0"/>
                <w:sz w:val="21"/>
                <w:szCs w:val="21"/>
                <w:highlight w:val="none"/>
                <w:u w:val="none"/>
                <w:lang w:val="en-US" w:eastAsia="zh-CN" w:bidi="ar"/>
              </w:rPr>
              <w:t>实时血缘与数值追踪</w:t>
            </w:r>
          </w:p>
          <w:p w14:paraId="7EF2FF6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实时任务纳入全链路血缘，可识别源表/目标表及字段映射；数据不一致时自动提示并支持重置。</w:t>
            </w:r>
          </w:p>
          <w:p w14:paraId="24B803B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2.2.4实时任务分类与筛选</w:t>
            </w:r>
          </w:p>
          <w:p w14:paraId="0FE1F719">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对实时任务进行自定义分类管理；支持根据接口名称、描述、调度名称、接口状态、源库、目标库、创建人等进行筛选；</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通过图形化界面进行数据映射配置，自动映射包括同名映射、同位置匹配，也</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手动添加映射关系。</w:t>
            </w:r>
          </w:p>
          <w:p w14:paraId="36C9EEE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2.2.5实时任务运行管控与批量处理</w:t>
            </w:r>
          </w:p>
          <w:p w14:paraId="5BA8C358">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可查看实时数据开发任务的运行状态，</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手动停止/启动/重置任务等；当源表和目标表的数据量不一致时系统给出提示，管理员可将任务进行重置处理。</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对实时任务进行批量处理，包括批量执行、批量终止执行、批量删除；可查看实时任务的历史运行记录，包括每次执行的耗时、读取/修改/删除的数据条数。</w:t>
            </w:r>
          </w:p>
          <w:p w14:paraId="279B034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2.2.6接口型实时同步与数据处理</w:t>
            </w:r>
          </w:p>
          <w:p w14:paraId="1D73BAC2">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接口型（HTTP</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）的实时数据同步；实时数据同步过程中</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多种数据处理逻辑，</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拷贝、加密、HTTP转换、连接、正则表达式、数据值过滤、替换、切割等。</w:t>
            </w:r>
            <w:r>
              <w:rPr>
                <w:rFonts w:hint="eastAsia" w:ascii="宋体" w:hAnsi="宋体" w:eastAsia="宋体" w:cs="宋体"/>
                <w:color w:val="auto"/>
                <w:sz w:val="21"/>
                <w:szCs w:val="21"/>
                <w:highlight w:val="none"/>
                <w:lang w:val="en-US" w:eastAsia="zh-CN"/>
              </w:rPr>
              <w:t>（提供功能截图或技术说明书或官网截图）</w:t>
            </w:r>
          </w:p>
          <w:p w14:paraId="3E31123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2.2.7实时同步规模与数据变化统计</w:t>
            </w:r>
          </w:p>
          <w:p w14:paraId="2ECF7E2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达到亿级规模数据的实时同步；可查看实时任务同步的数据变化量，统计每天读出/新增/修改/删除数据的次数。</w:t>
            </w:r>
          </w:p>
          <w:p w14:paraId="28BF07AB">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2.3元数据管理（数据资产全景）</w:t>
            </w:r>
          </w:p>
          <w:p w14:paraId="57ABA65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i w:val="0"/>
                <w:iCs w:val="0"/>
                <w:color w:val="auto"/>
                <w:kern w:val="0"/>
                <w:sz w:val="21"/>
                <w:szCs w:val="21"/>
                <w:highlight w:val="none"/>
                <w:u w:val="none"/>
                <w:lang w:val="en-US" w:eastAsia="zh-CN" w:bidi="ar"/>
              </w:rPr>
              <w:t>2.3.1</w:t>
            </w:r>
            <w:r>
              <w:rPr>
                <w:rFonts w:hint="default" w:ascii="宋体" w:hAnsi="宋体" w:eastAsia="宋体" w:cs="宋体"/>
                <w:i w:val="0"/>
                <w:iCs w:val="0"/>
                <w:color w:val="auto"/>
                <w:kern w:val="0"/>
                <w:sz w:val="21"/>
                <w:szCs w:val="21"/>
                <w:highlight w:val="none"/>
                <w:u w:val="none"/>
                <w:lang w:val="en-US" w:eastAsia="zh-CN" w:bidi="ar"/>
              </w:rPr>
              <w:t>数据资产全景可视化</w:t>
            </w:r>
          </w:p>
          <w:p w14:paraId="2C770DD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以图形化界面集中展示全校各部门、各业务系统与数据中心的数据共享交换情况（采集接口数、共享接口类型与数量</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），可全局掌握数据流转态势。</w:t>
            </w:r>
            <w:r>
              <w:rPr>
                <w:rFonts w:hint="eastAsia" w:ascii="宋体" w:hAnsi="宋体" w:eastAsia="宋体" w:cs="宋体"/>
                <w:color w:val="auto"/>
                <w:sz w:val="21"/>
                <w:szCs w:val="21"/>
                <w:highlight w:val="none"/>
                <w:lang w:val="en-US" w:eastAsia="zh-CN"/>
              </w:rPr>
              <w:t>（提供功能截图或技术说明书或官网截图）</w:t>
            </w:r>
          </w:p>
          <w:p w14:paraId="17F754E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2.3.2</w:t>
            </w:r>
            <w:r>
              <w:rPr>
                <w:rFonts w:hint="default" w:ascii="宋体" w:hAnsi="宋体" w:eastAsia="宋体" w:cs="宋体"/>
                <w:i w:val="0"/>
                <w:iCs w:val="0"/>
                <w:color w:val="auto"/>
                <w:kern w:val="0"/>
                <w:sz w:val="21"/>
                <w:szCs w:val="21"/>
                <w:highlight w:val="none"/>
                <w:u w:val="none"/>
                <w:lang w:val="en-US" w:eastAsia="zh-CN" w:bidi="ar"/>
              </w:rPr>
              <w:t>字段级全链路血缘</w:t>
            </w:r>
          </w:p>
          <w:p w14:paraId="36528B2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自动生成单个数据对象的全链路血缘图谱，上游呈现来源部门/系统/表/字段，下游展示依赖的应用；ETL 接口运行异常时链路图自动高亮预警，便于快速定位。</w:t>
            </w:r>
          </w:p>
          <w:p w14:paraId="6735015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2.3.3</w:t>
            </w:r>
            <w:r>
              <w:rPr>
                <w:rFonts w:hint="default" w:ascii="宋体" w:hAnsi="宋体" w:eastAsia="宋体" w:cs="宋体"/>
                <w:i w:val="0"/>
                <w:iCs w:val="0"/>
                <w:color w:val="auto"/>
                <w:kern w:val="0"/>
                <w:sz w:val="21"/>
                <w:szCs w:val="21"/>
                <w:highlight w:val="none"/>
                <w:u w:val="none"/>
                <w:lang w:val="en-US" w:eastAsia="zh-CN" w:bidi="ar"/>
              </w:rPr>
              <w:t>元数据智能检索与版本</w:t>
            </w:r>
          </w:p>
          <w:p w14:paraId="0D8AB8D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对技术/业务/管理元数据按关键字模糊/精准查询、二次搜索、高亮；表结构变更自动生成历史版本，</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版本比对与差异追溯。</w:t>
            </w:r>
          </w:p>
          <w:p w14:paraId="44493F0B">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2.3.4</w:t>
            </w:r>
            <w:r>
              <w:rPr>
                <w:rFonts w:hint="default" w:ascii="宋体" w:hAnsi="宋体" w:eastAsia="宋体" w:cs="宋体"/>
                <w:i w:val="0"/>
                <w:iCs w:val="0"/>
                <w:color w:val="auto"/>
                <w:kern w:val="0"/>
                <w:sz w:val="21"/>
                <w:szCs w:val="21"/>
                <w:highlight w:val="none"/>
                <w:u w:val="none"/>
                <w:lang w:val="en-US" w:eastAsia="zh-CN" w:bidi="ar"/>
              </w:rPr>
              <w:t>元数据采集与文档管理</w:t>
            </w:r>
          </w:p>
          <w:p w14:paraId="3004175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将基础信息、数据源、接口</w:t>
            </w:r>
            <w:r>
              <w:rPr>
                <w:rFonts w:hint="eastAsia" w:ascii="宋体" w:hAnsi="宋体" w:eastAsia="宋体" w:cs="宋体"/>
                <w:i w:val="0"/>
                <w:iCs w:val="0"/>
                <w:color w:val="auto"/>
                <w:kern w:val="0"/>
                <w:sz w:val="21"/>
                <w:szCs w:val="21"/>
                <w:highlight w:val="none"/>
                <w:u w:val="none"/>
                <w:lang w:val="en-US" w:eastAsia="zh-CN" w:bidi="ar"/>
              </w:rPr>
              <w:t>基础信息</w:t>
            </w:r>
            <w:r>
              <w:rPr>
                <w:rFonts w:hint="default" w:ascii="宋体" w:hAnsi="宋体" w:eastAsia="宋体" w:cs="宋体"/>
                <w:i w:val="0"/>
                <w:iCs w:val="0"/>
                <w:color w:val="auto"/>
                <w:kern w:val="0"/>
                <w:sz w:val="21"/>
                <w:szCs w:val="21"/>
                <w:highlight w:val="none"/>
                <w:u w:val="none"/>
                <w:lang w:val="en-US" w:eastAsia="zh-CN" w:bidi="ar"/>
              </w:rPr>
              <w:t>、数据地图等采集为元数据，按调度或手动执行；配套治理文档（制度、规范）线上化管理，</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多格式上传下载。</w:t>
            </w:r>
          </w:p>
          <w:p w14:paraId="266E2F0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2.3.5数据流向筛选与资源对象管理</w:t>
            </w:r>
          </w:p>
          <w:p w14:paraId="1030AF3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按照所属部门、业务系统、系统厂商筛选查看数据流向和数据供需关系；</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查看数据表、视图、存储过程、函数等多种资源对象，元数据列表展示对象名称、对象注释、对象类型、空值率、是否发布、所属部门、所属业务系统、所属数据源等属性。</w:t>
            </w:r>
          </w:p>
          <w:p w14:paraId="767826E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2.3.6元数据高级检索与分类管理</w:t>
            </w:r>
          </w:p>
          <w:p w14:paraId="6F42C0C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根据对象名称、对象注释、元数据状态、建设状态、是否注册主数据对元数据进行检索，还可根据筛选专区（对象类型、对象数据源、所属部门、业务系统等条件）进行检索；</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对元数据进行自定义分类管理，</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调整分类的顺序与层级。</w:t>
            </w:r>
          </w:p>
          <w:p w14:paraId="3061227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2.3.7元数据属性定义与批量管理</w:t>
            </w:r>
          </w:p>
          <w:p w14:paraId="505CD21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从技术元数据、业务元数据、管理元数据等维度对元数据进行结构化描述：技术元数据</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元数据对象名称、对象注释、对象类型、所属数据源、存储位置、空值率、数据更新时间等；业务元数据</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数据所属部门、所属业务系统、元数据分类、标签、重要性分类等；管理元数据</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建设状态、业务确认状态、确权状态、安全级别、质检时间、质量评分、质量状态、是否开放状态等。</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对字段的安全级别、关联码表、所属部门、所属业务系统、所属系统模块</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进行设置，可根据字段名称、字段注释进行检索。</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对元数据进行批量处理，</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设置所属部门、业务系统、系统模块、元数据分类、标签、重要性分类、更新、删除、导出等，删除的元数据可在回收站查看、还原或彻底删除。</w:t>
            </w:r>
          </w:p>
          <w:p w14:paraId="401E7B4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2.3.8元数据差异检测与标签管理</w:t>
            </w:r>
          </w:p>
          <w:p w14:paraId="18074C8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自动检测元数据与源字段的业务属性差异并查看差异结果，可将源字段的部门和业务系统同步到元数据，也可将差异冻结，冻结后该差异不再计入差异统计；</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通过导入元数据批量设置元数据的业务属性和管理属性；</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对元数据标签进行维护管理，元数据可关联多个标签。</w:t>
            </w:r>
          </w:p>
          <w:p w14:paraId="14F21A3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2.3.9元数据采集任务与文件管理</w:t>
            </w:r>
          </w:p>
          <w:p w14:paraId="3A2F6FCF">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勾选需要采集的元数据对象并配置元数据采集任务，可按调度周期或手动执行，采集任务执行时可在线查看执行进度及采集任务日志；治理文档及配套数据管理制度可线上化管理，</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上传PDF/XLS/XLSX/DOCX等格式文件，已上传文件可下载、删除，</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按文件名称、文件说明检索，并</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对文件进行自定义分类管理。</w:t>
            </w:r>
          </w:p>
        </w:tc>
        <w:tc>
          <w:tcPr>
            <w:tcW w:w="686" w:type="dxa"/>
            <w:tcBorders>
              <w:top w:val="single" w:color="000000" w:sz="4" w:space="0"/>
              <w:bottom w:val="single" w:color="000000" w:sz="4" w:space="0"/>
            </w:tcBorders>
            <w:noWrap/>
            <w:vAlign w:val="center"/>
          </w:tcPr>
          <w:p w14:paraId="0E0F306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ign w:val="center"/>
          </w:tcPr>
          <w:p w14:paraId="715309AA">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套</w:t>
            </w:r>
          </w:p>
        </w:tc>
      </w:tr>
      <w:tr w14:paraId="702E430B">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90" w:hRule="atLeast"/>
          <w:jc w:val="center"/>
        </w:trPr>
        <w:tc>
          <w:tcPr>
            <w:tcW w:w="701" w:type="dxa"/>
            <w:tcBorders>
              <w:top w:val="single" w:color="000000" w:sz="4" w:space="0"/>
              <w:bottom w:val="single" w:color="000000" w:sz="4" w:space="0"/>
            </w:tcBorders>
            <w:noWrap w:val="0"/>
            <w:vAlign w:val="center"/>
          </w:tcPr>
          <w:p w14:paraId="3B183B8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w:t>
            </w:r>
          </w:p>
        </w:tc>
        <w:tc>
          <w:tcPr>
            <w:tcW w:w="896" w:type="dxa"/>
            <w:tcBorders>
              <w:top w:val="single" w:color="000000" w:sz="4" w:space="0"/>
              <w:bottom w:val="single" w:color="000000" w:sz="4" w:space="0"/>
            </w:tcBorders>
            <w:noWrap w:val="0"/>
            <w:vAlign w:val="center"/>
          </w:tcPr>
          <w:p w14:paraId="55462463">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智能开放网关（数据服务统一开放与管控）</w:t>
            </w:r>
          </w:p>
        </w:tc>
        <w:tc>
          <w:tcPr>
            <w:tcW w:w="5798" w:type="dxa"/>
            <w:tcBorders>
              <w:top w:val="single" w:color="000000" w:sz="4" w:space="0"/>
              <w:bottom w:val="single" w:color="000000" w:sz="4" w:space="0"/>
            </w:tcBorders>
            <w:noWrap w:val="0"/>
            <w:vAlign w:val="center"/>
          </w:tcPr>
          <w:p w14:paraId="4A0E0592">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作为全校数据服务统一出口，需实现数据清单全生命周期管理、多格式服务发布、字段级权限管控、全链路调用监控与审计，落实「一数一源」权责管理与数据泄露溯源。</w:t>
            </w:r>
          </w:p>
          <w:p w14:paraId="573C57D1">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i w:val="0"/>
                <w:iCs w:val="0"/>
                <w:color w:val="auto"/>
                <w:kern w:val="0"/>
                <w:sz w:val="21"/>
                <w:szCs w:val="21"/>
                <w:highlight w:val="none"/>
                <w:u w:val="none"/>
                <w:lang w:val="en-US" w:eastAsia="zh-CN" w:bidi="ar"/>
              </w:rPr>
              <w:t>3.1</w:t>
            </w:r>
            <w:r>
              <w:rPr>
                <w:rFonts w:hint="default" w:ascii="宋体" w:hAnsi="宋体" w:eastAsia="宋体" w:cs="宋体"/>
                <w:b/>
                <w:bCs/>
                <w:i w:val="0"/>
                <w:iCs w:val="0"/>
                <w:color w:val="auto"/>
                <w:kern w:val="0"/>
                <w:sz w:val="21"/>
                <w:szCs w:val="21"/>
                <w:highlight w:val="none"/>
                <w:u w:val="none"/>
                <w:lang w:val="en-US" w:eastAsia="zh-CN" w:bidi="ar"/>
              </w:rPr>
              <w:t>数据清单全生命周期管理</w:t>
            </w:r>
          </w:p>
          <w:p w14:paraId="62D3E99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展示已发布清单（开放格式、使用人数、所属部门、数据量等，</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下钻明细）；</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自定义分类、专区首页展示、草稿暂存、</w:t>
            </w:r>
            <w:r>
              <w:rPr>
                <w:rFonts w:hint="eastAsia" w:ascii="宋体" w:hAnsi="宋体" w:eastAsia="宋体" w:cs="宋体"/>
                <w:i w:val="0"/>
                <w:iCs w:val="0"/>
                <w:color w:val="auto"/>
                <w:kern w:val="0"/>
                <w:sz w:val="21"/>
                <w:szCs w:val="21"/>
                <w:highlight w:val="none"/>
                <w:u w:val="none"/>
                <w:lang w:val="en-US" w:eastAsia="zh-CN" w:bidi="ar"/>
              </w:rPr>
              <w:t>删除</w:t>
            </w:r>
            <w:r>
              <w:rPr>
                <w:rFonts w:hint="default" w:ascii="宋体" w:hAnsi="宋体" w:eastAsia="宋体" w:cs="宋体"/>
                <w:i w:val="0"/>
                <w:iCs w:val="0"/>
                <w:color w:val="auto"/>
                <w:kern w:val="0"/>
                <w:sz w:val="21"/>
                <w:szCs w:val="21"/>
                <w:highlight w:val="none"/>
                <w:u w:val="none"/>
                <w:lang w:val="en-US" w:eastAsia="zh-CN" w:bidi="ar"/>
              </w:rPr>
              <w:t>还原，满足持续运营需要。</w:t>
            </w:r>
            <w:r>
              <w:rPr>
                <w:rFonts w:hint="eastAsia" w:ascii="宋体" w:hAnsi="宋体" w:eastAsia="宋体" w:cs="宋体"/>
                <w:color w:val="auto"/>
                <w:sz w:val="21"/>
                <w:szCs w:val="21"/>
                <w:highlight w:val="none"/>
                <w:lang w:val="en-US" w:eastAsia="zh-CN"/>
              </w:rPr>
              <w:t>（提供功能截图或技术说明书或官网截图）</w:t>
            </w:r>
          </w:p>
          <w:p w14:paraId="602475E7">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3.2</w:t>
            </w:r>
            <w:r>
              <w:rPr>
                <w:rFonts w:hint="default" w:ascii="宋体" w:hAnsi="宋体" w:eastAsia="宋体" w:cs="宋体"/>
                <w:b/>
                <w:bCs/>
                <w:i w:val="0"/>
                <w:iCs w:val="0"/>
                <w:color w:val="auto"/>
                <w:kern w:val="0"/>
                <w:sz w:val="21"/>
                <w:szCs w:val="21"/>
                <w:highlight w:val="none"/>
                <w:u w:val="none"/>
                <w:lang w:val="en-US" w:eastAsia="zh-CN" w:bidi="ar"/>
              </w:rPr>
              <w:t>多格式服务发布</w:t>
            </w:r>
          </w:p>
          <w:p w14:paraId="25E6996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将治理后数据以 API 接口、文本文件、数据库视图、文件资源、Kafka 消息队列等多格式发布，适配不同消费场景。</w:t>
            </w:r>
          </w:p>
          <w:p w14:paraId="636D10FC">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i w:val="0"/>
                <w:iCs w:val="0"/>
                <w:color w:val="auto"/>
                <w:kern w:val="0"/>
                <w:sz w:val="21"/>
                <w:szCs w:val="21"/>
                <w:highlight w:val="none"/>
                <w:u w:val="none"/>
                <w:lang w:val="en-US" w:eastAsia="zh-CN" w:bidi="ar"/>
              </w:rPr>
              <w:t>3.3</w:t>
            </w:r>
            <w:r>
              <w:rPr>
                <w:rFonts w:hint="default" w:ascii="宋体" w:hAnsi="宋体" w:eastAsia="宋体" w:cs="宋体"/>
                <w:b/>
                <w:bCs/>
                <w:i w:val="0"/>
                <w:iCs w:val="0"/>
                <w:color w:val="auto"/>
                <w:kern w:val="0"/>
                <w:sz w:val="21"/>
                <w:szCs w:val="21"/>
                <w:highlight w:val="none"/>
                <w:u w:val="none"/>
                <w:lang w:val="en-US" w:eastAsia="zh-CN" w:bidi="ar"/>
              </w:rPr>
              <w:t xml:space="preserve">解密 / 脱敏 </w:t>
            </w:r>
          </w:p>
          <w:p w14:paraId="42E09FF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对加密存储字段发布时可先解密再加密或脱敏后开放。</w:t>
            </w:r>
            <w:r>
              <w:rPr>
                <w:rFonts w:hint="eastAsia" w:ascii="宋体" w:hAnsi="宋体" w:eastAsia="宋体" w:cs="宋体"/>
                <w:color w:val="auto"/>
                <w:sz w:val="21"/>
                <w:szCs w:val="21"/>
                <w:highlight w:val="none"/>
                <w:lang w:val="en-US" w:eastAsia="zh-CN"/>
              </w:rPr>
              <w:t>（提供功能截图或技术说明书或官网截图）</w:t>
            </w:r>
          </w:p>
          <w:p w14:paraId="081DC93E">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3.4</w:t>
            </w:r>
            <w:r>
              <w:rPr>
                <w:rFonts w:hint="default" w:ascii="宋体" w:hAnsi="宋体" w:eastAsia="宋体" w:cs="宋体"/>
                <w:b/>
                <w:bCs/>
                <w:i w:val="0"/>
                <w:iCs w:val="0"/>
                <w:color w:val="auto"/>
                <w:kern w:val="0"/>
                <w:sz w:val="21"/>
                <w:szCs w:val="21"/>
                <w:highlight w:val="none"/>
                <w:u w:val="none"/>
                <w:lang w:val="en-US" w:eastAsia="zh-CN" w:bidi="ar"/>
              </w:rPr>
              <w:t>字段级申请与管控</w:t>
            </w:r>
          </w:p>
          <w:p w14:paraId="318D5DE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用户申请时可勾选所需字段，管理员可在审核阶段或审核后过滤字段；停用的字段前台不可见不可用，操作全程留痕可审计。</w:t>
            </w:r>
          </w:p>
          <w:p w14:paraId="68089146">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3.5</w:t>
            </w:r>
            <w:r>
              <w:rPr>
                <w:rFonts w:hint="default" w:ascii="宋体" w:hAnsi="宋体" w:eastAsia="宋体" w:cs="宋体"/>
                <w:b/>
                <w:bCs/>
                <w:i w:val="0"/>
                <w:iCs w:val="0"/>
                <w:color w:val="auto"/>
                <w:kern w:val="0"/>
                <w:sz w:val="21"/>
                <w:szCs w:val="21"/>
                <w:highlight w:val="none"/>
                <w:u w:val="none"/>
                <w:lang w:val="en-US" w:eastAsia="zh-CN" w:bidi="ar"/>
              </w:rPr>
              <w:t>分级审核（一数一源）</w:t>
            </w:r>
          </w:p>
          <w:p w14:paraId="386BEDD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依据字段安全级别自动匹配审核流程；依据字段所属部门，实现同一审核节点由不同人员审批同一清单的不同字段，落实「谁的数据谁审批」。</w:t>
            </w:r>
          </w:p>
          <w:p w14:paraId="2F853CC2">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3.6</w:t>
            </w:r>
            <w:r>
              <w:rPr>
                <w:rFonts w:hint="default" w:ascii="宋体" w:hAnsi="宋体" w:eastAsia="宋体" w:cs="宋体"/>
                <w:b/>
                <w:bCs/>
                <w:i w:val="0"/>
                <w:iCs w:val="0"/>
                <w:color w:val="auto"/>
                <w:kern w:val="0"/>
                <w:sz w:val="21"/>
                <w:szCs w:val="21"/>
                <w:highlight w:val="none"/>
                <w:u w:val="none"/>
                <w:lang w:val="en-US" w:eastAsia="zh-CN" w:bidi="ar"/>
              </w:rPr>
              <w:t>调用访问策略管控</w:t>
            </w:r>
          </w:p>
          <w:p w14:paraId="7B19FAF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支持按小时/天/月设置调用频次上限（全局或针对特定应用）、有效访问时段（允许/禁止）、IP/域名黑白名单；超出限制自动停止响应，管理员可重置。</w:t>
            </w:r>
          </w:p>
          <w:p w14:paraId="39896910">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3.7</w:t>
            </w:r>
            <w:r>
              <w:rPr>
                <w:rFonts w:hint="default" w:ascii="宋体" w:hAnsi="宋体" w:eastAsia="宋体" w:cs="宋体"/>
                <w:b/>
                <w:bCs/>
                <w:i w:val="0"/>
                <w:iCs w:val="0"/>
                <w:color w:val="auto"/>
                <w:kern w:val="0"/>
                <w:sz w:val="21"/>
                <w:szCs w:val="21"/>
                <w:highlight w:val="none"/>
                <w:u w:val="none"/>
                <w:lang w:val="en-US" w:eastAsia="zh-CN" w:bidi="ar"/>
              </w:rPr>
              <w:t>监控审计与水印溯源</w:t>
            </w:r>
          </w:p>
          <w:p w14:paraId="645871EC">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提供运营全景报告（异常预警、TOP 清单、调用趋势等）；记录接口访问/性能/失败监控与操作日志；开启水印的清单记录调用日志，泄露时可追溯用户与时间。</w:t>
            </w:r>
          </w:p>
          <w:p w14:paraId="7C64C07E">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3.8清单检索、排序与启停</w:t>
            </w:r>
          </w:p>
          <w:p w14:paraId="08A949A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根据清单名称、数据开放格式进行检索，也可根据筛选专区条件（所属部门、业务系统、关键词、数据清单状态、所属数据源等）进行组合查询；</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根据API调用次数、离线表格下载次数、应用数、申请数</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对清单进行排序；</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启用/停用数据清单；</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对已发布的数据清单进行数据测试，根据设置的参数筛选条件查看接口返回结果；</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查看数据清单的数据、下载数据清单的数据字典，并可将数据清单导出为Excel。</w:t>
            </w:r>
          </w:p>
          <w:p w14:paraId="2AEE2B85">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3.9关键词标签与批量管理</w:t>
            </w:r>
          </w:p>
          <w:p w14:paraId="01BD58C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在线管理关键词，可通过为数据清单配置关键词的方式给清单打标签，可查看每个关键词下有哪些清单；</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批量设置数据清单的分类、设置关键词、更新清单。</w:t>
            </w:r>
          </w:p>
          <w:p w14:paraId="115CFBE4">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3.10清单详情与在线迭代升级</w:t>
            </w:r>
          </w:p>
          <w:p w14:paraId="731485F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查看清单详情，</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基本信息、字段说明、数据开放情况、全链分析、数据预览等，其中全链分析以当前清单为主，展示当前清单的来源表、清单被应用申请使用的情况等；</w:t>
            </w:r>
            <w:r>
              <w:rPr>
                <w:rFonts w:hint="eastAsia" w:ascii="宋体" w:hAnsi="宋体" w:eastAsia="宋体" w:cs="宋体"/>
                <w:i w:val="0"/>
                <w:iCs w:val="0"/>
                <w:color w:val="auto"/>
                <w:kern w:val="0"/>
                <w:sz w:val="21"/>
                <w:szCs w:val="21"/>
                <w:highlight w:val="none"/>
                <w:u w:val="none"/>
                <w:lang w:val="en-US" w:eastAsia="zh-CN" w:bidi="ar"/>
              </w:rPr>
              <w:t>提供</w:t>
            </w:r>
            <w:r>
              <w:rPr>
                <w:rFonts w:hint="default" w:ascii="宋体" w:hAnsi="宋体" w:eastAsia="宋体" w:cs="宋体"/>
                <w:i w:val="0"/>
                <w:iCs w:val="0"/>
                <w:color w:val="auto"/>
                <w:kern w:val="0"/>
                <w:sz w:val="21"/>
                <w:szCs w:val="21"/>
                <w:highlight w:val="none"/>
                <w:u w:val="none"/>
                <w:lang w:val="en-US" w:eastAsia="zh-CN" w:bidi="ar"/>
              </w:rPr>
              <w:t>数据服务的在线迭代升级，在服务运行状态下可完成字段新增、注释修改等操作，升级过程对下游调用方无感知；</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基于标准代码表对字段值进行字典映射转换，可将代码值转换为对应的业务含义名称后发布。</w:t>
            </w:r>
          </w:p>
          <w:p w14:paraId="14755507">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3.11应用全生命周期管理</w:t>
            </w:r>
          </w:p>
          <w:p w14:paraId="4E3C9FF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对应用进行在线管理，应用管理列表展示</w:t>
            </w:r>
            <w:r>
              <w:rPr>
                <w:rFonts w:hint="eastAsia" w:ascii="宋体" w:hAnsi="宋体" w:eastAsia="宋体" w:cs="宋体"/>
                <w:i w:val="0"/>
                <w:iCs w:val="0"/>
                <w:color w:val="auto"/>
                <w:kern w:val="0"/>
                <w:sz w:val="21"/>
                <w:szCs w:val="21"/>
                <w:highlight w:val="none"/>
                <w:u w:val="none"/>
                <w:lang w:val="en-US" w:eastAsia="zh-CN" w:bidi="ar"/>
              </w:rPr>
              <w:t>内容</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应用名称、所属部门、申请的API接口/文本数据/ETL接口/数据库视图的清单数量、负责人等信息，可根据应用名称、部门检索；可查看每个应用申请的数据清单详情，包括应用分别使用了哪些数据类型的哪些清单、每个清单的申请审批记录、每个数据清单授权了哪些字段、授权字段是否使用加密/脱敏的安全控制策略等；可查看应用调用API接口的次数及</w:t>
            </w:r>
            <w:r>
              <w:rPr>
                <w:rFonts w:hint="eastAsia" w:ascii="宋体" w:hAnsi="宋体" w:eastAsia="宋体" w:cs="宋体"/>
                <w:i w:val="0"/>
                <w:iCs w:val="0"/>
                <w:color w:val="auto"/>
                <w:kern w:val="0"/>
                <w:sz w:val="21"/>
                <w:szCs w:val="21"/>
                <w:highlight w:val="none"/>
                <w:u w:val="none"/>
                <w:lang w:val="en-US" w:eastAsia="zh-CN" w:bidi="ar"/>
              </w:rPr>
              <w:t>不低于</w:t>
            </w:r>
            <w:r>
              <w:rPr>
                <w:rFonts w:hint="default" w:ascii="宋体" w:hAnsi="宋体" w:eastAsia="宋体" w:cs="宋体"/>
                <w:i w:val="0"/>
                <w:iCs w:val="0"/>
                <w:color w:val="auto"/>
                <w:kern w:val="0"/>
                <w:sz w:val="21"/>
                <w:szCs w:val="21"/>
                <w:highlight w:val="none"/>
                <w:u w:val="none"/>
                <w:lang w:val="en-US" w:eastAsia="zh-CN" w:bidi="ar"/>
              </w:rPr>
              <w:t>7日的调用趋势；应用在一段时间内未调用接口时可进行预警；可查看应用的变更历史，包括创建、修改、转交应用的记录；可对应用申请的API接口进行测试，验证接口的可访问性和数据可用性；可对应用申请的API接口/文本数据/ETL接口/数据库视图进行字段级管控，可停用/启用已申请的字段，停用的字段前台用户不可使用和查看，管控操作保留操作日志供管理员查看；可修改数据清单的授权时长，可对应用申请的数据清单取消授权，也可停用应用申请的清单，重新启用后用户无需重新申请即可再次使用；可对应用申请的API接口、文本数据、ETL接口、文件资源类型的数据清单添加限制条件，控制用户可使用的数据范围。</w:t>
            </w:r>
          </w:p>
          <w:p w14:paraId="3D129548">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3.12策略差异化配置与清单运维</w:t>
            </w:r>
          </w:p>
          <w:p w14:paraId="3FC227C0">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调用频次、有效访问时段、IP/域名黑白名单等访问策略配置；</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全局统一配置与单应用差异化配置，满足分级管控需求；</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批量配置策略，提升运维效率。</w:t>
            </w:r>
          </w:p>
          <w:p w14:paraId="56ACB8C3">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对清单的启用/停用、取消授权、过期、编辑授权时间、修改限制条件等操作均留存操作日志供管理员查看。</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定期对所有的数据清单进行扫描以检查其有效性，也可手动执行扫描，扫描后可查看执行耗时、检查清单总数、正常/异常清单数量等信息；针对API接口可设置入参，配置入参后调用时必须输入参数值，返回结果只有1或0，未配置入参则正常返回清单已申请字段的数据，用于下游用户校验数据是否存在接口中。</w:t>
            </w:r>
          </w:p>
        </w:tc>
        <w:tc>
          <w:tcPr>
            <w:tcW w:w="686" w:type="dxa"/>
            <w:tcBorders>
              <w:top w:val="single" w:color="000000" w:sz="4" w:space="0"/>
              <w:bottom w:val="single" w:color="000000" w:sz="4" w:space="0"/>
            </w:tcBorders>
            <w:noWrap/>
            <w:vAlign w:val="center"/>
          </w:tcPr>
          <w:p w14:paraId="3697E3A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ign w:val="center"/>
          </w:tcPr>
          <w:p w14:paraId="5E8199DF">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套</w:t>
            </w:r>
          </w:p>
        </w:tc>
      </w:tr>
      <w:tr w14:paraId="411C5776">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650634A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896" w:type="dxa"/>
            <w:tcBorders>
              <w:top w:val="single" w:color="000000" w:sz="4" w:space="0"/>
              <w:bottom w:val="single" w:color="000000" w:sz="4" w:space="0"/>
            </w:tcBorders>
            <w:noWrap w:val="0"/>
            <w:vAlign w:val="center"/>
          </w:tcPr>
          <w:p w14:paraId="3F76AA98">
            <w:pPr>
              <w:keepNext w:val="0"/>
              <w:keepLines w:val="0"/>
              <w:widowControl/>
              <w:suppressLineNumbers w:val="0"/>
              <w:jc w:val="center"/>
              <w:textAlignment w:val="center"/>
              <w:rPr>
                <w:rFonts w:hint="default" w:ascii="宋体" w:hAnsi="宋体" w:eastAsia="宋体" w:cs="宋体"/>
                <w:b/>
                <w:bCs/>
                <w:i w:val="0"/>
                <w:iCs w:val="0"/>
                <w:color w:val="auto"/>
                <w:sz w:val="22"/>
                <w:szCs w:val="22"/>
                <w:highlight w:val="none"/>
                <w:u w:val="none"/>
                <w:lang w:val="en-US"/>
              </w:rPr>
            </w:pPr>
            <w:r>
              <w:rPr>
                <w:rFonts w:hint="eastAsia" w:ascii="宋体" w:hAnsi="宋体" w:eastAsia="宋体" w:cs="宋体"/>
                <w:b/>
                <w:bCs/>
                <w:i w:val="0"/>
                <w:iCs w:val="0"/>
                <w:color w:val="auto"/>
                <w:kern w:val="0"/>
                <w:sz w:val="22"/>
                <w:szCs w:val="22"/>
                <w:highlight w:val="none"/>
                <w:u w:val="none"/>
                <w:lang w:val="en-US" w:eastAsia="zh-CN" w:bidi="ar"/>
              </w:rPr>
              <w:t>统一调度中心</w:t>
            </w:r>
          </w:p>
        </w:tc>
        <w:tc>
          <w:tcPr>
            <w:tcW w:w="5798" w:type="dxa"/>
            <w:tcBorders>
              <w:top w:val="single" w:color="000000" w:sz="4" w:space="0"/>
              <w:bottom w:val="single" w:color="000000" w:sz="4" w:space="0"/>
            </w:tcBorders>
            <w:noWrap w:val="0"/>
            <w:vAlign w:val="center"/>
          </w:tcPr>
          <w:p w14:paraId="17674B77">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i w:val="0"/>
                <w:iCs w:val="0"/>
                <w:color w:val="auto"/>
                <w:kern w:val="0"/>
                <w:sz w:val="21"/>
                <w:szCs w:val="21"/>
                <w:highlight w:val="none"/>
                <w:u w:val="none"/>
                <w:lang w:val="en-US" w:eastAsia="zh-CN" w:bidi="ar"/>
              </w:rPr>
              <w:t>4.1</w:t>
            </w:r>
            <w:r>
              <w:rPr>
                <w:rFonts w:hint="default" w:ascii="宋体" w:hAnsi="宋体" w:eastAsia="宋体" w:cs="宋体"/>
                <w:b/>
                <w:bCs/>
                <w:i w:val="0"/>
                <w:iCs w:val="0"/>
                <w:color w:val="auto"/>
                <w:kern w:val="0"/>
                <w:sz w:val="21"/>
                <w:szCs w:val="21"/>
                <w:highlight w:val="none"/>
                <w:u w:val="none"/>
                <w:lang w:val="en-US" w:eastAsia="zh-CN" w:bidi="ar"/>
              </w:rPr>
              <w:t>可视化调度编排</w:t>
            </w:r>
          </w:p>
          <w:p w14:paraId="5ABC90D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通过拖拽方式</w:t>
            </w:r>
            <w:r>
              <w:rPr>
                <w:rFonts w:hint="eastAsia" w:ascii="宋体" w:hAnsi="宋体" w:eastAsia="宋体" w:cs="宋体"/>
                <w:i w:val="0"/>
                <w:iCs w:val="0"/>
                <w:color w:val="auto"/>
                <w:kern w:val="0"/>
                <w:sz w:val="21"/>
                <w:szCs w:val="21"/>
                <w:highlight w:val="none"/>
                <w:u w:val="none"/>
                <w:lang w:val="en-US" w:eastAsia="zh-CN" w:bidi="ar"/>
              </w:rPr>
              <w:t>或可视化界面</w:t>
            </w:r>
            <w:r>
              <w:rPr>
                <w:rFonts w:hint="default" w:ascii="宋体" w:hAnsi="宋体" w:eastAsia="宋体" w:cs="宋体"/>
                <w:i w:val="0"/>
                <w:iCs w:val="0"/>
                <w:color w:val="auto"/>
                <w:kern w:val="0"/>
                <w:sz w:val="21"/>
                <w:szCs w:val="21"/>
                <w:highlight w:val="none"/>
                <w:u w:val="none"/>
                <w:lang w:val="en-US" w:eastAsia="zh-CN" w:bidi="ar"/>
              </w:rPr>
              <w:t>创建调度任务，构建复杂流程（如「先入湖、再加工、最后入仓」）。</w:t>
            </w:r>
            <w:r>
              <w:rPr>
                <w:rFonts w:hint="eastAsia" w:ascii="宋体" w:hAnsi="宋体" w:eastAsia="宋体" w:cs="宋体"/>
                <w:color w:val="auto"/>
                <w:sz w:val="21"/>
                <w:szCs w:val="21"/>
                <w:highlight w:val="none"/>
                <w:lang w:val="en-US" w:eastAsia="zh-CN"/>
              </w:rPr>
              <w:t>（提供功能截图或技术说明书或官网截图）</w:t>
            </w:r>
          </w:p>
          <w:p w14:paraId="4ACC410B">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4.2</w:t>
            </w:r>
            <w:r>
              <w:rPr>
                <w:rFonts w:hint="default" w:ascii="宋体" w:hAnsi="宋体" w:eastAsia="宋体" w:cs="宋体"/>
                <w:b/>
                <w:bCs/>
                <w:i w:val="0"/>
                <w:iCs w:val="0"/>
                <w:color w:val="auto"/>
                <w:kern w:val="0"/>
                <w:sz w:val="21"/>
                <w:szCs w:val="21"/>
                <w:highlight w:val="none"/>
                <w:u w:val="none"/>
                <w:lang w:val="en-US" w:eastAsia="zh-CN" w:bidi="ar"/>
              </w:rPr>
              <w:t>条件分支与容错</w:t>
            </w:r>
          </w:p>
          <w:p w14:paraId="58F7A9D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基于上一节点执行状态或数据量阈值（错误/读取/插入/删除等条数）配置分支；节点失败时可选择是否继续，适配不同容错需求。</w:t>
            </w:r>
          </w:p>
          <w:p w14:paraId="123DCD9F">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4.3</w:t>
            </w:r>
            <w:r>
              <w:rPr>
                <w:rFonts w:hint="default" w:ascii="宋体" w:hAnsi="宋体" w:eastAsia="宋体" w:cs="宋体"/>
                <w:b/>
                <w:bCs/>
                <w:i w:val="0"/>
                <w:iCs w:val="0"/>
                <w:color w:val="auto"/>
                <w:kern w:val="0"/>
                <w:sz w:val="21"/>
                <w:szCs w:val="21"/>
                <w:highlight w:val="none"/>
                <w:u w:val="none"/>
                <w:lang w:val="en-US" w:eastAsia="zh-CN" w:bidi="ar"/>
              </w:rPr>
              <w:t>调度启停、导入导出与校验</w:t>
            </w:r>
          </w:p>
          <w:p w14:paraId="0906CC1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支持启停、周期自动/手动触发、批量操作</w:t>
            </w:r>
            <w:r>
              <w:rPr>
                <w:rFonts w:hint="eastAsia" w:ascii="宋体" w:hAnsi="宋体" w:eastAsia="宋体" w:cs="宋体"/>
                <w:i w:val="0"/>
                <w:iCs w:val="0"/>
                <w:color w:val="auto"/>
                <w:kern w:val="0"/>
                <w:sz w:val="21"/>
                <w:szCs w:val="21"/>
                <w:highlight w:val="none"/>
                <w:u w:val="none"/>
                <w:lang w:val="en-US" w:eastAsia="zh-CN" w:bidi="ar"/>
              </w:rPr>
              <w:t>等多种操作</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跨环境导入导出与微调</w:t>
            </w:r>
            <w:r>
              <w:rPr>
                <w:rFonts w:hint="eastAsia" w:ascii="宋体" w:hAnsi="宋体" w:eastAsia="宋体" w:cs="宋体"/>
                <w:i w:val="0"/>
                <w:iCs w:val="0"/>
                <w:color w:val="auto"/>
                <w:kern w:val="0"/>
                <w:sz w:val="21"/>
                <w:szCs w:val="21"/>
                <w:highlight w:val="none"/>
                <w:u w:val="none"/>
                <w:lang w:val="en-US" w:eastAsia="zh-CN" w:bidi="ar"/>
              </w:rPr>
              <w:t>。</w:t>
            </w:r>
          </w:p>
          <w:p w14:paraId="77F0BF1F">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4.4</w:t>
            </w:r>
            <w:r>
              <w:rPr>
                <w:rFonts w:hint="default" w:ascii="宋体" w:hAnsi="宋体" w:eastAsia="宋体" w:cs="宋体"/>
                <w:b/>
                <w:bCs/>
                <w:i w:val="0"/>
                <w:iCs w:val="0"/>
                <w:color w:val="auto"/>
                <w:kern w:val="0"/>
                <w:sz w:val="21"/>
                <w:szCs w:val="21"/>
                <w:highlight w:val="none"/>
                <w:u w:val="none"/>
                <w:lang w:val="en-US" w:eastAsia="zh-CN" w:bidi="ar"/>
              </w:rPr>
              <w:t>运行监控与运维</w:t>
            </w:r>
          </w:p>
          <w:p w14:paraId="4A431B1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实时监控每个组件状态、进度与日志，</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快速跳转至接口编辑页，提升问题排查效率。</w:t>
            </w:r>
          </w:p>
          <w:p w14:paraId="13A49FCB">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4.5</w:t>
            </w:r>
            <w:r>
              <w:rPr>
                <w:rFonts w:hint="default" w:ascii="宋体" w:hAnsi="宋体" w:eastAsia="宋体" w:cs="宋体"/>
                <w:b/>
                <w:bCs/>
                <w:i w:val="0"/>
                <w:iCs w:val="0"/>
                <w:color w:val="auto"/>
                <w:kern w:val="0"/>
                <w:sz w:val="21"/>
                <w:szCs w:val="21"/>
                <w:highlight w:val="none"/>
                <w:u w:val="none"/>
                <w:lang w:val="en-US" w:eastAsia="zh-CN" w:bidi="ar"/>
              </w:rPr>
              <w:t>调度时序冲突校验</w:t>
            </w:r>
          </w:p>
          <w:p w14:paraId="6900C4A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提供调度任务校验功能，能够自动识别存在依赖关系的接口任务之间的执行时序冲突（如数据加工任务的执行时间早于其上游数据采集任务），发现冲突时向用户发出明确提示，防止因调度时间设置不合理导致数据更新异常或缺失，确保各业务数据按时、有序、完整更新。</w:t>
            </w:r>
            <w:r>
              <w:rPr>
                <w:rFonts w:hint="eastAsia" w:ascii="宋体" w:hAnsi="宋体" w:eastAsia="宋体" w:cs="宋体"/>
                <w:i w:val="0"/>
                <w:iCs w:val="0"/>
                <w:color w:val="auto"/>
                <w:kern w:val="0"/>
                <w:sz w:val="21"/>
                <w:szCs w:val="21"/>
                <w:highlight w:val="none"/>
                <w:u w:val="none"/>
                <w:lang w:val="en-US" w:eastAsia="zh-CN" w:bidi="ar"/>
              </w:rPr>
              <w:t>功能布局及UI界面参考示意如下：</w:t>
            </w:r>
          </w:p>
          <w:p w14:paraId="4A7A7084">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drawing>
                <wp:inline distT="0" distB="0" distL="114300" distR="114300">
                  <wp:extent cx="3128645" cy="1568450"/>
                  <wp:effectExtent l="0" t="0" r="14605"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0"/>
                          <a:stretch>
                            <a:fillRect/>
                          </a:stretch>
                        </pic:blipFill>
                        <pic:spPr>
                          <a:xfrm>
                            <a:off x="0" y="0"/>
                            <a:ext cx="3128645" cy="1568450"/>
                          </a:xfrm>
                          <a:prstGeom prst="rect">
                            <a:avLst/>
                          </a:prstGeom>
                          <a:noFill/>
                          <a:ln>
                            <a:noFill/>
                          </a:ln>
                        </pic:spPr>
                      </pic:pic>
                    </a:graphicData>
                  </a:graphic>
                </wp:inline>
              </w:drawing>
            </w:r>
          </w:p>
          <w:p w14:paraId="3387ED71">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本图仅为业务逻辑示意，图中所有界面布局、按钮名称、字段命名、菜单分类均为示例，不做为实际交付要求，供应商以同等功能实现即可。</w:t>
            </w:r>
          </w:p>
          <w:p w14:paraId="267C800C">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4.6调度分类与检索</w:t>
            </w:r>
          </w:p>
          <w:p w14:paraId="23CF071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对调度进行自定义分类管理，一个调度可归属多个分类，</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自定义分类管理，可调整分类层级与顺序；</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根据调度名称、调度描述、执行周期、接口名称、接口描述、调度类别、调度状态、启用状态、最近执行时间、是否未按时执行等进行检索。</w:t>
            </w:r>
          </w:p>
          <w:p w14:paraId="73749305">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4.7调度历史记录与回收站</w:t>
            </w:r>
          </w:p>
          <w:p w14:paraId="638B984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查看调度历史运行记录，可查看每个子组件及子组件中包含的ETL接口的执行状态、失败原因、接口日志，可快速跳转到接口编辑页面修改接口配置；调度</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删除恢复机制，误删除的数据任务可恢复；彻底删除时</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关联清理对应目标资源，避免冗余数据。</w:t>
            </w:r>
          </w:p>
          <w:p w14:paraId="177D3036">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4.8调度批量操作</w:t>
            </w:r>
          </w:p>
          <w:p w14:paraId="2CF42B1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对调度进行批量操作，包括批量启用、停用、运行、停止、删除。</w:t>
            </w:r>
          </w:p>
        </w:tc>
        <w:tc>
          <w:tcPr>
            <w:tcW w:w="686" w:type="dxa"/>
            <w:tcBorders>
              <w:top w:val="single" w:color="000000" w:sz="4" w:space="0"/>
              <w:bottom w:val="single" w:color="000000" w:sz="4" w:space="0"/>
            </w:tcBorders>
            <w:noWrap w:val="0"/>
            <w:vAlign w:val="center"/>
          </w:tcPr>
          <w:p w14:paraId="14ABB85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3F76DBDC">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套</w:t>
            </w:r>
          </w:p>
        </w:tc>
      </w:tr>
      <w:tr w14:paraId="2BA39519">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6F97093B">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c>
          <w:tcPr>
            <w:tcW w:w="896" w:type="dxa"/>
            <w:tcBorders>
              <w:top w:val="single" w:color="000000" w:sz="4" w:space="0"/>
              <w:bottom w:val="single" w:color="000000" w:sz="4" w:space="0"/>
            </w:tcBorders>
            <w:noWrap w:val="0"/>
            <w:vAlign w:val="center"/>
          </w:tcPr>
          <w:p w14:paraId="7DE1F8C7">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数据标准管理（数据元 + 标准代码集）</w:t>
            </w:r>
          </w:p>
        </w:tc>
        <w:tc>
          <w:tcPr>
            <w:tcW w:w="5798" w:type="dxa"/>
            <w:tcBorders>
              <w:top w:val="single" w:color="000000" w:sz="4" w:space="0"/>
              <w:bottom w:val="single" w:color="000000" w:sz="4" w:space="0"/>
            </w:tcBorders>
            <w:noWrap w:val="0"/>
            <w:vAlign w:val="center"/>
          </w:tcPr>
          <w:p w14:paraId="4C122CF9">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5.1</w:t>
            </w:r>
            <w:r>
              <w:rPr>
                <w:rFonts w:hint="default" w:ascii="宋体" w:hAnsi="宋体" w:eastAsia="宋体" w:cs="宋体"/>
                <w:b/>
                <w:bCs/>
                <w:i w:val="0"/>
                <w:iCs w:val="0"/>
                <w:color w:val="auto"/>
                <w:kern w:val="0"/>
                <w:sz w:val="21"/>
                <w:szCs w:val="21"/>
                <w:highlight w:val="none"/>
                <w:u w:val="none"/>
                <w:lang w:val="en-US" w:eastAsia="zh-CN" w:bidi="ar"/>
              </w:rPr>
              <w:t>数据元全生命周期</w:t>
            </w:r>
          </w:p>
          <w:p w14:paraId="2DBD0BC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数据元在线管理</w:t>
            </w:r>
            <w:r>
              <w:rPr>
                <w:rFonts w:hint="eastAsia" w:ascii="宋体" w:hAnsi="宋体" w:eastAsia="宋体" w:cs="宋体"/>
                <w:i w:val="0"/>
                <w:iCs w:val="0"/>
                <w:color w:val="auto"/>
                <w:kern w:val="0"/>
                <w:sz w:val="21"/>
                <w:szCs w:val="21"/>
                <w:highlight w:val="none"/>
                <w:u w:val="none"/>
                <w:lang w:val="en-US" w:eastAsia="zh-CN" w:bidi="ar"/>
              </w:rPr>
              <w:t>能力</w:t>
            </w:r>
            <w:r>
              <w:rPr>
                <w:rFonts w:hint="default"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名称、注释、类型、长度、安全级别、被引用次数等），覆</w:t>
            </w:r>
            <w:r>
              <w:rPr>
                <w:rFonts w:hint="default" w:ascii="宋体" w:hAnsi="宋体" w:eastAsia="宋体" w:cs="宋体"/>
                <w:i w:val="0"/>
                <w:iCs w:val="0"/>
                <w:color w:val="auto"/>
                <w:kern w:val="0"/>
                <w:sz w:val="21"/>
                <w:szCs w:val="21"/>
                <w:highlight w:val="none"/>
                <w:u w:val="none"/>
                <w:lang w:val="en-US" w:eastAsia="zh-CN" w:bidi="ar"/>
              </w:rPr>
              <w:t>盖</w:t>
            </w:r>
            <w:r>
              <w:rPr>
                <w:rFonts w:hint="eastAsia" w:ascii="宋体" w:hAnsi="宋体" w:eastAsia="宋体" w:cs="宋体"/>
                <w:i w:val="0"/>
                <w:iCs w:val="0"/>
                <w:color w:val="auto"/>
                <w:kern w:val="0"/>
                <w:sz w:val="21"/>
                <w:szCs w:val="21"/>
                <w:highlight w:val="none"/>
                <w:u w:val="none"/>
                <w:lang w:val="en-US" w:eastAsia="zh-CN" w:bidi="ar"/>
              </w:rPr>
              <w:t>不少于</w:t>
            </w:r>
            <w:r>
              <w:rPr>
                <w:rFonts w:hint="default" w:ascii="宋体" w:hAnsi="宋体" w:eastAsia="宋体" w:cs="宋体"/>
                <w:i w:val="0"/>
                <w:iCs w:val="0"/>
                <w:color w:val="auto"/>
                <w:kern w:val="0"/>
                <w:sz w:val="21"/>
                <w:szCs w:val="21"/>
                <w:highlight w:val="none"/>
                <w:u w:val="none"/>
                <w:lang w:val="en-US" w:eastAsia="zh-CN" w:bidi="ar"/>
              </w:rPr>
              <w:t>字符串/整数/日期等类数据类型</w:t>
            </w:r>
            <w:r>
              <w:rPr>
                <w:rFonts w:hint="default" w:ascii="宋体" w:hAnsi="宋体" w:eastAsia="宋体" w:cs="宋体"/>
                <w:i w:val="0"/>
                <w:iCs w:val="0"/>
                <w:color w:val="auto"/>
                <w:kern w:val="0"/>
                <w:sz w:val="21"/>
                <w:szCs w:val="21"/>
                <w:highlight w:val="none"/>
                <w:u w:val="none"/>
                <w:lang w:val="en-US" w:eastAsia="zh-CN" w:bidi="ar"/>
              </w:rPr>
              <w:t>；可按中文注释自动生成名称，支持同名不同义、同义不同名；提供导入导出、回收站、版本自动迭代与比对。</w:t>
            </w:r>
          </w:p>
          <w:p w14:paraId="4B083705">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5.2</w:t>
            </w:r>
            <w:r>
              <w:rPr>
                <w:rFonts w:hint="default" w:ascii="宋体" w:hAnsi="宋体" w:eastAsia="宋体" w:cs="宋体"/>
                <w:b/>
                <w:bCs/>
                <w:i w:val="0"/>
                <w:iCs w:val="0"/>
                <w:color w:val="auto"/>
                <w:kern w:val="0"/>
                <w:sz w:val="21"/>
                <w:szCs w:val="21"/>
                <w:highlight w:val="none"/>
                <w:u w:val="none"/>
                <w:lang w:val="en-US" w:eastAsia="zh-CN" w:bidi="ar"/>
              </w:rPr>
              <w:t>标准代码集管理</w:t>
            </w:r>
          </w:p>
          <w:p w14:paraId="054961C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标准代码表在线维护、自定义分类、上线/下线</w:t>
            </w:r>
            <w:r>
              <w:rPr>
                <w:rFonts w:hint="eastAsia" w:ascii="宋体" w:hAnsi="宋体" w:eastAsia="宋体" w:cs="宋体"/>
                <w:i w:val="0"/>
                <w:iCs w:val="0"/>
                <w:color w:val="auto"/>
                <w:kern w:val="0"/>
                <w:sz w:val="21"/>
                <w:szCs w:val="21"/>
                <w:highlight w:val="none"/>
                <w:u w:val="none"/>
                <w:lang w:val="en-US" w:eastAsia="zh-CN" w:bidi="ar"/>
              </w:rPr>
              <w:t>能力</w:t>
            </w:r>
            <w:r>
              <w:rPr>
                <w:rFonts w:hint="default" w:ascii="宋体" w:hAnsi="宋体" w:eastAsia="宋体" w:cs="宋体"/>
                <w:i w:val="0"/>
                <w:iCs w:val="0"/>
                <w:color w:val="auto"/>
                <w:kern w:val="0"/>
                <w:sz w:val="21"/>
                <w:szCs w:val="21"/>
                <w:highlight w:val="none"/>
                <w:u w:val="none"/>
                <w:lang w:val="en-US" w:eastAsia="zh-CN" w:bidi="ar"/>
              </w:rPr>
              <w:t>；可基于标准代码表自动生成实体表或</w:t>
            </w:r>
            <w:r>
              <w:rPr>
                <w:rFonts w:hint="eastAsia" w:ascii="宋体" w:hAnsi="宋体" w:eastAsia="宋体" w:cs="宋体"/>
                <w:i w:val="0"/>
                <w:iCs w:val="0"/>
                <w:color w:val="auto"/>
                <w:kern w:val="0"/>
                <w:sz w:val="21"/>
                <w:szCs w:val="21"/>
                <w:highlight w:val="none"/>
                <w:u w:val="none"/>
                <w:lang w:val="en-US" w:eastAsia="zh-CN" w:bidi="ar"/>
              </w:rPr>
              <w:t>代码</w:t>
            </w:r>
            <w:r>
              <w:rPr>
                <w:rFonts w:hint="default" w:ascii="宋体" w:hAnsi="宋体" w:eastAsia="宋体" w:cs="宋体"/>
                <w:i w:val="0"/>
                <w:iCs w:val="0"/>
                <w:color w:val="auto"/>
                <w:kern w:val="0"/>
                <w:sz w:val="21"/>
                <w:szCs w:val="21"/>
                <w:highlight w:val="none"/>
                <w:u w:val="none"/>
                <w:lang w:val="en-US" w:eastAsia="zh-CN" w:bidi="ar"/>
              </w:rPr>
              <w:t>脚本；与数仓代码表双向同步，保障一致。</w:t>
            </w:r>
          </w:p>
          <w:p w14:paraId="0380A07F">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5.3</w:t>
            </w:r>
            <w:r>
              <w:rPr>
                <w:rFonts w:hint="default" w:ascii="宋体" w:hAnsi="宋体" w:eastAsia="宋体" w:cs="宋体"/>
                <w:b/>
                <w:bCs/>
                <w:i w:val="0"/>
                <w:iCs w:val="0"/>
                <w:color w:val="auto"/>
                <w:kern w:val="0"/>
                <w:sz w:val="21"/>
                <w:szCs w:val="21"/>
                <w:highlight w:val="none"/>
                <w:u w:val="none"/>
                <w:lang w:val="en-US" w:eastAsia="zh-CN" w:bidi="ar"/>
              </w:rPr>
              <w:t>代码映射与一致性监控</w:t>
            </w:r>
          </w:p>
          <w:p w14:paraId="7522B99A">
            <w:pPr>
              <w:keepNext w:val="0"/>
              <w:keepLines w:val="0"/>
              <w:widowControl/>
              <w:suppressLineNumbers w:val="0"/>
              <w:jc w:val="left"/>
              <w:textAlignment w:val="center"/>
              <w:rPr>
                <w:rFonts w:hint="default"/>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管理业务系统代码表与标准代码表的映射（支持多系统码表映射至一个标准码表）；</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比对监控业务数据与标准代码，及时发现不一致。</w:t>
            </w:r>
          </w:p>
          <w:p w14:paraId="737B2DD1">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5.4数据元链接图谱与引用分析</w:t>
            </w:r>
          </w:p>
          <w:p w14:paraId="53E5943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查看数据元的链接图谱，可在图谱中查看数据元的基础信息、关联的模型和码表、检测规则、安全级别；可查看数据元被模型引用的详情，可导出数据元与模型的引用关系；可将数据元与实体表的字段进行比对，比对后可查看、导出差异信息，可手动刷新数据元与实体表存在差异的个数。</w:t>
            </w:r>
          </w:p>
          <w:p w14:paraId="7308E921">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5.5数据元总览统计</w:t>
            </w:r>
          </w:p>
          <w:p w14:paraId="41A86E6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支持查看数据元总览，包括数据元总数、分别统计关联了质量检测规则/码表/安全等级的数据元个数、已上线个数；可查看数据元引用率、数据元与实体表字段差异情况、数据元同义不同名与同名不同义的个数，以图形展示数据元建设情况。</w:t>
            </w:r>
          </w:p>
          <w:p w14:paraId="13DDB5F1">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5.6代码集版本与统计分析</w:t>
            </w:r>
          </w:p>
          <w:p w14:paraId="3593569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代码集的版本进行在线管理，可手动备份版本，可对两个版本进行比对并查看存在差异的代码表、代码内容，可导出比对结果；代码表结构或内容变更自动生成历史版本，可查看历史版本详情并进行版本比对。可查看代码表被数据元、元数据、标准模型引用的详情，可查看代码表被下载的次数及下载详情；可查看代码表上线率（已上线/未上线个数）、代码类别分布情况（国标和校标个数）、标准码表与实体表的差异情况（各差异类型个数）、代码建设进度（已生成实体表的个数）。</w:t>
            </w:r>
          </w:p>
          <w:p w14:paraId="45E23AC3">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5.7代码映射批量管理与监控</w:t>
            </w:r>
          </w:p>
          <w:p w14:paraId="51C8153D">
            <w:pPr>
              <w:keepNext w:val="0"/>
              <w:keepLines w:val="0"/>
              <w:widowControl/>
              <w:suppressLineNumbers w:val="0"/>
              <w:jc w:val="left"/>
              <w:textAlignment w:val="center"/>
              <w:rPr>
                <w:rFonts w:hint="default"/>
                <w:b/>
                <w:bCs/>
                <w:color w:val="auto"/>
                <w:sz w:val="19"/>
                <w:szCs w:val="19"/>
                <w:highlight w:val="none"/>
                <w:lang w:val="en-US" w:eastAsia="zh-CN"/>
              </w:rPr>
            </w:pPr>
            <w:r>
              <w:rPr>
                <w:rFonts w:hint="default" w:ascii="宋体" w:hAnsi="宋体" w:eastAsia="宋体" w:cs="宋体"/>
                <w:i w:val="0"/>
                <w:iCs w:val="0"/>
                <w:color w:val="auto"/>
                <w:kern w:val="0"/>
                <w:sz w:val="21"/>
                <w:szCs w:val="21"/>
                <w:highlight w:val="none"/>
                <w:u w:val="none"/>
                <w:lang w:val="en-US" w:eastAsia="zh-CN" w:bidi="ar"/>
              </w:rPr>
              <w:t>映射代码集列表展示DWD数据源名称、标准代码表、中文注释、映射业务系统代码表数量等信息，可根据标准代码表名称、中文注释、DWD数据源检索；可手动新增或导入映射关系，多个业务系统代码表</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与一个标准代码表进行映射，可查看映射详情；</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批量删除、导出映射代码集。</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对业务库表的字段数据与标准代码表的数据进行比对和监控，监控列表展示匹配程度、数据源名称、表名称、字段名称、代码表名称、绑定代码表字段，可根据表名称、字段名称、代码表名称、匹配程度检索；</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导出监控名单，可手动执行监控并查看监控比对结果。</w:t>
            </w:r>
          </w:p>
        </w:tc>
        <w:tc>
          <w:tcPr>
            <w:tcW w:w="686" w:type="dxa"/>
            <w:tcBorders>
              <w:top w:val="single" w:color="000000" w:sz="4" w:space="0"/>
              <w:bottom w:val="single" w:color="000000" w:sz="4" w:space="0"/>
            </w:tcBorders>
            <w:noWrap w:val="0"/>
            <w:vAlign w:val="center"/>
          </w:tcPr>
          <w:p w14:paraId="17B0FB5E">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5DFCF1C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22C033BE">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1E24346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6</w:t>
            </w:r>
          </w:p>
        </w:tc>
        <w:tc>
          <w:tcPr>
            <w:tcW w:w="896" w:type="dxa"/>
            <w:tcBorders>
              <w:top w:val="single" w:color="000000" w:sz="4" w:space="0"/>
              <w:bottom w:val="single" w:color="000000" w:sz="4" w:space="0"/>
            </w:tcBorders>
            <w:noWrap w:val="0"/>
            <w:vAlign w:val="center"/>
          </w:tcPr>
          <w:p w14:paraId="42F682DB">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数据模型管理</w:t>
            </w:r>
          </w:p>
        </w:tc>
        <w:tc>
          <w:tcPr>
            <w:tcW w:w="5798" w:type="dxa"/>
            <w:tcBorders>
              <w:top w:val="single" w:color="000000" w:sz="4" w:space="0"/>
              <w:bottom w:val="single" w:color="000000" w:sz="4" w:space="0"/>
            </w:tcBorders>
            <w:noWrap w:val="0"/>
            <w:vAlign w:val="center"/>
          </w:tcPr>
          <w:p w14:paraId="7DA241B5">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6.1</w:t>
            </w:r>
            <w:r>
              <w:rPr>
                <w:rFonts w:hint="default" w:ascii="宋体" w:hAnsi="宋体" w:eastAsia="宋体" w:cs="宋体"/>
                <w:b/>
                <w:bCs/>
                <w:i w:val="0"/>
                <w:iCs w:val="0"/>
                <w:color w:val="auto"/>
                <w:kern w:val="0"/>
                <w:sz w:val="21"/>
                <w:szCs w:val="21"/>
                <w:highlight w:val="none"/>
                <w:u w:val="none"/>
                <w:lang w:val="en-US" w:eastAsia="zh-CN" w:bidi="ar"/>
              </w:rPr>
              <w:t>标准模型全生命周期</w:t>
            </w:r>
          </w:p>
          <w:p w14:paraId="7312E1B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覆盖标准模型（DWD/DWS/ADS 等分层）的新建、编辑、发布、下线，</w:t>
            </w: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实体表与模型字段映射及差异比对</w:t>
            </w:r>
            <w:r>
              <w:rPr>
                <w:rFonts w:hint="eastAsia" w:ascii="宋体" w:hAnsi="宋体" w:eastAsia="宋体" w:cs="宋体"/>
                <w:i w:val="0"/>
                <w:iCs w:val="0"/>
                <w:color w:val="auto"/>
                <w:kern w:val="0"/>
                <w:sz w:val="21"/>
                <w:szCs w:val="21"/>
                <w:highlight w:val="none"/>
                <w:u w:val="none"/>
                <w:lang w:val="en-US" w:eastAsia="zh-CN" w:bidi="ar"/>
              </w:rPr>
              <w:t>能力</w:t>
            </w:r>
            <w:r>
              <w:rPr>
                <w:rFonts w:hint="default" w:ascii="宋体" w:hAnsi="宋体" w:eastAsia="宋体" w:cs="宋体"/>
                <w:i w:val="0"/>
                <w:iCs w:val="0"/>
                <w:color w:val="auto"/>
                <w:kern w:val="0"/>
                <w:sz w:val="21"/>
                <w:szCs w:val="21"/>
                <w:highlight w:val="none"/>
                <w:u w:val="none"/>
                <w:lang w:val="en-US" w:eastAsia="zh-CN" w:bidi="ar"/>
              </w:rPr>
              <w:t>。</w:t>
            </w:r>
          </w:p>
          <w:p w14:paraId="0C32E034">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6.2</w:t>
            </w:r>
            <w:r>
              <w:rPr>
                <w:rFonts w:hint="default" w:ascii="宋体" w:hAnsi="宋体" w:eastAsia="宋体" w:cs="宋体"/>
                <w:b/>
                <w:bCs/>
                <w:i w:val="0"/>
                <w:iCs w:val="0"/>
                <w:color w:val="auto"/>
                <w:kern w:val="0"/>
                <w:sz w:val="21"/>
                <w:szCs w:val="21"/>
                <w:highlight w:val="none"/>
                <w:u w:val="none"/>
                <w:lang w:val="en-US" w:eastAsia="zh-CN" w:bidi="ar"/>
              </w:rPr>
              <w:t>模型与实体表双向同步</w:t>
            </w:r>
          </w:p>
          <w:p w14:paraId="7CB53CF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将标准模型正向生成数据库实体表，也</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从已有实体表逆向生成模型，保障「标准模型—实体表」一致。</w:t>
            </w:r>
          </w:p>
          <w:p w14:paraId="26420494">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6.3</w:t>
            </w:r>
            <w:r>
              <w:rPr>
                <w:rFonts w:hint="default" w:ascii="宋体" w:hAnsi="宋体" w:eastAsia="宋体" w:cs="宋体"/>
                <w:b/>
                <w:bCs/>
                <w:i w:val="0"/>
                <w:iCs w:val="0"/>
                <w:color w:val="auto"/>
                <w:kern w:val="0"/>
                <w:sz w:val="21"/>
                <w:szCs w:val="21"/>
                <w:highlight w:val="none"/>
                <w:u w:val="none"/>
                <w:lang w:val="en-US" w:eastAsia="zh-CN" w:bidi="ar"/>
              </w:rPr>
              <w:t>版本管理与确权任务</w:t>
            </w:r>
          </w:p>
          <w:p w14:paraId="5480464D">
            <w:pPr>
              <w:keepNext w:val="0"/>
              <w:keepLines w:val="0"/>
              <w:widowControl/>
              <w:suppressLineNumbers w:val="0"/>
              <w:jc w:val="left"/>
              <w:textAlignment w:val="center"/>
              <w:rPr>
                <w:rFonts w:hint="default"/>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具备</w:t>
            </w:r>
            <w:r>
              <w:rPr>
                <w:rFonts w:hint="default" w:ascii="宋体" w:hAnsi="宋体" w:eastAsia="宋体" w:cs="宋体"/>
                <w:i w:val="0"/>
                <w:iCs w:val="0"/>
                <w:color w:val="auto"/>
                <w:kern w:val="0"/>
                <w:sz w:val="21"/>
                <w:szCs w:val="21"/>
                <w:highlight w:val="none"/>
                <w:u w:val="none"/>
                <w:lang w:val="en-US" w:eastAsia="zh-CN" w:bidi="ar"/>
              </w:rPr>
              <w:t>模型集合版本管理、主版本指定、版本间比对</w:t>
            </w:r>
            <w:r>
              <w:rPr>
                <w:rFonts w:hint="eastAsia" w:ascii="宋体" w:hAnsi="宋体" w:eastAsia="宋体" w:cs="宋体"/>
                <w:i w:val="0"/>
                <w:iCs w:val="0"/>
                <w:color w:val="auto"/>
                <w:kern w:val="0"/>
                <w:sz w:val="21"/>
                <w:szCs w:val="21"/>
                <w:highlight w:val="none"/>
                <w:u w:val="none"/>
                <w:lang w:val="en-US" w:eastAsia="zh-CN" w:bidi="ar"/>
              </w:rPr>
              <w:t>能力</w:t>
            </w:r>
            <w:r>
              <w:rPr>
                <w:rFonts w:hint="default" w:ascii="宋体" w:hAnsi="宋体" w:eastAsia="宋体" w:cs="宋体"/>
                <w:i w:val="0"/>
                <w:iCs w:val="0"/>
                <w:color w:val="auto"/>
                <w:kern w:val="0"/>
                <w:sz w:val="21"/>
                <w:szCs w:val="21"/>
                <w:highlight w:val="none"/>
                <w:u w:val="none"/>
                <w:lang w:val="en-US" w:eastAsia="zh-CN" w:bidi="ar"/>
              </w:rPr>
              <w:t>；支撑数据确权任务管理，明确数据归属部门。</w:t>
            </w:r>
          </w:p>
          <w:p w14:paraId="7DC834CC">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6.4模型设计约束与字段管理</w:t>
            </w:r>
          </w:p>
          <w:p w14:paraId="5B02BE2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在线设计模型或导入模型：在线设计模型时必须引用数据标准中已定义的数据元，并自动继承数据元的各项属性和绑定关系，保证所有标准模型中的字段定义具备全局一致性；导入模型时，若文件中存在未定义过的数据元，系统会在数据元模块自动新增数据元。</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模型的字段进行批量处理，包括设置扩展字段、部门、责任人、数据分类、安全等级、管理代码表、删除等。数据模型默认包含字段名称、中文注释、字段类型、字段长度、主键、允许为空6个字段，如学校有其他要求，可为模型添加扩展属性字段（如国标、ODS表及字段名称等），添加的扩展字段作用于所有模型，导出模型时可导出扩展字段。</w:t>
            </w:r>
          </w:p>
          <w:p w14:paraId="74B791FB">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6.5模型批量管理与前台确权展示</w:t>
            </w:r>
          </w:p>
          <w:p w14:paraId="55BDBBC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对模型进行批量处理，</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同步数据库、设置分类、设置前台展示字段、生成实体表、上线、下线、删除、导出</w:t>
            </w:r>
            <w:r>
              <w:rPr>
                <w:rFonts w:hint="eastAsia" w:ascii="宋体" w:hAnsi="宋体" w:eastAsia="宋体" w:cs="宋体"/>
                <w:i w:val="0"/>
                <w:iCs w:val="0"/>
                <w:color w:val="auto"/>
                <w:kern w:val="0"/>
                <w:sz w:val="21"/>
                <w:szCs w:val="21"/>
                <w:highlight w:val="none"/>
                <w:u w:val="none"/>
                <w:lang w:val="en-US" w:eastAsia="zh-CN" w:bidi="ar"/>
              </w:rPr>
              <w:t>等处理</w:t>
            </w:r>
            <w:r>
              <w:rPr>
                <w:rFonts w:hint="default" w:ascii="宋体" w:hAnsi="宋体" w:eastAsia="宋体" w:cs="宋体"/>
                <w:i w:val="0"/>
                <w:iCs w:val="0"/>
                <w:color w:val="auto"/>
                <w:kern w:val="0"/>
                <w:sz w:val="21"/>
                <w:szCs w:val="21"/>
                <w:highlight w:val="none"/>
                <w:u w:val="none"/>
                <w:lang w:val="en-US" w:eastAsia="zh-CN" w:bidi="ar"/>
              </w:rPr>
              <w:t>，删除的模型可在回收站还原或彻底删除；</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设置前台用户查看模型时的字段属性，前台用户进行模型确权时需确认字段属性是否无误，默认展示字段名称、字段注释、字段类型、字段长度、是否主键、是否必填6个基础属性，可根据学校要求展示其他字段属性供用户确权。</w:t>
            </w:r>
          </w:p>
          <w:p w14:paraId="051713C9">
            <w:pPr>
              <w:keepNext w:val="0"/>
              <w:keepLines w:val="0"/>
              <w:widowControl/>
              <w:suppressLineNumbers w:val="0"/>
              <w:jc w:val="left"/>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6.6模型与实体表一致性动态跟踪</w:t>
            </w:r>
          </w:p>
          <w:p w14:paraId="7062CCEF">
            <w:pPr>
              <w:keepNext w:val="0"/>
              <w:keepLines w:val="0"/>
              <w:widowControl/>
              <w:suppressLineNumbers w:val="0"/>
              <w:jc w:val="left"/>
              <w:textAlignment w:val="center"/>
              <w:rPr>
                <w:rFonts w:hint="default"/>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对模型与实体表的一致性进行动态跟踪，根据设置的差异比对属性将模型与实体表进行比对，可手动执行差异对比，对比后可查看差异结果，并根据差异结果完成模型与实体表的同步（模型同步到实体表或实体表同步到模型）；</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批量将模型的部门、代码表、安全等级同步到实体表；编辑实体表时可将实体表的字段变更同步到关联模型，新增字段可自动扩充到标准数据元集合中，保持标准数据元、标准模型、实体表三者的一致性。</w:t>
            </w:r>
          </w:p>
        </w:tc>
        <w:tc>
          <w:tcPr>
            <w:tcW w:w="686" w:type="dxa"/>
            <w:tcBorders>
              <w:top w:val="single" w:color="000000" w:sz="4" w:space="0"/>
              <w:bottom w:val="single" w:color="000000" w:sz="4" w:space="0"/>
            </w:tcBorders>
            <w:noWrap w:val="0"/>
            <w:vAlign w:val="center"/>
          </w:tcPr>
          <w:p w14:paraId="0AF3064C">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38AB6C6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344B15BD">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61C3EE1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7</w:t>
            </w:r>
          </w:p>
        </w:tc>
        <w:tc>
          <w:tcPr>
            <w:tcW w:w="896" w:type="dxa"/>
            <w:tcBorders>
              <w:top w:val="single" w:color="000000" w:sz="4" w:space="0"/>
              <w:bottom w:val="single" w:color="000000" w:sz="4" w:space="0"/>
            </w:tcBorders>
            <w:noWrap w:val="0"/>
            <w:vAlign w:val="center"/>
          </w:tcPr>
          <w:p w14:paraId="53647584">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数据质量管理</w:t>
            </w:r>
          </w:p>
        </w:tc>
        <w:tc>
          <w:tcPr>
            <w:tcW w:w="5798" w:type="dxa"/>
            <w:tcBorders>
              <w:top w:val="single" w:color="000000" w:sz="4" w:space="0"/>
              <w:bottom w:val="single" w:color="000000" w:sz="4" w:space="0"/>
            </w:tcBorders>
            <w:noWrap w:val="0"/>
            <w:vAlign w:val="center"/>
          </w:tcPr>
          <w:p w14:paraId="33EB1214">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i w:val="0"/>
                <w:iCs w:val="0"/>
                <w:color w:val="auto"/>
                <w:kern w:val="0"/>
                <w:sz w:val="21"/>
                <w:szCs w:val="21"/>
                <w:highlight w:val="none"/>
                <w:u w:val="none"/>
                <w:lang w:val="en-US" w:eastAsia="zh-CN" w:bidi="ar"/>
              </w:rPr>
              <w:t>7.1</w:t>
            </w:r>
            <w:r>
              <w:rPr>
                <w:rFonts w:hint="default" w:ascii="宋体" w:hAnsi="宋体" w:eastAsia="宋体" w:cs="宋体"/>
                <w:b/>
                <w:bCs/>
                <w:i w:val="0"/>
                <w:iCs w:val="0"/>
                <w:color w:val="auto"/>
                <w:kern w:val="0"/>
                <w:sz w:val="21"/>
                <w:szCs w:val="21"/>
                <w:highlight w:val="none"/>
                <w:u w:val="none"/>
                <w:lang w:val="en-US" w:eastAsia="zh-CN" w:bidi="ar"/>
              </w:rPr>
              <w:t>质量规则配置与检核</w:t>
            </w:r>
          </w:p>
          <w:p w14:paraId="3F29BAD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能够对数据质量</w:t>
            </w:r>
            <w:r>
              <w:rPr>
                <w:rFonts w:hint="default" w:ascii="宋体" w:hAnsi="宋体" w:eastAsia="宋体" w:cs="宋体"/>
                <w:i w:val="0"/>
                <w:iCs w:val="0"/>
                <w:color w:val="auto"/>
                <w:kern w:val="0"/>
                <w:sz w:val="21"/>
                <w:szCs w:val="21"/>
                <w:highlight w:val="none"/>
                <w:u w:val="none"/>
                <w:lang w:val="en-US" w:eastAsia="zh-CN" w:bidi="ar"/>
              </w:rPr>
              <w:t>完整性、唯一性、准确性、一致性、及时性等规则</w:t>
            </w:r>
            <w:r>
              <w:rPr>
                <w:rFonts w:hint="eastAsia" w:ascii="宋体" w:hAnsi="宋体" w:eastAsia="宋体" w:cs="宋体"/>
                <w:i w:val="0"/>
                <w:iCs w:val="0"/>
                <w:color w:val="auto"/>
                <w:kern w:val="0"/>
                <w:sz w:val="21"/>
                <w:szCs w:val="21"/>
                <w:highlight w:val="none"/>
                <w:u w:val="none"/>
                <w:lang w:val="en-US" w:eastAsia="zh-CN" w:bidi="ar"/>
              </w:rPr>
              <w:t>进行</w:t>
            </w:r>
            <w:r>
              <w:rPr>
                <w:rFonts w:hint="default" w:ascii="宋体" w:hAnsi="宋体" w:eastAsia="宋体" w:cs="宋体"/>
                <w:i w:val="0"/>
                <w:iCs w:val="0"/>
                <w:color w:val="auto"/>
                <w:kern w:val="0"/>
                <w:sz w:val="21"/>
                <w:szCs w:val="21"/>
                <w:highlight w:val="none"/>
                <w:u w:val="none"/>
                <w:lang w:val="en-US" w:eastAsia="zh-CN" w:bidi="ar"/>
              </w:rPr>
              <w:t>可视化配置与调度执行；检核结果以报表/看板呈现，问题数据可追溯至源系统。</w:t>
            </w:r>
            <w:r>
              <w:rPr>
                <w:rFonts w:hint="eastAsia" w:ascii="宋体" w:hAnsi="宋体" w:eastAsia="宋体" w:cs="宋体"/>
                <w:color w:val="auto"/>
                <w:sz w:val="21"/>
                <w:szCs w:val="21"/>
                <w:highlight w:val="none"/>
                <w:lang w:val="en-US" w:eastAsia="zh-CN"/>
              </w:rPr>
              <w:t>（提供功能截图或技术说明书或官网截图）</w:t>
            </w:r>
          </w:p>
          <w:p w14:paraId="290C05F4">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7.2</w:t>
            </w:r>
            <w:r>
              <w:rPr>
                <w:rFonts w:hint="default" w:ascii="宋体" w:hAnsi="宋体" w:eastAsia="宋体" w:cs="宋体"/>
                <w:b/>
                <w:bCs/>
                <w:i w:val="0"/>
                <w:iCs w:val="0"/>
                <w:color w:val="auto"/>
                <w:kern w:val="0"/>
                <w:sz w:val="21"/>
                <w:szCs w:val="21"/>
                <w:highlight w:val="none"/>
                <w:u w:val="none"/>
                <w:lang w:val="en-US" w:eastAsia="zh-CN" w:bidi="ar"/>
              </w:rPr>
              <w:t>质量闭环整改</w:t>
            </w:r>
          </w:p>
          <w:p w14:paraId="634F46F1">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对检核发现的问题生成工单，推送至责任部门整改，形成「检核—发现—整改—复检」闭环；支持质量评分与趋势分析。</w:t>
            </w:r>
          </w:p>
          <w:p w14:paraId="7D6CA269">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7.3质量评分体系</w:t>
            </w:r>
          </w:p>
          <w:p w14:paraId="4B1663C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具有</w:t>
            </w:r>
            <w:r>
              <w:rPr>
                <w:rFonts w:hint="default" w:ascii="宋体" w:hAnsi="宋体" w:eastAsia="宋体" w:cs="宋体"/>
                <w:i w:val="0"/>
                <w:iCs w:val="0"/>
                <w:color w:val="auto"/>
                <w:kern w:val="0"/>
                <w:sz w:val="21"/>
                <w:szCs w:val="21"/>
                <w:highlight w:val="none"/>
                <w:u w:val="none"/>
                <w:lang w:val="en-US" w:eastAsia="zh-CN" w:bidi="ar"/>
              </w:rPr>
              <w:t>多维度数据质量评分体系，可配置各评价维度的权重，包括但不限于完整性、唯一性、一致性、有效性、及时性等；</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自定义质量评分等级与分数范围，实现数据质量的量化分级评估。</w:t>
            </w:r>
          </w:p>
          <w:p w14:paraId="0B055058">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7.4质量检测规则管理</w:t>
            </w:r>
          </w:p>
          <w:p w14:paraId="082AC7E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对质量检测规则进行在线管理，</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增删改查、导出功能，创建的规则将与字段绑定，规则库列表展示</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规则名称、规则说明、所属质量维度、规则类别、已绑定规则字段数等信息，可根据规则名称、规则说明、维度检索。有效性规则可校验数据的格式或值域是否符合规范，支持</w:t>
            </w:r>
            <w:r>
              <w:rPr>
                <w:rFonts w:hint="eastAsia" w:ascii="宋体" w:hAnsi="宋体" w:eastAsia="宋体" w:cs="宋体"/>
                <w:i w:val="0"/>
                <w:iCs w:val="0"/>
                <w:color w:val="auto"/>
                <w:kern w:val="0"/>
                <w:sz w:val="21"/>
                <w:szCs w:val="21"/>
                <w:highlight w:val="none"/>
                <w:u w:val="none"/>
                <w:lang w:val="en-US" w:eastAsia="zh-CN" w:bidi="ar"/>
              </w:rPr>
              <w:t>不少于</w:t>
            </w:r>
            <w:r>
              <w:rPr>
                <w:rFonts w:hint="default" w:ascii="宋体" w:hAnsi="宋体" w:eastAsia="宋体" w:cs="宋体"/>
                <w:i w:val="0"/>
                <w:iCs w:val="0"/>
                <w:color w:val="auto"/>
                <w:kern w:val="0"/>
                <w:sz w:val="21"/>
                <w:szCs w:val="21"/>
                <w:highlight w:val="none"/>
                <w:u w:val="none"/>
                <w:lang w:val="en-US" w:eastAsia="zh-CN" w:bidi="ar"/>
              </w:rPr>
              <w:t>枚举值、值域、自定义</w:t>
            </w:r>
            <w:r>
              <w:rPr>
                <w:rFonts w:hint="eastAsia" w:ascii="宋体" w:hAnsi="宋体" w:eastAsia="宋体" w:cs="宋体"/>
                <w:i w:val="0"/>
                <w:iCs w:val="0"/>
                <w:color w:val="auto"/>
                <w:kern w:val="0"/>
                <w:sz w:val="21"/>
                <w:szCs w:val="21"/>
                <w:highlight w:val="none"/>
                <w:u w:val="none"/>
                <w:lang w:val="en-US" w:eastAsia="zh-CN" w:bidi="ar"/>
              </w:rPr>
              <w:t>数据库代码</w:t>
            </w:r>
            <w:r>
              <w:rPr>
                <w:rFonts w:hint="default" w:ascii="宋体" w:hAnsi="宋体" w:eastAsia="宋体" w:cs="宋体"/>
                <w:i w:val="0"/>
                <w:iCs w:val="0"/>
                <w:color w:val="auto"/>
                <w:kern w:val="0"/>
                <w:sz w:val="21"/>
                <w:szCs w:val="21"/>
                <w:highlight w:val="none"/>
                <w:u w:val="none"/>
                <w:lang w:val="en-US" w:eastAsia="zh-CN" w:bidi="ar"/>
              </w:rPr>
              <w:t>、正则</w:t>
            </w:r>
            <w:r>
              <w:rPr>
                <w:rFonts w:hint="eastAsia" w:ascii="宋体" w:hAnsi="宋体" w:eastAsia="宋体" w:cs="宋体"/>
                <w:i w:val="0"/>
                <w:iCs w:val="0"/>
                <w:color w:val="auto"/>
                <w:kern w:val="0"/>
                <w:sz w:val="21"/>
                <w:szCs w:val="21"/>
                <w:highlight w:val="none"/>
                <w:u w:val="none"/>
                <w:lang w:val="en-US" w:eastAsia="zh-CN" w:bidi="ar"/>
              </w:rPr>
              <w:t>等</w:t>
            </w:r>
            <w:r>
              <w:rPr>
                <w:rFonts w:hint="default" w:ascii="宋体" w:hAnsi="宋体" w:eastAsia="宋体" w:cs="宋体"/>
                <w:i w:val="0"/>
                <w:iCs w:val="0"/>
                <w:color w:val="auto"/>
                <w:kern w:val="0"/>
                <w:sz w:val="21"/>
                <w:szCs w:val="21"/>
                <w:highlight w:val="none"/>
                <w:u w:val="none"/>
                <w:lang w:val="en-US" w:eastAsia="zh-CN" w:bidi="ar"/>
              </w:rPr>
              <w:t>四种检测类型，可从代码表获取枚举值或自定义列举枚举值，可通过自定义</w:t>
            </w:r>
            <w:r>
              <w:rPr>
                <w:rFonts w:hint="eastAsia" w:ascii="宋体" w:hAnsi="宋体" w:eastAsia="宋体" w:cs="宋体"/>
                <w:i w:val="0"/>
                <w:iCs w:val="0"/>
                <w:color w:val="auto"/>
                <w:kern w:val="0"/>
                <w:sz w:val="21"/>
                <w:szCs w:val="21"/>
                <w:highlight w:val="none"/>
                <w:u w:val="none"/>
                <w:lang w:val="en-US" w:eastAsia="zh-CN" w:bidi="ar"/>
              </w:rPr>
              <w:t>数据库命令</w:t>
            </w:r>
            <w:r>
              <w:rPr>
                <w:rFonts w:hint="default" w:ascii="宋体" w:hAnsi="宋体" w:eastAsia="宋体" w:cs="宋体"/>
                <w:i w:val="0"/>
                <w:iCs w:val="0"/>
                <w:color w:val="auto"/>
                <w:kern w:val="0"/>
                <w:sz w:val="21"/>
                <w:szCs w:val="21"/>
                <w:highlight w:val="none"/>
                <w:u w:val="none"/>
                <w:lang w:val="en-US" w:eastAsia="zh-CN" w:bidi="ar"/>
              </w:rPr>
              <w:t>获取枚举值或值域，可设置连续/非连续的值域区间，可校验数据格式（如校验手机号格式）；完整性规则可检验数据是否缺失、校验字段数据量是否满足条件；一致性规则可通过自定义</w:t>
            </w:r>
            <w:r>
              <w:rPr>
                <w:rFonts w:hint="eastAsia" w:ascii="宋体" w:hAnsi="宋体" w:eastAsia="宋体" w:cs="宋体"/>
                <w:i w:val="0"/>
                <w:iCs w:val="0"/>
                <w:color w:val="auto"/>
                <w:kern w:val="0"/>
                <w:sz w:val="21"/>
                <w:szCs w:val="21"/>
                <w:highlight w:val="none"/>
                <w:u w:val="none"/>
                <w:lang w:val="en-US" w:eastAsia="zh-CN" w:bidi="ar"/>
              </w:rPr>
              <w:t>数据库命令</w:t>
            </w:r>
            <w:r>
              <w:rPr>
                <w:rFonts w:hint="default" w:ascii="宋体" w:hAnsi="宋体" w:eastAsia="宋体" w:cs="宋体"/>
                <w:i w:val="0"/>
                <w:iCs w:val="0"/>
                <w:color w:val="auto"/>
                <w:kern w:val="0"/>
                <w:sz w:val="21"/>
                <w:szCs w:val="21"/>
                <w:highlight w:val="none"/>
                <w:u w:val="none"/>
                <w:lang w:val="en-US" w:eastAsia="zh-CN" w:bidi="ar"/>
              </w:rPr>
              <w:t>校验数据在不同系统或表中的逻辑是否一致；唯一性规则可校验数据是否存在重复。内置多种检测规则，如非空性、纯数字校验、年份格式校验等；</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一键生成代码表规则，并根据元数据中字段与代码表的绑定关系，自动将字段与代码表规则绑定。</w:t>
            </w:r>
          </w:p>
          <w:p w14:paraId="65C5D9E1">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7.5规则绑定与检测任务</w:t>
            </w:r>
          </w:p>
          <w:p w14:paraId="3D37138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将检测规则与字段绑定，一个字段可绑定多个规则，可批量对字段进行规则绑定；可查看规则已绑定的字段详情，可将字段与规则解除绑定；规则绑定列表展示已绑定规则的数据表（数据表名称、数据表注释、所属部门、所属业务系统、所属数据源、检测字段数、绑定规则数等），可根据数据表名称、表注释、所属部门、元数据分类检索；支持导入、导出字段与规则的绑定关系；可查看每张数据表有哪些字段绑定了哪些规则，可快速对单张表的字段绑定/解除绑定规则；字段绑定规则后可一键检测该表的数据并查看检测结果。支持对检测任务进行在线管理，列表展示执行状态、业务场景、检测类型、检测对象、启用状态、执行周期、最后一次执行时间、结束时间等信息，可根据业务场景、数据表名称、任务状态、检测类型检索；</w:t>
            </w:r>
            <w:r>
              <w:rPr>
                <w:rFonts w:hint="eastAsia" w:ascii="宋体" w:hAnsi="宋体" w:eastAsia="宋体" w:cs="宋体"/>
                <w:i w:val="0"/>
                <w:iCs w:val="0"/>
                <w:color w:val="auto"/>
                <w:kern w:val="0"/>
                <w:sz w:val="21"/>
                <w:szCs w:val="21"/>
                <w:highlight w:val="none"/>
                <w:u w:val="none"/>
                <w:lang w:val="en-US" w:eastAsia="zh-CN" w:bidi="ar"/>
              </w:rPr>
              <w:t>能够</w:t>
            </w:r>
            <w:r>
              <w:rPr>
                <w:rFonts w:hint="default" w:ascii="宋体" w:hAnsi="宋体" w:eastAsia="宋体" w:cs="宋体"/>
                <w:i w:val="0"/>
                <w:iCs w:val="0"/>
                <w:color w:val="auto"/>
                <w:kern w:val="0"/>
                <w:sz w:val="21"/>
                <w:szCs w:val="21"/>
                <w:highlight w:val="none"/>
                <w:u w:val="none"/>
                <w:lang w:val="en-US" w:eastAsia="zh-CN" w:bidi="ar"/>
              </w:rPr>
              <w:t>以业务场景的形式创建检测任务，分为部门检测（默认对所选部门的所有数据表进行检测，可选择部分数据）和自定义检测（根据业务需要选择指定的数据表和字段）；检测任务可按调度执行也可手动执行；支持启用、停用检测任务；可查看检测任务最近一次的检测结果，可查看每个字段检测的问题数据量，可下载单个字段的异常数据或全部异常数据；</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批量执行、启用、停用、删除检测任务；</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对数据范围做过滤进行质量检测，不再需要检测历史数据。</w:t>
            </w:r>
          </w:p>
          <w:p w14:paraId="57091F83">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7.6业务完整性检测</w:t>
            </w:r>
          </w:p>
          <w:p w14:paraId="076306A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对每个部门的业务完整性进行检测，可添加或导入标准清单，并将标准清单与ODS数据湖中的数据表进行映射，用以检测该部门的核心数据是否完整；</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以部门维度展示业务完整性及检测结果。</w:t>
            </w:r>
          </w:p>
          <w:p w14:paraId="12006B07">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7.7质量问题登记与跟踪</w:t>
            </w:r>
          </w:p>
          <w:p w14:paraId="24902C8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支持数据管理者对数据治理过程中发现反馈的质量问题按部门进行在线登记，可记录</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问题对象、问题描述、是否解决、解决方案等，可自定义设置登记信息；可统计显示每个部门的问题项、已解决和未解决的问题项；可根据关键字对问题进行模糊查询，也可根据解决状态筛选查看登记的问题；支持在线维护问题分类，登记问题时可将问题归属到对应分类下。</w:t>
            </w:r>
          </w:p>
          <w:p w14:paraId="3F112D5E">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7.8质量报告管理</w:t>
            </w:r>
          </w:p>
          <w:p w14:paraId="7A166963">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对质量报告进行在线配置管理，列表展示</w:t>
            </w:r>
            <w:r>
              <w:rPr>
                <w:rFonts w:hint="default" w:ascii="宋体" w:hAnsi="宋体" w:eastAsia="宋体" w:cs="宋体"/>
                <w:i w:val="0"/>
                <w:iCs w:val="0"/>
                <w:color w:val="auto"/>
                <w:kern w:val="0"/>
                <w:sz w:val="21"/>
                <w:szCs w:val="21"/>
                <w:highlight w:val="none"/>
                <w:u w:val="none"/>
                <w:lang w:val="en-US" w:eastAsia="zh-CN" w:bidi="ar"/>
              </w:rPr>
              <w:t>包括</w:t>
            </w:r>
            <w:r>
              <w:rPr>
                <w:rFonts w:hint="eastAsia" w:ascii="宋体" w:hAnsi="宋体" w:eastAsia="宋体" w:cs="宋体"/>
                <w:i w:val="0"/>
                <w:iCs w:val="0"/>
                <w:color w:val="auto"/>
                <w:kern w:val="0"/>
                <w:sz w:val="21"/>
                <w:szCs w:val="21"/>
                <w:highlight w:val="none"/>
                <w:u w:val="none"/>
                <w:lang w:val="en-US" w:eastAsia="zh-CN" w:bidi="ar"/>
              </w:rPr>
              <w:t>但不限于</w:t>
            </w:r>
            <w:r>
              <w:rPr>
                <w:rFonts w:hint="default" w:ascii="宋体" w:hAnsi="宋体" w:eastAsia="宋体" w:cs="宋体"/>
                <w:i w:val="0"/>
                <w:iCs w:val="0"/>
                <w:color w:val="auto"/>
                <w:kern w:val="0"/>
                <w:sz w:val="21"/>
                <w:szCs w:val="21"/>
                <w:highlight w:val="none"/>
                <w:u w:val="none"/>
                <w:lang w:val="en-US" w:eastAsia="zh-CN" w:bidi="ar"/>
              </w:rPr>
              <w:t>报告状态、报告名称、报告类型、检测字段数、检测规则数、生成频率、收件人等信息，可根据报告名称、报告类型、报告状态检索；</w:t>
            </w:r>
            <w:r>
              <w:rPr>
                <w:rFonts w:hint="eastAsia" w:ascii="宋体" w:hAnsi="宋体" w:eastAsia="宋体" w:cs="宋体"/>
                <w:i w:val="0"/>
                <w:iCs w:val="0"/>
                <w:color w:val="auto"/>
                <w:kern w:val="0"/>
                <w:sz w:val="21"/>
                <w:szCs w:val="21"/>
                <w:highlight w:val="none"/>
                <w:u w:val="none"/>
                <w:lang w:val="en-US" w:eastAsia="zh-CN" w:bidi="ar"/>
              </w:rPr>
              <w:t>可</w:t>
            </w:r>
            <w:r>
              <w:rPr>
                <w:rFonts w:hint="default" w:ascii="宋体" w:hAnsi="宋体" w:eastAsia="宋体" w:cs="宋体"/>
                <w:i w:val="0"/>
                <w:iCs w:val="0"/>
                <w:color w:val="auto"/>
                <w:kern w:val="0"/>
                <w:sz w:val="21"/>
                <w:szCs w:val="21"/>
                <w:highlight w:val="none"/>
                <w:u w:val="none"/>
                <w:lang w:val="en-US" w:eastAsia="zh-CN" w:bidi="ar"/>
              </w:rPr>
              <w:t>以部门、自定义的维度配置质量报告，每份报告需设置一个评价规则用以计算质量评分；可为部门报告配置报告模板（仅针对word质量报告），配置后可预览报告内容；质量报告可按指定频率生成，也可手动执行生成；支持停用、启用质量报告；可查看报告生成记录，可查看每份报告的检测详情，可根据报告生成日期检索、删除已生成的报告，可查看报告的检测异常项趋势图；可将质量报告以邮件形式发送给业务部门；可查看报告详情，包括数据质量概述、评价维度平均分值、数据校验内容、检核规则分析、质量检测趋势分析、数据表统计、质量改进趋势分析、质量问题分布趋势分析；可查看单张数据表的检测结果，可下载单个字段或整表的异常数据；质量报告可以excel、pdf、html格式导出，部门质量报告可以word格式导出。</w:t>
            </w:r>
          </w:p>
        </w:tc>
        <w:tc>
          <w:tcPr>
            <w:tcW w:w="686" w:type="dxa"/>
            <w:tcBorders>
              <w:top w:val="single" w:color="000000" w:sz="4" w:space="0"/>
              <w:bottom w:val="single" w:color="000000" w:sz="4" w:space="0"/>
            </w:tcBorders>
            <w:noWrap w:val="0"/>
            <w:vAlign w:val="center"/>
          </w:tcPr>
          <w:p w14:paraId="34F11A9F">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63CC90EE">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2E39CB9B">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768" w:hRule="atLeast"/>
          <w:jc w:val="center"/>
        </w:trPr>
        <w:tc>
          <w:tcPr>
            <w:tcW w:w="701" w:type="dxa"/>
            <w:tcBorders>
              <w:top w:val="single" w:color="000000" w:sz="4" w:space="0"/>
              <w:bottom w:val="single" w:color="000000" w:sz="4" w:space="0"/>
            </w:tcBorders>
            <w:noWrap w:val="0"/>
            <w:vAlign w:val="center"/>
          </w:tcPr>
          <w:p w14:paraId="5139681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8</w:t>
            </w:r>
          </w:p>
        </w:tc>
        <w:tc>
          <w:tcPr>
            <w:tcW w:w="896" w:type="dxa"/>
            <w:tcBorders>
              <w:top w:val="single" w:color="000000" w:sz="4" w:space="0"/>
              <w:bottom w:val="single" w:color="000000" w:sz="4" w:space="0"/>
            </w:tcBorders>
            <w:noWrap w:val="0"/>
            <w:vAlign w:val="center"/>
          </w:tcPr>
          <w:p w14:paraId="431431C9">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数据上报平台</w:t>
            </w:r>
          </w:p>
        </w:tc>
        <w:tc>
          <w:tcPr>
            <w:tcW w:w="5798" w:type="dxa"/>
            <w:tcBorders>
              <w:top w:val="single" w:color="000000" w:sz="4" w:space="0"/>
              <w:bottom w:val="single" w:color="000000" w:sz="4" w:space="0"/>
            </w:tcBorders>
            <w:noWrap w:val="0"/>
            <w:vAlign w:val="center"/>
          </w:tcPr>
          <w:p w14:paraId="029F318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可按</w:t>
            </w:r>
            <w:r>
              <w:rPr>
                <w:rFonts w:hint="eastAsia" w:ascii="宋体" w:hAnsi="宋体" w:eastAsia="宋体" w:cs="宋体"/>
                <w:i w:val="0"/>
                <w:iCs w:val="0"/>
                <w:color w:val="auto"/>
                <w:kern w:val="0"/>
                <w:sz w:val="21"/>
                <w:szCs w:val="21"/>
                <w:highlight w:val="none"/>
                <w:u w:val="none"/>
                <w:lang w:val="en-US" w:eastAsia="zh-CN" w:bidi="ar"/>
              </w:rPr>
              <w:t>教育部、省教育厅等上级主管部门</w:t>
            </w:r>
            <w:r>
              <w:rPr>
                <w:rFonts w:hint="eastAsia" w:ascii="宋体" w:hAnsi="宋体" w:eastAsia="宋体" w:cs="宋体"/>
                <w:i w:val="0"/>
                <w:iCs w:val="0"/>
                <w:color w:val="auto"/>
                <w:kern w:val="0"/>
                <w:sz w:val="21"/>
                <w:szCs w:val="21"/>
                <w:highlight w:val="none"/>
                <w:u w:val="none"/>
                <w:lang w:val="en-US" w:eastAsia="zh-CN" w:bidi="ar"/>
              </w:rPr>
              <w:t>定期自动上报办学数据。传统方式依赖人工填报、反复核对，效率低下且易出错。平台应实现上报模板配置、数据自动归集、在线协作填报、自动校验与上报回流等功能。</w:t>
            </w:r>
          </w:p>
          <w:p w14:paraId="5A59AC3B">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8.1上报模板与自动归集</w:t>
            </w:r>
          </w:p>
          <w:p w14:paraId="34A6D5C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能够按上级要求配置上报模板与指标口径；自动从数据湖仓归集已治理数据，减少人工采集；对无法自动获取的指标保留线下协作填报。</w:t>
            </w:r>
          </w:p>
          <w:p w14:paraId="3B21F2A6">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8.2在线协作填报与校验</w:t>
            </w:r>
          </w:p>
          <w:p w14:paraId="2126131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多部门可在线协同填报、逐级审批；内置校验规则，提交前自动检查逻辑与完整性，避免返工。</w:t>
            </w:r>
          </w:p>
          <w:p w14:paraId="21DE9B16">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8.3上报与自动回流</w:t>
            </w:r>
          </w:p>
          <w:p w14:paraId="7FF25FC5">
            <w:pPr>
              <w:keepNext w:val="0"/>
              <w:keepLines w:val="0"/>
              <w:widowControl/>
              <w:suppressLineNumbers w:val="0"/>
              <w:jc w:val="left"/>
              <w:textAlignment w:val="center"/>
              <w:rPr>
                <w:rFonts w:hint="default"/>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能够</w:t>
            </w:r>
            <w:r>
              <w:rPr>
                <w:rFonts w:hint="eastAsia" w:ascii="宋体" w:hAnsi="宋体" w:eastAsia="宋体" w:cs="宋体"/>
                <w:i w:val="0"/>
                <w:iCs w:val="0"/>
                <w:color w:val="auto"/>
                <w:kern w:val="0"/>
                <w:sz w:val="21"/>
                <w:szCs w:val="21"/>
                <w:highlight w:val="none"/>
                <w:u w:val="none"/>
                <w:lang w:val="en-US" w:eastAsia="zh-CN" w:bidi="ar"/>
              </w:rPr>
              <w:t>对接教育部、省教育厅等上级主管部门上报通道</w:t>
            </w:r>
            <w:r>
              <w:rPr>
                <w:rFonts w:hint="eastAsia" w:ascii="宋体" w:hAnsi="宋体" w:eastAsia="宋体" w:cs="宋体"/>
                <w:i w:val="0"/>
                <w:iCs w:val="0"/>
                <w:color w:val="auto"/>
                <w:kern w:val="0"/>
                <w:sz w:val="21"/>
                <w:szCs w:val="21"/>
                <w:highlight w:val="none"/>
                <w:u w:val="none"/>
                <w:lang w:val="en-US" w:eastAsia="zh-CN" w:bidi="ar"/>
              </w:rPr>
              <w:t>，记录上报状态；上报数据可自动回流至数据中台，沉淀为学校数据资产，避免重复采集。</w:t>
            </w:r>
          </w:p>
          <w:p w14:paraId="1011CC7A">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8.4多源采集与填报协作</w:t>
            </w:r>
          </w:p>
          <w:p w14:paraId="1F21C9F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通过标准API接口、数据库直连等多种方式从核心业务系统采集数据；可增量采集、全量采集，调度频率可按天/周/月/学期灵活配置。可创建线下数据采集协作任务，可添加多个任务协作人共同完成一个线下数据采集任务，可在任务执行过程中添加填报人；可通过列表或卡片方式分页展示数据填报任务。</w:t>
            </w:r>
          </w:p>
          <w:p w14:paraId="61495BBC">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8.5在线填报校验与审核流</w:t>
            </w:r>
          </w:p>
          <w:p w14:paraId="04D5ACB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能够在线表单填报，填报表结构按</w:t>
            </w:r>
            <w:r>
              <w:rPr>
                <w:rFonts w:hint="eastAsia" w:ascii="宋体" w:hAnsi="宋体" w:eastAsia="宋体" w:cs="宋体"/>
                <w:i w:val="0"/>
                <w:iCs w:val="0"/>
                <w:color w:val="auto"/>
                <w:kern w:val="0"/>
                <w:sz w:val="21"/>
                <w:szCs w:val="21"/>
                <w:highlight w:val="none"/>
                <w:u w:val="none"/>
                <w:lang w:val="en-US" w:eastAsia="zh-CN" w:bidi="ar"/>
              </w:rPr>
              <w:t>教育部、省教育厅等上级主管部门上报</w:t>
            </w:r>
            <w:r>
              <w:rPr>
                <w:rFonts w:hint="eastAsia" w:ascii="宋体" w:hAnsi="宋体" w:eastAsia="宋体" w:cs="宋体"/>
                <w:i w:val="0"/>
                <w:iCs w:val="0"/>
                <w:color w:val="auto"/>
                <w:kern w:val="0"/>
                <w:sz w:val="21"/>
                <w:szCs w:val="21"/>
                <w:highlight w:val="none"/>
                <w:u w:val="none"/>
                <w:lang w:val="en-US" w:eastAsia="zh-CN" w:bidi="ar"/>
              </w:rPr>
              <w:t>表标准内置；数据填报过程中支持必填字段、字段类型、字段长度、值域、代码字典在线校验；支持批量导入填报模板。具有填报数据多级审核流，可按表/按部门/按字段灵活配置审核人，可在线审核留痕、退回意见反馈，审核可一键开启或关闭，适配不同学校管理风格；可查看个人审批中心，显示待处理、已处理、抄送我的填报表单审批任务。</w:t>
            </w:r>
          </w:p>
          <w:p w14:paraId="0A27F918">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8.6内置标准与质量监测</w:t>
            </w:r>
          </w:p>
          <w:p w14:paraId="31576F4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需全面兼容《全国职业教育智慧大脑院校中台中职数据标准及接口规范（试行）》，覆盖标准要求的 61 张数据子类表的字段、类型、长度、约束、引用关系及对应代码字典；支持标准代码集的导入、在线维护、版本对比与下发。能够通过建立《问题清单》记录数据质量问题，明确问题分类、问题数量、归属部门/责任人；可按部门、按表自定义质量检测报告范围，自定义检测报告的执行周期，定期输出质量检测报告；质量检测报告从完整性、一致性、唯一性、有效性对数据质量问题进行检测，可查看检测部门数、检测字段数、检测规则数以及检测异常项；质量检测报告可通过word、excel、pdf、html等方式导出；可显示近5次质量报告检测周期的质量问题分布趋势及质量问题改进趋势。需提供数据质量监测看板，展示数据质量监测部门数、问题部门数、完整性问题表数、唯一性问题表数、一致性问题表数、有效性问题表数等监测指标，可查看每张表单整体的数据质量问题，并可下钻到字段级数据质量问题；提供数据上报监测看板，展示上报成功表单数、上报失败表单数、待上报表单数、待提交表单数、待审批表单数，可查看每个表单上报周期内的采集状态和上报状态；支持根据上报的表数据，按照</w:t>
            </w:r>
            <w:r>
              <w:rPr>
                <w:rFonts w:hint="eastAsia" w:ascii="宋体" w:hAnsi="宋体" w:eastAsia="宋体" w:cs="宋体"/>
                <w:i w:val="0"/>
                <w:iCs w:val="0"/>
                <w:color w:val="auto"/>
                <w:kern w:val="0"/>
                <w:sz w:val="21"/>
                <w:szCs w:val="21"/>
                <w:highlight w:val="none"/>
                <w:u w:val="none"/>
                <w:lang w:val="en-US" w:eastAsia="zh-CN" w:bidi="ar"/>
              </w:rPr>
              <w:t>教育部、省教育厅等上级主管部门</w:t>
            </w:r>
            <w:r>
              <w:rPr>
                <w:rFonts w:hint="eastAsia" w:ascii="宋体" w:hAnsi="宋体" w:eastAsia="宋体" w:cs="宋体"/>
                <w:i w:val="0"/>
                <w:iCs w:val="0"/>
                <w:color w:val="auto"/>
                <w:kern w:val="0"/>
                <w:sz w:val="21"/>
                <w:szCs w:val="21"/>
                <w:highlight w:val="none"/>
                <w:u w:val="none"/>
                <w:lang w:val="en-US" w:eastAsia="zh-CN" w:bidi="ar"/>
              </w:rPr>
              <w:t>观测指标在学校本地大屏复现。</w:t>
            </w:r>
            <w:r>
              <w:rPr>
                <w:rFonts w:hint="eastAsia" w:ascii="宋体" w:hAnsi="宋体" w:eastAsia="宋体" w:cs="宋体"/>
                <w:color w:val="auto"/>
                <w:sz w:val="21"/>
                <w:szCs w:val="21"/>
                <w:highlight w:val="none"/>
                <w:lang w:val="en-US" w:eastAsia="zh-CN"/>
              </w:rPr>
              <w:t>（提供功能截图或技术说明书或官网截图）</w:t>
            </w:r>
          </w:p>
          <w:p w14:paraId="0EEF39E5">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8.7上报运维与性能保障</w:t>
            </w:r>
          </w:p>
          <w:p w14:paraId="37E5CB85">
            <w:pPr>
              <w:keepNext w:val="0"/>
              <w:keepLines w:val="0"/>
              <w:widowControl/>
              <w:suppressLineNumbers w:val="0"/>
              <w:jc w:val="left"/>
              <w:textAlignment w:val="center"/>
              <w:rPr>
                <w:rFonts w:hint="default"/>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支持失败数据一键定位至原始记录、修正后重新上报；上报记录长期留存，可按学期/学年回溯。权限管理支持组织机构、角色、菜单及数据级权限三维管控。性能指标要求：Web操作页面平均响应时间≤2秒；接口类操作≤5秒返回受理结果；查询类接口在百万级数据量下响应≤3秒。</w:t>
            </w:r>
          </w:p>
        </w:tc>
        <w:tc>
          <w:tcPr>
            <w:tcW w:w="686" w:type="dxa"/>
            <w:tcBorders>
              <w:top w:val="single" w:color="000000" w:sz="4" w:space="0"/>
              <w:bottom w:val="single" w:color="000000" w:sz="4" w:space="0"/>
            </w:tcBorders>
            <w:noWrap w:val="0"/>
            <w:vAlign w:val="center"/>
          </w:tcPr>
          <w:p w14:paraId="47DC299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322CBE46">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1E6E17AF">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53581BB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9</w:t>
            </w:r>
          </w:p>
        </w:tc>
        <w:tc>
          <w:tcPr>
            <w:tcW w:w="896" w:type="dxa"/>
            <w:tcBorders>
              <w:top w:val="single" w:color="000000" w:sz="4" w:space="0"/>
              <w:bottom w:val="single" w:color="000000" w:sz="4" w:space="0"/>
            </w:tcBorders>
            <w:noWrap w:val="0"/>
            <w:vAlign w:val="center"/>
          </w:tcPr>
          <w:p w14:paraId="6BD4D9FB">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数据门户</w:t>
            </w:r>
          </w:p>
        </w:tc>
        <w:tc>
          <w:tcPr>
            <w:tcW w:w="5798" w:type="dxa"/>
            <w:tcBorders>
              <w:top w:val="single" w:color="000000" w:sz="4" w:space="0"/>
              <w:bottom w:val="single" w:color="000000" w:sz="4" w:space="0"/>
            </w:tcBorders>
            <w:noWrap w:val="0"/>
            <w:vAlign w:val="center"/>
          </w:tcPr>
          <w:p w14:paraId="09C5BEE6">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9.1统一门户与资产目录</w:t>
            </w:r>
          </w:p>
          <w:p w14:paraId="7C2EC4D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为校领导、各部门用户提供统一数据门户，集成数据资产目录、申请中心、我的数据、消息通知等；用户可自助检索、申请、订阅数据服务。</w:t>
            </w:r>
          </w:p>
          <w:p w14:paraId="6C2A0FB9">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9.2数据目录在线检索</w:t>
            </w:r>
          </w:p>
          <w:p w14:paraId="6A6D344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数据资源目录、数据资产目录在线查询检索功能，能够依据数据名称、数据摘要开展基础检索；数据资源目录按部门视角展示全校及各部门数据资源，能够基于对象类型、重要性分类、建设状态等属性开展高级检索；数据资产目录按资产分类视角展示全校及各分类数据资产，能够基于对象类型、确权状态、是否开放等属性开展高级检索。功能布局及UI界面参考示意如下：</w:t>
            </w:r>
          </w:p>
          <w:p w14:paraId="6E1DD70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drawing>
                <wp:inline distT="0" distB="0" distL="114300" distR="114300">
                  <wp:extent cx="2940050" cy="1312545"/>
                  <wp:effectExtent l="0" t="0" r="12700" b="19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a:stretch>
                            <a:fillRect/>
                          </a:stretch>
                        </pic:blipFill>
                        <pic:spPr>
                          <a:xfrm>
                            <a:off x="0" y="0"/>
                            <a:ext cx="2940050" cy="1312545"/>
                          </a:xfrm>
                          <a:prstGeom prst="rect">
                            <a:avLst/>
                          </a:prstGeom>
                          <a:noFill/>
                          <a:ln>
                            <a:noFill/>
                          </a:ln>
                        </pic:spPr>
                      </pic:pic>
                    </a:graphicData>
                  </a:graphic>
                </wp:inline>
              </w:drawing>
            </w:r>
          </w:p>
          <w:p w14:paraId="236F0683">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本图仅为业务逻辑示意，图中所有界面布局、按钮名称、字段命名、菜单分类均为示例，不做为实际交付要求，供应商以同等功能实现即可。</w:t>
            </w:r>
          </w:p>
          <w:p w14:paraId="020023F7">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i w:val="0"/>
                <w:iCs w:val="0"/>
                <w:color w:val="auto"/>
                <w:kern w:val="0"/>
                <w:sz w:val="21"/>
                <w:szCs w:val="21"/>
                <w:highlight w:val="none"/>
                <w:u w:val="none"/>
                <w:lang w:val="en-US" w:eastAsia="zh-CN" w:bidi="ar"/>
              </w:rPr>
              <w:t>9.3资产汇总</w:t>
            </w:r>
          </w:p>
          <w:p w14:paraId="11FB067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对数据清单、资源目录及资产目录等进行在线检索；可清晰查看各节点之间的关联关系，可通过点击节点动态扩展搜索范围，提高查询效率。能够对资产情况汇总展示，包括数据资源、数据标准、数据模型、代码表、数据项、数据体量、来源部门、来源系统等；可查看数据专区，点击专区可查看对应的数据清单；可查看数据排行TOP9，包括最新申请的数据资源等，点击可查看数据资源详情；可展示、预览、下载已发布的标准及规范文档。</w:t>
            </w:r>
            <w:r>
              <w:rPr>
                <w:rFonts w:hint="eastAsia" w:ascii="宋体" w:hAnsi="宋体" w:eastAsia="宋体" w:cs="宋体"/>
                <w:color w:val="auto"/>
                <w:sz w:val="21"/>
                <w:szCs w:val="21"/>
                <w:highlight w:val="none"/>
                <w:lang w:val="en-US" w:eastAsia="zh-CN"/>
              </w:rPr>
              <w:t>（提供功能截图或技术说明书或官网截图）</w:t>
            </w:r>
          </w:p>
          <w:p w14:paraId="0B0EA3A0">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9.4目录深化与数据地图</w:t>
            </w:r>
          </w:p>
          <w:p w14:paraId="3A8A6E7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根据我的关注、数据量、更新时间对目录进行排序，可下载目录；可查看目录详情，展示数据全景、数据结构、数据预览及全链分析等，数据全景从技术属性展示数据对象名称、空值率、数据项、数据量等，从业务属性展示所属部门、所属系统、所属分类、业务标签及重要性分类，从管理属性展示建设状态、业务确认状态、确权状态、安全级别、数据共享方式、质量综合评分、质量状态、是否开放等；可自定义生成多视角目录，组合配置目录名称、基础筛选、高级筛选及列表逻辑，生成新目录（如以安全视角的数据安全目录、以质量视角的数据质量目录），也可对已有目录进行编辑和删除；支持从业务视角、技术视角查看数据地图，业务视角聚焦数据供需关系，展示各单位向数据中心提供数据及申请数据情况，技术视角可快速定位任意数仓层级下数据表，查看指定数据表的全链路分析（覆盖数据从采集、加工、生成清单及服务应用，可精确定位到字段级别）；可对未建设状态的数据资源完成确权。</w:t>
            </w:r>
          </w:p>
          <w:p w14:paraId="4A5A4F24">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9.5数据申请全流程</w:t>
            </w:r>
          </w:p>
          <w:p w14:paraId="64BDC2B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查看开放共享的数据清单，可按分类、按部门展示，可根据清单名称、表名称、申请状态、关键词、所属部门、业务系统、格式检索；支持根据申请总数、浏览量、发布时间、更新时间对数据清单排序；可查看数据清单详情，包括基础信息、数据预览、字段说明、全链分析，可预览脱敏后的</w:t>
            </w:r>
            <w:r>
              <w:rPr>
                <w:rFonts w:hint="eastAsia" w:ascii="宋体" w:hAnsi="宋体" w:eastAsia="宋体" w:cs="宋体"/>
                <w:i w:val="0"/>
                <w:iCs w:val="0"/>
                <w:color w:val="auto"/>
                <w:kern w:val="0"/>
                <w:sz w:val="21"/>
                <w:szCs w:val="21"/>
                <w:highlight w:val="none"/>
                <w:u w:val="none"/>
                <w:lang w:val="en-US" w:eastAsia="zh-CN" w:bidi="ar"/>
              </w:rPr>
              <w:t>多条数据</w:t>
            </w:r>
            <w:r>
              <w:rPr>
                <w:rFonts w:hint="eastAsia" w:ascii="宋体" w:hAnsi="宋体" w:eastAsia="宋体" w:cs="宋体"/>
                <w:i w:val="0"/>
                <w:iCs w:val="0"/>
                <w:color w:val="auto"/>
                <w:kern w:val="0"/>
                <w:sz w:val="21"/>
                <w:szCs w:val="21"/>
                <w:highlight w:val="none"/>
                <w:u w:val="none"/>
                <w:lang w:val="en-US" w:eastAsia="zh-CN" w:bidi="ar"/>
              </w:rPr>
              <w:t>，可通过全链分析查看该清单的数据来源和清单供给的应用。提供丰富的数据格式申请，可按API接口、文本数据、ETL接口、数据库视图等多种格式申请，支持字段级申请颗粒度；数据申请时可签订数据使用保密协议，同意协议后方可申请；数据申请前可进行接口测试，预先获取数据返回格式和部分内容；可收藏数据清单，收藏的清单可在数据中心-在线查询中预览数据；可将数据清单加入购物车进行批量申请；可根据当前用户选择的数据和应用自动带出已申请过的数据，避免重复申请；用户提交数据申请后，系统根据已定义的审核流程模式自动生成相应审核流程，每个审核节点完成后自动流转至下一节点，直至整个流程结束；数据申请时可上传PDF文件或图片作为审核材料，可一次上传多个文件，数据审核时可在线预览审核材料；支持提交数据需求反馈，描述需求分类、需求详情、数据用途、期望更新频率，提交的需求统一在后台登记管理；支持下载数据清单列表信息及清单的字段说明。</w:t>
            </w:r>
          </w:p>
          <w:p w14:paraId="50ECC802">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9.6ETL接口申请专项</w:t>
            </w:r>
          </w:p>
          <w:p w14:paraId="011145D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申请ETL接口时，支持选择目标表名与清单发布时选择的数据表名保持一致；同一个应用申请同一个清单的ETL接口时可追加申请字段，追加的字段如果在目标表中不存在可自动在目标表中创建字段，无需手动新增；用户申请ETL接口时可对设置的接口调度进行校验，当调度时间与清单的更新时间存在冲突时给出提示，避免因调度时间不合理影响数据更新。</w:t>
            </w:r>
          </w:p>
          <w:p w14:paraId="2B3F3F5F">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9.7部门数据工作台</w:t>
            </w:r>
          </w:p>
          <w:p w14:paraId="43B1A21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可查看部门数据概况，</w:t>
            </w:r>
            <w:r>
              <w:rPr>
                <w:rFonts w:hint="eastAsia" w:ascii="宋体" w:hAnsi="宋体" w:eastAsia="宋体" w:cs="宋体"/>
                <w:i w:val="0"/>
                <w:iCs w:val="0"/>
                <w:color w:val="auto"/>
                <w:kern w:val="0"/>
                <w:sz w:val="21"/>
                <w:szCs w:val="21"/>
                <w:highlight w:val="none"/>
                <w:u w:val="none"/>
                <w:lang w:val="en-US" w:eastAsia="zh-CN" w:bidi="ar"/>
              </w:rPr>
              <w:t>包括但不限于业务系统数</w:t>
            </w:r>
            <w:r>
              <w:rPr>
                <w:rFonts w:hint="eastAsia" w:ascii="宋体" w:hAnsi="宋体" w:eastAsia="宋体" w:cs="宋体"/>
                <w:i w:val="0"/>
                <w:iCs w:val="0"/>
                <w:color w:val="auto"/>
                <w:kern w:val="0"/>
                <w:sz w:val="21"/>
                <w:szCs w:val="21"/>
                <w:highlight w:val="none"/>
                <w:u w:val="none"/>
                <w:lang w:val="en-US" w:eastAsia="zh-CN" w:bidi="ar"/>
              </w:rPr>
              <w:t>、业务应用数、部门表数、部门数据体量、部门确权模型数、数据质量评分、提供数据清单数、清单被调用次数，可查看业务系统及业务应用详情；可查看部门数据治理核心事项落实情况，涵盖数据确权进度、数据需求响应、数据</w:t>
            </w:r>
            <w:r>
              <w:rPr>
                <w:rFonts w:hint="eastAsia" w:ascii="宋体" w:hAnsi="宋体" w:eastAsia="宋体" w:cs="宋体"/>
                <w:i w:val="0"/>
                <w:iCs w:val="0"/>
                <w:color w:val="auto"/>
                <w:kern w:val="0"/>
                <w:sz w:val="21"/>
                <w:szCs w:val="21"/>
                <w:highlight w:val="none"/>
                <w:u w:val="none"/>
                <w:lang w:val="en-US" w:eastAsia="zh-CN" w:bidi="ar"/>
              </w:rPr>
              <w:t>问题整改等</w:t>
            </w:r>
            <w:r>
              <w:rPr>
                <w:rFonts w:hint="eastAsia" w:ascii="宋体" w:hAnsi="宋体" w:eastAsia="宋体" w:cs="宋体"/>
                <w:i w:val="0"/>
                <w:iCs w:val="0"/>
                <w:color w:val="auto"/>
                <w:kern w:val="0"/>
                <w:sz w:val="21"/>
                <w:szCs w:val="21"/>
                <w:highlight w:val="none"/>
                <w:u w:val="none"/>
                <w:lang w:val="en-US" w:eastAsia="zh-CN" w:bidi="ar"/>
              </w:rPr>
              <w:t>：包括数据确权情况统计、超期未确权事项提示、数据需求反馈统计、数据使用与质量问题统计及整改跟踪等内容；支持查看部门数据采集情况（登记/采集数据表数、登记/采集数据量、本部门对比其他部门数据量占比</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）、部门数据目录建设（资源目录建设数量、已建设/未建设数量及重要性分布等）、部门数据质量情况（质量评分、较上次、检测情况、质量问题及质量分布图</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）、部门数据开放情况（不同格式下数据申请次数、热门数据清单TOP10等）、部门数据供需关系（本部门提供/申请数据清单统计、供数流向图、清单详情</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）；支持查看部门清单详情；可查看部门数据质量报告，可查看部门历史质量报告列表及报告详情，可将报告以word、Excel、PDF、HTML格式导出；可在线查看数据标准、代码标准、管理制度等文档并可下载。</w:t>
            </w:r>
          </w:p>
          <w:p w14:paraId="502A1AF4">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9.8学校级数据总览</w:t>
            </w:r>
          </w:p>
          <w:p w14:paraId="06BB54E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提供学校数据总览，展示</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学校部门数、业务系统数、业务应用数、表数、数据体量、数据质量综合评分、开放数据清单及累计调用次数，可查看部门、业务系统、业务应用及清单调用</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详情；提供学校数据概要，展示</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数据资源目录（资源总数、已建设/未建设数量、部门已建设资源排行、未建设资源分布图及部门未建设资源排行</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）、数据资产目录（资产总数及资产分布图</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）、数据开放目录（数据清单数、申请部门数、调用次数、部门开放数据排行及热门数据TOP10</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）及数据模型建设情况；提供学校协作概要，展示</w:t>
            </w:r>
            <w:r>
              <w:rPr>
                <w:rFonts w:hint="eastAsia" w:ascii="宋体" w:hAnsi="宋体" w:eastAsia="宋体" w:cs="宋体"/>
                <w:i w:val="0"/>
                <w:iCs w:val="0"/>
                <w:color w:val="auto"/>
                <w:kern w:val="0"/>
                <w:sz w:val="21"/>
                <w:szCs w:val="21"/>
                <w:highlight w:val="none"/>
                <w:u w:val="none"/>
                <w:lang w:val="en-US" w:eastAsia="zh-CN" w:bidi="ar"/>
              </w:rPr>
              <w:t>包含但不限于</w:t>
            </w:r>
            <w:r>
              <w:rPr>
                <w:rFonts w:hint="eastAsia" w:ascii="宋体" w:hAnsi="宋体" w:eastAsia="宋体" w:cs="宋体"/>
                <w:i w:val="0"/>
                <w:iCs w:val="0"/>
                <w:color w:val="auto"/>
                <w:kern w:val="0"/>
                <w:sz w:val="21"/>
                <w:szCs w:val="21"/>
                <w:highlight w:val="none"/>
                <w:u w:val="none"/>
                <w:lang w:val="en-US" w:eastAsia="zh-CN" w:bidi="ar"/>
              </w:rPr>
              <w:t>数据确权模型数、待确认/已确认模型数、确权进度、确权进度排行榜、超30天未确权的部门及数量，统计数据需求数、已处理/待处理需求及需求归属部门，统计数据问题数、已解决/待解决问题及问题归属部门；提供学校安全概要，展示</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数据分类、数据分级、加密脱敏、审核流程及近7天系统监控操作访问情况</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；提供学校质量概要，展示</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学校数据质量评分、较上次、检测情况、质量问题、质量分布及数据质量排行。</w:t>
            </w:r>
          </w:p>
          <w:p w14:paraId="1EFA1A21">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9.9用户工作台与文档中心</w:t>
            </w:r>
          </w:p>
          <w:p w14:paraId="6BF5738B">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展示</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用户基本信息、用户角色及用户所属部门，可查看</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本部门的业务系统、系统厂商，可从门户中选择模块添加至快捷访问入口；支持用户在线管理应用，可查看每个应用已申请的数据清单个数、应用的appkey和appSecret，可将应用转交给同部门的其他用户，转交后原用户已申请的数据归属新用户；可查看用户待办事项，</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标准确权、数据填报及数据审批。标准确权，按部门展示确权任务，可对标准模型进行在线确权操作，可根据确权任务名称、模型名称、确认状态、转交状态、接收状态检索，支持字段级模型转交并可撤回，支持批量确认模型、转交模型、转交撤回、接收模型、拒收模型</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可查看表格数据填报任务，可在线添加数据、批量导入数据，可将采集清单数据以excel、csv、dbf等格式导出，支持部门管理员对部门用户进行采集清单授权管理，可查看用户在此模块的新增、修改、导入、删除等操作日志。可查看本部门人员的数据申请记录并进行审核处理，可查看其他部门申请使用本部门数据需要本部门审批的数据申请，可查看数据申请详情，审核时可对申请的字段范围、字段是否加密脱敏进行设置；可查看当前用户已提交的数据申请记录，可通过待审批、审批通过、审批拒绝、申请撤回等标签过滤，可根据对象名称、申请格式、应用名称检索，可撤回申请（撤回后流程直接结束，申请记录保留）。支持查看、使用用户已申请成功的各类型数据，包括API接口、文本数据、ETL接口数据、数据库视图、文件资源、接口资源、离线文件、消息队列，可根据清单名称、应用名称检索，可查看接口URL地址、下载对接文档、查看应用详情、查看授权字段等信息，支持用户配置数据源用以申请ETL接口格式的数据，用户申请API接口全部字段后调用时可只返回指定字段以减少数据传输量；支持在查看我的数据时提交数据问题反馈，描述问题分类、问题清单、问题字段、问题详情及影响应用；支持在线数据查询，可查看已申请的数据清单、收藏的数据清单、部门资源，可输入关键字对字段名称或数据内容进行简单查询，也可设置多个检索条件查询，支持代码翻译功能（查看数据时将代码值转换成代码名称），可以CSV和XLSX格式导出已申请数据，查看收藏清单时可预览前10条脱敏数据；支持查询我的反馈，可导出反馈的数据需求、数据问题。支持在文档中心查看平台用户操作手册及开发者指南，开发者指南需包括API调用类型说明、授权方式说明、调用频率说明、调用错误码说明、调用示例，调用示例包括但不限于Ruby、JAVA、C#、php、Python、Go六种语言的代码示例；用户反馈的数据需求被管理员接收处理后，可快速查看与该数据需求相关联的数据清单详情。</w:t>
            </w:r>
          </w:p>
        </w:tc>
        <w:tc>
          <w:tcPr>
            <w:tcW w:w="686" w:type="dxa"/>
            <w:tcBorders>
              <w:top w:val="single" w:color="000000" w:sz="4" w:space="0"/>
              <w:bottom w:val="single" w:color="000000" w:sz="4" w:space="0"/>
            </w:tcBorders>
            <w:noWrap w:val="0"/>
            <w:vAlign w:val="center"/>
          </w:tcPr>
          <w:p w14:paraId="233CF300">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17EFA668">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6FFBB13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746" w:hRule="atLeast"/>
          <w:jc w:val="center"/>
        </w:trPr>
        <w:tc>
          <w:tcPr>
            <w:tcW w:w="701" w:type="dxa"/>
            <w:tcBorders>
              <w:top w:val="single" w:color="000000" w:sz="4" w:space="0"/>
              <w:bottom w:val="single" w:color="000000" w:sz="4" w:space="0"/>
            </w:tcBorders>
            <w:noWrap w:val="0"/>
            <w:vAlign w:val="center"/>
          </w:tcPr>
          <w:p w14:paraId="40C19FA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c>
          <w:tcPr>
            <w:tcW w:w="896" w:type="dxa"/>
            <w:tcBorders>
              <w:top w:val="single" w:color="000000" w:sz="4" w:space="0"/>
              <w:bottom w:val="single" w:color="000000" w:sz="4" w:space="0"/>
            </w:tcBorders>
            <w:noWrap w:val="0"/>
            <w:vAlign w:val="center"/>
          </w:tcPr>
          <w:p w14:paraId="79A1A6B5">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数据治理服务（实施交付）</w:t>
            </w:r>
          </w:p>
        </w:tc>
        <w:tc>
          <w:tcPr>
            <w:tcW w:w="5798" w:type="dxa"/>
            <w:tcBorders>
              <w:top w:val="single" w:color="000000" w:sz="4" w:space="0"/>
              <w:bottom w:val="single" w:color="000000" w:sz="4" w:space="0"/>
            </w:tcBorders>
            <w:noWrap w:val="0"/>
            <w:vAlign w:val="center"/>
          </w:tcPr>
          <w:p w14:paraId="3752ECC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除软件平台外，供应商须提供专业的数据治理服务，将平台能力真正落地。服务须绑定具体学校</w:t>
            </w:r>
            <w:r>
              <w:rPr>
                <w:rFonts w:hint="eastAsia" w:ascii="宋体" w:hAnsi="宋体" w:eastAsia="宋体" w:cs="宋体"/>
                <w:i w:val="0"/>
                <w:iCs w:val="0"/>
                <w:color w:val="auto"/>
                <w:kern w:val="0"/>
                <w:sz w:val="21"/>
                <w:szCs w:val="21"/>
                <w:highlight w:val="none"/>
                <w:u w:val="none"/>
                <w:lang w:val="en-US" w:eastAsia="zh-CN" w:bidi="ar"/>
              </w:rPr>
              <w:t>存量系统（教务、迎新报名、一卡通等）</w:t>
            </w:r>
            <w:r>
              <w:rPr>
                <w:rFonts w:hint="eastAsia" w:ascii="宋体" w:hAnsi="宋体" w:eastAsia="宋体" w:cs="宋体"/>
                <w:i w:val="0"/>
                <w:iCs w:val="0"/>
                <w:color w:val="auto"/>
                <w:kern w:val="0"/>
                <w:sz w:val="21"/>
                <w:szCs w:val="21"/>
                <w:highlight w:val="none"/>
                <w:u w:val="none"/>
                <w:lang w:val="en-US" w:eastAsia="zh-CN" w:bidi="ar"/>
              </w:rPr>
              <w:t>，明确交付物。</w:t>
            </w:r>
          </w:p>
          <w:p w14:paraId="1493CBA7">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10.1数据调研与盘点</w:t>
            </w:r>
          </w:p>
          <w:p w14:paraId="3B0ED51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完成核心业务系统调研、数据资产盘点，输出《数据资产清单》《系统数据调研报告》。</w:t>
            </w:r>
          </w:p>
          <w:p w14:paraId="61A00150">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10.2标准编制与确权</w:t>
            </w:r>
          </w:p>
          <w:p w14:paraId="2F21B02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协助编制校级数据标准（数据元、代码集），推动数据确权，输出《数据确权清单》并经部门签字确认。</w:t>
            </w:r>
          </w:p>
          <w:p w14:paraId="2C017C93">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10.3质量整改与培训</w:t>
            </w:r>
          </w:p>
          <w:p w14:paraId="64C0C61D">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针对重点数据开展质量检核与整改；对学校信息中心及业务部门开展分层培训与知识转移，交付完整文档。</w:t>
            </w:r>
          </w:p>
          <w:p w14:paraId="63EAE00A">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10.4数据管理制度体系建设</w:t>
            </w:r>
          </w:p>
          <w:p w14:paraId="72DCD4C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协助学校建立数据管理制度体系，包括数据管理制度、工作流程等，覆盖数据采集、存储、流转、使用的各个环节，以及数据治理的各组织和工作岗位，具体包括：管理办法（从数据资产管理层视角出发，规定数据资产管理各活动的管理目标、管理原则、管理流程、监督考核、评估优化等）；实施细则（从数据管理层和执行层视角出发，明确各项活动职能执行落实的标准、规范、流程等，包括数据标准管理和执行细则、数据质量管理细则、数据共享管理细则、数据安全管理细则）；操作规范（从数据管理执行层视角出发，进一步明确各项工作需遵循的工作规程、操作手册或模板类文件，包括数据开发操作规范等）。</w:t>
            </w:r>
          </w:p>
          <w:p w14:paraId="21E4697D">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10.5贴源层数据开发</w:t>
            </w:r>
          </w:p>
          <w:p w14:paraId="30E24C4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根据信息化和数据现状调研情况，对当前各</w:t>
            </w:r>
            <w:r>
              <w:rPr>
                <w:rFonts w:hint="eastAsia" w:ascii="宋体" w:hAnsi="宋体" w:eastAsia="宋体" w:cs="宋体"/>
                <w:i w:val="0"/>
                <w:iCs w:val="0"/>
                <w:color w:val="auto"/>
                <w:kern w:val="0"/>
                <w:sz w:val="21"/>
                <w:szCs w:val="21"/>
                <w:highlight w:val="none"/>
                <w:u w:val="none"/>
                <w:lang w:val="en-US" w:eastAsia="zh-CN" w:bidi="ar"/>
              </w:rPr>
              <w:t>存量系统</w:t>
            </w:r>
            <w:r>
              <w:rPr>
                <w:rFonts w:hint="eastAsia" w:ascii="宋体" w:hAnsi="宋体" w:eastAsia="宋体" w:cs="宋体"/>
                <w:i w:val="0"/>
                <w:iCs w:val="0"/>
                <w:color w:val="auto"/>
                <w:kern w:val="0"/>
                <w:sz w:val="21"/>
                <w:szCs w:val="21"/>
                <w:highlight w:val="none"/>
                <w:u w:val="none"/>
                <w:lang w:val="en-US" w:eastAsia="zh-CN" w:bidi="ar"/>
              </w:rPr>
              <w:t>中存在业务价值的数据进行对接采集，将原始数据存储到湖仓一体数据平台中，并对原始数据进行含义识别、添加注释等工作。本次需进行对接采集的源业务系统包括但不限于教务系统、学生在线报名系统及迎新系统、一卡通、OA系统，具体以学校要求为准，除数据库中的菜单权限表、备份表、临时表等系统控制数据外，其余所有业务数据需全量采集。根据数据采集、清洗中梳理的信息，输出数据供需关系，包含但不限于：数据采集源信息、原始数据数据字典集合、数据质量检核报告、元数据库、数据血缘关系等。要求针对集成到数据仓库的数据进行业务含义的识别理解并添加标注，保障数据可识别性，项目交付时表注释率≥80%，字段注释率≥70%。</w:t>
            </w:r>
          </w:p>
          <w:p w14:paraId="7D92BB9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针对学校存在实时数据交换的业务场景，提供实时流式数据接口的开发服务，实现跨系统的秒级数据同步</w:t>
            </w:r>
            <w:r>
              <w:rPr>
                <w:rFonts w:hint="eastAsia" w:ascii="宋体" w:hAnsi="宋体" w:eastAsia="宋体" w:cs="宋体"/>
                <w:i w:val="0"/>
                <w:iCs w:val="0"/>
                <w:color w:val="auto"/>
                <w:kern w:val="0"/>
                <w:sz w:val="21"/>
                <w:szCs w:val="21"/>
                <w:highlight w:val="none"/>
                <w:u w:val="none"/>
                <w:lang w:val="en-US" w:eastAsia="zh-CN" w:bidi="ar"/>
              </w:rPr>
              <w:t>（投标方案中，针对常见业务场景详细说明实现路径、前提条件、限制条件）。</w:t>
            </w:r>
          </w:p>
          <w:p w14:paraId="735CFD4B">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10.6标准层数据开发</w:t>
            </w:r>
          </w:p>
          <w:p w14:paraId="63A0BBA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对于系统间内容重叠的数据，需确认权威数据源，进行去重处理；以标准数据模型为目标，对原始数据进行正确的关联整合，对可通过自动化规则修正的问题利用相关技术手段及清洗规则在数据集成过程中进行批量清洗修正，形成符合数据标准的标准化、规范化数据资源；对于线下产生的Excel、CSV、格式化文本（如JSON、XML）等文件，进行必要的规范化、标准化处理后，利用线下数据集成工具进行线上化处理，利用湖仓一体数据存算底座进行持久化存储和管理。清洗整合后的数据需满足：单一字段中不存在多种信息；相同对象的名称表达一致；缩写词、惯用语的表达一致；值与字段名含义匹配；同类数据的计量单位统一；同一字段内的数据格式统一。根据数据采集、清洗中梳理的信息，输出数据供需关系（数据采集源信息、原始数据数据字典集合、元数据库、数据血缘关系等），并配置到数据资产管理平台的相应功能模块中进行在线管理。</w:t>
            </w:r>
          </w:p>
          <w:p w14:paraId="1FE5224A">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10.7标准层数据定责</w:t>
            </w:r>
          </w:p>
          <w:p w14:paraId="2F2A166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针对核心系统所属的业务部门进行调研，了解核心字段的业务权属，并进行核心字段的确认以及数据共享安全等级的确认；针对已确认的核心字段输出数据确权清单，确权清单中明确标识核心字段的元数据信息、归属部门信息及相应的安全等级；针对已输出的数据确权清单进行业务部门的最终确认，并进行相应信息留痕，留痕手段包括但不限于纸质文档（签字、盖章）、电子邮件、会议纪要等；针对最终确认的数据确权清单，在数据平台进行数据模型、数据标准、元数据的安全等级及归属部门信息更新；针对更新后的元数据进行数据清单的更新和发布，并同时进行相关数据清单历史申请数据的调整；针对“一数一源”数据确权工作的成果完成资产门户的通知公告发布，与各业务部门同步相关信息。</w:t>
            </w:r>
          </w:p>
          <w:p w14:paraId="6D8A7E1A">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10.8数据质量检测</w:t>
            </w:r>
          </w:p>
          <w:p w14:paraId="04FAD50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本次针对重点数据进行建设（重点数据是指数据仓库中对应学校核心业务的关键或基础数据，或被多个应用所共享的数据），投标人需按校方要求标定重点数据范围（颗粒度到表级），配置质量检测规则、生成质量检测任务、配置数据质量报告、进行质量问题来源分析和反馈，对其中具备技术解决条件的数据问题，通过数据清洗技术手段进行修正。根据数据的质量特性制定合理的质量规则（如身份证号有效性检测、代码有效性校验、枚举有效性检测等），绑定到正确的数据对象上；配置质量检测任务并自动定期执行，周期性生成数据检测报告；基于数据质量检测报告反映的数据质量问题，对数据质量进行归一化评分，并将数据质量报告结果反馈至数据资源门户，便于相关责任部门登录认领、跟进处理；对数据质量问题进行统计分析和预警，找出问题分布比率，包括数据质量问题类型分析、数据质量问题发生曲线图等，对比较严重亟待解决的质量问题分析其可能原因，与数据来源部门讨论确认，并提供可行的解决路径和手段。</w:t>
            </w:r>
          </w:p>
          <w:p w14:paraId="5876C060">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10.9数据安全分级</w:t>
            </w:r>
          </w:p>
          <w:p w14:paraId="06CD91B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数据安全策略设计服务：提供数据分类分级指南编制服务，根据法律法规、国家标准、上级单位工作指南的要求及数据内容的业务属性，制定数据分类分级指南；提供数据资源分类定级服务，根据数据分类分级指南对数据标准库中的数据对象进行分类定级，输出《滁州技师学院数据分类分级资源目录（暂行）》；提供数据保护策略制定服务，根据《滁州技师学院数据分类分级资源目录（暂行）》的内容制定相应的保护策略，核心数据实行最严格的管理和保护措施，重要数据进行重点保护，一般数据根据实际需求进行必要保护，保护策略涵盖数据的存储、传输、使用、共享等各个环节；提供数据安全事件应急预案咨询服务，协助学校建立数据泄露应急响应机制，制定应急预案。（二）数据安全策略执行落地服务：按照设计完成的数据安全策略实施具体的数据保护措施，如数据加密、访问控制、审计监控等；数据安全保护措施贯穿数据从生产到应用全生命周期，根据数据安全定级、脱敏规则设置及引用敏感数据的操作日志记录，保障数据资产生产、加工和开放使用全生命周期过程的数据安全；配置各类审核流程，根据不同数据安全等级，数据使用申请审批时可基于字段对应的安全等级自动发起相应审核流程进行审批，保证数据采集、传输、存储和使用过程安全合规。</w:t>
            </w:r>
          </w:p>
          <w:p w14:paraId="51956978">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10.10数据开放共享</w:t>
            </w:r>
          </w:p>
          <w:p w14:paraId="4555AF9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针对学校常用共享交换需求，构建通用共享数据集，形成开箱即用的数据资源，主要包括组织机构、学生基本信息、教职工基本信息、课程信息、科研项目信息等；该数据集经过治理后，形成高质量的共享资源。</w:t>
            </w:r>
          </w:p>
        </w:tc>
        <w:tc>
          <w:tcPr>
            <w:tcW w:w="686" w:type="dxa"/>
            <w:tcBorders>
              <w:top w:val="single" w:color="000000" w:sz="4" w:space="0"/>
              <w:bottom w:val="single" w:color="000000" w:sz="4" w:space="0"/>
            </w:tcBorders>
            <w:noWrap w:val="0"/>
            <w:vAlign w:val="center"/>
          </w:tcPr>
          <w:p w14:paraId="653FFF5D">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5EA1E8A9">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7A312862">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776" w:hRule="atLeast"/>
          <w:jc w:val="center"/>
        </w:trPr>
        <w:tc>
          <w:tcPr>
            <w:tcW w:w="701" w:type="dxa"/>
            <w:tcBorders>
              <w:top w:val="single" w:color="000000" w:sz="4" w:space="0"/>
              <w:bottom w:val="single" w:color="000000" w:sz="4" w:space="0"/>
            </w:tcBorders>
            <w:noWrap w:val="0"/>
            <w:vAlign w:val="center"/>
          </w:tcPr>
          <w:p w14:paraId="1D2A27A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11</w:t>
            </w:r>
          </w:p>
        </w:tc>
        <w:tc>
          <w:tcPr>
            <w:tcW w:w="896" w:type="dxa"/>
            <w:tcBorders>
              <w:top w:val="single" w:color="000000" w:sz="4" w:space="0"/>
              <w:bottom w:val="single" w:color="000000" w:sz="4" w:space="0"/>
            </w:tcBorders>
            <w:noWrap w:val="0"/>
            <w:vAlign w:val="center"/>
          </w:tcPr>
          <w:p w14:paraId="377FDF0B">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数据应用开发</w:t>
            </w:r>
          </w:p>
        </w:tc>
        <w:tc>
          <w:tcPr>
            <w:tcW w:w="5798" w:type="dxa"/>
            <w:tcBorders>
              <w:top w:val="single" w:color="000000" w:sz="4" w:space="0"/>
              <w:bottom w:val="single" w:color="000000" w:sz="4" w:space="0"/>
            </w:tcBorders>
            <w:noWrap w:val="0"/>
            <w:vAlign w:val="center"/>
          </w:tcPr>
          <w:p w14:paraId="0BC78135">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11.1决策看板</w:t>
            </w:r>
          </w:p>
          <w:p w14:paraId="197785CC">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需完成学校概况、党建德育、教育教学服务管理、教职工画像、</w:t>
            </w:r>
            <w:r>
              <w:rPr>
                <w:rFonts w:hint="eastAsia" w:ascii="宋体" w:hAnsi="宋体" w:eastAsia="宋体" w:cs="宋体"/>
                <w:i w:val="0"/>
                <w:iCs w:val="0"/>
                <w:color w:val="auto"/>
                <w:kern w:val="0"/>
                <w:sz w:val="21"/>
                <w:szCs w:val="21"/>
                <w:highlight w:val="none"/>
                <w:u w:val="none"/>
                <w:lang w:val="en-US" w:eastAsia="zh-CN" w:bidi="ar"/>
              </w:rPr>
              <w:t>学生画像、学生管理、后勤管理、学校创建等不少于八个主题看板建设。（具体指标需根据学校实际情况实施和调整）。</w:t>
            </w:r>
          </w:p>
          <w:p w14:paraId="4F4530FC">
            <w:pPr>
              <w:pStyle w:val="22"/>
              <w:keepNext w:val="0"/>
              <w:keepLines w:val="0"/>
              <w:widowControl/>
              <w:suppressLineNumbers w:val="0"/>
              <w:spacing w:before="0" w:beforeAutospacing="0" w:after="0" w:afterAutospacing="0"/>
              <w:ind w:left="0" w:right="0"/>
              <w:jc w:val="left"/>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11.2建设总体要求</w:t>
            </w:r>
          </w:p>
          <w:p w14:paraId="531D411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投标人须承诺，在系统建设全过程中严格遵循本次校级数据标准服务所产出的标准规范要求；供应商需负责数据应用开发所需数据的采集、治理、对接和模型建设等服务，确保系统数据的完整性和可用性；投标人需承诺满足不少于8张个性化的数据看板建设。已建成的看板能够自主选择是否展示，未展示的看板可以在后台存储，并能够随时调取。</w:t>
            </w:r>
            <w:r>
              <w:rPr>
                <w:rFonts w:hint="eastAsia" w:ascii="宋体" w:hAnsi="宋体" w:eastAsia="宋体" w:cs="宋体"/>
                <w:b/>
                <w:bCs/>
                <w:i w:val="0"/>
                <w:iCs w:val="0"/>
                <w:color w:val="auto"/>
                <w:kern w:val="0"/>
                <w:sz w:val="21"/>
                <w:szCs w:val="21"/>
                <w:highlight w:val="none"/>
                <w:u w:val="none"/>
                <w:lang w:val="en-US" w:eastAsia="zh-CN" w:bidi="ar"/>
              </w:rPr>
              <w:t>（提供承诺函，格式自拟）</w:t>
            </w:r>
          </w:p>
          <w:p w14:paraId="7FD61431">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11.3数据采集治理</w:t>
            </w:r>
          </w:p>
          <w:p w14:paraId="022E9820">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数据采集：需负责从各业务系统、数据库、数据源等采集所需数据，并确保数据的完整性、准确性和实时性；数据治理：需对采集到的数据进行全面治理，包括数据去重、异常值处理、缺失值填充等，确保数据质量达到分析要求；数据清洗：需根据业务规则和数据质量要求对数据进行深度清洗，消除冗余、错误和不符合要求的数据；数据标准化：需制定并执行数据标准化策略，确保数据在格式、编码、单位等方面的一致性和可比性。</w:t>
            </w:r>
          </w:p>
          <w:p w14:paraId="74DD4606">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11.4指标模型构建</w:t>
            </w:r>
          </w:p>
          <w:p w14:paraId="47CBC1B9">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一级指标（指标主题）：需明确各指标主题（如“学生成绩”等），并为每个指标主题定义明确的业务含义和范围；二级指标（指标场景）：在一级指标基础上进一步细化，如“学生成绩”下的“期中成绩”“期末成绩”等，更具体地描述指标应用场景；三级指标（指标数值）：需根据业务需求和数据分析要求为每个二级指标定义具体的数值计算方式和算法，确保指标数值的准确性和可计算性；结构文档输出：需输出详细的指标模型结构文档，包括指标主题、场景、数值的定义、计算公式、数据来源等，便于后续管理和使用。</w:t>
            </w:r>
          </w:p>
          <w:p w14:paraId="4DA28B57">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11.5数据指标计算</w:t>
            </w:r>
          </w:p>
          <w:p w14:paraId="4D6E3434">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数据加工：需对原始数据进行必要的加工处理，如数据转换、合并、拆分等，满足指标计算需求；数据处理：需根据指标模型的计算公式和算法对数据进行计算和分析，生成准确的指标数值；数据关联：需将不同来源、不同格式的数据进行关联和整合，确保指标计算的准确性和完整性；整合分析：需对计算出的指标数值进行整合分析，生成数据报告、可视化图表等，便于用户理解和使用。</w:t>
            </w:r>
          </w:p>
          <w:p w14:paraId="3D1B3186">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11.6学校概况主题指标</w:t>
            </w:r>
          </w:p>
          <w:p w14:paraId="442E3A3E">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需参照</w:t>
            </w:r>
            <w:r>
              <w:rPr>
                <w:rFonts w:hint="eastAsia" w:ascii="宋体" w:hAnsi="宋体" w:eastAsia="宋体" w:cs="宋体"/>
                <w:i w:val="0"/>
                <w:iCs w:val="0"/>
                <w:color w:val="auto"/>
                <w:kern w:val="0"/>
                <w:sz w:val="21"/>
                <w:szCs w:val="21"/>
                <w:highlight w:val="none"/>
                <w:u w:val="none"/>
                <w:lang w:val="en-US" w:eastAsia="zh-CN" w:bidi="ar"/>
              </w:rPr>
              <w:t>主管部门及</w:t>
            </w:r>
            <w:r>
              <w:rPr>
                <w:rFonts w:hint="eastAsia" w:ascii="宋体" w:hAnsi="宋体" w:eastAsia="宋体" w:cs="宋体"/>
                <w:i w:val="0"/>
                <w:iCs w:val="0"/>
                <w:color w:val="auto"/>
                <w:kern w:val="0"/>
                <w:sz w:val="21"/>
                <w:szCs w:val="21"/>
                <w:highlight w:val="none"/>
                <w:u w:val="none"/>
                <w:lang w:val="en-US" w:eastAsia="zh-CN" w:bidi="ar"/>
              </w:rPr>
              <w:t>教育行业权威统计口径，集中展示学校办学核心基础信息，为校情概览和上级调研提供宏观数据支撑，具体包括但不限于以下指标（需根据学校实际情况进行实施和调整）：展示学校名称、学校类别、主管部门、学校代码、办学地址；展示学校占地面积、校舍建筑总面积、教学行政用房面积、生均教学行政用房面积、生均学生宿舍面积；展示馆藏图书总量、生均图书、教学仪器设备总值、生均教学科研仪器设备值；展示当前在岗专任教师学历分布情况及教职工总人数；展示当前在岗教职工岗位性质分布；展示本校开设专业数、学校特色应用；展示校园出口宽带、校园主干网宽带；展示有线网络接入数、无线网络接入数等。</w:t>
            </w:r>
          </w:p>
          <w:p w14:paraId="238CDA3A">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11.7党建德育主题指标</w:t>
            </w:r>
          </w:p>
          <w:p w14:paraId="6566E07F">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展示“三会一课”本月完成情况，包括但不限于召开支委会、召开党小组会、召开支部党员大会、开展专题党课；展示全校党员总体规模，包含教工党员、学生党员，展示机关党委党员性别分布；展示党员发展情况，包括各学院党员发展情况、本月新增发展人数；展示党员本月缴费情况，按照按时缴纳的党员、未按时缴纳的党员维度区分；展示其他政治生活制度本月完成情况，包括开展主题党日活动、开展谈心谈话活动；展示德育活动情况，包括主办单位、负责人、参与班级数、参与教师数、参与学生数等。</w:t>
            </w:r>
          </w:p>
          <w:p w14:paraId="52587B49">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11.8教育教学服务管理主题指标</w:t>
            </w:r>
          </w:p>
          <w:p w14:paraId="56D847B5">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展示开设专业总数、招生专业数量、各专业在校学生规模；展示专任教师总数、专业课教师人数、双师型教师数量及占比；展示本学期排课总量、理论课时总量、实训课时总量；展示教室总数、在用教室数量、教室日均使用率；展示校内实训室总数、实训室日均开放时长、实训教学开展总人次；展示课程执行情况，包括正常授课课时、调课数量、停课数量；展示学生实训出勤情况、实训任务完成人数、未完成实训任务学生清单；展示技能竞赛开展情况，校内竞赛场次、参赛师生人数、各级赛事获奖数量；展示线上教学资源总量、线上课程访问总量、学生线上学习平均时长；展示国家规划教材选用数量、各专业教材配置覆盖率；汇总呈现低使用率实训室、实训缺勤学生、待处置调课事项预警清单等。</w:t>
            </w:r>
          </w:p>
          <w:p w14:paraId="3D32C0BA">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11.9教职工画像主题指标</w:t>
            </w:r>
          </w:p>
          <w:p w14:paraId="538DA2C8">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以“数据驱动教育治理”为核心理念，既服务于学校战略发展目标，也关注教师个体成长需求，实现教育质量与人才效益的协同提升，具体包括但不限于以下指标（需根据学校实际情况进行实施和调整）：教师查询，提供友好交互查询功能，包含搜索框、最近查询记录、教师统计与列表展示模块，可通过输入教工号、姓名等信息完成精准搜索并跳转至教师个人数据画像页面，同步展示最近查询记录及管理范围内各岗位类别的教师列表；个人经历，构建教师发展历程分析，包含教育经历、工作经历与在校经历三个维度，形成教师入职前后的全周期发展脉络；教育教学，提供教学工作、教学建设、教学质量分析场景，可点击查看详情跳转至对应数据明细页面；科学研究，提供科研能力全景分析，涵盖科研项目、科研成果与科研奖励三大维度；人才培养，提供教师指导学生规模分析，分析教师指导学生参与的实践创新项目。</w:t>
            </w:r>
          </w:p>
          <w:p w14:paraId="11EDD416">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11.10学生画像主题指标</w:t>
            </w:r>
          </w:p>
          <w:p w14:paraId="2162B8DF">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支持查询学生各维度内容，通过输入学号、姓名等信息搜索目标学生，可点击搜索结果进入个人数据画像页面；展示学生在校的立体多维信息，包含但不限于学习表现、社交关系、行为习惯、兴趣爱好等；展示学生在校成长过程，教育经历包含入学之前的求学经历，在校经历关注新生入学、注册报到、学籍异动、奖励惩处等核心业务点，以时间轴形式展示入学前后的成长轨迹；展示学生第一课堂中的成长过程和培养效果，可点击查看详情跳转至对应数据明细页面；展示学生综合素质水平，第二课堂成绩表现的个人荣誉展示获奖信息，综合测评结果呈现成长跟踪分析和素质能力；展示学生的课外学习偏好和学习热情，借阅偏好展示借阅书籍类别偏好，借阅历史展示最近借阅情况，学习热情通过进入图书馆次数体现；依托学生消费水平辅助开展学生资助相关工作，依托就餐规律研判学生生活健康状况，消费水平展示日均消费对比分析，就餐规律展示最近不少于30天早中晚就餐情况。</w:t>
            </w:r>
          </w:p>
          <w:p w14:paraId="35D3EB22">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11.11学生管理主题指标</w:t>
            </w:r>
          </w:p>
          <w:p w14:paraId="2BB06CED">
            <w:pPr>
              <w:keepNext w:val="0"/>
              <w:keepLines w:val="0"/>
              <w:widowControl/>
              <w:suppressLineNumbers w:val="0"/>
              <w:jc w:val="left"/>
              <w:textAlignment w:val="center"/>
              <w:rPr>
                <w:rFonts w:hint="eastAsia"/>
                <w:b/>
                <w:bCs/>
                <w:color w:val="auto"/>
                <w:sz w:val="19"/>
                <w:szCs w:val="19"/>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展示学生基本情况，包括学生总人数、贯通培养学生、非贯通培养学生、奖学金发放人数、违纪学生人数、资助对象总人数、</w:t>
            </w:r>
            <w:r>
              <w:rPr>
                <w:rFonts w:hint="eastAsia" w:ascii="宋体" w:hAnsi="宋体" w:eastAsia="宋体" w:cs="宋体"/>
                <w:i w:val="0"/>
                <w:iCs w:val="0"/>
                <w:color w:val="auto"/>
                <w:kern w:val="0"/>
                <w:sz w:val="21"/>
                <w:szCs w:val="21"/>
                <w:highlight w:val="none"/>
                <w:u w:val="none"/>
                <w:lang w:val="en-US" w:eastAsia="zh-CN" w:bidi="ar"/>
              </w:rPr>
              <w:t>退学人数等</w:t>
            </w:r>
            <w:r>
              <w:rPr>
                <w:rFonts w:hint="eastAsia" w:ascii="宋体" w:hAnsi="宋体" w:eastAsia="宋体" w:cs="宋体"/>
                <w:i w:val="0"/>
                <w:iCs w:val="0"/>
                <w:color w:val="auto"/>
                <w:kern w:val="0"/>
                <w:sz w:val="21"/>
                <w:szCs w:val="21"/>
                <w:highlight w:val="none"/>
                <w:u w:val="none"/>
                <w:lang w:val="en-US" w:eastAsia="zh-CN" w:bidi="ar"/>
              </w:rPr>
              <w:t>；展示学生结构情况，</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学生生源地分布、学生性别分布、学生民族分布、学生政治面貌分布等；展示学生技能证书持证总人数、人均证书数量、各专业取证排名；展示当前学年学生资助情况，各类不同等级助学金占比情况及分布情况等；展示当前学年学生助学贷款情况，各类不同等级助学贷款占比情况及分布情况等；展示当前学年学生勤工助学情况，各类不同等级勤工助学占比情况及分布情况等；开展家庭经济困难学生分析，统计家庭经济困难学生总人数及其占全校学生总数比例；开展学生家庭经济困难等级分析，统计特别困难、比较困难、一般困难学生人数及占比。</w:t>
            </w:r>
          </w:p>
          <w:p w14:paraId="04CD29E5">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11.12后勤管理主题指标</w:t>
            </w:r>
          </w:p>
          <w:p w14:paraId="03E72A6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展示校舍基础资源信息，包括校舍总建筑面积、教学用房面积、学生宿舍面积、食堂用房面积、生均宿舍面积等；展示学生宿舍基础数据，包括宿舍总间数、在用宿舍数量、入住学生人数、空余床位数量；展示宿舍安全信息，包括晚归学生人次、异常留宿人次、宿舍违规用电情况等；展示校园水电能耗统计，包括月度用水总量、月度用电总量等；展示后勤维修工单运行情况，包括本期报修工单总量、已办结工单数量、待处置工单数量、工单平均办结时长、各类故障分类占比等；展示校园食堂运营基础数据，包括食堂开放窗口数量、日均就餐人次、食材采购批次统计等；展示校车使用情况，包括公务派车数、班车数、车均人流数等；展示后勤固定资产台账概况，包括后勤类资产总数、在用资产数量、待维修资产清单等。</w:t>
            </w:r>
          </w:p>
          <w:p w14:paraId="4244AE14">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11.13学校创建主题指标</w:t>
            </w:r>
          </w:p>
          <w:p w14:paraId="5102BFEE">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包括但不限于适配学校不同阶段各类创建工作需求，动态适配信息化标杆校、高水平技师学院及后续各类院校创建、提质培优、等级评估等不同创建场景；支持根据当期创建考核指标体系，展示对应创建维度指标内容，同步展示相应创建内容下优秀院校标准指标数据与本校实际指标数据，实现指标横向对标、差值对比、达成率统计，精准识别当前建设短板与差距，明确后续建设改进方向与重点提升任务。在本项目质保期内，针对学校新增、变更的各类院校创建工作及评估指标要求，中标人须无条件配合完成对应看板内容迭代、指标新增、面板调整、数据适配与可视化开发工作，所有适配、迭代、新增开发费用均已包含在项目总报价中，采购人无需另行支付任何费用，中标人不得以指标变更、需求更新、数据源调整等任何理由拒绝实施或额外增收费用。</w:t>
            </w:r>
          </w:p>
        </w:tc>
        <w:tc>
          <w:tcPr>
            <w:tcW w:w="686" w:type="dxa"/>
            <w:tcBorders>
              <w:top w:val="single" w:color="000000" w:sz="4" w:space="0"/>
              <w:bottom w:val="single" w:color="000000" w:sz="4" w:space="0"/>
            </w:tcBorders>
            <w:noWrap w:val="0"/>
            <w:vAlign w:val="center"/>
          </w:tcPr>
          <w:p w14:paraId="3641F952">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6E344404">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72E0455D">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505E1BAB">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896" w:type="dxa"/>
            <w:tcBorders>
              <w:top w:val="single" w:color="000000" w:sz="4" w:space="0"/>
              <w:bottom w:val="single" w:color="000000" w:sz="4" w:space="0"/>
            </w:tcBorders>
            <w:noWrap w:val="0"/>
            <w:vAlign w:val="center"/>
          </w:tcPr>
          <w:p w14:paraId="7D08ED9A">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OA及统一工作门户</w:t>
            </w:r>
          </w:p>
        </w:tc>
        <w:tc>
          <w:tcPr>
            <w:tcW w:w="5798" w:type="dxa"/>
            <w:tcBorders>
              <w:top w:val="single" w:color="000000" w:sz="4" w:space="0"/>
              <w:bottom w:val="single" w:color="000000" w:sz="4" w:space="0"/>
            </w:tcBorders>
            <w:noWrap w:val="0"/>
            <w:vAlign w:val="center"/>
          </w:tcPr>
          <w:p w14:paraId="5168B99A">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OA及统一门户平台，基于模型驱动和组件化架构设计的开发环境，内置可视化、拖拉拽式的建模开发工具和适应多种开发场景的开发框架，提供业务系统涉及的开发内容要素的模型体系，可通过拖拽的方式或者仅编写少量的代码完成应用的快速开发。</w:t>
            </w:r>
          </w:p>
          <w:p w14:paraId="4DAFC90B">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12.1 OA平台</w:t>
            </w:r>
          </w:p>
          <w:p w14:paraId="19F7A83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OA平台，将实现对全校各院系、各部门教职工的覆盖，满足全校办文、办会、办事的业务需求，需包含但不限于：公文管理、会议管理、督办管理、校内邮箱、综合事务管理等不少于20个审批流程，具体以学校要求为准，整体提升全校教职工的日常办公效率，形成一体化协同办公模式。</w:t>
            </w:r>
          </w:p>
          <w:p w14:paraId="4BDBCE3C">
            <w:pPr>
              <w:pStyle w:val="22"/>
              <w:keepNext w:val="0"/>
              <w:keepLines w:val="0"/>
              <w:widowControl/>
              <w:suppressLineNumbers w:val="0"/>
              <w:spacing w:before="0" w:beforeAutospacing="0" w:after="0" w:afterAutospacing="0"/>
              <w:ind w:left="0" w:right="0"/>
              <w:jc w:val="left"/>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spacing w:val="0"/>
                <w:w w:val="100"/>
                <w:sz w:val="21"/>
                <w:szCs w:val="21"/>
                <w:highlight w:val="none"/>
                <w:vertAlign w:val="baseline"/>
              </w:rPr>
              <w:t>▲</w:t>
            </w:r>
            <w:r>
              <w:rPr>
                <w:rFonts w:hint="eastAsia" w:ascii="宋体" w:hAnsi="宋体" w:eastAsia="宋体" w:cs="宋体"/>
                <w:b/>
                <w:bCs/>
                <w:i w:val="0"/>
                <w:iCs w:val="0"/>
                <w:color w:val="auto"/>
                <w:kern w:val="0"/>
                <w:sz w:val="21"/>
                <w:szCs w:val="21"/>
                <w:highlight w:val="none"/>
                <w:u w:val="none"/>
                <w:lang w:val="en-US" w:eastAsia="zh-CN" w:bidi="ar"/>
              </w:rPr>
              <w:t>12.2 统一工作门户</w:t>
            </w:r>
          </w:p>
          <w:p w14:paraId="13B3B0BC">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统一工作门户平台需运用相应门户及UI交互界面技术，根据学院教职工日常的工作习惯与特点，提供“一站式”服务，打造以用户为中心打造一体化办公门户，支持统一待办、统一消息、通知公告、应用连接等功能，智能汇聚各办公系统数据、集成相关第三方应用，提高机关单位办公效率。</w:t>
            </w:r>
            <w:r>
              <w:rPr>
                <w:rFonts w:hint="eastAsia" w:ascii="宋体" w:hAnsi="宋体" w:eastAsia="宋体" w:cs="宋体"/>
                <w:color w:val="auto"/>
                <w:sz w:val="21"/>
                <w:szCs w:val="21"/>
                <w:highlight w:val="none"/>
                <w:lang w:val="en-US" w:eastAsia="zh-CN"/>
              </w:rPr>
              <w:t>（提供功能截图或技术说明书或官网截图）</w:t>
            </w:r>
          </w:p>
          <w:p w14:paraId="1E682A0A">
            <w:pPr>
              <w:keepNext w:val="0"/>
              <w:keepLines w:val="0"/>
              <w:widowControl/>
              <w:suppressLineNumbers w:val="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中标人须完成存量业务系统接入适配，纳入统一工作门户管理，存量系统相关适配改造费用全部包含在项目总报价内，中标人不得另行收取任何费用。在本项目质保期内，采购人新建的后勤管理、行政服务、办公协同、学生管理、教学管理、财务管理、人事管理、资产管理等各类业务系统，中标人须无条件集成至统一工作门户，相关集成费用同样包含在项目总报价中，不得额外增收任何费用。</w:t>
            </w:r>
          </w:p>
          <w:p w14:paraId="38F88B50">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存量系统适配改造范围详见</w:t>
            </w:r>
            <w:r>
              <w:rPr>
                <w:rFonts w:hint="eastAsia" w:ascii="宋体" w:hAnsi="宋体" w:eastAsia="宋体" w:cs="宋体"/>
                <w:color w:val="auto"/>
                <w:sz w:val="24"/>
                <w:szCs w:val="24"/>
                <w:highlight w:val="none"/>
                <w:lang w:val="en-US" w:eastAsia="zh-CN"/>
              </w:rPr>
              <w:t>采购需求前附表12</w:t>
            </w:r>
            <w:r>
              <w:rPr>
                <w:rFonts w:hint="eastAsia" w:ascii="宋体" w:hAnsi="宋体" w:eastAsia="宋体" w:cs="宋体"/>
                <w:color w:val="auto"/>
                <w:sz w:val="21"/>
                <w:szCs w:val="21"/>
                <w:highlight w:val="none"/>
                <w:lang w:val="en-US" w:eastAsia="zh-CN"/>
              </w:rPr>
              <w:t>，中标人须按照清单逐项完成系统接入工作，不得以原系统厂商不配合、缺少接口文档等任何理由拒绝实施或增加费用。</w:t>
            </w:r>
          </w:p>
          <w:p w14:paraId="2F8C9131">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spacing w:val="0"/>
                <w:w w:val="100"/>
                <w:sz w:val="21"/>
                <w:szCs w:val="21"/>
                <w:highlight w:val="none"/>
                <w:vertAlign w:val="baseline"/>
              </w:rPr>
              <w:t>▲</w:t>
            </w:r>
            <w:r>
              <w:rPr>
                <w:rFonts w:hint="eastAsia" w:ascii="宋体" w:hAnsi="宋体" w:eastAsia="宋体" w:cs="宋体"/>
                <w:b/>
                <w:bCs/>
                <w:i w:val="0"/>
                <w:iCs w:val="0"/>
                <w:color w:val="auto"/>
                <w:kern w:val="0"/>
                <w:sz w:val="21"/>
                <w:szCs w:val="21"/>
                <w:highlight w:val="none"/>
                <w:u w:val="none"/>
                <w:lang w:val="en-US" w:eastAsia="zh-CN" w:bidi="ar"/>
              </w:rPr>
              <w:t>12.3 统一身份认证</w:t>
            </w:r>
          </w:p>
          <w:p w14:paraId="006FC5DA">
            <w:pPr>
              <w:keepNext w:val="0"/>
              <w:keepLines w:val="0"/>
              <w:widowControl/>
              <w:suppressLineNumbers w:val="0"/>
              <w:jc w:val="left"/>
              <w:textAlignment w:val="center"/>
              <w:rPr>
                <w:rFonts w:hint="eastAsia" w:ascii="宋体" w:hAnsi="宋体" w:eastAsia="宋体" w:cs="宋体"/>
                <w:color w:val="auto"/>
                <w:sz w:val="21"/>
                <w:szCs w:val="21"/>
                <w:highlight w:val="none"/>
                <w:lang w:val="en-US" w:eastAsia="zh-CN"/>
              </w:rPr>
            </w:pPr>
            <w:r>
              <w:rPr>
                <w:rFonts w:hint="default" w:ascii="宋体" w:hAnsi="宋体" w:eastAsia="宋体" w:cs="宋体"/>
                <w:i w:val="0"/>
                <w:iCs w:val="0"/>
                <w:color w:val="auto"/>
                <w:kern w:val="0"/>
                <w:sz w:val="21"/>
                <w:szCs w:val="21"/>
                <w:highlight w:val="none"/>
                <w:u w:val="none"/>
                <w:lang w:val="en-US" w:eastAsia="zh-CN" w:bidi="ar"/>
              </w:rPr>
              <w:t>构建一个统一的身份认证系统，实现单点登录、集中授权等功能，提高</w:t>
            </w:r>
            <w:r>
              <w:rPr>
                <w:rFonts w:hint="eastAsia" w:ascii="宋体" w:hAnsi="宋体" w:eastAsia="宋体" w:cs="宋体"/>
                <w:i w:val="0"/>
                <w:iCs w:val="0"/>
                <w:color w:val="auto"/>
                <w:kern w:val="0"/>
                <w:sz w:val="21"/>
                <w:szCs w:val="21"/>
                <w:highlight w:val="none"/>
                <w:u w:val="none"/>
                <w:lang w:val="en-US" w:eastAsia="zh-CN" w:bidi="ar"/>
              </w:rPr>
              <w:t>校内</w:t>
            </w:r>
            <w:r>
              <w:rPr>
                <w:rFonts w:hint="default" w:ascii="宋体" w:hAnsi="宋体" w:eastAsia="宋体" w:cs="宋体"/>
                <w:i w:val="0"/>
                <w:iCs w:val="0"/>
                <w:color w:val="auto"/>
                <w:kern w:val="0"/>
                <w:sz w:val="21"/>
                <w:szCs w:val="21"/>
                <w:highlight w:val="none"/>
                <w:u w:val="none"/>
                <w:lang w:val="en-US" w:eastAsia="zh-CN" w:bidi="ar"/>
              </w:rPr>
              <w:t>信息系统的安全性和管理效率，降低运维成本。</w:t>
            </w:r>
            <w:r>
              <w:rPr>
                <w:rFonts w:hint="eastAsia" w:ascii="宋体" w:hAnsi="宋体" w:eastAsia="宋体" w:cs="宋体"/>
                <w:color w:val="auto"/>
                <w:sz w:val="21"/>
                <w:szCs w:val="21"/>
                <w:highlight w:val="none"/>
                <w:lang w:val="en-US" w:eastAsia="zh-CN"/>
              </w:rPr>
              <w:t>（提供功能截图或技术说明书或官网截图）</w:t>
            </w:r>
          </w:p>
          <w:p w14:paraId="1344045D">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中标人须完成存量业务系统对接适配，接入统一身份认证体系，存量系统相关适配改造费用全部包含在项目总报价内，中标人不得另行收取任何费用。在本项目质保期内，采购人新建的后勤管理、行政服务、办公协同、学生管理、教学管理、财务管理、人事管理、资产管理等各类业务系统，中标人须无条件接入统一身份认证体系，相关对接集成费用同样包含在项目总报价中，不得额外增收任何费用。</w:t>
            </w:r>
          </w:p>
          <w:p w14:paraId="0E9C9C7B">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存量系统适配改造范围详见</w:t>
            </w:r>
            <w:r>
              <w:rPr>
                <w:rFonts w:hint="eastAsia" w:ascii="宋体" w:hAnsi="宋体" w:eastAsia="宋体" w:cs="宋体"/>
                <w:color w:val="auto"/>
                <w:sz w:val="24"/>
                <w:szCs w:val="24"/>
                <w:highlight w:val="none"/>
                <w:lang w:val="en-US" w:eastAsia="zh-CN"/>
              </w:rPr>
              <w:t>采购需求前附表12</w:t>
            </w:r>
            <w:r>
              <w:rPr>
                <w:rFonts w:hint="default" w:ascii="宋体" w:hAnsi="宋体" w:eastAsia="宋体" w:cs="宋体"/>
                <w:color w:val="auto"/>
                <w:sz w:val="21"/>
                <w:szCs w:val="21"/>
                <w:highlight w:val="none"/>
                <w:lang w:val="en-US" w:eastAsia="zh-CN"/>
              </w:rPr>
              <w:t>，中标人须按照清单逐项完成系统对接工作，不得以原系统厂商不配合、缺少接口文档等任何理由拒绝实施或增加费用。</w:t>
            </w:r>
          </w:p>
          <w:p w14:paraId="06AF5792">
            <w:pPr>
              <w:keepNext w:val="0"/>
              <w:keepLines w:val="0"/>
              <w:widowControl/>
              <w:suppressLineNumbers w:val="0"/>
              <w:jc w:val="left"/>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12.4 平台核心能力</w:t>
            </w:r>
          </w:p>
          <w:p w14:paraId="70C82B5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平台基于模型驱动和组件化架构设计，内置可视化开发工具与多场景开发框架，提供业务系统开发所需的模型体系，可通过拖拽方式或少量代码完成应用快速开发，核心能力包括：</w:t>
            </w:r>
          </w:p>
          <w:p w14:paraId="53DB8BA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可视化建模能力：具备通过功能模块配置组件，实现业务数据增删改查操作；支持表单设计与流程设计，实现对过程数据及结果数据的管理；支持动态抓取异构系统数据，用于系统展示集成、功能调用、业务办理及数据更新；支持流程办理过程中不同节点的数据转入与字段匹配。</w:t>
            </w:r>
          </w:p>
          <w:p w14:paraId="5343A81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（2）页面构建能力：具备通过可视化拖拽方式搭建页面并进行配置；覆盖表单页面、流程页面、可视化报表页面、自定义页面等类型；提供丰富的页面组件和灵活的布局容器，页面兼容 PC 端与移动端。</w:t>
            </w:r>
          </w:p>
          <w:p w14:paraId="7E4248F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（3）表单设计能力：可通过类Excel可视化方式对流程的表单布局、字段显示设置及逻辑进行灵活调整；支持Excel原表导入、自定义表单、公式配置及多种函数计算。</w:t>
            </w:r>
          </w:p>
          <w:p w14:paraId="3BD302E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（4）权限管控能力：能够对平台搭建应用的各维度权限进行配置，</w:t>
            </w:r>
            <w:r>
              <w:rPr>
                <w:rFonts w:hint="eastAsia" w:ascii="宋体" w:hAnsi="宋体" w:eastAsia="宋体" w:cs="宋体"/>
                <w:i w:val="0"/>
                <w:iCs w:val="0"/>
                <w:color w:val="auto"/>
                <w:kern w:val="0"/>
                <w:sz w:val="21"/>
                <w:szCs w:val="21"/>
                <w:highlight w:val="none"/>
                <w:u w:val="none"/>
                <w:lang w:val="en-US" w:eastAsia="zh-CN" w:bidi="ar"/>
              </w:rPr>
              <w:t>包含但不限于</w:t>
            </w:r>
            <w:r>
              <w:rPr>
                <w:rFonts w:hint="eastAsia" w:ascii="宋体" w:hAnsi="宋体" w:eastAsia="宋体" w:cs="宋体"/>
                <w:i w:val="0"/>
                <w:iCs w:val="0"/>
                <w:color w:val="auto"/>
                <w:kern w:val="0"/>
                <w:sz w:val="21"/>
                <w:szCs w:val="21"/>
                <w:highlight w:val="none"/>
                <w:u w:val="none"/>
                <w:lang w:val="en-US" w:eastAsia="zh-CN" w:bidi="ar"/>
              </w:rPr>
              <w:t>应用开发、角色、菜单、按钮、数据等，实现分级管理；支持人员、部门、组织、角色等多种方式对数据进行权限控制；支持分级共享权限设置。</w:t>
            </w:r>
          </w:p>
          <w:p w14:paraId="6082E76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（5）报表生成能力：具备通过拖拽可视化方式生成多类型图表，</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柱形、折线、饼图等，展示数据发展趋势、分类对比等结果</w:t>
            </w:r>
            <w:r>
              <w:rPr>
                <w:rFonts w:hint="eastAsia" w:ascii="宋体" w:hAnsi="宋体" w:eastAsia="宋体" w:cs="宋体"/>
                <w:i w:val="0"/>
                <w:iCs w:val="0"/>
                <w:color w:val="auto"/>
                <w:kern w:val="0"/>
                <w:sz w:val="21"/>
                <w:szCs w:val="21"/>
                <w:highlight w:val="none"/>
                <w:u w:val="none"/>
                <w:lang w:val="en-US" w:eastAsia="zh-CN" w:bidi="ar"/>
              </w:rPr>
              <w:t>；支持表格、直方图等多种常见格式报表。</w:t>
            </w:r>
          </w:p>
          <w:p w14:paraId="1350E8E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系统集成能力：支持集成至第三方平台，如教务系统、一卡通系统、本次新建OA等，能将应用发布到三方平台，实现自动登录、调用消息接口、通讯录接口等业务；提供API服务、应用页面、流程服务访问；支持开放给第三方系统集成，支持多种集成方式，可独立部署运行。涉及第三方系统集成的，学校提供必要的协调支持，明确责任划分，对接费用全部包含在本项目预算内。</w:t>
            </w:r>
          </w:p>
          <w:p w14:paraId="6B09A3EA">
            <w:pPr>
              <w:keepNext w:val="0"/>
              <w:keepLines w:val="0"/>
              <w:widowControl/>
              <w:suppressLineNumbers w:val="0"/>
              <w:jc w:val="left"/>
              <w:textAlignment w:val="center"/>
              <w:rPr>
                <w:rFonts w:hint="default"/>
                <w:color w:val="auto"/>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7）应用复用能力：提供丰富的成熟应用模板，开发人员可基于已有模板根据学校需求调整，快速生成应用；支持应用与组件的下载、分享与复用；可将IT建设成果沉淀为可复用资产，实现成果复用与个性化推送。</w:t>
            </w:r>
          </w:p>
        </w:tc>
        <w:tc>
          <w:tcPr>
            <w:tcW w:w="686" w:type="dxa"/>
            <w:tcBorders>
              <w:top w:val="single" w:color="000000" w:sz="4" w:space="0"/>
              <w:bottom w:val="single" w:color="000000" w:sz="4" w:space="0"/>
            </w:tcBorders>
            <w:noWrap w:val="0"/>
            <w:vAlign w:val="center"/>
          </w:tcPr>
          <w:p w14:paraId="2B932D96">
            <w:pPr>
              <w:keepNext w:val="0"/>
              <w:keepLines w:val="0"/>
              <w:widowControl/>
              <w:suppressLineNumbers w:val="0"/>
              <w:jc w:val="center"/>
              <w:textAlignment w:val="center"/>
              <w:rPr>
                <w:rFonts w:hint="eastAsia"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275B5772">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套</w:t>
            </w:r>
          </w:p>
        </w:tc>
      </w:tr>
      <w:tr w14:paraId="5F8B9B7C">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16F29CC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13</w:t>
            </w:r>
          </w:p>
        </w:tc>
        <w:tc>
          <w:tcPr>
            <w:tcW w:w="896" w:type="dxa"/>
            <w:tcBorders>
              <w:top w:val="single" w:color="000000" w:sz="4" w:space="0"/>
              <w:bottom w:val="single" w:color="000000" w:sz="4" w:space="0"/>
            </w:tcBorders>
            <w:noWrap w:val="0"/>
            <w:vAlign w:val="center"/>
          </w:tcPr>
          <w:p w14:paraId="76CE91BC">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数据安全管理</w:t>
            </w:r>
          </w:p>
        </w:tc>
        <w:tc>
          <w:tcPr>
            <w:tcW w:w="5798" w:type="dxa"/>
            <w:tcBorders>
              <w:top w:val="single" w:color="000000" w:sz="4" w:space="0"/>
              <w:bottom w:val="single" w:color="000000" w:sz="4" w:space="0"/>
            </w:tcBorders>
            <w:shd w:val="clear" w:color="auto" w:fill="auto"/>
            <w:noWrap w:val="0"/>
            <w:vAlign w:val="center"/>
          </w:tcPr>
          <w:p w14:paraId="0BB23A3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为保障学校数据在采集、存储、传输、使用等全生命周期过程的安全，需提供独立的数据安全管理能力，实现</w:t>
            </w:r>
            <w:r>
              <w:rPr>
                <w:rFonts w:hint="eastAsia" w:ascii="宋体" w:hAnsi="宋体" w:eastAsia="宋体" w:cs="宋体"/>
                <w:i w:val="0"/>
                <w:iCs w:val="0"/>
                <w:color w:val="auto"/>
                <w:kern w:val="0"/>
                <w:sz w:val="21"/>
                <w:szCs w:val="21"/>
                <w:highlight w:val="none"/>
                <w:u w:val="none"/>
                <w:lang w:val="en-US" w:eastAsia="zh-CN" w:bidi="ar"/>
              </w:rPr>
              <w:t>包含但不限于</w:t>
            </w:r>
            <w:r>
              <w:rPr>
                <w:rFonts w:hint="eastAsia" w:ascii="宋体" w:hAnsi="宋体" w:eastAsia="宋体" w:cs="宋体"/>
                <w:i w:val="0"/>
                <w:iCs w:val="0"/>
                <w:color w:val="auto"/>
                <w:kern w:val="0"/>
                <w:sz w:val="21"/>
                <w:szCs w:val="21"/>
                <w:highlight w:val="none"/>
                <w:u w:val="none"/>
                <w:lang w:val="en-US" w:eastAsia="zh-CN" w:bidi="ar"/>
              </w:rPr>
              <w:t>数据分级分类、加密脱敏、审核管控、审计溯源</w:t>
            </w:r>
            <w:r>
              <w:rPr>
                <w:rFonts w:hint="eastAsia" w:ascii="宋体" w:hAnsi="宋体" w:eastAsia="宋体" w:cs="宋体"/>
                <w:i w:val="0"/>
                <w:iCs w:val="0"/>
                <w:color w:val="auto"/>
                <w:kern w:val="0"/>
                <w:sz w:val="21"/>
                <w:szCs w:val="21"/>
                <w:highlight w:val="none"/>
                <w:u w:val="none"/>
                <w:lang w:val="en-US" w:eastAsia="zh-CN" w:bidi="ar"/>
              </w:rPr>
              <w:t>等</w:t>
            </w:r>
            <w:r>
              <w:rPr>
                <w:rFonts w:hint="eastAsia" w:ascii="宋体" w:hAnsi="宋体" w:eastAsia="宋体" w:cs="宋体"/>
                <w:i w:val="0"/>
                <w:iCs w:val="0"/>
                <w:color w:val="auto"/>
                <w:kern w:val="0"/>
                <w:sz w:val="21"/>
                <w:szCs w:val="21"/>
                <w:highlight w:val="none"/>
                <w:u w:val="none"/>
                <w:lang w:val="en-US" w:eastAsia="zh-CN" w:bidi="ar"/>
              </w:rPr>
              <w:t>的一体化安全管理。</w:t>
            </w:r>
          </w:p>
          <w:p w14:paraId="464CE54C">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13.1数据分级分类管理</w:t>
            </w:r>
          </w:p>
          <w:p w14:paraId="665345C1">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具备对数据分级进行在线管理，数据分级列表展示</w:t>
            </w:r>
            <w:r>
              <w:rPr>
                <w:rFonts w:hint="eastAsia" w:ascii="宋体" w:hAnsi="宋体" w:eastAsia="宋体" w:cs="宋体"/>
                <w:i w:val="0"/>
                <w:iCs w:val="0"/>
                <w:color w:val="auto"/>
                <w:kern w:val="0"/>
                <w:sz w:val="21"/>
                <w:szCs w:val="21"/>
                <w:highlight w:val="none"/>
                <w:u w:val="none"/>
                <w:lang w:val="en-US" w:eastAsia="zh-CN" w:bidi="ar"/>
              </w:rPr>
              <w:t>包含但不限于</w:t>
            </w:r>
            <w:r>
              <w:rPr>
                <w:rFonts w:hint="eastAsia" w:ascii="宋体" w:hAnsi="宋体" w:eastAsia="宋体" w:cs="宋体"/>
                <w:i w:val="0"/>
                <w:iCs w:val="0"/>
                <w:color w:val="auto"/>
                <w:kern w:val="0"/>
                <w:sz w:val="21"/>
                <w:szCs w:val="21"/>
                <w:highlight w:val="none"/>
                <w:u w:val="none"/>
                <w:lang w:val="en-US" w:eastAsia="zh-CN" w:bidi="ar"/>
              </w:rPr>
              <w:t>数据分级名称、级别标识、权重、管控范围、关联对象等信息，可根据数据分级名称、管控范围检索；支持按照字段颗粒度对已采集的所有业务部门的数据表进行数据安全级别配置，支持不少于5个安全级别（L1:低敏感、L2:较敏感、L3:敏感、L4:极敏感、L5:特别敏感等）配置；可根据安全级别配置数据共享方式、加密方式、脱敏方式，根据</w:t>
            </w:r>
            <w:r>
              <w:rPr>
                <w:rFonts w:hint="eastAsia" w:ascii="宋体" w:hAnsi="宋体" w:eastAsia="宋体" w:cs="宋体"/>
                <w:i w:val="0"/>
                <w:iCs w:val="0"/>
                <w:color w:val="auto"/>
                <w:kern w:val="0"/>
                <w:sz w:val="21"/>
                <w:szCs w:val="21"/>
                <w:highlight w:val="none"/>
                <w:u w:val="none"/>
                <w:lang w:val="en-US" w:eastAsia="zh-CN" w:bidi="ar"/>
              </w:rPr>
              <w:t>《数据分类分级指南》</w:t>
            </w:r>
            <w:r>
              <w:rPr>
                <w:rFonts w:hint="eastAsia" w:ascii="宋体" w:hAnsi="宋体" w:eastAsia="宋体" w:cs="宋体"/>
                <w:i w:val="0"/>
                <w:iCs w:val="0"/>
                <w:color w:val="auto"/>
                <w:kern w:val="0"/>
                <w:sz w:val="21"/>
                <w:szCs w:val="21"/>
                <w:highlight w:val="none"/>
                <w:u w:val="none"/>
                <w:lang w:val="en-US" w:eastAsia="zh-CN" w:bidi="ar"/>
              </w:rPr>
              <w:t>实现字段级别的分类分级配置工作，并根据安全级别在数据开发、数据开放阶段对数据进行对应的处理。</w:t>
            </w:r>
            <w:r>
              <w:rPr>
                <w:rFonts w:hint="eastAsia" w:ascii="宋体" w:hAnsi="宋体" w:eastAsia="宋体" w:cs="宋体"/>
                <w:i w:val="0"/>
                <w:iCs w:val="0"/>
                <w:color w:val="auto"/>
                <w:kern w:val="0"/>
                <w:sz w:val="21"/>
                <w:szCs w:val="21"/>
                <w:highlight w:val="none"/>
                <w:u w:val="none"/>
                <w:lang w:val="en-US" w:eastAsia="zh-CN" w:bidi="ar"/>
              </w:rPr>
              <w:t>本项目实施阶段，中标人须配合采购人完成数据分类分级指南的编制工作，经采购人确认后执行。</w:t>
            </w:r>
          </w:p>
          <w:p w14:paraId="4EA7988B">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持对数据分类进行在线管理，数据分类列表展示分类名称、分类编码、关联对象、描述等信息，可根据分类名称检索；根据最新的《教育数据分类分级指南》按照数据业务属性不同，将学校数据分为学生数据、教职工数据、教学管理数据、科研管理数据、校务数据和其他数据六类，支持自定义数据分类，最多可添加六级分类；支持按照字段颗粒度对已采集的所有业务部门的数据表进行数据分类配置；可导出数据分类及每个分类关联的对象。</w:t>
            </w:r>
          </w:p>
          <w:p w14:paraId="342D9C72">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13.2数据加密与脱敏</w:t>
            </w:r>
          </w:p>
          <w:p w14:paraId="62B222F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系统内置不少于6种加密算法，包括AES、MD5、SM2、SM3、SM4、RSA等；可根据数据分类分级的要求和业务需求，在数据开发和数据开放阶段进行数据加密/解密处理；可针对不同的加密方式上传自定义密钥，在数据开发阶段可根据自定义密钥进行加密和解密，在数据开放阶段可根据自定义密钥进行解密；支持在线测试加密方式，MD5、SM3不能进行解密测试。系统内置不少于4种脱敏方式，</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数字随机脱敏、字符仿真脱敏、字符随机脱敏、全随机脱敏等；支持添加遮盖脱敏规则，可自定义遮盖内容和遮盖规则，如身份证号只显示前面6位、后面用*替代；可根据数据分类分级的要求和业务需求，在数据开放阶段对数据进行脱敏开发；支持HTTPS证书动态管理，可根据需求随时应用新证书。</w:t>
            </w:r>
          </w:p>
          <w:p w14:paraId="0AADD3F1">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13.3安全审核流程管理</w:t>
            </w:r>
          </w:p>
          <w:p w14:paraId="4AE8AD4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具备自定义审核节点与审核流程配置，数据分级可与审核流程关联，不同安全级别数据匹配差异化审核流程，高安全等级数据可实现多级审核，不同级别的数据审核流程体现差异，安全级别高的数据根据业务需要实现多级审核；可与外部流程厂家进行对接；针对汇集到平台的审核流程进行统一管理，可通过待审批、审批通过、审批拒绝、申请撤回等标签进行过滤，可根据数据清单名称、申请人、应用名称、业务系统、申请格式、部门、日期区间</w:t>
            </w:r>
            <w:r>
              <w:rPr>
                <w:rFonts w:hint="eastAsia" w:ascii="宋体" w:hAnsi="宋体" w:eastAsia="宋体" w:cs="宋体"/>
                <w:i w:val="0"/>
                <w:iCs w:val="0"/>
                <w:color w:val="auto"/>
                <w:kern w:val="0"/>
                <w:sz w:val="21"/>
                <w:szCs w:val="21"/>
                <w:highlight w:val="none"/>
                <w:u w:val="none"/>
                <w:lang w:val="en-US" w:eastAsia="zh-CN" w:bidi="ar"/>
              </w:rPr>
              <w:t>等不同条件</w:t>
            </w:r>
            <w:r>
              <w:rPr>
                <w:rFonts w:hint="eastAsia" w:ascii="宋体" w:hAnsi="宋体" w:eastAsia="宋体" w:cs="宋体"/>
                <w:i w:val="0"/>
                <w:iCs w:val="0"/>
                <w:color w:val="auto"/>
                <w:kern w:val="0"/>
                <w:sz w:val="21"/>
                <w:szCs w:val="21"/>
                <w:highlight w:val="none"/>
                <w:u w:val="none"/>
                <w:lang w:val="en-US" w:eastAsia="zh-CN" w:bidi="ar"/>
              </w:rPr>
              <w:t>进行筛选；可查看数据申请详情（申请信息、审核流程、各节点审核结果等），针对未完成的审核流程可查看下一个节点的审核人及审核字段。为落实“一数一源”管理要求，在审核流程流转过程中，系统可根据申请的各个字段的不同来源部门，自动将各个字段分配给来源部门审核，无需人工指定，一次审核涉及多个来源部门时自动将流程平行推送到多个部门；审批过程中可对申请者提交的字段范围进行筛选，可以使用少量代码自定义设置数据过滤条件（支持多个条件逻辑组合），可设置数据资源的授权访问时长（时间范围可精细到一天），可针对申请的字段启用加密、脱敏策略，可查看已审核节点的审核结果。只有审核流程全部通过并结束后，申请者才能获得数据资源的连接参数，使用数据时系统基于审核时获批的字段范围、筛选条件、访问时长、加密脱敏、有效源地址</w:t>
            </w:r>
            <w:r>
              <w:rPr>
                <w:rFonts w:hint="eastAsia" w:ascii="宋体" w:hAnsi="宋体" w:eastAsia="宋体" w:cs="宋体"/>
                <w:i w:val="0"/>
                <w:iCs w:val="0"/>
                <w:color w:val="auto"/>
                <w:kern w:val="0"/>
                <w:sz w:val="21"/>
                <w:szCs w:val="21"/>
                <w:highlight w:val="none"/>
                <w:u w:val="none"/>
                <w:lang w:val="en-US" w:eastAsia="zh-CN" w:bidi="ar"/>
              </w:rPr>
              <w:t>等多种</w:t>
            </w:r>
            <w:r>
              <w:rPr>
                <w:rFonts w:hint="eastAsia" w:ascii="宋体" w:hAnsi="宋体" w:eastAsia="宋体" w:cs="宋体"/>
                <w:i w:val="0"/>
                <w:iCs w:val="0"/>
                <w:color w:val="auto"/>
                <w:kern w:val="0"/>
                <w:sz w:val="21"/>
                <w:szCs w:val="21"/>
                <w:highlight w:val="none"/>
                <w:u w:val="none"/>
                <w:lang w:val="en-US" w:eastAsia="zh-CN" w:bidi="ar"/>
              </w:rPr>
              <w:t>策略，确保申请者在受控情况下连接并访问数据资源；针对已审核完成的API接口可进行接口测试，根据申请和审批的字段及限制条件测试接口返回结果是否正确；管理员可一键终止未完成的审核流程。</w:t>
            </w:r>
          </w:p>
          <w:p w14:paraId="36DE3BA2">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13.4审计与日志管理</w:t>
            </w:r>
          </w:p>
          <w:p w14:paraId="68C6CB6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全局记录前后台用户的操作日志和访问日志，可查看</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用户姓名、用户身份、IP地址、归属地、请求方法、请求地址、异常、操作时间、操作类型、操作内容</w:t>
            </w:r>
            <w:r>
              <w:rPr>
                <w:rFonts w:hint="eastAsia" w:ascii="宋体" w:hAnsi="宋体" w:eastAsia="宋体" w:cs="宋体"/>
                <w:i w:val="0"/>
                <w:iCs w:val="0"/>
                <w:color w:val="auto"/>
                <w:kern w:val="0"/>
                <w:sz w:val="21"/>
                <w:szCs w:val="21"/>
                <w:highlight w:val="none"/>
                <w:u w:val="none"/>
                <w:lang w:val="en-US" w:eastAsia="zh-CN" w:bidi="ar"/>
              </w:rPr>
              <w:t>等信息</w:t>
            </w:r>
            <w:r>
              <w:rPr>
                <w:rFonts w:hint="eastAsia" w:ascii="宋体" w:hAnsi="宋体" w:eastAsia="宋体" w:cs="宋体"/>
                <w:i w:val="0"/>
                <w:iCs w:val="0"/>
                <w:color w:val="auto"/>
                <w:kern w:val="0"/>
                <w:sz w:val="21"/>
                <w:szCs w:val="21"/>
                <w:highlight w:val="none"/>
                <w:u w:val="none"/>
                <w:lang w:val="en-US" w:eastAsia="zh-CN" w:bidi="ar"/>
              </w:rPr>
              <w:t>；可根据</w:t>
            </w:r>
            <w:r>
              <w:rPr>
                <w:rFonts w:hint="eastAsia" w:ascii="宋体" w:hAnsi="宋体" w:eastAsia="宋体" w:cs="宋体"/>
                <w:i w:val="0"/>
                <w:iCs w:val="0"/>
                <w:color w:val="auto"/>
                <w:kern w:val="0"/>
                <w:sz w:val="21"/>
                <w:szCs w:val="21"/>
                <w:highlight w:val="none"/>
                <w:u w:val="none"/>
                <w:lang w:val="en-US" w:eastAsia="zh-CN" w:bidi="ar"/>
              </w:rPr>
              <w:t>包括但不限于</w:t>
            </w:r>
            <w:r>
              <w:rPr>
                <w:rFonts w:hint="eastAsia" w:ascii="宋体" w:hAnsi="宋体" w:eastAsia="宋体" w:cs="宋体"/>
                <w:i w:val="0"/>
                <w:iCs w:val="0"/>
                <w:color w:val="auto"/>
                <w:kern w:val="0"/>
                <w:sz w:val="21"/>
                <w:szCs w:val="21"/>
                <w:highlight w:val="none"/>
                <w:u w:val="none"/>
                <w:lang w:val="en-US" w:eastAsia="zh-CN" w:bidi="ar"/>
              </w:rPr>
              <w:t>姓名、用户身份、操作类型、操作日期、归属地</w:t>
            </w:r>
            <w:r>
              <w:rPr>
                <w:rFonts w:hint="eastAsia" w:ascii="宋体" w:hAnsi="宋体" w:eastAsia="宋体" w:cs="宋体"/>
                <w:i w:val="0"/>
                <w:iCs w:val="0"/>
                <w:color w:val="auto"/>
                <w:kern w:val="0"/>
                <w:sz w:val="21"/>
                <w:szCs w:val="21"/>
                <w:highlight w:val="none"/>
                <w:u w:val="none"/>
                <w:lang w:val="en-US" w:eastAsia="zh-CN" w:bidi="ar"/>
              </w:rPr>
              <w:t>等信息</w:t>
            </w:r>
            <w:r>
              <w:rPr>
                <w:rFonts w:hint="eastAsia" w:ascii="宋体" w:hAnsi="宋体" w:eastAsia="宋体" w:cs="宋体"/>
                <w:i w:val="0"/>
                <w:iCs w:val="0"/>
                <w:color w:val="auto"/>
                <w:kern w:val="0"/>
                <w:sz w:val="21"/>
                <w:szCs w:val="21"/>
                <w:highlight w:val="none"/>
                <w:u w:val="none"/>
                <w:lang w:val="en-US" w:eastAsia="zh-CN" w:bidi="ar"/>
              </w:rPr>
              <w:t>进行检索；具备筛选高危操作日志，例如数据源删除/修改、数据清单删除/修改等操作。</w:t>
            </w:r>
          </w:p>
          <w:p w14:paraId="45D141C4">
            <w:pPr>
              <w:widowControl/>
              <w:jc w:val="left"/>
              <w:textAlignment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13.5数据需求与问题管理</w:t>
            </w:r>
          </w:p>
          <w:p w14:paraId="325E68A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可查看前台用户提出的数据需求、数据问题并进行处理；可导出全部的数据需求、数据问题；支持设置需求分类、问题分类。</w:t>
            </w:r>
          </w:p>
        </w:tc>
        <w:tc>
          <w:tcPr>
            <w:tcW w:w="686" w:type="dxa"/>
            <w:tcBorders>
              <w:top w:val="single" w:color="000000" w:sz="4" w:space="0"/>
              <w:bottom w:val="single" w:color="000000" w:sz="4" w:space="0"/>
            </w:tcBorders>
            <w:noWrap w:val="0"/>
            <w:vAlign w:val="center"/>
          </w:tcPr>
          <w:p w14:paraId="5BDE4A3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c>
          <w:tcPr>
            <w:tcW w:w="711" w:type="dxa"/>
            <w:tcBorders>
              <w:top w:val="single" w:color="000000" w:sz="4" w:space="0"/>
              <w:bottom w:val="single" w:color="000000" w:sz="4" w:space="0"/>
            </w:tcBorders>
            <w:noWrap w:val="0"/>
            <w:vAlign w:val="center"/>
          </w:tcPr>
          <w:p w14:paraId="3DBC1B55">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p>
        </w:tc>
      </w:tr>
      <w:tr w14:paraId="2C69F1B8">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14C34F6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14</w:t>
            </w:r>
          </w:p>
        </w:tc>
        <w:tc>
          <w:tcPr>
            <w:tcW w:w="896" w:type="dxa"/>
            <w:tcBorders>
              <w:top w:val="single" w:color="000000" w:sz="4" w:space="0"/>
              <w:bottom w:val="single" w:color="000000" w:sz="4" w:space="0"/>
            </w:tcBorders>
            <w:noWrap w:val="0"/>
            <w:vAlign w:val="center"/>
          </w:tcPr>
          <w:p w14:paraId="37A94DEA">
            <w:pPr>
              <w:keepNext w:val="0"/>
              <w:keepLines w:val="0"/>
              <w:widowControl/>
              <w:suppressLineNumbers w:val="0"/>
              <w:jc w:val="center"/>
              <w:textAlignment w:val="center"/>
              <w:rPr>
                <w:rFonts w:hint="default"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数据中台服务器</w:t>
            </w:r>
          </w:p>
        </w:tc>
        <w:tc>
          <w:tcPr>
            <w:tcW w:w="5798" w:type="dxa"/>
            <w:tcBorders>
              <w:top w:val="single" w:color="000000" w:sz="4" w:space="0"/>
              <w:bottom w:val="single" w:color="000000" w:sz="4" w:space="0"/>
            </w:tcBorders>
            <w:noWrap w:val="0"/>
            <w:vAlign w:val="center"/>
          </w:tcPr>
          <w:p w14:paraId="0FCBE62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用于数据中台配套物理环境部署</w:t>
            </w:r>
          </w:p>
          <w:p w14:paraId="6371FD8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（1）符合国家行业标准的国内正规品牌产品，非0EM贴牌代工产品,处理器≥1颗；频率：≥2.6GHz；核数：≥32核</w:t>
            </w:r>
          </w:p>
          <w:p w14:paraId="4C3797D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（2）内存：≥64GB-DDR4-RDIMM内存</w:t>
            </w:r>
          </w:p>
          <w:p w14:paraId="1D30BAB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（3）硬盘：≥500G*4 SAS 机械硬盘</w:t>
            </w:r>
          </w:p>
          <w:p w14:paraId="5C16BBC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（4）电口/网口：≥4*GE</w:t>
            </w:r>
          </w:p>
          <w:p w14:paraId="4BCCACB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（5）阵列卡控制器：配置RAID卡,1G支持RAID0,1,10,5,50,6,60</w:t>
            </w:r>
          </w:p>
          <w:p w14:paraId="5B108D3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（6）电源功率：1+1热插拔冗余电源，单块电源功率不低于900W</w:t>
            </w:r>
          </w:p>
          <w:p w14:paraId="0366DDB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（7）管理：配置不低于1Gb独立的远程管理控制端口，配置虚拟KVM功能，可实现与操作系统无关的远程对服务器的完:全控制，包括远程的开机、关机、重启、更新;</w:t>
            </w:r>
          </w:p>
        </w:tc>
        <w:tc>
          <w:tcPr>
            <w:tcW w:w="686" w:type="dxa"/>
            <w:tcBorders>
              <w:top w:val="single" w:color="000000" w:sz="4" w:space="0"/>
              <w:bottom w:val="single" w:color="000000" w:sz="4" w:space="0"/>
            </w:tcBorders>
            <w:noWrap w:val="0"/>
            <w:vAlign w:val="center"/>
          </w:tcPr>
          <w:p w14:paraId="7F63A5DD">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4</w:t>
            </w:r>
          </w:p>
        </w:tc>
        <w:tc>
          <w:tcPr>
            <w:tcW w:w="711" w:type="dxa"/>
            <w:tcBorders>
              <w:top w:val="single" w:color="000000" w:sz="4" w:space="0"/>
              <w:bottom w:val="single" w:color="000000" w:sz="4" w:space="0"/>
            </w:tcBorders>
            <w:noWrap w:val="0"/>
            <w:vAlign w:val="center"/>
          </w:tcPr>
          <w:p w14:paraId="722FF89B">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r>
      <w:tr w14:paraId="2C61D97D">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3063383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15</w:t>
            </w:r>
          </w:p>
        </w:tc>
        <w:tc>
          <w:tcPr>
            <w:tcW w:w="896" w:type="dxa"/>
            <w:tcBorders>
              <w:top w:val="single" w:color="000000" w:sz="4" w:space="0"/>
              <w:bottom w:val="single" w:color="000000" w:sz="4" w:space="0"/>
            </w:tcBorders>
            <w:noWrap w:val="0"/>
            <w:vAlign w:val="center"/>
          </w:tcPr>
          <w:p w14:paraId="7360E11B">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OA及统一门户服务器1</w:t>
            </w:r>
          </w:p>
        </w:tc>
        <w:tc>
          <w:tcPr>
            <w:tcW w:w="5798" w:type="dxa"/>
            <w:tcBorders>
              <w:top w:val="single" w:color="000000" w:sz="4" w:space="0"/>
              <w:bottom w:val="single" w:color="000000" w:sz="4" w:space="0"/>
            </w:tcBorders>
            <w:noWrap w:val="0"/>
            <w:vAlign w:val="center"/>
          </w:tcPr>
          <w:p w14:paraId="4B95EBC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用于OA及统一门户应用服务部署</w:t>
            </w:r>
          </w:p>
          <w:p w14:paraId="318851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（1）符合国家行业标准的国内正规品牌产品，非0EM贴牌代工产品,处理器≥1颗；频率：≥2.1GHz；核数：≥16核</w:t>
            </w:r>
          </w:p>
          <w:p w14:paraId="33C65975">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（2）内存：≥64GB-DDR4-RDIMM内存</w:t>
            </w:r>
          </w:p>
          <w:p w14:paraId="2250712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（3）硬盘：≥2TB SAS 机械硬盘</w:t>
            </w:r>
          </w:p>
          <w:p w14:paraId="0ED11BDC">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（4）电口/网口：≥2*GE</w:t>
            </w:r>
          </w:p>
          <w:p w14:paraId="496B2EA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（5）阵列卡控制器：配置RAID卡,1G支持RAID0,1,10,5,50,6,60</w:t>
            </w:r>
          </w:p>
          <w:p w14:paraId="78B3A52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（6）电源功率：1+1热插拔冗余电源，单块电源功率不低于550W</w:t>
            </w:r>
          </w:p>
          <w:p w14:paraId="15012EC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（7）管理：配置不低于1Gb独立的远程管理控制端口，配置虚拟KVM功能，可实现与操作系统无关的远程对服务器的完:全控制，包括远程的开机、关机、重启、更新;</w:t>
            </w:r>
          </w:p>
        </w:tc>
        <w:tc>
          <w:tcPr>
            <w:tcW w:w="686" w:type="dxa"/>
            <w:tcBorders>
              <w:top w:val="single" w:color="000000" w:sz="4" w:space="0"/>
              <w:bottom w:val="single" w:color="000000" w:sz="4" w:space="0"/>
            </w:tcBorders>
            <w:noWrap w:val="0"/>
            <w:vAlign w:val="center"/>
          </w:tcPr>
          <w:p w14:paraId="4B7DDDDE">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0A61351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r>
      <w:tr w14:paraId="1DD70387">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bottom w:val="single" w:color="000000" w:sz="4" w:space="0"/>
            </w:tcBorders>
            <w:noWrap w:val="0"/>
            <w:vAlign w:val="center"/>
          </w:tcPr>
          <w:p w14:paraId="6B5B0BE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16</w:t>
            </w:r>
          </w:p>
        </w:tc>
        <w:tc>
          <w:tcPr>
            <w:tcW w:w="896" w:type="dxa"/>
            <w:tcBorders>
              <w:top w:val="single" w:color="000000" w:sz="4" w:space="0"/>
              <w:bottom w:val="single" w:color="000000" w:sz="4" w:space="0"/>
            </w:tcBorders>
            <w:noWrap w:val="0"/>
            <w:vAlign w:val="center"/>
          </w:tcPr>
          <w:p w14:paraId="655FFB49">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OA及统一门户服务器2</w:t>
            </w:r>
          </w:p>
        </w:tc>
        <w:tc>
          <w:tcPr>
            <w:tcW w:w="5798" w:type="dxa"/>
            <w:tcBorders>
              <w:top w:val="single" w:color="000000" w:sz="4" w:space="0"/>
              <w:bottom w:val="single" w:color="000000" w:sz="4" w:space="0"/>
            </w:tcBorders>
            <w:noWrap w:val="0"/>
            <w:vAlign w:val="center"/>
          </w:tcPr>
          <w:p w14:paraId="296411D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用于OA及统一门户数据库部署</w:t>
            </w:r>
          </w:p>
          <w:p w14:paraId="445F9ED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（1）符合国家行业标准的国内正规品牌产品，非0EM贴牌代工产品,处理器≥1颗；频率：≥2.1GHz；核数：≥16核</w:t>
            </w:r>
          </w:p>
          <w:p w14:paraId="7A446FC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（2）内存：≥64GB-DDR4-RDIMM内存</w:t>
            </w:r>
          </w:p>
          <w:p w14:paraId="00A0C4F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3）硬盘：≥2TB SAS 机械硬盘</w:t>
            </w:r>
          </w:p>
          <w:p w14:paraId="0B91D60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（4）电口/网口：≥2*GE</w:t>
            </w:r>
          </w:p>
          <w:p w14:paraId="19B1DE23">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（5）阵列卡控制器：配置RAID卡,1G支持RAID0,1,10,5,50,6,60</w:t>
            </w:r>
          </w:p>
          <w:p w14:paraId="140798C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（6）电源功率：1+1热插拔冗余电源，单块电源功率不低于550W</w:t>
            </w:r>
          </w:p>
          <w:p w14:paraId="1B001942">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（7）管理：配置不低于1Gb独立的远程管理控制端口，配置虚拟KVM功能，可实现与操作系统无关的远程对服务器的完:全控制，包括远程的开机、关机、重启、更新;</w:t>
            </w:r>
          </w:p>
        </w:tc>
        <w:tc>
          <w:tcPr>
            <w:tcW w:w="686" w:type="dxa"/>
            <w:tcBorders>
              <w:top w:val="single" w:color="000000" w:sz="4" w:space="0"/>
              <w:bottom w:val="single" w:color="000000" w:sz="4" w:space="0"/>
            </w:tcBorders>
            <w:noWrap w:val="0"/>
            <w:vAlign w:val="center"/>
          </w:tcPr>
          <w:p w14:paraId="3A0106A0">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235781F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r>
      <w:tr w14:paraId="04D47573">
        <w:tblPrEx>
          <w:tblBorders>
            <w:top w:val="single" w:color="000000" w:sz="4" w:space="0"/>
            <w:left w:val="single" w:color="000000" w:sz="4" w:space="0"/>
            <w:bottom w:val="single" w:color="000000" w:sz="4" w:space="0"/>
            <w:right w:val="single" w:color="000000" w:sz="4" w:space="0"/>
            <w:insideH w:val="none" w:color="auto" w:sz="0" w:space="0"/>
            <w:insideV w:val="single" w:color="000000" w:sz="4" w:space="0"/>
          </w:tblBorders>
          <w:tblCellMar>
            <w:top w:w="0" w:type="dxa"/>
            <w:left w:w="108" w:type="dxa"/>
            <w:bottom w:w="0" w:type="dxa"/>
            <w:right w:w="108" w:type="dxa"/>
          </w:tblCellMar>
        </w:tblPrEx>
        <w:trPr>
          <w:trHeight w:val="2016" w:hRule="atLeast"/>
          <w:jc w:val="center"/>
        </w:trPr>
        <w:tc>
          <w:tcPr>
            <w:tcW w:w="701" w:type="dxa"/>
            <w:tcBorders>
              <w:top w:val="single" w:color="000000" w:sz="4" w:space="0"/>
            </w:tcBorders>
            <w:noWrap w:val="0"/>
            <w:vAlign w:val="center"/>
          </w:tcPr>
          <w:p w14:paraId="2CB5771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17</w:t>
            </w:r>
          </w:p>
        </w:tc>
        <w:tc>
          <w:tcPr>
            <w:tcW w:w="896" w:type="dxa"/>
            <w:tcBorders>
              <w:top w:val="single" w:color="000000" w:sz="4" w:space="0"/>
            </w:tcBorders>
            <w:noWrap w:val="0"/>
            <w:vAlign w:val="center"/>
          </w:tcPr>
          <w:p w14:paraId="15E603A3">
            <w:pPr>
              <w:keepNext w:val="0"/>
              <w:keepLines w:val="0"/>
              <w:widowControl/>
              <w:suppressLineNumbers w:val="0"/>
              <w:jc w:val="center"/>
              <w:textAlignment w:val="center"/>
              <w:rPr>
                <w:rFonts w:hint="eastAsia" w:ascii="宋体" w:hAnsi="宋体" w:eastAsia="宋体" w:cs="宋体"/>
                <w:b/>
                <w:bCs/>
                <w:i w:val="0"/>
                <w:iCs w:val="0"/>
                <w:color w:val="auto"/>
                <w:kern w:val="0"/>
                <w:sz w:val="22"/>
                <w:szCs w:val="22"/>
                <w:highlight w:val="none"/>
                <w:u w:val="none"/>
                <w:lang w:val="en-US" w:eastAsia="zh-CN" w:bidi="ar"/>
              </w:rPr>
            </w:pPr>
            <w:r>
              <w:rPr>
                <w:rFonts w:hint="eastAsia" w:ascii="宋体" w:hAnsi="宋体" w:eastAsia="宋体" w:cs="宋体"/>
                <w:b/>
                <w:bCs/>
                <w:i w:val="0"/>
                <w:iCs w:val="0"/>
                <w:color w:val="auto"/>
                <w:kern w:val="0"/>
                <w:sz w:val="22"/>
                <w:szCs w:val="22"/>
                <w:highlight w:val="none"/>
                <w:u w:val="none"/>
                <w:lang w:val="en-US" w:eastAsia="zh-CN" w:bidi="ar"/>
              </w:rPr>
              <w:t>OA及统一门户服务器3</w:t>
            </w:r>
          </w:p>
        </w:tc>
        <w:tc>
          <w:tcPr>
            <w:tcW w:w="5798" w:type="dxa"/>
            <w:tcBorders>
              <w:top w:val="single" w:color="000000" w:sz="4" w:space="0"/>
              <w:bottom w:val="single" w:color="000000" w:sz="4" w:space="0"/>
            </w:tcBorders>
            <w:noWrap w:val="0"/>
            <w:vAlign w:val="center"/>
          </w:tcPr>
          <w:p w14:paraId="045E82D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用于OA及统一门户WPS在线预览部署</w:t>
            </w:r>
          </w:p>
          <w:p w14:paraId="4C28B5D7">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（1）符合国家行业标准的国内正规品牌产品，非0EM贴牌代工产品,处理器≥1颗；频率：≥2.1GHz；核数：≥8核</w:t>
            </w:r>
          </w:p>
          <w:p w14:paraId="2D9C78A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（2）内存：≥32GB-DDR4-RDIMM内存</w:t>
            </w:r>
          </w:p>
          <w:p w14:paraId="17813EA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r>
              <w:rPr>
                <w:rFonts w:hint="eastAsia" w:ascii="宋体" w:hAnsi="宋体" w:eastAsia="宋体" w:cs="宋体"/>
                <w:i w:val="0"/>
                <w:iCs w:val="0"/>
                <w:color w:val="auto"/>
                <w:kern w:val="0"/>
                <w:sz w:val="21"/>
                <w:szCs w:val="21"/>
                <w:highlight w:val="none"/>
                <w:u w:val="none"/>
                <w:lang w:val="en-US" w:eastAsia="zh-CN" w:bidi="ar"/>
              </w:rPr>
              <w:t>硬盘：≥2TB SAS 机械硬盘</w:t>
            </w:r>
          </w:p>
          <w:p w14:paraId="03D1B9A9">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（4）电口/网口：≥2*GE</w:t>
            </w:r>
          </w:p>
          <w:p w14:paraId="26C3799F">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（5）阵列卡控制器：配置RAID卡,1G支持RAID0,1,10,5,50,6,60</w:t>
            </w:r>
          </w:p>
          <w:p w14:paraId="73ADE0B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（6）电源功率：1+1热插拔冗余电源，单块电源功率不低于550W</w:t>
            </w:r>
          </w:p>
          <w:p w14:paraId="243C6AC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（7）管理：配置不低于1Gb独立的远程管理控制端口，配置虚拟KVM功能，可实现与操作系统无关的远程对服务器的完:全控制，包括远程的开机、关机、重启、更新;</w:t>
            </w:r>
          </w:p>
        </w:tc>
        <w:tc>
          <w:tcPr>
            <w:tcW w:w="686" w:type="dxa"/>
            <w:tcBorders>
              <w:top w:val="single" w:color="000000" w:sz="4" w:space="0"/>
              <w:bottom w:val="single" w:color="000000" w:sz="4" w:space="0"/>
            </w:tcBorders>
            <w:noWrap w:val="0"/>
            <w:vAlign w:val="center"/>
          </w:tcPr>
          <w:p w14:paraId="0729CDDD">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711" w:type="dxa"/>
            <w:tcBorders>
              <w:top w:val="single" w:color="000000" w:sz="4" w:space="0"/>
              <w:bottom w:val="single" w:color="000000" w:sz="4" w:space="0"/>
            </w:tcBorders>
            <w:noWrap w:val="0"/>
            <w:vAlign w:val="center"/>
          </w:tcPr>
          <w:p w14:paraId="7FD1F70B">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台</w:t>
            </w:r>
          </w:p>
        </w:tc>
      </w:tr>
    </w:tbl>
    <w:p w14:paraId="3961AB75">
      <w:pPr>
        <w:rPr>
          <w:rFonts w:hint="eastAsia" w:ascii="宋体" w:hAnsi="宋体" w:eastAsia="宋体"/>
          <w:b/>
          <w:color w:val="auto"/>
          <w:sz w:val="28"/>
          <w:highlight w:val="none"/>
        </w:rPr>
      </w:pPr>
      <w:r>
        <w:rPr>
          <w:rFonts w:hint="eastAsia" w:ascii="宋体" w:hAnsi="宋体" w:eastAsia="宋体"/>
          <w:b/>
          <w:color w:val="auto"/>
          <w:sz w:val="28"/>
          <w:highlight w:val="none"/>
        </w:rPr>
        <w:br w:type="page"/>
      </w:r>
    </w:p>
    <w:p w14:paraId="10AF554A">
      <w:pPr>
        <w:spacing w:line="360" w:lineRule="auto"/>
        <w:jc w:val="center"/>
        <w:outlineLvl w:val="0"/>
        <w:rPr>
          <w:rFonts w:ascii="宋体" w:hAnsi="宋体" w:eastAsia="宋体"/>
          <w:b/>
          <w:color w:val="auto"/>
          <w:sz w:val="28"/>
          <w:highlight w:val="none"/>
        </w:rPr>
      </w:pPr>
      <w:bookmarkStart w:id="88" w:name="_Toc17528"/>
      <w:r>
        <w:rPr>
          <w:rFonts w:hint="eastAsia" w:ascii="宋体" w:hAnsi="宋体" w:eastAsia="宋体"/>
          <w:b/>
          <w:color w:val="auto"/>
          <w:sz w:val="28"/>
          <w:highlight w:val="none"/>
        </w:rPr>
        <w:t>第四章 评标方法和标准（综合评分法）</w:t>
      </w:r>
      <w:bookmarkEnd w:id="88"/>
    </w:p>
    <w:p w14:paraId="3167ADC2">
      <w:pPr>
        <w:spacing w:line="360" w:lineRule="auto"/>
        <w:ind w:firstLine="437"/>
        <w:outlineLvl w:val="1"/>
        <w:rPr>
          <w:rFonts w:ascii="宋体" w:hAnsi="宋体" w:eastAsia="宋体"/>
          <w:b/>
          <w:color w:val="auto"/>
          <w:sz w:val="24"/>
          <w:highlight w:val="none"/>
        </w:rPr>
      </w:pPr>
      <w:bookmarkStart w:id="89" w:name="_Toc3907"/>
      <w:bookmarkStart w:id="90" w:name="_Toc4705"/>
      <w:bookmarkStart w:id="91" w:name="_Toc24761"/>
      <w:bookmarkStart w:id="92" w:name="_Toc4726"/>
      <w:bookmarkStart w:id="93" w:name="_Toc11823"/>
      <w:bookmarkStart w:id="94" w:name="_Toc11350"/>
      <w:r>
        <w:rPr>
          <w:rFonts w:hint="eastAsia" w:ascii="宋体" w:hAnsi="宋体" w:eastAsia="宋体"/>
          <w:b/>
          <w:color w:val="auto"/>
          <w:sz w:val="24"/>
          <w:highlight w:val="none"/>
        </w:rPr>
        <w:t>一、总则</w:t>
      </w:r>
      <w:bookmarkEnd w:id="89"/>
      <w:bookmarkEnd w:id="90"/>
      <w:bookmarkEnd w:id="91"/>
      <w:bookmarkEnd w:id="92"/>
      <w:bookmarkEnd w:id="93"/>
      <w:bookmarkEnd w:id="94"/>
    </w:p>
    <w:p w14:paraId="7181B5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本项目将按照招标文件第二章 投标人须知的相关要求</w:t>
      </w:r>
      <w:r>
        <w:rPr>
          <w:rFonts w:ascii="宋体" w:hAnsi="宋体" w:eastAsia="宋体"/>
          <w:color w:val="auto"/>
          <w:sz w:val="24"/>
          <w:highlight w:val="none"/>
        </w:rPr>
        <w:t>及本章的规定评标。</w:t>
      </w:r>
    </w:p>
    <w:p w14:paraId="182E409D">
      <w:pPr>
        <w:spacing w:line="360" w:lineRule="auto"/>
        <w:ind w:firstLine="437"/>
        <w:outlineLvl w:val="1"/>
        <w:rPr>
          <w:rFonts w:ascii="宋体" w:hAnsi="宋体" w:eastAsia="宋体"/>
          <w:b/>
          <w:color w:val="auto"/>
          <w:sz w:val="24"/>
          <w:highlight w:val="none"/>
        </w:rPr>
      </w:pPr>
      <w:bookmarkStart w:id="95" w:name="_Toc4475"/>
      <w:bookmarkStart w:id="96" w:name="_Toc31871"/>
      <w:bookmarkStart w:id="97" w:name="_Toc32410"/>
      <w:bookmarkStart w:id="98" w:name="_Toc12132"/>
      <w:bookmarkStart w:id="99" w:name="_Toc5040"/>
      <w:bookmarkStart w:id="100" w:name="_Toc15998"/>
      <w:r>
        <w:rPr>
          <w:rFonts w:hint="eastAsia" w:ascii="宋体" w:hAnsi="宋体" w:eastAsia="宋体"/>
          <w:b/>
          <w:color w:val="auto"/>
          <w:sz w:val="24"/>
          <w:highlight w:val="none"/>
        </w:rPr>
        <w:t>二、评标方法</w:t>
      </w:r>
      <w:bookmarkEnd w:id="95"/>
      <w:bookmarkEnd w:id="96"/>
      <w:bookmarkEnd w:id="97"/>
      <w:bookmarkEnd w:id="98"/>
      <w:bookmarkEnd w:id="99"/>
      <w:bookmarkEnd w:id="100"/>
    </w:p>
    <w:p w14:paraId="41717AF6">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2.1资格审查</w:t>
      </w:r>
    </w:p>
    <w:tbl>
      <w:tblPr>
        <w:tblStyle w:val="2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651"/>
        <w:gridCol w:w="3934"/>
        <w:gridCol w:w="2512"/>
      </w:tblGrid>
      <w:tr w14:paraId="0BC3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0" w:hRule="atLeast"/>
          <w:jc w:val="center"/>
        </w:trPr>
        <w:tc>
          <w:tcPr>
            <w:tcW w:w="8761" w:type="dxa"/>
            <w:gridSpan w:val="4"/>
            <w:tcBorders>
              <w:bottom w:val="single" w:color="auto" w:sz="4" w:space="0"/>
            </w:tcBorders>
            <w:vAlign w:val="center"/>
          </w:tcPr>
          <w:p w14:paraId="3987047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2A32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 w:type="dxa"/>
            <w:tcBorders>
              <w:bottom w:val="single" w:color="auto" w:sz="4" w:space="0"/>
            </w:tcBorders>
            <w:vAlign w:val="center"/>
          </w:tcPr>
          <w:p w14:paraId="76DDD95F">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651" w:type="dxa"/>
            <w:tcBorders>
              <w:bottom w:val="single" w:color="auto" w:sz="4" w:space="0"/>
            </w:tcBorders>
            <w:vAlign w:val="center"/>
          </w:tcPr>
          <w:p w14:paraId="37E914DD">
            <w:pPr>
              <w:pStyle w:val="45"/>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rPr>
              <w:t>审查因素</w:t>
            </w:r>
          </w:p>
        </w:tc>
        <w:tc>
          <w:tcPr>
            <w:tcW w:w="3934" w:type="dxa"/>
            <w:tcBorders>
              <w:bottom w:val="single" w:color="auto" w:sz="4" w:space="0"/>
            </w:tcBorders>
            <w:vAlign w:val="center"/>
          </w:tcPr>
          <w:p w14:paraId="03D225C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审查内容</w:t>
            </w:r>
          </w:p>
        </w:tc>
        <w:tc>
          <w:tcPr>
            <w:tcW w:w="2512" w:type="dxa"/>
            <w:tcBorders>
              <w:bottom w:val="single" w:color="auto" w:sz="4" w:space="0"/>
            </w:tcBorders>
            <w:vAlign w:val="center"/>
          </w:tcPr>
          <w:p w14:paraId="3000CFD6">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C6A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64" w:type="dxa"/>
            <w:tcBorders>
              <w:bottom w:val="single" w:color="auto" w:sz="4" w:space="0"/>
            </w:tcBorders>
            <w:vAlign w:val="center"/>
          </w:tcPr>
          <w:p w14:paraId="5FCC0BC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651" w:type="dxa"/>
            <w:tcBorders>
              <w:bottom w:val="single" w:color="auto" w:sz="4" w:space="0"/>
            </w:tcBorders>
            <w:vAlign w:val="center"/>
          </w:tcPr>
          <w:p w14:paraId="31ED90DD">
            <w:pPr>
              <w:spacing w:after="50" w:line="360" w:lineRule="auto"/>
              <w:ind w:right="-10"/>
              <w:jc w:val="center"/>
              <w:rPr>
                <w:rFonts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3934" w:type="dxa"/>
            <w:tcBorders>
              <w:bottom w:val="single" w:color="auto" w:sz="4" w:space="0"/>
            </w:tcBorders>
            <w:vAlign w:val="center"/>
          </w:tcPr>
          <w:p w14:paraId="01DB3C84">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52AD3957">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5A7DB0F2">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22FA2BCD">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726F22EC">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p>
        </w:tc>
        <w:tc>
          <w:tcPr>
            <w:tcW w:w="2512" w:type="dxa"/>
            <w:vAlign w:val="center"/>
          </w:tcPr>
          <w:p w14:paraId="2C9BB491">
            <w:pPr>
              <w:spacing w:line="360" w:lineRule="auto"/>
              <w:jc w:val="left"/>
              <w:rPr>
                <w:rFonts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提供材料扫描件或电子证照，应完整的体现出材料或电子证照全部内容。联合体投标的联合体各方均须提供。</w:t>
            </w:r>
          </w:p>
        </w:tc>
      </w:tr>
      <w:tr w14:paraId="50F0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664" w:type="dxa"/>
            <w:tcBorders>
              <w:bottom w:val="single" w:color="auto" w:sz="4" w:space="0"/>
            </w:tcBorders>
            <w:vAlign w:val="center"/>
          </w:tcPr>
          <w:p w14:paraId="5C994AF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651" w:type="dxa"/>
            <w:tcBorders>
              <w:bottom w:val="single" w:color="auto" w:sz="4" w:space="0"/>
            </w:tcBorders>
            <w:vAlign w:val="center"/>
          </w:tcPr>
          <w:p w14:paraId="7FDE0E17">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18"/>
                <w:highlight w:val="none"/>
              </w:rPr>
              <w:t>投标人资格声明书</w:t>
            </w:r>
          </w:p>
        </w:tc>
        <w:tc>
          <w:tcPr>
            <w:tcW w:w="3934" w:type="dxa"/>
            <w:tcBorders>
              <w:bottom w:val="single" w:color="auto" w:sz="4" w:space="0"/>
            </w:tcBorders>
            <w:vAlign w:val="center"/>
          </w:tcPr>
          <w:p w14:paraId="04CF8E2E">
            <w:pPr>
              <w:spacing w:after="50" w:line="360" w:lineRule="auto"/>
              <w:ind w:right="-1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rPr>
              <w:t>。</w:t>
            </w:r>
          </w:p>
        </w:tc>
        <w:tc>
          <w:tcPr>
            <w:tcW w:w="2512" w:type="dxa"/>
            <w:vAlign w:val="center"/>
          </w:tcPr>
          <w:p w14:paraId="298E3E13">
            <w:pPr>
              <w:spacing w:line="360" w:lineRule="auto"/>
              <w:jc w:val="left"/>
              <w:rPr>
                <w:rFonts w:ascii="宋体" w:hAnsi="宋体" w:eastAsia="宋体" w:cs="宋体"/>
                <w:color w:val="auto"/>
                <w:sz w:val="24"/>
                <w:szCs w:val="24"/>
                <w:highlight w:val="none"/>
              </w:rPr>
            </w:pPr>
            <w:r>
              <w:rPr>
                <w:rFonts w:hint="eastAsia" w:ascii="宋体" w:hAnsi="宋体" w:eastAsia="宋体"/>
                <w:color w:val="auto"/>
                <w:sz w:val="24"/>
                <w:highlight w:val="none"/>
              </w:rPr>
              <w:t>详见第六章投标文件格式。</w:t>
            </w:r>
          </w:p>
        </w:tc>
      </w:tr>
      <w:tr w14:paraId="6C5B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26AFF162">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651" w:type="dxa"/>
            <w:vAlign w:val="center"/>
          </w:tcPr>
          <w:p w14:paraId="46CC0D86">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3934" w:type="dxa"/>
            <w:vAlign w:val="center"/>
          </w:tcPr>
          <w:p w14:paraId="1D2FAE1D">
            <w:pPr>
              <w:spacing w:after="50" w:line="360" w:lineRule="auto"/>
              <w:ind w:right="-10"/>
              <w:jc w:val="left"/>
              <w:rPr>
                <w:color w:val="auto"/>
                <w:highlight w:val="none"/>
              </w:rPr>
            </w:pPr>
            <w:r>
              <w:rPr>
                <w:rFonts w:hint="eastAsia" w:ascii="宋体" w:hAnsi="宋体" w:eastAsia="宋体" w:cs="宋体"/>
                <w:color w:val="auto"/>
                <w:sz w:val="24"/>
                <w:szCs w:val="24"/>
                <w:highlight w:val="none"/>
                <w:lang w:val="zh-CN"/>
              </w:rPr>
              <w:t>投标人不得存在投标人须知正文第14.2条中的不良信用记录情形。。</w:t>
            </w:r>
          </w:p>
        </w:tc>
        <w:tc>
          <w:tcPr>
            <w:tcW w:w="2512" w:type="dxa"/>
            <w:vAlign w:val="center"/>
          </w:tcPr>
          <w:p w14:paraId="49375F9B">
            <w:pPr>
              <w:spacing w:line="360" w:lineRule="auto"/>
              <w:jc w:val="left"/>
              <w:rPr>
                <w:color w:val="auto"/>
                <w:highlight w:val="none"/>
              </w:rPr>
            </w:pPr>
            <w:r>
              <w:rPr>
                <w:rFonts w:hint="eastAsia" w:ascii="宋体" w:hAnsi="宋体" w:eastAsia="宋体" w:cs="宋体"/>
                <w:color w:val="auto"/>
                <w:sz w:val="24"/>
                <w:szCs w:val="24"/>
                <w:highlight w:val="none"/>
              </w:rPr>
              <w:t>无须投标人提供，由采购人或采购代理机构查询。</w:t>
            </w:r>
          </w:p>
        </w:tc>
      </w:tr>
      <w:tr w14:paraId="00DF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13D5FB0B">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4</w:t>
            </w:r>
          </w:p>
        </w:tc>
        <w:tc>
          <w:tcPr>
            <w:tcW w:w="1651" w:type="dxa"/>
            <w:vAlign w:val="center"/>
          </w:tcPr>
          <w:p w14:paraId="130C9DC1">
            <w:pPr>
              <w:spacing w:after="50" w:line="360" w:lineRule="auto"/>
              <w:ind w:right="-1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中小企业证明文件</w:t>
            </w:r>
            <w:r>
              <w:rPr>
                <w:rFonts w:hint="eastAsia" w:ascii="宋体" w:hAnsi="宋体" w:eastAsia="宋体" w:cs="宋体"/>
                <w:color w:val="auto"/>
                <w:sz w:val="24"/>
                <w:szCs w:val="24"/>
                <w:highlight w:val="none"/>
              </w:rPr>
              <w:t>（</w:t>
            </w:r>
            <w:r>
              <w:rPr>
                <w:rFonts w:hint="eastAsia" w:ascii="宋体" w:hAnsi="宋体" w:eastAsia="宋体" w:cs="宋体"/>
                <w:i/>
                <w:iCs/>
                <w:color w:val="auto"/>
                <w:sz w:val="24"/>
                <w:szCs w:val="24"/>
                <w:highlight w:val="none"/>
                <w:lang w:val="en-US" w:eastAsia="zh-CN"/>
              </w:rPr>
              <w:t>适用于</w:t>
            </w:r>
            <w:r>
              <w:rPr>
                <w:rFonts w:hint="eastAsia" w:ascii="宋体" w:hAnsi="宋体" w:eastAsia="宋体" w:cs="宋体"/>
                <w:i/>
                <w:iCs/>
                <w:color w:val="auto"/>
                <w:sz w:val="24"/>
                <w:szCs w:val="24"/>
                <w:highlight w:val="none"/>
              </w:rPr>
              <w:t>专门面向中小企业采购项目</w:t>
            </w:r>
            <w:r>
              <w:rPr>
                <w:rFonts w:hint="eastAsia" w:ascii="宋体" w:hAnsi="宋体" w:eastAsia="宋体" w:cs="宋体"/>
                <w:i/>
                <w:iCs/>
                <w:color w:val="auto"/>
                <w:sz w:val="24"/>
                <w:szCs w:val="24"/>
                <w:highlight w:val="none"/>
                <w:lang w:val="en-US" w:eastAsia="zh-CN"/>
              </w:rPr>
              <w:t>或预留中小企业采购份额项目</w:t>
            </w:r>
            <w:r>
              <w:rPr>
                <w:rFonts w:hint="eastAsia" w:ascii="宋体" w:hAnsi="宋体" w:eastAsia="宋体" w:cs="宋体"/>
                <w:color w:val="auto"/>
                <w:sz w:val="24"/>
                <w:szCs w:val="24"/>
                <w:highlight w:val="none"/>
              </w:rPr>
              <w:t>）</w:t>
            </w:r>
          </w:p>
        </w:tc>
        <w:tc>
          <w:tcPr>
            <w:tcW w:w="3934" w:type="dxa"/>
          </w:tcPr>
          <w:p w14:paraId="660CB6E6">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olor w:val="auto"/>
                <w:sz w:val="24"/>
                <w:szCs w:val="28"/>
                <w:highlight w:val="none"/>
              </w:rPr>
              <w:t>符合申请人的资格要求中落实政府采购政策需满足的资格要求：</w:t>
            </w:r>
          </w:p>
          <w:p w14:paraId="10D181D4">
            <w:pPr>
              <w:spacing w:after="50" w:line="360" w:lineRule="auto"/>
              <w:ind w:right="-1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（1）专门面向中小企业采购的，供应商应提供《中小企业声明函》或《残疾人福利性单位声明函》或由省级以上监狱管理局、戒毒管理局（含新疆生产建设兵团）出具的属于监狱企业的证明文件。</w:t>
            </w:r>
          </w:p>
          <w:p w14:paraId="506E678C">
            <w:pPr>
              <w:spacing w:after="50" w:line="360" w:lineRule="auto"/>
              <w:ind w:right="-10"/>
              <w:jc w:val="left"/>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（2）如</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磋商文件关于预留份额的要求。</w:t>
            </w:r>
          </w:p>
        </w:tc>
        <w:tc>
          <w:tcPr>
            <w:tcW w:w="2512" w:type="dxa"/>
            <w:vAlign w:val="center"/>
          </w:tcPr>
          <w:p w14:paraId="36875547">
            <w:pPr>
              <w:spacing w:after="50" w:line="360" w:lineRule="auto"/>
              <w:ind w:right="-10"/>
              <w:jc w:val="center"/>
              <w:rPr>
                <w:rFonts w:ascii="宋体" w:hAnsi="宋体" w:eastAsia="宋体" w:cs="宋体"/>
                <w:color w:val="auto"/>
                <w:sz w:val="24"/>
                <w:szCs w:val="24"/>
                <w:highlight w:val="none"/>
              </w:rPr>
            </w:pPr>
            <w:r>
              <w:rPr>
                <w:rFonts w:hint="eastAsia" w:ascii="宋体" w:hAnsi="宋体" w:eastAsia="宋体"/>
                <w:color w:val="auto"/>
                <w:sz w:val="24"/>
                <w:highlight w:val="none"/>
              </w:rPr>
              <w:t>详见第六章响应文件格式。</w:t>
            </w:r>
          </w:p>
        </w:tc>
      </w:tr>
      <w:tr w14:paraId="3559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14D0D7E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5</w:t>
            </w:r>
          </w:p>
        </w:tc>
        <w:tc>
          <w:tcPr>
            <w:tcW w:w="1651" w:type="dxa"/>
            <w:vAlign w:val="center"/>
          </w:tcPr>
          <w:p w14:paraId="2AF88C7F">
            <w:pPr>
              <w:spacing w:after="50" w:line="360" w:lineRule="auto"/>
              <w:ind w:right="-10"/>
              <w:rPr>
                <w:rFonts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其他</w:t>
            </w:r>
            <w:r>
              <w:rPr>
                <w:rFonts w:ascii="宋体" w:hAnsi="宋体" w:eastAsia="宋体" w:cs="宋体"/>
                <w:color w:val="auto"/>
                <w:spacing w:val="10"/>
                <w:sz w:val="24"/>
                <w:szCs w:val="24"/>
                <w:highlight w:val="none"/>
              </w:rPr>
              <w:t>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3934" w:type="dxa"/>
            <w:vAlign w:val="center"/>
          </w:tcPr>
          <w:p w14:paraId="1C32AA9C">
            <w:pPr>
              <w:spacing w:after="50" w:line="360" w:lineRule="auto"/>
              <w:ind w:right="-10"/>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2512" w:type="dxa"/>
            <w:vAlign w:val="center"/>
          </w:tcPr>
          <w:p w14:paraId="5EC7E2EC">
            <w:pPr>
              <w:spacing w:after="50" w:line="360" w:lineRule="auto"/>
              <w:ind w:right="-10"/>
              <w:rPr>
                <w:rFonts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51B6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vAlign w:val="center"/>
          </w:tcPr>
          <w:p w14:paraId="4015451B">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6</w:t>
            </w:r>
          </w:p>
        </w:tc>
        <w:tc>
          <w:tcPr>
            <w:tcW w:w="1651" w:type="dxa"/>
            <w:vAlign w:val="center"/>
          </w:tcPr>
          <w:p w14:paraId="0B08F4DA">
            <w:pPr>
              <w:widowControl/>
              <w:jc w:val="left"/>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本项目的特定资格要求</w:t>
            </w:r>
          </w:p>
        </w:tc>
        <w:tc>
          <w:tcPr>
            <w:tcW w:w="3934" w:type="dxa"/>
            <w:vAlign w:val="center"/>
          </w:tcPr>
          <w:p w14:paraId="71A61314">
            <w:pPr>
              <w:widowControl/>
              <w:jc w:val="left"/>
              <w:rPr>
                <w:rFonts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见第一章《投标邀请》</w:t>
            </w:r>
          </w:p>
        </w:tc>
        <w:tc>
          <w:tcPr>
            <w:tcW w:w="2512" w:type="dxa"/>
            <w:vAlign w:val="center"/>
          </w:tcPr>
          <w:p w14:paraId="0B36D5D6">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5B5D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4" w:type="dxa"/>
            <w:shd w:val="clear" w:color="auto" w:fill="auto"/>
            <w:vAlign w:val="center"/>
          </w:tcPr>
          <w:p w14:paraId="35919A26">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1651" w:type="dxa"/>
            <w:shd w:val="clear" w:color="auto" w:fill="auto"/>
            <w:vAlign w:val="center"/>
          </w:tcPr>
          <w:p w14:paraId="1A617E5A">
            <w:pPr>
              <w:keepNext w:val="0"/>
              <w:keepLines w:val="0"/>
              <w:pageBreakBefore w:val="0"/>
              <w:suppressLineNumbers w:val="0"/>
              <w:kinsoku/>
              <w:wordWrap w:val="0"/>
              <w:overflowPunct/>
              <w:topLinePunct w:val="0"/>
              <w:bidi w:val="0"/>
              <w:spacing w:before="0" w:beforeAutospacing="0" w:after="50" w:afterAutospacing="0" w:line="360" w:lineRule="auto"/>
              <w:ind w:left="0" w:leftChars="0" w:right="-10" w:rightChars="0"/>
              <w:jc w:val="center"/>
              <w:rPr>
                <w:rFonts w:hint="eastAsia" w:ascii="宋体" w:hAnsi="宋体" w:eastAsia="宋体" w:cs="宋体"/>
                <w:color w:val="auto"/>
                <w:spacing w:val="10"/>
                <w:kern w:val="2"/>
                <w:sz w:val="24"/>
                <w:szCs w:val="24"/>
                <w:highlight w:val="none"/>
                <w:lang w:val="en-US" w:eastAsia="zh-CN" w:bidi="ar-SA"/>
              </w:rPr>
            </w:pPr>
            <w:r>
              <w:rPr>
                <w:rFonts w:hint="eastAsia" w:ascii="宋体" w:hAnsi="宋体" w:eastAsia="宋体" w:cs="宋体"/>
                <w:color w:val="auto"/>
                <w:sz w:val="24"/>
                <w:szCs w:val="24"/>
                <w:highlight w:val="none"/>
              </w:rPr>
              <w:t>诚信投标承诺书</w:t>
            </w:r>
          </w:p>
        </w:tc>
        <w:tc>
          <w:tcPr>
            <w:tcW w:w="3934" w:type="dxa"/>
            <w:shd w:val="clear" w:color="auto" w:fill="auto"/>
            <w:vAlign w:val="center"/>
          </w:tcPr>
          <w:p w14:paraId="2A543EEE">
            <w:pPr>
              <w:keepNext w:val="0"/>
              <w:keepLines w:val="0"/>
              <w:pageBreakBefore w:val="0"/>
              <w:suppressLineNumbers w:val="0"/>
              <w:kinsoku/>
              <w:wordWrap w:val="0"/>
              <w:overflowPunct/>
              <w:topLinePunct w:val="0"/>
              <w:bidi w:val="0"/>
              <w:spacing w:before="0" w:beforeAutospacing="0" w:after="50" w:afterAutospacing="0" w:line="360" w:lineRule="auto"/>
              <w:ind w:left="0" w:leftChars="0" w:right="-10" w:rightChars="0"/>
              <w:jc w:val="both"/>
              <w:rPr>
                <w:rFonts w:hint="eastAsia" w:ascii="宋体" w:hAnsi="宋体" w:eastAsia="宋体" w:cs="宋体"/>
                <w:color w:val="auto"/>
                <w:spacing w:val="10"/>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en-US" w:bidi="ar-SA"/>
              </w:rPr>
              <w:t>格式、填写要求符合招标文件规定并加盖投标人电子签章</w:t>
            </w:r>
          </w:p>
        </w:tc>
        <w:tc>
          <w:tcPr>
            <w:tcW w:w="2512" w:type="dxa"/>
            <w:shd w:val="clear" w:color="auto" w:fill="auto"/>
            <w:vAlign w:val="center"/>
          </w:tcPr>
          <w:p w14:paraId="40B7CDCD">
            <w:pPr>
              <w:keepNext w:val="0"/>
              <w:keepLines w:val="0"/>
              <w:pageBreakBefore w:val="0"/>
              <w:suppressLineNumbers w:val="0"/>
              <w:kinsoku/>
              <w:wordWrap w:val="0"/>
              <w:overflowPunct/>
              <w:topLinePunct w:val="0"/>
              <w:bidi w:val="0"/>
              <w:spacing w:before="0" w:beforeAutospacing="0" w:after="50" w:afterAutospacing="0" w:line="360" w:lineRule="auto"/>
              <w:ind w:left="0" w:leftChars="0" w:right="-10" w:rightChars="0"/>
              <w:jc w:val="both"/>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bl>
    <w:p w14:paraId="0E0FC86D">
      <w:pPr>
        <w:spacing w:line="360" w:lineRule="auto"/>
        <w:ind w:firstLine="435"/>
        <w:rPr>
          <w:rFonts w:ascii="宋体" w:hAnsi="宋体" w:eastAsia="宋体"/>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0E88A576">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2.2符合性审查</w:t>
      </w:r>
    </w:p>
    <w:p w14:paraId="2B406B9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评标委员会对通过资格审查的投标人的投标文件进行符合性审查，以确定其是否满足招标文件的实质性要求。符合性审查表如下：</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117"/>
        <w:gridCol w:w="3128"/>
        <w:gridCol w:w="2514"/>
      </w:tblGrid>
      <w:tr w14:paraId="40A3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8522" w:type="dxa"/>
            <w:gridSpan w:val="4"/>
            <w:tcBorders>
              <w:bottom w:val="single" w:color="auto" w:sz="4" w:space="0"/>
            </w:tcBorders>
            <w:vAlign w:val="center"/>
          </w:tcPr>
          <w:p w14:paraId="616D7EBD">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720C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63" w:type="dxa"/>
            <w:tcBorders>
              <w:bottom w:val="single" w:color="auto" w:sz="4" w:space="0"/>
            </w:tcBorders>
            <w:vAlign w:val="center"/>
          </w:tcPr>
          <w:p w14:paraId="6DA91E03">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2117" w:type="dxa"/>
            <w:tcBorders>
              <w:bottom w:val="single" w:color="auto" w:sz="4" w:space="0"/>
            </w:tcBorders>
            <w:vAlign w:val="center"/>
          </w:tcPr>
          <w:p w14:paraId="0BF1551A">
            <w:pPr>
              <w:pStyle w:val="45"/>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highlight w:val="none"/>
              </w:rPr>
            </w:pPr>
            <w:r>
              <w:rPr>
                <w:rFonts w:hint="eastAsia" w:ascii="宋体" w:hAnsi="宋体" w:eastAsia="宋体"/>
                <w:color w:val="auto"/>
                <w:kern w:val="2"/>
                <w:highlight w:val="none"/>
              </w:rPr>
              <w:t>审查指标</w:t>
            </w:r>
          </w:p>
        </w:tc>
        <w:tc>
          <w:tcPr>
            <w:tcW w:w="3128" w:type="dxa"/>
            <w:tcBorders>
              <w:bottom w:val="single" w:color="auto" w:sz="4" w:space="0"/>
            </w:tcBorders>
            <w:vAlign w:val="center"/>
          </w:tcPr>
          <w:p w14:paraId="445A6B3C">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审查标准</w:t>
            </w:r>
          </w:p>
        </w:tc>
        <w:tc>
          <w:tcPr>
            <w:tcW w:w="2514" w:type="dxa"/>
            <w:tcBorders>
              <w:bottom w:val="single" w:color="auto" w:sz="4" w:space="0"/>
            </w:tcBorders>
            <w:vAlign w:val="center"/>
          </w:tcPr>
          <w:p w14:paraId="5BD0BDC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2AFB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62489577">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2117" w:type="dxa"/>
            <w:vAlign w:val="center"/>
          </w:tcPr>
          <w:p w14:paraId="159AE80D">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highlight w:val="none"/>
              </w:rPr>
              <w:t>开标一览表</w:t>
            </w:r>
          </w:p>
        </w:tc>
        <w:tc>
          <w:tcPr>
            <w:tcW w:w="3128" w:type="dxa"/>
            <w:vAlign w:val="center"/>
          </w:tcPr>
          <w:p w14:paraId="72C4EAD3">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格式、填写要求符合招标文件规定并加盖投标人电子签章</w:t>
            </w:r>
          </w:p>
        </w:tc>
        <w:tc>
          <w:tcPr>
            <w:tcW w:w="2514" w:type="dxa"/>
            <w:vAlign w:val="center"/>
          </w:tcPr>
          <w:p w14:paraId="07719206">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详见第六章投标文件格式。</w:t>
            </w:r>
          </w:p>
        </w:tc>
      </w:tr>
      <w:tr w14:paraId="64C4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11BF8158">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2117" w:type="dxa"/>
            <w:vAlign w:val="center"/>
          </w:tcPr>
          <w:p w14:paraId="7AD1D99E">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投标函</w:t>
            </w:r>
          </w:p>
        </w:tc>
        <w:tc>
          <w:tcPr>
            <w:tcW w:w="3128" w:type="dxa"/>
            <w:vAlign w:val="center"/>
          </w:tcPr>
          <w:p w14:paraId="5F967BA1">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格式、填写要求符合招标文件规定并加盖投标人电子签章</w:t>
            </w:r>
          </w:p>
        </w:tc>
        <w:tc>
          <w:tcPr>
            <w:tcW w:w="2514" w:type="dxa"/>
            <w:vAlign w:val="center"/>
          </w:tcPr>
          <w:p w14:paraId="2B11CBCC">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详见第六章投标文件格式。</w:t>
            </w:r>
          </w:p>
        </w:tc>
      </w:tr>
      <w:tr w14:paraId="4C0E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50E7C988">
            <w:pPr>
              <w:adjustRightInd w:val="0"/>
              <w:snapToGrid w:val="0"/>
              <w:spacing w:line="360" w:lineRule="auto"/>
              <w:ind w:right="-10"/>
              <w:jc w:val="center"/>
              <w:rPr>
                <w:rFonts w:ascii="宋体" w:hAnsi="宋体" w:eastAsia="宋体"/>
                <w:color w:val="auto"/>
                <w:sz w:val="24"/>
                <w:highlight w:val="none"/>
              </w:rPr>
            </w:pPr>
            <w:r>
              <w:rPr>
                <w:rFonts w:ascii="宋体" w:hAnsi="宋体" w:eastAsia="宋体"/>
                <w:color w:val="auto"/>
                <w:sz w:val="24"/>
                <w:highlight w:val="none"/>
              </w:rPr>
              <w:t>3</w:t>
            </w:r>
          </w:p>
        </w:tc>
        <w:tc>
          <w:tcPr>
            <w:tcW w:w="2117" w:type="dxa"/>
            <w:vAlign w:val="center"/>
          </w:tcPr>
          <w:p w14:paraId="672B4783">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授权书</w:t>
            </w:r>
          </w:p>
        </w:tc>
        <w:tc>
          <w:tcPr>
            <w:tcW w:w="3128" w:type="dxa"/>
            <w:vAlign w:val="center"/>
          </w:tcPr>
          <w:p w14:paraId="02635605">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格式、填写要求符合招标文件规定并加盖投标人电子签章</w:t>
            </w:r>
          </w:p>
        </w:tc>
        <w:tc>
          <w:tcPr>
            <w:tcW w:w="2514" w:type="dxa"/>
            <w:vAlign w:val="center"/>
          </w:tcPr>
          <w:p w14:paraId="37E7A0BC">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法定代表人参加投标的无需此件，提供身份证明即可。详见第六章投标文件格式。</w:t>
            </w:r>
          </w:p>
        </w:tc>
      </w:tr>
      <w:tr w14:paraId="736F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53CECCE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4</w:t>
            </w:r>
          </w:p>
        </w:tc>
        <w:tc>
          <w:tcPr>
            <w:tcW w:w="2117" w:type="dxa"/>
            <w:vAlign w:val="center"/>
          </w:tcPr>
          <w:p w14:paraId="3F98858D">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投标报价</w:t>
            </w:r>
          </w:p>
        </w:tc>
        <w:tc>
          <w:tcPr>
            <w:tcW w:w="3128" w:type="dxa"/>
            <w:vAlign w:val="center"/>
          </w:tcPr>
          <w:p w14:paraId="594849D0">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符合</w:t>
            </w:r>
            <w:r>
              <w:rPr>
                <w:rFonts w:hint="eastAsia" w:ascii="宋体" w:hAnsi="宋体" w:eastAsia="宋体"/>
                <w:color w:val="auto"/>
                <w:sz w:val="24"/>
                <w:highlight w:val="none"/>
              </w:rPr>
              <w:t>招标文件投标人须知正文第9条要求</w:t>
            </w:r>
          </w:p>
        </w:tc>
        <w:tc>
          <w:tcPr>
            <w:tcW w:w="2514" w:type="dxa"/>
            <w:vAlign w:val="center"/>
          </w:tcPr>
          <w:p w14:paraId="4544975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详见第六章投标文件格式。</w:t>
            </w:r>
          </w:p>
        </w:tc>
      </w:tr>
      <w:tr w14:paraId="4F19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1E41D1D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5</w:t>
            </w:r>
          </w:p>
        </w:tc>
        <w:tc>
          <w:tcPr>
            <w:tcW w:w="2117" w:type="dxa"/>
            <w:vAlign w:val="center"/>
          </w:tcPr>
          <w:p w14:paraId="5E1B9AD7">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商务响应情况</w:t>
            </w:r>
          </w:p>
        </w:tc>
        <w:tc>
          <w:tcPr>
            <w:tcW w:w="3128" w:type="dxa"/>
            <w:vAlign w:val="center"/>
          </w:tcPr>
          <w:p w14:paraId="6410085D">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符合招标文件采购需求中对付款方式、服务地点、服务期限等实质性要求</w:t>
            </w:r>
          </w:p>
        </w:tc>
        <w:tc>
          <w:tcPr>
            <w:tcW w:w="2514" w:type="dxa"/>
            <w:vAlign w:val="center"/>
          </w:tcPr>
          <w:p w14:paraId="561DC4F4">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详见第六章投标文件格式。</w:t>
            </w:r>
          </w:p>
        </w:tc>
      </w:tr>
      <w:tr w14:paraId="0817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289EDB4B">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6</w:t>
            </w:r>
          </w:p>
        </w:tc>
        <w:tc>
          <w:tcPr>
            <w:tcW w:w="2117" w:type="dxa"/>
            <w:vAlign w:val="center"/>
          </w:tcPr>
          <w:p w14:paraId="714F8809">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其他要求</w:t>
            </w:r>
          </w:p>
        </w:tc>
        <w:tc>
          <w:tcPr>
            <w:tcW w:w="3128" w:type="dxa"/>
            <w:vAlign w:val="center"/>
          </w:tcPr>
          <w:p w14:paraId="1322BF87">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28"/>
                <w:highlight w:val="none"/>
              </w:rPr>
              <w:t>符合法律、行政法规规定的其他条件或招标文件列明的其他实质性要求</w:t>
            </w:r>
          </w:p>
        </w:tc>
        <w:tc>
          <w:tcPr>
            <w:tcW w:w="2514" w:type="dxa"/>
            <w:vAlign w:val="center"/>
          </w:tcPr>
          <w:p w14:paraId="371A5411">
            <w:pPr>
              <w:adjustRightInd w:val="0"/>
              <w:snapToGrid w:val="0"/>
              <w:spacing w:line="360" w:lineRule="auto"/>
              <w:ind w:right="-10"/>
              <w:jc w:val="center"/>
              <w:rPr>
                <w:rFonts w:ascii="宋体" w:hAnsi="宋体" w:eastAsia="宋体"/>
                <w:color w:val="auto"/>
                <w:sz w:val="24"/>
                <w:highlight w:val="none"/>
              </w:rPr>
            </w:pPr>
          </w:p>
        </w:tc>
      </w:tr>
    </w:tbl>
    <w:p w14:paraId="1842CF96">
      <w:pPr>
        <w:spacing w:line="360" w:lineRule="auto"/>
        <w:ind w:firstLine="435"/>
        <w:rPr>
          <w:rFonts w:ascii="宋体" w:hAnsi="宋体" w:eastAsia="宋体"/>
          <w:color w:val="auto"/>
          <w:sz w:val="24"/>
          <w:highlight w:val="none"/>
        </w:rPr>
      </w:pPr>
      <w:r>
        <w:rPr>
          <w:rFonts w:hint="eastAsia" w:ascii="宋体" w:hAnsi="宋体" w:eastAsia="宋体"/>
          <w:b/>
          <w:bCs/>
          <w:color w:val="auto"/>
          <w:sz w:val="24"/>
          <w:highlight w:val="none"/>
        </w:rPr>
        <w:t>符合性审查指标通过标准：</w:t>
      </w:r>
      <w:r>
        <w:rPr>
          <w:rFonts w:hint="eastAsia" w:ascii="宋体" w:hAnsi="宋体" w:eastAsia="宋体"/>
          <w:color w:val="auto"/>
          <w:sz w:val="24"/>
          <w:highlight w:val="none"/>
        </w:rPr>
        <w:t>投标人必须通过符合性审查表中的全部评审指标。</w:t>
      </w:r>
    </w:p>
    <w:p w14:paraId="56226217">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2.3</w:t>
      </w:r>
      <w:r>
        <w:rPr>
          <w:rFonts w:hint="eastAsia" w:asciiTheme="minorEastAsia" w:hAnsiTheme="minorEastAsia" w:eastAsiaTheme="minorEastAsia"/>
          <w:color w:val="auto"/>
          <w:sz w:val="24"/>
          <w:highlight w:val="none"/>
        </w:rPr>
        <w:t>异常低价投标审查</w:t>
      </w:r>
    </w:p>
    <w:tbl>
      <w:tblPr>
        <w:tblStyle w:val="27"/>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417"/>
        <w:gridCol w:w="4311"/>
        <w:gridCol w:w="2194"/>
      </w:tblGrid>
      <w:tr w14:paraId="7F91F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019F9D4">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s="Times New Roman"/>
                <w:b/>
                <w:bCs/>
                <w:color w:val="auto"/>
                <w:sz w:val="24"/>
                <w:highlight w:val="none"/>
              </w:rPr>
              <w:t>异常低价投标审查表</w:t>
            </w:r>
          </w:p>
        </w:tc>
      </w:tr>
      <w:tr w14:paraId="7C27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1E7B937D">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rPr>
              <w:t>序号</w:t>
            </w:r>
          </w:p>
        </w:tc>
        <w:tc>
          <w:tcPr>
            <w:tcW w:w="1450" w:type="dxa"/>
            <w:tcBorders>
              <w:bottom w:val="single" w:color="auto" w:sz="4" w:space="0"/>
            </w:tcBorders>
            <w:vAlign w:val="center"/>
          </w:tcPr>
          <w:p w14:paraId="05D5ED6B">
            <w:pPr>
              <w:spacing w:line="360" w:lineRule="auto"/>
              <w:ind w:firstLine="240" w:firstLineChars="100"/>
              <w:jc w:val="center"/>
              <w:rPr>
                <w:rFonts w:ascii="宋体" w:hAnsi="宋体" w:eastAsia="宋体"/>
                <w:color w:val="auto"/>
                <w:szCs w:val="24"/>
                <w:highlight w:val="none"/>
              </w:rPr>
            </w:pPr>
            <w:r>
              <w:rPr>
                <w:rFonts w:hint="eastAsia" w:ascii="宋体" w:hAnsi="宋体" w:eastAsia="宋体" w:cs="Times New Roman"/>
                <w:color w:val="auto"/>
                <w:sz w:val="24"/>
                <w:highlight w:val="none"/>
              </w:rPr>
              <w:t>评审指标</w:t>
            </w:r>
          </w:p>
        </w:tc>
        <w:tc>
          <w:tcPr>
            <w:tcW w:w="4439" w:type="dxa"/>
            <w:tcBorders>
              <w:bottom w:val="single" w:color="auto" w:sz="4" w:space="0"/>
            </w:tcBorders>
            <w:vAlign w:val="center"/>
          </w:tcPr>
          <w:p w14:paraId="7B01CE86">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rPr>
              <w:t>评审标准</w:t>
            </w:r>
          </w:p>
        </w:tc>
        <w:tc>
          <w:tcPr>
            <w:tcW w:w="2260" w:type="dxa"/>
            <w:tcBorders>
              <w:bottom w:val="single" w:color="auto" w:sz="4" w:space="0"/>
            </w:tcBorders>
            <w:vAlign w:val="center"/>
          </w:tcPr>
          <w:p w14:paraId="0F5CF4C7">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rPr>
              <w:t>格式及材料要求</w:t>
            </w:r>
          </w:p>
        </w:tc>
      </w:tr>
      <w:tr w14:paraId="2E5F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04214BC3">
            <w:pPr>
              <w:spacing w:line="360" w:lineRule="auto"/>
              <w:ind w:firstLine="240" w:firstLineChars="100"/>
              <w:rPr>
                <w:rFonts w:ascii="宋体" w:hAnsi="宋体" w:eastAsia="宋体" w:cs="宋体"/>
                <w:color w:val="auto"/>
                <w:sz w:val="24"/>
                <w:highlight w:val="none"/>
              </w:rPr>
            </w:pPr>
            <w:r>
              <w:rPr>
                <w:rFonts w:hint="eastAsia" w:ascii="宋体" w:hAnsi="宋体" w:eastAsia="宋体" w:cs="宋体"/>
                <w:color w:val="auto"/>
                <w:sz w:val="24"/>
                <w:highlight w:val="none"/>
              </w:rPr>
              <w:t>1</w:t>
            </w:r>
          </w:p>
        </w:tc>
        <w:tc>
          <w:tcPr>
            <w:tcW w:w="1450" w:type="dxa"/>
            <w:tcBorders>
              <w:bottom w:val="single" w:color="auto" w:sz="4" w:space="0"/>
            </w:tcBorders>
            <w:vAlign w:val="center"/>
          </w:tcPr>
          <w:p w14:paraId="0C6426D3">
            <w:pPr>
              <w:spacing w:line="360" w:lineRule="auto"/>
              <w:rPr>
                <w:rFonts w:ascii="宋体" w:hAnsi="宋体" w:eastAsia="宋体" w:cs="宋体"/>
                <w:color w:val="auto"/>
                <w:sz w:val="24"/>
                <w:szCs w:val="28"/>
                <w:highlight w:val="none"/>
              </w:rPr>
            </w:pPr>
            <w:r>
              <w:rPr>
                <w:rFonts w:hint="eastAsia" w:ascii="宋体" w:hAnsi="宋体" w:eastAsia="宋体" w:cs="宋体"/>
                <w:color w:val="auto"/>
                <w:sz w:val="24"/>
                <w:highlight w:val="none"/>
              </w:rPr>
              <w:t>异常低价投标审查</w:t>
            </w:r>
          </w:p>
        </w:tc>
        <w:tc>
          <w:tcPr>
            <w:tcW w:w="4439" w:type="dxa"/>
            <w:tcBorders>
              <w:bottom w:val="single" w:color="auto" w:sz="4" w:space="0"/>
            </w:tcBorders>
            <w:vAlign w:val="center"/>
          </w:tcPr>
          <w:p w14:paraId="79321BD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（1）投标报价＜全部通过符合性审查投标人投标报价平均值×</w:t>
            </w:r>
            <w:r>
              <w:rPr>
                <w:rFonts w:hint="eastAsia" w:ascii="宋体" w:hAnsi="宋体" w:eastAsia="宋体" w:cs="宋体"/>
                <w:color w:val="auto"/>
                <w:sz w:val="24"/>
                <w:szCs w:val="24"/>
                <w:highlight w:val="none"/>
                <w:u w:val="single"/>
              </w:rPr>
              <w:t>65%</w:t>
            </w:r>
            <w:r>
              <w:rPr>
                <w:rFonts w:hint="eastAsia" w:ascii="宋体" w:hAnsi="宋体" w:eastAsia="宋体" w:cs="宋体"/>
                <w:color w:val="auto"/>
                <w:sz w:val="24"/>
                <w:szCs w:val="24"/>
                <w:highlight w:val="none"/>
              </w:rPr>
              <w:t>；</w:t>
            </w:r>
          </w:p>
          <w:p w14:paraId="12638B09">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（2）投标报价＜通过符合性审查的次低报价投标人投标报价×</w:t>
            </w:r>
            <w:r>
              <w:rPr>
                <w:rFonts w:hint="eastAsia" w:ascii="宋体" w:hAnsi="宋体" w:eastAsia="宋体" w:cs="宋体"/>
                <w:color w:val="auto"/>
                <w:sz w:val="24"/>
                <w:szCs w:val="24"/>
                <w:highlight w:val="none"/>
                <w:u w:val="single"/>
              </w:rPr>
              <w:t>65%</w:t>
            </w:r>
            <w:r>
              <w:rPr>
                <w:rFonts w:hint="eastAsia" w:ascii="宋体" w:hAnsi="宋体" w:eastAsia="宋体" w:cs="宋体"/>
                <w:color w:val="auto"/>
                <w:sz w:val="24"/>
                <w:szCs w:val="24"/>
                <w:highlight w:val="none"/>
              </w:rPr>
              <w:t>；</w:t>
            </w:r>
          </w:p>
          <w:p w14:paraId="0FD99018">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（3）投标报价＜采购项目最高限价（</w:t>
            </w:r>
            <w:r>
              <w:rPr>
                <w:rFonts w:hint="eastAsia" w:ascii="宋体" w:hAnsi="宋体" w:eastAsia="宋体" w:cs="宋体"/>
                <w:color w:val="auto"/>
                <w:sz w:val="24"/>
                <w:highlight w:val="none"/>
              </w:rPr>
              <w:t>如采购项目未设定最高限价的，以采购项目预算金额作为最高限价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65%</w:t>
            </w:r>
            <w:r>
              <w:rPr>
                <w:rFonts w:hint="eastAsia" w:ascii="宋体" w:hAnsi="宋体" w:eastAsia="宋体" w:cs="宋体"/>
                <w:color w:val="auto"/>
                <w:sz w:val="24"/>
                <w:szCs w:val="24"/>
                <w:highlight w:val="none"/>
              </w:rPr>
              <w:t>；</w:t>
            </w:r>
          </w:p>
          <w:p w14:paraId="2879A88F">
            <w:pPr>
              <w:pStyle w:val="8"/>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（4）评标委员会基于专业判断，认为投标人报价过低，有可能影响产品质量或者不能诚信履约的其他情形。</w:t>
            </w:r>
          </w:p>
          <w:p w14:paraId="5E44467F">
            <w:pPr>
              <w:pStyle w:val="8"/>
              <w:spacing w:line="360" w:lineRule="auto"/>
              <w:rPr>
                <w:rFonts w:ascii="宋体" w:hAnsi="宋体" w:eastAsia="宋体" w:cs="宋体"/>
                <w:b/>
                <w:bCs/>
                <w:color w:val="auto"/>
                <w:sz w:val="24"/>
                <w:highlight w:val="none"/>
              </w:rPr>
            </w:pPr>
            <w:r>
              <w:rPr>
                <w:rFonts w:hint="eastAsia" w:ascii="宋体" w:hAnsi="宋体" w:eastAsia="宋体" w:cs="宋体"/>
                <w:b/>
                <w:bCs/>
                <w:color w:val="auto"/>
                <w:sz w:val="24"/>
                <w:highlight w:val="none"/>
              </w:rPr>
              <w:t>提醒：</w:t>
            </w:r>
          </w:p>
          <w:p w14:paraId="7C515A16">
            <w:pPr>
              <w:pStyle w:val="8"/>
              <w:spacing w:line="360" w:lineRule="auto"/>
              <w:rPr>
                <w:rFonts w:ascii="宋体" w:hAnsi="宋体" w:eastAsia="宋体" w:cs="宋体"/>
                <w:color w:val="auto"/>
                <w:sz w:val="24"/>
                <w:highlight w:val="none"/>
              </w:rPr>
            </w:pPr>
            <w:r>
              <w:rPr>
                <w:rFonts w:hint="eastAsia" w:ascii="宋体" w:hAnsi="宋体" w:eastAsia="宋体" w:cs="宋体"/>
                <w:color w:val="auto"/>
                <w:sz w:val="24"/>
                <w:highlight w:val="none"/>
              </w:rPr>
              <w:t>上述</w:t>
            </w:r>
            <w:r>
              <w:rPr>
                <w:rFonts w:hint="eastAsia" w:ascii="宋体" w:hAnsi="宋体" w:eastAsia="宋体"/>
                <w:color w:val="auto"/>
                <w:sz w:val="24"/>
                <w:highlight w:val="none"/>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57FA0A08">
            <w:pPr>
              <w:spacing w:line="360" w:lineRule="auto"/>
              <w:ind w:firstLine="240" w:firstLineChars="100"/>
              <w:rPr>
                <w:rFonts w:ascii="宋体" w:hAnsi="宋体" w:eastAsia="宋体" w:cs="宋体"/>
                <w:color w:val="auto"/>
                <w:sz w:val="24"/>
                <w:highlight w:val="none"/>
              </w:rPr>
            </w:pPr>
            <w:r>
              <w:rPr>
                <w:rFonts w:hint="eastAsia" w:ascii="宋体" w:hAnsi="宋体" w:eastAsia="宋体" w:cs="宋体"/>
                <w:color w:val="auto"/>
                <w:sz w:val="24"/>
                <w:highlight w:val="none"/>
              </w:rPr>
              <w:t>投标人在评审现场合理的时间内对投标价格作出解释，提供项目具体成本测算等与报价合理性相关的书面说明及必要的证明材料，包括但不限于原材料成本、人工成本、制造费用等。</w:t>
            </w:r>
          </w:p>
        </w:tc>
      </w:tr>
    </w:tbl>
    <w:p w14:paraId="2A8E46BB">
      <w:pPr>
        <w:spacing w:line="360" w:lineRule="auto"/>
        <w:rPr>
          <w:rFonts w:ascii="宋体" w:hAnsi="宋体" w:eastAsia="宋体" w:cs="Arial"/>
          <w:color w:val="auto"/>
          <w:sz w:val="24"/>
          <w:highlight w:val="none"/>
        </w:rPr>
      </w:pPr>
      <w:r>
        <w:rPr>
          <w:rFonts w:hint="eastAsia" w:ascii="宋体" w:hAnsi="宋体" w:eastAsia="宋体" w:cs="Times New Roman"/>
          <w:color w:val="auto"/>
          <w:sz w:val="24"/>
          <w:highlight w:val="none"/>
        </w:rPr>
        <w:t>注：</w:t>
      </w:r>
    </w:p>
    <w:p w14:paraId="2F3C2C81">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w:t>
      </w:r>
      <w:r>
        <w:rPr>
          <w:rFonts w:ascii="宋体" w:hAnsi="宋体" w:eastAsia="宋体"/>
          <w:color w:val="auto"/>
          <w:sz w:val="24"/>
          <w:highlight w:val="none"/>
        </w:rPr>
        <w:t>202</w:t>
      </w:r>
      <w:r>
        <w:rPr>
          <w:rFonts w:hint="eastAsia" w:ascii="宋体" w:hAnsi="宋体" w:eastAsia="宋体"/>
          <w:color w:val="auto"/>
          <w:sz w:val="24"/>
          <w:highlight w:val="none"/>
        </w:rPr>
        <w:t>6</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号</w:t>
      </w:r>
      <w:r>
        <w:rPr>
          <w:rFonts w:hint="eastAsia" w:ascii="宋体" w:hAnsi="宋体" w:eastAsia="宋体"/>
          <w:color w:val="auto"/>
          <w:sz w:val="24"/>
          <w:highlight w:val="none"/>
        </w:rPr>
        <w:t>），采购人可以结合具体项目实际情况，提高上述</w:t>
      </w:r>
      <w:r>
        <w:rPr>
          <w:rFonts w:hint="eastAsia" w:ascii="宋体" w:hAnsi="宋体" w:eastAsia="宋体" w:cs="Times New Roman"/>
          <w:color w:val="auto"/>
          <w:sz w:val="24"/>
          <w:highlight w:val="none"/>
        </w:rPr>
        <w:t>评审标准</w:t>
      </w:r>
      <w:r>
        <w:rPr>
          <w:rFonts w:hint="eastAsia" w:ascii="宋体" w:hAnsi="宋体" w:eastAsia="宋体"/>
          <w:color w:val="auto"/>
          <w:sz w:val="24"/>
          <w:highlight w:val="none"/>
        </w:rPr>
        <w:t>第（1）项至第（3）项中的数值标准，但是最高不得超过65%。</w:t>
      </w:r>
    </w:p>
    <w:p w14:paraId="32843006">
      <w:pPr>
        <w:spacing w:line="360" w:lineRule="auto"/>
        <w:ind w:firstLine="480" w:firstLineChars="200"/>
        <w:rPr>
          <w:rFonts w:ascii="宋体" w:hAnsi="宋体" w:eastAsia="宋体" w:cs="Arial"/>
          <w:color w:val="auto"/>
          <w:sz w:val="24"/>
          <w:highlight w:val="none"/>
        </w:rPr>
      </w:pPr>
      <w:r>
        <w:rPr>
          <w:rFonts w:hint="eastAsia" w:ascii="宋体" w:hAnsi="宋体" w:eastAsia="宋体" w:cs="Arial"/>
          <w:color w:val="auto"/>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rPr>
        <w:t>（3）</w:t>
      </w:r>
      <w:r>
        <w:rPr>
          <w:rFonts w:hint="eastAsia" w:ascii="宋体" w:hAnsi="宋体" w:eastAsia="宋体" w:cs="Arial"/>
          <w:color w:val="auto"/>
          <w:sz w:val="24"/>
          <w:highlight w:val="none"/>
        </w:rPr>
        <w:t>项情形，投标人已随投标文件一并提交相关书面说明及必要的证明材料的，在评审现场可不再重复提交。</w:t>
      </w:r>
    </w:p>
    <w:p w14:paraId="143323E2">
      <w:pPr>
        <w:pStyle w:val="8"/>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color w:val="auto"/>
          <w:sz w:val="24"/>
          <w:highlight w:val="none"/>
        </w:rPr>
        <w:t>无效投标</w:t>
      </w:r>
      <w:r>
        <w:rPr>
          <w:rFonts w:hint="eastAsia" w:ascii="宋体" w:hAnsi="宋体" w:eastAsia="宋体"/>
          <w:color w:val="auto"/>
          <w:sz w:val="24"/>
          <w:highlight w:val="none"/>
        </w:rPr>
        <w:t>处理。</w:t>
      </w:r>
    </w:p>
    <w:p w14:paraId="08F45671">
      <w:pPr>
        <w:pStyle w:val="8"/>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20A4EF84">
      <w:pPr>
        <w:spacing w:line="360" w:lineRule="auto"/>
        <w:ind w:firstLine="437"/>
        <w:outlineLvl w:val="2"/>
        <w:rPr>
          <w:rFonts w:ascii="宋体" w:hAnsi="宋体" w:eastAsia="宋体"/>
          <w:color w:val="auto"/>
          <w:sz w:val="24"/>
          <w:highlight w:val="none"/>
        </w:rPr>
      </w:pPr>
      <w:r>
        <w:rPr>
          <w:rFonts w:hint="eastAsia" w:ascii="宋体" w:hAnsi="宋体" w:eastAsia="宋体"/>
          <w:color w:val="auto"/>
          <w:sz w:val="24"/>
          <w:highlight w:val="none"/>
        </w:rPr>
        <w:t>2.4详细审查</w:t>
      </w:r>
    </w:p>
    <w:p w14:paraId="728552D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2.4.1评标委员会按照下表对投标文件进行详细审查和评分。</w:t>
      </w:r>
    </w:p>
    <w:p w14:paraId="7FC83C0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2.4.2本项目综合评分满分为100分，其中：</w:t>
      </w:r>
      <w:r>
        <w:rPr>
          <w:rFonts w:hint="eastAsia" w:ascii="宋体" w:hAnsi="宋体" w:eastAsia="宋体"/>
          <w:color w:val="auto"/>
          <w:sz w:val="24"/>
          <w:highlight w:val="none"/>
        </w:rPr>
        <w:t>资信分值占总分值的权重为</w:t>
      </w:r>
      <w:r>
        <w:rPr>
          <w:rFonts w:hint="eastAsia" w:ascii="宋体" w:hAnsi="宋体" w:eastAsia="宋体"/>
          <w:color w:val="auto"/>
          <w:sz w:val="24"/>
          <w:highlight w:val="none"/>
          <w:u w:val="single"/>
          <w:lang w:val="en-US" w:eastAsia="zh-CN"/>
        </w:rPr>
        <w:t>16</w:t>
      </w:r>
      <w:r>
        <w:rPr>
          <w:rFonts w:ascii="宋体" w:hAnsi="宋体" w:eastAsia="宋体"/>
          <w:color w:val="auto"/>
          <w:sz w:val="24"/>
          <w:highlight w:val="none"/>
        </w:rPr>
        <w:t>%，</w:t>
      </w:r>
      <w:r>
        <w:rPr>
          <w:rFonts w:hint="eastAsia" w:ascii="宋体" w:hAnsi="宋体" w:eastAsia="宋体"/>
          <w:color w:val="auto"/>
          <w:sz w:val="24"/>
          <w:highlight w:val="none"/>
        </w:rPr>
        <w:t>技术分值占总分值的权重为</w:t>
      </w:r>
      <w:r>
        <w:rPr>
          <w:rFonts w:hint="eastAsia" w:ascii="宋体" w:hAnsi="宋体" w:eastAsia="宋体"/>
          <w:color w:val="auto"/>
          <w:sz w:val="24"/>
          <w:highlight w:val="none"/>
          <w:u w:val="single"/>
          <w:lang w:val="en-US" w:eastAsia="zh-CN"/>
        </w:rPr>
        <w:t>54</w:t>
      </w:r>
      <w:r>
        <w:rPr>
          <w:rFonts w:ascii="宋体" w:hAnsi="宋体" w:eastAsia="宋体"/>
          <w:color w:val="auto"/>
          <w:sz w:val="24"/>
          <w:highlight w:val="none"/>
        </w:rPr>
        <w:t>%</w:t>
      </w:r>
      <w:r>
        <w:rPr>
          <w:rFonts w:hint="eastAsia" w:ascii="宋体" w:hAnsi="宋体" w:eastAsia="宋体"/>
          <w:color w:val="auto"/>
          <w:sz w:val="24"/>
          <w:highlight w:val="none"/>
        </w:rPr>
        <w:t>，价格分值占总分值的权重为</w:t>
      </w:r>
      <w:r>
        <w:rPr>
          <w:rFonts w:hint="eastAsia" w:ascii="宋体" w:hAnsi="宋体" w:eastAsia="宋体"/>
          <w:color w:val="auto"/>
          <w:sz w:val="24"/>
          <w:highlight w:val="none"/>
          <w:u w:val="single"/>
          <w:lang w:val="en-US" w:eastAsia="zh-CN"/>
        </w:rPr>
        <w:t>3</w:t>
      </w:r>
      <w:r>
        <w:rPr>
          <w:rFonts w:hint="eastAsia" w:ascii="宋体" w:hAnsi="宋体" w:eastAsia="宋体"/>
          <w:color w:val="auto"/>
          <w:sz w:val="24"/>
          <w:highlight w:val="none"/>
          <w:u w:val="single"/>
        </w:rPr>
        <w:t>0</w:t>
      </w:r>
      <w:r>
        <w:rPr>
          <w:rFonts w:hint="eastAsia" w:ascii="宋体" w:hAnsi="宋体" w:eastAsia="宋体"/>
          <w:color w:val="auto"/>
          <w:sz w:val="24"/>
          <w:highlight w:val="none"/>
        </w:rPr>
        <w:t>%。</w:t>
      </w:r>
      <w:r>
        <w:rPr>
          <w:rFonts w:hint="eastAsia" w:ascii="宋体" w:hAnsi="宋体" w:eastAsia="宋体"/>
          <w:color w:val="auto"/>
          <w:sz w:val="24"/>
          <w:highlight w:val="none"/>
        </w:rPr>
        <w:t>具体评分细则如下：</w:t>
      </w:r>
    </w:p>
    <w:tbl>
      <w:tblPr>
        <w:tblStyle w:val="27"/>
        <w:tblW w:w="9346"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30"/>
        <w:gridCol w:w="1106"/>
        <w:gridCol w:w="6465"/>
        <w:gridCol w:w="945"/>
      </w:tblGrid>
      <w:tr w14:paraId="796C81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trPr>
        <w:tc>
          <w:tcPr>
            <w:tcW w:w="830" w:type="dxa"/>
            <w:tcBorders>
              <w:top w:val="single" w:color="auto" w:sz="2" w:space="0"/>
              <w:left w:val="single" w:color="auto" w:sz="2" w:space="0"/>
              <w:bottom w:val="single" w:color="auto" w:sz="4" w:space="0"/>
              <w:right w:val="single" w:color="auto" w:sz="2" w:space="0"/>
            </w:tcBorders>
            <w:vAlign w:val="center"/>
          </w:tcPr>
          <w:p w14:paraId="3FB2BEDE">
            <w:pPr>
              <w:pStyle w:val="49"/>
              <w:keepNext w:val="0"/>
              <w:keepLines w:val="0"/>
              <w:pageBreakBefore w:val="0"/>
              <w:kinsoku/>
              <w:wordWrap/>
              <w:overflowPunct/>
              <w:topLinePunct w:val="0"/>
              <w:autoSpaceDE/>
              <w:autoSpaceDN/>
              <w:bidi w:val="0"/>
              <w:adjustRightInd/>
              <w:snapToGrid/>
              <w:spacing w:line="400" w:lineRule="exact"/>
              <w:ind w:left="189"/>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类别</w:t>
            </w:r>
          </w:p>
        </w:tc>
        <w:tc>
          <w:tcPr>
            <w:tcW w:w="1106" w:type="dxa"/>
            <w:tcBorders>
              <w:top w:val="single" w:color="auto" w:sz="2" w:space="0"/>
              <w:left w:val="single" w:color="auto" w:sz="2" w:space="0"/>
              <w:bottom w:val="single" w:color="auto" w:sz="4" w:space="0"/>
              <w:right w:val="single" w:color="auto" w:sz="2" w:space="0"/>
            </w:tcBorders>
            <w:vAlign w:val="center"/>
          </w:tcPr>
          <w:p w14:paraId="47510FA8">
            <w:pPr>
              <w:pStyle w:val="4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评分内容</w:t>
            </w:r>
          </w:p>
        </w:tc>
        <w:tc>
          <w:tcPr>
            <w:tcW w:w="6465" w:type="dxa"/>
            <w:tcBorders>
              <w:top w:val="single" w:color="auto" w:sz="2" w:space="0"/>
              <w:left w:val="single" w:color="auto" w:sz="2" w:space="0"/>
              <w:bottom w:val="single" w:color="auto" w:sz="4" w:space="0"/>
              <w:right w:val="single" w:color="auto" w:sz="2" w:space="0"/>
            </w:tcBorders>
            <w:vAlign w:val="center"/>
          </w:tcPr>
          <w:p w14:paraId="0BD2850A">
            <w:pPr>
              <w:pStyle w:val="4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c>
          <w:tcPr>
            <w:tcW w:w="945" w:type="dxa"/>
            <w:tcBorders>
              <w:top w:val="single" w:color="auto" w:sz="2" w:space="0"/>
              <w:left w:val="single" w:color="auto" w:sz="2" w:space="0"/>
              <w:bottom w:val="single" w:color="auto" w:sz="4" w:space="0"/>
              <w:right w:val="single" w:color="auto" w:sz="2" w:space="0"/>
            </w:tcBorders>
            <w:vAlign w:val="center"/>
          </w:tcPr>
          <w:p w14:paraId="26467E6A">
            <w:pPr>
              <w:pStyle w:val="49"/>
              <w:keepNext w:val="0"/>
              <w:keepLines w:val="0"/>
              <w:pageBreakBefore w:val="0"/>
              <w:kinsoku/>
              <w:wordWrap/>
              <w:overflowPunct/>
              <w:topLinePunct w:val="0"/>
              <w:autoSpaceDE/>
              <w:autoSpaceDN/>
              <w:bidi w:val="0"/>
              <w:adjustRightInd/>
              <w:snapToGrid/>
              <w:spacing w:line="400" w:lineRule="exact"/>
              <w:ind w:left="12"/>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分值范围</w:t>
            </w:r>
          </w:p>
        </w:tc>
      </w:tr>
      <w:tr w14:paraId="5B6C29E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trPr>
        <w:tc>
          <w:tcPr>
            <w:tcW w:w="830" w:type="dxa"/>
            <w:vMerge w:val="restart"/>
            <w:tcBorders>
              <w:top w:val="single" w:color="auto" w:sz="2" w:space="0"/>
              <w:left w:val="single" w:color="auto" w:sz="2" w:space="0"/>
              <w:right w:val="single" w:color="auto" w:sz="2" w:space="0"/>
            </w:tcBorders>
            <w:vAlign w:val="center"/>
          </w:tcPr>
          <w:p w14:paraId="52B7832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652FE0CF">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78D05D6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6C9B5FE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1FBBF385">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087A08DD">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4CB2CE1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02983C7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2554765A">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p w14:paraId="344D1B5D">
            <w:pPr>
              <w:pStyle w:val="49"/>
              <w:keepNext w:val="0"/>
              <w:keepLines w:val="0"/>
              <w:pageBreakBefore w:val="0"/>
              <w:kinsoku/>
              <w:wordWrap/>
              <w:overflowPunct/>
              <w:topLinePunct w:val="0"/>
              <w:autoSpaceDE/>
              <w:autoSpaceDN/>
              <w:bidi w:val="0"/>
              <w:adjustRightInd/>
              <w:snapToGrid/>
              <w:spacing w:line="400" w:lineRule="exact"/>
              <w:ind w:left="160" w:right="134" w:hanging="6"/>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w:t>
            </w:r>
          </w:p>
          <w:p w14:paraId="0D1F7FE7">
            <w:pPr>
              <w:pStyle w:val="49"/>
              <w:keepNext w:val="0"/>
              <w:keepLines w:val="0"/>
              <w:pageBreakBefore w:val="0"/>
              <w:kinsoku/>
              <w:wordWrap/>
              <w:overflowPunct/>
              <w:topLinePunct w:val="0"/>
              <w:autoSpaceDE/>
              <w:autoSpaceDN/>
              <w:bidi w:val="0"/>
              <w:adjustRightInd/>
              <w:snapToGrid/>
              <w:spacing w:line="400" w:lineRule="exact"/>
              <w:ind w:left="160" w:right="134" w:hanging="6"/>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术</w:t>
            </w:r>
          </w:p>
          <w:p w14:paraId="0C7A6E7A">
            <w:pPr>
              <w:pStyle w:val="49"/>
              <w:keepNext w:val="0"/>
              <w:keepLines w:val="0"/>
              <w:pageBreakBefore w:val="0"/>
              <w:kinsoku/>
              <w:wordWrap/>
              <w:overflowPunct/>
              <w:topLinePunct w:val="0"/>
              <w:autoSpaceDE/>
              <w:autoSpaceDN/>
              <w:bidi w:val="0"/>
              <w:adjustRightInd/>
              <w:snapToGrid/>
              <w:spacing w:line="400" w:lineRule="exact"/>
              <w:ind w:left="160" w:right="134" w:hanging="6"/>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w:t>
            </w:r>
          </w:p>
          <w:p w14:paraId="4FED0294">
            <w:pPr>
              <w:pStyle w:val="49"/>
              <w:keepNext w:val="0"/>
              <w:keepLines w:val="0"/>
              <w:pageBreakBefore w:val="0"/>
              <w:kinsoku/>
              <w:wordWrap/>
              <w:overflowPunct/>
              <w:topLinePunct w:val="0"/>
              <w:autoSpaceDE/>
              <w:autoSpaceDN/>
              <w:bidi w:val="0"/>
              <w:adjustRightInd/>
              <w:snapToGrid/>
              <w:spacing w:line="400" w:lineRule="exact"/>
              <w:ind w:left="160" w:right="134" w:hanging="6"/>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w:t>
            </w:r>
          </w:p>
          <w:p w14:paraId="5288D3D0">
            <w:pPr>
              <w:pStyle w:val="49"/>
              <w:keepNext w:val="0"/>
              <w:keepLines w:val="0"/>
              <w:pageBreakBefore w:val="0"/>
              <w:kinsoku/>
              <w:wordWrap/>
              <w:overflowPunct/>
              <w:topLinePunct w:val="0"/>
              <w:autoSpaceDE/>
              <w:autoSpaceDN/>
              <w:bidi w:val="0"/>
              <w:adjustRightInd/>
              <w:snapToGrid/>
              <w:spacing w:line="400" w:lineRule="exact"/>
              <w:ind w:left="160" w:right="134" w:hanging="6"/>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w:t>
            </w:r>
          </w:p>
          <w:p w14:paraId="6632A98D">
            <w:pPr>
              <w:pStyle w:val="49"/>
              <w:keepNext w:val="0"/>
              <w:keepLines w:val="0"/>
              <w:pageBreakBefore w:val="0"/>
              <w:kinsoku/>
              <w:wordWrap/>
              <w:overflowPunct/>
              <w:topLinePunct w:val="0"/>
              <w:autoSpaceDE/>
              <w:autoSpaceDN/>
              <w:bidi w:val="0"/>
              <w:adjustRightInd/>
              <w:snapToGrid/>
              <w:spacing w:line="400" w:lineRule="exact"/>
              <w:ind w:left="161" w:right="129" w:firstLine="8"/>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lang w:eastAsia="zh-CN"/>
              </w:rPr>
              <w:t>0</w:t>
            </w:r>
            <w:r>
              <w:rPr>
                <w:rFonts w:hint="eastAsia" w:ascii="宋体" w:hAnsi="宋体" w:eastAsia="宋体" w:cs="宋体"/>
                <w:color w:val="auto"/>
                <w:sz w:val="24"/>
                <w:szCs w:val="24"/>
                <w:highlight w:val="none"/>
              </w:rPr>
              <w:t>分</w:t>
            </w:r>
          </w:p>
          <w:p w14:paraId="409F8201">
            <w:pPr>
              <w:pStyle w:val="49"/>
              <w:keepNext w:val="0"/>
              <w:keepLines w:val="0"/>
              <w:pageBreakBefore w:val="0"/>
              <w:kinsoku/>
              <w:wordWrap/>
              <w:overflowPunct/>
              <w:topLinePunct w:val="0"/>
              <w:autoSpaceDE/>
              <w:autoSpaceDN/>
              <w:bidi w:val="0"/>
              <w:adjustRightInd/>
              <w:snapToGrid/>
              <w:spacing w:line="400" w:lineRule="exact"/>
              <w:ind w:left="161" w:right="129" w:firstLine="8"/>
              <w:jc w:val="center"/>
              <w:textAlignment w:val="auto"/>
              <w:rPr>
                <w:rFonts w:hint="eastAsia" w:ascii="宋体" w:hAnsi="宋体" w:eastAsia="宋体" w:cs="宋体"/>
                <w:color w:val="auto"/>
                <w:sz w:val="24"/>
                <w:szCs w:val="24"/>
                <w:highlight w:val="none"/>
              </w:rPr>
            </w:pPr>
          </w:p>
        </w:tc>
        <w:tc>
          <w:tcPr>
            <w:tcW w:w="8516" w:type="dxa"/>
            <w:gridSpan w:val="3"/>
            <w:tcBorders>
              <w:top w:val="single" w:color="auto" w:sz="2" w:space="0"/>
              <w:left w:val="single" w:color="auto" w:sz="2" w:space="0"/>
              <w:bottom w:val="single" w:color="auto" w:sz="4" w:space="0"/>
              <w:right w:val="single" w:color="auto" w:sz="2" w:space="0"/>
            </w:tcBorders>
            <w:vAlign w:val="center"/>
          </w:tcPr>
          <w:p w14:paraId="424B3CE6">
            <w:pPr>
              <w:pStyle w:val="49"/>
              <w:keepNext w:val="0"/>
              <w:keepLines w:val="0"/>
              <w:pageBreakBefore w:val="0"/>
              <w:kinsoku/>
              <w:wordWrap/>
              <w:overflowPunct/>
              <w:topLinePunct w:val="0"/>
              <w:autoSpaceDE/>
              <w:autoSpaceDN/>
              <w:bidi w:val="0"/>
              <w:adjustRightInd/>
              <w:snapToGrid/>
              <w:spacing w:line="400" w:lineRule="exact"/>
              <w:ind w:left="12"/>
              <w:jc w:val="center"/>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资信部分（</w:t>
            </w:r>
            <w:r>
              <w:rPr>
                <w:rFonts w:hint="eastAsia" w:ascii="宋体" w:hAnsi="宋体" w:eastAsia="宋体" w:cs="宋体"/>
                <w:b/>
                <w:bCs/>
                <w:color w:val="auto"/>
                <w:sz w:val="24"/>
                <w:szCs w:val="24"/>
                <w:highlight w:val="none"/>
                <w:lang w:val="en-US" w:eastAsia="zh-CN"/>
              </w:rPr>
              <w:t>16</w:t>
            </w:r>
            <w:r>
              <w:rPr>
                <w:rFonts w:hint="eastAsia" w:ascii="宋体" w:hAnsi="宋体" w:eastAsia="宋体" w:cs="宋体"/>
                <w:b/>
                <w:bCs/>
                <w:color w:val="auto"/>
                <w:sz w:val="24"/>
                <w:szCs w:val="24"/>
                <w:highlight w:val="none"/>
                <w:lang w:eastAsia="zh-CN"/>
              </w:rPr>
              <w:t>分）</w:t>
            </w:r>
          </w:p>
        </w:tc>
      </w:tr>
      <w:tr w14:paraId="6C6B48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34" w:hRule="atLeast"/>
        </w:trPr>
        <w:tc>
          <w:tcPr>
            <w:tcW w:w="830" w:type="dxa"/>
            <w:vMerge w:val="continue"/>
            <w:tcBorders>
              <w:left w:val="single" w:color="auto" w:sz="2" w:space="0"/>
              <w:right w:val="single" w:color="auto" w:sz="2" w:space="0"/>
            </w:tcBorders>
            <w:vAlign w:val="center"/>
          </w:tcPr>
          <w:p w14:paraId="5F9087C4">
            <w:pPr>
              <w:pStyle w:val="49"/>
              <w:keepNext w:val="0"/>
              <w:keepLines w:val="0"/>
              <w:pageBreakBefore w:val="0"/>
              <w:kinsoku/>
              <w:wordWrap/>
              <w:overflowPunct/>
              <w:topLinePunct w:val="0"/>
              <w:autoSpaceDE/>
              <w:autoSpaceDN/>
              <w:bidi w:val="0"/>
              <w:adjustRightInd/>
              <w:snapToGrid/>
              <w:spacing w:line="400" w:lineRule="exact"/>
              <w:ind w:left="161" w:right="129" w:firstLine="8"/>
              <w:jc w:val="center"/>
              <w:textAlignment w:val="auto"/>
              <w:rPr>
                <w:rFonts w:hint="eastAsia" w:ascii="宋体" w:hAnsi="宋体" w:eastAsia="宋体" w:cs="宋体"/>
                <w:color w:val="auto"/>
                <w:sz w:val="24"/>
                <w:szCs w:val="24"/>
                <w:highlight w:val="none"/>
              </w:rPr>
            </w:pPr>
          </w:p>
        </w:tc>
        <w:tc>
          <w:tcPr>
            <w:tcW w:w="1106" w:type="dxa"/>
            <w:tcBorders>
              <w:top w:val="single" w:color="auto" w:sz="4" w:space="0"/>
              <w:left w:val="single" w:color="auto" w:sz="2" w:space="0"/>
              <w:bottom w:val="single" w:color="auto" w:sz="4" w:space="0"/>
              <w:right w:val="single" w:color="auto" w:sz="2" w:space="0"/>
            </w:tcBorders>
            <w:vAlign w:val="center"/>
          </w:tcPr>
          <w:p w14:paraId="46B545E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企业业绩</w:t>
            </w:r>
          </w:p>
          <w:p w14:paraId="3348087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p>
        </w:tc>
        <w:tc>
          <w:tcPr>
            <w:tcW w:w="6465" w:type="dxa"/>
            <w:tcBorders>
              <w:top w:val="single" w:color="auto" w:sz="4" w:space="0"/>
              <w:left w:val="single" w:color="auto" w:sz="2" w:space="0"/>
              <w:bottom w:val="single" w:color="auto" w:sz="4" w:space="0"/>
              <w:right w:val="single" w:color="auto" w:sz="2" w:space="0"/>
            </w:tcBorders>
          </w:tcPr>
          <w:p w14:paraId="1ABF9F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zh-CN" w:eastAsia="zh-CN" w:bidi="ar"/>
              </w:rPr>
            </w:pPr>
            <w:r>
              <w:rPr>
                <w:rFonts w:hint="eastAsia" w:ascii="宋体" w:hAnsi="宋体" w:eastAsia="宋体" w:cs="宋体"/>
                <w:color w:val="auto"/>
                <w:kern w:val="0"/>
                <w:sz w:val="24"/>
                <w:szCs w:val="24"/>
                <w:highlight w:val="none"/>
                <w:lang w:val="zh-CN" w:eastAsia="zh-CN" w:bidi="ar"/>
              </w:rPr>
              <w:t>自202</w:t>
            </w: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zh-CN" w:eastAsia="zh-CN" w:bidi="ar"/>
              </w:rPr>
              <w:t>年1月1日</w:t>
            </w:r>
            <w:r>
              <w:rPr>
                <w:rFonts w:hint="eastAsia" w:ascii="宋体" w:hAnsi="宋体" w:eastAsia="宋体" w:cs="宋体"/>
                <w:color w:val="auto"/>
                <w:kern w:val="0"/>
                <w:sz w:val="24"/>
                <w:szCs w:val="24"/>
                <w:highlight w:val="none"/>
                <w:lang w:val="en-US" w:eastAsia="zh-CN" w:bidi="ar"/>
              </w:rPr>
              <w:t>至投标截止日（以合同签订时间为准）</w:t>
            </w:r>
            <w:r>
              <w:rPr>
                <w:rFonts w:hint="eastAsia" w:ascii="宋体" w:hAnsi="宋体" w:eastAsia="宋体" w:cs="宋体"/>
                <w:color w:val="auto"/>
                <w:kern w:val="0"/>
                <w:sz w:val="24"/>
                <w:szCs w:val="24"/>
                <w:highlight w:val="none"/>
                <w:lang w:val="zh-CN" w:eastAsia="zh-CN" w:bidi="ar"/>
              </w:rPr>
              <w:t>，投标人</w:t>
            </w:r>
            <w:r>
              <w:rPr>
                <w:rFonts w:hint="eastAsia" w:ascii="宋体" w:hAnsi="宋体" w:eastAsia="宋体" w:cs="宋体"/>
                <w:color w:val="auto"/>
                <w:kern w:val="0"/>
                <w:sz w:val="24"/>
                <w:szCs w:val="24"/>
                <w:highlight w:val="none"/>
                <w:lang w:val="en-US" w:eastAsia="zh-CN" w:bidi="ar"/>
              </w:rPr>
              <w:t>具有数据治理或数据中台或数据应用开发或办公OA相关项目业绩</w:t>
            </w:r>
            <w:r>
              <w:rPr>
                <w:rFonts w:hint="eastAsia" w:ascii="宋体" w:hAnsi="宋体" w:eastAsia="宋体" w:cs="宋体"/>
                <w:color w:val="auto"/>
                <w:kern w:val="0"/>
                <w:sz w:val="24"/>
                <w:szCs w:val="24"/>
                <w:highlight w:val="none"/>
                <w:lang w:val="zh-CN" w:eastAsia="zh-CN" w:bidi="ar"/>
              </w:rPr>
              <w:t>，每提供</w:t>
            </w:r>
            <w:r>
              <w:rPr>
                <w:rFonts w:hint="eastAsia" w:ascii="宋体" w:hAnsi="宋体" w:eastAsia="宋体" w:cs="宋体"/>
                <w:color w:val="auto"/>
                <w:kern w:val="0"/>
                <w:sz w:val="24"/>
                <w:szCs w:val="24"/>
                <w:highlight w:val="none"/>
                <w:lang w:val="en-US" w:eastAsia="zh-CN" w:bidi="ar"/>
              </w:rPr>
              <w:t>1个</w:t>
            </w:r>
            <w:r>
              <w:rPr>
                <w:rFonts w:hint="eastAsia" w:ascii="宋体" w:hAnsi="宋体" w:eastAsia="宋体" w:cs="宋体"/>
                <w:color w:val="auto"/>
                <w:kern w:val="0"/>
                <w:sz w:val="24"/>
                <w:szCs w:val="24"/>
                <w:highlight w:val="none"/>
                <w:lang w:val="zh-CN" w:eastAsia="zh-CN" w:bidi="ar"/>
              </w:rPr>
              <w:t>得</w:t>
            </w:r>
            <w:r>
              <w:rPr>
                <w:rFonts w:hint="eastAsia"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zh-CN" w:eastAsia="zh-CN" w:bidi="ar"/>
              </w:rPr>
              <w:t>分，</w:t>
            </w:r>
            <w:r>
              <w:rPr>
                <w:rFonts w:hint="eastAsia" w:ascii="宋体" w:hAnsi="宋体" w:eastAsia="宋体" w:cs="宋体"/>
                <w:color w:val="auto"/>
                <w:kern w:val="0"/>
                <w:sz w:val="24"/>
                <w:szCs w:val="24"/>
                <w:highlight w:val="none"/>
                <w:lang w:val="en-US" w:eastAsia="zh-CN" w:bidi="ar"/>
              </w:rPr>
              <w:t>其他的不得分，满分4分。</w:t>
            </w:r>
          </w:p>
          <w:p w14:paraId="538BBE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注：①投标文件中提供业绩合同扫描件及验收材料；若合同材料中无法体现签订时间、供货内容等关键评审因素的，须另附业主（合同甲方）出具的证明材料，未提供或提供不全的不得分。</w:t>
            </w:r>
          </w:p>
          <w:p w14:paraId="00EA5E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②提供的项目业绩只计算评标分值对应的项目数量，按照排列顺序从首个业绩开始评审至对应数量，超出部分不进行评审。对应数量内业绩不符合招标文件要求不得分的，不再补充评审超出部分业绩。如：提供2个业绩即得满分的，按照投标文件排序评审第一、第二项业绩，其余超出部分不再评审。</w:t>
            </w:r>
          </w:p>
        </w:tc>
        <w:tc>
          <w:tcPr>
            <w:tcW w:w="945" w:type="dxa"/>
            <w:tcBorders>
              <w:top w:val="single" w:color="auto" w:sz="4" w:space="0"/>
              <w:left w:val="single" w:color="auto" w:sz="2" w:space="0"/>
              <w:bottom w:val="single" w:color="auto" w:sz="4" w:space="0"/>
              <w:right w:val="single" w:color="auto" w:sz="4" w:space="0"/>
            </w:tcBorders>
            <w:vAlign w:val="center"/>
          </w:tcPr>
          <w:p w14:paraId="5BBFE97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0-4分</w:t>
            </w:r>
          </w:p>
        </w:tc>
      </w:tr>
      <w:tr w14:paraId="03E94D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4" w:hRule="atLeast"/>
        </w:trPr>
        <w:tc>
          <w:tcPr>
            <w:tcW w:w="830" w:type="dxa"/>
            <w:vMerge w:val="continue"/>
            <w:tcBorders>
              <w:left w:val="single" w:color="auto" w:sz="2" w:space="0"/>
              <w:right w:val="single" w:color="auto" w:sz="2" w:space="0"/>
            </w:tcBorders>
            <w:vAlign w:val="center"/>
          </w:tcPr>
          <w:p w14:paraId="6ABDB68C">
            <w:pPr>
              <w:pStyle w:val="49"/>
              <w:keepNext w:val="0"/>
              <w:keepLines w:val="0"/>
              <w:pageBreakBefore w:val="0"/>
              <w:kinsoku/>
              <w:wordWrap/>
              <w:overflowPunct/>
              <w:topLinePunct w:val="0"/>
              <w:autoSpaceDE/>
              <w:autoSpaceDN/>
              <w:bidi w:val="0"/>
              <w:adjustRightInd/>
              <w:snapToGrid/>
              <w:spacing w:line="400" w:lineRule="exact"/>
              <w:ind w:left="161" w:right="129" w:firstLine="8"/>
              <w:jc w:val="center"/>
              <w:textAlignment w:val="auto"/>
              <w:rPr>
                <w:rFonts w:hint="eastAsia" w:ascii="宋体" w:hAnsi="宋体" w:eastAsia="宋体" w:cs="宋体"/>
                <w:color w:val="auto"/>
                <w:sz w:val="24"/>
                <w:szCs w:val="24"/>
                <w:highlight w:val="none"/>
              </w:rPr>
            </w:pPr>
          </w:p>
        </w:tc>
        <w:tc>
          <w:tcPr>
            <w:tcW w:w="1106" w:type="dxa"/>
            <w:tcBorders>
              <w:top w:val="single" w:color="auto" w:sz="4" w:space="0"/>
              <w:left w:val="single" w:color="auto" w:sz="2" w:space="0"/>
              <w:bottom w:val="single" w:color="auto" w:sz="4" w:space="0"/>
              <w:right w:val="single" w:color="auto" w:sz="2" w:space="0"/>
            </w:tcBorders>
            <w:vAlign w:val="center"/>
          </w:tcPr>
          <w:p w14:paraId="0B1119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企业实力</w:t>
            </w:r>
          </w:p>
        </w:tc>
        <w:tc>
          <w:tcPr>
            <w:tcW w:w="6465" w:type="dxa"/>
            <w:tcBorders>
              <w:top w:val="single" w:color="auto" w:sz="4" w:space="0"/>
              <w:left w:val="single" w:color="auto" w:sz="2" w:space="0"/>
              <w:bottom w:val="single" w:color="auto" w:sz="4" w:space="0"/>
              <w:right w:val="single" w:color="auto" w:sz="2" w:space="0"/>
            </w:tcBorders>
            <w:vAlign w:val="center"/>
          </w:tcPr>
          <w:p w14:paraId="0DE5987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供应商具有与数据治理或数据应用开发或数据中台或办公OA相关的软件著作权，每提供1个得2分，最高得6分。著作权名称与上述内容实质相关即可，不要求名称完全一致。</w:t>
            </w:r>
          </w:p>
          <w:p w14:paraId="7C2ACB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证明材料包括软件著作权扫描件（需加盖投标人公章）。</w:t>
            </w:r>
          </w:p>
        </w:tc>
        <w:tc>
          <w:tcPr>
            <w:tcW w:w="945" w:type="dxa"/>
            <w:tcBorders>
              <w:top w:val="single" w:color="auto" w:sz="4" w:space="0"/>
              <w:left w:val="single" w:color="auto" w:sz="2" w:space="0"/>
              <w:bottom w:val="single" w:color="auto" w:sz="4" w:space="0"/>
              <w:right w:val="single" w:color="auto" w:sz="4" w:space="0"/>
            </w:tcBorders>
            <w:vAlign w:val="center"/>
          </w:tcPr>
          <w:p w14:paraId="78DAFB5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r>
      <w:tr w14:paraId="42554F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52" w:hRule="atLeast"/>
        </w:trPr>
        <w:tc>
          <w:tcPr>
            <w:tcW w:w="830" w:type="dxa"/>
            <w:vMerge w:val="continue"/>
            <w:tcBorders>
              <w:left w:val="single" w:color="auto" w:sz="2" w:space="0"/>
              <w:right w:val="single" w:color="auto" w:sz="2" w:space="0"/>
            </w:tcBorders>
            <w:vAlign w:val="center"/>
          </w:tcPr>
          <w:p w14:paraId="28430BC5">
            <w:pPr>
              <w:pStyle w:val="49"/>
              <w:keepNext w:val="0"/>
              <w:keepLines w:val="0"/>
              <w:pageBreakBefore w:val="0"/>
              <w:kinsoku/>
              <w:wordWrap/>
              <w:overflowPunct/>
              <w:topLinePunct w:val="0"/>
              <w:autoSpaceDE/>
              <w:autoSpaceDN/>
              <w:bidi w:val="0"/>
              <w:adjustRightInd/>
              <w:snapToGrid/>
              <w:spacing w:line="400" w:lineRule="exact"/>
              <w:ind w:left="161" w:right="129" w:firstLine="8"/>
              <w:jc w:val="center"/>
              <w:textAlignment w:val="auto"/>
              <w:rPr>
                <w:rFonts w:hint="eastAsia" w:ascii="宋体" w:hAnsi="宋体" w:eastAsia="宋体" w:cs="宋体"/>
                <w:color w:val="auto"/>
                <w:sz w:val="24"/>
                <w:szCs w:val="24"/>
                <w:highlight w:val="none"/>
              </w:rPr>
            </w:pPr>
          </w:p>
        </w:tc>
        <w:tc>
          <w:tcPr>
            <w:tcW w:w="1106" w:type="dxa"/>
            <w:tcBorders>
              <w:top w:val="single" w:color="auto" w:sz="4" w:space="0"/>
              <w:left w:val="single" w:color="auto" w:sz="2" w:space="0"/>
              <w:bottom w:val="single" w:color="auto" w:sz="4" w:space="0"/>
              <w:right w:val="single" w:color="auto" w:sz="2" w:space="0"/>
            </w:tcBorders>
            <w:vAlign w:val="center"/>
          </w:tcPr>
          <w:p w14:paraId="2F275C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rPr>
              <w:t>项目</w:t>
            </w:r>
            <w:r>
              <w:rPr>
                <w:rFonts w:hint="eastAsia" w:ascii="宋体" w:hAnsi="宋体" w:eastAsia="宋体" w:cs="宋体"/>
                <w:color w:val="auto"/>
                <w:kern w:val="0"/>
                <w:sz w:val="24"/>
                <w:highlight w:val="none"/>
                <w:lang w:val="en-US" w:eastAsia="zh-CN"/>
              </w:rPr>
              <w:t>团队</w:t>
            </w:r>
          </w:p>
        </w:tc>
        <w:tc>
          <w:tcPr>
            <w:tcW w:w="6465" w:type="dxa"/>
            <w:tcBorders>
              <w:top w:val="single" w:color="auto" w:sz="4" w:space="0"/>
              <w:left w:val="single" w:color="auto" w:sz="2" w:space="0"/>
              <w:bottom w:val="single" w:color="auto" w:sz="4" w:space="0"/>
              <w:right w:val="single" w:color="auto" w:sz="2" w:space="0"/>
            </w:tcBorders>
            <w:vAlign w:val="center"/>
          </w:tcPr>
          <w:p w14:paraId="65BF4D5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1、拟派项目负责人（限1人）具有以下证书（满分2分）：</w:t>
            </w:r>
          </w:p>
          <w:p w14:paraId="3C9A40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具备计算机技术与软件专业技术资格（水平）的信息系统项目管理师或系统分析师得2分；具备计算机技术与软件专业技术资格（水平）的信息系统管理工程师证书得1分；</w:t>
            </w:r>
          </w:p>
          <w:p w14:paraId="7B0ACAA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2、拟派技术负责人（和项目经理、安全负责人不可为同一人）具有以下证书（满分2分）：</w:t>
            </w:r>
          </w:p>
          <w:p w14:paraId="6E67D7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具备计算机技术与软件专业技术资格（水平）的系统架构设计师证书或系统规划与管理师，得2分；具备计算机技术与软件专业技术资格（水平）的软件设计师或数据库系统工程师得1分；</w:t>
            </w:r>
          </w:p>
          <w:p w14:paraId="4998EF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3、拟派系统安全负责人（和项目经理、技术负责人不可为同一人），具备以下证书（满分2分）：</w:t>
            </w:r>
          </w:p>
          <w:p w14:paraId="107A296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具备中国信息安全测评中心颁发的注册信息安全专业人员（CISP）证书或计算机技术与软件专业技术资格（水平）的信息安全工程师，得2分；</w:t>
            </w:r>
          </w:p>
          <w:p w14:paraId="133D34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注：投标文件中提供人员清单（格式自拟）、证书扫描件、与投标人签订的劳动合同及投标人为以上人员缴纳的投标截止日前近3个月内任意1 个月的社保缴纳证明（含官网在线打印件），或投标人提供已为上述人员缴纳社保的承诺书（格式自拟）。供应商是事业单位的，暂未缴纳社保的，须由其主管部门出具证明。</w:t>
            </w:r>
          </w:p>
        </w:tc>
        <w:tc>
          <w:tcPr>
            <w:tcW w:w="945" w:type="dxa"/>
            <w:tcBorders>
              <w:top w:val="single" w:color="auto" w:sz="4" w:space="0"/>
              <w:left w:val="single" w:color="auto" w:sz="2" w:space="0"/>
              <w:bottom w:val="single" w:color="auto" w:sz="4" w:space="0"/>
              <w:right w:val="single" w:color="auto" w:sz="4" w:space="0"/>
            </w:tcBorders>
            <w:vAlign w:val="center"/>
          </w:tcPr>
          <w:p w14:paraId="2ED1D140">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r>
      <w:tr w14:paraId="5D6411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0" w:hRule="atLeast"/>
        </w:trPr>
        <w:tc>
          <w:tcPr>
            <w:tcW w:w="830" w:type="dxa"/>
            <w:vMerge w:val="continue"/>
            <w:tcBorders>
              <w:left w:val="single" w:color="auto" w:sz="2" w:space="0"/>
              <w:right w:val="single" w:color="auto" w:sz="2" w:space="0"/>
            </w:tcBorders>
            <w:vAlign w:val="center"/>
          </w:tcPr>
          <w:p w14:paraId="5DC5A405">
            <w:pPr>
              <w:pStyle w:val="49"/>
              <w:keepNext w:val="0"/>
              <w:keepLines w:val="0"/>
              <w:pageBreakBefore w:val="0"/>
              <w:kinsoku/>
              <w:wordWrap/>
              <w:overflowPunct/>
              <w:topLinePunct w:val="0"/>
              <w:autoSpaceDE/>
              <w:autoSpaceDN/>
              <w:bidi w:val="0"/>
              <w:adjustRightInd/>
              <w:snapToGrid/>
              <w:spacing w:line="400" w:lineRule="exact"/>
              <w:ind w:left="161" w:right="129" w:firstLine="8"/>
              <w:jc w:val="center"/>
              <w:textAlignment w:val="auto"/>
              <w:rPr>
                <w:rFonts w:hint="eastAsia" w:ascii="宋体" w:hAnsi="宋体" w:eastAsia="宋体" w:cs="宋体"/>
                <w:color w:val="auto"/>
                <w:sz w:val="24"/>
                <w:szCs w:val="24"/>
                <w:highlight w:val="none"/>
              </w:rPr>
            </w:pPr>
          </w:p>
        </w:tc>
        <w:tc>
          <w:tcPr>
            <w:tcW w:w="8516" w:type="dxa"/>
            <w:gridSpan w:val="3"/>
            <w:tcBorders>
              <w:top w:val="single" w:color="auto" w:sz="4" w:space="0"/>
              <w:left w:val="single" w:color="auto" w:sz="2" w:space="0"/>
              <w:bottom w:val="single" w:color="auto" w:sz="4" w:space="0"/>
              <w:right w:val="single" w:color="auto" w:sz="4" w:space="0"/>
            </w:tcBorders>
            <w:vAlign w:val="center"/>
          </w:tcPr>
          <w:p w14:paraId="023243EA">
            <w:pPr>
              <w:pStyle w:val="49"/>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技术部分（</w:t>
            </w:r>
            <w:r>
              <w:rPr>
                <w:rFonts w:hint="eastAsia" w:ascii="宋体" w:hAnsi="宋体" w:eastAsia="宋体" w:cs="宋体"/>
                <w:b/>
                <w:bCs/>
                <w:color w:val="auto"/>
                <w:sz w:val="24"/>
                <w:szCs w:val="24"/>
                <w:highlight w:val="none"/>
                <w:lang w:val="en-US" w:eastAsia="zh-CN"/>
              </w:rPr>
              <w:t>54</w:t>
            </w:r>
            <w:r>
              <w:rPr>
                <w:rFonts w:hint="eastAsia" w:ascii="宋体" w:hAnsi="宋体" w:eastAsia="宋体" w:cs="宋体"/>
                <w:b/>
                <w:bCs/>
                <w:color w:val="auto"/>
                <w:sz w:val="24"/>
                <w:szCs w:val="24"/>
                <w:highlight w:val="none"/>
                <w:lang w:eastAsia="zh-CN"/>
              </w:rPr>
              <w:t>分）</w:t>
            </w:r>
          </w:p>
        </w:tc>
      </w:tr>
      <w:tr w14:paraId="0A8F4F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15" w:hRule="atLeast"/>
        </w:trPr>
        <w:tc>
          <w:tcPr>
            <w:tcW w:w="830" w:type="dxa"/>
            <w:vMerge w:val="continue"/>
            <w:tcBorders>
              <w:left w:val="single" w:color="auto" w:sz="2" w:space="0"/>
              <w:right w:val="single" w:color="auto" w:sz="2" w:space="0"/>
            </w:tcBorders>
          </w:tcPr>
          <w:p w14:paraId="62F8474F">
            <w:pPr>
              <w:pStyle w:val="49"/>
              <w:keepNext w:val="0"/>
              <w:keepLines w:val="0"/>
              <w:pageBreakBefore w:val="0"/>
              <w:kinsoku/>
              <w:wordWrap/>
              <w:overflowPunct/>
              <w:topLinePunct w:val="0"/>
              <w:autoSpaceDE/>
              <w:autoSpaceDN/>
              <w:bidi w:val="0"/>
              <w:adjustRightInd/>
              <w:snapToGrid/>
              <w:spacing w:line="400" w:lineRule="exact"/>
              <w:ind w:left="161" w:right="129" w:firstLine="8"/>
              <w:textAlignment w:val="auto"/>
              <w:rPr>
                <w:rFonts w:hint="eastAsia" w:ascii="宋体" w:hAnsi="宋体" w:eastAsia="宋体" w:cs="宋体"/>
                <w:color w:val="auto"/>
                <w:sz w:val="24"/>
                <w:szCs w:val="24"/>
                <w:highlight w:val="none"/>
              </w:rPr>
            </w:pPr>
          </w:p>
        </w:tc>
        <w:tc>
          <w:tcPr>
            <w:tcW w:w="1106" w:type="dxa"/>
            <w:tcBorders>
              <w:top w:val="single" w:color="auto" w:sz="4" w:space="0"/>
              <w:left w:val="single" w:color="auto" w:sz="2" w:space="0"/>
              <w:bottom w:val="single" w:color="auto" w:sz="2" w:space="0"/>
              <w:right w:val="single" w:color="auto" w:sz="2" w:space="0"/>
            </w:tcBorders>
            <w:vAlign w:val="center"/>
          </w:tcPr>
          <w:p w14:paraId="18B681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技术参数</w:t>
            </w:r>
          </w:p>
        </w:tc>
        <w:tc>
          <w:tcPr>
            <w:tcW w:w="6465" w:type="dxa"/>
            <w:tcBorders>
              <w:top w:val="single" w:color="auto" w:sz="4" w:space="0"/>
              <w:left w:val="single" w:color="auto" w:sz="2" w:space="0"/>
              <w:bottom w:val="single" w:color="auto" w:sz="2" w:space="0"/>
              <w:right w:val="single" w:color="auto" w:sz="2" w:space="0"/>
            </w:tcBorders>
            <w:vAlign w:val="center"/>
          </w:tcPr>
          <w:p w14:paraId="36E65980">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w:t>
            </w:r>
            <w:r>
              <w:rPr>
                <w:rFonts w:hint="default" w:ascii="宋体" w:hAnsi="宋体" w:eastAsia="宋体" w:cs="宋体"/>
                <w:color w:val="auto"/>
                <w:kern w:val="0"/>
                <w:sz w:val="24"/>
                <w:highlight w:val="none"/>
                <w:lang w:val="en-US" w:eastAsia="zh-CN"/>
              </w:rPr>
              <w:t>由评标委员会根据投标人所提供的产品技术参数进行评审</w:t>
            </w:r>
            <w:r>
              <w:rPr>
                <w:rFonts w:hint="eastAsia" w:ascii="宋体" w:hAnsi="宋体" w:eastAsia="宋体" w:cs="宋体"/>
                <w:color w:val="auto"/>
                <w:kern w:val="0"/>
                <w:sz w:val="24"/>
                <w:highlight w:val="none"/>
                <w:lang w:val="en-US" w:eastAsia="zh-CN"/>
              </w:rPr>
              <w:t>，</w:t>
            </w:r>
            <w:r>
              <w:rPr>
                <w:rFonts w:hint="default" w:ascii="宋体" w:hAnsi="宋体" w:eastAsia="宋体" w:cs="宋体"/>
                <w:color w:val="auto"/>
                <w:kern w:val="0"/>
                <w:sz w:val="24"/>
                <w:highlight w:val="none"/>
                <w:lang w:val="en-US" w:eastAsia="zh-CN"/>
              </w:rPr>
              <w:t>带▲号的技术参数、性能指标、系统功能为重要功能指标</w:t>
            </w:r>
            <w:r>
              <w:rPr>
                <w:rFonts w:hint="eastAsia" w:ascii="宋体" w:hAnsi="宋体" w:eastAsia="宋体" w:cs="宋体"/>
                <w:color w:val="auto"/>
                <w:kern w:val="0"/>
                <w:sz w:val="24"/>
                <w:highlight w:val="none"/>
                <w:lang w:val="en-US" w:eastAsia="zh-CN"/>
              </w:rPr>
              <w:t>，且须按相应要求提供证明材料，材料须加盖公章。</w:t>
            </w:r>
            <w:r>
              <w:rPr>
                <w:rFonts w:hint="default" w:ascii="宋体" w:hAnsi="宋体" w:eastAsia="宋体" w:cs="宋体"/>
                <w:color w:val="auto"/>
                <w:kern w:val="0"/>
                <w:sz w:val="24"/>
                <w:highlight w:val="none"/>
                <w:lang w:val="en-US" w:eastAsia="zh-CN"/>
              </w:rPr>
              <w:t>以投标响应表及货物需求中要求提供的相关证明材料作为评审依据</w:t>
            </w:r>
            <w:r>
              <w:rPr>
                <w:rFonts w:hint="eastAsia" w:ascii="宋体" w:hAnsi="宋体" w:eastAsia="宋体" w:cs="宋体"/>
                <w:color w:val="auto"/>
                <w:kern w:val="0"/>
                <w:sz w:val="24"/>
                <w:highlight w:val="none"/>
                <w:lang w:val="en-US" w:eastAsia="zh-CN"/>
              </w:rPr>
              <w:t>，每提供一个得2分，共11项，满分22分，未按要求提供对应证明材料的不得分。</w:t>
            </w:r>
          </w:p>
          <w:p w14:paraId="2E64ECE7">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default" w:ascii="宋体" w:hAnsi="宋体" w:eastAsia="宋体" w:cs="宋体"/>
                <w:color w:val="auto"/>
                <w:kern w:val="0"/>
                <w:sz w:val="24"/>
                <w:highlight w:val="none"/>
                <w:lang w:val="en-US" w:eastAsia="zh-CN"/>
              </w:rPr>
            </w:pPr>
            <w:r>
              <w:rPr>
                <w:rFonts w:hint="default" w:ascii="宋体" w:hAnsi="宋体" w:eastAsia="宋体" w:cs="宋体"/>
                <w:color w:val="auto"/>
                <w:kern w:val="0"/>
                <w:sz w:val="24"/>
                <w:highlight w:val="none"/>
                <w:lang w:val="en-US" w:eastAsia="zh-CN"/>
              </w:rPr>
              <w:t>注：</w:t>
            </w:r>
            <w:r>
              <w:rPr>
                <w:rFonts w:hint="eastAsia" w:ascii="宋体" w:hAnsi="宋体" w:eastAsia="宋体" w:cs="宋体"/>
                <w:color w:val="auto"/>
                <w:kern w:val="0"/>
                <w:sz w:val="24"/>
                <w:highlight w:val="none"/>
                <w:lang w:val="en-US" w:eastAsia="zh-CN"/>
              </w:rPr>
              <w:t>（1）如某项标识中包含多条技术参数或要求，则该项标识所含内容均需满足或优于招标文件要求，否则不予认可。</w:t>
            </w:r>
          </w:p>
          <w:p w14:paraId="1CC867F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未标符号的为一般参数，投标文件中无需列明，但在合同签订后将作为履约验收的依据，投标人</w:t>
            </w:r>
            <w:r>
              <w:rPr>
                <w:rFonts w:hint="eastAsia" w:ascii="宋体" w:hAnsi="宋体" w:eastAsia="宋体" w:cs="宋体"/>
                <w:color w:val="auto"/>
                <w:kern w:val="0"/>
                <w:sz w:val="24"/>
                <w:highlight w:val="none"/>
              </w:rPr>
              <w:t>在</w:t>
            </w:r>
            <w:r>
              <w:rPr>
                <w:rFonts w:hint="eastAsia" w:ascii="宋体" w:hAnsi="宋体" w:eastAsia="宋体" w:cs="宋体"/>
                <w:color w:val="auto"/>
                <w:kern w:val="0"/>
                <w:sz w:val="24"/>
                <w:highlight w:val="none"/>
                <w:lang w:val="en-US" w:eastAsia="zh-CN"/>
              </w:rPr>
              <w:t>投标</w:t>
            </w:r>
            <w:r>
              <w:rPr>
                <w:rFonts w:hint="eastAsia" w:ascii="宋体" w:hAnsi="宋体" w:eastAsia="宋体" w:cs="宋体"/>
                <w:color w:val="auto"/>
                <w:kern w:val="0"/>
                <w:sz w:val="24"/>
                <w:highlight w:val="none"/>
              </w:rPr>
              <w:t>文件中提供相关承诺函，承诺函格式自拟</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但须明确体现上述内容，否则投标无效。</w:t>
            </w:r>
          </w:p>
        </w:tc>
        <w:tc>
          <w:tcPr>
            <w:tcW w:w="945" w:type="dxa"/>
            <w:tcBorders>
              <w:top w:val="single" w:color="auto" w:sz="4" w:space="0"/>
              <w:left w:val="single" w:color="auto" w:sz="2" w:space="0"/>
              <w:bottom w:val="single" w:color="auto" w:sz="2" w:space="0"/>
              <w:right w:val="single" w:color="auto" w:sz="2" w:space="0"/>
            </w:tcBorders>
            <w:vAlign w:val="center"/>
          </w:tcPr>
          <w:p w14:paraId="16AD1F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22分</w:t>
            </w:r>
          </w:p>
        </w:tc>
      </w:tr>
      <w:tr w14:paraId="449265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37" w:hRule="atLeast"/>
        </w:trPr>
        <w:tc>
          <w:tcPr>
            <w:tcW w:w="830" w:type="dxa"/>
            <w:vMerge w:val="continue"/>
            <w:tcBorders>
              <w:left w:val="single" w:color="auto" w:sz="2" w:space="0"/>
              <w:right w:val="single" w:color="auto" w:sz="2" w:space="0"/>
            </w:tcBorders>
          </w:tcPr>
          <w:p w14:paraId="2D216BA9">
            <w:pPr>
              <w:pStyle w:val="49"/>
              <w:keepNext w:val="0"/>
              <w:keepLines w:val="0"/>
              <w:pageBreakBefore w:val="0"/>
              <w:kinsoku/>
              <w:wordWrap/>
              <w:overflowPunct/>
              <w:topLinePunct w:val="0"/>
              <w:autoSpaceDE/>
              <w:autoSpaceDN/>
              <w:bidi w:val="0"/>
              <w:adjustRightInd/>
              <w:snapToGrid/>
              <w:spacing w:line="400" w:lineRule="exact"/>
              <w:ind w:left="161" w:right="129" w:firstLine="8"/>
              <w:textAlignment w:val="auto"/>
              <w:rPr>
                <w:rFonts w:hint="eastAsia" w:ascii="宋体" w:hAnsi="宋体" w:eastAsia="宋体" w:cs="宋体"/>
                <w:color w:val="auto"/>
                <w:sz w:val="24"/>
                <w:szCs w:val="24"/>
                <w:highlight w:val="none"/>
              </w:rPr>
            </w:pPr>
          </w:p>
        </w:tc>
        <w:tc>
          <w:tcPr>
            <w:tcW w:w="1106" w:type="dxa"/>
            <w:vMerge w:val="restart"/>
            <w:tcBorders>
              <w:top w:val="single" w:color="auto" w:sz="4" w:space="0"/>
              <w:left w:val="single" w:color="auto" w:sz="2" w:space="0"/>
              <w:right w:val="single" w:color="auto" w:sz="2" w:space="0"/>
            </w:tcBorders>
            <w:vAlign w:val="center"/>
          </w:tcPr>
          <w:p w14:paraId="1FE422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质保承诺</w:t>
            </w:r>
          </w:p>
        </w:tc>
        <w:tc>
          <w:tcPr>
            <w:tcW w:w="6465" w:type="dxa"/>
            <w:tcBorders>
              <w:top w:val="single" w:color="auto" w:sz="4" w:space="0"/>
              <w:left w:val="single" w:color="auto" w:sz="2" w:space="0"/>
              <w:bottom w:val="single" w:color="auto" w:sz="2" w:space="0"/>
              <w:right w:val="single" w:color="auto" w:sz="2" w:space="0"/>
            </w:tcBorders>
            <w:vAlign w:val="center"/>
          </w:tcPr>
          <w:p w14:paraId="10B73387">
            <w:pPr>
              <w:keepNext w:val="0"/>
              <w:keepLines w:val="0"/>
              <w:widowControl/>
              <w:suppressLineNumbers w:val="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eastAsia="zh-CN"/>
              </w:rPr>
              <w:t>本项目硬件质保不低于3年，在此基础上每增加1年加1分</w:t>
            </w:r>
            <w:r>
              <w:rPr>
                <w:rFonts w:hint="eastAsia" w:ascii="宋体" w:hAnsi="宋体" w:eastAsia="宋体" w:cs="宋体"/>
                <w:color w:val="auto"/>
                <w:kern w:val="0"/>
                <w:sz w:val="24"/>
                <w:szCs w:val="24"/>
                <w:highlight w:val="none"/>
                <w:lang w:val="en-US" w:eastAsia="zh-CN" w:bidi="ar"/>
              </w:rPr>
              <w:t>（不足1年不加分）</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本项满分5分。</w:t>
            </w:r>
          </w:p>
          <w:p w14:paraId="527A689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eastAsia="zh-CN"/>
              </w:rPr>
              <w:t>注：以投标响应表中承诺的免费质保期作为评审依据。</w:t>
            </w:r>
          </w:p>
        </w:tc>
        <w:tc>
          <w:tcPr>
            <w:tcW w:w="945" w:type="dxa"/>
            <w:vMerge w:val="restart"/>
            <w:tcBorders>
              <w:top w:val="single" w:color="auto" w:sz="4" w:space="0"/>
              <w:left w:val="single" w:color="auto" w:sz="2" w:space="0"/>
              <w:right w:val="single" w:color="auto" w:sz="2" w:space="0"/>
            </w:tcBorders>
            <w:vAlign w:val="center"/>
          </w:tcPr>
          <w:p w14:paraId="498CF2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0-8分</w:t>
            </w:r>
          </w:p>
        </w:tc>
      </w:tr>
      <w:tr w14:paraId="3A7A8F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37" w:hRule="atLeast"/>
        </w:trPr>
        <w:tc>
          <w:tcPr>
            <w:tcW w:w="830" w:type="dxa"/>
            <w:vMerge w:val="continue"/>
            <w:tcBorders>
              <w:left w:val="single" w:color="auto" w:sz="2" w:space="0"/>
              <w:right w:val="single" w:color="auto" w:sz="2" w:space="0"/>
            </w:tcBorders>
          </w:tcPr>
          <w:p w14:paraId="6C897AB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color w:val="auto"/>
                <w:highlight w:val="none"/>
              </w:rPr>
            </w:pPr>
          </w:p>
        </w:tc>
        <w:tc>
          <w:tcPr>
            <w:tcW w:w="1106" w:type="dxa"/>
            <w:vMerge w:val="continue"/>
            <w:tcBorders>
              <w:left w:val="single" w:color="auto" w:sz="2" w:space="0"/>
              <w:bottom w:val="single" w:color="auto" w:sz="2" w:space="0"/>
              <w:right w:val="single" w:color="auto" w:sz="2" w:space="0"/>
            </w:tcBorders>
            <w:vAlign w:val="center"/>
          </w:tcPr>
          <w:p w14:paraId="361E6A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color w:val="auto"/>
                <w:highlight w:val="none"/>
              </w:rPr>
            </w:pPr>
          </w:p>
        </w:tc>
        <w:tc>
          <w:tcPr>
            <w:tcW w:w="6465" w:type="dxa"/>
            <w:tcBorders>
              <w:top w:val="single" w:color="auto" w:sz="4" w:space="0"/>
              <w:left w:val="single" w:color="auto" w:sz="2" w:space="0"/>
              <w:bottom w:val="single" w:color="auto" w:sz="2" w:space="0"/>
              <w:right w:val="single" w:color="auto" w:sz="2" w:space="0"/>
            </w:tcBorders>
            <w:vAlign w:val="center"/>
          </w:tcPr>
          <w:p w14:paraId="30CC9B70">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软件质保不低5年，在此基础上每增加</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lang w:eastAsia="zh-CN"/>
              </w:rPr>
              <w:t>年加</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lang w:eastAsia="zh-CN"/>
              </w:rPr>
              <w:t>分</w:t>
            </w:r>
            <w:r>
              <w:rPr>
                <w:rFonts w:hint="eastAsia" w:ascii="宋体" w:hAnsi="宋体" w:eastAsia="宋体" w:cs="宋体"/>
                <w:color w:val="auto"/>
                <w:kern w:val="0"/>
                <w:sz w:val="24"/>
                <w:szCs w:val="24"/>
                <w:highlight w:val="none"/>
                <w:lang w:val="en-US" w:eastAsia="zh-CN" w:bidi="ar"/>
              </w:rPr>
              <w:t>（不足1年不加分）</w:t>
            </w:r>
            <w:r>
              <w:rPr>
                <w:rFonts w:hint="eastAsia" w:ascii="宋体" w:hAnsi="宋体" w:eastAsia="宋体" w:cs="宋体"/>
                <w:color w:val="auto"/>
                <w:kern w:val="0"/>
                <w:sz w:val="24"/>
                <w:highlight w:val="none"/>
                <w:lang w:eastAsia="zh-CN"/>
              </w:rPr>
              <w:t>，本项满分</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lang w:eastAsia="zh-CN"/>
              </w:rPr>
              <w:t>分。</w:t>
            </w:r>
          </w:p>
          <w:p w14:paraId="1D1F988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eastAsia="zh-CN"/>
              </w:rPr>
              <w:t>注：以投标响应表中承诺的免费质保期作为评审依据。</w:t>
            </w:r>
          </w:p>
        </w:tc>
        <w:tc>
          <w:tcPr>
            <w:tcW w:w="945" w:type="dxa"/>
            <w:vMerge w:val="continue"/>
            <w:tcBorders>
              <w:left w:val="single" w:color="auto" w:sz="2" w:space="0"/>
              <w:bottom w:val="single" w:color="auto" w:sz="2" w:space="0"/>
              <w:right w:val="single" w:color="auto" w:sz="2" w:space="0"/>
            </w:tcBorders>
            <w:vAlign w:val="center"/>
          </w:tcPr>
          <w:p w14:paraId="0A98E2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p>
        </w:tc>
      </w:tr>
      <w:tr w14:paraId="02CB8B7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28" w:hRule="atLeast"/>
        </w:trPr>
        <w:tc>
          <w:tcPr>
            <w:tcW w:w="830" w:type="dxa"/>
            <w:vMerge w:val="continue"/>
            <w:tcBorders>
              <w:left w:val="single" w:color="auto" w:sz="2" w:space="0"/>
              <w:right w:val="single" w:color="auto" w:sz="2" w:space="0"/>
            </w:tcBorders>
          </w:tcPr>
          <w:p w14:paraId="2625567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1106" w:type="dxa"/>
            <w:tcBorders>
              <w:top w:val="single" w:color="auto" w:sz="2" w:space="0"/>
              <w:left w:val="single" w:color="auto" w:sz="2" w:space="0"/>
              <w:bottom w:val="single" w:color="auto" w:sz="2" w:space="0"/>
              <w:right w:val="single" w:color="auto" w:sz="2" w:space="0"/>
            </w:tcBorders>
            <w:shd w:val="clear" w:color="auto" w:fill="auto"/>
            <w:vAlign w:val="center"/>
          </w:tcPr>
          <w:p w14:paraId="30B89FB4">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rPr>
              <w:t>项目管理实施方案</w:t>
            </w:r>
          </w:p>
        </w:tc>
        <w:tc>
          <w:tcPr>
            <w:tcW w:w="6465" w:type="dxa"/>
            <w:tcBorders>
              <w:top w:val="single" w:color="auto" w:sz="2" w:space="0"/>
              <w:left w:val="single" w:color="auto" w:sz="2" w:space="0"/>
              <w:bottom w:val="single" w:color="auto" w:sz="2" w:space="0"/>
              <w:right w:val="single" w:color="auto" w:sz="2" w:space="0"/>
            </w:tcBorders>
            <w:shd w:val="clear" w:color="auto" w:fill="auto"/>
            <w:vAlign w:val="center"/>
          </w:tcPr>
          <w:p w14:paraId="66A1AAFC">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投标人需根据项目具体要求和项目特点制定对应的项目管理实施方案，方案内容包括但不限于项目管理、实施计划、安装部署、测试方案。</w:t>
            </w:r>
          </w:p>
          <w:p w14:paraId="499F2258">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（1）对本项目工作进度计划、实施流程安排紧密完善、逻辑清晰，进度计划完全满足服务期需要且有完整详细的进度计划表的，得 5分；</w:t>
            </w:r>
          </w:p>
          <w:p w14:paraId="5131C9B2">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（2）对本项目工作进度计划、实施流程安排比较完善、逻辑比较清晰，有比较完整详细的进度计划表的，得 3 分；</w:t>
            </w:r>
          </w:p>
          <w:p w14:paraId="067EBEB7">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（3）有简单的工作进度计划，各阶段实施流程与项目实际情况不够完整的得 1 分；</w:t>
            </w:r>
          </w:p>
          <w:p w14:paraId="59EA96A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rPr>
              <w:t>（4）未提供相关内容的，得 0 分。</w:t>
            </w:r>
          </w:p>
        </w:tc>
        <w:tc>
          <w:tcPr>
            <w:tcW w:w="945" w:type="dxa"/>
            <w:tcBorders>
              <w:top w:val="single" w:color="auto" w:sz="2" w:space="0"/>
              <w:left w:val="single" w:color="auto" w:sz="2" w:space="0"/>
              <w:bottom w:val="single" w:color="auto" w:sz="2" w:space="0"/>
              <w:right w:val="single" w:color="auto" w:sz="2" w:space="0"/>
            </w:tcBorders>
            <w:vAlign w:val="center"/>
          </w:tcPr>
          <w:p w14:paraId="030C1D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0-5分</w:t>
            </w:r>
          </w:p>
        </w:tc>
      </w:tr>
      <w:tr w14:paraId="7E38DE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99" w:hRule="atLeast"/>
        </w:trPr>
        <w:tc>
          <w:tcPr>
            <w:tcW w:w="830" w:type="dxa"/>
            <w:vMerge w:val="continue"/>
            <w:tcBorders>
              <w:left w:val="single" w:color="auto" w:sz="2" w:space="0"/>
              <w:right w:val="single" w:color="auto" w:sz="2" w:space="0"/>
            </w:tcBorders>
          </w:tcPr>
          <w:p w14:paraId="55B19B2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1106" w:type="dxa"/>
            <w:tcBorders>
              <w:top w:val="single" w:color="auto" w:sz="2" w:space="0"/>
              <w:left w:val="single" w:color="auto" w:sz="2" w:space="0"/>
              <w:bottom w:val="single" w:color="auto" w:sz="2" w:space="0"/>
              <w:right w:val="single" w:color="auto" w:sz="2" w:space="0"/>
            </w:tcBorders>
            <w:shd w:val="clear" w:color="auto" w:fill="auto"/>
            <w:vAlign w:val="center"/>
          </w:tcPr>
          <w:p w14:paraId="4C718596">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项目总体</w:t>
            </w:r>
          </w:p>
          <w:p w14:paraId="4F7282D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rPr>
              <w:t>技术方案</w:t>
            </w:r>
          </w:p>
        </w:tc>
        <w:tc>
          <w:tcPr>
            <w:tcW w:w="6465" w:type="dxa"/>
            <w:tcBorders>
              <w:top w:val="single" w:color="auto" w:sz="2" w:space="0"/>
              <w:left w:val="single" w:color="auto" w:sz="2" w:space="0"/>
              <w:bottom w:val="single" w:color="auto" w:sz="2" w:space="0"/>
              <w:right w:val="single" w:color="auto" w:sz="2" w:space="0"/>
            </w:tcBorders>
            <w:shd w:val="clear" w:color="auto" w:fill="auto"/>
            <w:vAlign w:val="center"/>
          </w:tcPr>
          <w:p w14:paraId="17DB6F1B">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架构设计（技术路线、技术架构、安全性、扩展性）、与学校存量系统的集成方案建设思路等。</w:t>
            </w:r>
          </w:p>
          <w:p w14:paraId="7A8811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（1）方案内容科学合理，具有完善的针对性，阐述清晰详实，能够完全满足本项目实际需求的，得5分；</w:t>
            </w:r>
          </w:p>
          <w:p w14:paraId="0A1225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（2）方案内容比较全面，无明显逻辑错误，能够满足本项目实际需求，得3分；</w:t>
            </w:r>
          </w:p>
          <w:p w14:paraId="4C7EA3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（3）方案内容缺失，有待进一步提升完善的得1分；</w:t>
            </w:r>
          </w:p>
          <w:p w14:paraId="28F5F155">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szCs w:val="24"/>
                <w:highlight w:val="none"/>
                <w:lang w:val="en-US" w:eastAsia="zh-CN" w:bidi="ar"/>
              </w:rPr>
              <w:t>（4）方案不能满足项目实施要求或未提供的不得分。</w:t>
            </w:r>
          </w:p>
        </w:tc>
        <w:tc>
          <w:tcPr>
            <w:tcW w:w="945" w:type="dxa"/>
            <w:tcBorders>
              <w:top w:val="single" w:color="auto" w:sz="2" w:space="0"/>
              <w:left w:val="single" w:color="auto" w:sz="2" w:space="0"/>
              <w:bottom w:val="single" w:color="auto" w:sz="2" w:space="0"/>
              <w:right w:val="single" w:color="auto" w:sz="2" w:space="0"/>
            </w:tcBorders>
            <w:vAlign w:val="center"/>
          </w:tcPr>
          <w:p w14:paraId="309925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0-5分</w:t>
            </w:r>
          </w:p>
        </w:tc>
      </w:tr>
      <w:tr w14:paraId="75034B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94" w:hRule="atLeast"/>
        </w:trPr>
        <w:tc>
          <w:tcPr>
            <w:tcW w:w="830" w:type="dxa"/>
            <w:vMerge w:val="continue"/>
            <w:tcBorders>
              <w:left w:val="single" w:color="auto" w:sz="2" w:space="0"/>
              <w:right w:val="single" w:color="auto" w:sz="2" w:space="0"/>
            </w:tcBorders>
          </w:tcPr>
          <w:p w14:paraId="66CA2FE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1106" w:type="dxa"/>
            <w:tcBorders>
              <w:top w:val="single" w:color="auto" w:sz="2" w:space="0"/>
              <w:left w:val="single" w:color="auto" w:sz="2" w:space="0"/>
              <w:bottom w:val="single" w:color="auto" w:sz="2" w:space="0"/>
              <w:right w:val="single" w:color="auto" w:sz="2" w:space="0"/>
            </w:tcBorders>
            <w:shd w:val="clear" w:color="auto" w:fill="auto"/>
            <w:vAlign w:val="center"/>
          </w:tcPr>
          <w:p w14:paraId="720643CC">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系统安全及稳</w:t>
            </w:r>
          </w:p>
          <w:p w14:paraId="41401D2B">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szCs w:val="24"/>
                <w:highlight w:val="none"/>
                <w:lang w:val="en-US" w:eastAsia="en-US" w:bidi="ar"/>
              </w:rPr>
            </w:pPr>
            <w:r>
              <w:rPr>
                <w:rFonts w:hint="eastAsia" w:ascii="宋体" w:hAnsi="宋体" w:eastAsia="宋体" w:cs="宋体"/>
                <w:color w:val="auto"/>
                <w:kern w:val="0"/>
                <w:sz w:val="24"/>
                <w:highlight w:val="none"/>
                <w:lang w:val="en-US" w:eastAsia="zh-CN"/>
              </w:rPr>
              <w:t>定性方案</w:t>
            </w:r>
          </w:p>
        </w:tc>
        <w:tc>
          <w:tcPr>
            <w:tcW w:w="6465" w:type="dxa"/>
            <w:tcBorders>
              <w:top w:val="single" w:color="auto" w:sz="2" w:space="0"/>
              <w:left w:val="single" w:color="auto" w:sz="2" w:space="0"/>
              <w:bottom w:val="single" w:color="auto" w:sz="2" w:space="0"/>
              <w:right w:val="single" w:color="auto" w:sz="2" w:space="0"/>
            </w:tcBorders>
            <w:shd w:val="clear" w:color="auto" w:fill="auto"/>
            <w:vAlign w:val="center"/>
          </w:tcPr>
          <w:p w14:paraId="437B58B2">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投标人需根据项目具体要求和项目特点制定对应的系统安全及稳定性服务方案，方案内容包括但不限于：硬件安全、数据安全、网络安全以及系统整体稳定性、容错性保障等方面。</w:t>
            </w:r>
          </w:p>
          <w:p w14:paraId="57A55CF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（1）系统安全性及稳定性方案内容全面、完整，硬件安全、数据安全、网络安全完善可行，系统整体稳定性强，有完善可行的容错性保障方案，得5分；</w:t>
            </w:r>
          </w:p>
          <w:p w14:paraId="6C6DBA4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（2）有系统安全性及稳定性方案，硬件安全、数据安全、网络安全基本可行，系统整体有基本的稳定性，有基本的容错性保障方案，得3分；</w:t>
            </w:r>
          </w:p>
          <w:p w14:paraId="2D27B3D9">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（4）系统安全性及稳定性方案内容不全面，硬件安全、数据安全、网络安全、系统整体稳定性、容错性保障方案存在不足的，得1分；</w:t>
            </w:r>
          </w:p>
          <w:p w14:paraId="3D5FC5D5">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highlight w:val="none"/>
                <w:lang w:val="en-US" w:eastAsia="zh-CN"/>
              </w:rPr>
              <w:t>（5）未提供相关内容的，得0分。</w:t>
            </w:r>
          </w:p>
        </w:tc>
        <w:tc>
          <w:tcPr>
            <w:tcW w:w="945" w:type="dxa"/>
            <w:tcBorders>
              <w:top w:val="single" w:color="auto" w:sz="2" w:space="0"/>
              <w:left w:val="single" w:color="auto" w:sz="2" w:space="0"/>
              <w:bottom w:val="single" w:color="auto" w:sz="2" w:space="0"/>
              <w:right w:val="single" w:color="auto" w:sz="2" w:space="0"/>
            </w:tcBorders>
            <w:vAlign w:val="center"/>
          </w:tcPr>
          <w:p w14:paraId="3D8A12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0-5分</w:t>
            </w:r>
          </w:p>
        </w:tc>
      </w:tr>
      <w:tr w14:paraId="13CC39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82" w:hRule="atLeast"/>
        </w:trPr>
        <w:tc>
          <w:tcPr>
            <w:tcW w:w="830" w:type="dxa"/>
            <w:tcBorders>
              <w:left w:val="single" w:color="auto" w:sz="2" w:space="0"/>
              <w:right w:val="single" w:color="auto" w:sz="2" w:space="0"/>
            </w:tcBorders>
          </w:tcPr>
          <w:p w14:paraId="1CDAE96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1106" w:type="dxa"/>
            <w:tcBorders>
              <w:top w:val="single" w:color="auto" w:sz="2" w:space="0"/>
              <w:left w:val="single" w:color="auto" w:sz="2" w:space="0"/>
              <w:bottom w:val="single" w:color="auto" w:sz="2" w:space="0"/>
              <w:right w:val="single" w:color="auto" w:sz="2" w:space="0"/>
            </w:tcBorders>
            <w:shd w:val="clear" w:color="auto" w:fill="auto"/>
            <w:vAlign w:val="center"/>
          </w:tcPr>
          <w:p w14:paraId="22EFB50A">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售后承诺</w:t>
            </w:r>
          </w:p>
        </w:tc>
        <w:tc>
          <w:tcPr>
            <w:tcW w:w="6465" w:type="dxa"/>
            <w:tcBorders>
              <w:top w:val="single" w:color="auto" w:sz="2" w:space="0"/>
              <w:left w:val="single" w:color="auto" w:sz="2" w:space="0"/>
              <w:bottom w:val="single" w:color="auto" w:sz="2" w:space="0"/>
              <w:right w:val="single" w:color="auto" w:sz="2" w:space="0"/>
            </w:tcBorders>
            <w:shd w:val="clear" w:color="auto" w:fill="auto"/>
            <w:vAlign w:val="center"/>
          </w:tcPr>
          <w:p w14:paraId="4BC807FA">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highlight w:val="none"/>
                <w:lang w:val="en-US" w:eastAsia="zh-CN"/>
              </w:rPr>
              <w:t>本项目售后服务基本要求为：</w:t>
            </w:r>
            <w:r>
              <w:rPr>
                <w:rFonts w:hint="eastAsia" w:ascii="宋体" w:hAnsi="宋体" w:eastAsia="宋体" w:cs="宋体"/>
                <w:color w:val="auto"/>
                <w:sz w:val="24"/>
                <w:szCs w:val="24"/>
                <w:highlight w:val="none"/>
                <w:lang w:eastAsia="zh-CN"/>
              </w:rPr>
              <w:t>系统出现异常时，需支持全天电话，需支持</w:t>
            </w:r>
            <w:r>
              <w:rPr>
                <w:rFonts w:hint="eastAsia" w:ascii="宋体" w:hAnsi="宋体" w:eastAsia="宋体" w:cs="宋体"/>
                <w:color w:val="auto"/>
                <w:sz w:val="24"/>
                <w:szCs w:val="24"/>
                <w:highlight w:val="none"/>
                <w:lang w:val="en-US" w:eastAsia="zh-CN"/>
              </w:rPr>
              <w:t>48</w:t>
            </w:r>
            <w:r>
              <w:rPr>
                <w:rFonts w:hint="eastAsia" w:ascii="宋体" w:hAnsi="宋体" w:eastAsia="宋体" w:cs="宋体"/>
                <w:color w:val="auto"/>
                <w:sz w:val="24"/>
                <w:szCs w:val="24"/>
                <w:highlight w:val="none"/>
                <w:lang w:eastAsia="zh-CN"/>
              </w:rPr>
              <w:t>小时内到达现场提供服务，</w:t>
            </w:r>
            <w:r>
              <w:rPr>
                <w:rFonts w:hint="eastAsia" w:ascii="宋体" w:hAnsi="宋体" w:eastAsia="宋体" w:cs="宋体"/>
                <w:color w:val="auto"/>
                <w:sz w:val="24"/>
                <w:szCs w:val="24"/>
                <w:highlight w:val="none"/>
                <w:lang w:val="en-US" w:eastAsia="zh-CN"/>
              </w:rPr>
              <w:t>在此基础上：</w:t>
            </w:r>
          </w:p>
          <w:p w14:paraId="5E46DF8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承诺7×24小时全年无休（含周末、法定节假日）、报修/咨询1小时内响应、12小时内出具解决方案，三项全部满足得4分；</w:t>
            </w:r>
          </w:p>
          <w:p w14:paraId="5A24FCBB">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承诺7×24小时、1小时响应，但解决方案出具时限＞12小时得3分；</w:t>
            </w:r>
          </w:p>
          <w:p w14:paraId="46539888">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有服务承诺，但未承诺7×24全年无休，或响应＞1小时，或方案出具时限＞12小时得1分；</w:t>
            </w:r>
          </w:p>
          <w:p w14:paraId="08D2AB85">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无承诺或明确不满足要求得0分。</w:t>
            </w:r>
          </w:p>
          <w:p w14:paraId="62D7238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以投标文件书面承诺为准，以上投标人自行承诺，格式自拟。</w:t>
            </w:r>
          </w:p>
        </w:tc>
        <w:tc>
          <w:tcPr>
            <w:tcW w:w="945" w:type="dxa"/>
            <w:tcBorders>
              <w:top w:val="single" w:color="auto" w:sz="2" w:space="0"/>
              <w:left w:val="single" w:color="auto" w:sz="2" w:space="0"/>
              <w:bottom w:val="single" w:color="auto" w:sz="2" w:space="0"/>
              <w:right w:val="single" w:color="auto" w:sz="2" w:space="0"/>
            </w:tcBorders>
            <w:vAlign w:val="center"/>
          </w:tcPr>
          <w:p w14:paraId="78777BD4">
            <w:pPr>
              <w:widowControl/>
              <w:adjustRightInd w:val="0"/>
              <w:snapToGrid w:val="0"/>
              <w:spacing w:line="360" w:lineRule="auto"/>
              <w:jc w:val="center"/>
              <w:outlineLvl w:val="9"/>
              <w:rPr>
                <w:rFonts w:hint="default" w:ascii="宋体" w:hAnsi="宋体" w:eastAsia="宋体" w:cs="宋体"/>
                <w:color w:val="auto"/>
                <w:kern w:val="0"/>
                <w:sz w:val="24"/>
                <w:szCs w:val="24"/>
                <w:highlight w:val="none"/>
                <w:lang w:val="en-US" w:eastAsia="zh-CN" w:bidi="ar"/>
              </w:rPr>
            </w:pPr>
            <w:r>
              <w:rPr>
                <w:rFonts w:hint="eastAsia" w:ascii="宋体" w:hAnsi="宋体" w:eastAsia="宋体"/>
                <w:b/>
                <w:bCs/>
                <w:color w:val="auto"/>
                <w:sz w:val="24"/>
                <w:highlight w:val="none"/>
                <w:lang w:val="en-US" w:eastAsia="zh-CN"/>
              </w:rPr>
              <w:t>0-4</w:t>
            </w:r>
            <w:r>
              <w:rPr>
                <w:rFonts w:hint="eastAsia" w:ascii="宋体" w:hAnsi="宋体" w:eastAsia="宋体"/>
                <w:b/>
                <w:bCs/>
                <w:color w:val="auto"/>
                <w:sz w:val="24"/>
                <w:highlight w:val="none"/>
                <w:lang w:val="en-US"/>
              </w:rPr>
              <w:t>分</w:t>
            </w:r>
          </w:p>
        </w:tc>
      </w:tr>
      <w:tr w14:paraId="42B20B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94" w:hRule="atLeast"/>
        </w:trPr>
        <w:tc>
          <w:tcPr>
            <w:tcW w:w="830" w:type="dxa"/>
            <w:tcBorders>
              <w:left w:val="single" w:color="auto" w:sz="2" w:space="0"/>
              <w:right w:val="single" w:color="auto" w:sz="2" w:space="0"/>
            </w:tcBorders>
          </w:tcPr>
          <w:p w14:paraId="5EAFDDE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1106" w:type="dxa"/>
            <w:tcBorders>
              <w:top w:val="single" w:color="auto" w:sz="2" w:space="0"/>
              <w:left w:val="single" w:color="auto" w:sz="2" w:space="0"/>
              <w:bottom w:val="single" w:color="auto" w:sz="2" w:space="0"/>
              <w:right w:val="single" w:color="auto" w:sz="2" w:space="0"/>
            </w:tcBorders>
            <w:shd w:val="clear" w:color="auto" w:fill="auto"/>
            <w:vAlign w:val="center"/>
          </w:tcPr>
          <w:p w14:paraId="76AE3411">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售后服务</w:t>
            </w:r>
            <w:r>
              <w:rPr>
                <w:rFonts w:hint="eastAsia" w:ascii="宋体" w:hAnsi="宋体" w:eastAsia="宋体" w:cs="宋体"/>
                <w:color w:val="auto"/>
                <w:kern w:val="0"/>
                <w:sz w:val="24"/>
                <w:highlight w:val="none"/>
                <w:lang w:val="en-US" w:eastAsia="zh-CN"/>
              </w:rPr>
              <w:t>方案</w:t>
            </w:r>
          </w:p>
        </w:tc>
        <w:tc>
          <w:tcPr>
            <w:tcW w:w="6465" w:type="dxa"/>
            <w:tcBorders>
              <w:top w:val="single" w:color="auto" w:sz="2" w:space="0"/>
              <w:left w:val="single" w:color="auto" w:sz="2" w:space="0"/>
              <w:bottom w:val="single" w:color="auto" w:sz="2" w:space="0"/>
              <w:right w:val="single" w:color="auto" w:sz="2" w:space="0"/>
            </w:tcBorders>
            <w:shd w:val="clear" w:color="auto" w:fill="auto"/>
            <w:vAlign w:val="center"/>
          </w:tcPr>
          <w:p w14:paraId="48219BB1">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根据投标人提供的售后服务管理制度、保障措施、服务体系、服务内容、自查频率、响应时效等情况由评标委员会进行综合评分：</w:t>
            </w:r>
          </w:p>
          <w:p w14:paraId="52C4F83C">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（1）服务方案内容覆盖全面、售后保障措施切实可行、管理制度完善、合理，维修保障响应及时，完全贴合项目需求的得5分；</w:t>
            </w:r>
          </w:p>
          <w:p w14:paraId="40D01D0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（2）服务方案内容较全面，售后服务管理制度健全，有针对性的保障措施、维修响应时效能够满足项目需求的得3分；</w:t>
            </w:r>
          </w:p>
          <w:p w14:paraId="3930947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（3）服务方案内容有缺失，管理制度不健全，响应时效不能体现项目需求的得1分；</w:t>
            </w:r>
          </w:p>
          <w:p w14:paraId="7566AE2A">
            <w:pPr>
              <w:keepNext w:val="0"/>
              <w:keepLines w:val="0"/>
              <w:pageBreakBefore w:val="0"/>
              <w:widowControl/>
              <w:kinsoku/>
              <w:wordWrap/>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（4）未提供不得分。</w:t>
            </w:r>
          </w:p>
        </w:tc>
        <w:tc>
          <w:tcPr>
            <w:tcW w:w="945" w:type="dxa"/>
            <w:tcBorders>
              <w:top w:val="single" w:color="auto" w:sz="2" w:space="0"/>
              <w:left w:val="single" w:color="auto" w:sz="2" w:space="0"/>
              <w:bottom w:val="single" w:color="auto" w:sz="2" w:space="0"/>
              <w:right w:val="single" w:color="auto" w:sz="2" w:space="0"/>
            </w:tcBorders>
            <w:vAlign w:val="center"/>
          </w:tcPr>
          <w:p w14:paraId="31233318">
            <w:pPr>
              <w:widowControl/>
              <w:adjustRightInd w:val="0"/>
              <w:snapToGrid w:val="0"/>
              <w:spacing w:line="360" w:lineRule="auto"/>
              <w:jc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b/>
                <w:bCs/>
                <w:color w:val="auto"/>
                <w:sz w:val="24"/>
                <w:highlight w:val="none"/>
                <w:lang w:val="en-US" w:eastAsia="zh-CN"/>
              </w:rPr>
              <w:t>0-5</w:t>
            </w:r>
            <w:r>
              <w:rPr>
                <w:rFonts w:hint="eastAsia" w:ascii="宋体" w:hAnsi="宋体" w:eastAsia="宋体"/>
                <w:b/>
                <w:bCs/>
                <w:color w:val="auto"/>
                <w:sz w:val="24"/>
                <w:highlight w:val="none"/>
                <w:lang w:val="en-US"/>
              </w:rPr>
              <w:t>分</w:t>
            </w:r>
          </w:p>
        </w:tc>
      </w:tr>
      <w:tr w14:paraId="25B3EA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022" w:hRule="atLeast"/>
        </w:trPr>
        <w:tc>
          <w:tcPr>
            <w:tcW w:w="830" w:type="dxa"/>
            <w:tcBorders>
              <w:top w:val="single" w:color="auto" w:sz="2" w:space="0"/>
              <w:left w:val="single" w:color="auto" w:sz="4" w:space="0"/>
              <w:bottom w:val="single" w:color="auto" w:sz="2" w:space="0"/>
              <w:right w:val="single" w:color="auto" w:sz="2" w:space="0"/>
            </w:tcBorders>
            <w:vAlign w:val="center"/>
          </w:tcPr>
          <w:p w14:paraId="33D4D9E2">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w:t>
            </w:r>
          </w:p>
          <w:p w14:paraId="07B77198">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分）</w:t>
            </w:r>
          </w:p>
        </w:tc>
        <w:tc>
          <w:tcPr>
            <w:tcW w:w="8516" w:type="dxa"/>
            <w:gridSpan w:val="3"/>
            <w:tcBorders>
              <w:top w:val="single" w:color="auto" w:sz="2" w:space="0"/>
              <w:left w:val="single" w:color="auto" w:sz="2" w:space="0"/>
              <w:bottom w:val="single" w:color="auto" w:sz="2" w:space="0"/>
              <w:right w:val="single" w:color="auto" w:sz="2" w:space="0"/>
            </w:tcBorders>
            <w:vAlign w:val="center"/>
          </w:tcPr>
          <w:p w14:paraId="238D9A6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价格分统一采用低价优先法，即满足招标文件要求且投标价格最低的投标报价为评标基准价，其价格分为满分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分。其他投标人的价格分统一按照下列公式计算：</w:t>
            </w:r>
          </w:p>
          <w:p w14:paraId="0A6A290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投标报价得分＝（评标基准价/投标报价）×</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0</w:t>
            </w:r>
            <w:r>
              <w:rPr>
                <w:rFonts w:hint="eastAsia" w:ascii="宋体" w:hAnsi="宋体" w:eastAsia="宋体" w:cs="宋体"/>
                <w:color w:val="auto"/>
                <w:sz w:val="24"/>
                <w:szCs w:val="24"/>
                <w:highlight w:val="none"/>
              </w:rPr>
              <w:t>％×100</w:t>
            </w:r>
          </w:p>
        </w:tc>
      </w:tr>
    </w:tbl>
    <w:p w14:paraId="023044C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.3.3</w:t>
      </w:r>
      <w:r>
        <w:rPr>
          <w:rFonts w:hint="eastAsia" w:ascii="宋体" w:hAnsi="宋体" w:eastAsia="宋体"/>
          <w:color w:val="auto"/>
          <w:sz w:val="24"/>
          <w:highlight w:val="none"/>
        </w:rPr>
        <w:t>分值汇总</w:t>
      </w:r>
    </w:p>
    <w:p w14:paraId="10CB074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评标委员会各成员应当独立对每个</w:t>
      </w:r>
      <w:r>
        <w:rPr>
          <w:rFonts w:hint="eastAsia" w:ascii="宋体" w:hAnsi="宋体" w:eastAsia="宋体"/>
          <w:color w:val="auto"/>
          <w:sz w:val="24"/>
          <w:highlight w:val="none"/>
        </w:rPr>
        <w:t>有效</w:t>
      </w:r>
      <w:r>
        <w:rPr>
          <w:rFonts w:ascii="宋体" w:hAnsi="宋体" w:eastAsia="宋体"/>
          <w:color w:val="auto"/>
          <w:sz w:val="24"/>
          <w:highlight w:val="none"/>
        </w:rPr>
        <w:t>投标人的投标文件进行评</w:t>
      </w:r>
      <w:r>
        <w:rPr>
          <w:rFonts w:hint="eastAsia" w:ascii="宋体" w:hAnsi="宋体" w:eastAsia="宋体"/>
          <w:color w:val="auto"/>
          <w:sz w:val="24"/>
          <w:highlight w:val="none"/>
        </w:rPr>
        <w:t>分</w:t>
      </w:r>
      <w:r>
        <w:rPr>
          <w:rFonts w:ascii="宋体" w:hAnsi="宋体" w:eastAsia="宋体"/>
          <w:color w:val="auto"/>
          <w:sz w:val="24"/>
          <w:highlight w:val="none"/>
        </w:rPr>
        <w:t>，并汇总每个投</w:t>
      </w:r>
      <w:r>
        <w:rPr>
          <w:rFonts w:hint="eastAsia" w:ascii="宋体" w:hAnsi="宋体" w:eastAsia="宋体"/>
          <w:color w:val="auto"/>
          <w:sz w:val="24"/>
          <w:highlight w:val="none"/>
        </w:rPr>
        <w:t>标人的得分。取各位评委评分之平均值，四舍五入保留至小数点后两位数，</w:t>
      </w:r>
      <w:r>
        <w:rPr>
          <w:rFonts w:ascii="宋体" w:hAnsi="宋体" w:eastAsia="宋体"/>
          <w:color w:val="auto"/>
          <w:sz w:val="24"/>
          <w:highlight w:val="none"/>
        </w:rPr>
        <w:t>得到该投标</w:t>
      </w:r>
      <w:r>
        <w:rPr>
          <w:rFonts w:hint="eastAsia" w:ascii="宋体" w:hAnsi="宋体" w:eastAsia="宋体"/>
          <w:color w:val="auto"/>
          <w:sz w:val="24"/>
          <w:highlight w:val="none"/>
        </w:rPr>
        <w:t>人</w:t>
      </w:r>
      <w:r>
        <w:rPr>
          <w:rFonts w:ascii="宋体" w:hAnsi="宋体" w:eastAsia="宋体"/>
          <w:color w:val="auto"/>
          <w:sz w:val="24"/>
          <w:highlight w:val="none"/>
        </w:rPr>
        <w:t>的技术资信分</w:t>
      </w:r>
      <w:r>
        <w:rPr>
          <w:rFonts w:hint="eastAsia" w:ascii="宋体" w:hAnsi="宋体" w:eastAsia="宋体"/>
          <w:color w:val="auto"/>
          <w:sz w:val="24"/>
          <w:highlight w:val="none"/>
        </w:rPr>
        <w:t>。</w:t>
      </w:r>
    </w:p>
    <w:p w14:paraId="57E2A36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w:t>
      </w:r>
      <w:r>
        <w:rPr>
          <w:rFonts w:ascii="宋体" w:hAnsi="宋体" w:eastAsia="宋体"/>
          <w:color w:val="auto"/>
          <w:sz w:val="24"/>
          <w:highlight w:val="none"/>
        </w:rPr>
        <w:t>将投标</w:t>
      </w:r>
      <w:r>
        <w:rPr>
          <w:rFonts w:hint="eastAsia" w:ascii="宋体" w:hAnsi="宋体" w:eastAsia="宋体"/>
          <w:color w:val="auto"/>
          <w:sz w:val="24"/>
          <w:highlight w:val="none"/>
        </w:rPr>
        <w:t>人</w:t>
      </w:r>
      <w:r>
        <w:rPr>
          <w:rFonts w:ascii="宋体" w:hAnsi="宋体" w:eastAsia="宋体"/>
          <w:color w:val="auto"/>
          <w:sz w:val="24"/>
          <w:highlight w:val="none"/>
        </w:rPr>
        <w:t>的技术资信分加上根据上述标准计算出的价格分，即为该投标</w:t>
      </w:r>
      <w:r>
        <w:rPr>
          <w:rFonts w:hint="eastAsia" w:ascii="宋体" w:hAnsi="宋体" w:eastAsia="宋体"/>
          <w:color w:val="auto"/>
          <w:sz w:val="24"/>
          <w:highlight w:val="none"/>
        </w:rPr>
        <w:t>人</w:t>
      </w:r>
      <w:r>
        <w:rPr>
          <w:rFonts w:ascii="宋体" w:hAnsi="宋体" w:eastAsia="宋体"/>
          <w:color w:val="auto"/>
          <w:sz w:val="24"/>
          <w:highlight w:val="none"/>
        </w:rPr>
        <w:t>的综合总得分。</w:t>
      </w:r>
    </w:p>
    <w:p w14:paraId="2CA3A63F">
      <w:pPr>
        <w:spacing w:line="440" w:lineRule="exact"/>
        <w:ind w:firstLine="437"/>
        <w:rPr>
          <w:rFonts w:ascii="宋体" w:hAnsi="宋体" w:eastAsia="宋体"/>
          <w:b/>
          <w:bCs/>
          <w:color w:val="auto"/>
          <w:sz w:val="24"/>
          <w:highlight w:val="none"/>
        </w:rPr>
      </w:pPr>
      <w:r>
        <w:rPr>
          <w:rFonts w:hint="eastAsia" w:ascii="宋体" w:hAnsi="宋体" w:eastAsia="宋体"/>
          <w:b/>
          <w:bCs/>
          <w:color w:val="auto"/>
          <w:sz w:val="24"/>
          <w:highlight w:val="none"/>
        </w:rPr>
        <w:t>三、无效投标条款</w:t>
      </w:r>
    </w:p>
    <w:p w14:paraId="1D2D9415">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3.1投标文件有下列情形之一的,其投标文件拒收:</w:t>
      </w:r>
    </w:p>
    <w:p w14:paraId="7896B142">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 未在</w:t>
      </w:r>
      <w:r>
        <w:rPr>
          <w:rFonts w:hint="eastAsia" w:ascii="宋体" w:hAnsi="宋体" w:eastAsia="宋体"/>
          <w:color w:val="auto"/>
          <w:sz w:val="24"/>
          <w:highlight w:val="none"/>
          <w:lang w:val="en-US" w:eastAsia="zh-CN"/>
        </w:rPr>
        <w:t>投</w:t>
      </w:r>
      <w:r>
        <w:rPr>
          <w:rFonts w:hint="eastAsia" w:ascii="宋体" w:hAnsi="宋体" w:eastAsia="宋体"/>
          <w:color w:val="auto"/>
          <w:sz w:val="24"/>
          <w:highlight w:val="none"/>
        </w:rPr>
        <w:t>标截止时间前通过网上招标投标系统递交有效电子投标文件的，开标系统不予接收，投标将被拒绝。</w:t>
      </w:r>
    </w:p>
    <w:p w14:paraId="481B23B1">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54351AB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3.2投标人有下列情形之一的,资格审查后其投标作无效投标处理：</w:t>
      </w:r>
    </w:p>
    <w:p w14:paraId="144F8B8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(1)投标人为本项目提供招标代理服务的；</w:t>
      </w:r>
    </w:p>
    <w:p w14:paraId="4AA926E4">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(2)投标人与在本项目代理机构存在相互任职或工作的；</w:t>
      </w:r>
    </w:p>
    <w:p w14:paraId="5645D909">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(3)招标公告写明专门面向中小企业采购，投标人提供的服务非中小企业制造的；</w:t>
      </w:r>
    </w:p>
    <w:p w14:paraId="50A410CD">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(4)要求供应商以联合体形式参加采购活动，投标人非联合体或者联合协议中中小企业合同金额未达到应当达到的比例；</w:t>
      </w:r>
    </w:p>
    <w:p w14:paraId="41255CD8">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(5)要求获得采购合同的供应商向中小企业分包，投标人未提供分包意向协议或者分包意向协议中中小企业合同金额未达到应当达到的比例；</w:t>
      </w:r>
    </w:p>
    <w:p w14:paraId="5167922D">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(6)评标专家无法查看并检验电子投标文件中相关资料的；</w:t>
      </w:r>
    </w:p>
    <w:p w14:paraId="0D5F9BA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(7)联合体投标未提交联合体协议的；</w:t>
      </w:r>
    </w:p>
    <w:p w14:paraId="27E3C85D">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(8)责令停产停业的；</w:t>
      </w:r>
    </w:p>
    <w:p w14:paraId="688A5812">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(9)暂停或者取消参与政府采购项目资格的；</w:t>
      </w:r>
    </w:p>
    <w:p w14:paraId="1E61A4E6">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(10)投标人单位负责人为同一人或者存在（直接）控股、管理关系的不同单位的；</w:t>
      </w:r>
    </w:p>
    <w:p w14:paraId="22FFD6C9">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(11)投标人基本资格条件和特定资格条件中有一项及以上不符合要求的；</w:t>
      </w:r>
    </w:p>
    <w:p w14:paraId="4BDF9E95">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5CD3917E">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(13)其它情形，经评标委员会委提出按无效投标处理，并经公共资源交易监督部门核准的；</w:t>
      </w:r>
    </w:p>
    <w:p w14:paraId="3B818709">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(14)投标人投标MAC地址或投标人联系人或联系电话相同的，由评标委员会否决其投标，并报告监管部门作不良行为处理和进一步调查；</w:t>
      </w:r>
    </w:p>
    <w:p w14:paraId="73262C33">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(15)投标人单方面出现其他投标人材料的；</w:t>
      </w:r>
    </w:p>
    <w:p w14:paraId="1A7A88C1">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(16)招标公告未写明允许采购进口产品，投标人所投产品为进口产品的；</w:t>
      </w:r>
    </w:p>
    <w:p w14:paraId="69DD2110">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(17)招标文件规定的其它无效投标情形。</w:t>
      </w:r>
    </w:p>
    <w:p w14:paraId="634A518E">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3.3 投标人有下列情形之一的,符合性审查后其投标按无效投标处理：</w:t>
      </w:r>
    </w:p>
    <w:p w14:paraId="3527A042">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(1)投标文件签字、盖章不全，经评标委员会一致认定对开评标内容有实质性影响并经公共资源交易监督部门核准的；</w:t>
      </w:r>
    </w:p>
    <w:p w14:paraId="4C3BDE7D">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(2)未按规定的格式填写导致实质性内容不全以及实质上不响应，或者关键字迹模糊、无法辨认； 经公共资源交易监督部门核准的；</w:t>
      </w:r>
    </w:p>
    <w:p w14:paraId="2FD34B6F">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(3)同一投标人提交两个以上不同的投标文件或者投标报价，但招标文件规定提交备选方案的除外；</w:t>
      </w:r>
    </w:p>
    <w:p w14:paraId="5801BBF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(4)投标文件没有对招标文件的实质性要求和条件作出响应;</w:t>
      </w:r>
    </w:p>
    <w:p w14:paraId="5595AA82">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(5)投标报价超出规定的投标限价或公布的采购预算的或投标人的投标报价各项单价高于招标文件给定的单价最高限价；</w:t>
      </w:r>
    </w:p>
    <w:p w14:paraId="69BB0FA5">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(6)不按评标委员会要求澄清、说明或补正的，或者评标委员会根据招标文件的规定对投标文件的计算错误进行修正后，投标人不接受修正的投标报价的。</w:t>
      </w:r>
    </w:p>
    <w:p w14:paraId="485425A7">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(7)其它情形，经评标委员会委提出按无效投标处理，并经公共资源交易监督部门核准的；</w:t>
      </w:r>
    </w:p>
    <w:p w14:paraId="5F35430B">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(8)投标文件含有采购人不能接受的附加条件的；</w:t>
      </w:r>
    </w:p>
    <w:p w14:paraId="1959F2D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(9)招标文件规定的其它无效投标情形。</w:t>
      </w:r>
    </w:p>
    <w:p w14:paraId="2AC6B10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3.4 投标人有下列情形之一的, 详细评审后其投标按无效投标处理：</w:t>
      </w:r>
    </w:p>
    <w:p w14:paraId="2382EC02">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(1)投标产品不符合必须强制执行的国家标准的；</w:t>
      </w:r>
    </w:p>
    <w:p w14:paraId="70A4C99D">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(2)投标人有串通投标、弄虚作假、行贿等违法行为；</w:t>
      </w:r>
    </w:p>
    <w:p w14:paraId="7CD77169">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(3)投标文件含有违反国家法律、法规的内容，或附有采购人不能接受的条件的；</w:t>
      </w:r>
    </w:p>
    <w:p w14:paraId="7026C034">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(4)报价明显低于其他投标人，且不能证明报价合理性的投标无效；</w:t>
      </w:r>
    </w:p>
    <w:p w14:paraId="19A87CDC">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(5)拒不确认评标委员会评审修正的投标无效；</w:t>
      </w:r>
    </w:p>
    <w:p w14:paraId="6FCAC209">
      <w:pPr>
        <w:spacing w:line="440" w:lineRule="exact"/>
        <w:ind w:firstLine="437"/>
        <w:rPr>
          <w:rFonts w:ascii="宋体" w:hAnsi="宋体" w:eastAsia="宋体"/>
          <w:color w:val="auto"/>
          <w:sz w:val="24"/>
          <w:highlight w:val="none"/>
        </w:rPr>
      </w:pPr>
      <w:r>
        <w:rPr>
          <w:rFonts w:hint="eastAsia" w:ascii="宋体" w:hAnsi="宋体" w:eastAsia="宋体"/>
          <w:color w:val="auto"/>
          <w:sz w:val="24"/>
          <w:highlight w:val="none"/>
        </w:rPr>
        <w:t>(6)其它情形，经评标委员会委提出按无效投标处理，并经公共资源交易监督部门核准的；</w:t>
      </w:r>
    </w:p>
    <w:p w14:paraId="5082C35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(7)招标文件规定的其它无效投标情形。</w:t>
      </w:r>
      <w:r>
        <w:rPr>
          <w:rFonts w:ascii="宋体" w:hAnsi="宋体" w:eastAsia="宋体"/>
          <w:color w:val="auto"/>
          <w:sz w:val="24"/>
          <w:highlight w:val="none"/>
        </w:rPr>
        <w:br w:type="page"/>
      </w:r>
    </w:p>
    <w:p w14:paraId="438D966F">
      <w:pPr>
        <w:spacing w:line="360" w:lineRule="auto"/>
        <w:jc w:val="center"/>
        <w:outlineLvl w:val="0"/>
        <w:rPr>
          <w:rFonts w:ascii="宋体" w:hAnsi="宋体" w:eastAsia="宋体"/>
          <w:b/>
          <w:color w:val="auto"/>
          <w:sz w:val="28"/>
          <w:highlight w:val="none"/>
        </w:rPr>
      </w:pPr>
      <w:bookmarkStart w:id="101" w:name="_Toc3631"/>
      <w:r>
        <w:rPr>
          <w:rFonts w:hint="eastAsia" w:ascii="宋体" w:hAnsi="宋体" w:eastAsia="宋体"/>
          <w:b/>
          <w:color w:val="auto"/>
          <w:sz w:val="28"/>
          <w:highlight w:val="none"/>
        </w:rPr>
        <w:t>第</w:t>
      </w:r>
      <w:r>
        <w:rPr>
          <w:rFonts w:hint="eastAsia" w:ascii="宋体" w:hAnsi="宋体" w:eastAsia="宋体"/>
          <w:b/>
          <w:color w:val="auto"/>
          <w:sz w:val="28"/>
          <w:highlight w:val="none"/>
          <w:lang w:val="en-US" w:eastAsia="zh-CN"/>
        </w:rPr>
        <w:t>五</w:t>
      </w:r>
      <w:r>
        <w:rPr>
          <w:rFonts w:hint="eastAsia" w:ascii="宋体" w:hAnsi="宋体" w:eastAsia="宋体"/>
          <w:b/>
          <w:color w:val="auto"/>
          <w:sz w:val="28"/>
          <w:highlight w:val="none"/>
        </w:rPr>
        <w:t xml:space="preserve">章 </w:t>
      </w:r>
      <w:r>
        <w:rPr>
          <w:rFonts w:ascii="宋体" w:hAnsi="宋体" w:eastAsia="宋体"/>
          <w:b/>
          <w:color w:val="auto"/>
          <w:sz w:val="28"/>
          <w:highlight w:val="none"/>
        </w:rPr>
        <w:t>政府采购合同</w:t>
      </w:r>
      <w:bookmarkEnd w:id="101"/>
    </w:p>
    <w:p w14:paraId="29D0FD63">
      <w:pPr>
        <w:spacing w:line="480" w:lineRule="auto"/>
        <w:jc w:val="center"/>
        <w:rPr>
          <w:rFonts w:ascii="宋体" w:hAnsi="宋体" w:eastAsia="宋体" w:cs="Times New Roman"/>
          <w:b/>
          <w:color w:val="auto"/>
          <w:sz w:val="28"/>
          <w:szCs w:val="28"/>
          <w:highlight w:val="none"/>
        </w:rPr>
      </w:pPr>
      <w:bookmarkStart w:id="102" w:name="_Toc331685784"/>
    </w:p>
    <w:p w14:paraId="5195895E">
      <w:pPr>
        <w:pStyle w:val="9"/>
        <w:rPr>
          <w:color w:val="auto"/>
          <w:highlight w:val="none"/>
        </w:rPr>
      </w:pPr>
    </w:p>
    <w:p w14:paraId="70C3C325">
      <w:pPr>
        <w:spacing w:line="480" w:lineRule="auto"/>
        <w:jc w:val="center"/>
        <w:outlineLvl w:val="1"/>
        <w:rPr>
          <w:rFonts w:ascii="宋体" w:hAnsi="宋体" w:eastAsia="宋体" w:cs="Times New Roman"/>
          <w:b/>
          <w:color w:val="auto"/>
          <w:sz w:val="28"/>
          <w:szCs w:val="28"/>
          <w:highlight w:val="none"/>
        </w:rPr>
      </w:pPr>
      <w:bookmarkStart w:id="103" w:name="_Toc3714"/>
      <w:bookmarkStart w:id="104" w:name="_Toc3151"/>
      <w:bookmarkStart w:id="105" w:name="_Toc16062"/>
      <w:bookmarkStart w:id="106" w:name="_Toc8783"/>
      <w:bookmarkStart w:id="107" w:name="_Toc7291"/>
      <w:r>
        <w:rPr>
          <w:rFonts w:ascii="宋体" w:hAnsi="宋体" w:eastAsia="宋体" w:cs="Times New Roman"/>
          <w:b/>
          <w:color w:val="auto"/>
          <w:sz w:val="28"/>
          <w:szCs w:val="28"/>
          <w:highlight w:val="none"/>
        </w:rPr>
        <w:t>政府采购合同</w:t>
      </w:r>
      <w:bookmarkEnd w:id="103"/>
      <w:r>
        <w:rPr>
          <w:rFonts w:hint="eastAsia" w:ascii="宋体" w:hAnsi="宋体" w:eastAsia="宋体" w:cs="Times New Roman"/>
          <w:b/>
          <w:color w:val="auto"/>
          <w:sz w:val="28"/>
          <w:szCs w:val="28"/>
          <w:highlight w:val="none"/>
        </w:rPr>
        <w:t>（参考）</w:t>
      </w:r>
      <w:bookmarkEnd w:id="104"/>
      <w:bookmarkEnd w:id="105"/>
      <w:bookmarkEnd w:id="106"/>
      <w:bookmarkEnd w:id="107"/>
      <w:r>
        <w:rPr>
          <w:rFonts w:hint="eastAsia" w:ascii="宋体" w:hAnsi="宋体" w:eastAsia="宋体" w:cs="Times New Roman"/>
          <w:b/>
          <w:color w:val="auto"/>
          <w:sz w:val="28"/>
          <w:szCs w:val="28"/>
          <w:highlight w:val="none"/>
        </w:rPr>
        <w:t xml:space="preserve"> </w:t>
      </w:r>
    </w:p>
    <w:p w14:paraId="21226724">
      <w:pPr>
        <w:spacing w:line="480" w:lineRule="auto"/>
        <w:jc w:val="center"/>
        <w:outlineLvl w:val="1"/>
        <w:rPr>
          <w:rFonts w:ascii="宋体" w:hAnsi="宋体" w:eastAsia="宋体" w:cs="Times New Roman"/>
          <w:b/>
          <w:color w:val="auto"/>
          <w:sz w:val="28"/>
          <w:szCs w:val="28"/>
          <w:highlight w:val="none"/>
        </w:rPr>
      </w:pPr>
      <w:bookmarkStart w:id="108" w:name="_Toc23365"/>
      <w:bookmarkStart w:id="109" w:name="_Toc10293"/>
      <w:bookmarkStart w:id="110" w:name="_Toc8560"/>
      <w:bookmarkStart w:id="111" w:name="_Toc12614"/>
      <w:bookmarkStart w:id="112" w:name="_Toc4812"/>
      <w:r>
        <w:rPr>
          <w:rFonts w:hint="eastAsia" w:ascii="宋体" w:hAnsi="宋体" w:eastAsia="宋体" w:cs="Times New Roman"/>
          <w:b/>
          <w:color w:val="auto"/>
          <w:sz w:val="28"/>
          <w:szCs w:val="28"/>
          <w:highlight w:val="none"/>
        </w:rPr>
        <w:t>（服务类）</w:t>
      </w:r>
      <w:bookmarkEnd w:id="108"/>
      <w:bookmarkEnd w:id="109"/>
      <w:bookmarkEnd w:id="110"/>
      <w:bookmarkEnd w:id="111"/>
      <w:bookmarkEnd w:id="112"/>
    </w:p>
    <w:p w14:paraId="3FDB9DEE">
      <w:pPr>
        <w:spacing w:line="480" w:lineRule="auto"/>
        <w:jc w:val="center"/>
        <w:rPr>
          <w:rFonts w:ascii="宋体" w:hAnsi="宋体" w:eastAsia="宋体" w:cs="Times New Roman"/>
          <w:b/>
          <w:color w:val="auto"/>
          <w:sz w:val="24"/>
          <w:szCs w:val="24"/>
          <w:highlight w:val="none"/>
        </w:rPr>
      </w:pPr>
    </w:p>
    <w:p w14:paraId="674682BC">
      <w:pPr>
        <w:spacing w:line="480" w:lineRule="auto"/>
        <w:jc w:val="center"/>
        <w:rPr>
          <w:rFonts w:ascii="宋体" w:hAnsi="宋体" w:eastAsia="宋体" w:cs="Times New Roman"/>
          <w:b/>
          <w:color w:val="auto"/>
          <w:sz w:val="24"/>
          <w:szCs w:val="24"/>
          <w:highlight w:val="none"/>
        </w:rPr>
      </w:pPr>
    </w:p>
    <w:p w14:paraId="171246E2">
      <w:pPr>
        <w:spacing w:line="480" w:lineRule="auto"/>
        <w:jc w:val="center"/>
        <w:outlineLvl w:val="1"/>
        <w:rPr>
          <w:rFonts w:ascii="宋体" w:hAnsi="宋体" w:eastAsia="宋体" w:cs="Times New Roman"/>
          <w:b/>
          <w:color w:val="auto"/>
          <w:sz w:val="28"/>
          <w:szCs w:val="28"/>
          <w:highlight w:val="none"/>
        </w:rPr>
      </w:pPr>
      <w:bookmarkStart w:id="113" w:name="_Toc2449"/>
      <w:bookmarkStart w:id="114" w:name="_Toc10307"/>
      <w:bookmarkStart w:id="115" w:name="_Toc13409"/>
      <w:bookmarkStart w:id="116" w:name="_Toc5007"/>
      <w:bookmarkStart w:id="117" w:name="_Toc236"/>
      <w:r>
        <w:rPr>
          <w:rFonts w:hint="eastAsia" w:ascii="宋体" w:hAnsi="宋体" w:eastAsia="宋体" w:cs="Times New Roman"/>
          <w:b/>
          <w:color w:val="auto"/>
          <w:sz w:val="28"/>
          <w:szCs w:val="28"/>
          <w:highlight w:val="none"/>
        </w:rPr>
        <w:t xml:space="preserve">第一部分 </w:t>
      </w:r>
      <w:bookmarkEnd w:id="113"/>
      <w:r>
        <w:rPr>
          <w:rFonts w:hint="eastAsia" w:ascii="宋体" w:hAnsi="宋体" w:eastAsia="宋体" w:cs="Times New Roman"/>
          <w:b/>
          <w:color w:val="auto"/>
          <w:sz w:val="28"/>
          <w:szCs w:val="28"/>
          <w:highlight w:val="none"/>
        </w:rPr>
        <w:t>合同协议</w:t>
      </w:r>
      <w:bookmarkEnd w:id="114"/>
      <w:bookmarkEnd w:id="115"/>
      <w:bookmarkEnd w:id="116"/>
      <w:bookmarkEnd w:id="117"/>
    </w:p>
    <w:p w14:paraId="333604C0">
      <w:pPr>
        <w:spacing w:line="360" w:lineRule="auto"/>
        <w:jc w:val="center"/>
        <w:outlineLvl w:val="1"/>
        <w:rPr>
          <w:rFonts w:ascii="宋体" w:hAnsi="宋体" w:eastAsia="宋体"/>
          <w:b/>
          <w:color w:val="auto"/>
          <w:sz w:val="24"/>
          <w:highlight w:val="none"/>
        </w:rPr>
      </w:pPr>
    </w:p>
    <w:p w14:paraId="3A60F984">
      <w:pPr>
        <w:spacing w:line="480" w:lineRule="auto"/>
        <w:jc w:val="center"/>
        <w:rPr>
          <w:rFonts w:ascii="宋体" w:hAnsi="宋体" w:eastAsia="宋体" w:cs="Times New Roman"/>
          <w:b/>
          <w:color w:val="auto"/>
          <w:sz w:val="24"/>
          <w:szCs w:val="24"/>
          <w:highlight w:val="none"/>
        </w:rPr>
      </w:pPr>
    </w:p>
    <w:p w14:paraId="35510689">
      <w:pPr>
        <w:spacing w:line="480" w:lineRule="auto"/>
        <w:jc w:val="center"/>
        <w:rPr>
          <w:rFonts w:ascii="宋体" w:hAnsi="宋体" w:eastAsia="宋体" w:cs="Times New Roman"/>
          <w:b/>
          <w:color w:val="auto"/>
          <w:sz w:val="24"/>
          <w:szCs w:val="24"/>
          <w:highlight w:val="none"/>
        </w:rPr>
      </w:pPr>
    </w:p>
    <w:p w14:paraId="0074777C">
      <w:pPr>
        <w:pStyle w:val="9"/>
        <w:rPr>
          <w:color w:val="auto"/>
          <w:highlight w:val="none"/>
        </w:rPr>
      </w:pPr>
    </w:p>
    <w:p w14:paraId="0F188EFD">
      <w:pPr>
        <w:pStyle w:val="9"/>
        <w:rPr>
          <w:color w:val="auto"/>
          <w:highlight w:val="none"/>
        </w:rPr>
      </w:pPr>
    </w:p>
    <w:p w14:paraId="3C324991">
      <w:pPr>
        <w:spacing w:before="120" w:line="480" w:lineRule="auto"/>
        <w:ind w:left="960"/>
        <w:rPr>
          <w:rFonts w:hint="eastAsia" w:ascii="宋体" w:hAnsi="宋体" w:eastAsia="宋体" w:cs="Times New Roman"/>
          <w:color w:val="auto"/>
          <w:sz w:val="24"/>
          <w:szCs w:val="24"/>
          <w:highlight w:val="none"/>
          <w:u w:val="single"/>
          <w:lang w:eastAsia="zh-CN"/>
        </w:rPr>
      </w:pPr>
      <w:r>
        <w:rPr>
          <w:rFonts w:hint="eastAsia" w:ascii="宋体" w:hAnsi="宋体" w:eastAsia="宋体" w:cs="Times New Roman"/>
          <w:color w:val="auto"/>
          <w:sz w:val="24"/>
          <w:szCs w:val="24"/>
          <w:highlight w:val="none"/>
        </w:rPr>
        <w:t>项目名称：</w:t>
      </w:r>
      <w:r>
        <w:rPr>
          <w:rFonts w:hint="eastAsia" w:ascii="宋体" w:hAnsi="宋体" w:eastAsia="宋体" w:cs="Times New Roman"/>
          <w:color w:val="auto"/>
          <w:sz w:val="24"/>
          <w:szCs w:val="24"/>
          <w:highlight w:val="none"/>
          <w:u w:val="single"/>
          <w:lang w:eastAsia="zh-CN"/>
        </w:rPr>
        <w:t>安徽滁州技师学院信息化标杆校数据融合基座项目</w:t>
      </w:r>
    </w:p>
    <w:p w14:paraId="703D13DB">
      <w:pPr>
        <w:spacing w:line="480" w:lineRule="auto"/>
        <w:ind w:firstLine="960" w:firstLineChars="4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项目编号：</w:t>
      </w:r>
      <w:r>
        <w:rPr>
          <w:rFonts w:hint="eastAsia" w:ascii="宋体" w:hAnsi="宋体" w:eastAsia="宋体" w:cs="Times New Roman"/>
          <w:color w:val="auto"/>
          <w:sz w:val="24"/>
          <w:szCs w:val="24"/>
          <w:highlight w:val="none"/>
          <w:u w:val="single"/>
          <w:lang w:bidi="ar"/>
        </w:rPr>
        <w:t xml:space="preserve">                              </w:t>
      </w:r>
    </w:p>
    <w:p w14:paraId="722FA859">
      <w:pPr>
        <w:spacing w:before="120" w:line="480" w:lineRule="auto"/>
        <w:ind w:left="960"/>
        <w:rPr>
          <w:rFonts w:hint="eastAsia" w:ascii="宋体" w:hAnsi="宋体" w:eastAsia="宋体" w:cs="Times New Roman"/>
          <w:color w:val="auto"/>
          <w:sz w:val="24"/>
          <w:szCs w:val="24"/>
          <w:highlight w:val="none"/>
          <w:u w:val="single"/>
          <w:lang w:eastAsia="zh-CN"/>
        </w:rPr>
      </w:pPr>
      <w:r>
        <w:rPr>
          <w:rFonts w:hint="eastAsia" w:ascii="宋体" w:hAnsi="宋体" w:eastAsia="宋体" w:cs="Times New Roman"/>
          <w:color w:val="auto"/>
          <w:sz w:val="24"/>
          <w:szCs w:val="24"/>
          <w:highlight w:val="none"/>
        </w:rPr>
        <w:t>甲方（采购人）：</w:t>
      </w:r>
      <w:r>
        <w:rPr>
          <w:rFonts w:hint="eastAsia" w:ascii="宋体" w:hAnsi="宋体" w:eastAsia="宋体" w:cs="Times New Roman"/>
          <w:color w:val="auto"/>
          <w:sz w:val="24"/>
          <w:szCs w:val="24"/>
          <w:highlight w:val="none"/>
          <w:u w:val="single"/>
          <w:lang w:eastAsia="zh-CN"/>
        </w:rPr>
        <w:t>滁州市机电工程学校（滁州市第一职业高级中学、滁州技师学院）</w:t>
      </w:r>
    </w:p>
    <w:p w14:paraId="295A5ED6">
      <w:pPr>
        <w:spacing w:before="120" w:line="480" w:lineRule="auto"/>
        <w:ind w:left="960"/>
        <w:rPr>
          <w:rFonts w:ascii="宋体" w:hAnsi="宋体" w:eastAsia="宋体" w:cs="Times New Roman"/>
          <w:color w:val="auto"/>
          <w:sz w:val="24"/>
          <w:szCs w:val="24"/>
          <w:highlight w:val="none"/>
          <w:u w:val="single"/>
        </w:rPr>
      </w:pPr>
      <w:r>
        <w:rPr>
          <w:rFonts w:hint="eastAsia" w:ascii="宋体" w:hAnsi="宋体" w:eastAsia="宋体" w:cs="宋体"/>
          <w:color w:val="auto"/>
          <w:sz w:val="24"/>
          <w:szCs w:val="24"/>
          <w:highlight w:val="none"/>
          <w:lang w:bidi="ar"/>
        </w:rPr>
        <w:t>乙方（中标人）：</w:t>
      </w:r>
      <w:r>
        <w:rPr>
          <w:rFonts w:hint="eastAsia" w:ascii="宋体" w:hAnsi="宋体" w:eastAsia="宋体" w:cs="Times New Roman"/>
          <w:color w:val="auto"/>
          <w:sz w:val="24"/>
          <w:szCs w:val="24"/>
          <w:highlight w:val="none"/>
          <w:u w:val="single"/>
          <w:lang w:bidi="ar"/>
        </w:rPr>
        <w:t xml:space="preserve">                              </w:t>
      </w:r>
    </w:p>
    <w:p w14:paraId="0AF4FF01">
      <w:pPr>
        <w:spacing w:before="120" w:line="480" w:lineRule="auto"/>
        <w:ind w:firstLine="960" w:firstLineChars="400"/>
        <w:rPr>
          <w:rFonts w:ascii="宋体" w:hAnsi="宋体" w:eastAsia="宋体" w:cs="Times New Roman"/>
          <w:color w:val="auto"/>
          <w:sz w:val="24"/>
          <w:szCs w:val="24"/>
          <w:highlight w:val="none"/>
          <w:u w:val="single"/>
        </w:rPr>
      </w:pPr>
      <w:r>
        <w:rPr>
          <w:rFonts w:hint="eastAsia" w:ascii="宋体" w:hAnsi="宋体" w:eastAsia="宋体" w:cs="宋体"/>
          <w:color w:val="auto"/>
          <w:sz w:val="24"/>
          <w:szCs w:val="24"/>
          <w:highlight w:val="none"/>
          <w:lang w:bidi="ar"/>
        </w:rPr>
        <w:t>签订地：</w:t>
      </w:r>
      <w:r>
        <w:rPr>
          <w:rFonts w:hint="eastAsia" w:ascii="宋体" w:hAnsi="宋体" w:eastAsia="宋体" w:cs="Times New Roman"/>
          <w:color w:val="auto"/>
          <w:sz w:val="24"/>
          <w:szCs w:val="24"/>
          <w:highlight w:val="none"/>
          <w:u w:val="single"/>
          <w:lang w:bidi="ar"/>
        </w:rPr>
        <w:t xml:space="preserve">                                     </w:t>
      </w:r>
    </w:p>
    <w:p w14:paraId="73E772DF">
      <w:pPr>
        <w:spacing w:before="120" w:line="480" w:lineRule="auto"/>
        <w:ind w:firstLine="960" w:firstLineChars="400"/>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ar"/>
        </w:rPr>
        <w:t>签订日期：</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112EC6FB">
      <w:pPr>
        <w:widowControl/>
        <w:jc w:val="left"/>
        <w:rPr>
          <w:rFonts w:ascii="宋体" w:hAnsi="宋体" w:eastAsia="宋体" w:cs="Times New Roman"/>
          <w:color w:val="auto"/>
          <w:sz w:val="24"/>
          <w:szCs w:val="24"/>
          <w:highlight w:val="none"/>
        </w:rPr>
      </w:pPr>
    </w:p>
    <w:p w14:paraId="4A94494D">
      <w:pPr>
        <w:widowControl/>
        <w:jc w:val="left"/>
        <w:rPr>
          <w:rFonts w:ascii="宋体" w:hAnsi="宋体" w:eastAsia="宋体" w:cs="Times New Roman"/>
          <w:color w:val="auto"/>
          <w:sz w:val="24"/>
          <w:szCs w:val="24"/>
          <w:highlight w:val="none"/>
        </w:rPr>
      </w:pPr>
    </w:p>
    <w:p w14:paraId="35CCD8B4">
      <w:pPr>
        <w:widowControl/>
        <w:jc w:val="left"/>
        <w:rPr>
          <w:color w:val="auto"/>
          <w:highlight w:val="none"/>
        </w:rPr>
      </w:pPr>
      <w:r>
        <w:rPr>
          <w:rFonts w:ascii="仿宋" w:hAnsi="仿宋" w:eastAsia="仿宋" w:cs="仿宋"/>
          <w:b/>
          <w:bCs/>
          <w:color w:val="auto"/>
          <w:kern w:val="0"/>
          <w:sz w:val="24"/>
          <w:szCs w:val="24"/>
          <w:highlight w:val="none"/>
          <w:lang w:bidi="ar"/>
        </w:rPr>
        <w:t>注：本合同仅为合同的参考文本，合同签订双方可根据项目的具体要求进行修订。</w:t>
      </w:r>
    </w:p>
    <w:p w14:paraId="0EA2410B">
      <w:pPr>
        <w:widowControl/>
        <w:jc w:val="left"/>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br w:type="page"/>
      </w:r>
    </w:p>
    <w:p w14:paraId="01A5F9B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u w:val="single"/>
          <w:lang w:eastAsia="zh-CN"/>
        </w:rPr>
        <w:t>滁州市机电工程学校（滁州市第一职业高级中学、滁州技师学院）</w:t>
      </w:r>
      <w:r>
        <w:rPr>
          <w:rFonts w:hint="eastAsia" w:ascii="宋体" w:hAnsi="宋体" w:eastAsia="宋体"/>
          <w:color w:val="auto"/>
          <w:sz w:val="24"/>
          <w:highlight w:val="none"/>
        </w:rPr>
        <w:t>（</w:t>
      </w:r>
      <w:r>
        <w:rPr>
          <w:rFonts w:hint="eastAsia" w:ascii="宋体" w:hAnsi="宋体" w:eastAsia="宋体" w:cs="Times New Roman"/>
          <w:color w:val="auto"/>
          <w:sz w:val="24"/>
          <w:szCs w:val="24"/>
          <w:highlight w:val="none"/>
          <w:lang w:val="zh-CN"/>
        </w:rPr>
        <w:t>以下简称：甲方</w:t>
      </w:r>
      <w:r>
        <w:rPr>
          <w:rFonts w:hint="eastAsia" w:ascii="宋体" w:hAnsi="宋体" w:eastAsia="宋体"/>
          <w:color w:val="auto"/>
          <w:sz w:val="24"/>
          <w:highlight w:val="none"/>
        </w:rPr>
        <w:t>）通过</w:t>
      </w:r>
      <w:r>
        <w:rPr>
          <w:rFonts w:hint="eastAsia" w:ascii="宋体" w:hAnsi="宋体" w:eastAsia="宋体"/>
          <w:color w:val="auto"/>
          <w:sz w:val="24"/>
          <w:highlight w:val="none"/>
          <w:u w:val="single"/>
          <w:lang w:eastAsia="zh-CN"/>
        </w:rPr>
        <w:t>滁州市政府采购中心</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组织的</w:t>
      </w:r>
      <w:r>
        <w:rPr>
          <w:rFonts w:hint="eastAsia" w:ascii="宋体" w:hAnsi="宋体" w:eastAsia="宋体"/>
          <w:color w:val="auto"/>
          <w:sz w:val="24"/>
          <w:highlight w:val="none"/>
          <w:u w:val="single"/>
        </w:rPr>
        <w:t>公开招标</w:t>
      </w:r>
      <w:r>
        <w:rPr>
          <w:rFonts w:hint="eastAsia" w:ascii="宋体" w:hAnsi="宋体" w:eastAsia="宋体"/>
          <w:color w:val="auto"/>
          <w:sz w:val="24"/>
          <w:highlight w:val="none"/>
        </w:rPr>
        <w:t>方式采购活动，经</w:t>
      </w:r>
      <w:r>
        <w:rPr>
          <w:rFonts w:hint="eastAsia" w:ascii="宋体" w:hAnsi="宋体" w:eastAsia="宋体"/>
          <w:color w:val="auto"/>
          <w:sz w:val="24"/>
          <w:highlight w:val="none"/>
          <w:u w:val="single"/>
        </w:rPr>
        <w:t>评标委员会</w:t>
      </w:r>
      <w:r>
        <w:rPr>
          <w:rFonts w:hint="eastAsia" w:ascii="宋体" w:hAnsi="宋体" w:eastAsia="宋体"/>
          <w:color w:val="auto"/>
          <w:sz w:val="24"/>
          <w:highlight w:val="none"/>
        </w:rPr>
        <w:t>评定，（</w:t>
      </w:r>
      <w:r>
        <w:rPr>
          <w:rFonts w:hint="eastAsia" w:ascii="宋体" w:hAnsi="宋体" w:eastAsia="宋体" w:cs="Times New Roman"/>
          <w:color w:val="auto"/>
          <w:sz w:val="24"/>
          <w:szCs w:val="24"/>
          <w:highlight w:val="none"/>
          <w:lang w:val="zh-CN"/>
        </w:rPr>
        <w:t>以下简称：乙方</w:t>
      </w:r>
      <w:r>
        <w:rPr>
          <w:rFonts w:hint="eastAsia" w:ascii="宋体" w:hAnsi="宋体" w:eastAsia="宋体"/>
          <w:color w:val="auto"/>
          <w:sz w:val="24"/>
          <w:highlight w:val="none"/>
        </w:rPr>
        <w:t>）为本项目中标人，现</w:t>
      </w:r>
      <w:r>
        <w:rPr>
          <w:rFonts w:hint="eastAsia" w:ascii="宋体" w:hAnsi="宋体" w:eastAsia="宋体" w:cs="Times New Roman"/>
          <w:color w:val="auto"/>
          <w:sz w:val="24"/>
          <w:szCs w:val="24"/>
          <w:highlight w:val="none"/>
        </w:rPr>
        <w:t>按照采购文件确定的事项签订本合同。</w:t>
      </w:r>
    </w:p>
    <w:p w14:paraId="5768EC11">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6F35302D">
      <w:pPr>
        <w:spacing w:line="360" w:lineRule="auto"/>
        <w:ind w:firstLine="437"/>
        <w:outlineLvl w:val="2"/>
        <w:rPr>
          <w:rFonts w:ascii="宋体" w:hAnsi="宋体" w:eastAsia="宋体" w:cs="Times New Roman"/>
          <w:b/>
          <w:bCs/>
          <w:color w:val="auto"/>
          <w:sz w:val="24"/>
          <w:szCs w:val="24"/>
          <w:highlight w:val="none"/>
          <w:lang w:val="zh-CN"/>
        </w:rPr>
      </w:pPr>
      <w:bookmarkStart w:id="118" w:name="_Toc3029"/>
      <w:bookmarkStart w:id="119" w:name="_Toc24059"/>
      <w:bookmarkStart w:id="120" w:name="_Toc2232"/>
      <w:r>
        <w:rPr>
          <w:rFonts w:hint="eastAsia" w:ascii="宋体" w:hAnsi="宋体" w:eastAsia="宋体" w:cs="Times New Roman"/>
          <w:b/>
          <w:bCs/>
          <w:color w:val="auto"/>
          <w:sz w:val="24"/>
          <w:szCs w:val="24"/>
          <w:highlight w:val="none"/>
          <w:lang w:val="zh-CN"/>
        </w:rPr>
        <w:t>1.1合同组成部分</w:t>
      </w:r>
      <w:bookmarkEnd w:id="118"/>
      <w:bookmarkEnd w:id="119"/>
      <w:bookmarkEnd w:id="120"/>
    </w:p>
    <w:p w14:paraId="66861825">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1592F90">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1.1.1本合同及其补充合同、变更协议；</w:t>
      </w:r>
    </w:p>
    <w:p w14:paraId="15828547">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1.1.2中标通知书；</w:t>
      </w:r>
    </w:p>
    <w:p w14:paraId="4B3F9FBA">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1.1.3投标文件（含澄清或者说明文件）；</w:t>
      </w:r>
    </w:p>
    <w:p w14:paraId="62DF7F7B">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1.1.4招标文件（含澄清或者修改文件）；</w:t>
      </w:r>
    </w:p>
    <w:p w14:paraId="332A7484">
      <w:pPr>
        <w:spacing w:line="360" w:lineRule="auto"/>
        <w:ind w:firstLine="435"/>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1.1.5其他相关采购文件。</w:t>
      </w:r>
    </w:p>
    <w:p w14:paraId="7EC4B5D4">
      <w:pPr>
        <w:spacing w:line="360" w:lineRule="auto"/>
        <w:ind w:firstLine="437"/>
        <w:outlineLvl w:val="2"/>
        <w:rPr>
          <w:rFonts w:ascii="宋体" w:hAnsi="宋体" w:eastAsia="宋体" w:cs="Times New Roman"/>
          <w:b/>
          <w:bCs/>
          <w:color w:val="auto"/>
          <w:sz w:val="24"/>
          <w:szCs w:val="24"/>
          <w:highlight w:val="none"/>
          <w:lang w:val="zh-CN"/>
        </w:rPr>
      </w:pPr>
      <w:bookmarkStart w:id="121" w:name="_Toc22185"/>
      <w:bookmarkStart w:id="122" w:name="_Toc6773"/>
      <w:bookmarkStart w:id="123" w:name="_Toc18585"/>
      <w:bookmarkStart w:id="124" w:name="_Toc6311"/>
      <w:bookmarkStart w:id="125" w:name="_Toc2918"/>
      <w:r>
        <w:rPr>
          <w:rFonts w:hint="eastAsia" w:ascii="宋体" w:hAnsi="宋体" w:eastAsia="宋体" w:cs="Times New Roman"/>
          <w:b/>
          <w:bCs/>
          <w:color w:val="auto"/>
          <w:sz w:val="24"/>
          <w:szCs w:val="24"/>
          <w:highlight w:val="none"/>
          <w:lang w:val="zh-CN"/>
        </w:rPr>
        <w:t xml:space="preserve">1.2 </w:t>
      </w:r>
      <w:bookmarkEnd w:id="121"/>
      <w:bookmarkEnd w:id="122"/>
      <w:bookmarkEnd w:id="123"/>
      <w:bookmarkEnd w:id="124"/>
      <w:bookmarkEnd w:id="125"/>
      <w:r>
        <w:rPr>
          <w:rFonts w:hint="eastAsia" w:ascii="宋体" w:hAnsi="宋体" w:eastAsia="宋体" w:cs="Times New Roman"/>
          <w:b/>
          <w:bCs/>
          <w:color w:val="auto"/>
          <w:sz w:val="24"/>
          <w:szCs w:val="24"/>
          <w:highlight w:val="none"/>
          <w:lang w:val="zh-CN"/>
        </w:rPr>
        <w:t>服务</w:t>
      </w:r>
    </w:p>
    <w:p w14:paraId="5B8089F7">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1.2.1服务</w:t>
      </w:r>
      <w:r>
        <w:rPr>
          <w:rFonts w:ascii="宋体" w:hAnsi="宋体" w:eastAsia="宋体" w:cs="Times New Roman"/>
          <w:color w:val="auto"/>
          <w:sz w:val="24"/>
          <w:szCs w:val="24"/>
          <w:highlight w:val="none"/>
        </w:rPr>
        <w:t>名称：</w:t>
      </w:r>
      <w:r>
        <w:rPr>
          <w:rFonts w:hint="eastAsia" w:ascii="宋体" w:hAnsi="宋体" w:eastAsia="宋体" w:cs="Times New Roman"/>
          <w:color w:val="auto"/>
          <w:sz w:val="24"/>
          <w:szCs w:val="24"/>
          <w:highlight w:val="none"/>
          <w:u w:val="single"/>
          <w:lang w:eastAsia="zh-CN"/>
        </w:rPr>
        <w:t>安徽滁州技师学院信息化标杆校数据融合基座项目</w:t>
      </w:r>
      <w:r>
        <w:rPr>
          <w:rFonts w:hint="eastAsia" w:ascii="宋体" w:hAnsi="宋体" w:eastAsia="宋体" w:cs="Times New Roman"/>
          <w:color w:val="auto"/>
          <w:sz w:val="24"/>
          <w:szCs w:val="24"/>
          <w:highlight w:val="none"/>
        </w:rPr>
        <w:t>；</w:t>
      </w:r>
    </w:p>
    <w:p w14:paraId="6D399D9F">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1.2.2服务内容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660D53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1.2.3服务质量：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BE1AEB9">
      <w:pPr>
        <w:spacing w:line="360" w:lineRule="auto"/>
        <w:ind w:firstLine="437"/>
        <w:outlineLvl w:val="2"/>
        <w:rPr>
          <w:rFonts w:ascii="宋体" w:hAnsi="宋体" w:eastAsia="宋体" w:cs="Times New Roman"/>
          <w:b/>
          <w:bCs/>
          <w:color w:val="auto"/>
          <w:sz w:val="24"/>
          <w:szCs w:val="24"/>
          <w:highlight w:val="none"/>
          <w:lang w:val="zh-CN"/>
        </w:rPr>
      </w:pPr>
      <w:bookmarkStart w:id="126" w:name="_Toc21551"/>
      <w:bookmarkStart w:id="127" w:name="_Toc21631"/>
      <w:bookmarkStart w:id="128" w:name="_Toc23292"/>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3 </w:t>
      </w:r>
      <w:r>
        <w:rPr>
          <w:rFonts w:hint="eastAsia" w:ascii="宋体" w:hAnsi="宋体" w:eastAsia="宋体" w:cs="Times New Roman"/>
          <w:b/>
          <w:bCs/>
          <w:color w:val="auto"/>
          <w:sz w:val="24"/>
          <w:szCs w:val="24"/>
          <w:highlight w:val="none"/>
          <w:lang w:val="zh-CN"/>
        </w:rPr>
        <w:t>价款</w:t>
      </w:r>
      <w:bookmarkEnd w:id="126"/>
      <w:bookmarkEnd w:id="127"/>
      <w:bookmarkEnd w:id="128"/>
    </w:p>
    <w:p w14:paraId="7BF8CB11">
      <w:pPr>
        <w:spacing w:line="360" w:lineRule="auto"/>
        <w:ind w:firstLine="435"/>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ar"/>
        </w:rPr>
        <w:t>本合同总价为：￥</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元（大写：人民币</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元）。</w:t>
      </w:r>
    </w:p>
    <w:p w14:paraId="12933F8B">
      <w:pPr>
        <w:spacing w:line="360" w:lineRule="auto"/>
        <w:ind w:firstLine="435"/>
        <w:rPr>
          <w:rFonts w:ascii="宋体" w:hAnsi="宋体" w:eastAsia="宋体" w:cs="Times New Roman"/>
          <w:color w:val="auto"/>
          <w:sz w:val="24"/>
          <w:szCs w:val="24"/>
          <w:highlight w:val="none"/>
          <w:u w:val="single"/>
        </w:rPr>
      </w:pPr>
      <w:r>
        <w:rPr>
          <w:rFonts w:ascii="宋体" w:hAnsi="宋体" w:eastAsia="宋体" w:cs="Times New Roman"/>
          <w:color w:val="auto"/>
          <w:sz w:val="24"/>
          <w:szCs w:val="24"/>
          <w:highlight w:val="none"/>
        </w:rPr>
        <w:t>分项价格：</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E90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35F96E6B">
            <w:pPr>
              <w:jc w:val="center"/>
              <w:rPr>
                <w:rFonts w:ascii="宋体" w:hAnsi="宋体" w:eastAsia="宋体" w:cs="Times New Roman"/>
                <w:color w:val="auto"/>
                <w:sz w:val="24"/>
                <w:szCs w:val="24"/>
                <w:highlight w:val="none"/>
                <w:lang w:val="zh-CN"/>
              </w:rPr>
            </w:pPr>
            <w:r>
              <w:rPr>
                <w:rFonts w:ascii="宋体" w:hAnsi="宋体" w:eastAsia="宋体" w:cs="Times New Roman"/>
                <w:color w:val="auto"/>
                <w:sz w:val="24"/>
                <w:szCs w:val="24"/>
                <w:highlight w:val="none"/>
                <w:lang w:val="zh-CN"/>
              </w:rPr>
              <w:t>序号</w:t>
            </w:r>
          </w:p>
        </w:tc>
        <w:tc>
          <w:tcPr>
            <w:tcW w:w="4316" w:type="dxa"/>
            <w:vAlign w:val="center"/>
          </w:tcPr>
          <w:p w14:paraId="3D0DDE2E">
            <w:pPr>
              <w:ind w:firstLine="20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分项名称</w:t>
            </w:r>
          </w:p>
        </w:tc>
        <w:tc>
          <w:tcPr>
            <w:tcW w:w="3237" w:type="dxa"/>
            <w:gridSpan w:val="2"/>
            <w:vAlign w:val="center"/>
          </w:tcPr>
          <w:p w14:paraId="58116659">
            <w:pPr>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分项价格</w:t>
            </w:r>
          </w:p>
        </w:tc>
      </w:tr>
      <w:tr w14:paraId="19B9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6F8585F4">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w:t>
            </w:r>
          </w:p>
        </w:tc>
        <w:tc>
          <w:tcPr>
            <w:tcW w:w="4316" w:type="dxa"/>
            <w:vAlign w:val="center"/>
          </w:tcPr>
          <w:p w14:paraId="7070DF38">
            <w:pPr>
              <w:ind w:firstLine="200"/>
              <w:jc w:val="center"/>
              <w:rPr>
                <w:rFonts w:ascii="宋体" w:hAnsi="宋体" w:eastAsia="宋体" w:cs="Times New Roman"/>
                <w:color w:val="auto"/>
                <w:sz w:val="24"/>
                <w:szCs w:val="24"/>
                <w:highlight w:val="none"/>
              </w:rPr>
            </w:pPr>
          </w:p>
        </w:tc>
        <w:tc>
          <w:tcPr>
            <w:tcW w:w="3237" w:type="dxa"/>
            <w:gridSpan w:val="2"/>
            <w:vAlign w:val="center"/>
          </w:tcPr>
          <w:p w14:paraId="353051AB">
            <w:pPr>
              <w:ind w:firstLine="200"/>
              <w:jc w:val="center"/>
              <w:rPr>
                <w:rFonts w:ascii="宋体" w:hAnsi="宋体" w:eastAsia="宋体" w:cs="Times New Roman"/>
                <w:color w:val="auto"/>
                <w:sz w:val="24"/>
                <w:szCs w:val="24"/>
                <w:highlight w:val="none"/>
              </w:rPr>
            </w:pPr>
          </w:p>
        </w:tc>
      </w:tr>
      <w:tr w14:paraId="065B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0A6E4D99">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2</w:t>
            </w:r>
          </w:p>
        </w:tc>
        <w:tc>
          <w:tcPr>
            <w:tcW w:w="4316" w:type="dxa"/>
            <w:vAlign w:val="center"/>
          </w:tcPr>
          <w:p w14:paraId="44A39004">
            <w:pPr>
              <w:ind w:firstLine="200"/>
              <w:jc w:val="center"/>
              <w:rPr>
                <w:rFonts w:ascii="宋体" w:hAnsi="宋体" w:eastAsia="宋体" w:cs="Times New Roman"/>
                <w:color w:val="auto"/>
                <w:sz w:val="24"/>
                <w:szCs w:val="24"/>
                <w:highlight w:val="none"/>
              </w:rPr>
            </w:pPr>
          </w:p>
        </w:tc>
        <w:tc>
          <w:tcPr>
            <w:tcW w:w="3237" w:type="dxa"/>
            <w:gridSpan w:val="2"/>
            <w:vAlign w:val="center"/>
          </w:tcPr>
          <w:p w14:paraId="51D8D473">
            <w:pPr>
              <w:ind w:firstLine="200"/>
              <w:jc w:val="center"/>
              <w:rPr>
                <w:rFonts w:ascii="宋体" w:hAnsi="宋体" w:eastAsia="宋体" w:cs="Times New Roman"/>
                <w:color w:val="auto"/>
                <w:sz w:val="24"/>
                <w:szCs w:val="24"/>
                <w:highlight w:val="none"/>
              </w:rPr>
            </w:pPr>
          </w:p>
        </w:tc>
      </w:tr>
      <w:tr w14:paraId="5DEA8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225FAB8">
            <w:pPr>
              <w:jc w:val="center"/>
              <w:rPr>
                <w:rFonts w:ascii="宋体" w:hAnsi="宋体" w:eastAsia="宋体" w:cs="Times New Roman"/>
                <w:color w:val="auto"/>
                <w:sz w:val="24"/>
                <w:szCs w:val="24"/>
                <w:highlight w:val="none"/>
                <w:lang w:val="zh-CN"/>
              </w:rPr>
            </w:pPr>
            <w:r>
              <w:rPr>
                <w:rFonts w:ascii="宋体" w:hAnsi="宋体" w:eastAsia="宋体" w:cs="Times New Roman"/>
                <w:color w:val="auto"/>
                <w:sz w:val="24"/>
                <w:szCs w:val="24"/>
                <w:highlight w:val="none"/>
                <w:lang w:val="zh-CN"/>
              </w:rPr>
              <w:t>3</w:t>
            </w:r>
          </w:p>
        </w:tc>
        <w:tc>
          <w:tcPr>
            <w:tcW w:w="4316" w:type="dxa"/>
            <w:vAlign w:val="center"/>
          </w:tcPr>
          <w:p w14:paraId="36106280">
            <w:pPr>
              <w:ind w:firstLine="200"/>
              <w:jc w:val="center"/>
              <w:rPr>
                <w:rFonts w:ascii="宋体" w:hAnsi="宋体" w:eastAsia="宋体" w:cs="Times New Roman"/>
                <w:color w:val="auto"/>
                <w:sz w:val="24"/>
                <w:szCs w:val="24"/>
                <w:highlight w:val="none"/>
              </w:rPr>
            </w:pPr>
          </w:p>
        </w:tc>
        <w:tc>
          <w:tcPr>
            <w:tcW w:w="3237" w:type="dxa"/>
            <w:gridSpan w:val="2"/>
            <w:vAlign w:val="center"/>
          </w:tcPr>
          <w:p w14:paraId="2D9F9381">
            <w:pPr>
              <w:ind w:firstLine="200"/>
              <w:jc w:val="center"/>
              <w:rPr>
                <w:rFonts w:ascii="宋体" w:hAnsi="宋体" w:eastAsia="宋体" w:cs="Times New Roman"/>
                <w:color w:val="auto"/>
                <w:sz w:val="24"/>
                <w:szCs w:val="24"/>
                <w:highlight w:val="none"/>
              </w:rPr>
            </w:pPr>
          </w:p>
        </w:tc>
      </w:tr>
      <w:tr w14:paraId="4467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0A7857D6">
            <w:pPr>
              <w:jc w:val="center"/>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w:t>
            </w:r>
          </w:p>
        </w:tc>
        <w:tc>
          <w:tcPr>
            <w:tcW w:w="4316" w:type="dxa"/>
            <w:vAlign w:val="center"/>
          </w:tcPr>
          <w:p w14:paraId="45CE5727">
            <w:pPr>
              <w:ind w:firstLine="200"/>
              <w:jc w:val="center"/>
              <w:rPr>
                <w:rFonts w:ascii="宋体" w:hAnsi="宋体" w:eastAsia="宋体" w:cs="Times New Roman"/>
                <w:color w:val="auto"/>
                <w:sz w:val="24"/>
                <w:szCs w:val="24"/>
                <w:highlight w:val="none"/>
              </w:rPr>
            </w:pPr>
          </w:p>
        </w:tc>
        <w:tc>
          <w:tcPr>
            <w:tcW w:w="3237" w:type="dxa"/>
            <w:gridSpan w:val="2"/>
            <w:vAlign w:val="center"/>
          </w:tcPr>
          <w:p w14:paraId="17F245AB">
            <w:pPr>
              <w:ind w:firstLine="200"/>
              <w:jc w:val="center"/>
              <w:rPr>
                <w:rFonts w:ascii="宋体" w:hAnsi="宋体" w:eastAsia="宋体" w:cs="Times New Roman"/>
                <w:color w:val="auto"/>
                <w:sz w:val="24"/>
                <w:szCs w:val="24"/>
                <w:highlight w:val="none"/>
              </w:rPr>
            </w:pPr>
          </w:p>
        </w:tc>
      </w:tr>
      <w:tr w14:paraId="71CE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D76F429">
            <w:pPr>
              <w:ind w:firstLine="200"/>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总价</w:t>
            </w:r>
          </w:p>
        </w:tc>
        <w:tc>
          <w:tcPr>
            <w:tcW w:w="3237" w:type="dxa"/>
            <w:gridSpan w:val="2"/>
            <w:vAlign w:val="center"/>
          </w:tcPr>
          <w:p w14:paraId="678198C4">
            <w:pPr>
              <w:ind w:firstLine="200"/>
              <w:jc w:val="center"/>
              <w:rPr>
                <w:rFonts w:ascii="宋体" w:hAnsi="宋体" w:eastAsia="宋体" w:cs="Times New Roman"/>
                <w:color w:val="auto"/>
                <w:sz w:val="24"/>
                <w:szCs w:val="24"/>
                <w:highlight w:val="none"/>
              </w:rPr>
            </w:pPr>
          </w:p>
        </w:tc>
      </w:tr>
    </w:tbl>
    <w:p w14:paraId="1B711B07">
      <w:pPr>
        <w:spacing w:line="360" w:lineRule="auto"/>
        <w:ind w:firstLine="437"/>
        <w:outlineLvl w:val="2"/>
        <w:rPr>
          <w:rFonts w:ascii="宋体" w:hAnsi="宋体" w:eastAsia="宋体" w:cs="Times New Roman"/>
          <w:b/>
          <w:bCs/>
          <w:color w:val="auto"/>
          <w:sz w:val="24"/>
          <w:szCs w:val="24"/>
          <w:highlight w:val="none"/>
          <w:lang w:val="zh-CN"/>
        </w:rPr>
      </w:pPr>
      <w:bookmarkStart w:id="129" w:name="_Toc1814"/>
      <w:bookmarkStart w:id="130" w:name="_Toc10340"/>
      <w:bookmarkStart w:id="131" w:name="_Toc22618"/>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4 付款方式和发票开具方式</w:t>
      </w:r>
      <w:bookmarkEnd w:id="129"/>
      <w:bookmarkEnd w:id="130"/>
      <w:bookmarkEnd w:id="131"/>
    </w:p>
    <w:p w14:paraId="5D269E4D">
      <w:pPr>
        <w:spacing w:line="360" w:lineRule="auto"/>
        <w:ind w:firstLine="437"/>
        <w:outlineLvl w:val="2"/>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1.4.1</w:t>
      </w:r>
      <w:r>
        <w:rPr>
          <w:rFonts w:ascii="宋体" w:hAnsi="宋体" w:eastAsia="宋体" w:cs="Times New Roman"/>
          <w:color w:val="auto"/>
          <w:sz w:val="24"/>
          <w:szCs w:val="24"/>
          <w:highlight w:val="none"/>
        </w:rPr>
        <w:t>付款方式：</w:t>
      </w:r>
      <w:r>
        <w:rPr>
          <w:rFonts w:hint="eastAsia" w:ascii="宋体" w:hAnsi="宋体" w:eastAsia="宋体" w:cs="Times New Roman"/>
          <w:color w:val="auto"/>
          <w:sz w:val="24"/>
          <w:szCs w:val="24"/>
          <w:highlight w:val="none"/>
          <w:u w:val="single"/>
        </w:rPr>
        <w:t xml:space="preserve">               。</w:t>
      </w:r>
    </w:p>
    <w:p w14:paraId="2D93EA1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1.4.2发票开具方式：</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1E88EA7F">
      <w:pPr>
        <w:spacing w:line="360" w:lineRule="auto"/>
        <w:ind w:firstLine="437"/>
        <w:outlineLvl w:val="2"/>
        <w:rPr>
          <w:color w:val="auto"/>
          <w:highlight w:val="none"/>
          <w:lang w:val="zh-CN"/>
        </w:rPr>
      </w:pPr>
      <w:bookmarkStart w:id="132" w:name="_Toc19304"/>
      <w:bookmarkStart w:id="133" w:name="_Toc32071"/>
      <w:bookmarkStart w:id="134" w:name="_Toc2846"/>
      <w:r>
        <w:rPr>
          <w:rFonts w:hint="eastAsia" w:ascii="宋体" w:hAnsi="宋体" w:eastAsia="宋体" w:cs="Times New Roman"/>
          <w:b/>
          <w:bCs/>
          <w:color w:val="auto"/>
          <w:sz w:val="24"/>
          <w:szCs w:val="24"/>
          <w:highlight w:val="none"/>
          <w:lang w:val="zh-CN"/>
        </w:rPr>
        <w:t>1.</w:t>
      </w:r>
      <w:r>
        <w:rPr>
          <w:rFonts w:ascii="宋体" w:hAnsi="宋体" w:eastAsia="宋体" w:cs="Times New Roman"/>
          <w:b/>
          <w:bCs/>
          <w:color w:val="auto"/>
          <w:sz w:val="24"/>
          <w:szCs w:val="24"/>
          <w:highlight w:val="none"/>
          <w:lang w:val="zh-CN"/>
        </w:rPr>
        <w:t xml:space="preserve">5 </w:t>
      </w:r>
      <w:r>
        <w:rPr>
          <w:rFonts w:hint="eastAsia" w:ascii="宋体" w:hAnsi="宋体" w:eastAsia="宋体" w:cs="Times New Roman"/>
          <w:b/>
          <w:bCs/>
          <w:color w:val="auto"/>
          <w:sz w:val="24"/>
          <w:szCs w:val="24"/>
          <w:highlight w:val="none"/>
          <w:lang w:val="zh-CN"/>
        </w:rPr>
        <w:t>服务</w:t>
      </w:r>
      <w:r>
        <w:rPr>
          <w:rFonts w:ascii="宋体" w:hAnsi="宋体" w:eastAsia="宋体" w:cs="Times New Roman"/>
          <w:b/>
          <w:bCs/>
          <w:color w:val="auto"/>
          <w:sz w:val="24"/>
          <w:szCs w:val="24"/>
          <w:highlight w:val="none"/>
          <w:lang w:val="zh-CN"/>
        </w:rPr>
        <w:t>期限</w:t>
      </w:r>
      <w:r>
        <w:rPr>
          <w:rFonts w:hint="eastAsia" w:ascii="宋体" w:hAnsi="宋体" w:eastAsia="宋体" w:cs="Times New Roman"/>
          <w:b/>
          <w:bCs/>
          <w:color w:val="auto"/>
          <w:sz w:val="24"/>
          <w:szCs w:val="24"/>
          <w:highlight w:val="none"/>
          <w:lang w:val="zh-CN"/>
        </w:rPr>
        <w:t>、地点和方式</w:t>
      </w:r>
      <w:bookmarkEnd w:id="132"/>
      <w:bookmarkEnd w:id="133"/>
      <w:bookmarkEnd w:id="134"/>
    </w:p>
    <w:p w14:paraId="0598D811">
      <w:pPr>
        <w:spacing w:line="360" w:lineRule="auto"/>
        <w:ind w:firstLine="435"/>
        <w:rPr>
          <w:rFonts w:ascii="宋体" w:hAnsi="宋体" w:eastAsia="宋体" w:cs="Times New Roman"/>
          <w:color w:val="auto"/>
          <w:sz w:val="24"/>
          <w:szCs w:val="24"/>
          <w:highlight w:val="none"/>
          <w:u w:val="single"/>
        </w:rPr>
      </w:pPr>
      <w:r>
        <w:rPr>
          <w:rFonts w:hint="eastAsia" w:ascii="宋体" w:hAnsi="宋体" w:eastAsia="宋体" w:cs="Times New Roman"/>
          <w:color w:val="auto"/>
          <w:sz w:val="24"/>
          <w:szCs w:val="24"/>
          <w:highlight w:val="none"/>
        </w:rPr>
        <w:t>1.5.1服务期限</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53A5B40E">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1.5.2服务地点</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w:t>
      </w:r>
    </w:p>
    <w:p w14:paraId="16F9598D">
      <w:pPr>
        <w:ind w:firstLine="480" w:firstLineChars="200"/>
        <w:rPr>
          <w:color w:val="auto"/>
          <w:highlight w:val="none"/>
        </w:rPr>
      </w:pPr>
      <w:r>
        <w:rPr>
          <w:rFonts w:hint="eastAsia" w:ascii="宋体" w:hAnsi="宋体" w:eastAsia="宋体" w:cs="Times New Roman"/>
          <w:color w:val="auto"/>
          <w:sz w:val="24"/>
          <w:szCs w:val="24"/>
          <w:highlight w:val="none"/>
        </w:rPr>
        <w:t>1.5.3</w:t>
      </w:r>
      <w:r>
        <w:rPr>
          <w:rFonts w:hint="eastAsia" w:ascii="宋体" w:hAnsi="宋体" w:eastAsia="宋体" w:cs="宋体"/>
          <w:color w:val="auto"/>
          <w:sz w:val="24"/>
          <w:szCs w:val="24"/>
          <w:highlight w:val="none"/>
          <w:lang w:bidi="ar"/>
        </w:rPr>
        <w:t>服务方式：</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p>
    <w:p w14:paraId="76ED2F3D">
      <w:pPr>
        <w:spacing w:line="360" w:lineRule="auto"/>
        <w:ind w:firstLine="437"/>
        <w:outlineLvl w:val="2"/>
        <w:rPr>
          <w:rFonts w:ascii="宋体" w:hAnsi="宋体" w:eastAsia="宋体" w:cs="Times New Roman"/>
          <w:b/>
          <w:bCs/>
          <w:color w:val="auto"/>
          <w:sz w:val="24"/>
          <w:szCs w:val="24"/>
          <w:highlight w:val="none"/>
          <w:lang w:val="zh-CN"/>
        </w:rPr>
      </w:pPr>
      <w:bookmarkStart w:id="135" w:name="_Toc21423"/>
      <w:bookmarkStart w:id="136" w:name="_Toc19554"/>
      <w:bookmarkStart w:id="137" w:name="_Toc27250"/>
      <w:r>
        <w:rPr>
          <w:rFonts w:hint="eastAsia" w:ascii="宋体" w:hAnsi="宋体" w:eastAsia="宋体" w:cs="Times New Roman"/>
          <w:b/>
          <w:bCs/>
          <w:color w:val="auto"/>
          <w:sz w:val="24"/>
          <w:szCs w:val="24"/>
          <w:highlight w:val="none"/>
          <w:lang w:val="zh-CN"/>
        </w:rPr>
        <w:t>1.6 违约责任</w:t>
      </w:r>
      <w:bookmarkEnd w:id="135"/>
      <w:bookmarkEnd w:id="136"/>
      <w:bookmarkEnd w:id="137"/>
    </w:p>
    <w:p w14:paraId="043A402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1.6.1</w:t>
      </w:r>
      <w:r>
        <w:rPr>
          <w:rFonts w:ascii="宋体" w:hAnsi="宋体" w:eastAsia="宋体" w:cs="Times New Roman"/>
          <w:color w:val="auto"/>
          <w:sz w:val="24"/>
          <w:szCs w:val="24"/>
          <w:highlight w:val="none"/>
        </w:rPr>
        <w:t>除不可抗力外，如果乙方没有按照本合同约定的期限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地点和方式</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，那么甲方可要求乙方支付违约金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一日的应提供而未</w:t>
      </w:r>
      <w:r>
        <w:rPr>
          <w:rFonts w:hint="eastAsia" w:ascii="宋体" w:hAnsi="宋体" w:eastAsia="宋体" w:cs="Times New Roman"/>
          <w:color w:val="auto"/>
          <w:sz w:val="24"/>
          <w:szCs w:val="24"/>
          <w:highlight w:val="none"/>
        </w:rPr>
        <w:t>提供</w:t>
      </w:r>
      <w:r>
        <w:rPr>
          <w:rFonts w:ascii="宋体" w:hAnsi="宋体" w:eastAsia="宋体" w:cs="Times New Roman"/>
          <w:color w:val="auto"/>
          <w:sz w:val="24"/>
          <w:szCs w:val="24"/>
          <w:highlight w:val="none"/>
        </w:rPr>
        <w:t>服务价格的</w:t>
      </w:r>
      <w:r>
        <w:rPr>
          <w:rFonts w:hint="eastAsia" w:ascii="宋体" w:hAnsi="宋体" w:eastAsia="宋体" w:cs="Times New Roman"/>
          <w:color w:val="auto"/>
          <w:sz w:val="24"/>
          <w:szCs w:val="24"/>
          <w:highlight w:val="none"/>
          <w:u w:val="single"/>
        </w:rPr>
        <w:t>0.1</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10</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甲方有权在要求乙方支付违约金的同时</w:t>
      </w:r>
      <w:r>
        <w:rPr>
          <w:rFonts w:hint="eastAsia" w:ascii="宋体" w:hAnsi="宋体" w:eastAsia="宋体" w:cs="Times New Roman"/>
          <w:color w:val="auto"/>
          <w:sz w:val="24"/>
          <w:szCs w:val="24"/>
          <w:highlight w:val="none"/>
        </w:rPr>
        <w:t>，书面通知乙方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49BB0D5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1.6.2</w:t>
      </w:r>
      <w:r>
        <w:rPr>
          <w:rFonts w:ascii="宋体" w:hAnsi="宋体" w:eastAsia="宋体" w:cs="Times New Roman"/>
          <w:color w:val="auto"/>
          <w:sz w:val="24"/>
          <w:szCs w:val="24"/>
          <w:highlight w:val="none"/>
        </w:rPr>
        <w:t>除不可抗力外，如果甲方没有按照本合同约定的付款方式付款，那么乙方可要求甲方支付违约金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违约金按每迟延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一日的应付而未付款的</w:t>
      </w:r>
      <w:r>
        <w:rPr>
          <w:rFonts w:hint="eastAsia" w:ascii="宋体" w:hAnsi="宋体" w:eastAsia="宋体" w:cs="Times New Roman"/>
          <w:color w:val="auto"/>
          <w:sz w:val="24"/>
          <w:szCs w:val="24"/>
          <w:highlight w:val="none"/>
          <w:u w:val="single"/>
        </w:rPr>
        <w:t>0.1</w:t>
      </w:r>
      <w:r>
        <w:rPr>
          <w:rFonts w:ascii="宋体" w:hAnsi="宋体" w:eastAsia="宋体" w:cs="Times New Roman"/>
          <w:color w:val="auto"/>
          <w:sz w:val="24"/>
          <w:szCs w:val="24"/>
          <w:highlight w:val="none"/>
        </w:rPr>
        <w:t>%计算</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最高限额为</w:t>
      </w:r>
      <w:r>
        <w:rPr>
          <w:rFonts w:hint="eastAsia" w:ascii="宋体" w:hAnsi="宋体" w:eastAsia="宋体" w:cs="Times New Roman"/>
          <w:color w:val="auto"/>
          <w:sz w:val="24"/>
          <w:szCs w:val="24"/>
          <w:highlight w:val="none"/>
        </w:rPr>
        <w:t>本</w:t>
      </w:r>
      <w:r>
        <w:rPr>
          <w:rFonts w:ascii="宋体" w:hAnsi="宋体" w:eastAsia="宋体" w:cs="Times New Roman"/>
          <w:color w:val="auto"/>
          <w:sz w:val="24"/>
          <w:szCs w:val="24"/>
          <w:highlight w:val="none"/>
        </w:rPr>
        <w:t>合同总价的</w:t>
      </w:r>
      <w:r>
        <w:rPr>
          <w:rFonts w:hint="eastAsia" w:ascii="宋体" w:hAnsi="宋体" w:eastAsia="宋体" w:cs="Times New Roman"/>
          <w:color w:val="auto"/>
          <w:sz w:val="24"/>
          <w:szCs w:val="24"/>
          <w:highlight w:val="none"/>
          <w:u w:val="single"/>
        </w:rPr>
        <w:t xml:space="preserve"> 10 </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迟延</w:t>
      </w:r>
      <w:r>
        <w:rPr>
          <w:rFonts w:hint="eastAsia" w:ascii="宋体" w:hAnsi="宋体" w:eastAsia="宋体" w:cs="Times New Roman"/>
          <w:color w:val="auto"/>
          <w:sz w:val="24"/>
          <w:szCs w:val="24"/>
          <w:highlight w:val="none"/>
        </w:rPr>
        <w:t>付款</w:t>
      </w:r>
      <w:r>
        <w:rPr>
          <w:rFonts w:ascii="宋体" w:hAnsi="宋体" w:eastAsia="宋体" w:cs="Times New Roman"/>
          <w:color w:val="auto"/>
          <w:sz w:val="24"/>
          <w:szCs w:val="24"/>
          <w:highlight w:val="none"/>
        </w:rPr>
        <w:t>的违约金计算数额达到前述最高限额之日起</w:t>
      </w:r>
      <w:r>
        <w:rPr>
          <w:rFonts w:hint="eastAsia" w:ascii="宋体" w:hAnsi="宋体" w:eastAsia="宋体" w:cs="Times New Roman"/>
          <w:color w:val="auto"/>
          <w:sz w:val="24"/>
          <w:szCs w:val="24"/>
          <w:highlight w:val="none"/>
        </w:rPr>
        <w:t>，乙</w:t>
      </w:r>
      <w:r>
        <w:rPr>
          <w:rFonts w:ascii="宋体" w:hAnsi="宋体" w:eastAsia="宋体" w:cs="Times New Roman"/>
          <w:color w:val="auto"/>
          <w:sz w:val="24"/>
          <w:szCs w:val="24"/>
          <w:highlight w:val="none"/>
        </w:rPr>
        <w:t>方有权在要求甲方支付违约金的同时</w:t>
      </w:r>
      <w:r>
        <w:rPr>
          <w:rFonts w:hint="eastAsia" w:ascii="宋体" w:hAnsi="宋体" w:eastAsia="宋体" w:cs="Times New Roman"/>
          <w:color w:val="auto"/>
          <w:sz w:val="24"/>
          <w:szCs w:val="24"/>
          <w:highlight w:val="none"/>
        </w:rPr>
        <w:t>，书面通知甲方</w:t>
      </w:r>
      <w:r>
        <w:rPr>
          <w:rFonts w:ascii="宋体" w:hAnsi="宋体" w:eastAsia="宋体" w:cs="Times New Roman"/>
          <w:color w:val="auto"/>
          <w:sz w:val="24"/>
          <w:szCs w:val="24"/>
          <w:highlight w:val="none"/>
        </w:rPr>
        <w:t>解除本合同</w:t>
      </w:r>
      <w:r>
        <w:rPr>
          <w:rFonts w:hint="eastAsia" w:ascii="宋体" w:hAnsi="宋体" w:eastAsia="宋体" w:cs="Times New Roman"/>
          <w:color w:val="auto"/>
          <w:sz w:val="24"/>
          <w:szCs w:val="24"/>
          <w:highlight w:val="none"/>
        </w:rPr>
        <w:t>；</w:t>
      </w:r>
    </w:p>
    <w:p w14:paraId="27FB131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618A02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9C45AC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CDC162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024AD26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1.6.7因甲方未按合同约定支付价款、未按合同约定受领标的物、擅自解除合同</w:t>
      </w:r>
      <w:r>
        <w:rPr>
          <w:rFonts w:hint="eastAsia" w:ascii="宋体" w:hAnsi="宋体" w:eastAsia="宋体" w:cs="Times New Roman"/>
          <w:color w:val="auto"/>
          <w:sz w:val="24"/>
          <w:szCs w:val="24"/>
          <w:highlight w:val="none"/>
        </w:rPr>
        <w:t>、逾期退还履约保证金</w:t>
      </w:r>
      <w:r>
        <w:rPr>
          <w:rFonts w:ascii="宋体" w:hAnsi="宋体" w:eastAsia="宋体" w:cs="Times New Roman"/>
          <w:color w:val="auto"/>
          <w:sz w:val="24"/>
          <w:szCs w:val="24"/>
          <w:highlight w:val="none"/>
        </w:rPr>
        <w:t>导致乙方遭受的直接损失，乙方可向甲方申请赔偿，赔偿金额由双方协商一致；</w:t>
      </w:r>
      <w:r>
        <w:rPr>
          <w:rFonts w:hint="eastAsia" w:ascii="宋体" w:hAnsi="宋体" w:eastAsia="宋体" w:cs="Times New Roman"/>
          <w:color w:val="auto"/>
          <w:sz w:val="24"/>
          <w:szCs w:val="24"/>
          <w:highlight w:val="none"/>
        </w:rPr>
        <w:t>针对因政策变化等原因不能签订合同或解除合同时，造成乙方合法利益受损的情形，可以给予乙方合理补偿，补偿金额不得超过乙方的直接损失。</w:t>
      </w:r>
    </w:p>
    <w:p w14:paraId="0B76730B">
      <w:pPr>
        <w:spacing w:line="360" w:lineRule="auto"/>
        <w:ind w:firstLine="437"/>
        <w:outlineLvl w:val="2"/>
        <w:rPr>
          <w:rFonts w:ascii="宋体" w:hAnsi="宋体" w:eastAsia="宋体" w:cs="Times New Roman"/>
          <w:b/>
          <w:bCs/>
          <w:color w:val="auto"/>
          <w:sz w:val="24"/>
          <w:szCs w:val="24"/>
          <w:highlight w:val="none"/>
          <w:lang w:val="zh-CN"/>
        </w:rPr>
      </w:pPr>
      <w:bookmarkStart w:id="138" w:name="_Toc28375"/>
      <w:bookmarkStart w:id="139" w:name="_Toc16021"/>
      <w:bookmarkStart w:id="140" w:name="_Toc15583"/>
      <w:r>
        <w:rPr>
          <w:rFonts w:hint="eastAsia" w:ascii="宋体" w:hAnsi="宋体" w:eastAsia="宋体" w:cs="Times New Roman"/>
          <w:b/>
          <w:bCs/>
          <w:color w:val="auto"/>
          <w:sz w:val="24"/>
          <w:szCs w:val="24"/>
          <w:highlight w:val="none"/>
          <w:lang w:val="zh-CN"/>
        </w:rPr>
        <w:t>1.7合同</w:t>
      </w:r>
      <w:r>
        <w:rPr>
          <w:rFonts w:ascii="宋体" w:hAnsi="宋体" w:eastAsia="宋体" w:cs="Times New Roman"/>
          <w:b/>
          <w:bCs/>
          <w:color w:val="auto"/>
          <w:sz w:val="24"/>
          <w:szCs w:val="24"/>
          <w:highlight w:val="none"/>
          <w:lang w:val="zh-CN"/>
        </w:rPr>
        <w:t>争议的解决</w:t>
      </w:r>
      <w:bookmarkEnd w:id="138"/>
      <w:bookmarkEnd w:id="139"/>
      <w:bookmarkEnd w:id="140"/>
    </w:p>
    <w:p w14:paraId="5A281442">
      <w:pPr>
        <w:spacing w:line="360" w:lineRule="auto"/>
        <w:ind w:firstLine="435"/>
        <w:rPr>
          <w:rFonts w:ascii="宋体" w:hAnsi="宋体" w:eastAsia="宋体" w:cs="Times New Roman"/>
          <w:color w:val="auto"/>
          <w:sz w:val="24"/>
          <w:szCs w:val="24"/>
          <w:highlight w:val="none"/>
        </w:rPr>
      </w:pPr>
      <w:bookmarkStart w:id="141" w:name="_Toc11173"/>
      <w:bookmarkStart w:id="142" w:name="_Toc7245"/>
      <w:bookmarkStart w:id="143" w:name="_Toc15322"/>
      <w:r>
        <w:rPr>
          <w:rFonts w:hint="eastAsia" w:ascii="宋体" w:hAnsi="宋体" w:eastAsia="宋体" w:cs="宋体"/>
          <w:color w:val="auto"/>
          <w:sz w:val="24"/>
          <w:szCs w:val="24"/>
          <w:highlight w:val="none"/>
          <w:lang w:bidi="ar"/>
        </w:rPr>
        <w:t>本合同履行过程中发生的任何争议，双方当事人均可通过和解或者调解解决；不愿和解、调解或者和解、调解不成的，可以选择下列第</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种方式解决：</w:t>
      </w:r>
    </w:p>
    <w:p w14:paraId="4E9E1FB4">
      <w:pPr>
        <w:spacing w:line="360" w:lineRule="auto"/>
        <w:ind w:firstLine="435"/>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ar"/>
        </w:rPr>
        <w:t>1.7.1将争议提交</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仲裁委员会依申请仲裁时其现行有效的仲裁规则裁决；</w:t>
      </w:r>
    </w:p>
    <w:p w14:paraId="233310FD">
      <w:pPr>
        <w:spacing w:line="360" w:lineRule="auto"/>
        <w:ind w:firstLine="435"/>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ar"/>
        </w:rPr>
        <w:t>1.7.2向</w:t>
      </w:r>
      <w:r>
        <w:rPr>
          <w:rFonts w:hint="eastAsia" w:ascii="宋体" w:hAnsi="宋体" w:eastAsia="宋体" w:cs="Times New Roman"/>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人民法院起诉。</w:t>
      </w:r>
    </w:p>
    <w:p w14:paraId="791F7028">
      <w:pPr>
        <w:spacing w:line="360" w:lineRule="auto"/>
        <w:ind w:firstLine="437"/>
        <w:outlineLvl w:val="2"/>
        <w:rPr>
          <w:rFonts w:ascii="宋体" w:hAnsi="宋体" w:eastAsia="宋体" w:cs="Times New Roman"/>
          <w:b/>
          <w:bCs/>
          <w:color w:val="auto"/>
          <w:sz w:val="24"/>
          <w:szCs w:val="24"/>
          <w:highlight w:val="none"/>
          <w:lang w:val="zh-CN"/>
        </w:rPr>
      </w:pPr>
      <w:r>
        <w:rPr>
          <w:rFonts w:hint="eastAsia" w:ascii="宋体" w:hAnsi="宋体" w:eastAsia="宋体" w:cs="Times New Roman"/>
          <w:b/>
          <w:bCs/>
          <w:color w:val="auto"/>
          <w:sz w:val="24"/>
          <w:szCs w:val="24"/>
          <w:highlight w:val="none"/>
          <w:lang w:val="zh-CN"/>
        </w:rPr>
        <w:t>1.8</w:t>
      </w:r>
      <w:r>
        <w:rPr>
          <w:rFonts w:ascii="宋体" w:hAnsi="宋体" w:eastAsia="宋体" w:cs="Times New Roman"/>
          <w:b/>
          <w:bCs/>
          <w:color w:val="auto"/>
          <w:sz w:val="24"/>
          <w:szCs w:val="24"/>
          <w:highlight w:val="none"/>
          <w:lang w:val="zh-CN"/>
        </w:rPr>
        <w:t xml:space="preserve"> 合同生效</w:t>
      </w:r>
      <w:bookmarkEnd w:id="141"/>
      <w:bookmarkEnd w:id="142"/>
      <w:bookmarkEnd w:id="143"/>
    </w:p>
    <w:p w14:paraId="461E9BDA">
      <w:pPr>
        <w:spacing w:line="400" w:lineRule="exact"/>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本合同自</w:t>
      </w:r>
      <w:r>
        <w:rPr>
          <w:rFonts w:hint="eastAsia" w:ascii="宋体" w:hAnsi="宋体" w:eastAsia="宋体" w:cs="Times New Roman"/>
          <w:color w:val="auto"/>
          <w:sz w:val="24"/>
          <w:szCs w:val="24"/>
          <w:highlight w:val="none"/>
        </w:rPr>
        <w:t>双方当事人盖章时</w:t>
      </w:r>
      <w:r>
        <w:rPr>
          <w:rFonts w:ascii="宋体" w:hAnsi="宋体" w:eastAsia="宋体" w:cs="Times New Roman"/>
          <w:color w:val="auto"/>
          <w:sz w:val="24"/>
          <w:szCs w:val="24"/>
          <w:highlight w:val="none"/>
        </w:rPr>
        <w:t>生效。</w:t>
      </w:r>
    </w:p>
    <w:p w14:paraId="1F4DD4A3">
      <w:pPr>
        <w:autoSpaceDE w:val="0"/>
        <w:autoSpaceDN w:val="0"/>
        <w:adjustRightInd w:val="0"/>
        <w:spacing w:line="560" w:lineRule="exact"/>
        <w:rPr>
          <w:rFonts w:ascii="宋体" w:hAnsi="宋体" w:eastAsia="宋体" w:cs="Times New Roman"/>
          <w:bCs/>
          <w:color w:val="auto"/>
          <w:sz w:val="24"/>
          <w:szCs w:val="24"/>
          <w:highlight w:val="none"/>
        </w:rPr>
      </w:pPr>
      <w:bookmarkStart w:id="144" w:name="_Toc331685783"/>
      <w:r>
        <w:rPr>
          <w:rFonts w:hint="eastAsia" w:ascii="宋体" w:hAnsi="宋体" w:eastAsia="宋体" w:cs="宋体"/>
          <w:bCs/>
          <w:color w:val="auto"/>
          <w:sz w:val="24"/>
          <w:szCs w:val="24"/>
          <w:highlight w:val="none"/>
          <w:lang w:bidi="ar"/>
        </w:rPr>
        <w:t>甲</w:t>
      </w:r>
      <w:r>
        <w:rPr>
          <w:rFonts w:hint="eastAsia" w:ascii="宋体" w:hAnsi="宋体" w:eastAsia="宋体" w:cs="Times New Roman"/>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方：</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（单位盖章）</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Times New Roman"/>
          <w:bCs/>
          <w:color w:val="auto"/>
          <w:sz w:val="24"/>
          <w:szCs w:val="24"/>
          <w:highlight w:val="none"/>
          <w:lang w:bidi="ar"/>
        </w:rPr>
        <w:t xml:space="preserve">          </w:t>
      </w:r>
      <w:r>
        <w:rPr>
          <w:rFonts w:hint="eastAsia" w:ascii="宋体" w:hAnsi="宋体" w:eastAsia="宋体" w:cs="宋体"/>
          <w:bCs/>
          <w:color w:val="auto"/>
          <w:sz w:val="24"/>
          <w:szCs w:val="24"/>
          <w:highlight w:val="none"/>
          <w:lang w:bidi="ar"/>
        </w:rPr>
        <w:t>乙方：</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u w:val="single"/>
          <w:lang w:bidi="ar"/>
        </w:rPr>
        <w:t>（单位盖章）</w:t>
      </w:r>
      <w:r>
        <w:rPr>
          <w:rFonts w:hint="eastAsia" w:ascii="宋体" w:hAnsi="宋体" w:eastAsia="宋体" w:cs="Times New Roman"/>
          <w:bCs/>
          <w:color w:val="auto"/>
          <w:sz w:val="24"/>
          <w:szCs w:val="24"/>
          <w:highlight w:val="none"/>
          <w:u w:val="single"/>
          <w:lang w:bidi="ar"/>
        </w:rPr>
        <w:t xml:space="preserve">     </w:t>
      </w:r>
    </w:p>
    <w:p w14:paraId="07E32DE9">
      <w:pPr>
        <w:autoSpaceDE w:val="0"/>
        <w:autoSpaceDN w:val="0"/>
        <w:adjustRightInd w:val="0"/>
        <w:spacing w:line="560" w:lineRule="exact"/>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ar"/>
        </w:rPr>
        <w:t>法定代表人</w:t>
      </w:r>
      <w:r>
        <w:rPr>
          <w:rFonts w:hint="eastAsia" w:ascii="宋体" w:hAnsi="宋体" w:eastAsia="宋体" w:cs="Times New Roman"/>
          <w:color w:val="auto"/>
          <w:sz w:val="24"/>
          <w:szCs w:val="24"/>
          <w:highlight w:val="none"/>
          <w:lang w:bidi="ar"/>
        </w:rPr>
        <w:t xml:space="preserve">                               </w:t>
      </w:r>
      <w:r>
        <w:rPr>
          <w:rFonts w:hint="eastAsia" w:ascii="宋体" w:hAnsi="宋体" w:eastAsia="宋体" w:cs="宋体"/>
          <w:color w:val="auto"/>
          <w:sz w:val="24"/>
          <w:szCs w:val="24"/>
          <w:highlight w:val="none"/>
          <w:lang w:bidi="ar"/>
        </w:rPr>
        <w:t>法定代表人</w:t>
      </w:r>
    </w:p>
    <w:p w14:paraId="3164FC11">
      <w:pPr>
        <w:autoSpaceDE w:val="0"/>
        <w:autoSpaceDN w:val="0"/>
        <w:adjustRightInd w:val="0"/>
        <w:spacing w:line="560" w:lineRule="exact"/>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ar"/>
        </w:rPr>
        <w:t>或授权代表（签字）：</w:t>
      </w:r>
      <w:r>
        <w:rPr>
          <w:rFonts w:hint="eastAsia" w:ascii="宋体" w:hAnsi="宋体" w:eastAsia="宋体" w:cs="Times New Roman"/>
          <w:color w:val="auto"/>
          <w:sz w:val="24"/>
          <w:szCs w:val="24"/>
          <w:highlight w:val="none"/>
          <w:lang w:bidi="ar"/>
        </w:rPr>
        <w:t xml:space="preserve">                      </w:t>
      </w:r>
      <w:r>
        <w:rPr>
          <w:rFonts w:hint="eastAsia" w:ascii="宋体" w:hAnsi="宋体" w:eastAsia="宋体" w:cs="宋体"/>
          <w:color w:val="auto"/>
          <w:sz w:val="24"/>
          <w:szCs w:val="24"/>
          <w:highlight w:val="none"/>
          <w:lang w:bidi="ar"/>
        </w:rPr>
        <w:t>或授权代表（签字）：</w:t>
      </w:r>
    </w:p>
    <w:p w14:paraId="0A26E967">
      <w:pPr>
        <w:widowControl/>
        <w:spacing w:line="560" w:lineRule="exact"/>
        <w:jc w:val="left"/>
        <w:rPr>
          <w:rFonts w:ascii="宋体" w:hAnsi="宋体" w:eastAsia="宋体" w:cs="Times New Roman"/>
          <w:bCs/>
          <w:color w:val="auto"/>
          <w:sz w:val="24"/>
          <w:szCs w:val="24"/>
          <w:highlight w:val="none"/>
        </w:rPr>
      </w:pPr>
      <w:r>
        <w:rPr>
          <w:rFonts w:hint="eastAsia" w:ascii="宋体" w:hAnsi="宋体" w:eastAsia="宋体" w:cs="宋体"/>
          <w:bCs/>
          <w:color w:val="auto"/>
          <w:sz w:val="24"/>
          <w:szCs w:val="24"/>
          <w:highlight w:val="none"/>
          <w:lang w:bidi="ar"/>
        </w:rPr>
        <w:t>时间：</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年</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月</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日</w:t>
      </w:r>
      <w:r>
        <w:rPr>
          <w:rFonts w:hint="eastAsia" w:ascii="宋体" w:hAnsi="宋体" w:eastAsia="宋体" w:cs="Times New Roman"/>
          <w:bCs/>
          <w:color w:val="auto"/>
          <w:sz w:val="24"/>
          <w:szCs w:val="24"/>
          <w:highlight w:val="none"/>
          <w:lang w:bidi="ar"/>
        </w:rPr>
        <w:t xml:space="preserve">               </w:t>
      </w:r>
      <w:r>
        <w:rPr>
          <w:rFonts w:hint="eastAsia" w:ascii="宋体" w:hAnsi="宋体" w:eastAsia="宋体" w:cs="宋体"/>
          <w:bCs/>
          <w:color w:val="auto"/>
          <w:sz w:val="24"/>
          <w:szCs w:val="24"/>
          <w:highlight w:val="none"/>
          <w:lang w:bidi="ar"/>
        </w:rPr>
        <w:t>时间：</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年</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月</w:t>
      </w:r>
      <w:r>
        <w:rPr>
          <w:rFonts w:hint="eastAsia" w:ascii="宋体" w:hAnsi="宋体" w:eastAsia="宋体" w:cs="Times New Roman"/>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日</w:t>
      </w:r>
    </w:p>
    <w:p w14:paraId="11D4C400">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乙方账户信息</w:t>
      </w:r>
    </w:p>
    <w:p w14:paraId="2A6FF497">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户名：</w:t>
      </w:r>
      <w:r>
        <w:rPr>
          <w:rFonts w:hint="eastAsia" w:ascii="宋体" w:hAnsi="宋体" w:eastAsia="宋体"/>
          <w:color w:val="auto"/>
          <w:sz w:val="24"/>
          <w:szCs w:val="24"/>
          <w:highlight w:val="none"/>
          <w:u w:val="single"/>
          <w:lang w:bidi="ar"/>
        </w:rPr>
        <w:t xml:space="preserve">            </w:t>
      </w:r>
    </w:p>
    <w:p w14:paraId="24070E5D">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账号：</w:t>
      </w:r>
      <w:r>
        <w:rPr>
          <w:rFonts w:hint="eastAsia" w:ascii="宋体" w:hAnsi="宋体" w:eastAsia="宋体"/>
          <w:color w:val="auto"/>
          <w:sz w:val="24"/>
          <w:szCs w:val="24"/>
          <w:highlight w:val="none"/>
          <w:u w:val="single"/>
          <w:lang w:bidi="ar"/>
        </w:rPr>
        <w:t xml:space="preserve">            </w:t>
      </w:r>
    </w:p>
    <w:p w14:paraId="3DBEC088">
      <w:pPr>
        <w:spacing w:line="560" w:lineRule="exact"/>
        <w:rPr>
          <w:rFonts w:ascii="宋体" w:hAnsi="宋体" w:eastAsia="宋体"/>
          <w:color w:val="auto"/>
          <w:sz w:val="24"/>
          <w:szCs w:val="24"/>
          <w:highlight w:val="none"/>
        </w:rPr>
      </w:pP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开户银行：</w:t>
      </w:r>
      <w:r>
        <w:rPr>
          <w:rFonts w:hint="eastAsia" w:ascii="宋体" w:hAnsi="宋体" w:eastAsia="宋体"/>
          <w:color w:val="auto"/>
          <w:sz w:val="24"/>
          <w:szCs w:val="24"/>
          <w:highlight w:val="none"/>
          <w:u w:val="single"/>
          <w:lang w:bidi="ar"/>
        </w:rPr>
        <w:t xml:space="preserve">        </w:t>
      </w:r>
    </w:p>
    <w:p w14:paraId="59ECE477">
      <w:pPr>
        <w:widowControl/>
        <w:jc w:val="center"/>
        <w:rPr>
          <w:rFonts w:ascii="宋体" w:hAnsi="宋体" w:eastAsia="宋体"/>
          <w:b/>
          <w:color w:val="auto"/>
          <w:sz w:val="24"/>
          <w:highlight w:val="none"/>
        </w:rPr>
      </w:pPr>
      <w:r>
        <w:rPr>
          <w:rFonts w:ascii="宋体" w:hAnsi="宋体" w:eastAsia="宋体" w:cs="Times New Roman"/>
          <w:b/>
          <w:color w:val="auto"/>
          <w:sz w:val="24"/>
          <w:szCs w:val="24"/>
          <w:highlight w:val="none"/>
        </w:rPr>
        <w:br w:type="page"/>
      </w:r>
      <w:bookmarkStart w:id="145" w:name="_Toc415"/>
      <w:r>
        <w:rPr>
          <w:rFonts w:hint="eastAsia" w:ascii="宋体" w:hAnsi="宋体" w:eastAsia="宋体"/>
          <w:b/>
          <w:color w:val="auto"/>
          <w:sz w:val="24"/>
          <w:highlight w:val="none"/>
        </w:rPr>
        <w:t>第二部分 合同一般条款</w:t>
      </w:r>
      <w:bookmarkEnd w:id="144"/>
      <w:bookmarkEnd w:id="145"/>
    </w:p>
    <w:p w14:paraId="700598DF">
      <w:pPr>
        <w:spacing w:line="360" w:lineRule="auto"/>
        <w:ind w:firstLine="437"/>
        <w:outlineLvl w:val="2"/>
        <w:rPr>
          <w:rFonts w:ascii="宋体" w:hAnsi="宋体" w:eastAsia="宋体" w:cs="Times New Roman"/>
          <w:b/>
          <w:bCs/>
          <w:color w:val="auto"/>
          <w:sz w:val="24"/>
          <w:szCs w:val="24"/>
          <w:highlight w:val="none"/>
          <w:lang w:val="zh-CN"/>
        </w:rPr>
      </w:pPr>
      <w:bookmarkStart w:id="146" w:name="_Toc19614"/>
      <w:bookmarkStart w:id="147" w:name="_Toc16917"/>
      <w:bookmarkStart w:id="148" w:name="_Ref467378404"/>
      <w:bookmarkStart w:id="149" w:name="_Ref467379214"/>
      <w:bookmarkStart w:id="150" w:name="_Toc28763"/>
      <w:bookmarkStart w:id="151" w:name="_Ref467379094"/>
      <w:bookmarkStart w:id="152" w:name="_Toc259093669"/>
      <w:bookmarkStart w:id="153" w:name="_Ref467378499"/>
      <w:bookmarkStart w:id="154" w:name="_Ref467379205"/>
      <w:bookmarkStart w:id="155" w:name="_Ref467379225"/>
      <w:bookmarkStart w:id="156" w:name="_Ref467379109"/>
      <w:bookmarkStart w:id="157" w:name="_Ref467379195"/>
      <w:bookmarkStart w:id="158" w:name="_Toc487900349"/>
      <w:bookmarkStart w:id="159" w:name="_Toc279701240"/>
      <w:bookmarkStart w:id="160" w:name="_Ref467378463"/>
      <w:bookmarkStart w:id="161" w:name="_Ref467379101"/>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 xml:space="preserve"> 定义</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21C69594">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本合同中的下列</w:t>
      </w:r>
      <w:r>
        <w:rPr>
          <w:rFonts w:hint="eastAsia" w:ascii="宋体" w:hAnsi="宋体" w:eastAsia="宋体" w:cs="Times New Roman"/>
          <w:color w:val="auto"/>
          <w:sz w:val="24"/>
          <w:szCs w:val="24"/>
          <w:highlight w:val="none"/>
        </w:rPr>
        <w:t>词</w:t>
      </w:r>
      <w:r>
        <w:rPr>
          <w:rFonts w:ascii="宋体" w:hAnsi="宋体" w:eastAsia="宋体" w:cs="Times New Roman"/>
          <w:color w:val="auto"/>
          <w:sz w:val="24"/>
          <w:szCs w:val="24"/>
          <w:highlight w:val="none"/>
        </w:rPr>
        <w:t>语应</w:t>
      </w:r>
      <w:r>
        <w:rPr>
          <w:rFonts w:hint="eastAsia" w:ascii="宋体" w:hAnsi="宋体" w:eastAsia="宋体" w:cs="Times New Roman"/>
          <w:color w:val="auto"/>
          <w:sz w:val="24"/>
          <w:szCs w:val="24"/>
          <w:highlight w:val="none"/>
        </w:rPr>
        <w:t>按以下内容进行</w:t>
      </w:r>
      <w:r>
        <w:rPr>
          <w:rFonts w:ascii="宋体" w:hAnsi="宋体" w:eastAsia="宋体" w:cs="Times New Roman"/>
          <w:color w:val="auto"/>
          <w:sz w:val="24"/>
          <w:szCs w:val="24"/>
          <w:highlight w:val="none"/>
        </w:rPr>
        <w:t>解释：</w:t>
      </w:r>
    </w:p>
    <w:p w14:paraId="5A651E4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.1</w:t>
      </w:r>
      <w:r>
        <w:rPr>
          <w:rFonts w:ascii="宋体" w:hAnsi="宋体" w:eastAsia="宋体" w:cs="Times New Roman"/>
          <w:color w:val="auto"/>
          <w:sz w:val="24"/>
          <w:szCs w:val="24"/>
          <w:highlight w:val="none"/>
        </w:rPr>
        <w:t>“合同”系指采购人和中标人签订的载明双方当事人所达成的协议，并包括所有的附件、附录和构成合同的其他文件。</w:t>
      </w:r>
    </w:p>
    <w:p w14:paraId="7446E5D3">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1.2“合同价”系指根据合同约定，中标人在完全履行合同义务后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采购人应支付给中标人的价格。</w:t>
      </w:r>
    </w:p>
    <w:p w14:paraId="5EEBC8A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1.3“</w:t>
      </w:r>
      <w:r>
        <w:rPr>
          <w:rFonts w:hint="eastAsia" w:ascii="宋体" w:hAnsi="宋体" w:eastAsia="宋体" w:cs="Times New Roman"/>
          <w:color w:val="auto"/>
          <w:sz w:val="24"/>
          <w:szCs w:val="24"/>
          <w:highlight w:val="none"/>
        </w:rPr>
        <w:t>服务</w:t>
      </w:r>
      <w:r>
        <w:rPr>
          <w:rFonts w:ascii="宋体" w:hAnsi="宋体" w:eastAsia="宋体" w:cs="Times New Roman"/>
          <w:color w:val="auto"/>
          <w:sz w:val="24"/>
          <w:szCs w:val="24"/>
          <w:highlight w:val="none"/>
        </w:rPr>
        <w:t>”系指</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根据合同约定应向采购人</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w:t>
      </w:r>
      <w:r>
        <w:rPr>
          <w:rFonts w:hint="eastAsia" w:ascii="宋体" w:hAnsi="宋体" w:eastAsia="宋体" w:cs="Times New Roman"/>
          <w:color w:val="auto"/>
          <w:sz w:val="24"/>
          <w:szCs w:val="24"/>
          <w:highlight w:val="none"/>
        </w:rPr>
        <w:t>除货物和工程以外的其他政府采购对象，包括采购人自身需要的服务和向社会公众提供的公共服务。</w:t>
      </w:r>
    </w:p>
    <w:p w14:paraId="167DE2B9">
      <w:pPr>
        <w:spacing w:line="360" w:lineRule="auto"/>
        <w:ind w:firstLine="435"/>
        <w:rPr>
          <w:rFonts w:ascii="宋体" w:hAnsi="宋体" w:eastAsia="宋体" w:cs="Times New Roman"/>
          <w:color w:val="auto"/>
          <w:sz w:val="24"/>
          <w:szCs w:val="24"/>
          <w:highlight w:val="none"/>
        </w:rPr>
      </w:pPr>
      <w:bookmarkStart w:id="162" w:name="_Ref46737884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甲方</w:t>
      </w:r>
      <w:r>
        <w:rPr>
          <w:rFonts w:ascii="宋体" w:hAnsi="宋体" w:eastAsia="宋体" w:cs="Times New Roman"/>
          <w:color w:val="auto"/>
          <w:sz w:val="24"/>
          <w:szCs w:val="24"/>
          <w:highlight w:val="none"/>
        </w:rPr>
        <w:t>”系指与</w:t>
      </w:r>
      <w:r>
        <w:rPr>
          <w:rFonts w:hint="eastAsia" w:ascii="宋体" w:hAnsi="宋体" w:eastAsia="宋体" w:cs="Times New Roman"/>
          <w:color w:val="auto"/>
          <w:sz w:val="24"/>
          <w:szCs w:val="24"/>
          <w:highlight w:val="none"/>
        </w:rPr>
        <w:t>中标人</w:t>
      </w:r>
      <w:r>
        <w:rPr>
          <w:rFonts w:ascii="宋体" w:hAnsi="宋体" w:eastAsia="宋体" w:cs="Times New Roman"/>
          <w:color w:val="auto"/>
          <w:sz w:val="24"/>
          <w:szCs w:val="24"/>
          <w:highlight w:val="none"/>
        </w:rPr>
        <w:t>签署合同的采购人</w:t>
      </w:r>
      <w:bookmarkEnd w:id="162"/>
      <w:r>
        <w:rPr>
          <w:rFonts w:hint="eastAsia" w:ascii="宋体" w:hAnsi="宋体" w:eastAsia="宋体" w:cs="Times New Roman"/>
          <w:color w:val="auto"/>
          <w:sz w:val="24"/>
          <w:szCs w:val="24"/>
          <w:highlight w:val="none"/>
        </w:rPr>
        <w:t>；采购人委托采购代理机构代表其与乙方签订合同的，采购人的授权委托书作为合同附件。</w:t>
      </w:r>
    </w:p>
    <w:p w14:paraId="766F9930">
      <w:pPr>
        <w:spacing w:line="360" w:lineRule="auto"/>
        <w:ind w:firstLine="435"/>
        <w:rPr>
          <w:rFonts w:ascii="宋体" w:hAnsi="宋体" w:eastAsia="宋体" w:cs="Times New Roman"/>
          <w:color w:val="auto"/>
          <w:sz w:val="24"/>
          <w:szCs w:val="24"/>
          <w:highlight w:val="none"/>
        </w:rPr>
      </w:pPr>
      <w:bookmarkStart w:id="163" w:name="_Ref467379400"/>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“乙方”系指根据合同约定</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的中标人</w:t>
      </w:r>
      <w:bookmarkEnd w:id="163"/>
      <w:r>
        <w:rPr>
          <w:rFonts w:hint="eastAsia" w:ascii="宋体" w:hAnsi="宋体" w:eastAsia="宋体" w:cs="Times New Roman"/>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3254B94E">
      <w:pPr>
        <w:spacing w:line="360" w:lineRule="auto"/>
        <w:ind w:firstLine="435"/>
        <w:rPr>
          <w:rFonts w:ascii="宋体" w:hAnsi="宋体" w:eastAsia="宋体" w:cs="Times New Roman"/>
          <w:color w:val="auto"/>
          <w:sz w:val="24"/>
          <w:szCs w:val="24"/>
          <w:highlight w:val="none"/>
        </w:rPr>
      </w:pPr>
      <w:bookmarkStart w:id="164" w:name="_Ref467379436"/>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6</w:t>
      </w:r>
      <w:r>
        <w:rPr>
          <w:rFonts w:ascii="宋体" w:hAnsi="宋体" w:eastAsia="宋体" w:cs="Times New Roman"/>
          <w:color w:val="auto"/>
          <w:sz w:val="24"/>
          <w:szCs w:val="24"/>
          <w:highlight w:val="none"/>
        </w:rPr>
        <w:t>“现场”系指合同约定</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的地点。</w:t>
      </w:r>
      <w:bookmarkEnd w:id="164"/>
    </w:p>
    <w:p w14:paraId="7755AA58">
      <w:pPr>
        <w:spacing w:line="360" w:lineRule="auto"/>
        <w:ind w:firstLine="437"/>
        <w:outlineLvl w:val="2"/>
        <w:rPr>
          <w:rFonts w:ascii="宋体" w:hAnsi="宋体" w:eastAsia="宋体" w:cs="Times New Roman"/>
          <w:b/>
          <w:bCs/>
          <w:color w:val="auto"/>
          <w:sz w:val="24"/>
          <w:szCs w:val="24"/>
          <w:highlight w:val="none"/>
          <w:lang w:val="zh-CN"/>
        </w:rPr>
      </w:pPr>
      <w:bookmarkStart w:id="165" w:name="_Toc13336"/>
      <w:bookmarkStart w:id="166" w:name="_Toc487900350"/>
      <w:bookmarkStart w:id="167" w:name="_Toc27635"/>
      <w:bookmarkStart w:id="168" w:name="_Toc279701241"/>
      <w:bookmarkStart w:id="169" w:name="_Toc32504"/>
      <w:bookmarkStart w:id="170" w:name="_Toc259093670"/>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2 技术规范</w:t>
      </w:r>
      <w:bookmarkEnd w:id="165"/>
      <w:bookmarkEnd w:id="166"/>
      <w:bookmarkEnd w:id="167"/>
      <w:bookmarkEnd w:id="168"/>
      <w:bookmarkEnd w:id="169"/>
      <w:bookmarkEnd w:id="170"/>
    </w:p>
    <w:p w14:paraId="2C74D6F9">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货物所应遵守的技术规范应与采购文件规定的技术规范和技术规范附件(如果有的话)及其技术规范偏差表(如果被甲方接受的话)相一致</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如果采购文件中没有技术规范的相应说明，那么应以国家有关部门最新颁布的相应标准</w:t>
      </w:r>
      <w:r>
        <w:rPr>
          <w:rFonts w:hint="eastAsia" w:ascii="宋体" w:hAnsi="宋体" w:eastAsia="宋体" w:cs="Times New Roman"/>
          <w:color w:val="auto"/>
          <w:sz w:val="24"/>
          <w:szCs w:val="24"/>
          <w:highlight w:val="none"/>
        </w:rPr>
        <w:t>和</w:t>
      </w:r>
      <w:r>
        <w:rPr>
          <w:rFonts w:ascii="宋体" w:hAnsi="宋体" w:eastAsia="宋体" w:cs="Times New Roman"/>
          <w:color w:val="auto"/>
          <w:sz w:val="24"/>
          <w:szCs w:val="24"/>
          <w:highlight w:val="none"/>
        </w:rPr>
        <w:t>规范为准。</w:t>
      </w:r>
    </w:p>
    <w:p w14:paraId="1967E29B">
      <w:pPr>
        <w:spacing w:line="360" w:lineRule="auto"/>
        <w:ind w:firstLine="437"/>
        <w:outlineLvl w:val="2"/>
        <w:rPr>
          <w:rFonts w:ascii="宋体" w:hAnsi="宋体" w:eastAsia="宋体" w:cs="Times New Roman"/>
          <w:b/>
          <w:bCs/>
          <w:color w:val="auto"/>
          <w:sz w:val="24"/>
          <w:szCs w:val="24"/>
          <w:highlight w:val="none"/>
          <w:lang w:val="zh-CN"/>
        </w:rPr>
      </w:pPr>
      <w:bookmarkStart w:id="171" w:name="_Toc9829"/>
      <w:bookmarkStart w:id="172" w:name="_Toc279701242"/>
      <w:bookmarkStart w:id="173" w:name="_Toc259093671"/>
      <w:bookmarkStart w:id="174" w:name="_Toc31634"/>
      <w:bookmarkStart w:id="175" w:name="_Toc487900351"/>
      <w:bookmarkStart w:id="176" w:name="_Toc27853"/>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3 知识产权</w:t>
      </w:r>
      <w:bookmarkEnd w:id="171"/>
      <w:bookmarkEnd w:id="172"/>
      <w:bookmarkEnd w:id="173"/>
      <w:bookmarkEnd w:id="174"/>
      <w:bookmarkEnd w:id="175"/>
      <w:bookmarkEnd w:id="176"/>
    </w:p>
    <w:p w14:paraId="416D071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2.3.1乙</w:t>
      </w:r>
      <w:r>
        <w:rPr>
          <w:rFonts w:ascii="宋体" w:hAnsi="宋体" w:eastAsia="宋体" w:cs="Times New Roman"/>
          <w:color w:val="auto"/>
          <w:sz w:val="24"/>
          <w:szCs w:val="24"/>
          <w:highlight w:val="none"/>
        </w:rPr>
        <w:t>方应保证</w:t>
      </w:r>
      <w:r>
        <w:rPr>
          <w:rFonts w:hint="eastAsia" w:ascii="宋体" w:hAnsi="宋体" w:eastAsia="宋体" w:cs="Times New Roman"/>
          <w:color w:val="auto"/>
          <w:sz w:val="24"/>
          <w:szCs w:val="24"/>
          <w:highlight w:val="none"/>
        </w:rPr>
        <w:t>其提供的服务</w:t>
      </w:r>
      <w:r>
        <w:rPr>
          <w:rFonts w:ascii="宋体" w:hAnsi="宋体" w:eastAsia="宋体" w:cs="Times New Roman"/>
          <w:color w:val="auto"/>
          <w:sz w:val="24"/>
          <w:szCs w:val="24"/>
          <w:highlight w:val="none"/>
        </w:rPr>
        <w:t>不受任何第三方提出的侵犯其著作权、商标权、专利权等知识产权方面的起诉</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如果任何第三方提出侵权</w:t>
      </w:r>
      <w:r>
        <w:rPr>
          <w:rFonts w:hint="eastAsia" w:ascii="宋体" w:hAnsi="宋体" w:eastAsia="宋体" w:cs="Times New Roman"/>
          <w:color w:val="auto"/>
          <w:sz w:val="24"/>
          <w:szCs w:val="24"/>
          <w:highlight w:val="none"/>
        </w:rPr>
        <w:t>指控</w:t>
      </w:r>
      <w:r>
        <w:rPr>
          <w:rFonts w:ascii="宋体" w:hAnsi="宋体" w:eastAsia="宋体" w:cs="Times New Roman"/>
          <w:color w:val="auto"/>
          <w:sz w:val="24"/>
          <w:szCs w:val="24"/>
          <w:highlight w:val="none"/>
        </w:rPr>
        <w:t>，那么乙方须与该第三方交涉并承担由此发生的一切责任、费用和赔偿</w:t>
      </w:r>
      <w:r>
        <w:rPr>
          <w:rFonts w:hint="eastAsia" w:ascii="宋体" w:hAnsi="宋体" w:eastAsia="宋体" w:cs="Times New Roman"/>
          <w:color w:val="auto"/>
          <w:sz w:val="24"/>
          <w:szCs w:val="24"/>
          <w:highlight w:val="none"/>
        </w:rPr>
        <w:t>；</w:t>
      </w:r>
    </w:p>
    <w:p w14:paraId="0EB69CD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2.3.2具有知识产权的计算机软件等货物的知识产权归属，</w:t>
      </w: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0EAC55AD">
      <w:pPr>
        <w:spacing w:line="360" w:lineRule="auto"/>
        <w:ind w:firstLine="437"/>
        <w:outlineLvl w:val="2"/>
        <w:rPr>
          <w:rFonts w:ascii="宋体" w:hAnsi="宋体" w:eastAsia="宋体" w:cs="Times New Roman"/>
          <w:b/>
          <w:bCs/>
          <w:color w:val="auto"/>
          <w:sz w:val="24"/>
          <w:szCs w:val="24"/>
          <w:highlight w:val="none"/>
          <w:lang w:val="zh-CN"/>
        </w:rPr>
      </w:pPr>
      <w:bookmarkStart w:id="177" w:name="_Toc487900354"/>
      <w:bookmarkStart w:id="178" w:name="_Ref467378541"/>
      <w:bookmarkStart w:id="179" w:name="_Ref467378591"/>
      <w:bookmarkStart w:id="180" w:name="_Ref467379527"/>
      <w:bookmarkStart w:id="181" w:name="_Ref467379536"/>
      <w:bookmarkStart w:id="182" w:name="_Toc279701245"/>
      <w:bookmarkStart w:id="183" w:name="_Toc259093674"/>
      <w:bookmarkStart w:id="184" w:name="_Ref467379542"/>
      <w:bookmarkStart w:id="185" w:name="_Toc26182"/>
      <w:bookmarkStart w:id="186" w:name="_Toc30272"/>
      <w:bookmarkStart w:id="187" w:name="_Toc19074"/>
      <w:r>
        <w:rPr>
          <w:rFonts w:hint="eastAsia" w:ascii="宋体" w:hAnsi="宋体" w:eastAsia="宋体" w:cs="Times New Roman"/>
          <w:b/>
          <w:bCs/>
          <w:color w:val="auto"/>
          <w:sz w:val="24"/>
          <w:szCs w:val="24"/>
          <w:highlight w:val="none"/>
          <w:lang w:val="zh-CN"/>
        </w:rPr>
        <w:t>2.</w:t>
      </w:r>
      <w:bookmarkEnd w:id="177"/>
      <w:bookmarkEnd w:id="178"/>
      <w:bookmarkEnd w:id="179"/>
      <w:bookmarkEnd w:id="180"/>
      <w:bookmarkEnd w:id="181"/>
      <w:bookmarkEnd w:id="182"/>
      <w:bookmarkEnd w:id="183"/>
      <w:bookmarkEnd w:id="184"/>
      <w:r>
        <w:rPr>
          <w:rFonts w:ascii="宋体" w:hAnsi="宋体" w:eastAsia="宋体" w:cs="Times New Roman"/>
          <w:b/>
          <w:bCs/>
          <w:color w:val="auto"/>
          <w:sz w:val="24"/>
          <w:szCs w:val="24"/>
          <w:highlight w:val="none"/>
          <w:lang w:val="zh-CN"/>
        </w:rPr>
        <w:t xml:space="preserve">4 </w:t>
      </w:r>
      <w:r>
        <w:rPr>
          <w:rFonts w:hint="eastAsia" w:ascii="宋体" w:hAnsi="宋体" w:eastAsia="宋体" w:cs="Times New Roman"/>
          <w:b/>
          <w:bCs/>
          <w:color w:val="auto"/>
          <w:sz w:val="24"/>
          <w:szCs w:val="24"/>
          <w:highlight w:val="none"/>
          <w:lang w:val="zh-CN"/>
        </w:rPr>
        <w:t>履约检查和问题反馈</w:t>
      </w:r>
      <w:bookmarkEnd w:id="185"/>
      <w:bookmarkEnd w:id="186"/>
      <w:bookmarkEnd w:id="187"/>
    </w:p>
    <w:p w14:paraId="045F98B4">
      <w:pPr>
        <w:spacing w:line="360" w:lineRule="auto"/>
        <w:ind w:firstLine="435"/>
        <w:rPr>
          <w:rFonts w:ascii="宋体" w:hAnsi="宋体" w:eastAsia="宋体" w:cs="Times New Roman"/>
          <w:color w:val="auto"/>
          <w:sz w:val="24"/>
          <w:szCs w:val="24"/>
          <w:highlight w:val="none"/>
        </w:rPr>
      </w:pPr>
      <w:bookmarkStart w:id="188" w:name="_Toc186431854"/>
      <w:bookmarkStart w:id="189" w:name="_Ref467379807"/>
      <w:bookmarkStart w:id="190" w:name="_Toc279701247"/>
      <w:bookmarkStart w:id="191" w:name="_Toc259093676"/>
      <w:bookmarkStart w:id="192" w:name="_Ref467379793"/>
      <w:bookmarkStart w:id="193" w:name="_Toc487900357"/>
      <w:r>
        <w:rPr>
          <w:rFonts w:hint="eastAsia" w:ascii="宋体" w:hAnsi="宋体" w:eastAsia="宋体" w:cs="Times New Roman"/>
          <w:color w:val="auto"/>
          <w:sz w:val="24"/>
          <w:szCs w:val="24"/>
          <w:highlight w:val="none"/>
        </w:rPr>
        <w:t>2.4</w:t>
      </w:r>
      <w:r>
        <w:rPr>
          <w:rFonts w:ascii="宋体" w:hAnsi="宋体" w:eastAsia="宋体" w:cs="Times New Roman"/>
          <w:color w:val="auto"/>
          <w:sz w:val="24"/>
          <w:szCs w:val="24"/>
          <w:highlight w:val="none"/>
        </w:rPr>
        <w:t>.1甲方</w:t>
      </w:r>
      <w:r>
        <w:rPr>
          <w:rFonts w:hint="eastAsia" w:ascii="宋体" w:hAnsi="宋体" w:eastAsia="宋体" w:cs="Times New Roman"/>
          <w:color w:val="auto"/>
          <w:sz w:val="24"/>
          <w:szCs w:val="24"/>
          <w:highlight w:val="none"/>
        </w:rPr>
        <w:t>有权</w:t>
      </w:r>
      <w:r>
        <w:rPr>
          <w:rFonts w:ascii="宋体" w:hAnsi="宋体" w:eastAsia="宋体" w:cs="Times New Roman"/>
          <w:color w:val="auto"/>
          <w:sz w:val="24"/>
          <w:szCs w:val="24"/>
          <w:highlight w:val="none"/>
        </w:rPr>
        <w:t>在其认为必要时</w:t>
      </w:r>
      <w:r>
        <w:rPr>
          <w:rFonts w:hint="eastAsia" w:ascii="宋体" w:hAnsi="宋体" w:eastAsia="宋体" w:cs="Times New Roman"/>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6271F679">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.2合同履行期间，甲方有权将履行过程中出现的问题反馈给乙方，双方当事人应以书面形式约定需要完善和改进的内容</w:t>
      </w:r>
      <w:bookmarkEnd w:id="188"/>
      <w:bookmarkStart w:id="194" w:name="_Toc186431855"/>
      <w:r>
        <w:rPr>
          <w:rFonts w:hint="eastAsia" w:ascii="宋体" w:hAnsi="宋体" w:eastAsia="宋体" w:cs="Times New Roman"/>
          <w:color w:val="auto"/>
          <w:sz w:val="24"/>
          <w:szCs w:val="24"/>
          <w:highlight w:val="none"/>
        </w:rPr>
        <w:t>。</w:t>
      </w:r>
    </w:p>
    <w:bookmarkEnd w:id="194"/>
    <w:p w14:paraId="49096BEE">
      <w:pPr>
        <w:spacing w:line="360" w:lineRule="auto"/>
        <w:ind w:firstLine="437"/>
        <w:outlineLvl w:val="2"/>
        <w:rPr>
          <w:rFonts w:ascii="宋体" w:hAnsi="宋体" w:eastAsia="宋体" w:cs="Times New Roman"/>
          <w:b/>
          <w:bCs/>
          <w:color w:val="auto"/>
          <w:sz w:val="24"/>
          <w:szCs w:val="24"/>
          <w:highlight w:val="none"/>
          <w:lang w:val="zh-CN"/>
        </w:rPr>
      </w:pPr>
      <w:bookmarkStart w:id="195" w:name="_Toc28451"/>
      <w:bookmarkStart w:id="196" w:name="_Toc19219"/>
      <w:bookmarkStart w:id="197" w:name="_Toc7836"/>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5结算方式和付款条件</w:t>
      </w:r>
      <w:bookmarkEnd w:id="189"/>
      <w:bookmarkEnd w:id="190"/>
      <w:bookmarkEnd w:id="191"/>
      <w:bookmarkEnd w:id="192"/>
      <w:bookmarkEnd w:id="193"/>
      <w:bookmarkEnd w:id="195"/>
      <w:bookmarkEnd w:id="196"/>
      <w:bookmarkEnd w:id="197"/>
    </w:p>
    <w:p w14:paraId="097E597D">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详见</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w:t>
      </w:r>
    </w:p>
    <w:p w14:paraId="4F3BC396">
      <w:pPr>
        <w:spacing w:line="360" w:lineRule="auto"/>
        <w:ind w:firstLine="437"/>
        <w:outlineLvl w:val="2"/>
        <w:rPr>
          <w:rFonts w:ascii="宋体" w:hAnsi="宋体" w:eastAsia="宋体" w:cs="Times New Roman"/>
          <w:b/>
          <w:bCs/>
          <w:color w:val="auto"/>
          <w:sz w:val="24"/>
          <w:szCs w:val="24"/>
          <w:highlight w:val="none"/>
          <w:lang w:val="zh-CN"/>
        </w:rPr>
      </w:pPr>
      <w:bookmarkStart w:id="198" w:name="_Toc487900358"/>
      <w:bookmarkStart w:id="199" w:name="_Ref467379852"/>
      <w:bookmarkStart w:id="200" w:name="_Ref467379863"/>
      <w:bookmarkStart w:id="201" w:name="_Toc259093677"/>
      <w:bookmarkStart w:id="202" w:name="_Ref467379923"/>
      <w:bookmarkStart w:id="203" w:name="_Toc279701248"/>
      <w:bookmarkStart w:id="204" w:name="_Toc3225"/>
      <w:bookmarkStart w:id="205" w:name="_Toc16110"/>
      <w:bookmarkStart w:id="206" w:name="_Toc774"/>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6技术资料</w:t>
      </w:r>
      <w:bookmarkEnd w:id="198"/>
      <w:bookmarkEnd w:id="199"/>
      <w:bookmarkEnd w:id="200"/>
      <w:bookmarkEnd w:id="201"/>
      <w:bookmarkEnd w:id="202"/>
      <w:bookmarkEnd w:id="203"/>
      <w:r>
        <w:rPr>
          <w:rFonts w:ascii="宋体" w:hAnsi="宋体" w:eastAsia="宋体" w:cs="Times New Roman"/>
          <w:b/>
          <w:bCs/>
          <w:color w:val="auto"/>
          <w:sz w:val="24"/>
          <w:szCs w:val="24"/>
          <w:highlight w:val="none"/>
          <w:lang w:val="zh-CN"/>
        </w:rPr>
        <w:t>和保密义务</w:t>
      </w:r>
      <w:bookmarkEnd w:id="204"/>
      <w:bookmarkEnd w:id="205"/>
      <w:bookmarkEnd w:id="206"/>
    </w:p>
    <w:p w14:paraId="42CB2DA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6.1</w:t>
      </w:r>
      <w:r>
        <w:rPr>
          <w:rFonts w:hint="eastAsia" w:ascii="宋体" w:hAnsi="宋体" w:eastAsia="宋体" w:cs="Times New Roman"/>
          <w:color w:val="auto"/>
          <w:sz w:val="24"/>
          <w:szCs w:val="24"/>
          <w:highlight w:val="none"/>
        </w:rPr>
        <w:t>乙方有权依据合同约定和项目需要，向甲方了解有关情况，调阅有关资料等，甲方应予积极配合；</w:t>
      </w:r>
    </w:p>
    <w:p w14:paraId="07A3498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.2乙方有义务妥善保管和保护由甲方提供的前款信息和资料等；</w:t>
      </w:r>
    </w:p>
    <w:p w14:paraId="1E49263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6.</w:t>
      </w:r>
      <w:r>
        <w:rPr>
          <w:rFonts w:hint="eastAsia" w:ascii="宋体" w:hAnsi="宋体" w:eastAsia="宋体" w:cs="Times New Roman"/>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auto"/>
          <w:sz w:val="24"/>
          <w:szCs w:val="24"/>
          <w:highlight w:val="none"/>
        </w:rPr>
        <w:t>技术情报</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技术资料</w:t>
      </w:r>
      <w:r>
        <w:rPr>
          <w:rFonts w:hint="eastAsia" w:ascii="宋体" w:hAnsi="宋体" w:eastAsia="宋体" w:cs="Times New Roman"/>
          <w:color w:val="auto"/>
          <w:sz w:val="24"/>
          <w:szCs w:val="24"/>
          <w:highlight w:val="none"/>
        </w:rPr>
        <w:t>、商业秘密和商业信息等，并采取一切合理和必要措施和方式防止任何第三方接触到对方当事人的上述保密信息和资料。</w:t>
      </w:r>
    </w:p>
    <w:p w14:paraId="774C328B">
      <w:pPr>
        <w:spacing w:line="360" w:lineRule="auto"/>
        <w:ind w:firstLine="437"/>
        <w:outlineLvl w:val="2"/>
        <w:rPr>
          <w:rFonts w:ascii="宋体" w:hAnsi="宋体" w:eastAsia="宋体" w:cs="Times New Roman"/>
          <w:b/>
          <w:bCs/>
          <w:color w:val="auto"/>
          <w:sz w:val="24"/>
          <w:szCs w:val="24"/>
          <w:highlight w:val="none"/>
          <w:lang w:val="zh-CN"/>
        </w:rPr>
      </w:pPr>
      <w:bookmarkStart w:id="207" w:name="_Toc7860"/>
      <w:r>
        <w:rPr>
          <w:rFonts w:ascii="宋体" w:hAnsi="宋体" w:eastAsia="宋体" w:cs="Times New Roman"/>
          <w:b/>
          <w:bCs/>
          <w:color w:val="auto"/>
          <w:sz w:val="24"/>
          <w:szCs w:val="24"/>
          <w:highlight w:val="none"/>
          <w:lang w:val="zh-CN"/>
        </w:rPr>
        <w:t>2.7 质量保证</w:t>
      </w:r>
      <w:bookmarkEnd w:id="207"/>
    </w:p>
    <w:p w14:paraId="413BF68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rPr>
        <w:t>.1乙方应建立和完善履行合同的内部质量保证体系，并提供相关内部规章制度给甲方，以便甲方进行监督检查；</w:t>
      </w:r>
    </w:p>
    <w:p w14:paraId="346D98F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rPr>
        <w:t>.2乙方应保证履行合同的人员数量和素质、软件和硬件设备的配置、场地、环境和设施等满足全面履行合同的要求，并应接受甲方的监督检查。</w:t>
      </w:r>
    </w:p>
    <w:p w14:paraId="6B915813">
      <w:pPr>
        <w:spacing w:line="360" w:lineRule="auto"/>
        <w:ind w:firstLine="437"/>
        <w:outlineLvl w:val="2"/>
        <w:rPr>
          <w:rFonts w:ascii="宋体" w:hAnsi="宋体" w:eastAsia="宋体" w:cs="Times New Roman"/>
          <w:b/>
          <w:color w:val="auto"/>
          <w:sz w:val="24"/>
          <w:szCs w:val="24"/>
          <w:highlight w:val="none"/>
        </w:rPr>
      </w:pPr>
      <w:bookmarkStart w:id="208" w:name="_Toc22267"/>
      <w:r>
        <w:rPr>
          <w:rFonts w:hint="eastAsia" w:ascii="宋体" w:hAnsi="宋体" w:eastAsia="宋体" w:cs="Times New Roman"/>
          <w:b/>
          <w:color w:val="auto"/>
          <w:sz w:val="24"/>
          <w:szCs w:val="24"/>
          <w:highlight w:val="none"/>
        </w:rPr>
        <w:t>2.8 延迟履行</w:t>
      </w:r>
      <w:bookmarkEnd w:id="208"/>
    </w:p>
    <w:p w14:paraId="41ECBAC7">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在合同履行过程中，如果乙方遇到不能按时</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的情况，应及时以书面形式将不能按时</w:t>
      </w:r>
      <w:r>
        <w:rPr>
          <w:rFonts w:hint="eastAsia" w:ascii="宋体" w:hAnsi="宋体" w:eastAsia="宋体" w:cs="Times New Roman"/>
          <w:color w:val="auto"/>
          <w:sz w:val="24"/>
          <w:szCs w:val="24"/>
          <w:highlight w:val="none"/>
        </w:rPr>
        <w:t>提供服务</w:t>
      </w:r>
      <w:r>
        <w:rPr>
          <w:rFonts w:ascii="宋体" w:hAnsi="宋体" w:eastAsia="宋体" w:cs="Times New Roman"/>
          <w:color w:val="auto"/>
          <w:sz w:val="24"/>
          <w:szCs w:val="24"/>
          <w:highlight w:val="none"/>
        </w:rPr>
        <w:t>的理由、预期延误时间通知甲方</w:t>
      </w:r>
      <w:r>
        <w:rPr>
          <w:rFonts w:hint="eastAsia" w:ascii="宋体" w:hAnsi="宋体" w:eastAsia="宋体" w:cs="Times New Roman"/>
          <w:color w:val="auto"/>
          <w:sz w:val="24"/>
          <w:szCs w:val="24"/>
          <w:highlight w:val="none"/>
        </w:rPr>
        <w:t>；甲</w:t>
      </w:r>
      <w:r>
        <w:rPr>
          <w:rFonts w:ascii="宋体" w:hAnsi="宋体" w:eastAsia="宋体" w:cs="Times New Roman"/>
          <w:color w:val="auto"/>
          <w:sz w:val="24"/>
          <w:szCs w:val="24"/>
          <w:highlight w:val="none"/>
        </w:rPr>
        <w:t>方收到乙方通知后，认为其理由正当的，可以书面形式酌情同意乙方可以延长</w:t>
      </w:r>
      <w:r>
        <w:rPr>
          <w:rFonts w:hint="eastAsia" w:ascii="宋体" w:hAnsi="宋体" w:eastAsia="宋体" w:cs="Times New Roman"/>
          <w:color w:val="auto"/>
          <w:sz w:val="24"/>
          <w:szCs w:val="24"/>
          <w:highlight w:val="none"/>
        </w:rPr>
        <w:t>履行</w:t>
      </w:r>
      <w:r>
        <w:rPr>
          <w:rFonts w:ascii="宋体" w:hAnsi="宋体" w:eastAsia="宋体" w:cs="Times New Roman"/>
          <w:color w:val="auto"/>
          <w:sz w:val="24"/>
          <w:szCs w:val="24"/>
          <w:highlight w:val="none"/>
        </w:rPr>
        <w:t>的具体时间。</w:t>
      </w:r>
    </w:p>
    <w:p w14:paraId="31C63118">
      <w:pPr>
        <w:spacing w:line="360" w:lineRule="auto"/>
        <w:ind w:firstLine="437"/>
        <w:outlineLvl w:val="2"/>
        <w:rPr>
          <w:rFonts w:ascii="宋体" w:hAnsi="宋体" w:eastAsia="宋体" w:cs="Times New Roman"/>
          <w:b/>
          <w:bCs/>
          <w:color w:val="auto"/>
          <w:sz w:val="24"/>
          <w:szCs w:val="24"/>
          <w:highlight w:val="none"/>
          <w:lang w:val="zh-CN"/>
        </w:rPr>
      </w:pPr>
      <w:bookmarkStart w:id="209" w:name="_Toc7502"/>
      <w:bookmarkStart w:id="210" w:name="_Toc279701254"/>
      <w:bookmarkStart w:id="211" w:name="_Toc487900364"/>
      <w:bookmarkStart w:id="212" w:name="_Ref467378121"/>
      <w:bookmarkStart w:id="213" w:name="_Toc259093683"/>
      <w:r>
        <w:rPr>
          <w:rFonts w:ascii="宋体" w:hAnsi="宋体" w:eastAsia="宋体" w:cs="Times New Roman"/>
          <w:b/>
          <w:bCs/>
          <w:color w:val="auto"/>
          <w:sz w:val="24"/>
          <w:szCs w:val="24"/>
          <w:highlight w:val="none"/>
          <w:lang w:val="zh-CN"/>
        </w:rPr>
        <w:t>2.9 合同变更</w:t>
      </w:r>
      <w:bookmarkEnd w:id="209"/>
    </w:p>
    <w:p w14:paraId="1B56468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.1双方当事人协商一致，可以签订书面补充合同的形式变更合同，但不得违背采购文件确定的事项；</w:t>
      </w:r>
    </w:p>
    <w:p w14:paraId="57DC769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9</w:t>
      </w:r>
      <w:r>
        <w:rPr>
          <w:rFonts w:hint="eastAsia" w:ascii="宋体" w:hAnsi="宋体" w:eastAsia="宋体" w:cs="Times New Roman"/>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214" w:name="_Toc259093688"/>
      <w:bookmarkStart w:id="215" w:name="_Toc279701259"/>
      <w:bookmarkStart w:id="216" w:name="_Toc487900369"/>
    </w:p>
    <w:p w14:paraId="3FBE7EFC">
      <w:pPr>
        <w:spacing w:line="360" w:lineRule="auto"/>
        <w:ind w:firstLine="437"/>
        <w:outlineLvl w:val="2"/>
        <w:rPr>
          <w:rFonts w:ascii="宋体" w:hAnsi="宋体" w:eastAsia="宋体" w:cs="Times New Roman"/>
          <w:b/>
          <w:bCs/>
          <w:color w:val="auto"/>
          <w:sz w:val="24"/>
          <w:szCs w:val="24"/>
          <w:highlight w:val="none"/>
          <w:lang w:val="zh-CN"/>
        </w:rPr>
      </w:pPr>
      <w:bookmarkStart w:id="217" w:name="_Toc22955"/>
      <w:bookmarkStart w:id="218" w:name="_Toc15237"/>
      <w:bookmarkStart w:id="219" w:name="_Toc10366"/>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0合同转让</w:t>
      </w:r>
      <w:bookmarkEnd w:id="214"/>
      <w:bookmarkEnd w:id="215"/>
      <w:bookmarkEnd w:id="216"/>
      <w:r>
        <w:rPr>
          <w:rFonts w:ascii="宋体" w:hAnsi="宋体" w:eastAsia="宋体" w:cs="Times New Roman"/>
          <w:b/>
          <w:bCs/>
          <w:color w:val="auto"/>
          <w:sz w:val="24"/>
          <w:szCs w:val="24"/>
          <w:highlight w:val="none"/>
          <w:lang w:val="zh-CN"/>
        </w:rPr>
        <w:t>和分包</w:t>
      </w:r>
      <w:bookmarkEnd w:id="217"/>
      <w:bookmarkEnd w:id="218"/>
      <w:bookmarkEnd w:id="219"/>
    </w:p>
    <w:p w14:paraId="0A1A5441">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合同的权利义务依法不</w:t>
      </w:r>
      <w:r>
        <w:rPr>
          <w:rFonts w:hint="eastAsia" w:ascii="宋体" w:hAnsi="宋体" w:eastAsia="宋体" w:cs="Times New Roman"/>
          <w:color w:val="auto"/>
          <w:sz w:val="24"/>
          <w:szCs w:val="24"/>
          <w:highlight w:val="none"/>
        </w:rPr>
        <w:t>得</w:t>
      </w:r>
      <w:r>
        <w:rPr>
          <w:rFonts w:ascii="宋体" w:hAnsi="宋体" w:eastAsia="宋体" w:cs="Times New Roman"/>
          <w:color w:val="auto"/>
          <w:sz w:val="24"/>
          <w:szCs w:val="24"/>
          <w:highlight w:val="none"/>
        </w:rPr>
        <w:t>转让</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但经甲方</w:t>
      </w:r>
      <w:r>
        <w:rPr>
          <w:rFonts w:hint="eastAsia" w:ascii="宋体" w:hAnsi="宋体" w:eastAsia="宋体" w:cs="Times New Roman"/>
          <w:color w:val="auto"/>
          <w:sz w:val="24"/>
          <w:szCs w:val="24"/>
          <w:highlight w:val="none"/>
        </w:rPr>
        <w:t>同意，乙方可以依法采取分包方式履行合同，即：依法可以</w:t>
      </w:r>
      <w:r>
        <w:rPr>
          <w:rFonts w:ascii="宋体" w:hAnsi="宋体" w:eastAsia="宋体" w:cs="Times New Roman"/>
          <w:color w:val="auto"/>
          <w:sz w:val="24"/>
          <w:szCs w:val="24"/>
          <w:highlight w:val="none"/>
        </w:rPr>
        <w:t>将合同项下的部分非主体、非关键性工作分包给他人完成</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接受分包的人应当具备相应的资格条件，并不得再次分包</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且乙方应就分包项目向甲方负责</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并</w:t>
      </w:r>
      <w:r>
        <w:rPr>
          <w:rFonts w:hint="eastAsia" w:ascii="宋体" w:hAnsi="宋体" w:eastAsia="宋体" w:cs="Times New Roman"/>
          <w:color w:val="auto"/>
          <w:sz w:val="24"/>
          <w:szCs w:val="24"/>
          <w:highlight w:val="none"/>
        </w:rPr>
        <w:t>与分包供应商就分包项目向甲方承担连带责任。</w:t>
      </w:r>
    </w:p>
    <w:p w14:paraId="2F1EF8C3">
      <w:pPr>
        <w:spacing w:line="360" w:lineRule="auto"/>
        <w:ind w:firstLine="437"/>
        <w:outlineLvl w:val="2"/>
        <w:rPr>
          <w:rFonts w:ascii="宋体" w:hAnsi="宋体" w:eastAsia="宋体" w:cs="Times New Roman"/>
          <w:b/>
          <w:bCs/>
          <w:color w:val="auto"/>
          <w:sz w:val="24"/>
          <w:szCs w:val="24"/>
          <w:highlight w:val="none"/>
          <w:lang w:val="zh-CN"/>
        </w:rPr>
      </w:pPr>
      <w:bookmarkStart w:id="220" w:name="_Toc14066"/>
      <w:bookmarkStart w:id="221" w:name="_Toc13566"/>
      <w:bookmarkStart w:id="222" w:name="_Toc16508"/>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1 不可抗力</w:t>
      </w:r>
      <w:bookmarkEnd w:id="220"/>
      <w:bookmarkEnd w:id="221"/>
      <w:bookmarkEnd w:id="222"/>
    </w:p>
    <w:p w14:paraId="523A1EB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1.1如果任何一方遭遇法律规定的不可抗力，致使合同履行受阻时，履行合同的期限应予延长，延长的期限应相当于不可抗力所影响的时间</w:t>
      </w:r>
      <w:r>
        <w:rPr>
          <w:rFonts w:hint="eastAsia" w:ascii="宋体" w:hAnsi="宋体" w:eastAsia="宋体" w:cs="Times New Roman"/>
          <w:color w:val="auto"/>
          <w:sz w:val="24"/>
          <w:szCs w:val="24"/>
          <w:highlight w:val="none"/>
        </w:rPr>
        <w:t>；</w:t>
      </w:r>
    </w:p>
    <w:p w14:paraId="1AB83B94">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.2因不可抗力致使不能实现合同目的的，当事人可以解除合同；</w:t>
      </w:r>
    </w:p>
    <w:p w14:paraId="28D256FD">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.3因</w:t>
      </w:r>
      <w:r>
        <w:rPr>
          <w:rFonts w:ascii="宋体" w:hAnsi="宋体" w:eastAsia="宋体" w:cs="Times New Roman"/>
          <w:color w:val="auto"/>
          <w:sz w:val="24"/>
          <w:szCs w:val="24"/>
          <w:highlight w:val="none"/>
        </w:rPr>
        <w:t>不可抗力致使合同有变更必要的，双方当事人应在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约定时间内以书面形式变更合同</w:t>
      </w:r>
      <w:r>
        <w:rPr>
          <w:rFonts w:hint="eastAsia" w:ascii="宋体" w:hAnsi="宋体" w:eastAsia="宋体" w:cs="Times New Roman"/>
          <w:color w:val="auto"/>
          <w:sz w:val="24"/>
          <w:szCs w:val="24"/>
          <w:highlight w:val="none"/>
        </w:rPr>
        <w:t>；</w:t>
      </w:r>
    </w:p>
    <w:p w14:paraId="285FE08F">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4</w:t>
      </w:r>
      <w:r>
        <w:rPr>
          <w:rFonts w:ascii="宋体" w:hAnsi="宋体" w:eastAsia="宋体" w:cs="Times New Roman"/>
          <w:color w:val="auto"/>
          <w:sz w:val="24"/>
          <w:szCs w:val="24"/>
          <w:highlight w:val="none"/>
        </w:rPr>
        <w:t>受</w:t>
      </w:r>
      <w:r>
        <w:rPr>
          <w:rFonts w:hint="eastAsia" w:ascii="宋体" w:hAnsi="宋体" w:eastAsia="宋体" w:cs="Times New Roman"/>
          <w:color w:val="auto"/>
          <w:sz w:val="24"/>
          <w:szCs w:val="24"/>
          <w:highlight w:val="none"/>
        </w:rPr>
        <w:t>不可抗力</w:t>
      </w:r>
      <w:r>
        <w:rPr>
          <w:rFonts w:ascii="宋体" w:hAnsi="宋体" w:eastAsia="宋体" w:cs="Times New Roman"/>
          <w:color w:val="auto"/>
          <w:sz w:val="24"/>
          <w:szCs w:val="24"/>
          <w:highlight w:val="none"/>
        </w:rPr>
        <w:t>影响的一方在不可抗力发生后</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应在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约定时间内以书面形式通知</w:t>
      </w:r>
      <w:r>
        <w:rPr>
          <w:rFonts w:hint="eastAsia" w:ascii="宋体" w:hAnsi="宋体" w:eastAsia="宋体" w:cs="Times New Roman"/>
          <w:color w:val="auto"/>
          <w:sz w:val="24"/>
          <w:szCs w:val="24"/>
          <w:highlight w:val="none"/>
        </w:rPr>
        <w:t>对</w:t>
      </w:r>
      <w:r>
        <w:rPr>
          <w:rFonts w:ascii="宋体" w:hAnsi="宋体" w:eastAsia="宋体" w:cs="Times New Roman"/>
          <w:color w:val="auto"/>
          <w:sz w:val="24"/>
          <w:szCs w:val="24"/>
          <w:highlight w:val="none"/>
        </w:rPr>
        <w:t>方当事人，并在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约定时间内，将有关部门出具的证明文件送达</w:t>
      </w:r>
      <w:r>
        <w:rPr>
          <w:rFonts w:hint="eastAsia" w:ascii="宋体" w:hAnsi="宋体" w:eastAsia="宋体" w:cs="Times New Roman"/>
          <w:color w:val="auto"/>
          <w:sz w:val="24"/>
          <w:szCs w:val="24"/>
          <w:highlight w:val="none"/>
        </w:rPr>
        <w:t>对方当事人</w:t>
      </w:r>
      <w:r>
        <w:rPr>
          <w:rFonts w:ascii="宋体" w:hAnsi="宋体" w:eastAsia="宋体" w:cs="Times New Roman"/>
          <w:color w:val="auto"/>
          <w:sz w:val="24"/>
          <w:szCs w:val="24"/>
          <w:highlight w:val="none"/>
        </w:rPr>
        <w:t>。</w:t>
      </w:r>
    </w:p>
    <w:p w14:paraId="01368DB8">
      <w:pPr>
        <w:spacing w:line="360" w:lineRule="auto"/>
        <w:ind w:firstLine="437"/>
        <w:outlineLvl w:val="2"/>
        <w:rPr>
          <w:rFonts w:ascii="宋体" w:hAnsi="宋体" w:eastAsia="宋体" w:cs="Times New Roman"/>
          <w:b/>
          <w:bCs/>
          <w:color w:val="auto"/>
          <w:sz w:val="24"/>
          <w:szCs w:val="24"/>
          <w:highlight w:val="none"/>
          <w:lang w:val="zh-CN"/>
        </w:rPr>
      </w:pPr>
      <w:bookmarkStart w:id="223" w:name="_Toc259093684"/>
      <w:bookmarkStart w:id="224" w:name="_Toc689"/>
      <w:bookmarkStart w:id="225" w:name="_Toc6969"/>
      <w:bookmarkStart w:id="226" w:name="_Toc279701255"/>
      <w:bookmarkStart w:id="227" w:name="_Toc487900365"/>
      <w:bookmarkStart w:id="228" w:name="_Toc30676"/>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12税费</w:t>
      </w:r>
      <w:bookmarkEnd w:id="223"/>
      <w:bookmarkEnd w:id="224"/>
      <w:bookmarkEnd w:id="225"/>
      <w:bookmarkEnd w:id="226"/>
      <w:bookmarkEnd w:id="227"/>
      <w:bookmarkEnd w:id="228"/>
    </w:p>
    <w:p w14:paraId="24E76F10">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与合同有关的一切税费</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均按照中华人民共和国法律的相关规定</w:t>
      </w:r>
      <w:r>
        <w:rPr>
          <w:rFonts w:hint="eastAsia" w:ascii="宋体" w:hAnsi="宋体" w:eastAsia="宋体" w:cs="Times New Roman"/>
          <w:color w:val="auto"/>
          <w:sz w:val="24"/>
          <w:szCs w:val="24"/>
          <w:highlight w:val="none"/>
        </w:rPr>
        <w:t>缴纳</w:t>
      </w:r>
      <w:r>
        <w:rPr>
          <w:rFonts w:ascii="宋体" w:hAnsi="宋体" w:eastAsia="宋体" w:cs="Times New Roman"/>
          <w:color w:val="auto"/>
          <w:sz w:val="24"/>
          <w:szCs w:val="24"/>
          <w:highlight w:val="none"/>
        </w:rPr>
        <w:t>。</w:t>
      </w:r>
    </w:p>
    <w:p w14:paraId="5D9C7A86">
      <w:pPr>
        <w:spacing w:line="360" w:lineRule="auto"/>
        <w:ind w:firstLine="437"/>
        <w:outlineLvl w:val="2"/>
        <w:rPr>
          <w:rFonts w:ascii="宋体" w:hAnsi="宋体" w:eastAsia="宋体" w:cs="Times New Roman"/>
          <w:b/>
          <w:bCs/>
          <w:color w:val="auto"/>
          <w:sz w:val="24"/>
          <w:szCs w:val="24"/>
          <w:highlight w:val="none"/>
          <w:lang w:val="zh-CN"/>
        </w:rPr>
      </w:pPr>
      <w:bookmarkStart w:id="229" w:name="_Toc487900368"/>
      <w:bookmarkStart w:id="230" w:name="_Toc8298"/>
      <w:bookmarkStart w:id="231" w:name="_Toc16959"/>
      <w:bookmarkStart w:id="232" w:name="_Toc7102"/>
      <w:bookmarkStart w:id="233" w:name="_Toc259093687"/>
      <w:bookmarkStart w:id="234" w:name="_Toc279701258"/>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13乙方破产</w:t>
      </w:r>
      <w:bookmarkEnd w:id="229"/>
      <w:bookmarkEnd w:id="230"/>
      <w:bookmarkEnd w:id="231"/>
      <w:bookmarkEnd w:id="232"/>
      <w:bookmarkEnd w:id="233"/>
      <w:bookmarkEnd w:id="234"/>
    </w:p>
    <w:p w14:paraId="5715577C">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如果乙方破产导致合同无法履行时，甲方可以书面形式通知乙方终止合同且不给予乙方任何补偿和赔偿</w:t>
      </w:r>
      <w:r>
        <w:rPr>
          <w:rFonts w:hint="eastAsia" w:ascii="宋体" w:hAnsi="宋体" w:eastAsia="宋体" w:cs="Times New Roman"/>
          <w:color w:val="auto"/>
          <w:sz w:val="24"/>
          <w:szCs w:val="24"/>
          <w:highlight w:val="none"/>
        </w:rPr>
        <w:t>，但合同的</w:t>
      </w:r>
      <w:r>
        <w:rPr>
          <w:rFonts w:ascii="宋体" w:hAnsi="宋体" w:eastAsia="宋体" w:cs="Times New Roman"/>
          <w:color w:val="auto"/>
          <w:sz w:val="24"/>
          <w:szCs w:val="24"/>
          <w:highlight w:val="none"/>
        </w:rPr>
        <w:t>终止不损害或不影响甲方已经采取或将要采取的任何要求乙方支付违约金</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赔偿损失等的行动或补救措施的权利</w:t>
      </w:r>
      <w:r>
        <w:rPr>
          <w:rFonts w:hint="eastAsia" w:ascii="宋体" w:hAnsi="宋体" w:eastAsia="宋体" w:cs="Times New Roman"/>
          <w:color w:val="auto"/>
          <w:sz w:val="24"/>
          <w:szCs w:val="24"/>
          <w:highlight w:val="none"/>
        </w:rPr>
        <w:t>。</w:t>
      </w:r>
    </w:p>
    <w:p w14:paraId="68CA084F">
      <w:pPr>
        <w:spacing w:line="360" w:lineRule="auto"/>
        <w:ind w:firstLine="437"/>
        <w:outlineLvl w:val="2"/>
        <w:rPr>
          <w:rFonts w:ascii="宋体" w:hAnsi="宋体" w:eastAsia="宋体" w:cs="Times New Roman"/>
          <w:b/>
          <w:color w:val="auto"/>
          <w:sz w:val="24"/>
          <w:szCs w:val="24"/>
          <w:highlight w:val="none"/>
        </w:rPr>
      </w:pPr>
      <w:bookmarkStart w:id="235" w:name="_Toc29333"/>
      <w:bookmarkStart w:id="236" w:name="_Toc6134"/>
      <w:bookmarkStart w:id="237" w:name="_Toc15387"/>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4</w:t>
      </w:r>
      <w:r>
        <w:rPr>
          <w:rFonts w:hint="eastAsia" w:ascii="宋体" w:hAnsi="宋体" w:eastAsia="宋体" w:cs="Times New Roman"/>
          <w:b/>
          <w:bCs/>
          <w:color w:val="auto"/>
          <w:sz w:val="24"/>
          <w:szCs w:val="24"/>
          <w:highlight w:val="none"/>
          <w:lang w:val="zh-CN"/>
        </w:rPr>
        <w:t xml:space="preserve"> 合同中止、终止</w:t>
      </w:r>
      <w:bookmarkEnd w:id="235"/>
      <w:bookmarkEnd w:id="236"/>
      <w:bookmarkEnd w:id="237"/>
    </w:p>
    <w:p w14:paraId="29ADBDD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.1双方当事人不得擅自中止或者终止合同；</w:t>
      </w:r>
    </w:p>
    <w:p w14:paraId="09593767">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w:t>
      </w:r>
      <w:r>
        <w:rPr>
          <w:rFonts w:ascii="宋体" w:hAnsi="宋体" w:eastAsia="宋体" w:cs="Times New Roman"/>
          <w:color w:val="auto"/>
          <w:sz w:val="24"/>
          <w:szCs w:val="24"/>
          <w:highlight w:val="none"/>
        </w:rPr>
        <w:t>4</w:t>
      </w:r>
      <w:r>
        <w:rPr>
          <w:rFonts w:hint="eastAsia" w:ascii="宋体" w:hAnsi="宋体" w:eastAsia="宋体" w:cs="Times New Roman"/>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3EAF30C7">
      <w:pPr>
        <w:spacing w:line="360" w:lineRule="auto"/>
        <w:ind w:firstLine="437"/>
        <w:outlineLvl w:val="2"/>
        <w:rPr>
          <w:rFonts w:ascii="宋体" w:hAnsi="宋体" w:eastAsia="宋体" w:cs="Times New Roman"/>
          <w:b/>
          <w:bCs/>
          <w:color w:val="auto"/>
          <w:sz w:val="24"/>
          <w:szCs w:val="24"/>
          <w:highlight w:val="none"/>
          <w:lang w:val="zh-CN"/>
        </w:rPr>
      </w:pPr>
      <w:bookmarkStart w:id="238" w:name="_Toc1125"/>
      <w:bookmarkStart w:id="239" w:name="_Toc6596"/>
      <w:bookmarkStart w:id="240" w:name="_Toc14563"/>
      <w:r>
        <w:rPr>
          <w:rFonts w:hint="eastAsia" w:ascii="宋体" w:hAnsi="宋体" w:eastAsia="宋体" w:cs="Times New Roman"/>
          <w:b/>
          <w:bCs/>
          <w:color w:val="auto"/>
          <w:sz w:val="24"/>
          <w:szCs w:val="24"/>
          <w:highlight w:val="none"/>
          <w:lang w:val="zh-CN"/>
        </w:rPr>
        <w:t>2.1</w:t>
      </w:r>
      <w:r>
        <w:rPr>
          <w:rFonts w:ascii="宋体" w:hAnsi="宋体" w:eastAsia="宋体" w:cs="Times New Roman"/>
          <w:b/>
          <w:bCs/>
          <w:color w:val="auto"/>
          <w:sz w:val="24"/>
          <w:szCs w:val="24"/>
          <w:highlight w:val="none"/>
          <w:lang w:val="zh-CN"/>
        </w:rPr>
        <w:t>5</w:t>
      </w:r>
      <w:r>
        <w:rPr>
          <w:rFonts w:hint="eastAsia" w:ascii="宋体" w:hAnsi="宋体" w:eastAsia="宋体" w:cs="Times New Roman"/>
          <w:b/>
          <w:bCs/>
          <w:color w:val="auto"/>
          <w:sz w:val="24"/>
          <w:szCs w:val="24"/>
          <w:highlight w:val="none"/>
          <w:lang w:val="zh-CN"/>
        </w:rPr>
        <w:t xml:space="preserve"> 检验和验收</w:t>
      </w:r>
      <w:bookmarkEnd w:id="238"/>
      <w:bookmarkEnd w:id="239"/>
      <w:bookmarkEnd w:id="240"/>
    </w:p>
    <w:p w14:paraId="61EF0B4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w:t>
      </w:r>
      <w:r>
        <w:rPr>
          <w:rFonts w:hint="eastAsia" w:ascii="宋体" w:hAnsi="宋体" w:eastAsia="宋体" w:cs="Times New Roman"/>
          <w:color w:val="auto"/>
          <w:sz w:val="24"/>
          <w:szCs w:val="24"/>
          <w:highlight w:val="none"/>
        </w:rPr>
        <w:t>5</w:t>
      </w:r>
      <w:r>
        <w:rPr>
          <w:rFonts w:ascii="宋体" w:hAnsi="宋体" w:eastAsia="宋体" w:cs="Times New Roman"/>
          <w:color w:val="auto"/>
          <w:sz w:val="24"/>
          <w:szCs w:val="24"/>
          <w:highlight w:val="none"/>
        </w:rPr>
        <w:t>.</w:t>
      </w:r>
      <w:r>
        <w:rPr>
          <w:rFonts w:hint="eastAsia" w:ascii="宋体" w:hAnsi="宋体" w:eastAsia="宋体" w:cs="Times New Roman"/>
          <w:color w:val="auto"/>
          <w:sz w:val="24"/>
          <w:szCs w:val="24"/>
          <w:highlight w:val="none"/>
        </w:rPr>
        <w:t>1乙方按照</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的约定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定期提交服务报告</w:t>
      </w:r>
      <w:r>
        <w:rPr>
          <w:rFonts w:hint="eastAsia" w:ascii="宋体" w:hAnsi="宋体" w:eastAsia="宋体" w:cs="Times New Roman"/>
          <w:color w:val="auto"/>
          <w:sz w:val="24"/>
          <w:szCs w:val="24"/>
          <w:highlight w:val="none"/>
        </w:rPr>
        <w:t>，甲方按照</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的约定进行定期验收</w:t>
      </w:r>
      <w:r>
        <w:rPr>
          <w:rFonts w:hint="eastAsia" w:ascii="宋体" w:hAnsi="宋体" w:eastAsia="宋体" w:cs="Times New Roman"/>
          <w:color w:val="auto"/>
          <w:sz w:val="24"/>
          <w:szCs w:val="24"/>
          <w:highlight w:val="none"/>
        </w:rPr>
        <w:t>；</w:t>
      </w:r>
    </w:p>
    <w:p w14:paraId="2A905320">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DD1AC2B">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2.15.3检验和验收标准、程序等具体内容以及前述验收书的效力详见</w:t>
      </w:r>
      <w:r>
        <w:rPr>
          <w:rFonts w:ascii="宋体" w:hAnsi="宋体" w:eastAsia="宋体" w:cs="Times New Roman"/>
          <w:b/>
          <w:i/>
          <w:color w:val="auto"/>
          <w:sz w:val="24"/>
          <w:szCs w:val="24"/>
          <w:highlight w:val="none"/>
          <w:u w:val="single"/>
        </w:rPr>
        <w:t>合同专用条款</w:t>
      </w:r>
      <w:r>
        <w:rPr>
          <w:rFonts w:hint="eastAsia" w:ascii="宋体" w:hAnsi="宋体" w:eastAsia="宋体" w:cs="Times New Roman"/>
          <w:i/>
          <w:color w:val="auto"/>
          <w:sz w:val="24"/>
          <w:szCs w:val="24"/>
          <w:highlight w:val="none"/>
        </w:rPr>
        <w:t>。</w:t>
      </w:r>
    </w:p>
    <w:bookmarkEnd w:id="210"/>
    <w:bookmarkEnd w:id="211"/>
    <w:bookmarkEnd w:id="212"/>
    <w:bookmarkEnd w:id="213"/>
    <w:p w14:paraId="6FC6DAA4">
      <w:pPr>
        <w:spacing w:line="360" w:lineRule="auto"/>
        <w:ind w:firstLine="437"/>
        <w:outlineLvl w:val="2"/>
        <w:rPr>
          <w:rFonts w:ascii="宋体" w:hAnsi="宋体" w:eastAsia="宋体" w:cs="Times New Roman"/>
          <w:b/>
          <w:bCs/>
          <w:color w:val="auto"/>
          <w:sz w:val="24"/>
          <w:szCs w:val="24"/>
          <w:highlight w:val="none"/>
        </w:rPr>
      </w:pPr>
      <w:bookmarkStart w:id="241" w:name="_Toc279701263"/>
      <w:bookmarkStart w:id="242" w:name="_Toc12773"/>
      <w:bookmarkStart w:id="243" w:name="_Toc18567"/>
      <w:bookmarkStart w:id="244" w:name="_Toc487900373"/>
      <w:bookmarkStart w:id="245" w:name="_Toc259093692"/>
      <w:bookmarkStart w:id="246" w:name="_Toc10330"/>
      <w:r>
        <w:rPr>
          <w:rFonts w:hint="eastAsia" w:ascii="宋体" w:hAnsi="宋体" w:eastAsia="宋体" w:cs="Times New Roman"/>
          <w:b/>
          <w:bCs/>
          <w:color w:val="auto"/>
          <w:sz w:val="24"/>
          <w:szCs w:val="24"/>
          <w:highlight w:val="none"/>
        </w:rPr>
        <w:t>2.</w:t>
      </w:r>
      <w:r>
        <w:rPr>
          <w:rFonts w:ascii="宋体" w:hAnsi="宋体" w:eastAsia="宋体" w:cs="Times New Roman"/>
          <w:b/>
          <w:bCs/>
          <w:color w:val="auto"/>
          <w:sz w:val="24"/>
          <w:szCs w:val="24"/>
          <w:highlight w:val="none"/>
        </w:rPr>
        <w:t>16</w:t>
      </w:r>
      <w:r>
        <w:rPr>
          <w:rFonts w:hint="eastAsia" w:ascii="宋体" w:hAnsi="宋体" w:eastAsia="宋体" w:cs="Times New Roman"/>
          <w:b/>
          <w:bCs/>
          <w:color w:val="auto"/>
          <w:sz w:val="24"/>
          <w:szCs w:val="24"/>
          <w:highlight w:val="none"/>
          <w:lang w:val="zh-CN"/>
        </w:rPr>
        <w:t>合同使用的文字和</w:t>
      </w:r>
      <w:r>
        <w:rPr>
          <w:rFonts w:ascii="宋体" w:hAnsi="宋体" w:eastAsia="宋体" w:cs="Times New Roman"/>
          <w:b/>
          <w:bCs/>
          <w:color w:val="auto"/>
          <w:sz w:val="24"/>
          <w:szCs w:val="24"/>
          <w:highlight w:val="none"/>
          <w:lang w:val="zh-CN"/>
        </w:rPr>
        <w:t>适用的法律</w:t>
      </w:r>
      <w:bookmarkEnd w:id="241"/>
      <w:bookmarkEnd w:id="242"/>
      <w:bookmarkEnd w:id="243"/>
      <w:bookmarkEnd w:id="244"/>
      <w:bookmarkEnd w:id="245"/>
      <w:bookmarkEnd w:id="246"/>
    </w:p>
    <w:p w14:paraId="3ABEAA82">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16.1合同使用汉语书就</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变更和解释</w:t>
      </w:r>
      <w:r>
        <w:rPr>
          <w:rFonts w:hint="eastAsia" w:ascii="宋体" w:hAnsi="宋体" w:eastAsia="宋体" w:cs="Times New Roman"/>
          <w:color w:val="auto"/>
          <w:sz w:val="24"/>
          <w:szCs w:val="24"/>
          <w:highlight w:val="none"/>
        </w:rPr>
        <w:t>；</w:t>
      </w:r>
    </w:p>
    <w:p w14:paraId="3FA00A7A">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16</w:t>
      </w:r>
      <w:r>
        <w:rPr>
          <w:rFonts w:hint="eastAsia" w:ascii="宋体" w:hAnsi="宋体" w:eastAsia="宋体" w:cs="Times New Roman"/>
          <w:color w:val="auto"/>
          <w:sz w:val="24"/>
          <w:szCs w:val="24"/>
          <w:highlight w:val="none"/>
        </w:rPr>
        <w:t>.2合同适用</w:t>
      </w:r>
      <w:r>
        <w:rPr>
          <w:rFonts w:ascii="宋体" w:hAnsi="宋体" w:eastAsia="宋体" w:cs="Times New Roman"/>
          <w:color w:val="auto"/>
          <w:sz w:val="24"/>
          <w:szCs w:val="24"/>
          <w:highlight w:val="none"/>
        </w:rPr>
        <w:t>中华人民共和国法律。</w:t>
      </w:r>
    </w:p>
    <w:p w14:paraId="79BECE92">
      <w:pPr>
        <w:spacing w:line="360" w:lineRule="auto"/>
        <w:ind w:firstLine="437"/>
        <w:outlineLvl w:val="2"/>
        <w:rPr>
          <w:rFonts w:ascii="宋体" w:hAnsi="宋体" w:eastAsia="宋体" w:cs="Times New Roman"/>
          <w:b/>
          <w:color w:val="auto"/>
          <w:sz w:val="24"/>
          <w:szCs w:val="24"/>
          <w:highlight w:val="none"/>
        </w:rPr>
      </w:pPr>
      <w:bookmarkStart w:id="247" w:name="_Toc259093693"/>
      <w:bookmarkStart w:id="248" w:name="_Toc16673"/>
      <w:bookmarkStart w:id="249" w:name="_Toc279701264"/>
      <w:bookmarkStart w:id="250" w:name="_Toc3148"/>
      <w:bookmarkStart w:id="251" w:name="_Toc12004"/>
      <w:bookmarkStart w:id="252" w:name="_Toc487900374"/>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17履约保证金</w:t>
      </w:r>
      <w:bookmarkEnd w:id="247"/>
      <w:bookmarkEnd w:id="248"/>
      <w:bookmarkEnd w:id="249"/>
      <w:bookmarkEnd w:id="250"/>
      <w:bookmarkEnd w:id="251"/>
    </w:p>
    <w:p w14:paraId="2807B898">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.1采购文件要求乙方提交履约保证金的，乙方</w:t>
      </w:r>
      <w:r>
        <w:rPr>
          <w:rFonts w:ascii="宋体" w:hAnsi="宋体" w:eastAsia="宋体" w:cs="Times New Roman"/>
          <w:color w:val="auto"/>
          <w:sz w:val="24"/>
          <w:szCs w:val="24"/>
          <w:highlight w:val="none"/>
        </w:rPr>
        <w:t>应按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约定的方式</w:t>
      </w:r>
      <w:r>
        <w:rPr>
          <w:rFonts w:hint="eastAsia" w:ascii="宋体" w:hAnsi="宋体" w:eastAsia="宋体" w:cs="Times New Roman"/>
          <w:color w:val="auto"/>
          <w:sz w:val="24"/>
          <w:szCs w:val="24"/>
          <w:highlight w:val="none"/>
        </w:rPr>
        <w:t>，以支票、汇票、本票或者金融机构、担保机构出具的保函等非现金形式提交；</w:t>
      </w:r>
    </w:p>
    <w:p w14:paraId="4B4154F1">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17.2履约保证金在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约定期间内不予退还或者应完全有效</w:t>
      </w:r>
      <w:r>
        <w:rPr>
          <w:rFonts w:hint="eastAsia" w:ascii="宋体" w:hAnsi="宋体" w:eastAsia="宋体" w:cs="Times New Roman"/>
          <w:color w:val="auto"/>
          <w:sz w:val="24"/>
          <w:szCs w:val="24"/>
          <w:highlight w:val="none"/>
        </w:rPr>
        <w:t>，前述约定期间届满</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rPr>
        <w:t>个</w:t>
      </w:r>
      <w:r>
        <w:rPr>
          <w:rFonts w:ascii="宋体" w:hAnsi="宋体" w:eastAsia="宋体" w:cs="Times New Roman"/>
          <w:color w:val="auto"/>
          <w:sz w:val="24"/>
          <w:szCs w:val="24"/>
          <w:highlight w:val="none"/>
        </w:rPr>
        <w:t>工作日内，甲方应将履约保证金退还乙方</w:t>
      </w:r>
      <w:r>
        <w:rPr>
          <w:rFonts w:hint="eastAsia" w:ascii="宋体" w:hAnsi="宋体" w:eastAsia="宋体" w:cs="Times New Roman"/>
          <w:color w:val="auto"/>
          <w:sz w:val="24"/>
          <w:szCs w:val="24"/>
          <w:highlight w:val="none"/>
        </w:rPr>
        <w:t>，甲方逾期退还履约保证金应承担违约责任。</w:t>
      </w:r>
    </w:p>
    <w:p w14:paraId="24648475">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如果乙方不履行合同</w:t>
      </w:r>
      <w:r>
        <w:rPr>
          <w:rFonts w:hint="eastAsia" w:ascii="宋体" w:hAnsi="宋体" w:eastAsia="宋体" w:cs="Times New Roman"/>
          <w:color w:val="auto"/>
          <w:sz w:val="24"/>
          <w:szCs w:val="24"/>
          <w:highlight w:val="none"/>
        </w:rPr>
        <w:t>，履约保证金不予退还；如果乙方</w:t>
      </w:r>
      <w:r>
        <w:rPr>
          <w:rFonts w:ascii="宋体" w:hAnsi="宋体" w:eastAsia="宋体" w:cs="Times New Roman"/>
          <w:color w:val="auto"/>
          <w:sz w:val="24"/>
          <w:szCs w:val="24"/>
          <w:highlight w:val="none"/>
        </w:rPr>
        <w:t>未能按合同</w:t>
      </w:r>
      <w:r>
        <w:rPr>
          <w:rFonts w:hint="eastAsia" w:ascii="宋体" w:hAnsi="宋体" w:eastAsia="宋体" w:cs="Times New Roman"/>
          <w:color w:val="auto"/>
          <w:sz w:val="24"/>
          <w:szCs w:val="24"/>
          <w:highlight w:val="none"/>
        </w:rPr>
        <w:t>约</w:t>
      </w:r>
      <w:r>
        <w:rPr>
          <w:rFonts w:ascii="宋体" w:hAnsi="宋体" w:eastAsia="宋体" w:cs="Times New Roman"/>
          <w:color w:val="auto"/>
          <w:sz w:val="24"/>
          <w:szCs w:val="24"/>
          <w:highlight w:val="none"/>
        </w:rPr>
        <w:t>定全面履行义务，那么甲方有权从履约保证金中取得补偿或赔偿</w:t>
      </w:r>
      <w:r>
        <w:rPr>
          <w:rFonts w:hint="eastAsia" w:ascii="宋体" w:hAnsi="宋体" w:eastAsia="宋体" w:cs="Times New Roman"/>
          <w:color w:val="auto"/>
          <w:sz w:val="24"/>
          <w:szCs w:val="24"/>
          <w:highlight w:val="none"/>
        </w:rPr>
        <w:t>，同时不影响甲方要求乙方承担合同约定的超过履约保证金的违约责任的权利。</w:t>
      </w:r>
    </w:p>
    <w:bookmarkEnd w:id="252"/>
    <w:p w14:paraId="3F3A4D5A">
      <w:pPr>
        <w:spacing w:line="360" w:lineRule="auto"/>
        <w:ind w:firstLine="437"/>
        <w:outlineLvl w:val="2"/>
        <w:rPr>
          <w:rFonts w:ascii="宋体" w:hAnsi="宋体" w:eastAsia="宋体" w:cs="Times New Roman"/>
          <w:b/>
          <w:color w:val="auto"/>
          <w:sz w:val="24"/>
          <w:szCs w:val="24"/>
          <w:highlight w:val="none"/>
        </w:rPr>
      </w:pPr>
      <w:bookmarkStart w:id="253" w:name="_Toc6885"/>
      <w:bookmarkStart w:id="254" w:name="_Toc14001"/>
      <w:bookmarkStart w:id="255" w:name="_Toc19890"/>
      <w:r>
        <w:rPr>
          <w:rFonts w:hint="eastAsia" w:ascii="宋体" w:hAnsi="宋体" w:eastAsia="宋体" w:cs="Times New Roman"/>
          <w:b/>
          <w:bCs/>
          <w:color w:val="auto"/>
          <w:sz w:val="24"/>
          <w:szCs w:val="24"/>
          <w:highlight w:val="none"/>
          <w:lang w:val="zh-CN"/>
        </w:rPr>
        <w:t>2.</w:t>
      </w:r>
      <w:r>
        <w:rPr>
          <w:rFonts w:ascii="宋体" w:hAnsi="宋体" w:eastAsia="宋体" w:cs="Times New Roman"/>
          <w:b/>
          <w:bCs/>
          <w:color w:val="auto"/>
          <w:sz w:val="24"/>
          <w:szCs w:val="24"/>
          <w:highlight w:val="none"/>
          <w:lang w:val="zh-CN"/>
        </w:rPr>
        <w:t>18</w:t>
      </w:r>
      <w:r>
        <w:rPr>
          <w:rFonts w:hint="eastAsia" w:ascii="宋体" w:hAnsi="宋体" w:eastAsia="宋体" w:cs="Times New Roman"/>
          <w:b/>
          <w:bCs/>
          <w:color w:val="auto"/>
          <w:sz w:val="24"/>
          <w:szCs w:val="24"/>
          <w:highlight w:val="none"/>
          <w:lang w:val="zh-CN"/>
        </w:rPr>
        <w:t xml:space="preserve"> 合同份数</w:t>
      </w:r>
      <w:bookmarkEnd w:id="253"/>
      <w:bookmarkEnd w:id="254"/>
      <w:bookmarkEnd w:id="255"/>
    </w:p>
    <w:p w14:paraId="3AB64F29">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合同份数按</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规定</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每份均具有同等法律效力</w:t>
      </w:r>
      <w:r>
        <w:rPr>
          <w:rFonts w:hint="eastAsia" w:ascii="宋体" w:hAnsi="宋体" w:eastAsia="宋体" w:cs="Times New Roman"/>
          <w:color w:val="auto"/>
          <w:sz w:val="24"/>
          <w:szCs w:val="24"/>
          <w:highlight w:val="none"/>
        </w:rPr>
        <w:t>。</w:t>
      </w:r>
    </w:p>
    <w:p w14:paraId="7F07AD16">
      <w:pPr>
        <w:spacing w:line="360" w:lineRule="auto"/>
        <w:jc w:val="center"/>
        <w:outlineLvl w:val="1"/>
        <w:rPr>
          <w:rFonts w:ascii="宋体" w:hAnsi="宋体" w:eastAsia="宋体"/>
          <w:b/>
          <w:color w:val="auto"/>
          <w:sz w:val="24"/>
          <w:highlight w:val="none"/>
        </w:rPr>
      </w:pPr>
      <w:r>
        <w:rPr>
          <w:rFonts w:ascii="宋体" w:hAnsi="宋体" w:eastAsia="宋体" w:cs="Times New Roman"/>
          <w:color w:val="auto"/>
          <w:sz w:val="24"/>
          <w:szCs w:val="24"/>
          <w:highlight w:val="none"/>
        </w:rPr>
        <w:br w:type="page"/>
      </w:r>
      <w:bookmarkStart w:id="256" w:name="_Toc1267"/>
      <w:bookmarkStart w:id="257" w:name="_Toc3736"/>
      <w:bookmarkStart w:id="258" w:name="_Toc27519"/>
      <w:bookmarkStart w:id="259" w:name="_Toc14241"/>
      <w:bookmarkStart w:id="260" w:name="_Toc24967"/>
      <w:r>
        <w:rPr>
          <w:rFonts w:hint="eastAsia" w:ascii="宋体" w:hAnsi="宋体" w:eastAsia="宋体"/>
          <w:b/>
          <w:color w:val="auto"/>
          <w:sz w:val="24"/>
          <w:highlight w:val="none"/>
        </w:rPr>
        <w:t>第三部分合同专用条款</w:t>
      </w:r>
      <w:bookmarkEnd w:id="256"/>
      <w:bookmarkEnd w:id="257"/>
      <w:bookmarkEnd w:id="258"/>
      <w:bookmarkEnd w:id="259"/>
      <w:bookmarkEnd w:id="260"/>
    </w:p>
    <w:p w14:paraId="648812F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本部分</w:t>
      </w:r>
      <w:r>
        <w:rPr>
          <w:rFonts w:ascii="宋体" w:hAnsi="宋体" w:eastAsia="宋体" w:cs="Times New Roman"/>
          <w:color w:val="auto"/>
          <w:sz w:val="24"/>
          <w:szCs w:val="24"/>
          <w:highlight w:val="none"/>
        </w:rPr>
        <w:t>是对</w:t>
      </w:r>
      <w:r>
        <w:rPr>
          <w:rFonts w:hint="eastAsia" w:ascii="宋体" w:hAnsi="宋体" w:eastAsia="宋体" w:cs="Times New Roman"/>
          <w:color w:val="auto"/>
          <w:sz w:val="24"/>
          <w:szCs w:val="24"/>
          <w:highlight w:val="none"/>
        </w:rPr>
        <w:t>前两</w:t>
      </w:r>
      <w:r>
        <w:rPr>
          <w:rFonts w:ascii="宋体" w:hAnsi="宋体" w:eastAsia="宋体" w:cs="Times New Roman"/>
          <w:color w:val="auto"/>
          <w:sz w:val="24"/>
          <w:szCs w:val="24"/>
          <w:highlight w:val="none"/>
        </w:rPr>
        <w:t>部分的补充和修改</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如果</w:t>
      </w:r>
      <w:r>
        <w:rPr>
          <w:rFonts w:hint="eastAsia" w:ascii="宋体" w:hAnsi="宋体" w:eastAsia="宋体" w:cs="Times New Roman"/>
          <w:color w:val="auto"/>
          <w:sz w:val="24"/>
          <w:szCs w:val="24"/>
          <w:highlight w:val="none"/>
        </w:rPr>
        <w:t>前两</w:t>
      </w:r>
      <w:r>
        <w:rPr>
          <w:rFonts w:ascii="宋体" w:hAnsi="宋体" w:eastAsia="宋体" w:cs="Times New Roman"/>
          <w:color w:val="auto"/>
          <w:sz w:val="24"/>
          <w:szCs w:val="24"/>
          <w:highlight w:val="none"/>
        </w:rPr>
        <w:t>部分和本部分的约定不一致</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应以本部分的约定为准</w:t>
      </w:r>
      <w:r>
        <w:rPr>
          <w:rFonts w:hint="eastAsia" w:ascii="宋体" w:hAnsi="宋体" w:eastAsia="宋体" w:cs="Times New Roman"/>
          <w:color w:val="auto"/>
          <w:sz w:val="24"/>
          <w:szCs w:val="24"/>
          <w:highlight w:val="none"/>
        </w:rPr>
        <w:t>。</w:t>
      </w:r>
      <w:r>
        <w:rPr>
          <w:rFonts w:ascii="宋体" w:hAnsi="宋体" w:eastAsia="宋体" w:cs="Times New Roman"/>
          <w:color w:val="auto"/>
          <w:sz w:val="24"/>
          <w:szCs w:val="24"/>
          <w:highlight w:val="none"/>
        </w:rPr>
        <w:t>本部分的条款号应与</w:t>
      </w:r>
      <w:r>
        <w:rPr>
          <w:rFonts w:hint="eastAsia" w:ascii="宋体" w:hAnsi="宋体" w:eastAsia="宋体" w:cs="Times New Roman"/>
          <w:color w:val="auto"/>
          <w:sz w:val="24"/>
          <w:szCs w:val="24"/>
          <w:highlight w:val="none"/>
        </w:rPr>
        <w:t>前两部分</w:t>
      </w:r>
      <w:r>
        <w:rPr>
          <w:rFonts w:ascii="宋体" w:hAnsi="宋体" w:eastAsia="宋体" w:cs="Times New Roman"/>
          <w:color w:val="auto"/>
          <w:sz w:val="24"/>
          <w:szCs w:val="24"/>
          <w:highlight w:val="none"/>
        </w:rPr>
        <w:t>的条款号保持对应</w:t>
      </w:r>
      <w:r>
        <w:rPr>
          <w:rFonts w:hint="eastAsia" w:ascii="宋体" w:hAnsi="宋体" w:eastAsia="宋体" w:cs="Times New Roman"/>
          <w:color w:val="auto"/>
          <w:sz w:val="24"/>
          <w:szCs w:val="24"/>
          <w:highlight w:val="none"/>
        </w:rPr>
        <w:t>；与前两部分</w:t>
      </w:r>
      <w:r>
        <w:rPr>
          <w:rFonts w:ascii="宋体" w:hAnsi="宋体" w:eastAsia="宋体" w:cs="Times New Roman"/>
          <w:color w:val="auto"/>
          <w:sz w:val="24"/>
          <w:szCs w:val="24"/>
          <w:highlight w:val="none"/>
        </w:rPr>
        <w:t>无对应关系的内容可另行编制条款号</w:t>
      </w:r>
      <w:r>
        <w:rPr>
          <w:rFonts w:hint="eastAsia" w:ascii="宋体" w:hAnsi="宋体" w:eastAsia="宋体" w:cs="Times New Roman"/>
          <w:color w:val="auto"/>
          <w:sz w:val="24"/>
          <w:szCs w:val="24"/>
          <w:highlight w:val="none"/>
        </w:rPr>
        <w:t>。</w:t>
      </w:r>
    </w:p>
    <w:tbl>
      <w:tblPr>
        <w:tblStyle w:val="27"/>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08AAE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534D4043">
            <w:pPr>
              <w:jc w:val="center"/>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条款号</w:t>
            </w:r>
          </w:p>
        </w:tc>
        <w:tc>
          <w:tcPr>
            <w:tcW w:w="7568" w:type="dxa"/>
            <w:vAlign w:val="center"/>
          </w:tcPr>
          <w:p w14:paraId="55A727B3">
            <w:pPr>
              <w:jc w:val="center"/>
              <w:rPr>
                <w:rFonts w:ascii="宋体" w:hAnsi="宋体" w:eastAsia="宋体" w:cs="Times New Roman"/>
                <w:b/>
                <w:color w:val="auto"/>
                <w:sz w:val="24"/>
                <w:szCs w:val="24"/>
                <w:highlight w:val="none"/>
              </w:rPr>
            </w:pPr>
            <w:r>
              <w:rPr>
                <w:rFonts w:ascii="宋体" w:hAnsi="宋体" w:eastAsia="宋体" w:cs="Times New Roman"/>
                <w:b/>
                <w:color w:val="auto"/>
                <w:sz w:val="24"/>
                <w:szCs w:val="24"/>
                <w:highlight w:val="none"/>
              </w:rPr>
              <w:t>约定内容</w:t>
            </w:r>
          </w:p>
        </w:tc>
      </w:tr>
      <w:tr w14:paraId="719EE4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F055BDB">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2.5</w:t>
            </w:r>
          </w:p>
        </w:tc>
        <w:tc>
          <w:tcPr>
            <w:tcW w:w="7568" w:type="dxa"/>
            <w:vAlign w:val="center"/>
          </w:tcPr>
          <w:p w14:paraId="2BA19A08">
            <w:pPr>
              <w:spacing w:line="560" w:lineRule="exact"/>
              <w:rPr>
                <w:rFonts w:ascii="宋体" w:hAnsi="宋体" w:eastAsia="宋体" w:cs="Times New Roman"/>
                <w:color w:val="auto"/>
                <w:sz w:val="24"/>
                <w:szCs w:val="24"/>
                <w:highlight w:val="none"/>
              </w:rPr>
            </w:pPr>
            <w:r>
              <w:rPr>
                <w:rFonts w:ascii="宋体" w:hAnsi="宋体" w:eastAsia="宋体" w:cs="宋体"/>
                <w:color w:val="auto"/>
                <w:sz w:val="24"/>
                <w:szCs w:val="24"/>
                <w:highlight w:val="none"/>
              </w:rPr>
              <w:t>按本合同第一部</w:t>
            </w:r>
            <w:r>
              <w:rPr>
                <w:rFonts w:hint="eastAsia" w:ascii="宋体" w:hAnsi="宋体" w:eastAsia="宋体" w:cs="宋体"/>
                <w:color w:val="auto"/>
                <w:sz w:val="24"/>
                <w:szCs w:val="24"/>
                <w:highlight w:val="none"/>
              </w:rPr>
              <w:t>分</w:t>
            </w:r>
            <w:r>
              <w:rPr>
                <w:rFonts w:ascii="宋体" w:hAnsi="宋体" w:eastAsia="宋体" w:cs="宋体"/>
                <w:color w:val="auto"/>
                <w:sz w:val="24"/>
                <w:szCs w:val="24"/>
                <w:highlight w:val="none"/>
              </w:rPr>
              <w:t>1.4款</w:t>
            </w:r>
            <w:r>
              <w:rPr>
                <w:rFonts w:hint="eastAsia" w:ascii="宋体" w:hAnsi="宋体" w:eastAsia="宋体" w:cs="宋体"/>
                <w:color w:val="auto"/>
                <w:sz w:val="24"/>
                <w:szCs w:val="24"/>
                <w:highlight w:val="none"/>
              </w:rPr>
              <w:t>执行</w:t>
            </w:r>
            <w:r>
              <w:rPr>
                <w:rFonts w:ascii="宋体" w:hAnsi="宋体" w:eastAsia="宋体" w:cs="宋体"/>
                <w:color w:val="auto"/>
                <w:sz w:val="24"/>
                <w:szCs w:val="24"/>
                <w:highlight w:val="none"/>
              </w:rPr>
              <w:t>。</w:t>
            </w:r>
          </w:p>
        </w:tc>
      </w:tr>
      <w:tr w14:paraId="31B3F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7B48431">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2.11.3</w:t>
            </w:r>
          </w:p>
        </w:tc>
        <w:tc>
          <w:tcPr>
            <w:tcW w:w="7568" w:type="dxa"/>
            <w:vAlign w:val="center"/>
          </w:tcPr>
          <w:p w14:paraId="63403812">
            <w:pPr>
              <w:spacing w:line="560" w:lineRule="exact"/>
              <w:rPr>
                <w:rFonts w:ascii="宋体" w:hAnsi="宋体" w:eastAsia="宋体" w:cs="Times New Roman"/>
                <w:color w:val="auto"/>
                <w:sz w:val="24"/>
                <w:szCs w:val="24"/>
                <w:highlight w:val="none"/>
              </w:rPr>
            </w:pPr>
            <w:r>
              <w:rPr>
                <w:rFonts w:ascii="宋体" w:hAnsi="宋体" w:eastAsia="宋体" w:cs="宋体"/>
                <w:color w:val="auto"/>
                <w:sz w:val="24"/>
                <w:szCs w:val="24"/>
                <w:highlight w:val="none"/>
              </w:rPr>
              <w:t>因不可抗力致使合同</w:t>
            </w:r>
            <w:r>
              <w:rPr>
                <w:rFonts w:hint="eastAsia" w:ascii="宋体" w:hAnsi="宋体" w:eastAsia="宋体" w:cs="宋体"/>
                <w:color w:val="auto"/>
                <w:sz w:val="24"/>
                <w:szCs w:val="24"/>
                <w:highlight w:val="none"/>
              </w:rPr>
              <w:t>有</w:t>
            </w:r>
            <w:r>
              <w:rPr>
                <w:rFonts w:ascii="宋体" w:hAnsi="宋体" w:eastAsia="宋体" w:cs="宋体"/>
                <w:color w:val="auto"/>
                <w:sz w:val="24"/>
                <w:szCs w:val="24"/>
                <w:highlight w:val="none"/>
              </w:rPr>
              <w:t>变更</w:t>
            </w:r>
            <w:r>
              <w:rPr>
                <w:rFonts w:hint="eastAsia" w:ascii="宋体" w:hAnsi="宋体" w:eastAsia="宋体" w:cs="宋体"/>
                <w:color w:val="auto"/>
                <w:sz w:val="24"/>
                <w:szCs w:val="24"/>
                <w:highlight w:val="none"/>
              </w:rPr>
              <w:t>必要</w:t>
            </w:r>
            <w:r>
              <w:rPr>
                <w:rFonts w:ascii="宋体" w:hAnsi="宋体" w:eastAsia="宋体" w:cs="宋体"/>
                <w:color w:val="auto"/>
                <w:sz w:val="24"/>
                <w:szCs w:val="24"/>
                <w:highlight w:val="none"/>
              </w:rPr>
              <w:t>的，双方</w:t>
            </w:r>
            <w:r>
              <w:rPr>
                <w:rFonts w:hint="eastAsia" w:ascii="宋体" w:hAnsi="宋体" w:eastAsia="宋体" w:cs="宋体"/>
                <w:color w:val="auto"/>
                <w:sz w:val="24"/>
                <w:szCs w:val="24"/>
                <w:highlight w:val="none"/>
              </w:rPr>
              <w:t>当事人</w:t>
            </w:r>
            <w:r>
              <w:rPr>
                <w:rFonts w:ascii="宋体" w:hAnsi="宋体" w:eastAsia="宋体" w:cs="宋体"/>
                <w:color w:val="auto"/>
                <w:sz w:val="24"/>
                <w:szCs w:val="24"/>
                <w:highlight w:val="none"/>
              </w:rPr>
              <w:t>应在不可抗力发生</w:t>
            </w:r>
            <w:r>
              <w:rPr>
                <w:rFonts w:hint="eastAsia" w:ascii="宋体" w:hAnsi="宋体" w:eastAsia="宋体" w:cs="宋体"/>
                <w:color w:val="auto"/>
                <w:sz w:val="24"/>
                <w:szCs w:val="24"/>
                <w:highlight w:val="none"/>
              </w:rPr>
              <w:t>的</w:t>
            </w:r>
            <w:r>
              <w:rPr>
                <w:rFonts w:ascii="宋体" w:hAnsi="宋体" w:eastAsia="宋体" w:cs="宋体"/>
                <w:color w:val="auto"/>
                <w:sz w:val="24"/>
                <w:szCs w:val="24"/>
                <w:highlight w:val="none"/>
              </w:rPr>
              <w:t>15个工作日内以书面形式变更</w:t>
            </w:r>
            <w:r>
              <w:rPr>
                <w:rFonts w:hint="eastAsia" w:ascii="宋体" w:hAnsi="宋体" w:eastAsia="宋体" w:cs="宋体"/>
                <w:color w:val="auto"/>
                <w:sz w:val="24"/>
                <w:szCs w:val="24"/>
                <w:highlight w:val="none"/>
              </w:rPr>
              <w:t>合同</w:t>
            </w:r>
            <w:r>
              <w:rPr>
                <w:rFonts w:ascii="宋体" w:hAnsi="宋体" w:eastAsia="宋体" w:cs="宋体"/>
                <w:color w:val="auto"/>
                <w:sz w:val="24"/>
                <w:szCs w:val="24"/>
                <w:highlight w:val="none"/>
              </w:rPr>
              <w:t>。</w:t>
            </w:r>
          </w:p>
        </w:tc>
      </w:tr>
      <w:tr w14:paraId="4836D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004CF9D">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2.11.4</w:t>
            </w:r>
          </w:p>
        </w:tc>
        <w:tc>
          <w:tcPr>
            <w:tcW w:w="7568" w:type="dxa"/>
            <w:vAlign w:val="center"/>
          </w:tcPr>
          <w:p w14:paraId="339D9393">
            <w:pPr>
              <w:spacing w:line="5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 3 个工</w:t>
            </w:r>
          </w:p>
          <w:p w14:paraId="3F334A91">
            <w:pPr>
              <w:spacing w:line="56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作日内以书面形式通知对方当事人，并在 3 个工作日内，将有关部门出</w:t>
            </w:r>
          </w:p>
          <w:p w14:paraId="2DC06030">
            <w:pPr>
              <w:spacing w:line="560" w:lineRule="exact"/>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具的证明文件送达对方当事人。</w:t>
            </w:r>
          </w:p>
        </w:tc>
      </w:tr>
      <w:tr w14:paraId="0BA5F7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BF5CB18">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w:t>
            </w:r>
          </w:p>
        </w:tc>
        <w:tc>
          <w:tcPr>
            <w:tcW w:w="7568" w:type="dxa"/>
            <w:vAlign w:val="center"/>
          </w:tcPr>
          <w:p w14:paraId="1F7D4FC2">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2.15.1 乙方须接受甲方对项目执行情况、服务质量等的监督、检查和验</w:t>
            </w:r>
          </w:p>
          <w:p w14:paraId="256978A8">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收，甲方有权查看与项目直接相关的凭证和资料，乙方应予以配合。</w:t>
            </w:r>
          </w:p>
          <w:p w14:paraId="5A467AD4">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2.15.3 验收书的内容以检验和验收标准、程序结合项目具体内容出具，</w:t>
            </w:r>
          </w:p>
          <w:p w14:paraId="5CE300E3">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以验收书作为结算依据。</w:t>
            </w:r>
          </w:p>
        </w:tc>
      </w:tr>
      <w:tr w14:paraId="5FD71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7916DC6C">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2.17</w:t>
            </w:r>
          </w:p>
        </w:tc>
        <w:tc>
          <w:tcPr>
            <w:tcW w:w="7568" w:type="dxa"/>
            <w:vAlign w:val="center"/>
          </w:tcPr>
          <w:p w14:paraId="7D131344">
            <w:pPr>
              <w:spacing w:line="560" w:lineRule="exact"/>
              <w:rPr>
                <w:rFonts w:ascii="宋体" w:hAnsi="宋体" w:eastAsia="宋体" w:cs="Times New Roman"/>
                <w:color w:val="auto"/>
                <w:sz w:val="24"/>
                <w:szCs w:val="24"/>
                <w:highlight w:val="none"/>
              </w:rPr>
            </w:pPr>
            <w:r>
              <w:rPr>
                <w:rFonts w:ascii="宋体" w:hAnsi="宋体" w:eastAsia="宋体" w:cs="宋体"/>
                <w:color w:val="auto"/>
                <w:sz w:val="24"/>
                <w:szCs w:val="24"/>
                <w:highlight w:val="none"/>
              </w:rPr>
              <w:t>本项目免收履约保证金。</w:t>
            </w:r>
          </w:p>
        </w:tc>
      </w:tr>
      <w:tr w14:paraId="355B1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59B1718B">
            <w:pPr>
              <w:spacing w:line="56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2.18</w:t>
            </w:r>
          </w:p>
        </w:tc>
        <w:tc>
          <w:tcPr>
            <w:tcW w:w="7568" w:type="dxa"/>
            <w:vAlign w:val="center"/>
          </w:tcPr>
          <w:p w14:paraId="075DD258">
            <w:pPr>
              <w:widowControl/>
              <w:jc w:val="left"/>
              <w:rPr>
                <w:rFonts w:ascii="宋体" w:hAnsi="宋体" w:eastAsia="宋体" w:cs="Times New Roman"/>
                <w:color w:val="auto"/>
                <w:sz w:val="24"/>
                <w:szCs w:val="24"/>
                <w:highlight w:val="none"/>
                <w:u w:val="single"/>
              </w:rPr>
            </w:pPr>
            <w:r>
              <w:rPr>
                <w:rFonts w:hint="eastAsia" w:ascii="宋体" w:hAnsi="宋体" w:eastAsia="宋体" w:cs="宋体"/>
                <w:color w:val="auto"/>
                <w:kern w:val="0"/>
                <w:sz w:val="24"/>
                <w:szCs w:val="24"/>
                <w:highlight w:val="none"/>
                <w:lang w:bidi="ar"/>
              </w:rPr>
              <w:t>合同一式肆份，甲乙双方各执贰份。</w:t>
            </w:r>
          </w:p>
        </w:tc>
      </w:tr>
      <w:tr w14:paraId="72DC20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3561DD6">
            <w:pPr>
              <w:spacing w:line="560" w:lineRule="exact"/>
              <w:rPr>
                <w:rFonts w:ascii="宋体" w:hAnsi="宋体" w:eastAsia="宋体" w:cs="Times New Roman"/>
                <w:color w:val="auto"/>
                <w:sz w:val="24"/>
                <w:szCs w:val="24"/>
                <w:highlight w:val="none"/>
              </w:rPr>
            </w:pPr>
          </w:p>
        </w:tc>
        <w:tc>
          <w:tcPr>
            <w:tcW w:w="7568" w:type="dxa"/>
            <w:vAlign w:val="center"/>
          </w:tcPr>
          <w:p w14:paraId="19C34288">
            <w:pPr>
              <w:spacing w:line="560" w:lineRule="exact"/>
              <w:rPr>
                <w:rFonts w:ascii="宋体" w:hAnsi="宋体" w:eastAsia="宋体" w:cs="Times New Roman"/>
                <w:color w:val="auto"/>
                <w:sz w:val="24"/>
                <w:szCs w:val="24"/>
                <w:highlight w:val="none"/>
              </w:rPr>
            </w:pPr>
            <w:r>
              <w:rPr>
                <w:rFonts w:hint="eastAsia" w:ascii="宋体" w:hAnsi="宋体" w:eastAsia="宋体" w:cs="宋体"/>
                <w:color w:val="auto"/>
                <w:sz w:val="20"/>
                <w:highlight w:val="none"/>
              </w:rPr>
              <w:t>（签订合同时增加）</w:t>
            </w:r>
          </w:p>
        </w:tc>
      </w:tr>
      <w:tr w14:paraId="563F5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1CBC7E7">
            <w:pPr>
              <w:spacing w:line="560" w:lineRule="exact"/>
              <w:rPr>
                <w:rFonts w:ascii="宋体" w:hAnsi="宋体" w:eastAsia="宋体" w:cs="Times New Roman"/>
                <w:color w:val="auto"/>
                <w:sz w:val="24"/>
                <w:szCs w:val="24"/>
                <w:highlight w:val="none"/>
              </w:rPr>
            </w:pPr>
          </w:p>
        </w:tc>
        <w:tc>
          <w:tcPr>
            <w:tcW w:w="7568" w:type="dxa"/>
            <w:vAlign w:val="center"/>
          </w:tcPr>
          <w:p w14:paraId="01C0A324">
            <w:pPr>
              <w:spacing w:line="560" w:lineRule="exact"/>
              <w:rPr>
                <w:rFonts w:ascii="宋体" w:hAnsi="宋体" w:eastAsia="宋体" w:cs="Times New Roman"/>
                <w:color w:val="auto"/>
                <w:sz w:val="24"/>
                <w:szCs w:val="24"/>
                <w:highlight w:val="none"/>
              </w:rPr>
            </w:pPr>
          </w:p>
        </w:tc>
      </w:tr>
      <w:tr w14:paraId="50B86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6A23A55">
            <w:pPr>
              <w:spacing w:line="560" w:lineRule="exact"/>
              <w:rPr>
                <w:rFonts w:ascii="宋体" w:hAnsi="宋体" w:eastAsia="宋体" w:cs="Times New Roman"/>
                <w:color w:val="auto"/>
                <w:sz w:val="24"/>
                <w:szCs w:val="24"/>
                <w:highlight w:val="none"/>
              </w:rPr>
            </w:pPr>
          </w:p>
        </w:tc>
        <w:tc>
          <w:tcPr>
            <w:tcW w:w="7568" w:type="dxa"/>
            <w:vAlign w:val="center"/>
          </w:tcPr>
          <w:p w14:paraId="28A4AE1D">
            <w:pPr>
              <w:spacing w:line="560" w:lineRule="exact"/>
              <w:rPr>
                <w:rFonts w:ascii="宋体" w:hAnsi="宋体" w:eastAsia="宋体" w:cs="Times New Roman"/>
                <w:color w:val="auto"/>
                <w:sz w:val="24"/>
                <w:szCs w:val="24"/>
                <w:highlight w:val="none"/>
              </w:rPr>
            </w:pPr>
          </w:p>
        </w:tc>
      </w:tr>
      <w:tr w14:paraId="1EE0A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4CC2A578">
            <w:pPr>
              <w:spacing w:line="560" w:lineRule="exact"/>
              <w:rPr>
                <w:rFonts w:ascii="宋体" w:hAnsi="宋体" w:eastAsia="宋体" w:cs="Times New Roman"/>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6252D5CB">
            <w:pPr>
              <w:spacing w:line="560" w:lineRule="exact"/>
              <w:rPr>
                <w:rFonts w:ascii="宋体" w:hAnsi="宋体" w:eastAsia="宋体" w:cs="Times New Roman"/>
                <w:color w:val="auto"/>
                <w:sz w:val="24"/>
                <w:szCs w:val="24"/>
                <w:highlight w:val="none"/>
              </w:rPr>
            </w:pPr>
          </w:p>
        </w:tc>
      </w:tr>
      <w:tr w14:paraId="6FEB6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2B86189D">
            <w:pPr>
              <w:spacing w:line="560" w:lineRule="exact"/>
              <w:rPr>
                <w:rFonts w:ascii="宋体" w:hAnsi="宋体" w:eastAsia="宋体" w:cs="Times New Roman"/>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526B0D56">
            <w:pPr>
              <w:spacing w:line="560" w:lineRule="exact"/>
              <w:rPr>
                <w:rFonts w:ascii="宋体" w:hAnsi="宋体" w:eastAsia="宋体" w:cs="Times New Roman"/>
                <w:color w:val="auto"/>
                <w:sz w:val="24"/>
                <w:szCs w:val="24"/>
                <w:highlight w:val="none"/>
              </w:rPr>
            </w:pPr>
          </w:p>
        </w:tc>
      </w:tr>
    </w:tbl>
    <w:p w14:paraId="360CC196">
      <w:pPr>
        <w:spacing w:line="360" w:lineRule="auto"/>
        <w:rPr>
          <w:rFonts w:ascii="宋体" w:hAnsi="宋体" w:eastAsia="宋体"/>
          <w:color w:val="auto"/>
          <w:sz w:val="24"/>
          <w:highlight w:val="none"/>
        </w:rPr>
      </w:pPr>
    </w:p>
    <w:p w14:paraId="226B78D3">
      <w:pPr>
        <w:widowControl/>
        <w:jc w:val="left"/>
        <w:rPr>
          <w:rFonts w:ascii="宋体" w:hAnsi="宋体" w:eastAsia="宋体"/>
          <w:color w:val="auto"/>
          <w:sz w:val="24"/>
          <w:highlight w:val="none"/>
        </w:rPr>
      </w:pPr>
      <w:r>
        <w:rPr>
          <w:rFonts w:ascii="宋体" w:hAnsi="宋体" w:eastAsia="宋体"/>
          <w:color w:val="auto"/>
          <w:sz w:val="24"/>
          <w:highlight w:val="none"/>
        </w:rPr>
        <w:br w:type="page"/>
      </w:r>
    </w:p>
    <w:bookmarkEnd w:id="102"/>
    <w:p w14:paraId="10070E9F">
      <w:pPr>
        <w:spacing w:line="360" w:lineRule="auto"/>
        <w:jc w:val="center"/>
        <w:outlineLvl w:val="0"/>
        <w:rPr>
          <w:rFonts w:ascii="宋体" w:hAnsi="宋体" w:eastAsia="宋体"/>
          <w:b/>
          <w:color w:val="auto"/>
          <w:sz w:val="28"/>
          <w:highlight w:val="none"/>
        </w:rPr>
      </w:pPr>
      <w:bookmarkStart w:id="261" w:name="_Toc16716"/>
      <w:r>
        <w:rPr>
          <w:rFonts w:hint="eastAsia" w:ascii="宋体" w:hAnsi="宋体" w:eastAsia="宋体"/>
          <w:b/>
          <w:color w:val="auto"/>
          <w:sz w:val="28"/>
          <w:highlight w:val="none"/>
        </w:rPr>
        <w:t>第</w:t>
      </w:r>
      <w:r>
        <w:rPr>
          <w:rFonts w:hint="eastAsia" w:ascii="宋体" w:hAnsi="宋体" w:eastAsia="宋体"/>
          <w:b/>
          <w:color w:val="auto"/>
          <w:sz w:val="28"/>
          <w:highlight w:val="none"/>
          <w:lang w:val="en-US" w:eastAsia="zh-CN"/>
        </w:rPr>
        <w:t>六</w:t>
      </w:r>
      <w:r>
        <w:rPr>
          <w:rFonts w:hint="eastAsia" w:ascii="宋体" w:hAnsi="宋体" w:eastAsia="宋体"/>
          <w:b/>
          <w:color w:val="auto"/>
          <w:sz w:val="28"/>
          <w:highlight w:val="none"/>
        </w:rPr>
        <w:t>章 投标文件格式</w:t>
      </w:r>
      <w:bookmarkEnd w:id="261"/>
    </w:p>
    <w:p w14:paraId="1AF98527">
      <w:pPr>
        <w:spacing w:line="900" w:lineRule="exact"/>
        <w:jc w:val="center"/>
        <w:rPr>
          <w:rFonts w:asciiTheme="minorEastAsia" w:hAnsiTheme="minorEastAsia" w:eastAsiaTheme="minorEastAsia"/>
          <w:b/>
          <w:color w:val="auto"/>
          <w:sz w:val="72"/>
          <w:highlight w:val="none"/>
        </w:rPr>
      </w:pPr>
    </w:p>
    <w:p w14:paraId="10E35E8A">
      <w:pPr>
        <w:spacing w:line="900" w:lineRule="exact"/>
        <w:jc w:val="center"/>
        <w:outlineLvl w:val="1"/>
        <w:rPr>
          <w:rFonts w:asciiTheme="minorEastAsia" w:hAnsiTheme="minorEastAsia" w:eastAsiaTheme="minorEastAsia"/>
          <w:b/>
          <w:color w:val="auto"/>
          <w:sz w:val="72"/>
          <w:highlight w:val="none"/>
        </w:rPr>
      </w:pPr>
      <w:bookmarkStart w:id="262" w:name="_Toc27798"/>
      <w:bookmarkStart w:id="263" w:name="_Toc30827"/>
      <w:bookmarkStart w:id="264" w:name="_Toc651"/>
      <w:bookmarkStart w:id="265" w:name="_Toc30020"/>
      <w:r>
        <w:rPr>
          <w:rFonts w:hint="eastAsia" w:asciiTheme="minorEastAsia" w:hAnsiTheme="minorEastAsia" w:eastAsiaTheme="minorEastAsia"/>
          <w:b/>
          <w:color w:val="auto"/>
          <w:sz w:val="72"/>
          <w:highlight w:val="none"/>
        </w:rPr>
        <w:t>投</w:t>
      </w:r>
      <w:bookmarkEnd w:id="262"/>
      <w:bookmarkEnd w:id="263"/>
      <w:bookmarkEnd w:id="264"/>
      <w:bookmarkEnd w:id="265"/>
    </w:p>
    <w:p w14:paraId="0C75F631">
      <w:pPr>
        <w:spacing w:line="900" w:lineRule="exact"/>
        <w:jc w:val="center"/>
        <w:rPr>
          <w:rFonts w:asciiTheme="minorEastAsia" w:hAnsiTheme="minorEastAsia" w:eastAsiaTheme="minorEastAsia"/>
          <w:b/>
          <w:color w:val="auto"/>
          <w:sz w:val="72"/>
          <w:highlight w:val="none"/>
        </w:rPr>
      </w:pPr>
    </w:p>
    <w:p w14:paraId="7B5CAFAC">
      <w:pPr>
        <w:spacing w:line="900" w:lineRule="exact"/>
        <w:jc w:val="center"/>
        <w:outlineLvl w:val="1"/>
        <w:rPr>
          <w:rFonts w:asciiTheme="minorEastAsia" w:hAnsiTheme="minorEastAsia" w:eastAsiaTheme="minorEastAsia"/>
          <w:b/>
          <w:color w:val="auto"/>
          <w:sz w:val="72"/>
          <w:highlight w:val="none"/>
        </w:rPr>
      </w:pPr>
      <w:bookmarkStart w:id="266" w:name="_Toc21513"/>
      <w:bookmarkStart w:id="267" w:name="_Toc20985"/>
      <w:bookmarkStart w:id="268" w:name="_Toc6148"/>
      <w:bookmarkStart w:id="269" w:name="_Toc2803"/>
      <w:r>
        <w:rPr>
          <w:rFonts w:hint="eastAsia" w:asciiTheme="minorEastAsia" w:hAnsiTheme="minorEastAsia" w:eastAsiaTheme="minorEastAsia"/>
          <w:b/>
          <w:color w:val="auto"/>
          <w:sz w:val="72"/>
          <w:highlight w:val="none"/>
        </w:rPr>
        <w:t>标</w:t>
      </w:r>
      <w:bookmarkEnd w:id="266"/>
      <w:bookmarkEnd w:id="267"/>
      <w:bookmarkEnd w:id="268"/>
      <w:bookmarkEnd w:id="269"/>
    </w:p>
    <w:p w14:paraId="1244BC68">
      <w:pPr>
        <w:spacing w:line="900" w:lineRule="exact"/>
        <w:jc w:val="center"/>
        <w:rPr>
          <w:rFonts w:asciiTheme="minorEastAsia" w:hAnsiTheme="minorEastAsia" w:eastAsiaTheme="minorEastAsia"/>
          <w:b/>
          <w:color w:val="auto"/>
          <w:sz w:val="72"/>
          <w:highlight w:val="none"/>
        </w:rPr>
      </w:pPr>
    </w:p>
    <w:p w14:paraId="0F586624">
      <w:pPr>
        <w:spacing w:line="900" w:lineRule="exact"/>
        <w:jc w:val="center"/>
        <w:outlineLvl w:val="1"/>
        <w:rPr>
          <w:rFonts w:asciiTheme="minorEastAsia" w:hAnsiTheme="minorEastAsia" w:eastAsiaTheme="minorEastAsia"/>
          <w:b/>
          <w:color w:val="auto"/>
          <w:sz w:val="72"/>
          <w:highlight w:val="none"/>
        </w:rPr>
      </w:pPr>
      <w:bookmarkStart w:id="270" w:name="_Toc1338"/>
      <w:bookmarkStart w:id="271" w:name="_Toc23344"/>
      <w:bookmarkStart w:id="272" w:name="_Toc18262"/>
      <w:bookmarkStart w:id="273" w:name="_Toc30493"/>
      <w:r>
        <w:rPr>
          <w:rFonts w:hint="eastAsia" w:asciiTheme="minorEastAsia" w:hAnsiTheme="minorEastAsia" w:eastAsiaTheme="minorEastAsia"/>
          <w:b/>
          <w:color w:val="auto"/>
          <w:sz w:val="72"/>
          <w:highlight w:val="none"/>
        </w:rPr>
        <w:t>文</w:t>
      </w:r>
      <w:bookmarkEnd w:id="270"/>
      <w:bookmarkEnd w:id="271"/>
      <w:bookmarkEnd w:id="272"/>
      <w:bookmarkEnd w:id="273"/>
    </w:p>
    <w:p w14:paraId="01768507">
      <w:pPr>
        <w:spacing w:line="900" w:lineRule="exact"/>
        <w:jc w:val="center"/>
        <w:rPr>
          <w:rFonts w:asciiTheme="minorEastAsia" w:hAnsiTheme="minorEastAsia" w:eastAsiaTheme="minorEastAsia"/>
          <w:b/>
          <w:color w:val="auto"/>
          <w:sz w:val="72"/>
          <w:highlight w:val="none"/>
        </w:rPr>
      </w:pPr>
    </w:p>
    <w:p w14:paraId="3916DF4B">
      <w:pPr>
        <w:jc w:val="center"/>
        <w:outlineLvl w:val="1"/>
        <w:rPr>
          <w:rFonts w:asciiTheme="minorEastAsia" w:hAnsiTheme="minorEastAsia" w:eastAsiaTheme="minorEastAsia"/>
          <w:b/>
          <w:color w:val="auto"/>
          <w:sz w:val="72"/>
          <w:highlight w:val="none"/>
        </w:rPr>
      </w:pPr>
      <w:bookmarkStart w:id="274" w:name="_Toc2410"/>
      <w:bookmarkStart w:id="275" w:name="_Toc10796"/>
      <w:bookmarkStart w:id="276" w:name="_Toc24806"/>
      <w:bookmarkStart w:id="277" w:name="_Toc29400"/>
      <w:r>
        <w:rPr>
          <w:rFonts w:hint="eastAsia" w:asciiTheme="minorEastAsia" w:hAnsiTheme="minorEastAsia" w:eastAsiaTheme="minorEastAsia"/>
          <w:b/>
          <w:color w:val="auto"/>
          <w:sz w:val="72"/>
          <w:highlight w:val="none"/>
        </w:rPr>
        <w:t>件</w:t>
      </w:r>
      <w:bookmarkEnd w:id="274"/>
      <w:bookmarkEnd w:id="275"/>
      <w:bookmarkEnd w:id="276"/>
      <w:bookmarkEnd w:id="277"/>
    </w:p>
    <w:p w14:paraId="4D195CF3">
      <w:pPr>
        <w:spacing w:after="156" w:afterLines="50"/>
        <w:jc w:val="center"/>
        <w:rPr>
          <w:rFonts w:asciiTheme="minorEastAsia" w:hAnsiTheme="minorEastAsia" w:eastAsiaTheme="minorEastAsia"/>
          <w:b/>
          <w:color w:val="auto"/>
          <w:sz w:val="72"/>
          <w:highlight w:val="none"/>
        </w:rPr>
      </w:pPr>
    </w:p>
    <w:p w14:paraId="759B157C">
      <w:pPr>
        <w:spacing w:before="156" w:beforeLines="50" w:after="156" w:afterLines="50"/>
        <w:jc w:val="center"/>
        <w:outlineLvl w:val="9"/>
        <w:rPr>
          <w:rFonts w:hint="eastAsia" w:asciiTheme="minorEastAsia" w:hAnsiTheme="minorEastAsia" w:eastAsiaTheme="minorEastAsia"/>
          <w:b/>
          <w:color w:val="auto"/>
          <w:sz w:val="32"/>
          <w:szCs w:val="32"/>
          <w:highlight w:val="none"/>
          <w:lang w:eastAsia="zh-CN"/>
        </w:rPr>
      </w:pPr>
      <w:r>
        <w:rPr>
          <w:rFonts w:hint="eastAsia" w:asciiTheme="minorEastAsia" w:hAnsiTheme="minorEastAsia" w:eastAsiaTheme="minorEastAsia"/>
          <w:b/>
          <w:color w:val="auto"/>
          <w:sz w:val="32"/>
          <w:szCs w:val="32"/>
          <w:highlight w:val="none"/>
          <w:lang w:val="en-US" w:eastAsia="zh-CN"/>
        </w:rPr>
        <w:t xml:space="preserve"> </w:t>
      </w:r>
    </w:p>
    <w:p w14:paraId="399F1B12">
      <w:pPr>
        <w:spacing w:after="156" w:afterLines="50" w:line="500" w:lineRule="exact"/>
        <w:jc w:val="center"/>
        <w:rPr>
          <w:rFonts w:asciiTheme="minorEastAsia" w:hAnsiTheme="minorEastAsia" w:eastAsiaTheme="minorEastAsia"/>
          <w:b/>
          <w:color w:val="auto"/>
          <w:sz w:val="28"/>
          <w:szCs w:val="28"/>
          <w:highlight w:val="none"/>
        </w:rPr>
      </w:pPr>
    </w:p>
    <w:p w14:paraId="511567BD">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3D9FCA9">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0F3ED52E">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BAABCDF">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278" w:name="_Toc17199"/>
      <w:bookmarkStart w:id="279" w:name="_Toc9994"/>
      <w:bookmarkStart w:id="280" w:name="_Toc10079"/>
      <w:bookmarkStart w:id="281" w:name="_Toc9186"/>
      <w:bookmarkStart w:id="282"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278"/>
      <w:bookmarkEnd w:id="279"/>
      <w:bookmarkEnd w:id="280"/>
      <w:bookmarkEnd w:id="281"/>
      <w:bookmarkEnd w:id="282"/>
    </w:p>
    <w:p w14:paraId="4A93E4A3">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0C860D04">
      <w:pPr>
        <w:spacing w:line="360" w:lineRule="auto"/>
        <w:jc w:val="center"/>
        <w:outlineLvl w:val="1"/>
        <w:rPr>
          <w:rFonts w:asciiTheme="minorEastAsia" w:hAnsiTheme="minorEastAsia" w:eastAsiaTheme="minorEastAsia"/>
          <w:b/>
          <w:color w:val="auto"/>
          <w:sz w:val="24"/>
          <w:highlight w:val="none"/>
        </w:rPr>
      </w:pPr>
      <w:bookmarkStart w:id="283" w:name="_Toc5555"/>
      <w:bookmarkStart w:id="284" w:name="_Toc28960"/>
      <w:bookmarkStart w:id="285" w:name="_Toc7952"/>
      <w:bookmarkStart w:id="286" w:name="_Toc13125"/>
      <w:bookmarkStart w:id="287" w:name="_Toc5910"/>
      <w:r>
        <w:rPr>
          <w:rFonts w:hint="eastAsia" w:asciiTheme="minorEastAsia" w:hAnsiTheme="minorEastAsia" w:eastAsiaTheme="minorEastAsia"/>
          <w:b/>
          <w:color w:val="auto"/>
          <w:sz w:val="24"/>
          <w:highlight w:val="none"/>
        </w:rPr>
        <w:t>一、开标一览表</w:t>
      </w:r>
      <w:bookmarkEnd w:id="283"/>
      <w:bookmarkEnd w:id="284"/>
      <w:bookmarkEnd w:id="285"/>
      <w:bookmarkEnd w:id="286"/>
      <w:bookmarkEnd w:id="287"/>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6053"/>
      </w:tblGrid>
      <w:tr w14:paraId="129C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6C58321A">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18E8D974">
            <w:pPr>
              <w:spacing w:line="360" w:lineRule="exact"/>
              <w:jc w:val="center"/>
              <w:rPr>
                <w:rFonts w:asciiTheme="minorEastAsia" w:hAnsiTheme="minorEastAsia" w:eastAsiaTheme="minorEastAsia"/>
                <w:bCs/>
                <w:color w:val="auto"/>
                <w:sz w:val="24"/>
                <w:highlight w:val="none"/>
                <w:u w:val="single"/>
              </w:rPr>
            </w:pPr>
          </w:p>
        </w:tc>
      </w:tr>
      <w:tr w14:paraId="5780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EF58A56">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79033302">
            <w:pPr>
              <w:spacing w:line="360" w:lineRule="auto"/>
              <w:rPr>
                <w:rFonts w:asciiTheme="minorEastAsia" w:hAnsiTheme="minorEastAsia" w:eastAsiaTheme="minorEastAsia"/>
                <w:color w:val="auto"/>
                <w:sz w:val="24"/>
                <w:highlight w:val="none"/>
              </w:rPr>
            </w:pPr>
          </w:p>
        </w:tc>
      </w:tr>
      <w:tr w14:paraId="4168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789101AC">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17D83307">
            <w:pPr>
              <w:keepNext w:val="0"/>
              <w:keepLines w:val="0"/>
              <w:pageBreakBefore w:val="0"/>
              <w:widowControl/>
              <w:kinsoku/>
              <w:wordWrap/>
              <w:overflowPunct/>
              <w:topLinePunct w:val="0"/>
              <w:autoSpaceDE/>
              <w:autoSpaceDN/>
              <w:bidi w:val="0"/>
              <w:adjustRightInd/>
              <w:spacing w:line="360" w:lineRule="auto"/>
              <w:textAlignment w:val="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szCs w:val="28"/>
                <w:highlight w:val="none"/>
              </w:rPr>
              <w:t>全部</w:t>
            </w:r>
            <w:r>
              <w:rPr>
                <w:rFonts w:hint="eastAsia" w:asciiTheme="minorEastAsia" w:hAnsiTheme="minorEastAsia" w:eastAsiaTheme="minorEastAsia"/>
                <w:color w:val="auto"/>
                <w:sz w:val="24"/>
                <w:szCs w:val="28"/>
                <w:highlight w:val="none"/>
                <w:lang w:val="en-US" w:eastAsia="zh-CN"/>
              </w:rPr>
              <w:t xml:space="preserve"> </w:t>
            </w:r>
          </w:p>
        </w:tc>
      </w:tr>
      <w:tr w14:paraId="6B3C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41CFCF2">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570A274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43F5BFB3">
            <w:pPr>
              <w:keepNext w:val="0"/>
              <w:keepLines w:val="0"/>
              <w:pageBreakBefore w:val="0"/>
              <w:widowControl w:val="0"/>
              <w:kinsoku/>
              <w:wordWrap/>
              <w:overflowPunct/>
              <w:topLinePunct w:val="0"/>
              <w:autoSpaceDE/>
              <w:autoSpaceDN/>
              <w:bidi w:val="0"/>
              <w:adjustRightInd/>
              <w:spacing w:line="360" w:lineRule="auto"/>
              <w:ind w:right="-670"/>
              <w:textAlignment w:val="auto"/>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51ED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1E5C3718">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21472E6F">
            <w:pPr>
              <w:spacing w:line="360" w:lineRule="auto"/>
              <w:jc w:val="left"/>
              <w:rPr>
                <w:rFonts w:asciiTheme="minorEastAsia" w:hAnsiTheme="minorEastAsia" w:eastAsiaTheme="minorEastAsia"/>
                <w:color w:val="auto"/>
                <w:sz w:val="24"/>
                <w:szCs w:val="28"/>
                <w:highlight w:val="none"/>
              </w:rPr>
            </w:pPr>
          </w:p>
        </w:tc>
      </w:tr>
    </w:tbl>
    <w:p w14:paraId="731F99C0">
      <w:pPr>
        <w:spacing w:line="360" w:lineRule="auto"/>
        <w:ind w:firstLine="4320" w:firstLineChars="1800"/>
        <w:jc w:val="center"/>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val="en-US" w:eastAsia="zh-CN"/>
        </w:rPr>
        <w:t>投标人</w:t>
      </w:r>
      <w:r>
        <w:rPr>
          <w:rFonts w:hint="eastAsia" w:asciiTheme="minorEastAsia" w:hAnsiTheme="minorEastAsia" w:eastAsiaTheme="minorEastAsia"/>
          <w:bCs/>
          <w:color w:val="auto"/>
          <w:sz w:val="24"/>
          <w:highlight w:val="none"/>
        </w:rPr>
        <w:t>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38396D4E">
      <w:pPr>
        <w:spacing w:line="360" w:lineRule="auto"/>
        <w:ind w:firstLine="4320" w:firstLineChars="1800"/>
        <w:jc w:val="center"/>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B3FB09D">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6B4100BF">
      <w:pPr>
        <w:spacing w:line="360" w:lineRule="auto"/>
        <w:ind w:firstLine="360" w:firstLineChars="150"/>
        <w:rPr>
          <w:rFonts w:asciiTheme="minorEastAsia" w:hAnsiTheme="minorEastAsia" w:eastAsiaTheme="minorEastAsia"/>
          <w:color w:val="auto"/>
          <w:sz w:val="24"/>
          <w:highlight w:val="none"/>
        </w:rPr>
      </w:pPr>
    </w:p>
    <w:p w14:paraId="2F3A8CA1">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625B4DF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47D1072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254F98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5FD7422A">
      <w:pPr>
        <w:spacing w:line="360" w:lineRule="auto"/>
        <w:jc w:val="center"/>
        <w:outlineLvl w:val="1"/>
        <w:rPr>
          <w:rFonts w:asciiTheme="minorEastAsia" w:hAnsiTheme="minorEastAsia" w:eastAsiaTheme="minorEastAsia"/>
          <w:b/>
          <w:color w:val="auto"/>
          <w:sz w:val="24"/>
          <w:highlight w:val="none"/>
        </w:rPr>
      </w:pPr>
      <w:bookmarkStart w:id="288" w:name="_Toc2723"/>
      <w:bookmarkStart w:id="289" w:name="_Toc21178"/>
      <w:bookmarkStart w:id="290" w:name="_Toc6441"/>
      <w:bookmarkStart w:id="291" w:name="_Toc18010"/>
      <w:bookmarkStart w:id="292" w:name="_Toc18356"/>
      <w:r>
        <w:rPr>
          <w:rFonts w:hint="eastAsia" w:asciiTheme="minorEastAsia" w:hAnsiTheme="minorEastAsia" w:eastAsiaTheme="minorEastAsia"/>
          <w:b/>
          <w:color w:val="auto"/>
          <w:sz w:val="24"/>
          <w:highlight w:val="none"/>
        </w:rPr>
        <w:t>二、投标函</w:t>
      </w:r>
      <w:bookmarkEnd w:id="288"/>
      <w:bookmarkEnd w:id="289"/>
      <w:bookmarkEnd w:id="290"/>
      <w:bookmarkEnd w:id="291"/>
      <w:bookmarkEnd w:id="292"/>
    </w:p>
    <w:p w14:paraId="2E887A1D">
      <w:pPr>
        <w:pStyle w:val="15"/>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18A929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7FE39B3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0BC759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5FEE25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2C8A0D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37625540">
      <w:pPr>
        <w:spacing w:line="360" w:lineRule="auto"/>
        <w:ind w:firstLine="4800" w:firstLineChars="2000"/>
        <w:rPr>
          <w:rFonts w:ascii="宋体" w:hAnsi="宋体" w:eastAsia="宋体"/>
          <w:color w:val="auto"/>
          <w:sz w:val="24"/>
          <w:highlight w:val="none"/>
        </w:rPr>
      </w:pPr>
    </w:p>
    <w:p w14:paraId="415E700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37815C57">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C93E05">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4E4AAB55">
      <w:pPr>
        <w:spacing w:line="360" w:lineRule="auto"/>
        <w:jc w:val="center"/>
        <w:outlineLvl w:val="1"/>
        <w:rPr>
          <w:rFonts w:hint="eastAsia" w:asciiTheme="minorEastAsia" w:hAnsiTheme="minorEastAsia" w:eastAsiaTheme="minorEastAsia"/>
          <w:b/>
          <w:color w:val="auto"/>
          <w:sz w:val="24"/>
          <w:highlight w:val="none"/>
        </w:rPr>
      </w:pPr>
      <w:bookmarkStart w:id="293" w:name="_Toc1328"/>
      <w:bookmarkStart w:id="294" w:name="_Toc10084"/>
      <w:bookmarkStart w:id="295" w:name="_Toc20844"/>
      <w:bookmarkStart w:id="296" w:name="_Toc2140"/>
      <w:r>
        <w:rPr>
          <w:rFonts w:hint="eastAsia" w:asciiTheme="minorEastAsia" w:hAnsiTheme="minorEastAsia" w:eastAsiaTheme="minorEastAsia"/>
          <w:b/>
          <w:color w:val="auto"/>
          <w:sz w:val="24"/>
          <w:highlight w:val="none"/>
          <w:lang w:val="en-US" w:eastAsia="zh-CN"/>
        </w:rPr>
        <w:t>三．投标人资格声明书</w:t>
      </w:r>
      <w:bookmarkEnd w:id="293"/>
      <w:bookmarkEnd w:id="294"/>
      <w:bookmarkEnd w:id="295"/>
      <w:bookmarkEnd w:id="296"/>
      <w:r>
        <w:rPr>
          <w:rFonts w:hint="eastAsia" w:asciiTheme="minorEastAsia" w:hAnsiTheme="minorEastAsia" w:eastAsiaTheme="minorEastAsia"/>
          <w:b/>
          <w:color w:val="auto"/>
          <w:sz w:val="24"/>
          <w:highlight w:val="none"/>
          <w:lang w:val="en-US" w:eastAsia="zh-CN"/>
        </w:rPr>
        <w:t xml:space="preserve"> </w:t>
      </w:r>
    </w:p>
    <w:p w14:paraId="4B339DCB">
      <w:pPr>
        <w:pStyle w:val="15"/>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7F7192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232C8D0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5422C17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6BDE104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40FFDA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036434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3AF47C5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4"/>
        <w:gridCol w:w="2766"/>
        <w:gridCol w:w="2766"/>
      </w:tblGrid>
      <w:tr w14:paraId="1AA9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54317BE">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7E30D52F">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545471ED">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43D4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BC85A9D">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16B45598">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0F1FAD1A">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B44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97894F6">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F1E77B4">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14007743">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B9BFBE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76BDEC47">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C39AADA">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CB03ECF">
      <w:pPr>
        <w:pStyle w:val="9"/>
        <w:rPr>
          <w:rFonts w:hint="eastAsia" w:asciiTheme="minorEastAsia" w:hAnsiTheme="minorEastAsia" w:eastAsiaTheme="minorEastAsia" w:cstheme="minorEastAsia"/>
          <w:color w:val="auto"/>
          <w:kern w:val="0"/>
          <w:sz w:val="24"/>
          <w:szCs w:val="24"/>
          <w:highlight w:val="none"/>
          <w:lang w:val="en-US" w:eastAsia="zh-CN" w:bidi="ar"/>
        </w:rPr>
      </w:pPr>
    </w:p>
    <w:p w14:paraId="567E3CF0">
      <w:pPr>
        <w:pStyle w:val="9"/>
        <w:rPr>
          <w:rFonts w:hint="eastAsia" w:asciiTheme="minorEastAsia" w:hAnsiTheme="minorEastAsia" w:eastAsiaTheme="minorEastAsia" w:cstheme="minorEastAsia"/>
          <w:color w:val="auto"/>
          <w:kern w:val="0"/>
          <w:sz w:val="24"/>
          <w:szCs w:val="24"/>
          <w:highlight w:val="none"/>
          <w:lang w:val="en-US" w:eastAsia="zh-CN" w:bidi="ar"/>
        </w:rPr>
      </w:pPr>
    </w:p>
    <w:p w14:paraId="02EBCB25">
      <w:pPr>
        <w:pStyle w:val="9"/>
        <w:rPr>
          <w:rFonts w:hint="eastAsia" w:asciiTheme="minorEastAsia" w:hAnsiTheme="minorEastAsia" w:eastAsiaTheme="minorEastAsia" w:cstheme="minorEastAsia"/>
          <w:color w:val="auto"/>
          <w:kern w:val="0"/>
          <w:sz w:val="24"/>
          <w:szCs w:val="24"/>
          <w:highlight w:val="none"/>
          <w:lang w:val="en-US" w:eastAsia="zh-CN" w:bidi="ar"/>
        </w:rPr>
      </w:pPr>
    </w:p>
    <w:p w14:paraId="524EAD46">
      <w:pPr>
        <w:rPr>
          <w:rFonts w:hint="eastAsia" w:asciiTheme="minorEastAsia" w:hAnsiTheme="minorEastAsia" w:eastAsiaTheme="minorEastAsia"/>
          <w:b/>
          <w:color w:val="auto"/>
          <w:sz w:val="24"/>
          <w:highlight w:val="none"/>
        </w:rPr>
      </w:pPr>
      <w:bookmarkStart w:id="297" w:name="_Toc11607"/>
      <w:r>
        <w:rPr>
          <w:rFonts w:hint="eastAsia" w:asciiTheme="minorEastAsia" w:hAnsiTheme="minorEastAsia" w:eastAsiaTheme="minorEastAsia"/>
          <w:b/>
          <w:color w:val="auto"/>
          <w:sz w:val="24"/>
          <w:highlight w:val="none"/>
        </w:rPr>
        <w:br w:type="page"/>
      </w:r>
    </w:p>
    <w:p w14:paraId="2B5D74D2">
      <w:pPr>
        <w:spacing w:line="360" w:lineRule="auto"/>
        <w:jc w:val="center"/>
        <w:outlineLvl w:val="1"/>
        <w:rPr>
          <w:rFonts w:asciiTheme="minorEastAsia" w:hAnsiTheme="minorEastAsia" w:eastAsiaTheme="minorEastAsia"/>
          <w:b/>
          <w:color w:val="auto"/>
          <w:sz w:val="24"/>
          <w:highlight w:val="none"/>
        </w:rPr>
      </w:pPr>
      <w:bookmarkStart w:id="298" w:name="_Toc23256"/>
      <w:bookmarkStart w:id="299" w:name="_Toc16960"/>
      <w:bookmarkStart w:id="300" w:name="_Toc21415"/>
      <w:bookmarkStart w:id="301" w:name="_Toc29386"/>
      <w:r>
        <w:rPr>
          <w:rFonts w:hint="eastAsia" w:asciiTheme="minorEastAsia" w:hAnsiTheme="minorEastAsia" w:eastAsiaTheme="minorEastAsia"/>
          <w:b/>
          <w:color w:val="auto"/>
          <w:sz w:val="24"/>
          <w:highlight w:val="none"/>
        </w:rPr>
        <w:t>四、授权书</w:t>
      </w:r>
      <w:bookmarkEnd w:id="297"/>
      <w:bookmarkEnd w:id="298"/>
      <w:bookmarkEnd w:id="299"/>
      <w:bookmarkEnd w:id="300"/>
      <w:bookmarkEnd w:id="301"/>
    </w:p>
    <w:p w14:paraId="3FF6F608">
      <w:pPr>
        <w:pStyle w:val="14"/>
        <w:snapToGrid w:val="0"/>
        <w:spacing w:line="360" w:lineRule="auto"/>
        <w:ind w:firstLine="480" w:firstLineChars="200"/>
        <w:jc w:val="left"/>
        <w:rPr>
          <w:rFonts w:hAnsi="宋体" w:eastAsia="宋体"/>
          <w:color w:val="auto"/>
          <w:sz w:val="24"/>
          <w:szCs w:val="28"/>
          <w:highlight w:val="none"/>
        </w:rPr>
      </w:pPr>
    </w:p>
    <w:p w14:paraId="191EF042">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6B305B3">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30EA6781">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65DB05BD">
      <w:pPr>
        <w:spacing w:line="360" w:lineRule="auto"/>
        <w:ind w:firstLine="435"/>
        <w:rPr>
          <w:rFonts w:asciiTheme="minorEastAsia" w:hAnsiTheme="minorEastAsia" w:eastAsiaTheme="minorEastAsia"/>
          <w:color w:val="auto"/>
          <w:sz w:val="24"/>
          <w:highlight w:val="none"/>
        </w:rPr>
      </w:pPr>
    </w:p>
    <w:p w14:paraId="2BAE10DD">
      <w:pPr>
        <w:spacing w:line="360" w:lineRule="auto"/>
        <w:ind w:firstLine="435"/>
        <w:rPr>
          <w:rFonts w:asciiTheme="minorEastAsia" w:hAnsiTheme="minorEastAsia" w:eastAsiaTheme="minorEastAsia"/>
          <w:color w:val="auto"/>
          <w:sz w:val="24"/>
          <w:highlight w:val="none"/>
        </w:rPr>
      </w:pPr>
    </w:p>
    <w:p w14:paraId="3246BDAE">
      <w:pPr>
        <w:spacing w:line="360" w:lineRule="auto"/>
        <w:ind w:firstLine="435"/>
        <w:rPr>
          <w:rFonts w:asciiTheme="minorEastAsia" w:hAnsiTheme="minorEastAsia" w:eastAsiaTheme="minorEastAsia"/>
          <w:color w:val="auto"/>
          <w:sz w:val="24"/>
          <w:highlight w:val="none"/>
        </w:rPr>
      </w:pPr>
    </w:p>
    <w:p w14:paraId="3537D490">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86E4C24">
      <w:pPr>
        <w:spacing w:line="360" w:lineRule="auto"/>
        <w:ind w:firstLine="435"/>
        <w:rPr>
          <w:rFonts w:hAnsi="宋体" w:eastAsia="宋体"/>
          <w:color w:val="auto"/>
          <w:sz w:val="24"/>
          <w:szCs w:val="28"/>
          <w:highlight w:val="none"/>
          <w:lang w:val="zh-CN"/>
        </w:rPr>
      </w:pPr>
    </w:p>
    <w:p w14:paraId="3BB5B9D9">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1922F0FE">
      <w:pPr>
        <w:spacing w:line="360" w:lineRule="auto"/>
        <w:rPr>
          <w:rFonts w:ascii="宋体" w:hAnsi="宋体" w:eastAsia="宋体"/>
          <w:color w:val="auto"/>
          <w:sz w:val="24"/>
          <w:szCs w:val="28"/>
          <w:highlight w:val="none"/>
        </w:rPr>
      </w:pPr>
    </w:p>
    <w:p w14:paraId="34592FE7">
      <w:pPr>
        <w:spacing w:line="360" w:lineRule="auto"/>
        <w:ind w:firstLine="435"/>
        <w:jc w:val="center"/>
        <w:rPr>
          <w:rFonts w:ascii="宋体" w:hAnsi="宋体" w:eastAsia="宋体"/>
          <w:bCs/>
          <w:color w:val="auto"/>
          <w:sz w:val="24"/>
          <w:szCs w:val="28"/>
          <w:highlight w:val="none"/>
        </w:rPr>
      </w:pPr>
      <w:r>
        <w:rPr>
          <w:rFonts w:hint="eastAsia" w:ascii="宋体" w:hAnsi="宋体" w:eastAsia="宋体"/>
          <w:bCs/>
          <w:color w:val="auto"/>
          <w:sz w:val="24"/>
          <w:szCs w:val="28"/>
          <w:highlight w:val="none"/>
          <w:lang w:val="en-US" w:eastAsia="zh-CN"/>
        </w:rPr>
        <w:t xml:space="preserve">                            </w:t>
      </w:r>
      <w:r>
        <w:rPr>
          <w:rFonts w:hint="eastAsia" w:ascii="宋体" w:hAnsi="宋体" w:eastAsia="宋体"/>
          <w:bCs/>
          <w:color w:val="auto"/>
          <w:sz w:val="24"/>
          <w:szCs w:val="28"/>
          <w:highlight w:val="none"/>
        </w:rPr>
        <w:t>投标人电子签章：</w:t>
      </w:r>
      <w:r>
        <w:rPr>
          <w:rFonts w:hint="eastAsia" w:ascii="宋体" w:hAnsi="宋体" w:eastAsia="宋体"/>
          <w:bCs/>
          <w:color w:val="auto"/>
          <w:sz w:val="24"/>
          <w:szCs w:val="28"/>
          <w:highlight w:val="none"/>
          <w:u w:val="single"/>
        </w:rPr>
        <w:t xml:space="preserve">                    </w:t>
      </w:r>
    </w:p>
    <w:p w14:paraId="17E6162A">
      <w:pPr>
        <w:spacing w:line="360" w:lineRule="auto"/>
        <w:ind w:firstLine="435"/>
        <w:jc w:val="center"/>
        <w:rPr>
          <w:rFonts w:ascii="宋体" w:hAnsi="宋体" w:eastAsia="宋体"/>
          <w:color w:val="auto"/>
          <w:sz w:val="24"/>
          <w:szCs w:val="28"/>
          <w:highlight w:val="none"/>
        </w:rPr>
      </w:pPr>
      <w:r>
        <w:rPr>
          <w:rFonts w:hint="eastAsia" w:ascii="宋体" w:hAnsi="宋体" w:eastAsia="宋体"/>
          <w:color w:val="auto"/>
          <w:sz w:val="24"/>
          <w:szCs w:val="28"/>
          <w:highlight w:val="none"/>
          <w:lang w:val="en-US" w:eastAsia="zh-CN"/>
        </w:rPr>
        <w:t xml:space="preserve">                            </w:t>
      </w:r>
      <w:r>
        <w:rPr>
          <w:rFonts w:hint="eastAsia" w:ascii="宋体" w:hAnsi="宋体" w:eastAsia="宋体"/>
          <w:color w:val="auto"/>
          <w:sz w:val="24"/>
          <w:szCs w:val="28"/>
          <w:highlight w:val="none"/>
        </w:rPr>
        <w:t>日          期：</w:t>
      </w:r>
      <w:r>
        <w:rPr>
          <w:rFonts w:hint="eastAsia" w:ascii="宋体" w:hAnsi="宋体" w:eastAsia="宋体"/>
          <w:b/>
          <w:bCs/>
          <w:color w:val="auto"/>
          <w:sz w:val="24"/>
          <w:szCs w:val="28"/>
          <w:highlight w:val="none"/>
          <w:u w:val="single"/>
        </w:rPr>
        <w:t xml:space="preserve">                    </w:t>
      </w:r>
    </w:p>
    <w:p w14:paraId="1ED22158">
      <w:pPr>
        <w:spacing w:line="360" w:lineRule="auto"/>
        <w:ind w:firstLine="435"/>
        <w:rPr>
          <w:rFonts w:asciiTheme="minorEastAsia" w:hAnsiTheme="minorEastAsia" w:eastAsiaTheme="minorEastAsia"/>
          <w:color w:val="auto"/>
          <w:sz w:val="24"/>
          <w:highlight w:val="none"/>
        </w:rPr>
      </w:pPr>
    </w:p>
    <w:p w14:paraId="271E9458">
      <w:pPr>
        <w:spacing w:line="360" w:lineRule="auto"/>
        <w:ind w:firstLine="435"/>
        <w:rPr>
          <w:rFonts w:asciiTheme="minorEastAsia" w:hAnsiTheme="minorEastAsia" w:eastAsiaTheme="minorEastAsia"/>
          <w:color w:val="auto"/>
          <w:sz w:val="24"/>
          <w:highlight w:val="none"/>
        </w:rPr>
      </w:pPr>
    </w:p>
    <w:p w14:paraId="2B1DF592">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088F0F6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1E298CB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579B41A1">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020DF75">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02" w:name="_Toc6796"/>
      <w:bookmarkStart w:id="303" w:name="_Toc14032"/>
      <w:bookmarkStart w:id="304" w:name="_Toc31991"/>
      <w:bookmarkStart w:id="305" w:name="_Toc5009"/>
      <w:bookmarkStart w:id="306" w:name="_Toc29844"/>
      <w:r>
        <w:rPr>
          <w:rFonts w:hint="eastAsia" w:asciiTheme="minorEastAsia" w:hAnsiTheme="minorEastAsia" w:eastAsiaTheme="minorEastAsia"/>
          <w:b/>
          <w:color w:val="auto"/>
          <w:sz w:val="24"/>
          <w:highlight w:val="none"/>
        </w:rPr>
        <w:t>五、投标分项报价表</w:t>
      </w:r>
      <w:bookmarkEnd w:id="302"/>
      <w:bookmarkEnd w:id="303"/>
      <w:bookmarkEnd w:id="304"/>
      <w:bookmarkEnd w:id="305"/>
      <w:bookmarkEnd w:id="306"/>
    </w:p>
    <w:p w14:paraId="2B7CA9A5">
      <w:pPr>
        <w:pStyle w:val="47"/>
        <w:jc w:val="left"/>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5-1货物部分</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431"/>
        <w:gridCol w:w="1138"/>
        <w:gridCol w:w="1281"/>
        <w:gridCol w:w="654"/>
        <w:gridCol w:w="654"/>
        <w:gridCol w:w="915"/>
        <w:gridCol w:w="915"/>
        <w:gridCol w:w="652"/>
      </w:tblGrid>
      <w:tr w14:paraId="7086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3E04BA45">
            <w:pPr>
              <w:pStyle w:val="44"/>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序号</w:t>
            </w:r>
          </w:p>
        </w:tc>
        <w:tc>
          <w:tcPr>
            <w:tcW w:w="862" w:type="pct"/>
            <w:noWrap w:val="0"/>
            <w:vAlign w:val="center"/>
          </w:tcPr>
          <w:p w14:paraId="1FB2626D">
            <w:pPr>
              <w:jc w:val="center"/>
              <w:rPr>
                <w:rFonts w:ascii="宋体" w:hAnsi="宋体" w:eastAsia="宋体"/>
                <w:b/>
                <w:color w:val="auto"/>
                <w:sz w:val="24"/>
                <w:highlight w:val="none"/>
              </w:rPr>
            </w:pPr>
            <w:r>
              <w:rPr>
                <w:rFonts w:hint="eastAsia" w:ascii="宋体" w:hAnsi="宋体" w:eastAsia="宋体"/>
                <w:b/>
                <w:color w:val="auto"/>
                <w:sz w:val="24"/>
                <w:highlight w:val="none"/>
              </w:rPr>
              <w:t>货物名称</w:t>
            </w:r>
          </w:p>
        </w:tc>
        <w:tc>
          <w:tcPr>
            <w:tcW w:w="686" w:type="pct"/>
            <w:noWrap w:val="0"/>
            <w:vAlign w:val="center"/>
          </w:tcPr>
          <w:p w14:paraId="7391A509">
            <w:pPr>
              <w:jc w:val="center"/>
              <w:rPr>
                <w:rFonts w:ascii="宋体" w:hAnsi="宋体" w:eastAsia="宋体"/>
                <w:b/>
                <w:color w:val="auto"/>
                <w:sz w:val="24"/>
                <w:highlight w:val="none"/>
              </w:rPr>
            </w:pPr>
            <w:r>
              <w:rPr>
                <w:rFonts w:hint="eastAsia" w:ascii="宋体" w:hAnsi="宋体" w:eastAsia="宋体"/>
                <w:b/>
                <w:color w:val="auto"/>
                <w:sz w:val="24"/>
                <w:highlight w:val="none"/>
              </w:rPr>
              <w:t>品牌、型</w:t>
            </w:r>
          </w:p>
          <w:p w14:paraId="019C90C7">
            <w:pPr>
              <w:jc w:val="center"/>
              <w:rPr>
                <w:rFonts w:ascii="宋体" w:hAnsi="宋体" w:eastAsia="宋体"/>
                <w:b/>
                <w:color w:val="auto"/>
                <w:sz w:val="24"/>
                <w:highlight w:val="none"/>
              </w:rPr>
            </w:pPr>
            <w:r>
              <w:rPr>
                <w:rFonts w:hint="eastAsia" w:ascii="宋体" w:hAnsi="宋体" w:eastAsia="宋体"/>
                <w:b/>
                <w:color w:val="auto"/>
                <w:sz w:val="24"/>
                <w:highlight w:val="none"/>
              </w:rPr>
              <w:t>号规格</w:t>
            </w:r>
          </w:p>
        </w:tc>
        <w:tc>
          <w:tcPr>
            <w:tcW w:w="772" w:type="pct"/>
            <w:noWrap w:val="0"/>
            <w:vAlign w:val="center"/>
          </w:tcPr>
          <w:p w14:paraId="0D5C4AD2">
            <w:pPr>
              <w:jc w:val="center"/>
              <w:rPr>
                <w:rFonts w:ascii="宋体" w:hAnsi="宋体" w:eastAsia="宋体"/>
                <w:b/>
                <w:color w:val="auto"/>
                <w:sz w:val="24"/>
                <w:highlight w:val="none"/>
              </w:rPr>
            </w:pPr>
            <w:r>
              <w:rPr>
                <w:rFonts w:hint="eastAsia" w:ascii="宋体" w:hAnsi="宋体" w:eastAsia="宋体"/>
                <w:b/>
                <w:color w:val="auto"/>
                <w:sz w:val="24"/>
                <w:highlight w:val="none"/>
              </w:rPr>
              <w:t>原产地及</w:t>
            </w:r>
          </w:p>
          <w:p w14:paraId="01CDAF56">
            <w:pPr>
              <w:jc w:val="center"/>
              <w:rPr>
                <w:rFonts w:ascii="宋体" w:hAnsi="宋体" w:eastAsia="宋体"/>
                <w:b/>
                <w:color w:val="auto"/>
                <w:sz w:val="24"/>
                <w:highlight w:val="none"/>
              </w:rPr>
            </w:pPr>
            <w:r>
              <w:rPr>
                <w:rFonts w:hint="eastAsia" w:ascii="宋体" w:hAnsi="宋体" w:eastAsia="宋体"/>
                <w:b/>
                <w:color w:val="auto"/>
                <w:sz w:val="24"/>
                <w:highlight w:val="none"/>
              </w:rPr>
              <w:t>生产厂商</w:t>
            </w:r>
          </w:p>
        </w:tc>
        <w:tc>
          <w:tcPr>
            <w:tcW w:w="394" w:type="pct"/>
            <w:noWrap w:val="0"/>
            <w:vAlign w:val="center"/>
          </w:tcPr>
          <w:p w14:paraId="7C24263B">
            <w:pPr>
              <w:jc w:val="center"/>
              <w:rPr>
                <w:rFonts w:ascii="宋体" w:hAnsi="宋体" w:eastAsia="宋体"/>
                <w:b/>
                <w:color w:val="auto"/>
                <w:sz w:val="24"/>
                <w:highlight w:val="none"/>
              </w:rPr>
            </w:pPr>
            <w:r>
              <w:rPr>
                <w:rFonts w:hint="eastAsia" w:ascii="宋体" w:hAnsi="宋体" w:eastAsia="宋体"/>
                <w:b/>
                <w:color w:val="auto"/>
                <w:sz w:val="24"/>
                <w:highlight w:val="none"/>
              </w:rPr>
              <w:t>单位</w:t>
            </w:r>
          </w:p>
        </w:tc>
        <w:tc>
          <w:tcPr>
            <w:tcW w:w="394" w:type="pct"/>
            <w:noWrap w:val="0"/>
            <w:vAlign w:val="center"/>
          </w:tcPr>
          <w:p w14:paraId="1532E164">
            <w:pPr>
              <w:jc w:val="center"/>
              <w:rPr>
                <w:rFonts w:ascii="宋体" w:hAnsi="宋体" w:eastAsia="宋体"/>
                <w:b/>
                <w:color w:val="auto"/>
                <w:sz w:val="24"/>
                <w:highlight w:val="none"/>
              </w:rPr>
            </w:pPr>
            <w:r>
              <w:rPr>
                <w:rFonts w:hint="eastAsia" w:ascii="宋体" w:hAnsi="宋体" w:eastAsia="宋体"/>
                <w:b/>
                <w:color w:val="auto"/>
                <w:sz w:val="24"/>
                <w:highlight w:val="none"/>
              </w:rPr>
              <w:t>数量</w:t>
            </w:r>
          </w:p>
        </w:tc>
        <w:tc>
          <w:tcPr>
            <w:tcW w:w="551" w:type="pct"/>
            <w:noWrap w:val="0"/>
            <w:vAlign w:val="center"/>
          </w:tcPr>
          <w:p w14:paraId="612EAEF9">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p w14:paraId="0AA954E6">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551" w:type="pct"/>
            <w:noWrap w:val="0"/>
            <w:vAlign w:val="center"/>
          </w:tcPr>
          <w:p w14:paraId="7C27CEB3">
            <w:pPr>
              <w:jc w:val="center"/>
              <w:rPr>
                <w:rFonts w:ascii="宋体" w:hAnsi="宋体" w:eastAsia="宋体"/>
                <w:b/>
                <w:color w:val="auto"/>
                <w:sz w:val="24"/>
                <w:highlight w:val="none"/>
              </w:rPr>
            </w:pPr>
            <w:r>
              <w:rPr>
                <w:rFonts w:hint="eastAsia" w:ascii="宋体" w:hAnsi="宋体" w:eastAsia="宋体"/>
                <w:b/>
                <w:color w:val="auto"/>
                <w:sz w:val="24"/>
                <w:highlight w:val="none"/>
              </w:rPr>
              <w:t>小计</w:t>
            </w:r>
          </w:p>
          <w:p w14:paraId="50875EA7">
            <w:pPr>
              <w:jc w:val="center"/>
              <w:rPr>
                <w:rFonts w:ascii="宋体" w:hAnsi="宋体" w:eastAsia="宋体"/>
                <w:b/>
                <w:color w:val="auto"/>
                <w:sz w:val="24"/>
                <w:highlight w:val="none"/>
              </w:rPr>
            </w:pPr>
            <w:r>
              <w:rPr>
                <w:rFonts w:hint="eastAsia" w:ascii="宋体" w:hAnsi="宋体" w:eastAsia="宋体"/>
                <w:b/>
                <w:color w:val="auto"/>
                <w:sz w:val="24"/>
                <w:highlight w:val="none"/>
              </w:rPr>
              <w:t>（元）</w:t>
            </w:r>
          </w:p>
        </w:tc>
        <w:tc>
          <w:tcPr>
            <w:tcW w:w="393" w:type="pct"/>
            <w:noWrap w:val="0"/>
            <w:vAlign w:val="center"/>
          </w:tcPr>
          <w:p w14:paraId="28A8CB35">
            <w:pPr>
              <w:jc w:val="center"/>
              <w:rPr>
                <w:rFonts w:ascii="宋体" w:hAnsi="宋体" w:eastAsia="宋体"/>
                <w:b/>
                <w:color w:val="auto"/>
                <w:sz w:val="24"/>
                <w:highlight w:val="none"/>
              </w:rPr>
            </w:pPr>
            <w:r>
              <w:rPr>
                <w:rFonts w:hint="eastAsia" w:ascii="宋体" w:hAnsi="宋体" w:eastAsia="宋体"/>
                <w:b/>
                <w:color w:val="auto"/>
                <w:sz w:val="24"/>
                <w:highlight w:val="none"/>
              </w:rPr>
              <w:t>备注</w:t>
            </w:r>
          </w:p>
        </w:tc>
      </w:tr>
      <w:tr w14:paraId="743F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center"/>
          </w:tcPr>
          <w:p w14:paraId="7F3450B3">
            <w:pPr>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1</w:t>
            </w:r>
          </w:p>
        </w:tc>
        <w:tc>
          <w:tcPr>
            <w:tcW w:w="862" w:type="pct"/>
            <w:noWrap w:val="0"/>
            <w:vAlign w:val="center"/>
          </w:tcPr>
          <w:p w14:paraId="05AB97F0">
            <w:pPr>
              <w:keepNext w:val="0"/>
              <w:keepLines w:val="0"/>
              <w:widowControl/>
              <w:suppressLineNumbers w:val="0"/>
              <w:jc w:val="center"/>
              <w:rPr>
                <w:rFonts w:ascii="宋体" w:hAnsi="宋体" w:eastAsia="宋体"/>
                <w:color w:val="auto"/>
                <w:sz w:val="21"/>
                <w:szCs w:val="21"/>
                <w:highlight w:val="none"/>
              </w:rPr>
            </w:pPr>
          </w:p>
        </w:tc>
        <w:tc>
          <w:tcPr>
            <w:tcW w:w="686" w:type="pct"/>
            <w:noWrap w:val="0"/>
            <w:vAlign w:val="center"/>
          </w:tcPr>
          <w:p w14:paraId="705D4EE6">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17659CB1">
            <w:pPr>
              <w:jc w:val="center"/>
              <w:rPr>
                <w:rFonts w:ascii="宋体" w:hAnsi="宋体" w:eastAsia="宋体"/>
                <w:color w:val="auto"/>
                <w:sz w:val="21"/>
                <w:szCs w:val="21"/>
                <w:highlight w:val="none"/>
              </w:rPr>
            </w:pPr>
          </w:p>
        </w:tc>
        <w:tc>
          <w:tcPr>
            <w:tcW w:w="394" w:type="pct"/>
            <w:noWrap w:val="0"/>
            <w:vAlign w:val="center"/>
          </w:tcPr>
          <w:p w14:paraId="032A53FF">
            <w:pPr>
              <w:jc w:val="center"/>
              <w:rPr>
                <w:rFonts w:ascii="宋体" w:hAnsi="宋体" w:eastAsia="宋体"/>
                <w:color w:val="auto"/>
                <w:sz w:val="21"/>
                <w:szCs w:val="21"/>
                <w:highlight w:val="none"/>
              </w:rPr>
            </w:pPr>
          </w:p>
        </w:tc>
        <w:tc>
          <w:tcPr>
            <w:tcW w:w="394" w:type="pct"/>
            <w:noWrap w:val="0"/>
            <w:vAlign w:val="center"/>
          </w:tcPr>
          <w:p w14:paraId="47386C02">
            <w:pPr>
              <w:widowControl/>
              <w:spacing w:line="500" w:lineRule="exact"/>
              <w:jc w:val="center"/>
              <w:textAlignment w:val="center"/>
              <w:rPr>
                <w:rFonts w:hint="default" w:ascii="宋体" w:hAnsi="宋体" w:eastAsia="宋体"/>
                <w:color w:val="auto"/>
                <w:sz w:val="21"/>
                <w:szCs w:val="21"/>
                <w:highlight w:val="none"/>
                <w:lang w:val="en-US"/>
              </w:rPr>
            </w:pPr>
          </w:p>
        </w:tc>
        <w:tc>
          <w:tcPr>
            <w:tcW w:w="551" w:type="pct"/>
            <w:noWrap w:val="0"/>
            <w:vAlign w:val="top"/>
          </w:tcPr>
          <w:p w14:paraId="29F15A1B">
            <w:pPr>
              <w:rPr>
                <w:rFonts w:ascii="宋体" w:hAnsi="宋体" w:eastAsia="宋体"/>
                <w:color w:val="auto"/>
                <w:sz w:val="24"/>
                <w:highlight w:val="none"/>
              </w:rPr>
            </w:pPr>
          </w:p>
        </w:tc>
        <w:tc>
          <w:tcPr>
            <w:tcW w:w="551" w:type="pct"/>
            <w:noWrap w:val="0"/>
            <w:vAlign w:val="top"/>
          </w:tcPr>
          <w:p w14:paraId="4B5A4A6E">
            <w:pPr>
              <w:rPr>
                <w:rFonts w:ascii="宋体" w:hAnsi="宋体" w:eastAsia="宋体"/>
                <w:color w:val="auto"/>
                <w:sz w:val="24"/>
                <w:highlight w:val="none"/>
              </w:rPr>
            </w:pPr>
          </w:p>
        </w:tc>
        <w:tc>
          <w:tcPr>
            <w:tcW w:w="393" w:type="pct"/>
            <w:noWrap w:val="0"/>
            <w:vAlign w:val="top"/>
          </w:tcPr>
          <w:p w14:paraId="005BEB18">
            <w:pPr>
              <w:rPr>
                <w:rFonts w:ascii="宋体" w:hAnsi="宋体" w:eastAsia="宋体"/>
                <w:color w:val="auto"/>
                <w:sz w:val="24"/>
                <w:highlight w:val="none"/>
              </w:rPr>
            </w:pPr>
          </w:p>
        </w:tc>
      </w:tr>
      <w:tr w14:paraId="70AD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29D856E7">
            <w:pPr>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2</w:t>
            </w:r>
          </w:p>
        </w:tc>
        <w:tc>
          <w:tcPr>
            <w:tcW w:w="862" w:type="pct"/>
            <w:noWrap w:val="0"/>
            <w:vAlign w:val="center"/>
          </w:tcPr>
          <w:p w14:paraId="5849EDA1">
            <w:pPr>
              <w:keepNext w:val="0"/>
              <w:keepLines w:val="0"/>
              <w:widowControl/>
              <w:suppressLineNumbers w:val="0"/>
              <w:jc w:val="center"/>
              <w:rPr>
                <w:rFonts w:ascii="宋体" w:hAnsi="宋体" w:eastAsia="宋体"/>
                <w:color w:val="auto"/>
                <w:sz w:val="21"/>
                <w:szCs w:val="21"/>
                <w:highlight w:val="none"/>
              </w:rPr>
            </w:pPr>
          </w:p>
        </w:tc>
        <w:tc>
          <w:tcPr>
            <w:tcW w:w="686" w:type="pct"/>
            <w:noWrap w:val="0"/>
            <w:vAlign w:val="center"/>
          </w:tcPr>
          <w:p w14:paraId="3BCBBC2F">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71035650">
            <w:pPr>
              <w:jc w:val="center"/>
              <w:rPr>
                <w:rFonts w:ascii="宋体" w:hAnsi="宋体" w:eastAsia="宋体"/>
                <w:color w:val="auto"/>
                <w:sz w:val="21"/>
                <w:szCs w:val="21"/>
                <w:highlight w:val="none"/>
              </w:rPr>
            </w:pPr>
          </w:p>
        </w:tc>
        <w:tc>
          <w:tcPr>
            <w:tcW w:w="394" w:type="pct"/>
            <w:noWrap w:val="0"/>
            <w:vAlign w:val="center"/>
          </w:tcPr>
          <w:p w14:paraId="34C3058C">
            <w:pPr>
              <w:jc w:val="center"/>
              <w:rPr>
                <w:rFonts w:ascii="宋体" w:hAnsi="宋体" w:eastAsia="宋体"/>
                <w:color w:val="auto"/>
                <w:sz w:val="21"/>
                <w:szCs w:val="21"/>
                <w:highlight w:val="none"/>
              </w:rPr>
            </w:pPr>
          </w:p>
        </w:tc>
        <w:tc>
          <w:tcPr>
            <w:tcW w:w="394" w:type="pct"/>
            <w:noWrap w:val="0"/>
            <w:vAlign w:val="center"/>
          </w:tcPr>
          <w:p w14:paraId="708604A6">
            <w:pPr>
              <w:widowControl/>
              <w:spacing w:line="500" w:lineRule="exact"/>
              <w:jc w:val="center"/>
              <w:textAlignment w:val="center"/>
              <w:rPr>
                <w:rFonts w:hint="default" w:ascii="宋体" w:hAnsi="宋体" w:eastAsia="宋体"/>
                <w:color w:val="auto"/>
                <w:sz w:val="21"/>
                <w:szCs w:val="21"/>
                <w:highlight w:val="none"/>
                <w:lang w:val="en-US"/>
              </w:rPr>
            </w:pPr>
          </w:p>
        </w:tc>
        <w:tc>
          <w:tcPr>
            <w:tcW w:w="551" w:type="pct"/>
            <w:noWrap w:val="0"/>
            <w:vAlign w:val="top"/>
          </w:tcPr>
          <w:p w14:paraId="2F975EA0">
            <w:pPr>
              <w:rPr>
                <w:rFonts w:ascii="宋体" w:hAnsi="宋体" w:eastAsia="宋体"/>
                <w:color w:val="auto"/>
                <w:sz w:val="24"/>
                <w:highlight w:val="none"/>
              </w:rPr>
            </w:pPr>
          </w:p>
        </w:tc>
        <w:tc>
          <w:tcPr>
            <w:tcW w:w="551" w:type="pct"/>
            <w:noWrap w:val="0"/>
            <w:vAlign w:val="top"/>
          </w:tcPr>
          <w:p w14:paraId="287611FB">
            <w:pPr>
              <w:rPr>
                <w:rFonts w:ascii="宋体" w:hAnsi="宋体" w:eastAsia="宋体"/>
                <w:color w:val="auto"/>
                <w:sz w:val="24"/>
                <w:highlight w:val="none"/>
              </w:rPr>
            </w:pPr>
          </w:p>
        </w:tc>
        <w:tc>
          <w:tcPr>
            <w:tcW w:w="393" w:type="pct"/>
            <w:noWrap w:val="0"/>
            <w:vAlign w:val="top"/>
          </w:tcPr>
          <w:p w14:paraId="3EF974C4">
            <w:pPr>
              <w:rPr>
                <w:rFonts w:ascii="宋体" w:hAnsi="宋体" w:eastAsia="宋体"/>
                <w:color w:val="auto"/>
                <w:sz w:val="24"/>
                <w:highlight w:val="none"/>
              </w:rPr>
            </w:pPr>
          </w:p>
        </w:tc>
      </w:tr>
      <w:tr w14:paraId="77D3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center"/>
          </w:tcPr>
          <w:p w14:paraId="2F180C2D">
            <w:pPr>
              <w:jc w:val="center"/>
              <w:rPr>
                <w:rFonts w:ascii="宋体" w:hAnsi="宋体" w:eastAsia="宋体"/>
                <w:color w:val="auto"/>
                <w:sz w:val="21"/>
                <w:szCs w:val="21"/>
                <w:highlight w:val="none"/>
              </w:rPr>
            </w:pPr>
            <w:r>
              <w:rPr>
                <w:rFonts w:hint="eastAsia" w:ascii="宋体" w:hAnsi="宋体" w:eastAsia="宋体"/>
                <w:color w:val="auto"/>
                <w:sz w:val="21"/>
                <w:szCs w:val="21"/>
                <w:highlight w:val="none"/>
              </w:rPr>
              <w:t>3</w:t>
            </w:r>
          </w:p>
        </w:tc>
        <w:tc>
          <w:tcPr>
            <w:tcW w:w="862" w:type="pct"/>
            <w:noWrap w:val="0"/>
            <w:vAlign w:val="center"/>
          </w:tcPr>
          <w:p w14:paraId="70727D9C">
            <w:pPr>
              <w:keepNext w:val="0"/>
              <w:keepLines w:val="0"/>
              <w:widowControl/>
              <w:suppressLineNumbers w:val="0"/>
              <w:jc w:val="center"/>
              <w:rPr>
                <w:rFonts w:ascii="宋体" w:hAnsi="宋体" w:eastAsia="宋体"/>
                <w:color w:val="auto"/>
                <w:sz w:val="21"/>
                <w:szCs w:val="21"/>
                <w:highlight w:val="none"/>
              </w:rPr>
            </w:pPr>
          </w:p>
        </w:tc>
        <w:tc>
          <w:tcPr>
            <w:tcW w:w="686" w:type="pct"/>
            <w:noWrap w:val="0"/>
            <w:vAlign w:val="center"/>
          </w:tcPr>
          <w:p w14:paraId="3857E483">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2DADB5DE">
            <w:pPr>
              <w:jc w:val="center"/>
              <w:rPr>
                <w:rFonts w:ascii="宋体" w:hAnsi="宋体" w:eastAsia="宋体"/>
                <w:color w:val="auto"/>
                <w:sz w:val="21"/>
                <w:szCs w:val="21"/>
                <w:highlight w:val="none"/>
              </w:rPr>
            </w:pPr>
          </w:p>
        </w:tc>
        <w:tc>
          <w:tcPr>
            <w:tcW w:w="394" w:type="pct"/>
            <w:noWrap w:val="0"/>
            <w:vAlign w:val="center"/>
          </w:tcPr>
          <w:p w14:paraId="52B6F864">
            <w:pPr>
              <w:jc w:val="center"/>
              <w:rPr>
                <w:rFonts w:ascii="宋体" w:hAnsi="宋体" w:eastAsia="宋体"/>
                <w:color w:val="auto"/>
                <w:sz w:val="21"/>
                <w:szCs w:val="21"/>
                <w:highlight w:val="none"/>
              </w:rPr>
            </w:pPr>
          </w:p>
        </w:tc>
        <w:tc>
          <w:tcPr>
            <w:tcW w:w="394" w:type="pct"/>
            <w:noWrap w:val="0"/>
            <w:vAlign w:val="center"/>
          </w:tcPr>
          <w:p w14:paraId="4C3D6788">
            <w:pPr>
              <w:widowControl/>
              <w:spacing w:line="500" w:lineRule="exact"/>
              <w:jc w:val="center"/>
              <w:textAlignment w:val="center"/>
              <w:rPr>
                <w:rFonts w:hint="default" w:ascii="宋体" w:hAnsi="宋体" w:eastAsia="宋体"/>
                <w:color w:val="auto"/>
                <w:sz w:val="21"/>
                <w:szCs w:val="21"/>
                <w:highlight w:val="none"/>
                <w:lang w:val="en-US"/>
              </w:rPr>
            </w:pPr>
          </w:p>
        </w:tc>
        <w:tc>
          <w:tcPr>
            <w:tcW w:w="551" w:type="pct"/>
            <w:noWrap w:val="0"/>
            <w:vAlign w:val="top"/>
          </w:tcPr>
          <w:p w14:paraId="3651A679">
            <w:pPr>
              <w:rPr>
                <w:rFonts w:ascii="宋体" w:hAnsi="宋体" w:eastAsia="宋体"/>
                <w:color w:val="auto"/>
                <w:sz w:val="24"/>
                <w:highlight w:val="none"/>
              </w:rPr>
            </w:pPr>
          </w:p>
        </w:tc>
        <w:tc>
          <w:tcPr>
            <w:tcW w:w="551" w:type="pct"/>
            <w:noWrap w:val="0"/>
            <w:vAlign w:val="top"/>
          </w:tcPr>
          <w:p w14:paraId="425CA928">
            <w:pPr>
              <w:rPr>
                <w:rFonts w:ascii="宋体" w:hAnsi="宋体" w:eastAsia="宋体"/>
                <w:color w:val="auto"/>
                <w:sz w:val="24"/>
                <w:highlight w:val="none"/>
              </w:rPr>
            </w:pPr>
          </w:p>
        </w:tc>
        <w:tc>
          <w:tcPr>
            <w:tcW w:w="393" w:type="pct"/>
            <w:noWrap w:val="0"/>
            <w:vAlign w:val="top"/>
          </w:tcPr>
          <w:p w14:paraId="51DF4463">
            <w:pPr>
              <w:rPr>
                <w:rFonts w:ascii="宋体" w:hAnsi="宋体" w:eastAsia="宋体"/>
                <w:color w:val="auto"/>
                <w:sz w:val="24"/>
                <w:highlight w:val="none"/>
              </w:rPr>
            </w:pPr>
          </w:p>
        </w:tc>
      </w:tr>
      <w:tr w14:paraId="6AD7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center"/>
          </w:tcPr>
          <w:p w14:paraId="7DAE9AEA">
            <w:pPr>
              <w:jc w:val="center"/>
              <w:rPr>
                <w:rFonts w:hint="eastAsia" w:ascii="宋体" w:hAnsi="宋体" w:eastAsia="宋体"/>
                <w:color w:val="auto"/>
                <w:sz w:val="21"/>
                <w:szCs w:val="21"/>
                <w:highlight w:val="none"/>
                <w:lang w:eastAsia="zh-CN"/>
              </w:rPr>
            </w:pPr>
            <w:r>
              <w:rPr>
                <w:rFonts w:hint="eastAsia" w:ascii="宋体" w:hAnsi="宋体" w:eastAsia="宋体"/>
                <w:color w:val="auto"/>
                <w:sz w:val="21"/>
                <w:szCs w:val="21"/>
                <w:highlight w:val="none"/>
                <w:lang w:eastAsia="zh-CN"/>
              </w:rPr>
              <w:t>……</w:t>
            </w:r>
          </w:p>
        </w:tc>
        <w:tc>
          <w:tcPr>
            <w:tcW w:w="862" w:type="pct"/>
            <w:noWrap w:val="0"/>
            <w:vAlign w:val="center"/>
          </w:tcPr>
          <w:p w14:paraId="369CFF52">
            <w:pPr>
              <w:keepNext w:val="0"/>
              <w:keepLines w:val="0"/>
              <w:widowControl/>
              <w:suppressLineNumbers w:val="0"/>
              <w:jc w:val="center"/>
              <w:rPr>
                <w:rFonts w:ascii="宋体" w:hAnsi="宋体" w:eastAsia="宋体"/>
                <w:color w:val="auto"/>
                <w:sz w:val="21"/>
                <w:szCs w:val="21"/>
                <w:highlight w:val="none"/>
              </w:rPr>
            </w:pPr>
          </w:p>
        </w:tc>
        <w:tc>
          <w:tcPr>
            <w:tcW w:w="686" w:type="pct"/>
            <w:noWrap w:val="0"/>
            <w:vAlign w:val="center"/>
          </w:tcPr>
          <w:p w14:paraId="4442E8F6">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33D03EDB">
            <w:pPr>
              <w:jc w:val="center"/>
              <w:rPr>
                <w:rFonts w:ascii="宋体" w:hAnsi="宋体" w:eastAsia="宋体"/>
                <w:color w:val="auto"/>
                <w:sz w:val="21"/>
                <w:szCs w:val="21"/>
                <w:highlight w:val="none"/>
              </w:rPr>
            </w:pPr>
          </w:p>
        </w:tc>
        <w:tc>
          <w:tcPr>
            <w:tcW w:w="394" w:type="pct"/>
            <w:noWrap w:val="0"/>
            <w:vAlign w:val="center"/>
          </w:tcPr>
          <w:p w14:paraId="28B931F7">
            <w:pPr>
              <w:jc w:val="center"/>
              <w:rPr>
                <w:rFonts w:ascii="宋体" w:hAnsi="宋体" w:eastAsia="宋体"/>
                <w:color w:val="auto"/>
                <w:sz w:val="21"/>
                <w:szCs w:val="21"/>
                <w:highlight w:val="none"/>
              </w:rPr>
            </w:pPr>
          </w:p>
        </w:tc>
        <w:tc>
          <w:tcPr>
            <w:tcW w:w="394" w:type="pct"/>
            <w:noWrap w:val="0"/>
            <w:vAlign w:val="center"/>
          </w:tcPr>
          <w:p w14:paraId="156CCA6C">
            <w:pPr>
              <w:widowControl/>
              <w:spacing w:line="500" w:lineRule="exact"/>
              <w:jc w:val="center"/>
              <w:textAlignment w:val="center"/>
              <w:rPr>
                <w:rFonts w:hint="default" w:ascii="宋体" w:hAnsi="宋体" w:eastAsia="宋体"/>
                <w:color w:val="auto"/>
                <w:sz w:val="21"/>
                <w:szCs w:val="21"/>
                <w:highlight w:val="none"/>
                <w:lang w:val="en-US"/>
              </w:rPr>
            </w:pPr>
          </w:p>
        </w:tc>
        <w:tc>
          <w:tcPr>
            <w:tcW w:w="551" w:type="pct"/>
            <w:noWrap w:val="0"/>
            <w:vAlign w:val="top"/>
          </w:tcPr>
          <w:p w14:paraId="1EF63F8C">
            <w:pPr>
              <w:rPr>
                <w:rFonts w:ascii="宋体" w:hAnsi="宋体" w:eastAsia="宋体"/>
                <w:color w:val="auto"/>
                <w:sz w:val="24"/>
                <w:highlight w:val="none"/>
              </w:rPr>
            </w:pPr>
          </w:p>
        </w:tc>
        <w:tc>
          <w:tcPr>
            <w:tcW w:w="551" w:type="pct"/>
            <w:noWrap w:val="0"/>
            <w:vAlign w:val="top"/>
          </w:tcPr>
          <w:p w14:paraId="0E5452B7">
            <w:pPr>
              <w:rPr>
                <w:rFonts w:ascii="宋体" w:hAnsi="宋体" w:eastAsia="宋体"/>
                <w:color w:val="auto"/>
                <w:sz w:val="24"/>
                <w:highlight w:val="none"/>
              </w:rPr>
            </w:pPr>
          </w:p>
        </w:tc>
        <w:tc>
          <w:tcPr>
            <w:tcW w:w="393" w:type="pct"/>
            <w:noWrap w:val="0"/>
            <w:vAlign w:val="top"/>
          </w:tcPr>
          <w:p w14:paraId="6614EC7D">
            <w:pPr>
              <w:rPr>
                <w:rFonts w:ascii="宋体" w:hAnsi="宋体" w:eastAsia="宋体"/>
                <w:color w:val="auto"/>
                <w:sz w:val="24"/>
                <w:highlight w:val="none"/>
              </w:rPr>
            </w:pPr>
          </w:p>
        </w:tc>
      </w:tr>
      <w:tr w14:paraId="4678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center"/>
          </w:tcPr>
          <w:p w14:paraId="7B501B53">
            <w:pPr>
              <w:jc w:val="center"/>
              <w:rPr>
                <w:rFonts w:hint="eastAsia" w:ascii="宋体" w:hAnsi="宋体" w:eastAsia="宋体"/>
                <w:color w:val="auto"/>
                <w:sz w:val="21"/>
                <w:szCs w:val="21"/>
                <w:highlight w:val="none"/>
              </w:rPr>
            </w:pPr>
          </w:p>
        </w:tc>
        <w:tc>
          <w:tcPr>
            <w:tcW w:w="862" w:type="pct"/>
            <w:noWrap w:val="0"/>
            <w:vAlign w:val="center"/>
          </w:tcPr>
          <w:p w14:paraId="3F35B6BB">
            <w:pPr>
              <w:keepNext w:val="0"/>
              <w:keepLines w:val="0"/>
              <w:widowControl/>
              <w:suppressLineNumbers w:val="0"/>
              <w:jc w:val="center"/>
              <w:rPr>
                <w:rFonts w:ascii="宋体" w:hAnsi="宋体" w:eastAsia="宋体"/>
                <w:color w:val="auto"/>
                <w:sz w:val="21"/>
                <w:szCs w:val="21"/>
                <w:highlight w:val="none"/>
              </w:rPr>
            </w:pPr>
          </w:p>
        </w:tc>
        <w:tc>
          <w:tcPr>
            <w:tcW w:w="686" w:type="pct"/>
            <w:noWrap w:val="0"/>
            <w:vAlign w:val="center"/>
          </w:tcPr>
          <w:p w14:paraId="3FA6DF3C">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09B2F6BE">
            <w:pPr>
              <w:jc w:val="center"/>
              <w:rPr>
                <w:rFonts w:ascii="宋体" w:hAnsi="宋体" w:eastAsia="宋体"/>
                <w:color w:val="auto"/>
                <w:sz w:val="21"/>
                <w:szCs w:val="21"/>
                <w:highlight w:val="none"/>
              </w:rPr>
            </w:pPr>
          </w:p>
        </w:tc>
        <w:tc>
          <w:tcPr>
            <w:tcW w:w="394" w:type="pct"/>
            <w:noWrap w:val="0"/>
            <w:vAlign w:val="center"/>
          </w:tcPr>
          <w:p w14:paraId="3F739CF8">
            <w:pPr>
              <w:jc w:val="center"/>
              <w:rPr>
                <w:rFonts w:ascii="宋体" w:hAnsi="宋体" w:eastAsia="宋体"/>
                <w:color w:val="auto"/>
                <w:sz w:val="21"/>
                <w:szCs w:val="21"/>
                <w:highlight w:val="none"/>
              </w:rPr>
            </w:pPr>
          </w:p>
        </w:tc>
        <w:tc>
          <w:tcPr>
            <w:tcW w:w="394" w:type="pct"/>
            <w:noWrap w:val="0"/>
            <w:vAlign w:val="center"/>
          </w:tcPr>
          <w:p w14:paraId="0005F826">
            <w:pPr>
              <w:widowControl/>
              <w:spacing w:line="500" w:lineRule="exact"/>
              <w:jc w:val="center"/>
              <w:textAlignment w:val="center"/>
              <w:rPr>
                <w:rFonts w:hint="default" w:ascii="宋体" w:hAnsi="宋体" w:eastAsia="宋体"/>
                <w:color w:val="auto"/>
                <w:sz w:val="21"/>
                <w:szCs w:val="21"/>
                <w:highlight w:val="none"/>
                <w:lang w:val="en-US"/>
              </w:rPr>
            </w:pPr>
          </w:p>
        </w:tc>
        <w:tc>
          <w:tcPr>
            <w:tcW w:w="551" w:type="pct"/>
            <w:noWrap w:val="0"/>
            <w:vAlign w:val="top"/>
          </w:tcPr>
          <w:p w14:paraId="12AEEC13">
            <w:pPr>
              <w:rPr>
                <w:rFonts w:ascii="宋体" w:hAnsi="宋体" w:eastAsia="宋体"/>
                <w:color w:val="auto"/>
                <w:sz w:val="24"/>
                <w:highlight w:val="none"/>
              </w:rPr>
            </w:pPr>
          </w:p>
        </w:tc>
        <w:tc>
          <w:tcPr>
            <w:tcW w:w="551" w:type="pct"/>
            <w:noWrap w:val="0"/>
            <w:vAlign w:val="top"/>
          </w:tcPr>
          <w:p w14:paraId="4F0378AA">
            <w:pPr>
              <w:rPr>
                <w:rFonts w:ascii="宋体" w:hAnsi="宋体" w:eastAsia="宋体"/>
                <w:color w:val="auto"/>
                <w:sz w:val="24"/>
                <w:highlight w:val="none"/>
              </w:rPr>
            </w:pPr>
          </w:p>
        </w:tc>
        <w:tc>
          <w:tcPr>
            <w:tcW w:w="393" w:type="pct"/>
            <w:noWrap w:val="0"/>
            <w:vAlign w:val="top"/>
          </w:tcPr>
          <w:p w14:paraId="2BC39766">
            <w:pPr>
              <w:rPr>
                <w:rFonts w:ascii="宋体" w:hAnsi="宋体" w:eastAsia="宋体"/>
                <w:color w:val="auto"/>
                <w:sz w:val="24"/>
                <w:highlight w:val="none"/>
              </w:rPr>
            </w:pPr>
          </w:p>
        </w:tc>
      </w:tr>
      <w:tr w14:paraId="466D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center"/>
          </w:tcPr>
          <w:p w14:paraId="5B645A16">
            <w:pPr>
              <w:jc w:val="center"/>
              <w:rPr>
                <w:rFonts w:hint="eastAsia" w:ascii="宋体" w:hAnsi="宋体" w:eastAsia="宋体"/>
                <w:color w:val="auto"/>
                <w:sz w:val="21"/>
                <w:szCs w:val="21"/>
                <w:highlight w:val="none"/>
              </w:rPr>
            </w:pPr>
          </w:p>
        </w:tc>
        <w:tc>
          <w:tcPr>
            <w:tcW w:w="862" w:type="pct"/>
            <w:noWrap w:val="0"/>
            <w:vAlign w:val="center"/>
          </w:tcPr>
          <w:p w14:paraId="106BAE0A">
            <w:pPr>
              <w:keepNext w:val="0"/>
              <w:keepLines w:val="0"/>
              <w:widowControl/>
              <w:suppressLineNumbers w:val="0"/>
              <w:jc w:val="center"/>
              <w:rPr>
                <w:rFonts w:ascii="宋体" w:hAnsi="宋体" w:eastAsia="宋体"/>
                <w:color w:val="auto"/>
                <w:sz w:val="21"/>
                <w:szCs w:val="21"/>
                <w:highlight w:val="none"/>
              </w:rPr>
            </w:pPr>
          </w:p>
        </w:tc>
        <w:tc>
          <w:tcPr>
            <w:tcW w:w="686" w:type="pct"/>
            <w:noWrap w:val="0"/>
            <w:vAlign w:val="center"/>
          </w:tcPr>
          <w:p w14:paraId="168C25F1">
            <w:pPr>
              <w:widowControl/>
              <w:spacing w:line="500" w:lineRule="exact"/>
              <w:jc w:val="center"/>
              <w:textAlignment w:val="center"/>
              <w:rPr>
                <w:rFonts w:ascii="宋体" w:hAnsi="宋体" w:eastAsia="宋体"/>
                <w:color w:val="auto"/>
                <w:sz w:val="21"/>
                <w:szCs w:val="21"/>
                <w:highlight w:val="none"/>
              </w:rPr>
            </w:pPr>
          </w:p>
        </w:tc>
        <w:tc>
          <w:tcPr>
            <w:tcW w:w="772" w:type="pct"/>
            <w:noWrap w:val="0"/>
            <w:vAlign w:val="center"/>
          </w:tcPr>
          <w:p w14:paraId="0C89F95F">
            <w:pPr>
              <w:jc w:val="center"/>
              <w:rPr>
                <w:rFonts w:ascii="宋体" w:hAnsi="宋体" w:eastAsia="宋体"/>
                <w:color w:val="auto"/>
                <w:sz w:val="21"/>
                <w:szCs w:val="21"/>
                <w:highlight w:val="none"/>
              </w:rPr>
            </w:pPr>
          </w:p>
        </w:tc>
        <w:tc>
          <w:tcPr>
            <w:tcW w:w="394" w:type="pct"/>
            <w:noWrap w:val="0"/>
            <w:vAlign w:val="center"/>
          </w:tcPr>
          <w:p w14:paraId="3EAFEE5A">
            <w:pPr>
              <w:jc w:val="center"/>
              <w:rPr>
                <w:rFonts w:ascii="宋体" w:hAnsi="宋体" w:eastAsia="宋体"/>
                <w:color w:val="auto"/>
                <w:sz w:val="21"/>
                <w:szCs w:val="21"/>
                <w:highlight w:val="none"/>
              </w:rPr>
            </w:pPr>
          </w:p>
        </w:tc>
        <w:tc>
          <w:tcPr>
            <w:tcW w:w="394" w:type="pct"/>
            <w:noWrap w:val="0"/>
            <w:vAlign w:val="center"/>
          </w:tcPr>
          <w:p w14:paraId="0B3741DD">
            <w:pPr>
              <w:widowControl/>
              <w:spacing w:line="500" w:lineRule="exact"/>
              <w:jc w:val="center"/>
              <w:textAlignment w:val="center"/>
              <w:rPr>
                <w:rFonts w:hint="default" w:ascii="宋体" w:hAnsi="宋体" w:eastAsia="宋体"/>
                <w:color w:val="auto"/>
                <w:sz w:val="21"/>
                <w:szCs w:val="21"/>
                <w:highlight w:val="none"/>
                <w:lang w:val="en-US"/>
              </w:rPr>
            </w:pPr>
          </w:p>
        </w:tc>
        <w:tc>
          <w:tcPr>
            <w:tcW w:w="551" w:type="pct"/>
            <w:noWrap w:val="0"/>
            <w:vAlign w:val="top"/>
          </w:tcPr>
          <w:p w14:paraId="7351D008">
            <w:pPr>
              <w:rPr>
                <w:rFonts w:ascii="宋体" w:hAnsi="宋体" w:eastAsia="宋体"/>
                <w:color w:val="auto"/>
                <w:sz w:val="24"/>
                <w:highlight w:val="none"/>
              </w:rPr>
            </w:pPr>
          </w:p>
        </w:tc>
        <w:tc>
          <w:tcPr>
            <w:tcW w:w="551" w:type="pct"/>
            <w:noWrap w:val="0"/>
            <w:vAlign w:val="top"/>
          </w:tcPr>
          <w:p w14:paraId="17598300">
            <w:pPr>
              <w:rPr>
                <w:rFonts w:ascii="宋体" w:hAnsi="宋体" w:eastAsia="宋体"/>
                <w:color w:val="auto"/>
                <w:sz w:val="24"/>
                <w:highlight w:val="none"/>
              </w:rPr>
            </w:pPr>
          </w:p>
        </w:tc>
        <w:tc>
          <w:tcPr>
            <w:tcW w:w="393" w:type="pct"/>
            <w:noWrap w:val="0"/>
            <w:vAlign w:val="top"/>
          </w:tcPr>
          <w:p w14:paraId="3261699E">
            <w:pPr>
              <w:rPr>
                <w:rFonts w:ascii="宋体" w:hAnsi="宋体" w:eastAsia="宋体"/>
                <w:color w:val="auto"/>
                <w:sz w:val="24"/>
                <w:highlight w:val="none"/>
              </w:rPr>
            </w:pPr>
          </w:p>
        </w:tc>
      </w:tr>
      <w:tr w14:paraId="5E29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29779074">
            <w:pPr>
              <w:jc w:val="center"/>
              <w:rPr>
                <w:rFonts w:ascii="宋体" w:hAnsi="宋体" w:eastAsia="宋体"/>
                <w:color w:val="auto"/>
                <w:sz w:val="24"/>
                <w:highlight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944" w:type="pct"/>
            <w:gridSpan w:val="2"/>
            <w:noWrap w:val="0"/>
            <w:vAlign w:val="top"/>
          </w:tcPr>
          <w:p w14:paraId="02717F6D">
            <w:pPr>
              <w:rPr>
                <w:rFonts w:ascii="宋体" w:hAnsi="宋体" w:eastAsia="宋体"/>
                <w:color w:val="auto"/>
                <w:sz w:val="24"/>
                <w:highlight w:val="none"/>
              </w:rPr>
            </w:pPr>
          </w:p>
        </w:tc>
      </w:tr>
    </w:tbl>
    <w:p w14:paraId="79D48364">
      <w:pPr>
        <w:pStyle w:val="47"/>
        <w:jc w:val="both"/>
        <w:rPr>
          <w:rFonts w:hint="default" w:ascii="宋体" w:hAnsi="宋体" w:eastAsia="宋体"/>
          <w:b/>
          <w:bCs/>
          <w:i/>
          <w:iCs/>
          <w:color w:val="auto"/>
          <w:highlight w:val="none"/>
          <w:lang w:val="en-US" w:eastAsia="zh-CN"/>
        </w:rPr>
      </w:pPr>
      <w:r>
        <w:rPr>
          <w:rFonts w:hint="eastAsia" w:ascii="宋体" w:hAnsi="宋体" w:eastAsia="宋体"/>
          <w:b/>
          <w:bCs/>
          <w:color w:val="auto"/>
          <w:highlight w:val="none"/>
          <w:lang w:val="en-US" w:eastAsia="zh-CN"/>
        </w:rPr>
        <w:t>5-2服务部分</w:t>
      </w:r>
      <w:r>
        <w:rPr>
          <w:rFonts w:hint="eastAsia" w:ascii="宋体" w:hAnsi="宋体" w:eastAsia="宋体"/>
          <w:b/>
          <w:bCs/>
          <w:i/>
          <w:iCs/>
          <w:color w:val="auto"/>
          <w:highlight w:val="none"/>
        </w:rPr>
        <w:t>（仅供参考，投标人可自行制作格式）</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3027"/>
        <w:gridCol w:w="1321"/>
        <w:gridCol w:w="1653"/>
        <w:gridCol w:w="1524"/>
      </w:tblGrid>
      <w:tr w14:paraId="200B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4CF977B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noWrap w:val="0"/>
            <w:vAlign w:val="center"/>
          </w:tcPr>
          <w:p w14:paraId="7F4B082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noWrap w:val="0"/>
            <w:vAlign w:val="center"/>
          </w:tcPr>
          <w:p w14:paraId="7FDE844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noWrap w:val="0"/>
            <w:vAlign w:val="center"/>
          </w:tcPr>
          <w:p w14:paraId="2C8D607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19" w:type="pct"/>
            <w:noWrap w:val="0"/>
            <w:vAlign w:val="center"/>
          </w:tcPr>
          <w:p w14:paraId="536C808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小计（元）</w:t>
            </w:r>
          </w:p>
        </w:tc>
      </w:tr>
      <w:tr w14:paraId="75FF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133B17B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noWrap w:val="0"/>
            <w:vAlign w:val="center"/>
          </w:tcPr>
          <w:p w14:paraId="581EFF4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1D5C88D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376FA84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20CFD4A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3354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1CD693F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noWrap w:val="0"/>
            <w:vAlign w:val="center"/>
          </w:tcPr>
          <w:p w14:paraId="6E4F9CB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7BB8675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05FA8B5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3F0DD87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42AF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1F378E5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noWrap w:val="0"/>
            <w:vAlign w:val="center"/>
          </w:tcPr>
          <w:p w14:paraId="657DDFF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68B62C3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2880C03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6606CD40">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551B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43D8D35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ascii="宋体" w:hAnsi="宋体" w:eastAsia="宋体"/>
                <w:color w:val="auto"/>
                <w:sz w:val="24"/>
                <w:highlight w:val="none"/>
              </w:rPr>
              <w:t>…</w:t>
            </w:r>
          </w:p>
        </w:tc>
        <w:tc>
          <w:tcPr>
            <w:tcW w:w="1824" w:type="pct"/>
            <w:noWrap w:val="0"/>
            <w:vAlign w:val="center"/>
          </w:tcPr>
          <w:p w14:paraId="6B8D8A7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96" w:type="pct"/>
            <w:noWrap w:val="0"/>
            <w:vAlign w:val="center"/>
          </w:tcPr>
          <w:p w14:paraId="197D6F0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96" w:type="pct"/>
            <w:noWrap w:val="0"/>
            <w:vAlign w:val="center"/>
          </w:tcPr>
          <w:p w14:paraId="47B71CA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919" w:type="pct"/>
            <w:noWrap w:val="0"/>
            <w:vAlign w:val="center"/>
          </w:tcPr>
          <w:p w14:paraId="538B14B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46A1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73967E9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19" w:type="pct"/>
            <w:noWrap w:val="0"/>
            <w:vAlign w:val="center"/>
          </w:tcPr>
          <w:p w14:paraId="12EB51C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67D2E891">
      <w:pPr>
        <w:spacing w:line="360" w:lineRule="auto"/>
        <w:ind w:firstLine="435"/>
        <w:jc w:val="right"/>
        <w:rPr>
          <w:rFonts w:hint="eastAsia" w:ascii="宋体" w:hAnsi="宋体" w:eastAsia="宋体"/>
          <w:b/>
          <w:bCs/>
          <w:color w:val="auto"/>
          <w:highlight w:val="none"/>
          <w:lang w:val="en-US" w:eastAsia="zh-CN"/>
        </w:rPr>
      </w:pPr>
      <w:r>
        <w:rPr>
          <w:rFonts w:hint="eastAsia" w:ascii="宋体" w:hAnsi="宋体" w:eastAsia="宋体"/>
          <w:bCs/>
          <w:color w:val="auto"/>
          <w:sz w:val="24"/>
          <w:szCs w:val="28"/>
          <w:highlight w:val="none"/>
          <w:u w:val="single"/>
        </w:rPr>
        <w:t xml:space="preserve">       </w:t>
      </w:r>
    </w:p>
    <w:p w14:paraId="4ED65732">
      <w:pPr>
        <w:pStyle w:val="47"/>
        <w:jc w:val="both"/>
        <w:rPr>
          <w:rFonts w:hint="eastAsia" w:ascii="宋体" w:hAnsi="宋体" w:eastAsia="宋体"/>
          <w:b/>
          <w:bCs/>
          <w:color w:val="auto"/>
          <w:highlight w:val="none"/>
          <w:lang w:val="en-US" w:eastAsia="zh-CN"/>
        </w:rPr>
      </w:pPr>
      <w:r>
        <w:rPr>
          <w:rFonts w:hint="eastAsia" w:ascii="宋体" w:hAnsi="宋体" w:eastAsia="宋体"/>
          <w:b/>
          <w:bCs/>
          <w:color w:val="auto"/>
          <w:highlight w:val="none"/>
          <w:lang w:val="en-US" w:eastAsia="zh-CN"/>
        </w:rPr>
        <w:t>5-3 符合本国产品标准的产品成本之和占比</w:t>
      </w:r>
    </w:p>
    <w:tbl>
      <w:tblPr>
        <w:tblStyle w:val="28"/>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8"/>
        <w:gridCol w:w="1766"/>
      </w:tblGrid>
      <w:tr w14:paraId="7A71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588" w:type="dxa"/>
            <w:noWrap w:val="0"/>
            <w:vAlign w:val="top"/>
          </w:tcPr>
          <w:p w14:paraId="00B91F78">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rPr>
              <w:t>本公司（单位）提供的符合本国产品标准的产品成本之和占提供的全部产品成本之和的比例</w:t>
            </w:r>
          </w:p>
        </w:tc>
        <w:tc>
          <w:tcPr>
            <w:tcW w:w="1766" w:type="dxa"/>
            <w:noWrap w:val="0"/>
            <w:vAlign w:val="top"/>
          </w:tcPr>
          <w:p w14:paraId="6B2C2E93">
            <w:pPr>
              <w:spacing w:line="360" w:lineRule="auto"/>
              <w:rPr>
                <w:rFonts w:hint="eastAsia" w:ascii="宋体" w:hAnsi="宋体" w:eastAsia="宋体" w:cs="宋体"/>
                <w:color w:val="auto"/>
                <w:sz w:val="24"/>
                <w:szCs w:val="24"/>
                <w:highlight w:val="none"/>
                <w:u w:val="single"/>
                <w:lang w:val="en-US" w:eastAsia="zh-CN"/>
              </w:rPr>
            </w:pPr>
          </w:p>
          <w:p w14:paraId="1ED9CE43">
            <w:pPr>
              <w:spacing w:line="360" w:lineRule="auto"/>
              <w:rPr>
                <w:rFonts w:hint="eastAsia" w:ascii="宋体" w:hAnsi="宋体" w:eastAsia="宋体"/>
                <w:b/>
                <w:bCs/>
                <w:color w:val="auto"/>
                <w:sz w:val="21"/>
                <w:szCs w:val="21"/>
                <w:highlight w:val="none"/>
                <w:vertAlign w:val="baseline"/>
                <w:lang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42AA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trPr>
        <w:tc>
          <w:tcPr>
            <w:tcW w:w="9354" w:type="dxa"/>
            <w:gridSpan w:val="2"/>
            <w:noWrap w:val="0"/>
            <w:vAlign w:val="top"/>
          </w:tcPr>
          <w:p w14:paraId="1C998F19">
            <w:pPr>
              <w:tabs>
                <w:tab w:val="left" w:pos="4620"/>
              </w:tabs>
              <w:spacing w:line="360" w:lineRule="auto"/>
              <w:jc w:val="left"/>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6BE1C440">
            <w:pPr>
              <w:tabs>
                <w:tab w:val="left" w:pos="4620"/>
              </w:tabs>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1.投标人为该采购项目或者采购包提供的符合本国产品标准的产品成本之和占该投标人提供的全部产品成本之和的比例达到80%以上时，对该投标人提供的全部产品给予价格评审优惠。</w:t>
            </w:r>
          </w:p>
          <w:p w14:paraId="241EB683">
            <w:pPr>
              <w:spacing w:line="360" w:lineRule="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61530A30">
            <w:pPr>
              <w:spacing w:line="360" w:lineRule="auto"/>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w:t>
            </w:r>
            <w:r>
              <w:rPr>
                <w:rFonts w:hint="eastAsia" w:ascii="宋体" w:hAnsi="宋体" w:eastAsia="宋体" w:cs="宋体"/>
                <w:b w:val="0"/>
                <w:bCs/>
                <w:color w:val="auto"/>
                <w:kern w:val="2"/>
                <w:sz w:val="21"/>
                <w:szCs w:val="21"/>
                <w:highlight w:val="none"/>
                <w:lang w:val="en-US" w:eastAsia="zh-CN" w:bidi="ar"/>
              </w:rPr>
              <w:t>上表中全部产品成本之和是指表5-1和表5-2包含的全部货物、服务产品成本之和。</w:t>
            </w:r>
          </w:p>
        </w:tc>
      </w:tr>
    </w:tbl>
    <w:p w14:paraId="39658003">
      <w:pPr>
        <w:spacing w:line="360" w:lineRule="auto"/>
        <w:rPr>
          <w:rFonts w:hint="eastAsia" w:ascii="宋体" w:hAnsi="宋体" w:eastAsia="宋体"/>
          <w:b/>
          <w:bCs/>
          <w:color w:val="auto"/>
          <w:sz w:val="21"/>
          <w:szCs w:val="21"/>
          <w:highlight w:val="none"/>
          <w:lang w:eastAsia="zh-CN"/>
        </w:rPr>
      </w:pPr>
    </w:p>
    <w:p w14:paraId="47CE130F">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DD2932">
      <w:pPr>
        <w:tabs>
          <w:tab w:val="left" w:pos="630"/>
        </w:tabs>
        <w:spacing w:line="360" w:lineRule="auto"/>
        <w:ind w:firstLine="4800" w:firstLineChars="2000"/>
        <w:jc w:val="center"/>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1C89EDB">
      <w:pPr>
        <w:spacing w:line="360" w:lineRule="auto"/>
        <w:rPr>
          <w:rFonts w:hint="eastAsia" w:ascii="宋体" w:hAnsi="宋体" w:eastAsia="宋体"/>
          <w:b/>
          <w:bCs/>
          <w:color w:val="auto"/>
          <w:sz w:val="21"/>
          <w:szCs w:val="21"/>
          <w:highlight w:val="none"/>
          <w:lang w:eastAsia="zh-CN"/>
        </w:rPr>
      </w:pPr>
      <w:r>
        <w:rPr>
          <w:rFonts w:hint="eastAsia" w:ascii="宋体" w:hAnsi="宋体" w:eastAsia="宋体"/>
          <w:b/>
          <w:bCs/>
          <w:color w:val="auto"/>
          <w:sz w:val="21"/>
          <w:szCs w:val="21"/>
          <w:highlight w:val="none"/>
          <w:lang w:eastAsia="zh-CN"/>
        </w:rPr>
        <w:t>注：</w:t>
      </w:r>
    </w:p>
    <w:p w14:paraId="2CDA2D7A">
      <w:pPr>
        <w:spacing w:line="360" w:lineRule="auto"/>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eastAsia="zh-CN"/>
        </w:rPr>
        <w:t>1.表5-1</w:t>
      </w:r>
      <w:r>
        <w:rPr>
          <w:rFonts w:hint="eastAsia" w:ascii="宋体" w:hAnsi="宋体" w:eastAsia="宋体"/>
          <w:color w:val="auto"/>
          <w:sz w:val="21"/>
          <w:szCs w:val="21"/>
          <w:highlight w:val="none"/>
        </w:rPr>
        <w:t>中须明确列出所投产品的货物名称、品牌、型号规格、原产地及生产厂商，否则可能导致</w:t>
      </w:r>
      <w:r>
        <w:rPr>
          <w:rFonts w:hint="eastAsia" w:ascii="宋体" w:hAnsi="宋体" w:eastAsia="宋体"/>
          <w:b/>
          <w:bCs/>
          <w:color w:val="auto"/>
          <w:sz w:val="21"/>
          <w:szCs w:val="21"/>
          <w:highlight w:val="none"/>
        </w:rPr>
        <w:t>投标无效</w:t>
      </w:r>
      <w:r>
        <w:rPr>
          <w:rFonts w:hint="eastAsia" w:ascii="宋体" w:hAnsi="宋体" w:eastAsia="宋体"/>
          <w:b/>
          <w:bCs/>
          <w:color w:val="auto"/>
          <w:sz w:val="21"/>
          <w:szCs w:val="21"/>
          <w:highlight w:val="none"/>
          <w:lang w:eastAsia="zh-CN"/>
        </w:rPr>
        <w:t>。</w:t>
      </w:r>
    </w:p>
    <w:p w14:paraId="4CFF3D1F">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lang w:val="en-US" w:eastAsia="zh-CN"/>
        </w:rPr>
        <w:t>2.上述报价为投标人完成本项目内容的全部费用（总报价为表5-1和表5-2合计金额之和），</w:t>
      </w:r>
      <w:r>
        <w:rPr>
          <w:rFonts w:hint="eastAsia" w:ascii="宋体" w:hAnsi="宋体" w:eastAsia="宋体"/>
          <w:color w:val="auto"/>
          <w:sz w:val="21"/>
          <w:szCs w:val="21"/>
          <w:highlight w:val="none"/>
        </w:rPr>
        <w:t>如有漏项或缺项，</w:t>
      </w:r>
      <w:r>
        <w:rPr>
          <w:rFonts w:hint="eastAsia" w:ascii="宋体" w:hAnsi="宋体" w:eastAsia="宋体"/>
          <w:color w:val="auto"/>
          <w:sz w:val="21"/>
          <w:szCs w:val="21"/>
          <w:highlight w:val="none"/>
          <w:lang w:val="en-US" w:eastAsia="zh-CN"/>
        </w:rPr>
        <w:t>自行</w:t>
      </w:r>
      <w:r>
        <w:rPr>
          <w:rFonts w:hint="eastAsia" w:ascii="宋体" w:hAnsi="宋体" w:eastAsia="宋体"/>
          <w:color w:val="auto"/>
          <w:sz w:val="21"/>
          <w:szCs w:val="21"/>
          <w:highlight w:val="none"/>
        </w:rPr>
        <w:t>承担全部责任。</w:t>
      </w:r>
    </w:p>
    <w:p w14:paraId="1147950F">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345537C">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307" w:name="_Toc1869"/>
      <w:bookmarkStart w:id="308" w:name="_Toc22741"/>
      <w:bookmarkStart w:id="309" w:name="_Toc11940"/>
      <w:bookmarkStart w:id="310" w:name="_Toc31187"/>
      <w:bookmarkStart w:id="311" w:name="_Toc20329"/>
      <w:r>
        <w:rPr>
          <w:rFonts w:hint="eastAsia" w:asciiTheme="minorEastAsia" w:hAnsiTheme="minorEastAsia" w:eastAsiaTheme="minorEastAsia"/>
          <w:b/>
          <w:color w:val="auto"/>
          <w:sz w:val="24"/>
          <w:highlight w:val="none"/>
        </w:rPr>
        <w:t>六、投标响应表</w:t>
      </w:r>
      <w:bookmarkEnd w:id="307"/>
      <w:bookmarkEnd w:id="308"/>
      <w:bookmarkEnd w:id="309"/>
      <w:bookmarkEnd w:id="310"/>
      <w:bookmarkEnd w:id="311"/>
    </w:p>
    <w:p w14:paraId="349EB620">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866"/>
        <w:gridCol w:w="2432"/>
        <w:gridCol w:w="2506"/>
        <w:gridCol w:w="788"/>
      </w:tblGrid>
      <w:tr w14:paraId="1269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7476B3B7">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0DE06833">
            <w:pPr>
              <w:pStyle w:val="14"/>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D5B19A9">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178AAF5C">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13C07E31">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1E3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3D2D50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498FD6E5">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5FE3F476">
            <w:pPr>
              <w:jc w:val="center"/>
              <w:rPr>
                <w:rFonts w:asciiTheme="minorEastAsia" w:hAnsiTheme="minorEastAsia" w:eastAsiaTheme="minorEastAsia"/>
                <w:color w:val="auto"/>
                <w:sz w:val="24"/>
                <w:highlight w:val="none"/>
              </w:rPr>
            </w:pPr>
          </w:p>
        </w:tc>
        <w:tc>
          <w:tcPr>
            <w:tcW w:w="1510" w:type="pct"/>
            <w:vAlign w:val="center"/>
          </w:tcPr>
          <w:p w14:paraId="016D97C4">
            <w:pPr>
              <w:jc w:val="center"/>
              <w:rPr>
                <w:rFonts w:asciiTheme="minorEastAsia" w:hAnsiTheme="minorEastAsia" w:eastAsiaTheme="minorEastAsia"/>
                <w:color w:val="auto"/>
                <w:sz w:val="24"/>
                <w:highlight w:val="none"/>
              </w:rPr>
            </w:pPr>
          </w:p>
        </w:tc>
        <w:tc>
          <w:tcPr>
            <w:tcW w:w="475" w:type="pct"/>
            <w:vAlign w:val="center"/>
          </w:tcPr>
          <w:p w14:paraId="157C5827">
            <w:pPr>
              <w:jc w:val="center"/>
              <w:rPr>
                <w:rFonts w:asciiTheme="minorEastAsia" w:hAnsiTheme="minorEastAsia" w:eastAsiaTheme="minorEastAsia"/>
                <w:color w:val="auto"/>
                <w:sz w:val="24"/>
                <w:highlight w:val="none"/>
              </w:rPr>
            </w:pPr>
          </w:p>
        </w:tc>
      </w:tr>
      <w:tr w14:paraId="0500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991DA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8E26934">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1465" w:type="pct"/>
            <w:vAlign w:val="center"/>
          </w:tcPr>
          <w:p w14:paraId="507AED41">
            <w:pPr>
              <w:jc w:val="center"/>
              <w:rPr>
                <w:rFonts w:asciiTheme="minorEastAsia" w:hAnsiTheme="minorEastAsia" w:eastAsiaTheme="minorEastAsia"/>
                <w:color w:val="auto"/>
                <w:sz w:val="24"/>
                <w:highlight w:val="none"/>
              </w:rPr>
            </w:pPr>
          </w:p>
        </w:tc>
        <w:tc>
          <w:tcPr>
            <w:tcW w:w="1510" w:type="pct"/>
            <w:vAlign w:val="center"/>
          </w:tcPr>
          <w:p w14:paraId="3220CF12">
            <w:pPr>
              <w:jc w:val="center"/>
              <w:rPr>
                <w:rFonts w:asciiTheme="minorEastAsia" w:hAnsiTheme="minorEastAsia" w:eastAsiaTheme="minorEastAsia"/>
                <w:color w:val="auto"/>
                <w:sz w:val="24"/>
                <w:highlight w:val="none"/>
              </w:rPr>
            </w:pPr>
          </w:p>
        </w:tc>
        <w:tc>
          <w:tcPr>
            <w:tcW w:w="475" w:type="pct"/>
            <w:vAlign w:val="center"/>
          </w:tcPr>
          <w:p w14:paraId="65D160FD">
            <w:pPr>
              <w:jc w:val="center"/>
              <w:rPr>
                <w:rFonts w:asciiTheme="minorEastAsia" w:hAnsiTheme="minorEastAsia" w:eastAsiaTheme="minorEastAsia"/>
                <w:color w:val="auto"/>
                <w:sz w:val="24"/>
                <w:highlight w:val="none"/>
              </w:rPr>
            </w:pPr>
          </w:p>
        </w:tc>
      </w:tr>
      <w:tr w14:paraId="41F8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D7AE3E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6A55F0F">
            <w:pPr>
              <w:jc w:val="center"/>
              <w:rPr>
                <w:rFonts w:ascii="宋体" w:hAnsi="宋体" w:eastAsia="宋体"/>
                <w:color w:val="auto"/>
                <w:sz w:val="24"/>
                <w:highlight w:val="none"/>
              </w:rPr>
            </w:pPr>
            <w:r>
              <w:rPr>
                <w:rFonts w:hint="eastAsia" w:ascii="宋体" w:hAnsi="宋体" w:eastAsia="宋体"/>
                <w:color w:val="auto"/>
                <w:sz w:val="24"/>
                <w:highlight w:val="none"/>
              </w:rPr>
              <w:t>供货及安装期限</w:t>
            </w:r>
          </w:p>
        </w:tc>
        <w:tc>
          <w:tcPr>
            <w:tcW w:w="1465" w:type="pct"/>
            <w:vAlign w:val="center"/>
          </w:tcPr>
          <w:p w14:paraId="099431CB">
            <w:pPr>
              <w:jc w:val="center"/>
              <w:rPr>
                <w:rFonts w:asciiTheme="minorEastAsia" w:hAnsiTheme="minorEastAsia" w:eastAsiaTheme="minorEastAsia"/>
                <w:color w:val="auto"/>
                <w:sz w:val="24"/>
                <w:highlight w:val="none"/>
              </w:rPr>
            </w:pPr>
          </w:p>
        </w:tc>
        <w:tc>
          <w:tcPr>
            <w:tcW w:w="1510" w:type="pct"/>
            <w:vAlign w:val="center"/>
          </w:tcPr>
          <w:p w14:paraId="45A35710">
            <w:pPr>
              <w:pStyle w:val="47"/>
              <w:jc w:val="center"/>
              <w:rPr>
                <w:rFonts w:asciiTheme="minorEastAsia" w:hAnsiTheme="minorEastAsia" w:eastAsiaTheme="minorEastAsia"/>
                <w:color w:val="auto"/>
                <w:highlight w:val="none"/>
              </w:rPr>
            </w:pPr>
          </w:p>
        </w:tc>
        <w:tc>
          <w:tcPr>
            <w:tcW w:w="475" w:type="pct"/>
            <w:vAlign w:val="center"/>
          </w:tcPr>
          <w:p w14:paraId="76865EF5">
            <w:pPr>
              <w:jc w:val="center"/>
              <w:rPr>
                <w:rFonts w:asciiTheme="minorEastAsia" w:hAnsiTheme="minorEastAsia" w:eastAsiaTheme="minorEastAsia"/>
                <w:color w:val="auto"/>
                <w:sz w:val="24"/>
                <w:highlight w:val="none"/>
              </w:rPr>
            </w:pPr>
          </w:p>
        </w:tc>
      </w:tr>
      <w:tr w14:paraId="58E4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25F260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699667A0">
            <w:pPr>
              <w:jc w:val="center"/>
              <w:rPr>
                <w:rFonts w:ascii="宋体" w:hAnsi="宋体" w:eastAsia="宋体"/>
                <w:color w:val="auto"/>
                <w:sz w:val="24"/>
                <w:highlight w:val="none"/>
              </w:rPr>
            </w:pPr>
            <w:r>
              <w:rPr>
                <w:rFonts w:hint="eastAsia" w:ascii="宋体" w:hAnsi="宋体" w:eastAsia="宋体"/>
                <w:color w:val="auto"/>
                <w:sz w:val="24"/>
                <w:highlight w:val="none"/>
              </w:rPr>
              <w:t>免费质保期</w:t>
            </w:r>
          </w:p>
        </w:tc>
        <w:tc>
          <w:tcPr>
            <w:tcW w:w="1465" w:type="pct"/>
            <w:vAlign w:val="center"/>
          </w:tcPr>
          <w:p w14:paraId="1975D43A">
            <w:pPr>
              <w:jc w:val="center"/>
              <w:rPr>
                <w:rFonts w:asciiTheme="minorEastAsia" w:hAnsiTheme="minorEastAsia" w:eastAsiaTheme="minorEastAsia"/>
                <w:color w:val="auto"/>
                <w:sz w:val="24"/>
                <w:highlight w:val="none"/>
              </w:rPr>
            </w:pPr>
          </w:p>
        </w:tc>
        <w:tc>
          <w:tcPr>
            <w:tcW w:w="1510" w:type="pct"/>
            <w:vAlign w:val="center"/>
          </w:tcPr>
          <w:p w14:paraId="48BE5A5C">
            <w:pPr>
              <w:jc w:val="center"/>
              <w:rPr>
                <w:rFonts w:asciiTheme="minorEastAsia" w:hAnsiTheme="minorEastAsia" w:eastAsiaTheme="minorEastAsia"/>
                <w:color w:val="auto"/>
                <w:sz w:val="24"/>
                <w:highlight w:val="none"/>
              </w:rPr>
            </w:pPr>
          </w:p>
        </w:tc>
        <w:tc>
          <w:tcPr>
            <w:tcW w:w="475" w:type="pct"/>
            <w:vAlign w:val="center"/>
          </w:tcPr>
          <w:p w14:paraId="0A7A21B7">
            <w:pPr>
              <w:jc w:val="center"/>
              <w:rPr>
                <w:rFonts w:asciiTheme="minorEastAsia" w:hAnsiTheme="minorEastAsia" w:eastAsiaTheme="minorEastAsia"/>
                <w:color w:val="auto"/>
                <w:sz w:val="24"/>
                <w:highlight w:val="none"/>
              </w:rPr>
            </w:pPr>
          </w:p>
        </w:tc>
      </w:tr>
      <w:tr w14:paraId="11C6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DE86FC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3DDC4B5E">
            <w:pPr>
              <w:jc w:val="center"/>
              <w:rPr>
                <w:rFonts w:ascii="宋体" w:hAnsi="宋体" w:eastAsia="宋体"/>
                <w:color w:val="auto"/>
                <w:sz w:val="24"/>
                <w:highlight w:val="none"/>
              </w:rPr>
            </w:pPr>
          </w:p>
        </w:tc>
        <w:tc>
          <w:tcPr>
            <w:tcW w:w="1465" w:type="pct"/>
            <w:vAlign w:val="center"/>
          </w:tcPr>
          <w:p w14:paraId="04A7AEB2">
            <w:pPr>
              <w:jc w:val="center"/>
              <w:rPr>
                <w:rFonts w:asciiTheme="minorEastAsia" w:hAnsiTheme="minorEastAsia" w:eastAsiaTheme="minorEastAsia"/>
                <w:color w:val="auto"/>
                <w:sz w:val="24"/>
                <w:highlight w:val="none"/>
              </w:rPr>
            </w:pPr>
          </w:p>
        </w:tc>
        <w:tc>
          <w:tcPr>
            <w:tcW w:w="1510" w:type="pct"/>
            <w:vAlign w:val="center"/>
          </w:tcPr>
          <w:p w14:paraId="406CD1E6">
            <w:pPr>
              <w:jc w:val="center"/>
              <w:rPr>
                <w:rFonts w:asciiTheme="minorEastAsia" w:hAnsiTheme="minorEastAsia" w:eastAsiaTheme="minorEastAsia"/>
                <w:color w:val="auto"/>
                <w:sz w:val="24"/>
                <w:highlight w:val="none"/>
              </w:rPr>
            </w:pPr>
          </w:p>
        </w:tc>
        <w:tc>
          <w:tcPr>
            <w:tcW w:w="475" w:type="pct"/>
            <w:vAlign w:val="center"/>
          </w:tcPr>
          <w:p w14:paraId="7378D599">
            <w:pPr>
              <w:jc w:val="center"/>
              <w:rPr>
                <w:rFonts w:asciiTheme="minorEastAsia" w:hAnsiTheme="minorEastAsia" w:eastAsiaTheme="minorEastAsia"/>
                <w:color w:val="auto"/>
                <w:sz w:val="24"/>
                <w:highlight w:val="none"/>
              </w:rPr>
            </w:pPr>
          </w:p>
        </w:tc>
      </w:tr>
    </w:tbl>
    <w:p w14:paraId="479EA01B">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519"/>
        <w:gridCol w:w="2788"/>
        <w:gridCol w:w="2416"/>
        <w:gridCol w:w="833"/>
      </w:tblGrid>
      <w:tr w14:paraId="5A77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1F34129C">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6B826223">
            <w:pPr>
              <w:pStyle w:val="14"/>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00E219CB">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1456" w:type="pct"/>
            <w:vAlign w:val="center"/>
          </w:tcPr>
          <w:p w14:paraId="6B8BB434">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082BDE6D">
            <w:pPr>
              <w:pStyle w:val="14"/>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109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4B0035A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4451EF55">
            <w:pPr>
              <w:jc w:val="center"/>
              <w:rPr>
                <w:rFonts w:asciiTheme="minorEastAsia" w:hAnsiTheme="minorEastAsia" w:eastAsiaTheme="minorEastAsia"/>
                <w:color w:val="auto"/>
                <w:sz w:val="24"/>
                <w:highlight w:val="none"/>
              </w:rPr>
            </w:pPr>
          </w:p>
        </w:tc>
        <w:tc>
          <w:tcPr>
            <w:tcW w:w="1680" w:type="pct"/>
            <w:vAlign w:val="center"/>
          </w:tcPr>
          <w:p w14:paraId="7B99106B">
            <w:pPr>
              <w:jc w:val="center"/>
              <w:rPr>
                <w:rFonts w:asciiTheme="minorEastAsia" w:hAnsiTheme="minorEastAsia" w:eastAsiaTheme="minorEastAsia"/>
                <w:color w:val="auto"/>
                <w:sz w:val="24"/>
                <w:highlight w:val="none"/>
              </w:rPr>
            </w:pPr>
          </w:p>
        </w:tc>
        <w:tc>
          <w:tcPr>
            <w:tcW w:w="1456" w:type="pct"/>
            <w:vAlign w:val="center"/>
          </w:tcPr>
          <w:p w14:paraId="6C490589">
            <w:pPr>
              <w:jc w:val="center"/>
              <w:rPr>
                <w:rFonts w:asciiTheme="minorEastAsia" w:hAnsiTheme="minorEastAsia" w:eastAsiaTheme="minorEastAsia"/>
                <w:color w:val="auto"/>
                <w:sz w:val="24"/>
                <w:highlight w:val="none"/>
              </w:rPr>
            </w:pPr>
          </w:p>
        </w:tc>
        <w:tc>
          <w:tcPr>
            <w:tcW w:w="502" w:type="pct"/>
            <w:vAlign w:val="center"/>
          </w:tcPr>
          <w:p w14:paraId="448D8F18">
            <w:pPr>
              <w:jc w:val="center"/>
              <w:rPr>
                <w:rFonts w:asciiTheme="minorEastAsia" w:hAnsiTheme="minorEastAsia" w:eastAsiaTheme="minorEastAsia"/>
                <w:color w:val="auto"/>
                <w:sz w:val="24"/>
                <w:highlight w:val="none"/>
              </w:rPr>
            </w:pPr>
          </w:p>
        </w:tc>
      </w:tr>
      <w:tr w14:paraId="218C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4C7BE4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12CE6BAF">
            <w:pPr>
              <w:jc w:val="center"/>
              <w:rPr>
                <w:rFonts w:asciiTheme="minorEastAsia" w:hAnsiTheme="minorEastAsia" w:eastAsiaTheme="minorEastAsia"/>
                <w:color w:val="auto"/>
                <w:sz w:val="24"/>
                <w:highlight w:val="none"/>
              </w:rPr>
            </w:pPr>
          </w:p>
        </w:tc>
        <w:tc>
          <w:tcPr>
            <w:tcW w:w="1680" w:type="pct"/>
            <w:vAlign w:val="center"/>
          </w:tcPr>
          <w:p w14:paraId="23F2ADDE">
            <w:pPr>
              <w:jc w:val="center"/>
              <w:rPr>
                <w:rFonts w:asciiTheme="minorEastAsia" w:hAnsiTheme="minorEastAsia" w:eastAsiaTheme="minorEastAsia"/>
                <w:color w:val="auto"/>
                <w:sz w:val="24"/>
                <w:highlight w:val="none"/>
              </w:rPr>
            </w:pPr>
          </w:p>
        </w:tc>
        <w:tc>
          <w:tcPr>
            <w:tcW w:w="1456" w:type="pct"/>
            <w:vAlign w:val="center"/>
          </w:tcPr>
          <w:p w14:paraId="74D31106">
            <w:pPr>
              <w:jc w:val="center"/>
              <w:rPr>
                <w:rFonts w:asciiTheme="minorEastAsia" w:hAnsiTheme="minorEastAsia" w:eastAsiaTheme="minorEastAsia"/>
                <w:color w:val="auto"/>
                <w:sz w:val="24"/>
                <w:highlight w:val="none"/>
              </w:rPr>
            </w:pPr>
          </w:p>
        </w:tc>
        <w:tc>
          <w:tcPr>
            <w:tcW w:w="502" w:type="pct"/>
            <w:vAlign w:val="center"/>
          </w:tcPr>
          <w:p w14:paraId="5D2B3600">
            <w:pPr>
              <w:jc w:val="center"/>
              <w:rPr>
                <w:rFonts w:asciiTheme="minorEastAsia" w:hAnsiTheme="minorEastAsia" w:eastAsiaTheme="minorEastAsia"/>
                <w:color w:val="auto"/>
                <w:sz w:val="24"/>
                <w:highlight w:val="none"/>
              </w:rPr>
            </w:pPr>
          </w:p>
        </w:tc>
      </w:tr>
      <w:tr w14:paraId="1E58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73209F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37A35A5B">
            <w:pPr>
              <w:jc w:val="center"/>
              <w:rPr>
                <w:rFonts w:asciiTheme="minorEastAsia" w:hAnsiTheme="minorEastAsia" w:eastAsiaTheme="minorEastAsia"/>
                <w:color w:val="auto"/>
                <w:sz w:val="24"/>
                <w:highlight w:val="none"/>
              </w:rPr>
            </w:pPr>
          </w:p>
        </w:tc>
        <w:tc>
          <w:tcPr>
            <w:tcW w:w="1680" w:type="pct"/>
            <w:vAlign w:val="center"/>
          </w:tcPr>
          <w:p w14:paraId="6A4C0CDF">
            <w:pPr>
              <w:jc w:val="center"/>
              <w:rPr>
                <w:rFonts w:asciiTheme="minorEastAsia" w:hAnsiTheme="minorEastAsia" w:eastAsiaTheme="minorEastAsia"/>
                <w:color w:val="auto"/>
                <w:sz w:val="24"/>
                <w:highlight w:val="none"/>
              </w:rPr>
            </w:pPr>
          </w:p>
        </w:tc>
        <w:tc>
          <w:tcPr>
            <w:tcW w:w="1456" w:type="pct"/>
            <w:vAlign w:val="center"/>
          </w:tcPr>
          <w:p w14:paraId="3D46312A">
            <w:pPr>
              <w:pStyle w:val="47"/>
              <w:jc w:val="center"/>
              <w:rPr>
                <w:rFonts w:asciiTheme="minorEastAsia" w:hAnsiTheme="minorEastAsia" w:eastAsiaTheme="minorEastAsia"/>
                <w:color w:val="auto"/>
                <w:highlight w:val="none"/>
              </w:rPr>
            </w:pPr>
          </w:p>
        </w:tc>
        <w:tc>
          <w:tcPr>
            <w:tcW w:w="502" w:type="pct"/>
            <w:vAlign w:val="center"/>
          </w:tcPr>
          <w:p w14:paraId="52968288">
            <w:pPr>
              <w:jc w:val="center"/>
              <w:rPr>
                <w:rFonts w:asciiTheme="minorEastAsia" w:hAnsiTheme="minorEastAsia" w:eastAsiaTheme="minorEastAsia"/>
                <w:color w:val="auto"/>
                <w:sz w:val="24"/>
                <w:highlight w:val="none"/>
              </w:rPr>
            </w:pPr>
          </w:p>
        </w:tc>
      </w:tr>
      <w:tr w14:paraId="594E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72F0D3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5F1BDC92">
            <w:pPr>
              <w:jc w:val="center"/>
              <w:rPr>
                <w:rFonts w:asciiTheme="minorEastAsia" w:hAnsiTheme="minorEastAsia" w:eastAsiaTheme="minorEastAsia"/>
                <w:color w:val="auto"/>
                <w:sz w:val="24"/>
                <w:highlight w:val="none"/>
              </w:rPr>
            </w:pPr>
          </w:p>
        </w:tc>
        <w:tc>
          <w:tcPr>
            <w:tcW w:w="1680" w:type="pct"/>
            <w:vAlign w:val="center"/>
          </w:tcPr>
          <w:p w14:paraId="563C3759">
            <w:pPr>
              <w:jc w:val="center"/>
              <w:rPr>
                <w:rFonts w:asciiTheme="minorEastAsia" w:hAnsiTheme="minorEastAsia" w:eastAsiaTheme="minorEastAsia"/>
                <w:color w:val="auto"/>
                <w:sz w:val="24"/>
                <w:highlight w:val="none"/>
              </w:rPr>
            </w:pPr>
          </w:p>
        </w:tc>
        <w:tc>
          <w:tcPr>
            <w:tcW w:w="1456" w:type="pct"/>
            <w:vAlign w:val="center"/>
          </w:tcPr>
          <w:p w14:paraId="5F7122F2">
            <w:pPr>
              <w:pStyle w:val="47"/>
              <w:jc w:val="center"/>
              <w:rPr>
                <w:rFonts w:asciiTheme="minorEastAsia" w:hAnsiTheme="minorEastAsia" w:eastAsiaTheme="minorEastAsia"/>
                <w:color w:val="auto"/>
                <w:highlight w:val="none"/>
              </w:rPr>
            </w:pPr>
          </w:p>
        </w:tc>
        <w:tc>
          <w:tcPr>
            <w:tcW w:w="502" w:type="pct"/>
            <w:vAlign w:val="center"/>
          </w:tcPr>
          <w:p w14:paraId="5994FEEA">
            <w:pPr>
              <w:jc w:val="center"/>
              <w:rPr>
                <w:rFonts w:asciiTheme="minorEastAsia" w:hAnsiTheme="minorEastAsia" w:eastAsiaTheme="minorEastAsia"/>
                <w:color w:val="auto"/>
                <w:sz w:val="24"/>
                <w:highlight w:val="none"/>
              </w:rPr>
            </w:pPr>
          </w:p>
        </w:tc>
      </w:tr>
      <w:tr w14:paraId="2BA0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6F07FAC">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3D257C4B">
            <w:pPr>
              <w:jc w:val="center"/>
              <w:rPr>
                <w:rFonts w:asciiTheme="minorEastAsia" w:hAnsiTheme="minorEastAsia" w:eastAsiaTheme="minorEastAsia"/>
                <w:color w:val="auto"/>
                <w:sz w:val="24"/>
                <w:highlight w:val="none"/>
              </w:rPr>
            </w:pPr>
          </w:p>
        </w:tc>
        <w:tc>
          <w:tcPr>
            <w:tcW w:w="1680" w:type="pct"/>
            <w:vAlign w:val="center"/>
          </w:tcPr>
          <w:p w14:paraId="277FBE05">
            <w:pPr>
              <w:jc w:val="center"/>
              <w:rPr>
                <w:rFonts w:asciiTheme="minorEastAsia" w:hAnsiTheme="minorEastAsia" w:eastAsiaTheme="minorEastAsia"/>
                <w:color w:val="auto"/>
                <w:sz w:val="24"/>
                <w:highlight w:val="none"/>
              </w:rPr>
            </w:pPr>
          </w:p>
        </w:tc>
        <w:tc>
          <w:tcPr>
            <w:tcW w:w="1456" w:type="pct"/>
            <w:vAlign w:val="center"/>
          </w:tcPr>
          <w:p w14:paraId="5E0DBBD6">
            <w:pPr>
              <w:jc w:val="center"/>
              <w:rPr>
                <w:rFonts w:asciiTheme="minorEastAsia" w:hAnsiTheme="minorEastAsia" w:eastAsiaTheme="minorEastAsia"/>
                <w:color w:val="auto"/>
                <w:sz w:val="24"/>
                <w:highlight w:val="none"/>
              </w:rPr>
            </w:pPr>
          </w:p>
        </w:tc>
        <w:tc>
          <w:tcPr>
            <w:tcW w:w="502" w:type="pct"/>
            <w:vAlign w:val="center"/>
          </w:tcPr>
          <w:p w14:paraId="50D74B2C">
            <w:pPr>
              <w:jc w:val="center"/>
              <w:rPr>
                <w:rFonts w:asciiTheme="minorEastAsia" w:hAnsiTheme="minorEastAsia" w:eastAsiaTheme="minorEastAsia"/>
                <w:color w:val="auto"/>
                <w:sz w:val="24"/>
                <w:highlight w:val="none"/>
              </w:rPr>
            </w:pPr>
          </w:p>
        </w:tc>
      </w:tr>
    </w:tbl>
    <w:p w14:paraId="003B602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5EBD4CFD">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919CFF7">
      <w:pPr>
        <w:pStyle w:val="15"/>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73CF54E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bookmarkStart w:id="312" w:name="_Toc31244"/>
      <w:bookmarkStart w:id="313" w:name="_Toc14522"/>
      <w:bookmarkStart w:id="314" w:name="_Toc10406"/>
      <w:bookmarkStart w:id="315" w:name="_Toc9573"/>
      <w:bookmarkStart w:id="316" w:name="_Toc16730"/>
      <w:bookmarkStart w:id="317" w:name="OLE_LINK14"/>
      <w:bookmarkStart w:id="318" w:name="OLE_LINK13"/>
      <w:r>
        <w:rPr>
          <w:rFonts w:hint="eastAsia" w:asciiTheme="minorEastAsia" w:hAnsiTheme="minorEastAsia" w:eastAsiaTheme="minorEastAsia"/>
          <w:b/>
          <w:color w:val="auto"/>
          <w:sz w:val="24"/>
          <w:highlight w:val="none"/>
          <w:lang w:val="en-US" w:eastAsia="zh-CN"/>
        </w:rPr>
        <w:t>七、中小企业声明函</w:t>
      </w:r>
      <w:bookmarkEnd w:id="312"/>
      <w:bookmarkEnd w:id="313"/>
      <w:bookmarkEnd w:id="314"/>
      <w:bookmarkEnd w:id="315"/>
      <w:bookmarkEnd w:id="316"/>
    </w:p>
    <w:p w14:paraId="19F7E88B">
      <w:pPr>
        <w:rPr>
          <w:rFonts w:asciiTheme="minorEastAsia" w:hAnsiTheme="minorEastAsia" w:eastAsiaTheme="minorEastAsia"/>
          <w:color w:val="auto"/>
          <w:sz w:val="24"/>
          <w:szCs w:val="24"/>
          <w:highlight w:val="none"/>
        </w:rPr>
      </w:pPr>
    </w:p>
    <w:p w14:paraId="4CE2F7CC">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3BDE74B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4275A462">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6C6901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9E61EE6">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3B7E63FF">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248C82FA">
      <w:pPr>
        <w:spacing w:line="360" w:lineRule="auto"/>
        <w:ind w:firstLine="435"/>
        <w:rPr>
          <w:rFonts w:asciiTheme="minorEastAsia" w:hAnsiTheme="minorEastAsia" w:eastAsiaTheme="minorEastAsia"/>
          <w:color w:val="auto"/>
          <w:sz w:val="24"/>
          <w:szCs w:val="24"/>
          <w:highlight w:val="none"/>
        </w:rPr>
      </w:pPr>
    </w:p>
    <w:p w14:paraId="783937D3">
      <w:pPr>
        <w:spacing w:line="360" w:lineRule="auto"/>
        <w:ind w:firstLine="435"/>
        <w:rPr>
          <w:rFonts w:asciiTheme="minorEastAsia" w:hAnsiTheme="minorEastAsia" w:eastAsiaTheme="minorEastAsia"/>
          <w:color w:val="auto"/>
          <w:sz w:val="24"/>
          <w:szCs w:val="24"/>
          <w:highlight w:val="none"/>
        </w:rPr>
      </w:pPr>
    </w:p>
    <w:p w14:paraId="137C208E">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76085FC">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2B2CF406">
      <w:pPr>
        <w:tabs>
          <w:tab w:val="left" w:pos="4620"/>
        </w:tabs>
        <w:spacing w:line="360" w:lineRule="auto"/>
        <w:jc w:val="left"/>
        <w:rPr>
          <w:rFonts w:asciiTheme="minorEastAsia" w:hAnsiTheme="minorEastAsia" w:eastAsiaTheme="minorEastAsia"/>
          <w:color w:val="auto"/>
          <w:sz w:val="24"/>
          <w:szCs w:val="24"/>
          <w:highlight w:val="none"/>
        </w:rPr>
      </w:pPr>
    </w:p>
    <w:p w14:paraId="6F47AB80">
      <w:pPr>
        <w:tabs>
          <w:tab w:val="left" w:pos="4620"/>
        </w:tabs>
        <w:spacing w:line="360" w:lineRule="auto"/>
        <w:jc w:val="left"/>
        <w:rPr>
          <w:rFonts w:asciiTheme="minorEastAsia" w:hAnsiTheme="minorEastAsia" w:eastAsiaTheme="minorEastAsia"/>
          <w:color w:val="auto"/>
          <w:sz w:val="24"/>
          <w:szCs w:val="24"/>
          <w:highlight w:val="none"/>
        </w:rPr>
      </w:pPr>
    </w:p>
    <w:p w14:paraId="4048229E">
      <w:pPr>
        <w:tabs>
          <w:tab w:val="left" w:pos="4620"/>
        </w:tabs>
        <w:spacing w:line="360" w:lineRule="auto"/>
        <w:jc w:val="left"/>
        <w:rPr>
          <w:rFonts w:asciiTheme="minorEastAsia" w:hAnsiTheme="minorEastAsia" w:eastAsiaTheme="minorEastAsia"/>
          <w:color w:val="auto"/>
          <w:sz w:val="24"/>
          <w:szCs w:val="24"/>
          <w:highlight w:val="none"/>
        </w:rPr>
      </w:pPr>
    </w:p>
    <w:p w14:paraId="0B2780AB">
      <w:pPr>
        <w:tabs>
          <w:tab w:val="left" w:pos="4620"/>
        </w:tabs>
        <w:spacing w:line="360" w:lineRule="auto"/>
        <w:jc w:val="left"/>
        <w:rPr>
          <w:rFonts w:asciiTheme="minorEastAsia" w:hAnsiTheme="minorEastAsia" w:eastAsiaTheme="minorEastAsia"/>
          <w:color w:val="auto"/>
          <w:sz w:val="24"/>
          <w:szCs w:val="24"/>
          <w:highlight w:val="none"/>
        </w:rPr>
      </w:pPr>
    </w:p>
    <w:p w14:paraId="061DBD95">
      <w:pPr>
        <w:tabs>
          <w:tab w:val="left" w:pos="4620"/>
        </w:tabs>
        <w:spacing w:line="360" w:lineRule="auto"/>
        <w:jc w:val="left"/>
        <w:rPr>
          <w:rFonts w:asciiTheme="minorEastAsia" w:hAnsiTheme="minorEastAsia" w:eastAsiaTheme="minorEastAsia"/>
          <w:color w:val="auto"/>
          <w:sz w:val="24"/>
          <w:szCs w:val="24"/>
          <w:highlight w:val="none"/>
        </w:rPr>
      </w:pPr>
    </w:p>
    <w:p w14:paraId="77328082">
      <w:pPr>
        <w:tabs>
          <w:tab w:val="left" w:pos="4620"/>
        </w:tabs>
        <w:spacing w:line="360" w:lineRule="auto"/>
        <w:jc w:val="left"/>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7F5B980">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011A55C4">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1883F04C">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6ED013B8">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58072F7D">
      <w:pPr>
        <w:tabs>
          <w:tab w:val="left" w:pos="4620"/>
        </w:tabs>
        <w:spacing w:line="360" w:lineRule="auto"/>
        <w:jc w:val="left"/>
        <w:rPr>
          <w:rFonts w:hint="eastAsia" w:asciiTheme="minorEastAsia" w:hAnsiTheme="minorEastAsia" w:eastAsiaTheme="minorEastAsia"/>
          <w:b/>
          <w:bCs/>
          <w:color w:val="auto"/>
          <w:szCs w:val="24"/>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bookmarkEnd w:id="317"/>
      <w:bookmarkEnd w:id="318"/>
    </w:p>
    <w:p w14:paraId="5E176FF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bookmarkStart w:id="319" w:name="_Toc16713"/>
      <w:bookmarkStart w:id="320" w:name="_Toc24563"/>
    </w:p>
    <w:p w14:paraId="7C2A6CA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p>
    <w:p w14:paraId="575176F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p>
    <w:p w14:paraId="1C028C3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bookmarkStart w:id="321" w:name="_Toc32304"/>
      <w:bookmarkStart w:id="322" w:name="_Toc19733"/>
      <w:bookmarkStart w:id="323" w:name="_Toc3683"/>
      <w:r>
        <w:rPr>
          <w:rFonts w:hint="eastAsia" w:asciiTheme="minorEastAsia" w:hAnsiTheme="minorEastAsia" w:eastAsiaTheme="minorEastAsia"/>
          <w:b/>
          <w:color w:val="auto"/>
          <w:sz w:val="24"/>
          <w:highlight w:val="none"/>
          <w:lang w:val="en-US" w:eastAsia="zh-CN"/>
        </w:rPr>
        <w:t>八、残疾人福利性单位声明函</w:t>
      </w:r>
      <w:bookmarkEnd w:id="319"/>
      <w:bookmarkEnd w:id="320"/>
      <w:bookmarkEnd w:id="321"/>
      <w:bookmarkEnd w:id="322"/>
      <w:bookmarkEnd w:id="323"/>
    </w:p>
    <w:p w14:paraId="7708EA47">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74C678D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365B6C6E">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44549BCE">
      <w:pPr>
        <w:spacing w:line="360" w:lineRule="auto"/>
        <w:ind w:firstLine="4228" w:firstLineChars="1762"/>
        <w:rPr>
          <w:rFonts w:hint="eastAsia" w:asciiTheme="minorEastAsia" w:hAnsiTheme="minorEastAsia" w:eastAsiaTheme="minorEastAsia"/>
          <w:color w:val="auto"/>
          <w:sz w:val="24"/>
          <w:szCs w:val="24"/>
          <w:highlight w:val="none"/>
          <w:lang w:val="en-US" w:eastAsia="zh-CN"/>
        </w:rPr>
      </w:pPr>
      <w:r>
        <w:rPr>
          <w:rFonts w:hint="eastAsia" w:asciiTheme="minorEastAsia" w:hAnsiTheme="minorEastAsia" w:eastAsiaTheme="minorEastAsia"/>
          <w:color w:val="auto"/>
          <w:sz w:val="24"/>
          <w:szCs w:val="24"/>
          <w:highlight w:val="none"/>
          <w:lang w:val="en-US" w:eastAsia="zh-CN"/>
        </w:rPr>
        <w:t xml:space="preserve"> </w:t>
      </w:r>
    </w:p>
    <w:p w14:paraId="5C38B443">
      <w:pPr>
        <w:spacing w:line="360" w:lineRule="auto"/>
        <w:ind w:firstLine="4228" w:firstLineChars="1762"/>
        <w:rPr>
          <w:rFonts w:asciiTheme="minorEastAsia" w:hAnsiTheme="minorEastAsia" w:eastAsiaTheme="minorEastAsia"/>
          <w:color w:val="auto"/>
          <w:sz w:val="24"/>
          <w:szCs w:val="24"/>
          <w:highlight w:val="none"/>
        </w:rPr>
      </w:pPr>
    </w:p>
    <w:p w14:paraId="35C5892A">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1942EBBA">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5D33676B">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4492A2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仿宋_GB2312"/>
          <w:b/>
          <w:color w:val="auto"/>
          <w:sz w:val="24"/>
          <w:szCs w:val="20"/>
          <w:highlight w:val="none"/>
        </w:rPr>
      </w:pPr>
      <w:bookmarkStart w:id="324" w:name="_Toc1772"/>
      <w:bookmarkStart w:id="325" w:name="_Toc15571"/>
      <w:bookmarkStart w:id="326" w:name="_Toc25020"/>
      <w:bookmarkStart w:id="327" w:name="_Toc300210382"/>
      <w:bookmarkStart w:id="328" w:name="_Toc457768004"/>
      <w:bookmarkStart w:id="329" w:name="_Toc520299348"/>
      <w:bookmarkStart w:id="330" w:name="_Toc26536"/>
      <w:bookmarkStart w:id="331" w:name="_Toc25813"/>
      <w:bookmarkStart w:id="332" w:name="_Hlk11701496"/>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bookmarkEnd w:id="324"/>
      <w:bookmarkEnd w:id="325"/>
      <w:bookmarkEnd w:id="326"/>
    </w:p>
    <w:p w14:paraId="4B877AC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5252BC2D">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514B4EA3">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2"/>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2"/>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013C41A6">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445B96C4">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78FBDA1B">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5CFCD70A">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DF598AD">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1DBA2226">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790AB324">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1.产品如有型号，请在“产品名称”栏一并填写。</w:t>
      </w:r>
    </w:p>
    <w:p w14:paraId="01D63837">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2.生产厂名与厂址应与生产厂营业执照载明的相关信息保持一致。</w:t>
      </w:r>
    </w:p>
    <w:p w14:paraId="4A665285">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3.上述声明函中标注</w:t>
      </w:r>
      <w:r>
        <w:rPr>
          <w:rFonts w:hint="eastAsia" w:ascii="宋体" w:hAnsi="宋体" w:eastAsia="宋体" w:cs="Times New Roman"/>
          <w:b w:val="0"/>
          <w:bCs/>
          <w:color w:val="auto"/>
          <w:sz w:val="21"/>
          <w:szCs w:val="21"/>
          <w:highlight w:val="none"/>
          <w:u w:val="single"/>
          <w:lang w:val="en-US" w:eastAsia="zh-CN"/>
        </w:rPr>
        <w:t xml:space="preserve">  /  </w:t>
      </w:r>
      <w:r>
        <w:rPr>
          <w:rFonts w:hint="eastAsia" w:ascii="宋体" w:hAnsi="宋体" w:eastAsia="宋体" w:cs="Times New Roman"/>
          <w:b w:val="0"/>
          <w:bCs/>
          <w:color w:val="auto"/>
          <w:sz w:val="21"/>
          <w:szCs w:val="21"/>
          <w:highlight w:val="none"/>
          <w:lang w:val="en-US" w:eastAsia="zh-CN"/>
        </w:rPr>
        <w:t>的，无需填写。</w:t>
      </w:r>
    </w:p>
    <w:p w14:paraId="58570BDE">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hint="default"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21C27F8C">
      <w:pPr>
        <w:keepNext w:val="0"/>
        <w:keepLines w:val="0"/>
        <w:pageBreakBefore w:val="0"/>
        <w:widowControl w:val="0"/>
        <w:tabs>
          <w:tab w:val="left" w:pos="4620"/>
        </w:tabs>
        <w:kinsoku/>
        <w:wordWrap/>
        <w:overflowPunct/>
        <w:topLinePunct w:val="0"/>
        <w:autoSpaceDE/>
        <w:autoSpaceDN/>
        <w:bidi w:val="0"/>
        <w:adjustRightInd/>
        <w:snapToGrid/>
        <w:spacing w:line="240" w:lineRule="auto"/>
        <w:jc w:val="left"/>
        <w:textAlignment w:val="auto"/>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C6D6117">
      <w:pPr>
        <w:tabs>
          <w:tab w:val="left" w:pos="4620"/>
        </w:tabs>
        <w:spacing w:line="360" w:lineRule="auto"/>
        <w:jc w:val="left"/>
        <w:rPr>
          <w:rFonts w:hint="eastAsia" w:asciiTheme="minorEastAsia" w:hAnsiTheme="minorEastAsia" w:eastAsiaTheme="minorEastAsia"/>
          <w:b/>
          <w:color w:val="auto"/>
          <w:sz w:val="24"/>
          <w:highlight w:val="none"/>
          <w:lang w:val="en-US" w:eastAsia="zh-CN"/>
        </w:rPr>
      </w:pPr>
    </w:p>
    <w:p w14:paraId="067C3400">
      <w:pPr>
        <w:pStyle w:val="25"/>
        <w:rPr>
          <w:rFonts w:hint="eastAsia" w:asciiTheme="minorEastAsia" w:hAnsiTheme="minorEastAsia" w:eastAsiaTheme="minorEastAsia"/>
          <w:b/>
          <w:color w:val="auto"/>
          <w:sz w:val="24"/>
          <w:highlight w:val="none"/>
          <w:lang w:val="en-US" w:eastAsia="zh-CN"/>
        </w:rPr>
      </w:pPr>
    </w:p>
    <w:p w14:paraId="6ABD5A9C">
      <w:pPr>
        <w:pStyle w:val="25"/>
        <w:rPr>
          <w:rFonts w:hint="eastAsia" w:asciiTheme="minorEastAsia" w:hAnsiTheme="minorEastAsia" w:eastAsiaTheme="minorEastAsia"/>
          <w:b/>
          <w:color w:val="auto"/>
          <w:sz w:val="24"/>
          <w:highlight w:val="none"/>
          <w:lang w:val="en-US" w:eastAsia="zh-CN"/>
        </w:rPr>
      </w:pPr>
    </w:p>
    <w:p w14:paraId="0DCD671D">
      <w:pPr>
        <w:pStyle w:val="25"/>
        <w:rPr>
          <w:rFonts w:hint="eastAsia" w:asciiTheme="minorEastAsia" w:hAnsiTheme="minorEastAsia" w:eastAsiaTheme="minorEastAsia"/>
          <w:b/>
          <w:color w:val="auto"/>
          <w:sz w:val="24"/>
          <w:highlight w:val="none"/>
          <w:lang w:val="en-US" w:eastAsia="zh-CN"/>
        </w:rPr>
      </w:pPr>
    </w:p>
    <w:p w14:paraId="1B3B2CD6">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33" w:name="_Toc13569"/>
      <w:bookmarkStart w:id="334" w:name="_Toc11266"/>
      <w:bookmarkStart w:id="335" w:name="_Toc25153"/>
      <w:r>
        <w:rPr>
          <w:rFonts w:hint="eastAsia" w:asciiTheme="minorEastAsia" w:hAnsiTheme="minorEastAsia" w:eastAsiaTheme="minorEastAsia"/>
          <w:b/>
          <w:color w:val="auto"/>
          <w:sz w:val="24"/>
          <w:highlight w:val="none"/>
          <w:lang w:val="en-US" w:eastAsia="zh-CN"/>
        </w:rPr>
        <w:t>十、</w:t>
      </w:r>
      <w:bookmarkEnd w:id="327"/>
      <w:bookmarkEnd w:id="328"/>
      <w:bookmarkEnd w:id="329"/>
      <w:r>
        <w:rPr>
          <w:rFonts w:hint="eastAsia" w:asciiTheme="minorEastAsia" w:hAnsiTheme="minorEastAsia" w:eastAsiaTheme="minorEastAsia"/>
          <w:b/>
          <w:color w:val="auto"/>
          <w:sz w:val="24"/>
          <w:highlight w:val="none"/>
          <w:lang w:val="en-US" w:eastAsia="zh-CN"/>
        </w:rPr>
        <w:t>诚信履约承诺函</w:t>
      </w:r>
      <w:bookmarkEnd w:id="330"/>
      <w:bookmarkEnd w:id="331"/>
      <w:bookmarkEnd w:id="333"/>
      <w:bookmarkEnd w:id="334"/>
      <w:bookmarkEnd w:id="335"/>
    </w:p>
    <w:p w14:paraId="4EA1DAD4">
      <w:pPr>
        <w:spacing w:line="360" w:lineRule="auto"/>
        <w:rPr>
          <w:rFonts w:asciiTheme="minorEastAsia" w:hAnsiTheme="minorEastAsia" w:eastAsiaTheme="minorEastAsia"/>
          <w:b/>
          <w:bCs/>
          <w:color w:val="auto"/>
          <w:sz w:val="24"/>
          <w:highlight w:val="none"/>
        </w:rPr>
      </w:pPr>
    </w:p>
    <w:p w14:paraId="59AD4BD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29FA1DD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0EF4D8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35423B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6156C3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17E957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6AA58D2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643A5DC2">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40F9301">
      <w:pPr>
        <w:spacing w:line="360" w:lineRule="auto"/>
        <w:rPr>
          <w:rFonts w:asciiTheme="minorEastAsia" w:hAnsiTheme="minorEastAsia" w:eastAsiaTheme="minorEastAsia"/>
          <w:bCs/>
          <w:color w:val="auto"/>
          <w:sz w:val="24"/>
          <w:highlight w:val="none"/>
        </w:rPr>
      </w:pPr>
    </w:p>
    <w:p w14:paraId="47625E16">
      <w:pPr>
        <w:spacing w:line="360" w:lineRule="auto"/>
        <w:rPr>
          <w:rFonts w:asciiTheme="minorEastAsia" w:hAnsiTheme="minorEastAsia" w:eastAsiaTheme="minorEastAsia"/>
          <w:bCs/>
          <w:color w:val="auto"/>
          <w:sz w:val="24"/>
          <w:highlight w:val="none"/>
        </w:rPr>
      </w:pPr>
    </w:p>
    <w:p w14:paraId="267A8500">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445C6A4">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24D75B7D">
      <w:pPr>
        <w:rPr>
          <w:rFonts w:ascii="宋体" w:hAnsi="宋体" w:eastAsia="宋体" w:cs="Arial"/>
          <w:color w:val="auto"/>
          <w:sz w:val="24"/>
          <w:highlight w:val="none"/>
        </w:rPr>
      </w:pPr>
      <w:r>
        <w:rPr>
          <w:rFonts w:ascii="宋体" w:hAnsi="宋体" w:eastAsia="宋体" w:cs="Arial"/>
          <w:color w:val="auto"/>
          <w:sz w:val="24"/>
          <w:highlight w:val="none"/>
        </w:rPr>
        <w:br w:type="page"/>
      </w:r>
    </w:p>
    <w:p w14:paraId="74B18816">
      <w:pPr>
        <w:spacing w:line="360" w:lineRule="auto"/>
        <w:jc w:val="center"/>
        <w:outlineLvl w:val="1"/>
        <w:rPr>
          <w:rFonts w:hint="eastAsia" w:ascii="宋体" w:hAnsi="宋体" w:eastAsia="宋体"/>
          <w:b/>
          <w:color w:val="auto"/>
          <w:sz w:val="24"/>
          <w:szCs w:val="24"/>
          <w:highlight w:val="none"/>
        </w:rPr>
      </w:pPr>
      <w:bookmarkStart w:id="336" w:name="_Toc6827"/>
      <w:bookmarkStart w:id="337" w:name="_Toc31841"/>
      <w:bookmarkStart w:id="338" w:name="_Toc5602"/>
      <w:r>
        <w:rPr>
          <w:rFonts w:hint="eastAsia" w:asciiTheme="minorEastAsia" w:hAnsiTheme="minorEastAsia" w:eastAsiaTheme="minorEastAsia"/>
          <w:b/>
          <w:color w:val="auto"/>
          <w:sz w:val="24"/>
          <w:highlight w:val="none"/>
          <w:lang w:val="en-US" w:eastAsia="zh-CN"/>
        </w:rPr>
        <w:t>十一、</w:t>
      </w:r>
      <w:r>
        <w:rPr>
          <w:rFonts w:hint="eastAsia" w:ascii="宋体" w:hAnsi="宋体" w:eastAsia="宋体" w:cs="宋体"/>
          <w:b/>
          <w:color w:val="auto"/>
          <w:sz w:val="24"/>
          <w:szCs w:val="24"/>
          <w:highlight w:val="none"/>
          <w:lang w:bidi="ar"/>
        </w:rPr>
        <w:t>诚信投标承诺书</w:t>
      </w:r>
      <w:bookmarkEnd w:id="336"/>
      <w:bookmarkEnd w:id="337"/>
      <w:bookmarkEnd w:id="338"/>
    </w:p>
    <w:p w14:paraId="68AD13E6">
      <w:pPr>
        <w:spacing w:line="50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本人以企业法定代表人的身份郑重承诺：</w:t>
      </w:r>
    </w:p>
    <w:p w14:paraId="67FA5BDC">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一、将遵循公开、公正和诚实信用的原则自愿参加</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项目的投标，所提供的一切材料都是真实、有效、合法的；</w:t>
      </w:r>
    </w:p>
    <w:p w14:paraId="36460919">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861E4B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三、不出借、转让资质证书，不让他人挂靠投标，不以他人名义投标或者以其他方式弄虚作假，骗取中标；</w:t>
      </w:r>
    </w:p>
    <w:p w14:paraId="177D982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四、不与其他投标人相互串通投标报价，不排挤其他投标人的公平竞争、损害招标人的合法权益；</w:t>
      </w:r>
    </w:p>
    <w:p w14:paraId="4DFE2F6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五、不与招标人、招标代理机构或其他投标人串通投标，损害国家利益、社会公共利益或者他人的合法权益；</w:t>
      </w:r>
    </w:p>
    <w:p w14:paraId="044B66FB">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六、</w:t>
      </w:r>
      <w:r>
        <w:rPr>
          <w:rFonts w:hint="eastAsia" w:ascii="宋体" w:hAnsi="宋体" w:eastAsia="宋体" w:cs="宋体"/>
          <w:color w:val="auto"/>
          <w:szCs w:val="21"/>
          <w:highlight w:val="none"/>
          <w:u w:val="single"/>
          <w:lang w:bidi="ar"/>
        </w:rPr>
        <w:t xml:space="preserve">       （企业名称）</w:t>
      </w:r>
      <w:r>
        <w:rPr>
          <w:rFonts w:hint="eastAsia" w:ascii="宋体" w:hAnsi="宋体" w:eastAsia="宋体" w:cs="宋体"/>
          <w:color w:val="auto"/>
          <w:szCs w:val="21"/>
          <w:highlight w:val="none"/>
          <w:lang w:bidi="ar"/>
        </w:rPr>
        <w:t>或</w:t>
      </w:r>
      <w:r>
        <w:rPr>
          <w:rFonts w:hint="eastAsia" w:ascii="宋体" w:hAnsi="宋体" w:eastAsia="宋体" w:cs="宋体"/>
          <w:color w:val="auto"/>
          <w:szCs w:val="21"/>
          <w:highlight w:val="none"/>
          <w:u w:val="single"/>
          <w:lang w:bidi="ar"/>
        </w:rPr>
        <w:t xml:space="preserve">       （企业名称）</w:t>
      </w:r>
      <w:r>
        <w:rPr>
          <w:rFonts w:hint="eastAsia" w:ascii="宋体" w:hAnsi="宋体" w:eastAsia="宋体" w:cs="宋体"/>
          <w:color w:val="auto"/>
          <w:szCs w:val="21"/>
          <w:highlight w:val="none"/>
          <w:lang w:bidi="ar"/>
        </w:rPr>
        <w:t>法定代表人或拟派项目经理（负责人）没有下列情形：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w:t>
      </w:r>
    </w:p>
    <w:p w14:paraId="43521DCF">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七、严格遵守开标现场纪律，服从监管人员管理；</w:t>
      </w:r>
    </w:p>
    <w:p w14:paraId="49BD647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八、保证中标后不转包，若有分包征得招标人同意；</w:t>
      </w:r>
    </w:p>
    <w:p w14:paraId="466D42D3">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九、保证中标之后，按照投标文件要求提供相关后续服务；</w:t>
      </w:r>
    </w:p>
    <w:p w14:paraId="138FDAD4">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十、保证企业及所属相关人员在本次投标中无行贿等犯罪行为；</w:t>
      </w:r>
    </w:p>
    <w:p w14:paraId="58D6BC72">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十一、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8BF498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以上内容我已仔细阅读，本公司若有违反承诺内容的行为，自愿接受取消投标或者中标（成交）资格、中标（成交）无效、记入不良行为记录等有关处理，愿意承担法律责任，给招标人造成损失的，依法承担赔偿责任。</w:t>
      </w:r>
    </w:p>
    <w:p w14:paraId="227319AA">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 </w:t>
      </w:r>
    </w:p>
    <w:p w14:paraId="64393506">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开户银行：                      基本账户：</w:t>
      </w:r>
    </w:p>
    <w:p w14:paraId="610ACF4D">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投标单位（签章）：               法定代表人（签章）：</w:t>
      </w:r>
    </w:p>
    <w:p w14:paraId="54072D81">
      <w:pPr>
        <w:spacing w:line="5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 </w:t>
      </w:r>
    </w:p>
    <w:p w14:paraId="0F7CDB97">
      <w:pPr>
        <w:spacing w:line="560" w:lineRule="exact"/>
        <w:jc w:val="right"/>
        <w:rPr>
          <w:rFonts w:hint="eastAsia" w:ascii="仿宋_GB2312" w:eastAsia="仿宋_GB2312" w:cs="仿宋_GB2312"/>
          <w:color w:val="auto"/>
          <w:sz w:val="32"/>
          <w:szCs w:val="32"/>
          <w:highlight w:val="none"/>
        </w:rPr>
      </w:pPr>
      <w:r>
        <w:rPr>
          <w:rFonts w:hint="eastAsia" w:ascii="宋体" w:hAnsi="宋体" w:eastAsia="宋体" w:cs="宋体"/>
          <w:color w:val="auto"/>
          <w:szCs w:val="21"/>
          <w:highlight w:val="none"/>
          <w:lang w:bidi="ar"/>
        </w:rPr>
        <w:t>日期：</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年 </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 xml:space="preserve">月 </w:t>
      </w:r>
      <w:r>
        <w:rPr>
          <w:rFonts w:hint="eastAsia" w:ascii="宋体" w:hAnsi="宋体" w:eastAsia="宋体" w:cs="宋体"/>
          <w:color w:val="auto"/>
          <w:szCs w:val="21"/>
          <w:highlight w:val="none"/>
          <w:u w:val="single"/>
          <w:lang w:bidi="ar"/>
        </w:rPr>
        <w:t xml:space="preserve">         </w:t>
      </w:r>
      <w:r>
        <w:rPr>
          <w:rFonts w:hint="eastAsia" w:ascii="宋体" w:hAnsi="宋体" w:eastAsia="宋体" w:cs="宋体"/>
          <w:color w:val="auto"/>
          <w:szCs w:val="21"/>
          <w:highlight w:val="none"/>
          <w:lang w:bidi="ar"/>
        </w:rPr>
        <w:t>日</w:t>
      </w:r>
    </w:p>
    <w:p w14:paraId="707195F5">
      <w:pPr>
        <w:pStyle w:val="12"/>
        <w:rPr>
          <w:color w:val="auto"/>
          <w:highlight w:val="none"/>
        </w:rPr>
      </w:pPr>
    </w:p>
    <w:bookmarkEnd w:id="332"/>
    <w:p w14:paraId="36D50BCA">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39" w:name="_Toc32633"/>
      <w:bookmarkStart w:id="340" w:name="_Toc2683"/>
    </w:p>
    <w:p w14:paraId="1531512C">
      <w:pPr>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br w:type="page"/>
      </w:r>
    </w:p>
    <w:p w14:paraId="7AC8F8D6">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341" w:name="_Toc5092"/>
      <w:bookmarkStart w:id="342" w:name="_Toc8767"/>
      <w:bookmarkStart w:id="343" w:name="_Toc18828"/>
      <w:r>
        <w:rPr>
          <w:rFonts w:hint="eastAsia" w:asciiTheme="minorEastAsia" w:hAnsiTheme="minorEastAsia" w:eastAsiaTheme="minorEastAsia"/>
          <w:b/>
          <w:color w:val="auto"/>
          <w:sz w:val="24"/>
          <w:highlight w:val="none"/>
          <w:lang w:val="en-US" w:eastAsia="zh-CN"/>
        </w:rPr>
        <w:t>十二、其他相关证明材料</w:t>
      </w:r>
      <w:bookmarkEnd w:id="339"/>
      <w:bookmarkEnd w:id="340"/>
      <w:bookmarkEnd w:id="341"/>
      <w:bookmarkEnd w:id="342"/>
      <w:bookmarkEnd w:id="343"/>
    </w:p>
    <w:p w14:paraId="7460AB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F8012CF">
      <w:pPr>
        <w:spacing w:line="360" w:lineRule="auto"/>
        <w:ind w:firstLine="480" w:firstLineChars="200"/>
        <w:rPr>
          <w:rFonts w:asciiTheme="minorEastAsia" w:hAnsiTheme="minorEastAsia" w:eastAsiaTheme="minorEastAsia"/>
          <w:color w:val="auto"/>
          <w:sz w:val="24"/>
          <w:highlight w:val="none"/>
        </w:rPr>
      </w:pPr>
    </w:p>
    <w:p w14:paraId="6072E75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5B1EFE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75991FC2">
      <w:pPr>
        <w:rPr>
          <w:rFonts w:ascii="宋体" w:hAnsi="宋体" w:eastAsia="宋体" w:cs="Arial"/>
          <w:color w:val="auto"/>
          <w:sz w:val="24"/>
          <w:szCs w:val="24"/>
          <w:highlight w:val="none"/>
        </w:rPr>
      </w:pPr>
      <w:r>
        <w:rPr>
          <w:rFonts w:ascii="宋体" w:hAnsi="宋体" w:eastAsia="宋体" w:cs="Arial"/>
          <w:color w:val="auto"/>
          <w:sz w:val="24"/>
          <w:szCs w:val="24"/>
          <w:highlight w:val="none"/>
        </w:rPr>
        <w:br w:type="page"/>
      </w:r>
    </w:p>
    <w:p w14:paraId="38BA7AEC">
      <w:pPr>
        <w:pStyle w:val="26"/>
        <w:rPr>
          <w:color w:val="auto"/>
          <w:highlight w:val="none"/>
        </w:rPr>
      </w:pPr>
    </w:p>
    <w:p w14:paraId="1CB971CC">
      <w:pPr>
        <w:spacing w:line="360" w:lineRule="auto"/>
        <w:jc w:val="center"/>
        <w:outlineLvl w:val="0"/>
        <w:rPr>
          <w:rFonts w:ascii="宋体" w:hAnsi="宋体" w:eastAsia="宋体"/>
          <w:b/>
          <w:bCs/>
          <w:color w:val="auto"/>
          <w:sz w:val="28"/>
          <w:szCs w:val="28"/>
          <w:highlight w:val="none"/>
        </w:rPr>
      </w:pPr>
      <w:bookmarkStart w:id="344" w:name="_Toc2876"/>
      <w:r>
        <w:rPr>
          <w:rFonts w:hint="eastAsia" w:ascii="宋体" w:hAnsi="宋体" w:eastAsia="宋体" w:cs="宋体"/>
          <w:b/>
          <w:color w:val="auto"/>
          <w:sz w:val="28"/>
          <w:szCs w:val="28"/>
          <w:highlight w:val="none"/>
          <w:lang w:bidi="ar"/>
        </w:rPr>
        <w:t>第</w:t>
      </w:r>
      <w:r>
        <w:rPr>
          <w:rFonts w:hint="eastAsia" w:ascii="宋体" w:hAnsi="宋体" w:eastAsia="宋体" w:cs="宋体"/>
          <w:b/>
          <w:color w:val="auto"/>
          <w:sz w:val="28"/>
          <w:szCs w:val="28"/>
          <w:highlight w:val="none"/>
          <w:lang w:val="en-US" w:eastAsia="zh-CN" w:bidi="ar"/>
        </w:rPr>
        <w:t>七</w:t>
      </w:r>
      <w:r>
        <w:rPr>
          <w:rFonts w:hint="eastAsia" w:ascii="宋体" w:hAnsi="宋体" w:eastAsia="宋体" w:cs="宋体"/>
          <w:b/>
          <w:color w:val="auto"/>
          <w:sz w:val="28"/>
          <w:szCs w:val="28"/>
          <w:highlight w:val="none"/>
          <w:lang w:bidi="ar"/>
        </w:rPr>
        <w:t>章</w:t>
      </w:r>
      <w:r>
        <w:rPr>
          <w:rFonts w:hint="eastAsia" w:ascii="宋体" w:hAnsi="宋体" w:eastAsia="宋体"/>
          <w:b/>
          <w:bCs/>
          <w:color w:val="auto"/>
          <w:sz w:val="28"/>
          <w:szCs w:val="28"/>
          <w:highlight w:val="none"/>
          <w:lang w:bidi="ar"/>
        </w:rPr>
        <w:t xml:space="preserve"> </w:t>
      </w:r>
      <w:r>
        <w:rPr>
          <w:rFonts w:hint="eastAsia" w:ascii="宋体" w:hAnsi="宋体" w:eastAsia="宋体" w:cs="宋体"/>
          <w:b/>
          <w:bCs/>
          <w:color w:val="auto"/>
          <w:sz w:val="28"/>
          <w:szCs w:val="28"/>
          <w:highlight w:val="none"/>
          <w:lang w:bidi="ar"/>
        </w:rPr>
        <w:t>政府采购</w:t>
      </w:r>
      <w:r>
        <w:rPr>
          <w:rFonts w:hint="eastAsia" w:ascii="宋体" w:hAnsi="宋体" w:eastAsia="宋体" w:cs="宋体"/>
          <w:b/>
          <w:color w:val="auto"/>
          <w:sz w:val="28"/>
          <w:szCs w:val="28"/>
          <w:highlight w:val="none"/>
          <w:lang w:bidi="ar"/>
        </w:rPr>
        <w:t>供应</w:t>
      </w:r>
      <w:r>
        <w:rPr>
          <w:rFonts w:hint="eastAsia" w:ascii="宋体" w:hAnsi="宋体" w:eastAsia="宋体" w:cs="宋体"/>
          <w:b/>
          <w:bCs/>
          <w:color w:val="auto"/>
          <w:sz w:val="28"/>
          <w:szCs w:val="28"/>
          <w:highlight w:val="none"/>
          <w:lang w:bidi="ar"/>
        </w:rPr>
        <w:t>商询问函和质疑函范本</w:t>
      </w:r>
      <w:bookmarkEnd w:id="344"/>
    </w:p>
    <w:p w14:paraId="114F713C">
      <w:pPr>
        <w:spacing w:line="360" w:lineRule="auto"/>
        <w:jc w:val="center"/>
        <w:outlineLvl w:val="1"/>
        <w:rPr>
          <w:rFonts w:ascii="仿宋" w:hAnsi="仿宋" w:eastAsia="仿宋" w:cs="仿宋"/>
          <w:b/>
          <w:bCs/>
          <w:color w:val="auto"/>
          <w:sz w:val="32"/>
          <w:szCs w:val="32"/>
          <w:highlight w:val="none"/>
        </w:rPr>
      </w:pPr>
      <w:bookmarkStart w:id="345" w:name="_Toc19892"/>
      <w:bookmarkStart w:id="346" w:name="_Toc19524"/>
      <w:bookmarkStart w:id="347" w:name="_Toc30433"/>
      <w:bookmarkStart w:id="348" w:name="_Toc17477"/>
      <w:r>
        <w:rPr>
          <w:rFonts w:hint="eastAsia" w:ascii="仿宋" w:hAnsi="仿宋" w:eastAsia="仿宋" w:cs="仿宋"/>
          <w:b/>
          <w:bCs/>
          <w:color w:val="auto"/>
          <w:sz w:val="32"/>
          <w:szCs w:val="32"/>
          <w:highlight w:val="none"/>
          <w:lang w:bidi="ar"/>
        </w:rPr>
        <w:t>询问函范本</w:t>
      </w:r>
      <w:bookmarkEnd w:id="345"/>
      <w:bookmarkEnd w:id="346"/>
      <w:bookmarkEnd w:id="347"/>
      <w:bookmarkEnd w:id="348"/>
    </w:p>
    <w:p w14:paraId="2FB7C145">
      <w:pPr>
        <w:adjustRightInd w:val="0"/>
        <w:snapToGrid w:val="0"/>
        <w:spacing w:line="360" w:lineRule="auto"/>
        <w:ind w:firstLine="480" w:firstLineChars="200"/>
        <w:jc w:val="center"/>
        <w:rPr>
          <w:rFonts w:ascii="仿宋" w:hAnsi="仿宋" w:eastAsia="仿宋" w:cs="仿宋"/>
          <w:b/>
          <w:bCs/>
          <w:color w:val="auto"/>
          <w:sz w:val="32"/>
          <w:szCs w:val="32"/>
          <w:highlight w:val="none"/>
        </w:rPr>
      </w:pPr>
      <w:r>
        <w:rPr>
          <w:rFonts w:hint="eastAsia" w:ascii="宋体" w:hAnsi="宋体" w:eastAsia="宋体" w:cs="宋体"/>
          <w:i/>
          <w:iCs/>
          <w:color w:val="auto"/>
          <w:sz w:val="24"/>
          <w:szCs w:val="24"/>
          <w:highlight w:val="none"/>
          <w:lang w:bidi="ar"/>
        </w:rPr>
        <w:t>（如为对采购文件或采购程序的询问或疑问，请按询问函范本或电子交易系统中网上询问格式附件进行提交）</w:t>
      </w:r>
    </w:p>
    <w:p w14:paraId="377E4FEE">
      <w:pPr>
        <w:adjustRightInd w:val="0"/>
        <w:snapToGrid w:val="0"/>
        <w:spacing w:line="360" w:lineRule="auto"/>
        <w:rPr>
          <w:rFonts w:ascii="宋体" w:hAnsi="宋体" w:eastAsia="宋体" w:cs="仿宋"/>
          <w:b/>
          <w:bCs/>
          <w:color w:val="auto"/>
          <w:sz w:val="24"/>
          <w:szCs w:val="24"/>
          <w:highlight w:val="none"/>
          <w:u w:val="single"/>
        </w:rPr>
      </w:pPr>
      <w:r>
        <w:rPr>
          <w:rFonts w:hint="eastAsia" w:ascii="宋体" w:hAnsi="宋体" w:eastAsia="宋体" w:cs="宋体"/>
          <w:b/>
          <w:bCs/>
          <w:color w:val="auto"/>
          <w:sz w:val="24"/>
          <w:szCs w:val="24"/>
          <w:highlight w:val="none"/>
          <w:lang w:bidi="ar"/>
        </w:rPr>
        <w:t>致：采购人</w:t>
      </w:r>
    </w:p>
    <w:p w14:paraId="03CD2B77">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我单位拟参与</w:t>
      </w:r>
      <w:r>
        <w:rPr>
          <w:rFonts w:hint="eastAsia" w:ascii="宋体" w:hAnsi="宋体" w:eastAsia="宋体" w:cs="仿宋"/>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i/>
          <w:iCs/>
          <w:color w:val="auto"/>
          <w:sz w:val="24"/>
          <w:szCs w:val="24"/>
          <w:highlight w:val="none"/>
          <w:lang w:bidi="ar"/>
        </w:rPr>
        <w:t>项目名称、编号</w:t>
      </w:r>
      <w:r>
        <w:rPr>
          <w:rFonts w:hint="eastAsia" w:ascii="宋体" w:hAnsi="宋体" w:eastAsia="宋体" w:cs="宋体"/>
          <w:color w:val="auto"/>
          <w:sz w:val="24"/>
          <w:szCs w:val="24"/>
          <w:highlight w:val="none"/>
          <w:lang w:bidi="ar"/>
        </w:rPr>
        <w:t>）的采购活动，现有以下内容(或条款)存在疑问(或无法理解)，特提出询问。</w:t>
      </w:r>
    </w:p>
    <w:p w14:paraId="71092B13">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一、(事项一)</w:t>
      </w:r>
    </w:p>
    <w:p w14:paraId="07C6769C">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1、(内容或条款)</w:t>
      </w:r>
    </w:p>
    <w:p w14:paraId="63C0F824">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2、(说明疑问或无法理解原因)</w:t>
      </w:r>
    </w:p>
    <w:p w14:paraId="7CFC6321">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3、(建议)</w:t>
      </w:r>
    </w:p>
    <w:p w14:paraId="7973D1F6">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二、(事项二)</w:t>
      </w:r>
    </w:p>
    <w:p w14:paraId="6B4AB6A3">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w:t>
      </w:r>
    </w:p>
    <w:p w14:paraId="2C4D7730">
      <w:pPr>
        <w:adjustRightInd w:val="0"/>
        <w:snapToGrid w:val="0"/>
        <w:spacing w:line="360" w:lineRule="auto"/>
        <w:ind w:firstLine="480" w:firstLineChars="200"/>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随附相关证明材料如下：</w:t>
      </w:r>
      <w:r>
        <w:rPr>
          <w:rFonts w:hint="eastAsia" w:ascii="宋体" w:hAnsi="宋体" w:eastAsia="宋体" w:cs="仿宋"/>
          <w:color w:val="auto"/>
          <w:sz w:val="24"/>
          <w:szCs w:val="24"/>
          <w:highlight w:val="none"/>
          <w:lang w:bidi="ar"/>
        </w:rPr>
        <w:t xml:space="preserve"> </w:t>
      </w:r>
    </w:p>
    <w:p w14:paraId="32E23C89">
      <w:pPr>
        <w:spacing w:line="360" w:lineRule="auto"/>
        <w:ind w:firstLine="4228" w:firstLineChars="1762"/>
        <w:rPr>
          <w:rFonts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联</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系</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人：</w:t>
      </w:r>
      <w:r>
        <w:rPr>
          <w:rFonts w:hint="eastAsia" w:ascii="宋体" w:hAnsi="宋体" w:eastAsia="宋体"/>
          <w:color w:val="auto"/>
          <w:sz w:val="24"/>
          <w:szCs w:val="24"/>
          <w:highlight w:val="none"/>
          <w:u w:val="single"/>
          <w:lang w:bidi="ar"/>
        </w:rPr>
        <w:t xml:space="preserve">              </w:t>
      </w:r>
    </w:p>
    <w:p w14:paraId="2C393447">
      <w:pPr>
        <w:spacing w:line="360" w:lineRule="auto"/>
        <w:ind w:firstLine="4228" w:firstLineChars="1762"/>
        <w:rPr>
          <w:rFonts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联系电话：</w:t>
      </w:r>
      <w:r>
        <w:rPr>
          <w:rFonts w:hint="eastAsia" w:ascii="宋体" w:hAnsi="宋体" w:eastAsia="宋体"/>
          <w:color w:val="auto"/>
          <w:sz w:val="24"/>
          <w:szCs w:val="24"/>
          <w:highlight w:val="none"/>
          <w:u w:val="single"/>
          <w:lang w:bidi="ar"/>
        </w:rPr>
        <w:t xml:space="preserve">              </w:t>
      </w:r>
    </w:p>
    <w:p w14:paraId="29975FD6">
      <w:pPr>
        <w:spacing w:line="360" w:lineRule="auto"/>
        <w:ind w:firstLine="4228" w:firstLineChars="1762"/>
        <w:rPr>
          <w:rFonts w:ascii="宋体" w:hAnsi="宋体" w:eastAsia="宋体"/>
          <w:color w:val="auto"/>
          <w:sz w:val="24"/>
          <w:szCs w:val="24"/>
          <w:highlight w:val="none"/>
          <w:u w:val="single"/>
        </w:rPr>
      </w:pPr>
      <w:r>
        <w:rPr>
          <w:rFonts w:hint="eastAsia" w:ascii="宋体" w:hAnsi="宋体" w:eastAsia="宋体" w:cs="宋体"/>
          <w:color w:val="auto"/>
          <w:sz w:val="24"/>
          <w:szCs w:val="24"/>
          <w:highlight w:val="none"/>
          <w:lang w:bidi="ar"/>
        </w:rPr>
        <w:t>日</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期：</w:t>
      </w:r>
      <w:r>
        <w:rPr>
          <w:rFonts w:hint="eastAsia" w:ascii="宋体" w:hAnsi="宋体" w:eastAsia="宋体"/>
          <w:color w:val="auto"/>
          <w:sz w:val="24"/>
          <w:szCs w:val="24"/>
          <w:highlight w:val="none"/>
          <w:u w:val="single"/>
          <w:lang w:bidi="ar"/>
        </w:rPr>
        <w:t xml:space="preserve">              </w:t>
      </w:r>
    </w:p>
    <w:p w14:paraId="2F4458A1">
      <w:pPr>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bidi="ar"/>
        </w:rPr>
        <w:br w:type="page"/>
      </w:r>
    </w:p>
    <w:p w14:paraId="6C08E1B1">
      <w:pPr>
        <w:jc w:val="center"/>
        <w:outlineLvl w:val="1"/>
        <w:rPr>
          <w:rFonts w:ascii="仿宋" w:hAnsi="仿宋" w:eastAsia="仿宋" w:cs="仿宋"/>
          <w:b/>
          <w:bCs/>
          <w:color w:val="auto"/>
          <w:sz w:val="32"/>
          <w:szCs w:val="32"/>
          <w:highlight w:val="none"/>
        </w:rPr>
      </w:pPr>
      <w:bookmarkStart w:id="349" w:name="_Toc28470"/>
      <w:bookmarkStart w:id="350" w:name="_Toc7918"/>
      <w:bookmarkStart w:id="351" w:name="_Toc14038"/>
      <w:bookmarkStart w:id="352" w:name="_Toc6653"/>
      <w:r>
        <w:rPr>
          <w:rFonts w:hint="eastAsia" w:ascii="仿宋" w:hAnsi="仿宋" w:eastAsia="仿宋" w:cs="仿宋"/>
          <w:b/>
          <w:bCs/>
          <w:color w:val="auto"/>
          <w:sz w:val="32"/>
          <w:szCs w:val="32"/>
          <w:highlight w:val="none"/>
          <w:lang w:bidi="ar"/>
        </w:rPr>
        <w:t>质疑函范本</w:t>
      </w:r>
      <w:bookmarkEnd w:id="349"/>
      <w:bookmarkEnd w:id="350"/>
      <w:bookmarkEnd w:id="351"/>
      <w:bookmarkEnd w:id="352"/>
    </w:p>
    <w:p w14:paraId="2BC72EE6">
      <w:pPr>
        <w:adjustRightInd w:val="0"/>
        <w:snapToGrid w:val="0"/>
        <w:spacing w:before="312" w:beforeLines="100" w:line="360" w:lineRule="auto"/>
        <w:rPr>
          <w:rFonts w:ascii="宋体" w:hAnsi="宋体" w:eastAsia="宋体" w:cs="仿宋"/>
          <w:b/>
          <w:bCs/>
          <w:color w:val="auto"/>
          <w:sz w:val="24"/>
          <w:szCs w:val="24"/>
          <w:highlight w:val="none"/>
        </w:rPr>
      </w:pPr>
      <w:r>
        <w:rPr>
          <w:rFonts w:hint="eastAsia" w:ascii="宋体" w:hAnsi="宋体" w:eastAsia="宋体" w:cs="宋体"/>
          <w:b/>
          <w:bCs/>
          <w:color w:val="auto"/>
          <w:sz w:val="24"/>
          <w:szCs w:val="24"/>
          <w:highlight w:val="none"/>
          <w:lang w:bidi="ar"/>
        </w:rPr>
        <w:t>一、质疑供应商基本信息</w:t>
      </w:r>
    </w:p>
    <w:p w14:paraId="135F011A">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质疑供应商：</w:t>
      </w:r>
      <w:r>
        <w:rPr>
          <w:rFonts w:hint="eastAsia" w:ascii="宋体" w:hAnsi="宋体" w:eastAsia="宋体" w:cs="仿宋"/>
          <w:color w:val="auto"/>
          <w:sz w:val="24"/>
          <w:szCs w:val="24"/>
          <w:highlight w:val="none"/>
          <w:u w:val="dotted"/>
          <w:lang w:bidi="ar"/>
        </w:rPr>
        <w:t xml:space="preserve">                                        </w:t>
      </w:r>
    </w:p>
    <w:p w14:paraId="3EBA0A3A">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地址：</w:t>
      </w:r>
      <w:r>
        <w:rPr>
          <w:rFonts w:hint="eastAsia" w:ascii="宋体" w:hAnsi="宋体" w:eastAsia="宋体" w:cs="仿宋"/>
          <w:color w:val="auto"/>
          <w:sz w:val="24"/>
          <w:szCs w:val="24"/>
          <w:highlight w:val="none"/>
          <w:u w:val="dotted"/>
          <w:lang w:bidi="ar"/>
        </w:rPr>
        <w:t xml:space="preserve">                          </w:t>
      </w:r>
      <w:r>
        <w:rPr>
          <w:rFonts w:hint="eastAsia" w:ascii="宋体" w:hAnsi="宋体" w:eastAsia="宋体" w:cs="宋体"/>
          <w:color w:val="auto"/>
          <w:sz w:val="24"/>
          <w:szCs w:val="24"/>
          <w:highlight w:val="none"/>
          <w:lang w:bidi="ar"/>
        </w:rPr>
        <w:t>邮编：</w:t>
      </w:r>
      <w:r>
        <w:rPr>
          <w:rFonts w:hint="eastAsia" w:ascii="宋体" w:hAnsi="宋体" w:eastAsia="宋体" w:cs="仿宋"/>
          <w:color w:val="auto"/>
          <w:sz w:val="24"/>
          <w:szCs w:val="24"/>
          <w:highlight w:val="none"/>
          <w:u w:val="dotted"/>
          <w:lang w:bidi="ar"/>
        </w:rPr>
        <w:t xml:space="preserve">                                 </w:t>
      </w:r>
    </w:p>
    <w:p w14:paraId="02272D5D">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联系人：</w:t>
      </w:r>
      <w:r>
        <w:rPr>
          <w:rFonts w:hint="eastAsia" w:ascii="宋体" w:hAnsi="宋体" w:eastAsia="宋体" w:cs="仿宋"/>
          <w:color w:val="auto"/>
          <w:sz w:val="24"/>
          <w:szCs w:val="24"/>
          <w:highlight w:val="none"/>
          <w:u w:val="dotted"/>
          <w:lang w:bidi="ar"/>
        </w:rPr>
        <w:t xml:space="preserve">                      </w:t>
      </w:r>
      <w:r>
        <w:rPr>
          <w:rFonts w:hint="eastAsia" w:ascii="宋体" w:hAnsi="宋体" w:eastAsia="宋体" w:cs="宋体"/>
          <w:color w:val="auto"/>
          <w:sz w:val="24"/>
          <w:szCs w:val="24"/>
          <w:highlight w:val="none"/>
          <w:lang w:bidi="ar"/>
        </w:rPr>
        <w:t>联系电话：</w:t>
      </w:r>
      <w:r>
        <w:rPr>
          <w:rFonts w:hint="eastAsia" w:ascii="宋体" w:hAnsi="宋体" w:eastAsia="宋体" w:cs="仿宋"/>
          <w:color w:val="auto"/>
          <w:sz w:val="24"/>
          <w:szCs w:val="24"/>
          <w:highlight w:val="none"/>
          <w:u w:val="dotted"/>
          <w:lang w:bidi="ar"/>
        </w:rPr>
        <w:t xml:space="preserve">                              </w:t>
      </w:r>
    </w:p>
    <w:p w14:paraId="3403F78B">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授权代表：</w:t>
      </w:r>
      <w:r>
        <w:rPr>
          <w:rFonts w:hint="eastAsia" w:ascii="宋体" w:hAnsi="宋体" w:eastAsia="宋体" w:cs="仿宋"/>
          <w:color w:val="auto"/>
          <w:sz w:val="24"/>
          <w:szCs w:val="24"/>
          <w:highlight w:val="none"/>
          <w:u w:val="dotted"/>
          <w:lang w:bidi="ar"/>
        </w:rPr>
        <w:t xml:space="preserve">                                          </w:t>
      </w:r>
    </w:p>
    <w:p w14:paraId="173C502A">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联系电话：</w:t>
      </w:r>
      <w:r>
        <w:rPr>
          <w:rFonts w:hint="eastAsia" w:ascii="宋体" w:hAnsi="宋体" w:eastAsia="宋体" w:cs="仿宋"/>
          <w:color w:val="auto"/>
          <w:sz w:val="24"/>
          <w:szCs w:val="24"/>
          <w:highlight w:val="none"/>
          <w:u w:val="dotted"/>
          <w:lang w:bidi="ar"/>
        </w:rPr>
        <w:t xml:space="preserve">                                           </w:t>
      </w:r>
      <w:r>
        <w:rPr>
          <w:rFonts w:hint="eastAsia" w:ascii="宋体" w:hAnsi="宋体" w:eastAsia="宋体" w:cs="仿宋"/>
          <w:color w:val="auto"/>
          <w:sz w:val="24"/>
          <w:szCs w:val="24"/>
          <w:highlight w:val="none"/>
          <w:lang w:bidi="ar"/>
        </w:rPr>
        <w:t xml:space="preserve"> </w:t>
      </w:r>
    </w:p>
    <w:p w14:paraId="7FDC1C5E">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地址：</w:t>
      </w:r>
      <w:r>
        <w:rPr>
          <w:rFonts w:hint="eastAsia" w:ascii="宋体" w:hAnsi="宋体" w:eastAsia="宋体" w:cs="仿宋"/>
          <w:color w:val="auto"/>
          <w:sz w:val="24"/>
          <w:szCs w:val="24"/>
          <w:highlight w:val="none"/>
          <w:lang w:bidi="ar"/>
        </w:rPr>
        <w:t xml:space="preserve"> </w:t>
      </w:r>
      <w:r>
        <w:rPr>
          <w:rFonts w:hint="eastAsia" w:ascii="宋体" w:hAnsi="宋体" w:eastAsia="宋体" w:cs="仿宋"/>
          <w:color w:val="auto"/>
          <w:sz w:val="24"/>
          <w:szCs w:val="24"/>
          <w:highlight w:val="none"/>
          <w:u w:val="dotted"/>
          <w:lang w:bidi="ar"/>
        </w:rPr>
        <w:t xml:space="preserve">                        </w:t>
      </w:r>
      <w:r>
        <w:rPr>
          <w:rFonts w:hint="eastAsia" w:ascii="宋体" w:hAnsi="宋体" w:eastAsia="宋体" w:cs="宋体"/>
          <w:color w:val="auto"/>
          <w:sz w:val="24"/>
          <w:szCs w:val="24"/>
          <w:highlight w:val="none"/>
          <w:lang w:bidi="ar"/>
        </w:rPr>
        <w:t>邮编：</w:t>
      </w:r>
      <w:r>
        <w:rPr>
          <w:rFonts w:hint="eastAsia" w:ascii="宋体" w:hAnsi="宋体" w:eastAsia="宋体" w:cs="仿宋"/>
          <w:color w:val="auto"/>
          <w:sz w:val="24"/>
          <w:szCs w:val="24"/>
          <w:highlight w:val="none"/>
          <w:u w:val="dotted"/>
          <w:lang w:bidi="ar"/>
        </w:rPr>
        <w:t xml:space="preserve">                                   </w:t>
      </w:r>
    </w:p>
    <w:p w14:paraId="3A393C6F">
      <w:pPr>
        <w:adjustRightInd w:val="0"/>
        <w:snapToGrid w:val="0"/>
        <w:spacing w:line="360" w:lineRule="auto"/>
        <w:rPr>
          <w:rFonts w:ascii="宋体" w:hAnsi="宋体" w:eastAsia="宋体" w:cs="仿宋"/>
          <w:b/>
          <w:bCs/>
          <w:color w:val="auto"/>
          <w:sz w:val="24"/>
          <w:szCs w:val="24"/>
          <w:highlight w:val="none"/>
        </w:rPr>
      </w:pPr>
      <w:r>
        <w:rPr>
          <w:rFonts w:hint="eastAsia" w:ascii="宋体" w:hAnsi="宋体" w:eastAsia="宋体" w:cs="宋体"/>
          <w:b/>
          <w:bCs/>
          <w:color w:val="auto"/>
          <w:sz w:val="24"/>
          <w:szCs w:val="24"/>
          <w:highlight w:val="none"/>
          <w:lang w:bidi="ar"/>
        </w:rPr>
        <w:t>二、质疑项目基本情况</w:t>
      </w:r>
    </w:p>
    <w:p w14:paraId="40D03296">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质疑项目的名称：</w:t>
      </w:r>
      <w:r>
        <w:rPr>
          <w:rFonts w:hint="eastAsia" w:ascii="宋体" w:hAnsi="宋体" w:eastAsia="宋体" w:cs="仿宋"/>
          <w:color w:val="auto"/>
          <w:sz w:val="24"/>
          <w:szCs w:val="24"/>
          <w:highlight w:val="none"/>
          <w:u w:val="dotted"/>
          <w:lang w:bidi="ar"/>
        </w:rPr>
        <w:t xml:space="preserve">                                      </w:t>
      </w:r>
    </w:p>
    <w:p w14:paraId="0E316A2E">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质疑项目的编号：</w:t>
      </w:r>
      <w:r>
        <w:rPr>
          <w:rFonts w:hint="eastAsia" w:ascii="宋体" w:hAnsi="宋体" w:eastAsia="宋体" w:cs="仿宋"/>
          <w:color w:val="auto"/>
          <w:sz w:val="24"/>
          <w:szCs w:val="24"/>
          <w:highlight w:val="none"/>
          <w:u w:val="dotted"/>
          <w:lang w:bidi="ar"/>
        </w:rPr>
        <w:t xml:space="preserve">               </w:t>
      </w:r>
      <w:r>
        <w:rPr>
          <w:rFonts w:hint="eastAsia" w:ascii="宋体" w:hAnsi="宋体" w:eastAsia="宋体" w:cs="宋体"/>
          <w:color w:val="auto"/>
          <w:sz w:val="24"/>
          <w:szCs w:val="24"/>
          <w:highlight w:val="none"/>
          <w:lang w:bidi="ar"/>
        </w:rPr>
        <w:t>包号：</w:t>
      </w:r>
      <w:r>
        <w:rPr>
          <w:rFonts w:hint="eastAsia" w:ascii="宋体" w:hAnsi="宋体" w:eastAsia="宋体" w:cs="仿宋"/>
          <w:color w:val="auto"/>
          <w:sz w:val="24"/>
          <w:szCs w:val="24"/>
          <w:highlight w:val="none"/>
          <w:u w:val="dotted"/>
          <w:lang w:bidi="ar"/>
        </w:rPr>
        <w:t xml:space="preserve">                 </w:t>
      </w:r>
    </w:p>
    <w:p w14:paraId="18C31758">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采购人名称：</w:t>
      </w:r>
      <w:r>
        <w:rPr>
          <w:rFonts w:hint="eastAsia" w:ascii="宋体" w:hAnsi="宋体" w:eastAsia="宋体" w:cs="仿宋"/>
          <w:color w:val="auto"/>
          <w:sz w:val="24"/>
          <w:szCs w:val="24"/>
          <w:highlight w:val="none"/>
          <w:u w:val="dotted"/>
          <w:lang w:bidi="ar"/>
        </w:rPr>
        <w:t xml:space="preserve">                                         </w:t>
      </w:r>
    </w:p>
    <w:p w14:paraId="0F633A07">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采购文件获取日期：</w:t>
      </w:r>
      <w:r>
        <w:rPr>
          <w:rFonts w:hint="eastAsia" w:ascii="宋体" w:hAnsi="宋体" w:eastAsia="宋体" w:cs="仿宋"/>
          <w:color w:val="auto"/>
          <w:sz w:val="24"/>
          <w:szCs w:val="24"/>
          <w:highlight w:val="none"/>
          <w:u w:val="dotted"/>
          <w:lang w:bidi="ar"/>
        </w:rPr>
        <w:t xml:space="preserve">                                           </w:t>
      </w:r>
    </w:p>
    <w:p w14:paraId="6CB5D4B7">
      <w:pPr>
        <w:adjustRightInd w:val="0"/>
        <w:snapToGrid w:val="0"/>
        <w:spacing w:line="360" w:lineRule="auto"/>
        <w:rPr>
          <w:rFonts w:ascii="宋体" w:hAnsi="宋体" w:eastAsia="宋体" w:cs="仿宋"/>
          <w:b/>
          <w:bCs/>
          <w:color w:val="auto"/>
          <w:sz w:val="24"/>
          <w:szCs w:val="24"/>
          <w:highlight w:val="none"/>
        </w:rPr>
      </w:pPr>
      <w:r>
        <w:rPr>
          <w:rFonts w:hint="eastAsia" w:ascii="宋体" w:hAnsi="宋体" w:eastAsia="宋体" w:cs="宋体"/>
          <w:b/>
          <w:bCs/>
          <w:color w:val="auto"/>
          <w:sz w:val="24"/>
          <w:szCs w:val="24"/>
          <w:highlight w:val="none"/>
          <w:lang w:bidi="ar"/>
        </w:rPr>
        <w:t>三、质疑事项具体内容</w:t>
      </w:r>
    </w:p>
    <w:p w14:paraId="16AE56D6">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质疑事项1：</w:t>
      </w:r>
      <w:r>
        <w:rPr>
          <w:rFonts w:hint="eastAsia" w:ascii="宋体" w:hAnsi="宋体" w:eastAsia="宋体" w:cs="仿宋"/>
          <w:color w:val="auto"/>
          <w:sz w:val="24"/>
          <w:szCs w:val="24"/>
          <w:highlight w:val="none"/>
          <w:u w:val="dotted"/>
          <w:lang w:bidi="ar"/>
        </w:rPr>
        <w:t xml:space="preserve">                                         </w:t>
      </w:r>
    </w:p>
    <w:p w14:paraId="39460804">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事实依据：</w:t>
      </w:r>
      <w:r>
        <w:rPr>
          <w:rFonts w:hint="eastAsia" w:ascii="宋体" w:hAnsi="宋体" w:eastAsia="宋体" w:cs="仿宋"/>
          <w:color w:val="auto"/>
          <w:sz w:val="24"/>
          <w:szCs w:val="24"/>
          <w:highlight w:val="none"/>
          <w:u w:val="dotted"/>
          <w:lang w:bidi="ar"/>
        </w:rPr>
        <w:t xml:space="preserve">                                          </w:t>
      </w:r>
    </w:p>
    <w:p w14:paraId="4EAE44BD">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仿宋"/>
          <w:color w:val="auto"/>
          <w:sz w:val="24"/>
          <w:szCs w:val="24"/>
          <w:highlight w:val="none"/>
          <w:u w:val="dotted"/>
          <w:lang w:bidi="ar"/>
        </w:rPr>
        <w:t xml:space="preserve">                                                       </w:t>
      </w:r>
    </w:p>
    <w:p w14:paraId="0E8FE4D9">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法律依据：</w:t>
      </w:r>
      <w:r>
        <w:rPr>
          <w:rFonts w:hint="eastAsia" w:ascii="宋体" w:hAnsi="宋体" w:eastAsia="宋体" w:cs="仿宋"/>
          <w:color w:val="auto"/>
          <w:sz w:val="24"/>
          <w:szCs w:val="24"/>
          <w:highlight w:val="none"/>
          <w:u w:val="dotted"/>
          <w:lang w:bidi="ar"/>
        </w:rPr>
        <w:t xml:space="preserve">                                          </w:t>
      </w:r>
    </w:p>
    <w:p w14:paraId="414B18AC">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仿宋"/>
          <w:color w:val="auto"/>
          <w:sz w:val="24"/>
          <w:szCs w:val="24"/>
          <w:highlight w:val="none"/>
          <w:u w:val="dotted"/>
          <w:lang w:bidi="ar"/>
        </w:rPr>
        <w:t xml:space="preserve">                                                     </w:t>
      </w:r>
    </w:p>
    <w:p w14:paraId="78FE4F07">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质疑事项2</w:t>
      </w:r>
    </w:p>
    <w:p w14:paraId="4F2AC9DC">
      <w:pPr>
        <w:adjustRightInd w:val="0"/>
        <w:snapToGrid w:val="0"/>
        <w:spacing w:line="360" w:lineRule="auto"/>
        <w:rPr>
          <w:rFonts w:ascii="宋体" w:hAnsi="宋体" w:eastAsia="宋体" w:cs="仿宋"/>
          <w:color w:val="auto"/>
          <w:sz w:val="24"/>
          <w:szCs w:val="24"/>
          <w:highlight w:val="none"/>
        </w:rPr>
      </w:pPr>
      <w:r>
        <w:rPr>
          <w:rFonts w:hint="eastAsia" w:ascii="宋体" w:hAnsi="宋体" w:eastAsia="宋体" w:cs="宋体"/>
          <w:color w:val="auto"/>
          <w:sz w:val="24"/>
          <w:szCs w:val="24"/>
          <w:highlight w:val="none"/>
          <w:lang w:bidi="ar"/>
        </w:rPr>
        <w:t>……</w:t>
      </w:r>
    </w:p>
    <w:p w14:paraId="378EE2C0">
      <w:pPr>
        <w:adjustRightInd w:val="0"/>
        <w:snapToGrid w:val="0"/>
        <w:spacing w:line="360" w:lineRule="auto"/>
        <w:rPr>
          <w:rFonts w:ascii="宋体" w:hAnsi="宋体" w:eastAsia="宋体" w:cs="仿宋"/>
          <w:b/>
          <w:bCs/>
          <w:color w:val="auto"/>
          <w:sz w:val="24"/>
          <w:szCs w:val="24"/>
          <w:highlight w:val="none"/>
        </w:rPr>
      </w:pPr>
      <w:r>
        <w:rPr>
          <w:rFonts w:hint="eastAsia" w:ascii="宋体" w:hAnsi="宋体" w:eastAsia="宋体" w:cs="宋体"/>
          <w:b/>
          <w:bCs/>
          <w:color w:val="auto"/>
          <w:sz w:val="24"/>
          <w:szCs w:val="24"/>
          <w:highlight w:val="none"/>
          <w:lang w:bidi="ar"/>
        </w:rPr>
        <w:t>四、与质疑事项相关的质疑请求</w:t>
      </w:r>
    </w:p>
    <w:p w14:paraId="7F9DB3D1">
      <w:pPr>
        <w:adjustRightInd w:val="0"/>
        <w:snapToGrid w:val="0"/>
        <w:spacing w:line="360" w:lineRule="auto"/>
        <w:rPr>
          <w:rFonts w:ascii="宋体" w:hAnsi="宋体" w:eastAsia="宋体" w:cs="仿宋"/>
          <w:color w:val="auto"/>
          <w:sz w:val="24"/>
          <w:szCs w:val="24"/>
          <w:highlight w:val="none"/>
          <w:u w:val="dotted"/>
        </w:rPr>
      </w:pPr>
      <w:r>
        <w:rPr>
          <w:rFonts w:hint="eastAsia" w:ascii="宋体" w:hAnsi="宋体" w:eastAsia="宋体" w:cs="宋体"/>
          <w:color w:val="auto"/>
          <w:sz w:val="24"/>
          <w:szCs w:val="24"/>
          <w:highlight w:val="none"/>
          <w:lang w:bidi="ar"/>
        </w:rPr>
        <w:t>请求：</w:t>
      </w:r>
      <w:r>
        <w:rPr>
          <w:rFonts w:hint="eastAsia" w:ascii="宋体" w:hAnsi="宋体" w:eastAsia="宋体" w:cs="仿宋"/>
          <w:color w:val="auto"/>
          <w:sz w:val="24"/>
          <w:szCs w:val="24"/>
          <w:highlight w:val="none"/>
          <w:u w:val="dotted"/>
          <w:lang w:bidi="ar"/>
        </w:rPr>
        <w:t xml:space="preserve">                                               </w:t>
      </w:r>
    </w:p>
    <w:p w14:paraId="6008517C">
      <w:pPr>
        <w:spacing w:line="360" w:lineRule="auto"/>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 xml:space="preserve">签字(签章)：                   公章：                      </w:t>
      </w:r>
    </w:p>
    <w:p w14:paraId="3A2AE5ED">
      <w:pPr>
        <w:spacing w:line="360" w:lineRule="auto"/>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日期：</w:t>
      </w:r>
      <w:r>
        <w:rPr>
          <w:rFonts w:hint="eastAsia" w:ascii="宋体" w:hAnsi="宋体" w:eastAsia="宋体"/>
          <w:color w:val="auto"/>
          <w:sz w:val="24"/>
          <w:szCs w:val="24"/>
          <w:highlight w:val="none"/>
          <w:lang w:bidi="ar"/>
        </w:rPr>
        <w:t xml:space="preserve">    </w:t>
      </w:r>
    </w:p>
    <w:p w14:paraId="1AC393CF">
      <w:pPr>
        <w:widowControl/>
        <w:jc w:val="lef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lang w:bidi="ar"/>
        </w:rPr>
        <w:br w:type="page"/>
      </w:r>
    </w:p>
    <w:p w14:paraId="5C0A3674">
      <w:pPr>
        <w:outlineLvl w:val="0"/>
        <w:rPr>
          <w:rFonts w:ascii="宋体" w:hAnsi="宋体" w:eastAsia="宋体"/>
          <w:b/>
          <w:color w:val="auto"/>
          <w:sz w:val="28"/>
          <w:szCs w:val="28"/>
          <w:highlight w:val="none"/>
        </w:rPr>
      </w:pPr>
      <w:bookmarkStart w:id="353" w:name="_Toc28299"/>
      <w:bookmarkStart w:id="354" w:name="_Toc21779"/>
      <w:bookmarkStart w:id="355" w:name="_Toc18057"/>
      <w:bookmarkStart w:id="356" w:name="_Toc14187"/>
      <w:r>
        <w:rPr>
          <w:rFonts w:hint="eastAsia" w:ascii="宋体" w:hAnsi="宋体" w:eastAsia="宋体" w:cs="宋体"/>
          <w:b/>
          <w:color w:val="auto"/>
          <w:sz w:val="28"/>
          <w:szCs w:val="28"/>
          <w:highlight w:val="none"/>
          <w:lang w:bidi="ar"/>
        </w:rPr>
        <w:t>质疑函制作说明：</w:t>
      </w:r>
      <w:bookmarkEnd w:id="353"/>
      <w:bookmarkEnd w:id="354"/>
      <w:bookmarkEnd w:id="355"/>
      <w:bookmarkEnd w:id="356"/>
    </w:p>
    <w:p w14:paraId="0ED7DA35">
      <w:pPr>
        <w:spacing w:line="360" w:lineRule="auto"/>
        <w:ind w:firstLine="435"/>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1.供应商提出质疑时，应提交质疑函和必要的证明材料。</w:t>
      </w:r>
    </w:p>
    <w:p w14:paraId="09DAE379">
      <w:pPr>
        <w:spacing w:line="360" w:lineRule="auto"/>
        <w:ind w:firstLine="435"/>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D553F9F">
      <w:pPr>
        <w:spacing w:line="360" w:lineRule="auto"/>
        <w:ind w:firstLine="435"/>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3.质疑供应商若对项目的某一分包进行质疑，质疑函中应列明具体分包号。</w:t>
      </w:r>
    </w:p>
    <w:p w14:paraId="3A76861D">
      <w:pPr>
        <w:spacing w:line="360" w:lineRule="auto"/>
        <w:ind w:firstLine="435"/>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4.质疑函的质疑事项应具体、明确，并有必要的事实依据和法律依据。</w:t>
      </w:r>
    </w:p>
    <w:p w14:paraId="7003C7B8">
      <w:pPr>
        <w:spacing w:line="360" w:lineRule="auto"/>
        <w:ind w:firstLine="435"/>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5.质疑函的质疑请求应与质疑事项相关。</w:t>
      </w:r>
    </w:p>
    <w:p w14:paraId="5C11DF18">
      <w:pPr>
        <w:spacing w:line="360" w:lineRule="auto"/>
        <w:ind w:firstLine="435"/>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6.质疑供应商为自然人的，质疑函应由本人签字；质疑供应商为法人或者其他组织的，质疑函应由法定代表人、主要负责人，或者其授权代表签字或者盖章，并加盖公章。</w:t>
      </w:r>
    </w:p>
    <w:p w14:paraId="34A8824C">
      <w:pPr>
        <w:pStyle w:val="9"/>
        <w:rPr>
          <w:rFonts w:ascii="宋体" w:hAnsi="宋体" w:eastAsia="宋体"/>
          <w:color w:val="auto"/>
          <w:sz w:val="24"/>
          <w:highlight w:val="none"/>
        </w:rPr>
      </w:pPr>
    </w:p>
    <w:p w14:paraId="3F9B6AA3">
      <w:pPr>
        <w:pStyle w:val="9"/>
        <w:rPr>
          <w:rFonts w:ascii="宋体" w:hAnsi="宋体" w:eastAsia="宋体"/>
          <w:color w:val="auto"/>
          <w:sz w:val="24"/>
          <w:highlight w:val="none"/>
        </w:rPr>
      </w:pPr>
    </w:p>
    <w:p w14:paraId="4856BE90">
      <w:pPr>
        <w:pStyle w:val="9"/>
        <w:rPr>
          <w:rFonts w:ascii="宋体" w:hAnsi="宋体" w:eastAsia="宋体"/>
          <w:color w:val="auto"/>
          <w:sz w:val="24"/>
          <w:highlight w:val="none"/>
        </w:rPr>
      </w:pPr>
    </w:p>
    <w:p w14:paraId="42D981DD">
      <w:pPr>
        <w:pStyle w:val="9"/>
        <w:rPr>
          <w:rFonts w:ascii="宋体" w:hAnsi="宋体" w:eastAsia="宋体"/>
          <w:color w:val="auto"/>
          <w:sz w:val="24"/>
          <w:highlight w:val="none"/>
        </w:rPr>
      </w:pPr>
    </w:p>
    <w:p w14:paraId="2D57D62D">
      <w:pPr>
        <w:pStyle w:val="9"/>
        <w:rPr>
          <w:rFonts w:ascii="宋体" w:hAnsi="宋体" w:eastAsia="宋体"/>
          <w:color w:val="auto"/>
          <w:sz w:val="24"/>
          <w:highlight w:val="none"/>
        </w:rPr>
      </w:pPr>
    </w:p>
    <w:p w14:paraId="1DC03C7D">
      <w:pPr>
        <w:pStyle w:val="9"/>
        <w:rPr>
          <w:rFonts w:ascii="宋体" w:hAnsi="宋体" w:eastAsia="宋体"/>
          <w:color w:val="auto"/>
          <w:sz w:val="24"/>
          <w:highlight w:val="none"/>
        </w:rPr>
      </w:pPr>
    </w:p>
    <w:p w14:paraId="72DD4D77">
      <w:pPr>
        <w:pStyle w:val="9"/>
        <w:rPr>
          <w:rFonts w:ascii="宋体" w:hAnsi="宋体" w:eastAsia="宋体"/>
          <w:color w:val="auto"/>
          <w:sz w:val="24"/>
          <w:highlight w:val="none"/>
        </w:rPr>
      </w:pPr>
    </w:p>
    <w:p w14:paraId="2EF1C811">
      <w:pPr>
        <w:pStyle w:val="9"/>
        <w:rPr>
          <w:rFonts w:ascii="宋体" w:hAnsi="宋体" w:eastAsia="宋体"/>
          <w:color w:val="auto"/>
          <w:sz w:val="24"/>
          <w:highlight w:val="none"/>
        </w:rPr>
      </w:pPr>
    </w:p>
    <w:p w14:paraId="0C94F524">
      <w:pPr>
        <w:pStyle w:val="9"/>
        <w:rPr>
          <w:rFonts w:ascii="宋体" w:hAnsi="宋体" w:eastAsia="宋体"/>
          <w:color w:val="auto"/>
          <w:sz w:val="24"/>
          <w:highlight w:val="none"/>
        </w:rPr>
      </w:pPr>
    </w:p>
    <w:p w14:paraId="498D2C10">
      <w:pPr>
        <w:pStyle w:val="9"/>
        <w:rPr>
          <w:rFonts w:ascii="宋体" w:hAnsi="宋体" w:eastAsia="宋体"/>
          <w:color w:val="auto"/>
          <w:sz w:val="24"/>
          <w:highlight w:val="none"/>
        </w:rPr>
      </w:pPr>
    </w:p>
    <w:p w14:paraId="47E02E50">
      <w:pPr>
        <w:pStyle w:val="9"/>
        <w:rPr>
          <w:rFonts w:ascii="宋体" w:hAnsi="宋体" w:eastAsia="宋体"/>
          <w:color w:val="auto"/>
          <w:sz w:val="24"/>
          <w:highlight w:val="none"/>
        </w:rPr>
      </w:pPr>
    </w:p>
    <w:p w14:paraId="7E5D9E5B">
      <w:pPr>
        <w:pStyle w:val="9"/>
        <w:rPr>
          <w:rFonts w:ascii="宋体" w:hAnsi="宋体" w:eastAsia="宋体"/>
          <w:color w:val="auto"/>
          <w:sz w:val="24"/>
          <w:highlight w:val="none"/>
        </w:rPr>
      </w:pPr>
    </w:p>
    <w:p w14:paraId="68910D74">
      <w:pPr>
        <w:pStyle w:val="9"/>
        <w:rPr>
          <w:rFonts w:ascii="宋体" w:hAnsi="宋体" w:eastAsia="宋体"/>
          <w:color w:val="auto"/>
          <w:sz w:val="24"/>
          <w:highlight w:val="none"/>
        </w:rPr>
      </w:pPr>
    </w:p>
    <w:p w14:paraId="1FBE19D9">
      <w:pPr>
        <w:pStyle w:val="9"/>
        <w:rPr>
          <w:rFonts w:ascii="宋体" w:hAnsi="宋体" w:eastAsia="宋体"/>
          <w:color w:val="auto"/>
          <w:sz w:val="24"/>
          <w:highlight w:val="none"/>
        </w:rPr>
      </w:pPr>
    </w:p>
    <w:p w14:paraId="5AF2533A">
      <w:pPr>
        <w:pStyle w:val="9"/>
        <w:rPr>
          <w:rFonts w:ascii="宋体" w:hAnsi="宋体" w:eastAsia="宋体"/>
          <w:color w:val="auto"/>
          <w:sz w:val="24"/>
          <w:highlight w:val="none"/>
        </w:rPr>
      </w:pPr>
    </w:p>
    <w:p w14:paraId="1D6FB728">
      <w:pPr>
        <w:pStyle w:val="9"/>
        <w:rPr>
          <w:rFonts w:ascii="宋体" w:hAnsi="宋体" w:eastAsia="宋体"/>
          <w:color w:val="auto"/>
          <w:sz w:val="24"/>
          <w:highlight w:val="none"/>
        </w:rPr>
      </w:pPr>
    </w:p>
    <w:p w14:paraId="61D24043">
      <w:pPr>
        <w:pStyle w:val="9"/>
        <w:rPr>
          <w:rFonts w:ascii="宋体" w:hAnsi="宋体" w:eastAsia="宋体"/>
          <w:color w:val="auto"/>
          <w:sz w:val="24"/>
          <w:highlight w:val="none"/>
        </w:rPr>
      </w:pPr>
    </w:p>
    <w:p w14:paraId="59F83629">
      <w:pPr>
        <w:pStyle w:val="9"/>
        <w:rPr>
          <w:rFonts w:ascii="宋体" w:hAnsi="宋体" w:eastAsia="宋体"/>
          <w:color w:val="auto"/>
          <w:sz w:val="24"/>
          <w:highlight w:val="none"/>
        </w:rPr>
      </w:pPr>
    </w:p>
    <w:p w14:paraId="2242AB59">
      <w:pPr>
        <w:pStyle w:val="9"/>
        <w:rPr>
          <w:rFonts w:ascii="宋体" w:hAnsi="宋体" w:eastAsia="宋体"/>
          <w:color w:val="auto"/>
          <w:sz w:val="24"/>
          <w:highlight w:val="none"/>
        </w:rPr>
      </w:pPr>
    </w:p>
    <w:p w14:paraId="21B2FECB">
      <w:pPr>
        <w:spacing w:line="380" w:lineRule="exact"/>
        <w:rPr>
          <w:rFonts w:ascii="宋体" w:hAnsi="宋体" w:eastAsia="宋体"/>
          <w:color w:val="auto"/>
          <w:sz w:val="24"/>
          <w:highlight w:val="none"/>
        </w:rPr>
      </w:pPr>
    </w:p>
    <w:bookmarkEnd w:id="357"/>
    <w:sectPr>
      <w:headerReference r:id="rId5" w:type="default"/>
      <w:footerReference r:id="rId6"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auto"/>
    <w:pitch w:val="default"/>
    <w:sig w:usb0="00000000" w:usb1="00000000" w:usb2="00000000" w:usb3="00000000" w:csb0="00040001"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FF53D">
    <w:pPr>
      <w:pStyle w:val="17"/>
      <w:jc w:val="center"/>
      <w:rPr>
        <w:rFonts w:ascii="宋体" w:hAnsi="宋体" w:eastAsia="宋体"/>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E5318">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6B8CE">
                          <w:pPr>
                            <w:pStyle w:val="17"/>
                            <w:jc w:val="both"/>
                            <w:rPr>
                              <w:rStyle w:val="65"/>
                              <w:rFonts w:ascii="宋体" w:hAnsi="宋体" w:eastAsia="宋体"/>
                              <w:sz w:val="28"/>
                            </w:rPr>
                          </w:pPr>
                          <w:r>
                            <w:rPr>
                              <w:rStyle w:val="65"/>
                              <w:rFonts w:ascii="宋体" w:hAnsi="宋体" w:eastAsia="宋体"/>
                              <w:sz w:val="28"/>
                            </w:rPr>
                            <w:t>—</w:t>
                          </w:r>
                          <w:r>
                            <w:rPr>
                              <w:rStyle w:val="65"/>
                              <w:rFonts w:ascii="宋体" w:hAnsi="宋体" w:eastAsia="宋体"/>
                              <w:sz w:val="24"/>
                            </w:rPr>
                            <w:t>　</w:t>
                          </w:r>
                          <w:r>
                            <w:rPr>
                              <w:rStyle w:val="65"/>
                              <w:rFonts w:ascii="宋体" w:hAnsi="宋体" w:eastAsia="宋体"/>
                              <w:sz w:val="28"/>
                            </w:rPr>
                            <w:fldChar w:fldCharType="begin"/>
                          </w:r>
                          <w:r>
                            <w:rPr>
                              <w:rStyle w:val="65"/>
                              <w:rFonts w:ascii="宋体" w:hAnsi="宋体" w:eastAsia="宋体"/>
                              <w:sz w:val="28"/>
                            </w:rPr>
                            <w:instrText xml:space="preserve"> PAGE  \* MERGEFORMAT </w:instrText>
                          </w:r>
                          <w:r>
                            <w:rPr>
                              <w:rStyle w:val="65"/>
                              <w:rFonts w:ascii="宋体" w:hAnsi="宋体" w:eastAsia="宋体"/>
                              <w:sz w:val="28"/>
                            </w:rPr>
                            <w:fldChar w:fldCharType="separate"/>
                          </w:r>
                          <w:r>
                            <w:rPr>
                              <w:rStyle w:val="65"/>
                              <w:rFonts w:ascii="宋体" w:hAnsi="宋体" w:eastAsia="宋体"/>
                              <w:sz w:val="28"/>
                            </w:rPr>
                            <w:t>1</w:t>
                          </w:r>
                          <w:r>
                            <w:rPr>
                              <w:rStyle w:val="65"/>
                              <w:rFonts w:ascii="宋体" w:hAnsi="宋体" w:eastAsia="宋体"/>
                              <w:sz w:val="28"/>
                            </w:rPr>
                            <w:fldChar w:fldCharType="end"/>
                          </w:r>
                          <w:r>
                            <w:rPr>
                              <w:rStyle w:val="65"/>
                              <w:rFonts w:ascii="宋体" w:hAnsi="宋体" w:eastAsia="宋体"/>
                              <w:sz w:val="24"/>
                            </w:rPr>
                            <w:t>　</w:t>
                          </w:r>
                          <w:r>
                            <w:rPr>
                              <w:rStyle w:val="65"/>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F6B8CE">
                    <w:pPr>
                      <w:pStyle w:val="17"/>
                      <w:jc w:val="both"/>
                      <w:rPr>
                        <w:rStyle w:val="65"/>
                        <w:rFonts w:ascii="宋体" w:hAnsi="宋体" w:eastAsia="宋体"/>
                        <w:sz w:val="28"/>
                      </w:rPr>
                    </w:pPr>
                    <w:r>
                      <w:rPr>
                        <w:rStyle w:val="65"/>
                        <w:rFonts w:ascii="宋体" w:hAnsi="宋体" w:eastAsia="宋体"/>
                        <w:sz w:val="28"/>
                      </w:rPr>
                      <w:t>—</w:t>
                    </w:r>
                    <w:r>
                      <w:rPr>
                        <w:rStyle w:val="65"/>
                        <w:rFonts w:ascii="宋体" w:hAnsi="宋体" w:eastAsia="宋体"/>
                        <w:sz w:val="24"/>
                      </w:rPr>
                      <w:t>　</w:t>
                    </w:r>
                    <w:r>
                      <w:rPr>
                        <w:rStyle w:val="65"/>
                        <w:rFonts w:ascii="宋体" w:hAnsi="宋体" w:eastAsia="宋体"/>
                        <w:sz w:val="28"/>
                      </w:rPr>
                      <w:fldChar w:fldCharType="begin"/>
                    </w:r>
                    <w:r>
                      <w:rPr>
                        <w:rStyle w:val="65"/>
                        <w:rFonts w:ascii="宋体" w:hAnsi="宋体" w:eastAsia="宋体"/>
                        <w:sz w:val="28"/>
                      </w:rPr>
                      <w:instrText xml:space="preserve"> PAGE  \* MERGEFORMAT </w:instrText>
                    </w:r>
                    <w:r>
                      <w:rPr>
                        <w:rStyle w:val="65"/>
                        <w:rFonts w:ascii="宋体" w:hAnsi="宋体" w:eastAsia="宋体"/>
                        <w:sz w:val="28"/>
                      </w:rPr>
                      <w:fldChar w:fldCharType="separate"/>
                    </w:r>
                    <w:r>
                      <w:rPr>
                        <w:rStyle w:val="65"/>
                        <w:rFonts w:ascii="宋体" w:hAnsi="宋体" w:eastAsia="宋体"/>
                        <w:sz w:val="28"/>
                      </w:rPr>
                      <w:t>1</w:t>
                    </w:r>
                    <w:r>
                      <w:rPr>
                        <w:rStyle w:val="65"/>
                        <w:rFonts w:ascii="宋体" w:hAnsi="宋体" w:eastAsia="宋体"/>
                        <w:sz w:val="28"/>
                      </w:rPr>
                      <w:fldChar w:fldCharType="end"/>
                    </w:r>
                    <w:r>
                      <w:rPr>
                        <w:rStyle w:val="65"/>
                        <w:rFonts w:ascii="宋体" w:hAnsi="宋体" w:eastAsia="宋体"/>
                        <w:sz w:val="24"/>
                      </w:rPr>
                      <w:t>　</w:t>
                    </w:r>
                    <w:r>
                      <w:rPr>
                        <w:rStyle w:val="65"/>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EAC96">
    <w:pPr>
      <w:pStyle w:val="18"/>
      <w:jc w:val="left"/>
      <w:rPr>
        <w:rFonts w:ascii="宋体" w:hAnsi="宋体" w:eastAsia="宋体"/>
      </w:rPr>
    </w:pPr>
    <w:r>
      <w:rPr>
        <w:rFonts w:hint="eastAsia" w:ascii="宋体" w:hAnsi="宋体" w:eastAsia="宋体"/>
      </w:rPr>
      <w:t>安徽省政府采购项目公开招标文件示范文本（服务类）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B3FFB">
    <w:pPr>
      <w:pStyle w:val="18"/>
      <w:jc w:val="left"/>
    </w:pPr>
    <w:r>
      <w:rPr>
        <w:rFonts w:hint="eastAsia" w:ascii="宋体" w:hAnsi="宋体" w:eastAsia="宋体"/>
      </w:rPr>
      <w:t>安徽省政府采购项目公开招标文件示范文本（服务类）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lNjQxMjIxNWY4ZDA2MDQyNGQxNzU5NjMzMjdkMTMifQ=="/>
    <w:docVar w:name="KSO_WPS_MARK_KEY" w:val="4119c699-6e26-4bf9-b9a3-bbb3f009c9c3"/>
  </w:docVars>
  <w:rsids>
    <w:rsidRoot w:val="00276BA1"/>
    <w:rsid w:val="0000043F"/>
    <w:rsid w:val="00003F56"/>
    <w:rsid w:val="000049DA"/>
    <w:rsid w:val="00004F40"/>
    <w:rsid w:val="000056B7"/>
    <w:rsid w:val="00012A13"/>
    <w:rsid w:val="000131F7"/>
    <w:rsid w:val="00015CFB"/>
    <w:rsid w:val="00016B6C"/>
    <w:rsid w:val="00017EC7"/>
    <w:rsid w:val="00020B57"/>
    <w:rsid w:val="00026D00"/>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21E"/>
    <w:rsid w:val="0012143A"/>
    <w:rsid w:val="001222C6"/>
    <w:rsid w:val="00136D80"/>
    <w:rsid w:val="00137C7C"/>
    <w:rsid w:val="00140687"/>
    <w:rsid w:val="00141707"/>
    <w:rsid w:val="00142AAF"/>
    <w:rsid w:val="00146421"/>
    <w:rsid w:val="001467FF"/>
    <w:rsid w:val="001479CF"/>
    <w:rsid w:val="00147CED"/>
    <w:rsid w:val="00150567"/>
    <w:rsid w:val="00155F64"/>
    <w:rsid w:val="00157148"/>
    <w:rsid w:val="00157856"/>
    <w:rsid w:val="00160729"/>
    <w:rsid w:val="00160D83"/>
    <w:rsid w:val="001644D1"/>
    <w:rsid w:val="00164D27"/>
    <w:rsid w:val="00165D08"/>
    <w:rsid w:val="00166ED8"/>
    <w:rsid w:val="001714C9"/>
    <w:rsid w:val="001754E2"/>
    <w:rsid w:val="00177297"/>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2BB8"/>
    <w:rsid w:val="001C67F2"/>
    <w:rsid w:val="001D1D82"/>
    <w:rsid w:val="001D53B4"/>
    <w:rsid w:val="001E4FFF"/>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098"/>
    <w:rsid w:val="00224C4A"/>
    <w:rsid w:val="00227775"/>
    <w:rsid w:val="002338E2"/>
    <w:rsid w:val="0023407E"/>
    <w:rsid w:val="00240B40"/>
    <w:rsid w:val="002440D8"/>
    <w:rsid w:val="00244182"/>
    <w:rsid w:val="00246810"/>
    <w:rsid w:val="00260860"/>
    <w:rsid w:val="00260B94"/>
    <w:rsid w:val="00264F2E"/>
    <w:rsid w:val="00265889"/>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47B0F"/>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20CA"/>
    <w:rsid w:val="003B4130"/>
    <w:rsid w:val="003B67D3"/>
    <w:rsid w:val="003B6C76"/>
    <w:rsid w:val="003B715B"/>
    <w:rsid w:val="003C0401"/>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6AE7"/>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E7F8D"/>
    <w:rsid w:val="004F0396"/>
    <w:rsid w:val="004F599B"/>
    <w:rsid w:val="004F5CEC"/>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43CB"/>
    <w:rsid w:val="00645442"/>
    <w:rsid w:val="0065036E"/>
    <w:rsid w:val="006525CD"/>
    <w:rsid w:val="00653353"/>
    <w:rsid w:val="00653F7F"/>
    <w:rsid w:val="00655A52"/>
    <w:rsid w:val="00662EE8"/>
    <w:rsid w:val="00663813"/>
    <w:rsid w:val="00663C3B"/>
    <w:rsid w:val="00664AFD"/>
    <w:rsid w:val="00667567"/>
    <w:rsid w:val="0067058E"/>
    <w:rsid w:val="0067391A"/>
    <w:rsid w:val="00674173"/>
    <w:rsid w:val="00674602"/>
    <w:rsid w:val="0067535A"/>
    <w:rsid w:val="006823B2"/>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57F1A"/>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07BE4"/>
    <w:rsid w:val="00911E9C"/>
    <w:rsid w:val="00915083"/>
    <w:rsid w:val="00917405"/>
    <w:rsid w:val="00920035"/>
    <w:rsid w:val="00920F7C"/>
    <w:rsid w:val="00934CAE"/>
    <w:rsid w:val="0094257D"/>
    <w:rsid w:val="00942F60"/>
    <w:rsid w:val="0095211B"/>
    <w:rsid w:val="0095467C"/>
    <w:rsid w:val="00954A61"/>
    <w:rsid w:val="00955C6F"/>
    <w:rsid w:val="00956C0A"/>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65FA9"/>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D3523"/>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0B"/>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E0BBC"/>
    <w:rsid w:val="00BE4EA1"/>
    <w:rsid w:val="00BF376F"/>
    <w:rsid w:val="00BF46A6"/>
    <w:rsid w:val="00BF62CF"/>
    <w:rsid w:val="00BF6B98"/>
    <w:rsid w:val="00BF73D6"/>
    <w:rsid w:val="00C04ADF"/>
    <w:rsid w:val="00C06545"/>
    <w:rsid w:val="00C1161C"/>
    <w:rsid w:val="00C12D6A"/>
    <w:rsid w:val="00C17F66"/>
    <w:rsid w:val="00C220FC"/>
    <w:rsid w:val="00C23C86"/>
    <w:rsid w:val="00C24DFA"/>
    <w:rsid w:val="00C35561"/>
    <w:rsid w:val="00C37114"/>
    <w:rsid w:val="00C4202A"/>
    <w:rsid w:val="00C4211F"/>
    <w:rsid w:val="00C46A36"/>
    <w:rsid w:val="00C47037"/>
    <w:rsid w:val="00C5331F"/>
    <w:rsid w:val="00C53625"/>
    <w:rsid w:val="00C602C1"/>
    <w:rsid w:val="00C61C98"/>
    <w:rsid w:val="00C63FC0"/>
    <w:rsid w:val="00C66392"/>
    <w:rsid w:val="00C74C5E"/>
    <w:rsid w:val="00C77487"/>
    <w:rsid w:val="00C82108"/>
    <w:rsid w:val="00C827A2"/>
    <w:rsid w:val="00C828FA"/>
    <w:rsid w:val="00C82B69"/>
    <w:rsid w:val="00C85394"/>
    <w:rsid w:val="00C8657D"/>
    <w:rsid w:val="00C91B28"/>
    <w:rsid w:val="00C91F3A"/>
    <w:rsid w:val="00C94A6F"/>
    <w:rsid w:val="00CA06E3"/>
    <w:rsid w:val="00CB328B"/>
    <w:rsid w:val="00CB5797"/>
    <w:rsid w:val="00CB6050"/>
    <w:rsid w:val="00CC1202"/>
    <w:rsid w:val="00CC4099"/>
    <w:rsid w:val="00CC45C1"/>
    <w:rsid w:val="00CC5050"/>
    <w:rsid w:val="00CC7A19"/>
    <w:rsid w:val="00CD09E1"/>
    <w:rsid w:val="00CD5078"/>
    <w:rsid w:val="00CD6202"/>
    <w:rsid w:val="00CE1FBA"/>
    <w:rsid w:val="00CE2486"/>
    <w:rsid w:val="00CE4913"/>
    <w:rsid w:val="00CE66BD"/>
    <w:rsid w:val="00CE7C04"/>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4CAA"/>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0A67"/>
    <w:rsid w:val="00E22079"/>
    <w:rsid w:val="00E22B44"/>
    <w:rsid w:val="00E236D8"/>
    <w:rsid w:val="00E30ACD"/>
    <w:rsid w:val="00E3184B"/>
    <w:rsid w:val="00E32735"/>
    <w:rsid w:val="00E5391D"/>
    <w:rsid w:val="00E544E5"/>
    <w:rsid w:val="00E555E7"/>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1FBB"/>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271A"/>
    <w:rsid w:val="00F634AD"/>
    <w:rsid w:val="00F63677"/>
    <w:rsid w:val="00F63ABE"/>
    <w:rsid w:val="00F70AA0"/>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627B"/>
    <w:rsid w:val="00FC7225"/>
    <w:rsid w:val="00FC724B"/>
    <w:rsid w:val="00FC767C"/>
    <w:rsid w:val="00FC7910"/>
    <w:rsid w:val="00FD0834"/>
    <w:rsid w:val="00FD6EA4"/>
    <w:rsid w:val="00FE13AD"/>
    <w:rsid w:val="00FE348D"/>
    <w:rsid w:val="00FE4037"/>
    <w:rsid w:val="00FE51C8"/>
    <w:rsid w:val="00FE53B6"/>
    <w:rsid w:val="00FE72A6"/>
    <w:rsid w:val="00FF0ABF"/>
    <w:rsid w:val="00FF0DA7"/>
    <w:rsid w:val="00FF14D5"/>
    <w:rsid w:val="00FF44E0"/>
    <w:rsid w:val="00FF4CB6"/>
    <w:rsid w:val="00FF5834"/>
    <w:rsid w:val="00FF6C72"/>
    <w:rsid w:val="01876D93"/>
    <w:rsid w:val="01995AC2"/>
    <w:rsid w:val="019E144F"/>
    <w:rsid w:val="01BB30BA"/>
    <w:rsid w:val="01BF37C7"/>
    <w:rsid w:val="01D551DD"/>
    <w:rsid w:val="0214602E"/>
    <w:rsid w:val="02834ED6"/>
    <w:rsid w:val="02B0309F"/>
    <w:rsid w:val="02DC5645"/>
    <w:rsid w:val="03020BC4"/>
    <w:rsid w:val="031B2C7F"/>
    <w:rsid w:val="03486B27"/>
    <w:rsid w:val="034F0E57"/>
    <w:rsid w:val="03BC2A3E"/>
    <w:rsid w:val="040A094E"/>
    <w:rsid w:val="04222EDC"/>
    <w:rsid w:val="047022AD"/>
    <w:rsid w:val="049B1877"/>
    <w:rsid w:val="04DF1DFA"/>
    <w:rsid w:val="04E36C96"/>
    <w:rsid w:val="0523406D"/>
    <w:rsid w:val="05322502"/>
    <w:rsid w:val="0564294A"/>
    <w:rsid w:val="056800F4"/>
    <w:rsid w:val="056B5638"/>
    <w:rsid w:val="056F201D"/>
    <w:rsid w:val="059E7B97"/>
    <w:rsid w:val="05B664D4"/>
    <w:rsid w:val="05D71EA0"/>
    <w:rsid w:val="05E92964"/>
    <w:rsid w:val="06357BC4"/>
    <w:rsid w:val="06683779"/>
    <w:rsid w:val="066F3D43"/>
    <w:rsid w:val="06FA5B9A"/>
    <w:rsid w:val="07076C01"/>
    <w:rsid w:val="071928A9"/>
    <w:rsid w:val="071C12AC"/>
    <w:rsid w:val="074E231E"/>
    <w:rsid w:val="07866B35"/>
    <w:rsid w:val="078E1236"/>
    <w:rsid w:val="07A934B3"/>
    <w:rsid w:val="07AC28BD"/>
    <w:rsid w:val="07E30570"/>
    <w:rsid w:val="08915791"/>
    <w:rsid w:val="08B15E54"/>
    <w:rsid w:val="08BB4929"/>
    <w:rsid w:val="09081F4A"/>
    <w:rsid w:val="09242161"/>
    <w:rsid w:val="093E463B"/>
    <w:rsid w:val="0980799C"/>
    <w:rsid w:val="099E28A5"/>
    <w:rsid w:val="09C21DF4"/>
    <w:rsid w:val="0A0C6ACA"/>
    <w:rsid w:val="0A0F6376"/>
    <w:rsid w:val="0A353CEA"/>
    <w:rsid w:val="0A6A18DB"/>
    <w:rsid w:val="0A924418"/>
    <w:rsid w:val="0AEF3828"/>
    <w:rsid w:val="0B1D155E"/>
    <w:rsid w:val="0BBB665B"/>
    <w:rsid w:val="0BE91440"/>
    <w:rsid w:val="0BFA6CAC"/>
    <w:rsid w:val="0C0B3703"/>
    <w:rsid w:val="0C0E605F"/>
    <w:rsid w:val="0C333B11"/>
    <w:rsid w:val="0CB7664E"/>
    <w:rsid w:val="0CCE345C"/>
    <w:rsid w:val="0CEC7E60"/>
    <w:rsid w:val="0D905712"/>
    <w:rsid w:val="0DB05BDB"/>
    <w:rsid w:val="0DEE45AB"/>
    <w:rsid w:val="0DFD36A2"/>
    <w:rsid w:val="0E6D4C34"/>
    <w:rsid w:val="0E816EC5"/>
    <w:rsid w:val="0EE062A1"/>
    <w:rsid w:val="0EE7610B"/>
    <w:rsid w:val="0EEA6FC1"/>
    <w:rsid w:val="0F954485"/>
    <w:rsid w:val="0FBF344F"/>
    <w:rsid w:val="0FD552C5"/>
    <w:rsid w:val="10505F32"/>
    <w:rsid w:val="105A27E6"/>
    <w:rsid w:val="108E2379"/>
    <w:rsid w:val="119B0711"/>
    <w:rsid w:val="12197477"/>
    <w:rsid w:val="123A4592"/>
    <w:rsid w:val="13587E2C"/>
    <w:rsid w:val="13814968"/>
    <w:rsid w:val="138C2A5C"/>
    <w:rsid w:val="13FD5E6E"/>
    <w:rsid w:val="14466214"/>
    <w:rsid w:val="1466407E"/>
    <w:rsid w:val="147954B1"/>
    <w:rsid w:val="14834E28"/>
    <w:rsid w:val="148D505F"/>
    <w:rsid w:val="148E7D65"/>
    <w:rsid w:val="149661D8"/>
    <w:rsid w:val="149D101A"/>
    <w:rsid w:val="151D4243"/>
    <w:rsid w:val="15231BF9"/>
    <w:rsid w:val="15A131AA"/>
    <w:rsid w:val="15D23BB6"/>
    <w:rsid w:val="15E6711C"/>
    <w:rsid w:val="16457B6B"/>
    <w:rsid w:val="16D27BAC"/>
    <w:rsid w:val="16E64EFA"/>
    <w:rsid w:val="170B7FEF"/>
    <w:rsid w:val="17290167"/>
    <w:rsid w:val="17530466"/>
    <w:rsid w:val="175B2228"/>
    <w:rsid w:val="179F5278"/>
    <w:rsid w:val="180714FF"/>
    <w:rsid w:val="18CB0D83"/>
    <w:rsid w:val="190D3817"/>
    <w:rsid w:val="196A4397"/>
    <w:rsid w:val="19CE6BC8"/>
    <w:rsid w:val="1A3B68AA"/>
    <w:rsid w:val="1A3E1C1E"/>
    <w:rsid w:val="1A3F21B5"/>
    <w:rsid w:val="1A5339D6"/>
    <w:rsid w:val="1A626A52"/>
    <w:rsid w:val="1AEB760A"/>
    <w:rsid w:val="1BC577D4"/>
    <w:rsid w:val="1BDA55A3"/>
    <w:rsid w:val="1C141836"/>
    <w:rsid w:val="1C17341B"/>
    <w:rsid w:val="1C2F426E"/>
    <w:rsid w:val="1CAE1552"/>
    <w:rsid w:val="1D47135D"/>
    <w:rsid w:val="1DAF14DA"/>
    <w:rsid w:val="1DE54C9E"/>
    <w:rsid w:val="1E696A67"/>
    <w:rsid w:val="1E6A6411"/>
    <w:rsid w:val="1E6B6A14"/>
    <w:rsid w:val="1F8642B9"/>
    <w:rsid w:val="1F894240"/>
    <w:rsid w:val="1FD010D0"/>
    <w:rsid w:val="20550D9A"/>
    <w:rsid w:val="209459C7"/>
    <w:rsid w:val="209B6D55"/>
    <w:rsid w:val="216A7F7F"/>
    <w:rsid w:val="216C336E"/>
    <w:rsid w:val="21714B53"/>
    <w:rsid w:val="218E2416"/>
    <w:rsid w:val="21C60716"/>
    <w:rsid w:val="225278E7"/>
    <w:rsid w:val="2255424E"/>
    <w:rsid w:val="2265355C"/>
    <w:rsid w:val="226915FE"/>
    <w:rsid w:val="226F025C"/>
    <w:rsid w:val="228837A7"/>
    <w:rsid w:val="229D227F"/>
    <w:rsid w:val="22BA5BB9"/>
    <w:rsid w:val="22E14C32"/>
    <w:rsid w:val="2309445F"/>
    <w:rsid w:val="230E380E"/>
    <w:rsid w:val="231F4C56"/>
    <w:rsid w:val="23655604"/>
    <w:rsid w:val="23B170CE"/>
    <w:rsid w:val="24015121"/>
    <w:rsid w:val="24041605"/>
    <w:rsid w:val="241008B8"/>
    <w:rsid w:val="24133D7E"/>
    <w:rsid w:val="246701B6"/>
    <w:rsid w:val="246C3D73"/>
    <w:rsid w:val="24A55075"/>
    <w:rsid w:val="24B97929"/>
    <w:rsid w:val="24CC572F"/>
    <w:rsid w:val="250A0792"/>
    <w:rsid w:val="2520252D"/>
    <w:rsid w:val="25331C52"/>
    <w:rsid w:val="255B2F57"/>
    <w:rsid w:val="25AB20CC"/>
    <w:rsid w:val="25D043BC"/>
    <w:rsid w:val="26163BC1"/>
    <w:rsid w:val="264976E9"/>
    <w:rsid w:val="279458B3"/>
    <w:rsid w:val="27BF5A1F"/>
    <w:rsid w:val="28134255"/>
    <w:rsid w:val="2852419D"/>
    <w:rsid w:val="285F40CA"/>
    <w:rsid w:val="288A6E7A"/>
    <w:rsid w:val="2895372B"/>
    <w:rsid w:val="28C01ECB"/>
    <w:rsid w:val="28C31AD8"/>
    <w:rsid w:val="28EC3ECC"/>
    <w:rsid w:val="28FA443C"/>
    <w:rsid w:val="29113BD8"/>
    <w:rsid w:val="29725FB7"/>
    <w:rsid w:val="29AC36EE"/>
    <w:rsid w:val="29BF71E3"/>
    <w:rsid w:val="29DB73BA"/>
    <w:rsid w:val="29DD5607"/>
    <w:rsid w:val="29E916C5"/>
    <w:rsid w:val="2A127B63"/>
    <w:rsid w:val="2A1F088F"/>
    <w:rsid w:val="2A723AD3"/>
    <w:rsid w:val="2A7778D7"/>
    <w:rsid w:val="2A801C9E"/>
    <w:rsid w:val="2AAA4765"/>
    <w:rsid w:val="2AC207F7"/>
    <w:rsid w:val="2AC21606"/>
    <w:rsid w:val="2ACB3B72"/>
    <w:rsid w:val="2AF63C5E"/>
    <w:rsid w:val="2B7E7608"/>
    <w:rsid w:val="2B7F04E9"/>
    <w:rsid w:val="2BF8749C"/>
    <w:rsid w:val="2BFF4235"/>
    <w:rsid w:val="2C155C0E"/>
    <w:rsid w:val="2C305555"/>
    <w:rsid w:val="2C774E6F"/>
    <w:rsid w:val="2C854477"/>
    <w:rsid w:val="2C9A21B9"/>
    <w:rsid w:val="2CB377A8"/>
    <w:rsid w:val="2CCC2CDE"/>
    <w:rsid w:val="2CDE06F5"/>
    <w:rsid w:val="2CE20523"/>
    <w:rsid w:val="2D496D68"/>
    <w:rsid w:val="2DB568C2"/>
    <w:rsid w:val="2DF0282F"/>
    <w:rsid w:val="2E6672CB"/>
    <w:rsid w:val="2E7A48DE"/>
    <w:rsid w:val="2E9C74BD"/>
    <w:rsid w:val="2EAE2B92"/>
    <w:rsid w:val="2EDC3ED8"/>
    <w:rsid w:val="2EE756D5"/>
    <w:rsid w:val="2F1039AD"/>
    <w:rsid w:val="2F2D046C"/>
    <w:rsid w:val="2F6351B4"/>
    <w:rsid w:val="2FCF199E"/>
    <w:rsid w:val="30483E83"/>
    <w:rsid w:val="307B607D"/>
    <w:rsid w:val="30AA0E97"/>
    <w:rsid w:val="321B4FE3"/>
    <w:rsid w:val="32B568C5"/>
    <w:rsid w:val="32B861E0"/>
    <w:rsid w:val="32BD2D68"/>
    <w:rsid w:val="32E75BF6"/>
    <w:rsid w:val="331272EC"/>
    <w:rsid w:val="334E4CD8"/>
    <w:rsid w:val="337213D5"/>
    <w:rsid w:val="33AD1941"/>
    <w:rsid w:val="33BA52ED"/>
    <w:rsid w:val="33BC132D"/>
    <w:rsid w:val="33C80C39"/>
    <w:rsid w:val="33CD1D6D"/>
    <w:rsid w:val="3411148E"/>
    <w:rsid w:val="343C0775"/>
    <w:rsid w:val="34784F8C"/>
    <w:rsid w:val="34A04527"/>
    <w:rsid w:val="34AA76A9"/>
    <w:rsid w:val="355B4583"/>
    <w:rsid w:val="356C50EC"/>
    <w:rsid w:val="35DD04FE"/>
    <w:rsid w:val="35F92F1B"/>
    <w:rsid w:val="361108CD"/>
    <w:rsid w:val="36464E91"/>
    <w:rsid w:val="36A46B27"/>
    <w:rsid w:val="36E36405"/>
    <w:rsid w:val="36EF5067"/>
    <w:rsid w:val="3700166C"/>
    <w:rsid w:val="3727617F"/>
    <w:rsid w:val="375969FE"/>
    <w:rsid w:val="375A12C0"/>
    <w:rsid w:val="375F68D7"/>
    <w:rsid w:val="37BA6CF3"/>
    <w:rsid w:val="37F0752F"/>
    <w:rsid w:val="37F25D7B"/>
    <w:rsid w:val="383837E1"/>
    <w:rsid w:val="38694EE9"/>
    <w:rsid w:val="389471A0"/>
    <w:rsid w:val="389678D3"/>
    <w:rsid w:val="38A86D47"/>
    <w:rsid w:val="39E37300"/>
    <w:rsid w:val="3A153748"/>
    <w:rsid w:val="3B2E3154"/>
    <w:rsid w:val="3B365CC9"/>
    <w:rsid w:val="3B676A87"/>
    <w:rsid w:val="3B9A7B88"/>
    <w:rsid w:val="3BB0360B"/>
    <w:rsid w:val="3BBF4C1A"/>
    <w:rsid w:val="3BC114FF"/>
    <w:rsid w:val="3C05000E"/>
    <w:rsid w:val="3C2660C6"/>
    <w:rsid w:val="3C3103B6"/>
    <w:rsid w:val="3C7F6443"/>
    <w:rsid w:val="3D0815AB"/>
    <w:rsid w:val="3D2C7AC8"/>
    <w:rsid w:val="3D3A7C3C"/>
    <w:rsid w:val="3D5A53E6"/>
    <w:rsid w:val="3D855D12"/>
    <w:rsid w:val="3D8B42FF"/>
    <w:rsid w:val="3D8C02DD"/>
    <w:rsid w:val="3D9E2735"/>
    <w:rsid w:val="3DC20089"/>
    <w:rsid w:val="3DF36A6E"/>
    <w:rsid w:val="3DFB617D"/>
    <w:rsid w:val="3F1138E1"/>
    <w:rsid w:val="3F512FA9"/>
    <w:rsid w:val="3F792F1E"/>
    <w:rsid w:val="3F7A3F1B"/>
    <w:rsid w:val="3F7A6532"/>
    <w:rsid w:val="40187204"/>
    <w:rsid w:val="40824826"/>
    <w:rsid w:val="40E63923"/>
    <w:rsid w:val="40F537ED"/>
    <w:rsid w:val="40FF07E3"/>
    <w:rsid w:val="41DE00DC"/>
    <w:rsid w:val="41E40104"/>
    <w:rsid w:val="41E41548"/>
    <w:rsid w:val="41F67E4C"/>
    <w:rsid w:val="42730736"/>
    <w:rsid w:val="427F44AC"/>
    <w:rsid w:val="42B443F4"/>
    <w:rsid w:val="42B53B3C"/>
    <w:rsid w:val="42DC117D"/>
    <w:rsid w:val="42F43FD4"/>
    <w:rsid w:val="436B0062"/>
    <w:rsid w:val="438B6C17"/>
    <w:rsid w:val="43A91E5B"/>
    <w:rsid w:val="43F8335C"/>
    <w:rsid w:val="44440113"/>
    <w:rsid w:val="44877A2C"/>
    <w:rsid w:val="449E5A3C"/>
    <w:rsid w:val="44B33DBE"/>
    <w:rsid w:val="44BC3308"/>
    <w:rsid w:val="455665CA"/>
    <w:rsid w:val="45AF09D7"/>
    <w:rsid w:val="45BA48DB"/>
    <w:rsid w:val="45FB7FD0"/>
    <w:rsid w:val="45FF375F"/>
    <w:rsid w:val="463A3650"/>
    <w:rsid w:val="466972EF"/>
    <w:rsid w:val="469F0116"/>
    <w:rsid w:val="46C61F6C"/>
    <w:rsid w:val="46C75322"/>
    <w:rsid w:val="4704097C"/>
    <w:rsid w:val="47410F14"/>
    <w:rsid w:val="475259B7"/>
    <w:rsid w:val="475573AE"/>
    <w:rsid w:val="479630AD"/>
    <w:rsid w:val="47E64D20"/>
    <w:rsid w:val="48831CF9"/>
    <w:rsid w:val="48960ADD"/>
    <w:rsid w:val="48AC5B47"/>
    <w:rsid w:val="48FE53AF"/>
    <w:rsid w:val="49350B78"/>
    <w:rsid w:val="49402818"/>
    <w:rsid w:val="495C3DA8"/>
    <w:rsid w:val="49694ED7"/>
    <w:rsid w:val="49A165B8"/>
    <w:rsid w:val="49A764F8"/>
    <w:rsid w:val="49B1408D"/>
    <w:rsid w:val="49D7054F"/>
    <w:rsid w:val="4A2B1457"/>
    <w:rsid w:val="4A443E36"/>
    <w:rsid w:val="4A590F64"/>
    <w:rsid w:val="4A7D4FD2"/>
    <w:rsid w:val="4A913C9A"/>
    <w:rsid w:val="4AE22D2F"/>
    <w:rsid w:val="4B1F70AC"/>
    <w:rsid w:val="4B240F94"/>
    <w:rsid w:val="4B386AE5"/>
    <w:rsid w:val="4B3D6AD7"/>
    <w:rsid w:val="4B67397E"/>
    <w:rsid w:val="4BA75287"/>
    <w:rsid w:val="4BC020A4"/>
    <w:rsid w:val="4BCC630E"/>
    <w:rsid w:val="4BED70D6"/>
    <w:rsid w:val="4C150F1C"/>
    <w:rsid w:val="4C3C565C"/>
    <w:rsid w:val="4C4A1DC7"/>
    <w:rsid w:val="4C615975"/>
    <w:rsid w:val="4C7622A1"/>
    <w:rsid w:val="4CC13923"/>
    <w:rsid w:val="4CCC79C7"/>
    <w:rsid w:val="4CCE3E8B"/>
    <w:rsid w:val="4CD314A1"/>
    <w:rsid w:val="4CF72F1F"/>
    <w:rsid w:val="4D023F91"/>
    <w:rsid w:val="4D1474C7"/>
    <w:rsid w:val="4D7555C7"/>
    <w:rsid w:val="4E161B46"/>
    <w:rsid w:val="4E16414F"/>
    <w:rsid w:val="4EAE6DA0"/>
    <w:rsid w:val="4EC54E1A"/>
    <w:rsid w:val="4EDB463D"/>
    <w:rsid w:val="4F291C41"/>
    <w:rsid w:val="4F62797E"/>
    <w:rsid w:val="4FD037EF"/>
    <w:rsid w:val="4FF10466"/>
    <w:rsid w:val="500C6DC6"/>
    <w:rsid w:val="5016514B"/>
    <w:rsid w:val="502857C7"/>
    <w:rsid w:val="50476D3D"/>
    <w:rsid w:val="508230AB"/>
    <w:rsid w:val="50924FD9"/>
    <w:rsid w:val="50DC52E1"/>
    <w:rsid w:val="50F850BD"/>
    <w:rsid w:val="51047AA1"/>
    <w:rsid w:val="517D7C2E"/>
    <w:rsid w:val="51A32BA3"/>
    <w:rsid w:val="51B957C0"/>
    <w:rsid w:val="51CB1C78"/>
    <w:rsid w:val="51D41662"/>
    <w:rsid w:val="51FD6A51"/>
    <w:rsid w:val="52002862"/>
    <w:rsid w:val="520D327C"/>
    <w:rsid w:val="521C0444"/>
    <w:rsid w:val="525F2B6D"/>
    <w:rsid w:val="526B680A"/>
    <w:rsid w:val="52974D1F"/>
    <w:rsid w:val="52C90BE7"/>
    <w:rsid w:val="52E96F0D"/>
    <w:rsid w:val="53150D15"/>
    <w:rsid w:val="5352083E"/>
    <w:rsid w:val="53715570"/>
    <w:rsid w:val="53C575D5"/>
    <w:rsid w:val="53E144A4"/>
    <w:rsid w:val="54183C3E"/>
    <w:rsid w:val="541A3A3F"/>
    <w:rsid w:val="541A5D30"/>
    <w:rsid w:val="544C3D08"/>
    <w:rsid w:val="545A24A8"/>
    <w:rsid w:val="54AE2FC5"/>
    <w:rsid w:val="54BF40B9"/>
    <w:rsid w:val="551C70D1"/>
    <w:rsid w:val="553E632F"/>
    <w:rsid w:val="55410711"/>
    <w:rsid w:val="554119E9"/>
    <w:rsid w:val="55933E69"/>
    <w:rsid w:val="55BE07DE"/>
    <w:rsid w:val="55C4407D"/>
    <w:rsid w:val="55F068CD"/>
    <w:rsid w:val="55FB1708"/>
    <w:rsid w:val="565F0F74"/>
    <w:rsid w:val="566C3136"/>
    <w:rsid w:val="568A5959"/>
    <w:rsid w:val="568D04F2"/>
    <w:rsid w:val="573710FB"/>
    <w:rsid w:val="57551896"/>
    <w:rsid w:val="577367A5"/>
    <w:rsid w:val="588D6DD7"/>
    <w:rsid w:val="58D565A1"/>
    <w:rsid w:val="59044790"/>
    <w:rsid w:val="59583D44"/>
    <w:rsid w:val="597620AE"/>
    <w:rsid w:val="599F46D4"/>
    <w:rsid w:val="59C25E27"/>
    <w:rsid w:val="59D10B16"/>
    <w:rsid w:val="5A0479DB"/>
    <w:rsid w:val="5A526582"/>
    <w:rsid w:val="5A5F5C77"/>
    <w:rsid w:val="5A8F0EE4"/>
    <w:rsid w:val="5B5048DF"/>
    <w:rsid w:val="5B830DA3"/>
    <w:rsid w:val="5B8E39AC"/>
    <w:rsid w:val="5BBE39CD"/>
    <w:rsid w:val="5BC11A60"/>
    <w:rsid w:val="5BCD6876"/>
    <w:rsid w:val="5C4E28F2"/>
    <w:rsid w:val="5C7A4D54"/>
    <w:rsid w:val="5CD23B73"/>
    <w:rsid w:val="5D121B72"/>
    <w:rsid w:val="5D735F05"/>
    <w:rsid w:val="5D8649AA"/>
    <w:rsid w:val="5E156DB7"/>
    <w:rsid w:val="5E264649"/>
    <w:rsid w:val="5E6F4DA2"/>
    <w:rsid w:val="5E945E04"/>
    <w:rsid w:val="5E987A92"/>
    <w:rsid w:val="5ECA3D86"/>
    <w:rsid w:val="5F127819"/>
    <w:rsid w:val="5F63752A"/>
    <w:rsid w:val="5F650A27"/>
    <w:rsid w:val="5FD94800"/>
    <w:rsid w:val="5FF5069A"/>
    <w:rsid w:val="608A3879"/>
    <w:rsid w:val="60C6278F"/>
    <w:rsid w:val="60F1503F"/>
    <w:rsid w:val="61025188"/>
    <w:rsid w:val="61057D5F"/>
    <w:rsid w:val="6147287B"/>
    <w:rsid w:val="614D4977"/>
    <w:rsid w:val="616404C2"/>
    <w:rsid w:val="62F501D6"/>
    <w:rsid w:val="62F8189A"/>
    <w:rsid w:val="63134F77"/>
    <w:rsid w:val="636C365E"/>
    <w:rsid w:val="63A70B3A"/>
    <w:rsid w:val="63C60FC0"/>
    <w:rsid w:val="63DA4A6C"/>
    <w:rsid w:val="63F773CC"/>
    <w:rsid w:val="648844C8"/>
    <w:rsid w:val="648B0B56"/>
    <w:rsid w:val="64BA3D7A"/>
    <w:rsid w:val="64D82D6F"/>
    <w:rsid w:val="64F179BC"/>
    <w:rsid w:val="653A1C66"/>
    <w:rsid w:val="65672BBE"/>
    <w:rsid w:val="65876E75"/>
    <w:rsid w:val="65C94C55"/>
    <w:rsid w:val="65DF280D"/>
    <w:rsid w:val="665704D3"/>
    <w:rsid w:val="668931E3"/>
    <w:rsid w:val="66894E25"/>
    <w:rsid w:val="669E0D51"/>
    <w:rsid w:val="66B9305E"/>
    <w:rsid w:val="66BB0AE8"/>
    <w:rsid w:val="66F347C2"/>
    <w:rsid w:val="672602A6"/>
    <w:rsid w:val="673148E2"/>
    <w:rsid w:val="675445CD"/>
    <w:rsid w:val="67B6759E"/>
    <w:rsid w:val="67C065A4"/>
    <w:rsid w:val="67D02C08"/>
    <w:rsid w:val="67D359C9"/>
    <w:rsid w:val="67F515DD"/>
    <w:rsid w:val="687870FA"/>
    <w:rsid w:val="68FE36DD"/>
    <w:rsid w:val="694E60FC"/>
    <w:rsid w:val="69D41EA7"/>
    <w:rsid w:val="69EF4042"/>
    <w:rsid w:val="6A9262E7"/>
    <w:rsid w:val="6AD438DD"/>
    <w:rsid w:val="6B961BC0"/>
    <w:rsid w:val="6C0F5B1B"/>
    <w:rsid w:val="6C410A63"/>
    <w:rsid w:val="6C4A59DE"/>
    <w:rsid w:val="6C675CE6"/>
    <w:rsid w:val="6CB87914"/>
    <w:rsid w:val="6CC12C6C"/>
    <w:rsid w:val="6CEF35AF"/>
    <w:rsid w:val="6D1C3D4F"/>
    <w:rsid w:val="6D4F4321"/>
    <w:rsid w:val="6D8E3709"/>
    <w:rsid w:val="6DC412AC"/>
    <w:rsid w:val="6DCE7936"/>
    <w:rsid w:val="6DE035C6"/>
    <w:rsid w:val="6DFF7360"/>
    <w:rsid w:val="6E217E67"/>
    <w:rsid w:val="6E7A5F73"/>
    <w:rsid w:val="6EB432E2"/>
    <w:rsid w:val="6EFA06B8"/>
    <w:rsid w:val="6F056596"/>
    <w:rsid w:val="6F285225"/>
    <w:rsid w:val="6F2E3798"/>
    <w:rsid w:val="6FD74228"/>
    <w:rsid w:val="6FD92FF4"/>
    <w:rsid w:val="6FDE7A53"/>
    <w:rsid w:val="6FEF744F"/>
    <w:rsid w:val="6FF60E7F"/>
    <w:rsid w:val="70D95A71"/>
    <w:rsid w:val="70FE5EDF"/>
    <w:rsid w:val="71633091"/>
    <w:rsid w:val="71C95461"/>
    <w:rsid w:val="71CB1E97"/>
    <w:rsid w:val="722B72BA"/>
    <w:rsid w:val="72326057"/>
    <w:rsid w:val="72605876"/>
    <w:rsid w:val="726D5621"/>
    <w:rsid w:val="72CF07C8"/>
    <w:rsid w:val="73081CA5"/>
    <w:rsid w:val="732B6890"/>
    <w:rsid w:val="7344399F"/>
    <w:rsid w:val="73682094"/>
    <w:rsid w:val="73691968"/>
    <w:rsid w:val="739264C9"/>
    <w:rsid w:val="73CE440D"/>
    <w:rsid w:val="73DB16BC"/>
    <w:rsid w:val="73DB21E0"/>
    <w:rsid w:val="73FA7D8B"/>
    <w:rsid w:val="74177EF7"/>
    <w:rsid w:val="74235FBB"/>
    <w:rsid w:val="74545B7C"/>
    <w:rsid w:val="746B4B28"/>
    <w:rsid w:val="7487762D"/>
    <w:rsid w:val="74EB6281"/>
    <w:rsid w:val="75385498"/>
    <w:rsid w:val="754E0E15"/>
    <w:rsid w:val="75D67789"/>
    <w:rsid w:val="75EB2391"/>
    <w:rsid w:val="760F37B6"/>
    <w:rsid w:val="766A5485"/>
    <w:rsid w:val="767572DB"/>
    <w:rsid w:val="769962BD"/>
    <w:rsid w:val="76BC207F"/>
    <w:rsid w:val="76DA49A1"/>
    <w:rsid w:val="76EB4904"/>
    <w:rsid w:val="76F84BBB"/>
    <w:rsid w:val="7761718B"/>
    <w:rsid w:val="777378F5"/>
    <w:rsid w:val="777A2D3C"/>
    <w:rsid w:val="77B40AAC"/>
    <w:rsid w:val="77E803D2"/>
    <w:rsid w:val="77EB5041"/>
    <w:rsid w:val="77F35139"/>
    <w:rsid w:val="78320EC2"/>
    <w:rsid w:val="783C1987"/>
    <w:rsid w:val="78464668"/>
    <w:rsid w:val="78537BEA"/>
    <w:rsid w:val="789977BD"/>
    <w:rsid w:val="79074B81"/>
    <w:rsid w:val="790B20A3"/>
    <w:rsid w:val="793D7B1F"/>
    <w:rsid w:val="794F0939"/>
    <w:rsid w:val="794F5541"/>
    <w:rsid w:val="79537342"/>
    <w:rsid w:val="79AF0FCA"/>
    <w:rsid w:val="79EF2560"/>
    <w:rsid w:val="79F45E24"/>
    <w:rsid w:val="7A175626"/>
    <w:rsid w:val="7A187C44"/>
    <w:rsid w:val="7A2B7460"/>
    <w:rsid w:val="7A7E6AD3"/>
    <w:rsid w:val="7ACD006B"/>
    <w:rsid w:val="7AF9279C"/>
    <w:rsid w:val="7BDE262B"/>
    <w:rsid w:val="7C655E09"/>
    <w:rsid w:val="7C6A2A98"/>
    <w:rsid w:val="7CC51958"/>
    <w:rsid w:val="7CE64029"/>
    <w:rsid w:val="7CEC40B6"/>
    <w:rsid w:val="7D2C4132"/>
    <w:rsid w:val="7D6763F8"/>
    <w:rsid w:val="7D6A4D22"/>
    <w:rsid w:val="7DE8345C"/>
    <w:rsid w:val="7E2936C3"/>
    <w:rsid w:val="7E2E365C"/>
    <w:rsid w:val="7E6411B9"/>
    <w:rsid w:val="7ED73CDB"/>
    <w:rsid w:val="7EF23159"/>
    <w:rsid w:val="7F5527AD"/>
    <w:rsid w:val="7F6210C3"/>
    <w:rsid w:val="7F78365F"/>
    <w:rsid w:val="7F9A1791"/>
    <w:rsid w:val="7F9C3981"/>
    <w:rsid w:val="7FB10A6D"/>
    <w:rsid w:val="7FEE3921"/>
    <w:rsid w:val="7FF1458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6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2"/>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7"/>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60"/>
    <w:qFormat/>
    <w:uiPriority w:val="0"/>
    <w:pPr>
      <w:jc w:val="left"/>
    </w:pPr>
    <w:rPr>
      <w:rFonts w:ascii="Arial" w:hAnsi="Arial" w:eastAsia="黑体" w:cs="Arial"/>
    </w:rPr>
  </w:style>
  <w:style w:type="paragraph" w:styleId="9">
    <w:name w:val="Body Text"/>
    <w:basedOn w:val="1"/>
    <w:qFormat/>
    <w:uiPriority w:val="0"/>
    <w:pPr>
      <w:spacing w:after="120"/>
    </w:pPr>
    <w:rPr>
      <w:rFonts w:ascii="@微软简标宋" w:hAnsi="@微软简标宋" w:eastAsia="@微软简标宋" w:cs="@微软简标宋"/>
      <w:szCs w:val="24"/>
      <w:lang w:val="zh-CN"/>
    </w:rPr>
  </w:style>
  <w:style w:type="paragraph" w:styleId="10">
    <w:name w:val="Body Text Indent"/>
    <w:basedOn w:val="1"/>
    <w:next w:val="11"/>
    <w:semiHidden/>
    <w:unhideWhenUsed/>
    <w:qFormat/>
    <w:uiPriority w:val="99"/>
    <w:pPr>
      <w:spacing w:after="120"/>
      <w:ind w:left="420" w:leftChars="200"/>
    </w:pPr>
  </w:style>
  <w:style w:type="paragraph" w:styleId="11">
    <w:name w:val="envelope return"/>
    <w:basedOn w:val="1"/>
    <w:qFormat/>
    <w:uiPriority w:val="0"/>
    <w:pPr>
      <w:snapToGrid w:val="0"/>
    </w:pPr>
    <w:rPr>
      <w:rFonts w:ascii="Arial" w:hAnsi="Arial"/>
    </w:rPr>
  </w:style>
  <w:style w:type="paragraph" w:styleId="12">
    <w:name w:val="index 4"/>
    <w:basedOn w:val="1"/>
    <w:next w:val="1"/>
    <w:qFormat/>
    <w:uiPriority w:val="0"/>
    <w:pPr>
      <w:ind w:left="600" w:leftChars="600"/>
    </w:pPr>
    <w:rPr>
      <w:rFonts w:ascii="Times New Roman" w:hAnsi="Times New Roman" w:eastAsia="宋体" w:cs="Times New Roman"/>
    </w:rPr>
  </w:style>
  <w:style w:type="paragraph" w:styleId="13">
    <w:name w:val="toc 3"/>
    <w:basedOn w:val="1"/>
    <w:next w:val="1"/>
    <w:unhideWhenUsed/>
    <w:qFormat/>
    <w:uiPriority w:val="39"/>
    <w:pPr>
      <w:widowControl/>
      <w:spacing w:after="100" w:line="276" w:lineRule="auto"/>
      <w:ind w:left="440"/>
      <w:jc w:val="left"/>
    </w:pPr>
    <w:rPr>
      <w:rFonts w:ascii="Calibri" w:hAnsi="Calibri" w:eastAsia="宋体" w:cs="黑体"/>
      <w:kern w:val="0"/>
      <w:sz w:val="22"/>
      <w:szCs w:val="22"/>
    </w:rPr>
  </w:style>
  <w:style w:type="paragraph" w:styleId="14">
    <w:name w:val="Plain Text"/>
    <w:basedOn w:val="1"/>
    <w:link w:val="53"/>
    <w:qFormat/>
    <w:uiPriority w:val="99"/>
    <w:rPr>
      <w:rFonts w:ascii="宋体" w:hAnsi="Courier New" w:eastAsia="宋体" w:cs="黑体"/>
      <w:szCs w:val="22"/>
    </w:rPr>
  </w:style>
  <w:style w:type="paragraph" w:styleId="15">
    <w:name w:val="Date"/>
    <w:basedOn w:val="1"/>
    <w:next w:val="1"/>
    <w:link w:val="57"/>
    <w:qFormat/>
    <w:uiPriority w:val="0"/>
    <w:rPr>
      <w:rFonts w:ascii="Arial" w:hAnsi="Arial" w:eastAsia="宋体" w:cs="Arial"/>
      <w:b/>
      <w:sz w:val="28"/>
    </w:rPr>
  </w:style>
  <w:style w:type="paragraph" w:styleId="16">
    <w:name w:val="Balloon Text"/>
    <w:basedOn w:val="1"/>
    <w:link w:val="50"/>
    <w:unhideWhenUsed/>
    <w:qFormat/>
    <w:uiPriority w:val="99"/>
    <w:rPr>
      <w:sz w:val="18"/>
      <w:szCs w:val="18"/>
    </w:rPr>
  </w:style>
  <w:style w:type="paragraph" w:styleId="17">
    <w:name w:val="footer"/>
    <w:basedOn w:val="1"/>
    <w:link w:val="52"/>
    <w:unhideWhenUsed/>
    <w:qFormat/>
    <w:uiPriority w:val="99"/>
    <w:pPr>
      <w:tabs>
        <w:tab w:val="center" w:pos="4153"/>
        <w:tab w:val="right" w:pos="8306"/>
      </w:tabs>
      <w:snapToGrid w:val="0"/>
      <w:jc w:val="left"/>
    </w:pPr>
    <w:rPr>
      <w:sz w:val="18"/>
      <w:szCs w:val="18"/>
    </w:rPr>
  </w:style>
  <w:style w:type="paragraph" w:styleId="18">
    <w:name w:val="header"/>
    <w:basedOn w:val="1"/>
    <w:link w:val="51"/>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widowControl/>
      <w:spacing w:after="100" w:line="276" w:lineRule="auto"/>
      <w:jc w:val="left"/>
    </w:pPr>
    <w:rPr>
      <w:rFonts w:ascii="Calibri" w:hAnsi="Calibri" w:eastAsia="宋体" w:cs="黑体"/>
      <w:kern w:val="0"/>
      <w:sz w:val="22"/>
      <w:szCs w:val="22"/>
    </w:rPr>
  </w:style>
  <w:style w:type="paragraph" w:styleId="20">
    <w:name w:val="List"/>
    <w:basedOn w:val="1"/>
    <w:next w:val="1"/>
    <w:qFormat/>
    <w:uiPriority w:val="0"/>
    <w:pPr>
      <w:ind w:left="420" w:hanging="420"/>
    </w:pPr>
    <w:rPr>
      <w:rFonts w:ascii="Arial" w:hAnsi="Arial" w:eastAsia="楷体_GB2312"/>
      <w:sz w:val="28"/>
    </w:rPr>
  </w:style>
  <w:style w:type="paragraph" w:styleId="21">
    <w:name w:val="toc 2"/>
    <w:basedOn w:val="1"/>
    <w:next w:val="1"/>
    <w:unhideWhenUsed/>
    <w:qFormat/>
    <w:uiPriority w:val="39"/>
    <w:pPr>
      <w:widowControl/>
      <w:spacing w:after="100" w:line="276" w:lineRule="auto"/>
      <w:ind w:left="220"/>
      <w:jc w:val="left"/>
    </w:pPr>
    <w:rPr>
      <w:rFonts w:ascii="Calibri" w:hAnsi="Calibri" w:eastAsia="宋体" w:cs="黑体"/>
      <w:kern w:val="0"/>
      <w:sz w:val="22"/>
      <w:szCs w:val="22"/>
    </w:rPr>
  </w:style>
  <w:style w:type="paragraph" w:styleId="22">
    <w:name w:val="Normal (Web)"/>
    <w:basedOn w:val="1"/>
    <w:qFormat/>
    <w:uiPriority w:val="0"/>
    <w:pPr>
      <w:spacing w:before="100" w:beforeAutospacing="1" w:after="100" w:afterAutospacing="1"/>
      <w:jc w:val="left"/>
    </w:pPr>
    <w:rPr>
      <w:rFonts w:cs="Times New Roman"/>
      <w:kern w:val="0"/>
      <w:sz w:val="24"/>
    </w:rPr>
  </w:style>
  <w:style w:type="paragraph" w:styleId="23">
    <w:name w:val="index 1"/>
    <w:basedOn w:val="1"/>
    <w:next w:val="1"/>
    <w:qFormat/>
    <w:uiPriority w:val="0"/>
    <w:pPr>
      <w:jc w:val="center"/>
    </w:pPr>
    <w:rPr>
      <w:rFonts w:ascii="Arial" w:hAnsi="Arial" w:eastAsia="Arial" w:cs="Arial"/>
      <w:b/>
      <w:bCs/>
      <w:sz w:val="28"/>
    </w:rPr>
  </w:style>
  <w:style w:type="paragraph" w:styleId="24">
    <w:name w:val="annotation subject"/>
    <w:basedOn w:val="8"/>
    <w:next w:val="8"/>
    <w:link w:val="69"/>
    <w:unhideWhenUsed/>
    <w:qFormat/>
    <w:uiPriority w:val="99"/>
    <w:rPr>
      <w:rFonts w:ascii="@仿宋_GB2312" w:hAnsi="@仿宋_GB2312" w:eastAsia="@仿宋_GB2312" w:cs="@仿宋_GB2312"/>
      <w:b/>
      <w:bCs/>
    </w:rPr>
  </w:style>
  <w:style w:type="paragraph" w:styleId="25">
    <w:name w:val="Body Text First Indent"/>
    <w:basedOn w:val="9"/>
    <w:unhideWhenUsed/>
    <w:qFormat/>
    <w:uiPriority w:val="99"/>
    <w:pPr>
      <w:ind w:firstLine="420" w:firstLineChars="100"/>
    </w:pPr>
  </w:style>
  <w:style w:type="paragraph" w:styleId="26">
    <w:name w:val="Body Text First Indent 2"/>
    <w:basedOn w:val="10"/>
    <w:next w:val="1"/>
    <w:qFormat/>
    <w:uiPriority w:val="0"/>
    <w:pPr>
      <w:spacing w:line="360" w:lineRule="auto"/>
      <w:ind w:firstLine="200" w:firstLineChars="200"/>
    </w:pPr>
    <w:rPr>
      <w:rFonts w:ascii="宋体"/>
    </w:rPr>
  </w:style>
  <w:style w:type="table" w:styleId="28">
    <w:name w:val="Table Grid"/>
    <w:basedOn w:val="2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bCs/>
    </w:rPr>
  </w:style>
  <w:style w:type="character" w:styleId="31">
    <w:name w:val="FollowedHyperlink"/>
    <w:basedOn w:val="29"/>
    <w:semiHidden/>
    <w:unhideWhenUsed/>
    <w:qFormat/>
    <w:uiPriority w:val="99"/>
    <w:rPr>
      <w:color w:val="800080"/>
      <w:u w:val="none"/>
    </w:rPr>
  </w:style>
  <w:style w:type="character" w:styleId="32">
    <w:name w:val="Emphasis"/>
    <w:basedOn w:val="29"/>
    <w:qFormat/>
    <w:uiPriority w:val="20"/>
    <w:rPr>
      <w:b/>
      <w:bCs/>
    </w:rPr>
  </w:style>
  <w:style w:type="character" w:styleId="33">
    <w:name w:val="HTML Definition"/>
    <w:basedOn w:val="29"/>
    <w:semiHidden/>
    <w:unhideWhenUsed/>
    <w:qFormat/>
    <w:uiPriority w:val="99"/>
  </w:style>
  <w:style w:type="character" w:styleId="34">
    <w:name w:val="HTML Typewriter"/>
    <w:basedOn w:val="29"/>
    <w:semiHidden/>
    <w:unhideWhenUsed/>
    <w:qFormat/>
    <w:uiPriority w:val="99"/>
    <w:rPr>
      <w:rFonts w:ascii="monospace" w:hAnsi="monospace" w:eastAsia="monospace" w:cs="monospace"/>
      <w:sz w:val="20"/>
    </w:rPr>
  </w:style>
  <w:style w:type="character" w:styleId="35">
    <w:name w:val="HTML Acronym"/>
    <w:basedOn w:val="29"/>
    <w:semiHidden/>
    <w:unhideWhenUsed/>
    <w:qFormat/>
    <w:uiPriority w:val="99"/>
    <w:rPr>
      <w:sz w:val="0"/>
      <w:szCs w:val="0"/>
      <w:shd w:val="clear" w:color="auto" w:fill="E6E6E6"/>
    </w:rPr>
  </w:style>
  <w:style w:type="character" w:styleId="36">
    <w:name w:val="HTML Variable"/>
    <w:basedOn w:val="29"/>
    <w:semiHidden/>
    <w:unhideWhenUsed/>
    <w:qFormat/>
    <w:uiPriority w:val="99"/>
  </w:style>
  <w:style w:type="character" w:styleId="37">
    <w:name w:val="Hyperlink"/>
    <w:basedOn w:val="29"/>
    <w:unhideWhenUsed/>
    <w:qFormat/>
    <w:uiPriority w:val="99"/>
    <w:rPr>
      <w:color w:val="0000FF"/>
      <w:u w:val="none"/>
    </w:rPr>
  </w:style>
  <w:style w:type="character" w:styleId="38">
    <w:name w:val="HTML Code"/>
    <w:basedOn w:val="29"/>
    <w:semiHidden/>
    <w:unhideWhenUsed/>
    <w:qFormat/>
    <w:uiPriority w:val="99"/>
    <w:rPr>
      <w:rFonts w:hint="default" w:ascii="monospace" w:hAnsi="monospace" w:eastAsia="monospace" w:cs="monospace"/>
      <w:sz w:val="20"/>
    </w:rPr>
  </w:style>
  <w:style w:type="character" w:styleId="39">
    <w:name w:val="annotation reference"/>
    <w:basedOn w:val="29"/>
    <w:unhideWhenUsed/>
    <w:qFormat/>
    <w:uiPriority w:val="99"/>
    <w:rPr>
      <w:sz w:val="21"/>
      <w:szCs w:val="21"/>
    </w:rPr>
  </w:style>
  <w:style w:type="character" w:styleId="40">
    <w:name w:val="HTML Cite"/>
    <w:basedOn w:val="29"/>
    <w:semiHidden/>
    <w:unhideWhenUsed/>
    <w:qFormat/>
    <w:uiPriority w:val="99"/>
  </w:style>
  <w:style w:type="character" w:styleId="41">
    <w:name w:val="HTML Keyboard"/>
    <w:basedOn w:val="29"/>
    <w:semiHidden/>
    <w:unhideWhenUsed/>
    <w:qFormat/>
    <w:uiPriority w:val="99"/>
    <w:rPr>
      <w:rFonts w:hint="default" w:ascii="monospace" w:hAnsi="monospace" w:eastAsia="monospace" w:cs="monospace"/>
      <w:sz w:val="20"/>
    </w:rPr>
  </w:style>
  <w:style w:type="character" w:styleId="42">
    <w:name w:val="HTML Sample"/>
    <w:basedOn w:val="29"/>
    <w:semiHidden/>
    <w:unhideWhenUsed/>
    <w:qFormat/>
    <w:uiPriority w:val="99"/>
    <w:rPr>
      <w:rFonts w:hint="default" w:ascii="monospace" w:hAnsi="monospace" w:eastAsia="monospace" w:cs="monospace"/>
    </w:rPr>
  </w:style>
  <w:style w:type="paragraph" w:customStyle="1" w:styleId="43">
    <w:name w:val="正文（缩进）"/>
    <w:basedOn w:val="1"/>
    <w:qFormat/>
    <w:uiPriority w:val="0"/>
    <w:pPr>
      <w:widowControl/>
      <w:spacing w:before="156" w:after="156"/>
      <w:ind w:firstLine="480" w:firstLineChars="200"/>
      <w:jc w:val="left"/>
    </w:pPr>
    <w:rPr>
      <w:kern w:val="0"/>
      <w:sz w:val="24"/>
      <w:szCs w:val="24"/>
    </w:rPr>
  </w:style>
  <w:style w:type="paragraph" w:customStyle="1" w:styleId="44">
    <w:name w:val="xl31"/>
    <w:basedOn w:val="1"/>
    <w:qFormat/>
    <w:uiPriority w:val="0"/>
    <w:pPr>
      <w:widowControl/>
      <w:spacing w:before="100" w:beforeAutospacing="1" w:after="100" w:afterAutospacing="1"/>
      <w:jc w:val="center"/>
    </w:pPr>
    <w:rPr>
      <w:b/>
      <w:bCs/>
      <w:kern w:val="0"/>
      <w:sz w:val="28"/>
      <w:szCs w:val="28"/>
    </w:rPr>
  </w:style>
  <w:style w:type="paragraph" w:customStyle="1" w:styleId="45">
    <w:name w:val="D&amp;L"/>
    <w:basedOn w:val="1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46">
    <w:name w:val="列出段落1"/>
    <w:basedOn w:val="1"/>
    <w:qFormat/>
    <w:uiPriority w:val="34"/>
    <w:pPr>
      <w:ind w:firstLine="420" w:firstLineChars="200"/>
    </w:pPr>
  </w:style>
  <w:style w:type="paragraph" w:customStyle="1" w:styleId="47">
    <w:name w:val="Char Char Char Char Char Char Char1 Char"/>
    <w:basedOn w:val="1"/>
    <w:qFormat/>
    <w:uiPriority w:val="0"/>
    <w:rPr>
      <w:rFonts w:ascii="Arial" w:hAnsi="Arial" w:eastAsia="宋体" w:cs="Arial"/>
      <w:sz w:val="24"/>
    </w:rPr>
  </w:style>
  <w:style w:type="paragraph" w:customStyle="1" w:styleId="48">
    <w:name w:val="TOC 标题1"/>
    <w:basedOn w:val="2"/>
    <w:next w:val="1"/>
    <w:unhideWhenUsed/>
    <w:qFormat/>
    <w:uiPriority w:val="39"/>
    <w:pPr>
      <w:widowControl/>
      <w:spacing w:before="480" w:after="0" w:line="276" w:lineRule="auto"/>
      <w:jc w:val="left"/>
      <w:outlineLvl w:val="9"/>
    </w:pPr>
    <w:rPr>
      <w:rFonts w:ascii="Cambria" w:hAnsi="Cambria" w:eastAsia="宋体" w:cs="黑体"/>
      <w:color w:val="365F90"/>
      <w:kern w:val="0"/>
      <w:sz w:val="28"/>
      <w:szCs w:val="28"/>
    </w:rPr>
  </w:style>
  <w:style w:type="paragraph" w:customStyle="1" w:styleId="49">
    <w:name w:val="Table Text"/>
    <w:basedOn w:val="1"/>
    <w:semiHidden/>
    <w:qFormat/>
    <w:uiPriority w:val="0"/>
    <w:rPr>
      <w:rFonts w:ascii="Arial" w:hAnsi="Arial" w:eastAsia="Arial" w:cs="Arial"/>
      <w:szCs w:val="21"/>
      <w:lang w:eastAsia="en-US"/>
    </w:rPr>
  </w:style>
  <w:style w:type="character" w:customStyle="1" w:styleId="50">
    <w:name w:val="批注框文本 字符"/>
    <w:basedOn w:val="29"/>
    <w:link w:val="16"/>
    <w:semiHidden/>
    <w:qFormat/>
    <w:uiPriority w:val="99"/>
    <w:rPr>
      <w:rFonts w:ascii="@仿宋_GB2312" w:hAnsi="@仿宋_GB2312" w:eastAsia="@仿宋_GB2312" w:cs="@仿宋_GB2312"/>
      <w:sz w:val="18"/>
      <w:szCs w:val="18"/>
    </w:rPr>
  </w:style>
  <w:style w:type="character" w:customStyle="1" w:styleId="51">
    <w:name w:val="页眉 字符"/>
    <w:basedOn w:val="29"/>
    <w:link w:val="18"/>
    <w:qFormat/>
    <w:uiPriority w:val="99"/>
    <w:rPr>
      <w:rFonts w:ascii="@仿宋_GB2312" w:hAnsi="@仿宋_GB2312" w:eastAsia="@仿宋_GB2312" w:cs="@仿宋_GB2312"/>
      <w:sz w:val="18"/>
      <w:szCs w:val="18"/>
    </w:rPr>
  </w:style>
  <w:style w:type="character" w:customStyle="1" w:styleId="52">
    <w:name w:val="页脚 字符"/>
    <w:basedOn w:val="29"/>
    <w:link w:val="17"/>
    <w:qFormat/>
    <w:uiPriority w:val="99"/>
    <w:rPr>
      <w:rFonts w:ascii="@仿宋_GB2312" w:hAnsi="@仿宋_GB2312" w:eastAsia="@仿宋_GB2312" w:cs="@仿宋_GB2312"/>
      <w:sz w:val="18"/>
      <w:szCs w:val="18"/>
    </w:rPr>
  </w:style>
  <w:style w:type="character" w:customStyle="1" w:styleId="53">
    <w:name w:val="纯文本 字符"/>
    <w:link w:val="14"/>
    <w:qFormat/>
    <w:uiPriority w:val="0"/>
    <w:rPr>
      <w:rFonts w:ascii="宋体" w:hAnsi="Courier New"/>
    </w:rPr>
  </w:style>
  <w:style w:type="character" w:customStyle="1" w:styleId="54">
    <w:name w:val="纯文本 字符1"/>
    <w:basedOn w:val="29"/>
    <w:semiHidden/>
    <w:qFormat/>
    <w:uiPriority w:val="99"/>
    <w:rPr>
      <w:rFonts w:ascii="宋体" w:hAnsi="Courier New" w:cs="Courier New"/>
      <w:szCs w:val="20"/>
    </w:rPr>
  </w:style>
  <w:style w:type="character" w:customStyle="1" w:styleId="55">
    <w:name w:val="未处理的提及1"/>
    <w:basedOn w:val="29"/>
    <w:unhideWhenUsed/>
    <w:qFormat/>
    <w:uiPriority w:val="99"/>
    <w:rPr>
      <w:color w:val="605E5C"/>
      <w:shd w:val="clear" w:color="auto" w:fill="E1DFDD"/>
    </w:rPr>
  </w:style>
  <w:style w:type="character" w:customStyle="1" w:styleId="56">
    <w:name w:val="日期 字符"/>
    <w:basedOn w:val="29"/>
    <w:semiHidden/>
    <w:qFormat/>
    <w:uiPriority w:val="99"/>
    <w:rPr>
      <w:rFonts w:ascii="@仿宋_GB2312" w:hAnsi="@仿宋_GB2312" w:eastAsia="@仿宋_GB2312" w:cs="@仿宋_GB2312"/>
      <w:szCs w:val="20"/>
    </w:rPr>
  </w:style>
  <w:style w:type="character" w:customStyle="1" w:styleId="57">
    <w:name w:val="日期 字符1"/>
    <w:link w:val="15"/>
    <w:qFormat/>
    <w:uiPriority w:val="0"/>
    <w:rPr>
      <w:rFonts w:ascii="Arial" w:hAnsi="Arial" w:eastAsia="宋体" w:cs="Arial"/>
      <w:b/>
      <w:sz w:val="28"/>
      <w:szCs w:val="20"/>
    </w:rPr>
  </w:style>
  <w:style w:type="character" w:customStyle="1" w:styleId="58">
    <w:name w:val="纯文本 Char1"/>
    <w:qFormat/>
    <w:locked/>
    <w:uiPriority w:val="99"/>
    <w:rPr>
      <w:rFonts w:ascii="Arial" w:hAnsi="Arial" w:eastAsia="Arial"/>
      <w:kern w:val="2"/>
      <w:sz w:val="21"/>
      <w:lang w:val="en-US" w:eastAsia="zh-CN" w:bidi="ar-SA"/>
    </w:rPr>
  </w:style>
  <w:style w:type="character" w:customStyle="1" w:styleId="59">
    <w:name w:val="批注文字 Char"/>
    <w:basedOn w:val="29"/>
    <w:semiHidden/>
    <w:qFormat/>
    <w:uiPriority w:val="99"/>
    <w:rPr>
      <w:rFonts w:ascii="@仿宋_GB2312" w:hAnsi="@仿宋_GB2312" w:eastAsia="@仿宋_GB2312" w:cs="@仿宋_GB2312"/>
      <w:szCs w:val="20"/>
    </w:rPr>
  </w:style>
  <w:style w:type="character" w:customStyle="1" w:styleId="60">
    <w:name w:val="批注文字 字符"/>
    <w:link w:val="8"/>
    <w:qFormat/>
    <w:uiPriority w:val="0"/>
    <w:rPr>
      <w:rFonts w:ascii="Arial" w:hAnsi="Arial" w:eastAsia="黑体" w:cs="Arial"/>
      <w:szCs w:val="20"/>
    </w:rPr>
  </w:style>
  <w:style w:type="character" w:customStyle="1" w:styleId="61">
    <w:name w:val="标题 1 字符"/>
    <w:basedOn w:val="29"/>
    <w:link w:val="2"/>
    <w:qFormat/>
    <w:uiPriority w:val="9"/>
    <w:rPr>
      <w:rFonts w:ascii="@仿宋_GB2312" w:hAnsi="@仿宋_GB2312" w:eastAsia="@仿宋_GB2312" w:cs="@仿宋_GB2312"/>
      <w:b/>
      <w:bCs/>
      <w:kern w:val="44"/>
      <w:sz w:val="44"/>
      <w:szCs w:val="44"/>
    </w:rPr>
  </w:style>
  <w:style w:type="character" w:customStyle="1" w:styleId="62">
    <w:name w:val="标题 3 字符"/>
    <w:basedOn w:val="29"/>
    <w:link w:val="4"/>
    <w:semiHidden/>
    <w:qFormat/>
    <w:uiPriority w:val="9"/>
    <w:rPr>
      <w:rFonts w:ascii="@仿宋_GB2312" w:hAnsi="@仿宋_GB2312" w:eastAsia="@仿宋_GB2312" w:cs="@仿宋_GB2312"/>
      <w:b/>
      <w:bCs/>
      <w:sz w:val="32"/>
      <w:szCs w:val="32"/>
    </w:rPr>
  </w:style>
  <w:style w:type="character" w:customStyle="1" w:styleId="63">
    <w:name w:val="fontstyle01"/>
    <w:basedOn w:val="29"/>
    <w:qFormat/>
    <w:uiPriority w:val="0"/>
    <w:rPr>
      <w:rFonts w:hint="eastAsia" w:ascii="宋体" w:hAnsi="宋体" w:eastAsia="宋体"/>
      <w:color w:val="000000"/>
      <w:sz w:val="22"/>
      <w:szCs w:val="22"/>
    </w:rPr>
  </w:style>
  <w:style w:type="character" w:customStyle="1" w:styleId="64">
    <w:name w:val="fontstyle21"/>
    <w:basedOn w:val="29"/>
    <w:qFormat/>
    <w:uiPriority w:val="0"/>
    <w:rPr>
      <w:rFonts w:hint="default" w:ascii="TimesNewRomanPSMT" w:hAnsi="TimesNewRomanPSMT"/>
      <w:color w:val="000000"/>
      <w:sz w:val="22"/>
      <w:szCs w:val="22"/>
    </w:rPr>
  </w:style>
  <w:style w:type="character" w:customStyle="1" w:styleId="65">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semiHidden/>
    <w:qFormat/>
    <w:uiPriority w:val="9"/>
    <w:rPr>
      <w:rFonts w:ascii="Cambria" w:hAnsi="Cambria" w:eastAsia="宋体" w:cs="黑体"/>
      <w:b/>
      <w:bCs/>
      <w:sz w:val="28"/>
      <w:szCs w:val="28"/>
    </w:rPr>
  </w:style>
  <w:style w:type="character" w:customStyle="1" w:styleId="67">
    <w:name w:val="标题 4 字符1"/>
    <w:link w:val="5"/>
    <w:qFormat/>
    <w:uiPriority w:val="0"/>
    <w:rPr>
      <w:rFonts w:ascii="@仿宋_GB2312" w:hAnsi="@仿宋_GB2312" w:eastAsia="@仿宋_GB2312" w:cs="@仿宋_GB2312"/>
      <w:b/>
      <w:bCs/>
      <w:sz w:val="28"/>
      <w:szCs w:val="28"/>
    </w:rPr>
  </w:style>
  <w:style w:type="character" w:customStyle="1" w:styleId="68">
    <w:name w:val="标题 4 Char"/>
    <w:qFormat/>
    <w:uiPriority w:val="0"/>
    <w:rPr>
      <w:rFonts w:ascii="Arial" w:hAnsi="Arial" w:eastAsia="Arial"/>
      <w:b/>
      <w:bCs/>
      <w:kern w:val="2"/>
      <w:sz w:val="28"/>
      <w:szCs w:val="28"/>
      <w:lang w:val="en-US" w:eastAsia="zh-CN" w:bidi="ar-SA"/>
    </w:rPr>
  </w:style>
  <w:style w:type="character" w:customStyle="1" w:styleId="69">
    <w:name w:val="批注主题 字符"/>
    <w:basedOn w:val="60"/>
    <w:link w:val="24"/>
    <w:semiHidden/>
    <w:qFormat/>
    <w:uiPriority w:val="99"/>
    <w:rPr>
      <w:rFonts w:ascii="@仿宋_GB2312" w:hAnsi="@仿宋_GB2312" w:eastAsia="@仿宋_GB2312" w:cs="@仿宋_GB2312"/>
      <w:b/>
      <w:bCs/>
      <w:szCs w:val="20"/>
    </w:rPr>
  </w:style>
  <w:style w:type="character" w:customStyle="1" w:styleId="70">
    <w:name w:val="15"/>
    <w:basedOn w:val="29"/>
    <w:qFormat/>
    <w:uiPriority w:val="0"/>
    <w:rPr>
      <w:rFonts w:hint="default" w:ascii="Times New Roman" w:hAnsi="Times New Roman" w:cs="Times New Roman"/>
      <w:color w:val="0000FF"/>
      <w:u w:val="single"/>
    </w:rPr>
  </w:style>
  <w:style w:type="character" w:customStyle="1" w:styleId="71">
    <w:name w:val="10"/>
    <w:basedOn w:val="29"/>
    <w:qFormat/>
    <w:uiPriority w:val="0"/>
    <w:rPr>
      <w:rFonts w:hint="default" w:ascii="Times New Roman" w:hAnsi="Times New Roman" w:cs="Times New Roman"/>
    </w:rPr>
  </w:style>
  <w:style w:type="table" w:customStyle="1" w:styleId="72">
    <w:name w:val="网格表 1 浅色1"/>
    <w:basedOn w:val="27"/>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nil"/>
          <w:bottom w:val="single" w:color="666666" w:sz="12" w:space="0"/>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73">
    <w:name w:val="网格型1"/>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Table Normal"/>
    <w:unhideWhenUsed/>
    <w:qFormat/>
    <w:uiPriority w:val="0"/>
    <w:tblPr>
      <w:tblCellMar>
        <w:top w:w="0" w:type="dxa"/>
        <w:left w:w="0" w:type="dxa"/>
        <w:bottom w:w="0" w:type="dxa"/>
        <w:right w:w="0" w:type="dxa"/>
      </w:tblCellMar>
    </w:tblPr>
  </w:style>
  <w:style w:type="character" w:customStyle="1" w:styleId="75">
    <w:name w:val="first-child"/>
    <w:basedOn w:val="29"/>
    <w:qFormat/>
    <w:uiPriority w:val="0"/>
  </w:style>
  <w:style w:type="character" w:customStyle="1" w:styleId="76">
    <w:name w:val="layui-this"/>
    <w:basedOn w:val="29"/>
    <w:qFormat/>
    <w:uiPriority w:val="0"/>
    <w:rPr>
      <w:bdr w:val="single" w:color="EEEEEE" w:sz="6" w:space="0"/>
      <w:shd w:val="clear" w:color="auto" w:fill="FFFFFF"/>
    </w:rPr>
  </w:style>
  <w:style w:type="character" w:customStyle="1" w:styleId="77">
    <w:name w:val="hover"/>
    <w:basedOn w:val="29"/>
    <w:qFormat/>
    <w:uiPriority w:val="0"/>
    <w:rPr>
      <w:color w:val="2590EB"/>
    </w:rPr>
  </w:style>
  <w:style w:type="character" w:customStyle="1" w:styleId="78">
    <w:name w:val="hover1"/>
    <w:basedOn w:val="29"/>
    <w:qFormat/>
    <w:uiPriority w:val="0"/>
    <w:rPr>
      <w:color w:val="2590EB"/>
    </w:rPr>
  </w:style>
  <w:style w:type="character" w:customStyle="1" w:styleId="79">
    <w:name w:val="hover2"/>
    <w:basedOn w:val="29"/>
    <w:qFormat/>
    <w:uiPriority w:val="0"/>
  </w:style>
  <w:style w:type="character" w:customStyle="1" w:styleId="80">
    <w:name w:val="hover3"/>
    <w:basedOn w:val="29"/>
    <w:qFormat/>
    <w:uiPriority w:val="0"/>
    <w:rPr>
      <w:color w:val="2590EB"/>
      <w:shd w:val="clear" w:color="auto" w:fill="E9F4FD"/>
    </w:rPr>
  </w:style>
  <w:style w:type="paragraph" w:customStyle="1" w:styleId="8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3ba6ed68-8c2e-46eb-9287-f5a600d98253</errorID>
      <errorWord>，</errorWord>
      <group>L1_Word</group>
      <groupName>字词问题</groupName>
      <ability>L2_Typo</ability>
      <abilityName>字词错误</abilityName>
      <candidateList>
        <item>，对</item>
      </candidateList>
      <explain/>
      <paraID>7DEEEFD8</paraID>
      <start>132</start>
      <end>133</end>
      <status>unmodified</status>
      <modifiedWord/>
      <trackRevisions>false</trackRevisions>
    </reviewItem>
    <reviewItem>
      <errorID>13fffe1f-9116-4fee-ba66-2c9dace2fb39</errorID>
      <errorWord>(具体行为类别及判定依据见“信用中国”查询的严重失信行为类别及判定依据)的</errorWord>
      <group>L1_Punc</group>
      <groupName>标点问题</groupName>
      <ability>L2_Punc_CN</ability>
      <abilityName>标点符号问题</abilityName>
      <candidateList>
        <item>（具体行为类别及判定依据见“信用中国”查询的严重失信行为类别及判定依据）</item>
      </candidateList>
      <explain/>
      <paraID>5D556673</paraID>
      <start>26</start>
      <end>63</end>
      <status>unmodified</status>
      <modifiedWord/>
      <trackRevisions>false</trackRevisions>
    </reviewItem>
    <reviewItem>
      <errorID>b2a95233-1cf9-42e5-95a3-f4dee0744871</errorID>
      <errorWord>“关于联合惩戒失信行为加强信用查询管理的通知”</errorWord>
      <group>L1_Punc</group>
      <groupName>标点问题</groupName>
      <ability>L2_Punc_CN</ability>
      <abilityName>标点符号问题</abilityName>
      <candidateList>
        <item>《关于联合惩戒失信行为加强信用查询管理的通知》</item>
      </candidateList>
      <explain/>
      <paraID>10AE21F7</paraID>
      <start>10</start>
      <end>33</end>
      <status>unmodified</status>
      <modifiedWord/>
      <trackRevisions>false</trackRevisions>
    </reviewItem>
    <reviewItem>
      <errorID>6248ee2e-8baf-4908-9761-3caf5b346b7d</errorID>
      <errorWord>日至2026年</errorWord>
      <group>L1_Word</group>
      <groupName>字词问题</groupName>
      <ability>L2_Typo</ability>
      <abilityName>字词错误</abilityName>
      <candidateList>
        <item>日起至2026年</item>
      </candidateList>
      <explain/>
      <paraID>5724434B</paraID>
      <start>13</start>
      <end>20</end>
      <status>unmodified</status>
      <modifiedWord/>
      <trackRevisions>false</trackRevisions>
    </reviewItem>
    <reviewItem>
      <errorID>2b433e33-0986-4f8f-9b83-c0be6769e0cf</errorID>
      <errorWord>&gt;</errorWord>
      <group>L1_Format</group>
      <groupName>格式问题</groupName>
      <ability>L2_HalfPunc_CN</ability>
      <abilityName>全半角问题</abilityName>
      <candidateList>
        <item>〉</item>
      </candidateList>
      <explain>文本全半角错误。</explain>
      <paraID>228FC33B</paraID>
      <start>193</start>
      <end>194</end>
      <status>unmodified</status>
      <modifiedWord/>
      <trackRevisions>false</trackRevisions>
    </reviewItem>
    <reviewItem>
      <errorID>cb0ebea9-21bc-4255-a0c8-93153b62ee9b</errorID>
      <errorWord>&gt;</errorWord>
      <group>L1_Format</group>
      <groupName>格式问题</groupName>
      <ability>L2_HalfPunc_CN</ability>
      <abilityName>全半角问题</abilityName>
      <candidateList>
        <item>〉</item>
      </candidateList>
      <explain>文本全半角错误。</explain>
      <paraID>228FC33B</paraID>
      <start>198</start>
      <end>199</end>
      <status>unmodified</status>
      <modifiedWord/>
      <trackRevisions>false</trackRevisions>
    </reviewItem>
    <reviewItem>
      <errorID>f2c442f6-2332-41c9-a6fc-204b7bfc43de</errorID>
      <errorWord>：</errorWord>
      <group>L1_Format</group>
      <groupName>格式问题</groupName>
      <ability>L2_HalfPunc_CN</ability>
      <abilityName>全半角问题</abilityName>
      <candidateList>
        <item>:</item>
      </candidateList>
      <explain>文本全半角错误。</explain>
      <paraID>228FC33B</paraID>
      <start>423</start>
      <end>424</end>
      <status>unmodified</status>
      <modifiedWord/>
      <trackRevisions>false</trackRevisions>
    </reviewItem>
    <reviewItem>
      <errorID>0f541eb6-642a-47e0-acd0-fe778ce68db0</errorID>
      <errorWord>：</errorWord>
      <group>L1_Format</group>
      <groupName>格式问题</groupName>
      <ability>L2_HalfPunc_CN</ability>
      <abilityName>全半角问题</abilityName>
      <candidateList>
        <item>:</item>
      </candidateList>
      <explain>文本全半角错误。</explain>
      <paraID>228FC33B</paraID>
      <start>429</start>
      <end>430</end>
      <status>unmodified</status>
      <modifiedWord/>
      <trackRevisions>false</trackRevisions>
    </reviewItem>
    <reviewItem>
      <errorID>c8f62b0a-91f3-49b3-9209-bed542705271</errorID>
      <errorWord>00）、</errorWord>
      <group>L1_Punc</group>
      <groupName>标点问题</groupName>
      <ability>L2_Punc_CN</ability>
      <abilityName>标点符号问题</abilityName>
      <candidateList>
        <item>00）</item>
      </candidateList>
      <explain>根据国标GB/T 15834-2011《标点符号用法》中的4.5.3.3节，带括号的汉字数字或阿拉伯数字表次序时，后面通常不加顿号。如“（一）指导思想”“（二）行动指南”。</explain>
      <paraID>228FC33B</paraID>
      <start>430</start>
      <end>434</end>
      <status>unmodified</status>
      <modifiedWord/>
      <trackRevisions>false</trackRevisions>
    </reviewItem>
    <reviewItem>
      <errorID>8c150108-a76e-441c-b188-8af70a5749d7</errorID>
      <errorWord>&gt;</errorWord>
      <group>L1_Format</group>
      <groupName>格式问题</groupName>
      <ability>L2_HalfPunc_CN</ability>
      <abilityName>全半角问题</abilityName>
      <candidateList>
        <item>〉</item>
      </candidateList>
      <explain>文本全半角错误。</explain>
      <paraID>22254B9D</paraID>
      <start>49</start>
      <end>50</end>
      <status>unmodified</status>
      <modifiedWord/>
      <trackRevisions>false</trackRevisions>
    </reviewItem>
    <reviewItem>
      <errorID>c944a1be-f7a9-4afe-824c-dd2d0d22f36b</errorID>
      <errorWord>&gt;</errorWord>
      <group>L1_Format</group>
      <groupName>格式问题</groupName>
      <ability>L2_HalfPunc_CN</ability>
      <abilityName>全半角问题</abilityName>
      <candidateList>
        <item>〉</item>
      </candidateList>
      <explain>文本全半角错误。</explain>
      <paraID>22254B9D</paraID>
      <start>54</start>
      <end>55</end>
      <status>unmodified</status>
      <modifiedWord/>
      <trackRevisions>false</trackRevisions>
    </reviewItem>
    <reviewItem>
      <errorID>f06cc911-9a24-4559-aad1-bc1bc09b3347</errorID>
      <errorWord>。</errorWord>
      <group>L1_Punc</group>
      <groupName>标点问题</groupName>
      <ability>L2_Punc_CN</ability>
      <abilityName>标点符号问题</abilityName>
      <candidateList>
        <item/>
      </candidateList>
      <explain/>
      <paraID>22254B9D</paraID>
      <start>79</start>
      <end>80</end>
      <status>unmodified</status>
      <modifiedWord/>
      <trackRevisions>false</trackRevisions>
    </reviewItem>
    <reviewItem>
      <errorID>515faaa4-91c8-4de7-926d-dc7769ba5d20</errorID>
      <errorWord>)</errorWord>
      <group>L1_Format</group>
      <groupName>格式问题</groupName>
      <ability>L2_HalfPunc_CN</ability>
      <abilityName>全半角问题</abilityName>
      <candidateList>
        <item>）</item>
      </candidateList>
      <explain>文本全半角错误。</explain>
      <paraID>7C3E9574</paraID>
      <start>17</start>
      <end>18</end>
      <status>unmodified</status>
      <modifiedWord/>
      <trackRevisions>false</trackRevisions>
    </reviewItem>
    <reviewItem>
      <errorID>86496415-68f6-445e-807b-1489404c7040</errorID>
      <errorWord>&gt;</errorWord>
      <group>L1_Format</group>
      <groupName>格式问题</groupName>
      <ability>L2_HalfPunc_CN</ability>
      <abilityName>全半角问题</abilityName>
      <candidateList>
        <item>〉</item>
      </candidateList>
      <explain>文本全半角错误。</explain>
      <paraID>7C3E9574</paraID>
      <start>199</start>
      <end>200</end>
      <status>unmodified</status>
      <modifiedWord/>
      <trackRevisions>false</trackRevisions>
    </reviewItem>
    <reviewItem>
      <errorID>e3e150a3-e648-4801-8d66-01079cd91871</errorID>
      <errorWord>&gt;</errorWord>
      <group>L1_Format</group>
      <groupName>格式问题</groupName>
      <ability>L2_HalfPunc_CN</ability>
      <abilityName>全半角问题</abilityName>
      <candidateList>
        <item>〉</item>
      </candidateList>
      <explain>文本全半角错误。</explain>
      <paraID>7C3E9574</paraID>
      <start>204</start>
      <end>205</end>
      <status>unmodified</status>
      <modifiedWord/>
      <trackRevisions>false</trackRevisions>
    </reviewItem>
    <reviewItem>
      <errorID>4375bbc8-4f8d-4125-84e0-dd6d4506ff27</errorID>
      <errorWord>：/</errorWord>
      <group>L1_Punc</group>
      <groupName>标点问题</groupName>
      <ability>L2_Punc_CN</ability>
      <abilityName>标点符号问题</abilityName>
      <candidateList>
        <item>：</item>
      </candidateList>
      <explain/>
      <paraID>1BA0D783</paraID>
      <start>2</start>
      <end>4</end>
      <status>unmodified</status>
      <modifiedWord/>
      <trackRevisions>false</trackRevisions>
    </reviewItem>
    <reviewItem>
      <errorID>89c000ed-974f-4160-bf69-8c3b734d0e35</errorID>
      <errorWord>：/</errorWord>
      <group>L1_Punc</group>
      <groupName>标点问题</groupName>
      <ability>L2_Punc_CN</ability>
      <abilityName>标点符号问题</abilityName>
      <candidateList>
        <item>：</item>
      </candidateList>
      <explain/>
      <paraID>5C09DF3A</paraID>
      <start>2</start>
      <end>4</end>
      <status>unmodified</status>
      <modifiedWord/>
      <trackRevisions>false</trackRevisions>
    </reviewItem>
    <reviewItem>
      <errorID>04351bc2-3608-41ab-8666-9399be927c52</errorID>
      <errorWord>：/</errorWord>
      <group>L1_Punc</group>
      <groupName>标点问题</groupName>
      <ability>L2_Punc_CN</ability>
      <abilityName>标点符号问题</abilityName>
      <candidateList>
        <item>：</item>
      </candidateList>
      <explain/>
      <paraID>5CD97940</paraID>
      <start>8</start>
      <end>10</end>
      <status>unmodified</status>
      <modifiedWord/>
      <trackRevisions>false</trackRevisions>
    </reviewItem>
    <reviewItem>
      <errorID>73729ef9-e511-4eed-9124-2e26e16a8e3c</errorID>
      <errorWord>：/</errorWord>
      <group>L1_Punc</group>
      <groupName>标点问题</groupName>
      <ability>L2_Punc_CN</ability>
      <abilityName>标点符号问题</abilityName>
      <candidateList>
        <item>：</item>
      </candidateList>
      <explain/>
      <paraID>7A8E1C9D</paraID>
      <start>18</start>
      <end>20</end>
      <status>unmodified</status>
      <modifiedWord/>
      <trackRevisions>false</trackRevisions>
    </reviewItem>
    <reviewItem>
      <errorID>c32872d7-9060-457c-b155-f28505e3384a</errorID>
      <errorWord>：/。</errorWord>
      <group>L1_Punc</group>
      <groupName>标点问题</groupName>
      <ability>L2_Punc_CN</ability>
      <abilityName>标点符号问题</abilityName>
      <candidateList>
        <item>：</item>
      </candidateList>
      <explain/>
      <paraID>51D9AA14</paraID>
      <start>14</start>
      <end>17</end>
      <status>unmodified</status>
      <modifiedWord/>
      <trackRevisions>false</trackRevisions>
    </reviewItem>
    <reviewItem>
      <errorID>2b15406a-7568-4496-a6a1-f3b11673f624</errorID>
      <errorWord>：/。</errorWord>
      <group>L1_Punc</group>
      <groupName>标点问题</groupName>
      <ability>L2_Punc_CN</ability>
      <abilityName>标点符号问题</abilityName>
      <candidateList>
        <item>：</item>
      </candidateList>
      <explain/>
      <paraID>265EB302</paraID>
      <start>11</start>
      <end>14</end>
      <status>unmodified</status>
      <modifiedWord/>
      <trackRevisions>false</trackRevisions>
    </reviewItem>
    <reviewItem>
      <errorID>c69afd48-664b-40d3-906e-5360fd611ab8</errorID>
      <errorWord>：/</errorWord>
      <group>L1_Punc</group>
      <groupName>标点问题</groupName>
      <ability>L2_Punc_CN</ability>
      <abilityName>标点符号问题</abilityName>
      <candidateList>
        <item>：</item>
      </candidateList>
      <explain/>
      <paraID>78823731</paraID>
      <start>15</start>
      <end>17</end>
      <status>unmodified</status>
      <modifiedWord/>
      <trackRevisions>false</trackRevisions>
    </reviewItem>
    <reviewItem>
      <errorID>be509a5e-c772-4a0e-ab4f-37f85424ad2c</errorID>
      <errorWord>：/。</errorWord>
      <group>L1_Punc</group>
      <groupName>标点问题</groupName>
      <ability>L2_Punc_CN</ability>
      <abilityName>标点符号问题</abilityName>
      <candidateList>
        <item>：</item>
      </candidateList>
      <explain/>
      <paraID>7BBBD311</paraID>
      <start>25</start>
      <end>28</end>
      <status>unmodified</status>
      <modifiedWord/>
      <trackRevisions>false</trackRevisions>
    </reviewItem>
    <reviewItem>
      <errorID>ca57395a-3c80-4ede-9697-92d868a04a8e</errorID>
      <errorWord>；</errorWord>
      <group>L1_Punc</group>
      <groupName>标点问题</groupName>
      <ability>L2_Punc_CN</ability>
      <abilityName>标点符号问题</abilityName>
      <candidateList>
        <item/>
      </candidateList>
      <explain/>
      <paraID>10DE34E4</paraID>
      <start>14</start>
      <end>15</end>
      <status>unmodified</status>
      <modifiedWord/>
      <trackRevisions>false</trackRevisions>
    </reviewItem>
    <reviewItem>
      <errorID>4dbc6717-dbf3-4b06-a281-5e8d1126ec34</errorID>
      <errorWord>）</errorWord>
      <group>L1_Punc</group>
      <groupName>标点问题</groupName>
      <ability>L2_Punc_CN</ability>
      <abilityName>标点符号问题</abilityName>
      <candidateList>
        <item>）；</item>
      </candidateList>
      <explain/>
      <paraID>10DE34E4</paraID>
      <start>18</start>
      <end>19</end>
      <status>unmodified</status>
      <modifiedWord/>
      <trackRevisions>false</trackRevisions>
    </reviewItem>
    <reviewItem>
      <errorID>e4662a7c-2392-4d4b-82e1-bf661e77f017</errorID>
      <errorWord>。（如有）</errorWord>
      <group>L1_Word</group>
      <groupName>字词问题</groupName>
      <ability>L2_Typo</ability>
      <abilityName>字词错误</abilityName>
      <candidateList>
        <item>（如有）。</item>
      </candidateList>
      <explain/>
      <paraID>2EB7B8E0</paraID>
      <start>15</start>
      <end>20</end>
      <status>unmodified</status>
      <modifiedWord/>
      <trackRevisions>false</trackRevisions>
    </reviewItem>
    <reviewItem>
      <errorID>6085080f-86f3-48d2-a7ee-56ba47dfd2b3</errorID>
      <errorWord>：/</errorWord>
      <group>L1_Punc</group>
      <groupName>标点问题</groupName>
      <ability>L2_Punc_CN</ability>
      <abilityName>标点符号问题</abilityName>
      <candidateList>
        <item>：</item>
      </candidateList>
      <explain/>
      <paraID>7E448151</paraID>
      <start>7</start>
      <end>9</end>
      <status>unmodified</status>
      <modifiedWord/>
      <trackRevisions>false</trackRevisions>
    </reviewItem>
    <reviewItem>
      <errorID>fef2d083-3237-42d5-87d2-b067b98243f7</errorID>
      <errorWord>：/</errorWord>
      <group>L1_Punc</group>
      <groupName>标点问题</groupName>
      <ability>L2_Punc_CN</ability>
      <abilityName>标点符号问题</abilityName>
      <candidateList>
        <item>：</item>
      </candidateList>
      <explain/>
      <paraID>51DABE24</paraID>
      <start>7</start>
      <end>9</end>
      <status>unmodified</status>
      <modifiedWord/>
      <trackRevisions>false</trackRevisions>
    </reviewItem>
    <reviewItem>
      <errorID>fd820e97-8207-404b-a12c-2724251ecbe7</errorID>
      <errorWord>：/</errorWord>
      <group>L1_Punc</group>
      <groupName>标点问题</groupName>
      <ability>L2_Punc_CN</ability>
      <abilityName>标点符号问题</abilityName>
      <candidateList>
        <item>：</item>
      </candidateList>
      <explain/>
      <paraID>635B1BD1</paraID>
      <start>7</start>
      <end>9</end>
      <status>unmodified</status>
      <modifiedWord/>
      <trackRevisions>false</trackRevisions>
    </reviewItem>
    <reviewItem>
      <errorID>6789cfd2-c69c-422a-977b-d490dbf0d69a</errorID>
      <errorWord>：参考</errorWord>
      <group>L1_Grammar</group>
      <groupName>语法问题</groupName>
      <ability>L2_Grammar</ability>
      <abilityName>语法错误</abilityName>
      <candidateList>
        <item>：</item>
      </candidateList>
      <explain/>
      <paraID> 952CE01</paraID>
      <start>7</start>
      <end>10</end>
      <status>unmodified</status>
      <modifiedWord/>
      <trackRevisions>false</trackRevisions>
    </reviewItem>
    <reviewItem>
      <errorID>74b0c578-110e-4d24-981b-4bff19f9033c</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3798DFE7</paraID>
      <start>26</start>
      <end>30</end>
      <status>unmodified</status>
      <modifiedWord/>
      <trackRevisions>false</trackRevisions>
    </reviewItem>
    <reviewItem>
      <errorID>330a60d8-a9ae-464a-9b07-5b12c89b2d54</errorID>
      <errorWord>&gt;</errorWord>
      <group>L1_Format</group>
      <groupName>格式问题</groupName>
      <ability>L2_HalfPunc_CN</ability>
      <abilityName>全半角问题</abilityName>
      <candidateList>
        <item>〉</item>
      </candidateList>
      <explain>文本全半角错误。</explain>
      <paraID>3798DFE7</paraID>
      <start>75</start>
      <end>76</end>
      <status>unmodified</status>
      <modifiedWord/>
      <trackRevisions>false</trackRevisions>
    </reviewItem>
    <reviewItem>
      <errorID>a966e406-51a6-41fa-8a29-06256c8fd5ff</errorID>
      <errorWord>&gt;</errorWord>
      <group>L1_Format</group>
      <groupName>格式问题</groupName>
      <ability>L2_HalfPunc_CN</ability>
      <abilityName>全半角问题</abilityName>
      <candidateList>
        <item>〉</item>
      </candidateList>
      <explain>文本全半角错误。</explain>
      <paraID>3798DFE7</paraID>
      <start>80</start>
      <end>81</end>
      <status>unmodified</status>
      <modifiedWord/>
      <trackRevisions>false</trackRevisions>
    </reviewItem>
    <reviewItem>
      <errorID>19522a95-aa43-4978-894c-d014d88e4a76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3798DFE7</paraID>
      <start>111</start>
      <end>115</end>
      <status>unmodified</status>
      <modifiedWord/>
      <trackRevisions>false</trackRevisions>
    </reviewItem>
    <reviewItem>
      <errorID>a888e2d2-a3f9-4194-80eb-fd2604f25961</errorID>
      <errorWord>&gt;</errorWord>
      <group>L1_Format</group>
      <groupName>格式问题</groupName>
      <ability>L2_HalfPunc_CN</ability>
      <abilityName>全半角问题</abilityName>
      <candidateList>
        <item>〉</item>
      </candidateList>
      <explain>文本全半角错误。</explain>
      <paraID>291C5950</paraID>
      <start>32</start>
      <end>33</end>
      <status>unmodified</status>
      <modifiedWord/>
      <trackRevisions>false</trackRevisions>
    </reviewItem>
    <reviewItem>
      <errorID>8d12e9ab-58c3-4fa7-a602-6d20981d4dee</errorID>
      <errorWord>&gt;</errorWord>
      <group>L1_Format</group>
      <groupName>格式问题</groupName>
      <ability>L2_HalfPunc_CN</ability>
      <abilityName>全半角问题</abilityName>
      <candidateList>
        <item>〉</item>
      </candidateList>
      <explain>文本全半角错误。</explain>
      <paraID>291C5950</paraID>
      <start>37</start>
      <end>38</end>
      <status>unmodified</status>
      <modifiedWord/>
      <trackRevisions>false</trackRevisions>
    </reviewItem>
    <reviewItem>
      <errorID>8b3880ff-5b7e-42bc-b176-39b3a3d76697</errorID>
      <errorWord>状态，</errorWord>
      <group>L1_Grammar</group>
      <groupName>语法问题</groupName>
      <ability>L2_Grammar</ability>
      <abilityName>语法错误</abilityName>
      <candidateList>
        <item>的状态下，</item>
      </candidateList>
      <explain/>
      <paraID>291C5950</paraID>
      <start>89</start>
      <end>92</end>
      <status>unmodified</status>
      <modifiedWord/>
      <trackRevisions>false</trackRevisions>
    </reviewItem>
    <reviewItem>
      <errorID>01139eac-1b60-4d55-8182-0e8c8fcda7bf</errorID>
      <errorWord>（</errorWord>
      <group>L1_Punc</group>
      <groupName>标点问题</groupName>
      <ability>L2_Punc_CN</ability>
      <abilityName>标点符号问题</abilityName>
      <candidateList>
        <item/>
      </candidateList>
      <explain/>
      <paraID>50359D1D</paraID>
      <start>31</start>
      <end>32</end>
      <status>unmodified</status>
      <modifiedWord/>
      <trackRevisions>false</trackRevisions>
    </reviewItem>
    <reviewItem>
      <errorID>a101f1d9-d737-4cfc-9e7a-52c23c4fdb80</errorID>
      <errorWord>请</errorWord>
      <group>L1_Punc</group>
      <groupName>标点问题</groupName>
      <ability>L2_Punc_CN</ability>
      <abilityName>标点符号问题</abilityName>
      <candidateList>
        <item>，请</item>
      </candidateList>
      <explain/>
      <paraID>50359D1D</paraID>
      <start>42</start>
      <end>43</end>
      <status>unmodified</status>
      <modifiedWord/>
      <trackRevisions>false</trackRevisions>
    </reviewItem>
    <reviewItem>
      <errorID>b19aa46b-31ee-4adb-8feb-4f02948a9a9f</errorID>
      <errorWord>请</errorWord>
      <group>L1_Punc</group>
      <groupName>标点问题</groupName>
      <ability>L2_Punc_CN</ability>
      <abilityName>标点符号问题</abilityName>
      <candidateList>
        <item>，请</item>
      </candidateList>
      <explain/>
      <paraID>50359D1D</paraID>
      <start>68</start>
      <end>69</end>
      <status>unmodified</status>
      <modifiedWord/>
      <trackRevisions>false</trackRevisions>
    </reviewItem>
    <reviewItem>
      <errorID>1e5c53a5-51b7-4076-884e-759b99c1c70c</errorID>
      <errorWord>&gt;</errorWord>
      <group>L1_Format</group>
      <groupName>格式问题</groupName>
      <ability>L2_HalfPunc_CN</ability>
      <abilityName>全半角问题</abilityName>
      <candidateList>
        <item>〉</item>
      </candidateList>
      <explain>文本全半角错误。</explain>
      <paraID>50359D1D</paraID>
      <start>83</start>
      <end>84</end>
      <status>unmodified</status>
      <modifiedWord/>
      <trackRevisions>false</trackRevisions>
    </reviewItem>
    <reviewItem>
      <errorID>5ff76d7d-d4e9-4e62-aa8c-748ce5232ac0</errorID>
      <errorWord>&gt;</errorWord>
      <group>L1_Format</group>
      <groupName>格式问题</groupName>
      <ability>L2_HalfPunc_CN</ability>
      <abilityName>全半角问题</abilityName>
      <candidateList>
        <item>〉</item>
      </candidateList>
      <explain>文本全半角错误。</explain>
      <paraID>50359D1D</paraID>
      <start>88</start>
      <end>89</end>
      <status>unmodified</status>
      <modifiedWord/>
      <trackRevisions>false</trackRevisions>
    </reviewItem>
    <reviewItem>
      <errorID>5cb4a673-e720-4081-b0c1-ab24a4bef5b6</errorID>
      <errorWord>，</errorWord>
      <group>L1_Grammar</group>
      <groupName>语法问题</groupName>
      <ability>L2_Grammar</ability>
      <abilityName>语法错误</abilityName>
      <candidateList>
        <item>情况，</item>
      </candidateList>
      <explain/>
      <paraID> EA89B98</paraID>
      <start>19</start>
      <end>20</end>
      <status>unmodified</status>
      <modifiedWord/>
      <trackRevisions>false</trackRevisions>
    </reviewItem>
    <reviewItem>
      <errorID>e0d2f5f8-974b-4c85-ac19-f7fabc82e80b</errorID>
      <errorWord>而且</errorWord>
      <group>L1_Word</group>
      <groupName>字词问题</groupName>
      <ability>L2_Typo</ability>
      <abilityName>字词错误</abilityName>
      <candidateList>
        <item>，且</item>
      </candidateList>
      <explain/>
      <paraID>40328520</paraID>
      <start>146</start>
      <end>148</end>
      <status>unmodified</status>
      <modifiedWord/>
      <trackRevisions>false</trackRevisions>
    </reviewItem>
    <reviewItem>
      <errorID>92298dbb-4465-4c5f-a732-47cc6bd5b85c</errorID>
      <errorWord>丧失</errorWord>
      <group>L1_Grammar</group>
      <groupName>语法问题</groupName>
      <ability>L2_Grammar</ability>
      <abilityName>语法错误</abilityName>
      <candidateList>
        <item>从而丧失</item>
      </candidateList>
      <explain/>
      <paraID>40328520</paraID>
      <start>155</start>
      <end>157</end>
      <status>unmodified</status>
      <modifiedWord/>
      <trackRevisions>false</trackRevisions>
    </reviewItem>
    <reviewItem>
      <errorID>f1b55360-3077-4af0-87e7-ef9dc9b0359a</errorID>
      <errorWord>，</errorWord>
      <group>L1_Punc</group>
      <groupName>标点问题</groupName>
      <ability>L2_Punc_CN</ability>
      <abilityName>标点符号问题</abilityName>
      <candidateList>
        <item>。</item>
      </candidateList>
      <explain/>
      <paraID>40328520</paraID>
      <start>161</start>
      <end>162</end>
      <status>unmodified</status>
      <modifiedWord/>
      <trackRevisions>false</trackRevisions>
    </reviewItem>
    <reviewItem>
      <errorID>fdbf24a5-835c-4c05-b9e1-82059531080b</errorID>
      <errorWord>由于</errorWord>
      <group>L1_Grammar</group>
      <groupName>语法问题</groupName>
      <ability>L2_Grammar</ability>
      <abilityName>语法错误</abilityName>
      <candidateList>
        <item>出现由于</item>
      </candidateList>
      <explain/>
      <paraID>40328520</paraID>
      <start>186</start>
      <end>188</end>
      <status>unmodified</status>
      <modifiedWord/>
      <trackRevisions>false</trackRevisions>
    </reviewItem>
    <reviewItem>
      <errorID>321a4472-42b7-446d-bd0f-f873c88cba1d</errorID>
      <errorWord>内容的</errorWord>
      <group>L1_Word</group>
      <groupName>字词问题</groupName>
      <ability>L2_Typo</ability>
      <abilityName>字词错误</abilityName>
      <candidateList>
        <item>的，</item>
      </candidateList>
      <explain/>
      <paraID>54FD974B</paraID>
      <start>62</start>
      <end>65</end>
      <status>unmodified</status>
      <modifiedWord/>
      <trackRevisions>false</trackRevisions>
    </reviewItem>
    <reviewItem>
      <errorID>10f6344e-be86-415b-9dcd-d4e7490d3a30</errorID>
      <errorWord>补正内容</errorWord>
      <group>L1_Grammar</group>
      <groupName>语法问题</groupName>
      <ability>L2_Grammar</ability>
      <abilityName>语法错误</abilityName>
      <candidateList>
        <item>补正</item>
      </candidateList>
      <explain/>
      <paraID>54FD974B</paraID>
      <start>78</start>
      <end>82</end>
      <status>unmodified</status>
      <modifiedWord/>
      <trackRevisions>false</trackRevisions>
    </reviewItem>
    <reviewItem>
      <errorID>38c5a3cf-b4eb-454c-8275-a17e1dbb1f36</errorID>
      <errorWord> </errorWord>
      <group>L1_Punc</group>
      <groupName>标点问题</groupName>
      <ability>L2_Punc_CN</ability>
      <abilityName>标点符号问题</abilityName>
      <candidateList>
        <item>，</item>
      </candidateList>
      <explain/>
      <paraID>7B130541</paraID>
      <start>47</start>
      <end>48</end>
      <status>unmodified</status>
      <modifiedWord/>
      <trackRevisions>false</trackRevisions>
    </reviewItem>
    <reviewItem>
      <errorID>e36d7509-2d36-41a3-806b-35bf35037de6</errorID>
      <errorWord>，</errorWord>
      <group>L1_Punc</group>
      <groupName>标点问题</groupName>
      <ability>L2_Punc_CN</ability>
      <abilityName>标点符号问题</abilityName>
      <candidateList>
        <item/>
      </candidateList>
      <explain/>
      <paraID>7B130541</paraID>
      <start>59</start>
      <end>60</end>
      <status>unmodified</status>
      <modifiedWord/>
      <trackRevisions>false</trackRevisions>
    </reviewItem>
    <reviewItem>
      <errorID>d8846fba-9fb4-4484-8bb4-d9196bedd5c3</errorID>
      <errorWord>若</errorWord>
      <group>L1_Word</group>
      <groupName>字词问题</groupName>
      <ability>L2_Typo</ability>
      <abilityName>字词错误</abilityName>
      <candidateList>
        <item> 若</item>
      </candidateList>
      <explain/>
      <paraID>4B0A550E</paraID>
      <start>3</start>
      <end>4</end>
      <status>unmodified</status>
      <modifiedWord/>
      <trackRevisions>false</trackRevisions>
    </reviewItem>
    <reviewItem>
      <errorID>84ee3ded-0d80-4822-84f4-778a0ee5a90c</errorID>
      <errorWord>均可</errorWord>
      <group>L1_Word</group>
      <groupName>字词问题</groupName>
      <ability>L2_Typo</ability>
      <abilityName>字词错误</abilityName>
      <candidateList>
        <item>即可</item>
      </candidateList>
      <explain/>
      <paraID>7DEE8912</paraID>
      <start>64</start>
      <end>66</end>
      <status>unmodified</status>
      <modifiedWord/>
      <trackRevisions>false</trackRevisions>
    </reviewItem>
    <reviewItem>
      <errorID>44828fbe-941d-4add-ae18-2808f01d3b10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510E6A4B</paraID>
      <start>43</start>
      <end>46</end>
      <status>unmodified</status>
      <modifiedWord/>
      <trackRevisions>false</trackRevisions>
    </reviewItem>
    <reviewItem>
      <errorID>27fdf202-4b94-4de2-8305-86a3b8c1318f</errorID>
      <errorWord>主动地</errorWord>
      <group>L1_Word</group>
      <groupName>字词问题</groupName>
      <ability>L2_Typo</ability>
      <abilityName>字词错误</abilityName>
      <candidateList>
        <item>主动</item>
      </candidateList>
      <explain/>
      <paraID>61809B5C</paraID>
      <start>7</start>
      <end>10</end>
      <status>unmodified</status>
      <modifiedWord/>
      <trackRevisions>false</trackRevisions>
    </reviewItem>
    <reviewItem>
      <errorID>a445997d-ea90-4fb6-887a-2f71ea9df182</errorID>
      <errorWord>交易中心以</errorWord>
      <group>L1_Word</group>
      <groupName>字词问题</groupName>
      <ability>L2_Typo</ability>
      <abilityName>字词错误</abilityName>
      <candidateList>
        <item>交易中心</item>
      </candidateList>
      <explain/>
      <paraID>61809B5C</paraID>
      <start>60</start>
      <end>65</end>
      <status>unmodified</status>
      <modifiedWord/>
      <trackRevisions>false</trackRevisions>
    </reviewItem>
    <reviewItem>
      <errorID>a4355458-7143-4a30-b51a-d805dd43393f</errorID>
      <errorWord>公告的方式</errorWord>
      <group>L1_Grammar</group>
      <groupName>语法问题</groupName>
      <ability>L2_Grammar</ability>
      <abilityName>语法错误</abilityName>
      <candidateList>
        <item>公告</item>
      </candidateList>
      <explain/>
      <paraID>61809B5C</paraID>
      <start>69</start>
      <end>74</end>
      <status>unmodified</status>
      <modifiedWord/>
      <trackRevisions>false</trackRevisions>
    </reviewItem>
    <reviewItem>
      <errorID>a3f78500-5e49-471b-b786-2066ee40ca9f</errorID>
      <errorWord>将</errorWord>
      <group>L1_Punc</group>
      <groupName>标点问题</groupName>
      <ability>L2_Punc_CN</ability>
      <abilityName>标点符号问题</abilityName>
      <candidateList>
        <item>，将</item>
      </candidateList>
      <explain/>
      <paraID>2D284158</paraID>
      <start>24</start>
      <end>25</end>
      <status>unmodified</status>
      <modifiedWord/>
      <trackRevisions>false</trackRevisions>
    </reviewItem>
    <reviewItem>
      <errorID>e219a360-65dc-4488-bef0-5c0de5ad1319</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4CD2B331</paraID>
      <start>63</start>
      <end>67</end>
      <status>unmodified</status>
      <modifiedWord/>
      <trackRevisions>false</trackRevisions>
    </reviewItem>
    <reviewItem>
      <errorID>99600a17-cd0f-44cb-9cf9-a7987a9621c5</errorID>
      <errorWord>对其</errorWord>
      <group>L1_Word</group>
      <groupName>字词问题</groupName>
      <ability>L2_Typo</ability>
      <abilityName>字词错误</abilityName>
      <candidateList>
        <item>对</item>
      </candidateList>
      <explain/>
      <paraID> D369DBE</paraID>
      <start>30</start>
      <end>32</end>
      <status>unmodified</status>
      <modifiedWord/>
      <trackRevisions>false</trackRevisions>
    </reviewItem>
    <reviewItem>
      <errorID>c2b705b3-6477-4cd3-a352-bbf96fb5f3b1</errorID>
      <errorWord>通过</errorWord>
      <group>L1_Punc</group>
      <groupName>标点问题</groupName>
      <ability>L2_Punc_CN</ability>
      <abilityName>标点符号问题</abilityName>
      <candidateList>
        <item>，通过</item>
      </candidateList>
      <explain/>
      <paraID>7A863416</paraID>
      <start>29</start>
      <end>31</end>
      <status>unmodified</status>
      <modifiedWord/>
      <trackRevisions>false</trackRevisions>
    </reviewItem>
    <reviewItem>
      <errorID>99c0ee4a-f4e0-4935-ab8b-bb26d9cbc87b</errorID>
      <errorWord>(</errorWord>
      <group>L1_Format</group>
      <groupName>格式问题</groupName>
      <ability>L2_HalfPunc_CN</ability>
      <abilityName>全半角问题</abilityName>
      <candidateList>
        <item>（</item>
      </candidateList>
      <explain>文本全半角错误。</explain>
      <paraID>7A863416</paraID>
      <start>39</start>
      <end>40</end>
      <status>unmodified</status>
      <modifiedWord/>
      <trackRevisions>false</trackRevisions>
    </reviewItem>
    <reviewItem>
      <errorID>20124bfa-7596-4cf3-ba6d-b4fc10ddceac</errorID>
      <errorWord>)</errorWord>
      <group>L1_Format</group>
      <groupName>格式问题</groupName>
      <ability>L2_HalfPunc_CN</ability>
      <abilityName>全半角问题</abilityName>
      <candidateList>
        <item>）</item>
      </candidateList>
      <explain>文本全半角错误。</explain>
      <paraID>7A863416</paraID>
      <start>62</start>
      <end>63</end>
      <status>unmodified</status>
      <modifiedWord/>
      <trackRevisions>false</trackRevisions>
    </reviewItem>
    <reviewItem>
      <errorID>204a1e3b-9c43-4c7a-8ef4-bf922d277809</errorID>
      <errorWord>(</errorWord>
      <group>L1_Format</group>
      <groupName>格式问题</groupName>
      <ability>L2_HalfPunc_CN</ability>
      <abilityName>全半角问题</abilityName>
      <candidateList>
        <item>（</item>
      </candidateList>
      <explain>文本全半角错误。</explain>
      <paraID>7A863416</paraID>
      <start>71</start>
      <end>72</end>
      <status>unmodified</status>
      <modifiedWord/>
      <trackRevisions>false</trackRevisions>
    </reviewItem>
    <reviewItem>
      <errorID>6e8d801c-d406-4ac1-9d90-5bbc5210544e</errorID>
      <errorWord>)</errorWord>
      <group>L1_Format</group>
      <groupName>格式问题</groupName>
      <ability>L2_HalfPunc_CN</ability>
      <abilityName>全半角问题</abilityName>
      <candidateList>
        <item>）</item>
      </candidateList>
      <explain>文本全半角错误。</explain>
      <paraID>7A863416</paraID>
      <start>87</start>
      <end>88</end>
      <status>unmodified</status>
      <modifiedWord/>
      <trackRevisions>false</trackRevisions>
    </reviewItem>
    <reviewItem>
      <errorID>69b79b93-3268-4114-9b95-3967c15834ba</errorID>
      <errorWord>，</errorWord>
      <group>L1_Punc</group>
      <groupName>标点问题</groupName>
      <ability>L2_Punc_CN</ability>
      <abilityName>标点符号问题</abilityName>
      <candidateList>
        <item>。</item>
      </candidateList>
      <explain/>
      <paraID>7A863416</paraID>
      <start>113</start>
      <end>114</end>
      <status>unmodified</status>
      <modifiedWord/>
      <trackRevisions>false</trackRevisions>
    </reviewItem>
    <reviewItem>
      <errorID>bd1260fc-1470-4b5c-977f-5c8d19bcc2c2</errorID>
      <errorWord>(</errorWord>
      <group>L1_Format</group>
      <groupName>格式问题</groupName>
      <ability>L2_HalfPunc_CN</ability>
      <abilityName>全半角问题</abilityName>
      <candidateList>
        <item>（</item>
      </candidateList>
      <explain>文本全半角错误。</explain>
      <paraID>7A863416</paraID>
      <start>125</start>
      <end>126</end>
      <status>unmodified</status>
      <modifiedWord/>
      <trackRevisions>false</trackRevisions>
    </reviewItem>
    <reviewItem>
      <errorID>bd1b46cc-875f-4f40-babe-07ea07ccf5a5</errorID>
      <errorWord>)</errorWord>
      <group>L1_Format</group>
      <groupName>格式问题</groupName>
      <ability>L2_HalfPunc_CN</ability>
      <abilityName>全半角问题</abilityName>
      <candidateList>
        <item>）</item>
      </candidateList>
      <explain>文本全半角错误。</explain>
      <paraID>7A863416</paraID>
      <start>148</start>
      <end>149</end>
      <status>unmodified</status>
      <modifiedWord/>
      <trackRevisions>false</trackRevisions>
    </reviewItem>
    <reviewItem>
      <errorID>9479fd56-d00d-48d0-a600-4a5bacf1889c</errorID>
      <errorWord>(</errorWord>
      <group>L1_Format</group>
      <groupName>格式问题</groupName>
      <ability>L2_HalfPunc_CN</ability>
      <abilityName>全半角问题</abilityName>
      <candidateList>
        <item>（</item>
      </candidateList>
      <explain>文本全半角错误。</explain>
      <paraID>7A863416</paraID>
      <start>179</start>
      <end>180</end>
      <status>unmodified</status>
      <modifiedWord/>
      <trackRevisions>false</trackRevisions>
    </reviewItem>
    <reviewItem>
      <errorID>0d938a59-377c-4d8d-8c15-818d7a662b53</errorID>
      <errorWord>)</errorWord>
      <group>L1_Format</group>
      <groupName>格式问题</groupName>
      <ability>L2_HalfPunc_CN</ability>
      <abilityName>全半角问题</abilityName>
      <candidateList>
        <item>）</item>
      </candidateList>
      <explain>文本全半角错误。</explain>
      <paraID>7A863416</paraID>
      <start>195</start>
      <end>196</end>
      <status>unmodified</status>
      <modifiedWord/>
      <trackRevisions>false</trackRevisions>
    </reviewItem>
    <reviewItem>
      <errorID>524bb101-e4ba-401e-bdeb-09822e7f8795</errorID>
      <errorWord>及其他</errorWord>
      <group>L1_Grammar</group>
      <groupName>语法问题</groupName>
      <ability>L2_Grammar</ability>
      <abilityName>语法错误</abilityName>
      <candidateList>
        <item>，以及其他</item>
      </candidateList>
      <explain/>
      <paraID>7A863416</paraID>
      <start>212</start>
      <end>215</end>
      <status>unmodified</status>
      <modifiedWord/>
      <trackRevisions>false</trackRevisions>
    </reviewItem>
    <reviewItem>
      <errorID>b81fa439-10c8-4bac-98bd-fd7c900f91fd</errorID>
      <errorWord>投标无效</errorWord>
      <group>L1_Word</group>
      <groupName>字词问题</groupName>
      <ability>L2_Typo</ability>
      <abilityName>字词错误</abilityName>
      <candidateList>
        <item>无效投标</item>
      </candidateList>
      <explain/>
      <paraID>7A863416</paraID>
      <start>254</start>
      <end>258</end>
      <status>unmodified</status>
      <modifiedWord/>
      <trackRevisions>false</trackRevisions>
    </reviewItem>
    <reviewItem>
      <errorID>3e08af8a-dab7-43e8-8291-37437854af58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3ECF3876</paraID>
      <start>19</start>
      <end>22</end>
      <status>unmodified</status>
      <modifiedWord/>
      <trackRevisions>false</trackRevisions>
    </reviewItem>
    <reviewItem>
      <errorID>717693f1-5814-4cb5-9a3c-dcbbee15a424</errorID>
      <errorWord>对</errorWord>
      <group>L1_Grammar</group>
      <groupName>语法问题</groupName>
      <ability>L2_Grammar</ability>
      <abilityName>语法错误</abilityName>
      <candidateList>
        <item>方面，对</item>
      </candidateList>
      <explain/>
      <paraID>59B3739D</paraID>
      <start>34</start>
      <end>35</end>
      <status>unmodified</status>
      <modifiedWord/>
      <trackRevisions>false</trackRevisions>
    </reviewItem>
    <reviewItem>
      <errorID>7e670ee7-ee96-4454-80c3-5a8d48792752</errorID>
      <errorWord>做出</errorWord>
      <group>L1_Word</group>
      <groupName>字词问题</groupName>
      <ability>L2_Typo</ability>
      <abilityName>字词错误</abilityName>
      <candidateList>
        <item>作出</item>
      </candidateList>
      <explain/>
      <paraID>59B3739D</paraID>
      <start>65</start>
      <end>67</end>
      <status>unmodified</status>
      <modifiedWord/>
      <trackRevisions>false</trackRevisions>
    </reviewItem>
    <reviewItem>
      <errorID>c5db179e-d744-4bd2-96d4-4efbf37feb6b</errorID>
      <errorWord>作必要</errorWord>
      <group>L1_Word</group>
      <groupName>字词问题</groupName>
      <ability>L2_Typo</ability>
      <abilityName>字词错误</abilityName>
      <candidateList>
        <item>做必要</item>
      </candidateList>
      <explain/>
      <paraID>5FE36130</paraID>
      <start>89</start>
      <end>92</end>
      <status>unmodified</status>
      <modifiedWord/>
      <trackRevisions>false</trackRevisions>
    </reviewItem>
    <reviewItem>
      <errorID>ee082899-6a8f-49c1-ac0e-760ae65d59d6</errorID>
      <errorWord>只</errorWord>
      <group>L1_Punc</group>
      <groupName>标点问题</groupName>
      <ability>L2_Punc_CN</ability>
      <abilityName>标点符号问题</abilityName>
      <candidateList>
        <item>，只</item>
      </candidateList>
      <explain/>
      <paraID>  DBFE34</paraID>
      <start>13</start>
      <end>14</end>
      <status>unmodified</status>
      <modifiedWord/>
      <trackRevisions>false</trackRevisions>
    </reviewItem>
    <reviewItem>
      <errorID>99764373-0024-421c-a44d-bdefc35940a8</errorID>
      <errorWord>件的</errorWord>
      <group>L1_Word</group>
      <groupName>字词问题</groupName>
      <ability>L2_Typo</ability>
      <abilityName>字词错误</abilityName>
      <candidateList>
        <item>件</item>
      </candidateList>
      <explain/>
      <paraID>261ECB24</paraID>
      <start>46</start>
      <end>48</end>
      <status>unmodified</status>
      <modifiedWord/>
      <trackRevisions>false</trackRevisions>
    </reviewItem>
    <reviewItem>
      <errorID>d7fe044b-7549-4b66-b842-31000515bd08</errorID>
      <errorWord>法律、法规</errorWord>
      <group>L1_Word</group>
      <groupName>字词问题</groupName>
      <ability>L2_Typo</ability>
      <abilityName>字词错误</abilityName>
      <candidateList>
        <item>法律法规</item>
      </candidateList>
      <explain/>
      <paraID>11C143C0</paraID>
      <start>3</start>
      <end>8</end>
      <status>unmodified</status>
      <modifiedWord/>
      <trackRevisions>false</trackRevisions>
    </reviewItem>
    <reviewItem>
      <errorID>3e2b46a5-faae-4e89-a487-0f22682bd3fe</errorID>
      <errorWord>作</errorWord>
      <group>L1_Word</group>
      <groupName>字词问题</groupName>
      <ability>L2_Typo</ability>
      <abilityName>字词错误</abilityName>
      <candidateList>
        <item>做</item>
      </candidateList>
      <explain>存在发音相同字词的误用。</explain>
      <paraID>5108E9C4</paraID>
      <start>58</start>
      <end>59</end>
      <status>unmodified</status>
      <modifiedWord/>
      <trackRevisions>false</trackRevisions>
    </reviewItem>
    <reviewItem>
      <errorID>27f61b49-3bae-4083-acef-5ee079894348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BFB7551</paraID>
      <start>154</start>
      <end>157</end>
      <status>unmodified</status>
      <modifiedWord/>
      <trackRevisions>false</trackRevisions>
    </reviewItem>
    <reviewItem>
      <errorID>a6b577e6-6bfd-49c0-9831-5442883a996d</errorID>
      <errorWord>财政部工业和信息化部</errorWord>
      <group>L1_Grammar</group>
      <groupName>语法问题</groupName>
      <ability>L2_Grammar</ability>
      <abilityName>语法错误</abilityName>
      <candidateList>
        <item>《财政部 工业和信息化部</item>
      </candidateList>
      <explain/>
      <paraID>1240245E</paraID>
      <start>53</start>
      <end>63</end>
      <status>unmodified</status>
      <modifiedWord/>
      <trackRevisions>false</trackRevisions>
    </reviewItem>
    <reviewItem>
      <errorID>6c1610f0-0888-4075-bd12-23d6a786532c</errorID>
      <errorWord>《</errorWord>
      <group>L1_Punc</group>
      <groupName>标点问题</groupName>
      <ability>L2_Punc_CN</ability>
      <abilityName>标点符号问题</abilityName>
      <candidateList>
        <item>〈</item>
      </candidateList>
      <explain/>
      <paraID>1240245E</paraID>
      <start>69</start>
      <end>70</end>
      <status>unmodified</status>
      <modifiedWord/>
      <trackRevisions>false</trackRevisions>
    </reviewItem>
    <reviewItem>
      <errorID>ecc27c59-df4b-43a5-9082-50aa9a4b3f54</errorID>
      <errorWord>》</errorWord>
      <group>L1_Punc</group>
      <groupName>标点问题</groupName>
      <ability>L2_Punc_CN</ability>
      <abilityName>标点符号问题</abilityName>
      <candidateList>
        <item>〉</item>
      </candidateList>
      <explain/>
      <paraID>1240245E</paraID>
      <start>100</start>
      <end>101</end>
      <status>unmodified</status>
      <modifiedWord/>
      <trackRevisions>false</trackRevisions>
    </reviewItem>
    <reviewItem>
      <errorID>b2c132ea-3081-4cee-b037-ea49047c1d68</errorID>
      <errorWord>（</errorWord>
      <group>L1_Punc</group>
      <groupName>标点问题</groupName>
      <ability>L2_Punc_CN</ability>
      <abilityName>标点符号问题</abilityName>
      <candidateList>
        <item>》（</item>
      </candidateList>
      <explain/>
      <paraID>1240245E</paraID>
      <start>104</start>
      <end>105</end>
      <status>unmodified</status>
      <modifiedWord/>
      <trackRevisions>false</trackRevisions>
    </reviewItem>
    <reviewItem>
      <errorID>cdc8c74e-a4b2-4b3a-811e-23b9a12e9be8</errorID>
      <errorWord>，</errorWord>
      <group>L1_Word</group>
      <groupName>字词问题</groupName>
      <ability>L2_Typo</ability>
      <abilityName>字词错误</abilityName>
      <candidateList>
        <item>，在</item>
      </candidateList>
      <explain/>
      <paraID>6B7057A6</paraID>
      <start>54</start>
      <end>55</end>
      <status>unmodified</status>
      <modifiedWord/>
      <trackRevisions>false</trackRevisions>
    </reviewItem>
    <reviewItem>
      <errorID>344ee14f-c9f2-439c-8d81-433917fd0c13</errorID>
      <errorWord>按照</errorWord>
      <group>L1_Word</group>
      <groupName>字词问题</groupName>
      <ability>L2_Typo</ability>
      <abilityName>字词错误</abilityName>
      <candidateList>
        <item>在</item>
      </candidateList>
      <explain/>
      <paraID>6B5BFBE4</paraID>
      <start>13</start>
      <end>15</end>
      <status>unmodified</status>
      <modifiedWord/>
      <trackRevisions>false</trackRevisions>
    </reviewItem>
    <reviewItem>
      <errorID>8d682c67-10bd-4d3f-b406-6b88e3fce8e2</errorID>
      <errorWord>接收</errorWord>
      <group>L1_Word</group>
      <groupName>字词问题</groupName>
      <ability>L2_Typo</ability>
      <abilityName>字词错误</abilityName>
      <candidateList>
        <item>接受</item>
      </candidateList>
      <explain>存在发音相同字词的误用。</explain>
      <paraID>2F32EE19</paraID>
      <start>9</start>
      <end>11</end>
      <status>unmodified</status>
      <modifiedWord/>
      <trackRevisions>false</trackRevisions>
    </reviewItem>
    <reviewItem>
      <errorID>6a24d6c6-67f4-4362-8a34-18995022e674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24B2A527</paraID>
      <start>72</start>
      <end>76</end>
      <status>unmodified</status>
      <modifiedWord/>
      <trackRevisions>false</trackRevisions>
    </reviewItem>
    <reviewItem>
      <errorID>88d1d7fc-9dba-46bc-8ba0-3b33ab8b78b8</errorID>
      <errorWord>，</errorWord>
      <group>L1_Word</group>
      <groupName>字词问题</groupName>
      <ability>L2_Typo</ability>
      <abilityName>字词错误</abilityName>
      <candidateList>
        <item>，对</item>
      </candidateList>
      <explain/>
      <paraID>1819C6FC</paraID>
      <start>125</start>
      <end>126</end>
      <status>unmodified</status>
      <modifiedWord/>
      <trackRevisions>false</trackRevisions>
    </reviewItem>
    <reviewItem>
      <errorID>975ed286-a949-4290-a60e-8865be7286f4</errorID>
      <errorWord>的</errorWord>
      <group>L1_Word</group>
      <groupName>字词问题</groupName>
      <ability>L2_Typo</ability>
      <abilityName>字词错误</abilityName>
      <candidateList>
        <item>地</item>
      </candidateList>
      <explain/>
      <paraID> BB21BB1</paraID>
      <start>16</start>
      <end>17</end>
      <status>unmodified</status>
      <modifiedWord/>
      <trackRevisions>false</trackRevisions>
    </reviewItem>
    <reviewItem>
      <errorID>fbb26524-c767-4ca9-bdb9-6164d84bbe3c</errorID>
      <errorWord>全部内容</errorWord>
      <group>L1_Word</group>
      <groupName>字词问题</groupName>
      <ability>L2_Typo</ability>
      <abilityName>字词错误</abilityName>
      <candidateList>
        <item>的全部内容</item>
      </candidateList>
      <explain/>
      <paraID> BB21BB1</paraID>
      <start>27</start>
      <end>31</end>
      <status>unmodified</status>
      <modifiedWord/>
      <trackRevisions>false</trackRevisions>
    </reviewItem>
    <reviewItem>
      <errorID>3ed8a6dc-c1c3-4374-8b99-2c2bc20a565d</errorID>
      <errorWord>情形</errorWord>
      <group>L1_Punc</group>
      <groupName>标点问题</groupName>
      <ability>L2_Punc_CN</ability>
      <abilityName>标点符号问题</abilityName>
      <candidateList>
        <item>情形。</item>
      </candidateList>
      <explain/>
      <paraID> 44F600B</paraID>
      <start>40</start>
      <end>43</end>
      <status>modified</status>
      <modifiedWord>情形。</modifiedWord>
      <trackRevisions>false</trackRevisions>
    </reviewItem>
    <reviewItem>
      <errorID>f437df1a-fef4-489d-8098-b0aaa258bca5</errorID>
      <errorWord>新疆 生产建设兵团</errorWord>
      <group>L1_Political</group>
      <groupName>政治性问题</groupName>
      <ability>L2_Keyword</ability>
      <abilityName>固定表述</abilityName>
      <candidateList>
        <item>新疆生产建设兵团</item>
      </candidateList>
      <explain>词汇“新疆生产建设兵团”在特定场景下为固定表述形式，请确认此处的“新疆 生产建设兵团”是否存在不当。</explain>
      <paraID>665E85EF</paraID>
      <start>63</start>
      <end>71</end>
      <status>modified</status>
      <modifiedWord>新疆生产建设兵团</modifiedWord>
      <trackRevisions>false</trackRevisions>
    </reviewItem>
    <reviewItem>
      <errorID>e82a69b1-9954-4625-b264-ca82dcf8f0af</errorID>
      <errorWord>其它</errorWord>
      <group>L1_Word</group>
      <groupName>字词问题</groupName>
      <ability>L2_Alias</ability>
      <abilityName>也作/曾用词</abilityName>
      <candidateList>
        <item>其他</item>
      </candidateList>
      <explain>词汇[其它]为不规范表述或旧称，其规范书面表述为[其他]。</explain>
      <paraID>14BF2214</paraID>
      <start>0</start>
      <end>2</end>
      <status>modified</status>
      <modifiedWord>其他</modifiedWord>
      <trackRevisions>false</trackRevisions>
    </reviewItem>
    <reviewItem>
      <errorID>e653531a-b362-4a49-934f-a0fe97514855</errorID>
      <errorWord>的</errorWord>
      <group>L1_Word</group>
      <groupName>字词问题</groupName>
      <ability>L2_Typo</ability>
      <abilityName>字词错误</abilityName>
      <candidateList>
        <item>地</item>
      </candidateList>
      <explain/>
      <paraID>388988BE</paraID>
      <start>16</start>
      <end>17</end>
      <status>unmodified</status>
      <modifiedWord/>
      <trackRevisions>false</trackRevisions>
    </reviewItem>
    <reviewItem>
      <errorID>f43c507b-edb0-4ae6-8cfa-8f74c1a29a40</errorID>
      <errorWord>全部内容</errorWord>
      <group>L1_Word</group>
      <groupName>字词问题</groupName>
      <ability>L2_Typo</ability>
      <abilityName>字词错误</abilityName>
      <candidateList>
        <item>的全部内容</item>
      </candidateList>
      <explain/>
      <paraID>388988BE</paraID>
      <start>27</start>
      <end>31</end>
      <status>unmodified</status>
      <modifiedWord/>
      <trackRevisions>false</trackRevisions>
    </reviewItem>
    <reviewItem>
      <errorID>36bee595-ba05-492a-a3e8-4a89e66f86f8</errorID>
      <errorWord>的</errorWord>
      <group>L1_Word</group>
      <groupName>字词问题</groupName>
      <ability>L2_Typo</ability>
      <abilityName>字词错误</abilityName>
      <candidateList>
        <item>地</item>
      </candidateList>
      <explain/>
      <paraID>7A92AA18</paraID>
      <start>16</start>
      <end>17</end>
      <status>unmodified</status>
      <modifiedWord/>
      <trackRevisions>false</trackRevisions>
    </reviewItem>
    <reviewItem>
      <errorID>b842801c-807b-4344-9fe2-14493e136b34</errorID>
      <errorWord>全部内容</errorWord>
      <group>L1_Word</group>
      <groupName>字词问题</groupName>
      <ability>L2_Typo</ability>
      <abilityName>字词错误</abilityName>
      <candidateList>
        <item>的全部内容</item>
      </candidateList>
      <explain/>
      <paraID>7A92AA18</paraID>
      <start>27</start>
      <end>31</end>
      <status>unmodified</status>
      <modifiedWord/>
      <trackRevisions>false</trackRevisions>
    </reviewItem>
    <reviewItem>
      <errorID>9bc0cff3-fa43-473d-846e-55cbd94b4782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5BC0300C</paraID>
      <start>0</start>
      <end>2</end>
      <status>unmodified</status>
      <modifiedWord/>
      <trackRevisions>false</trackRevisions>
    </reviewItem>
    <reviewItem>
      <errorID>8f2eb570-02b9-4f36-9c8e-bbfe0e386770</errorID>
      <errorWord>分</errorWord>
      <group>L1_Punc</group>
      <groupName>标点问题</groupName>
      <ability>L2_Punc_CN</ability>
      <abilityName>标点符号问题</abilityName>
      <candidateList>
        <item>分。</item>
      </candidateList>
      <explain/>
      <paraID>4FCF73FE</paraID>
      <start>25</start>
      <end>26</end>
      <status>unmodified</status>
      <modifiedWord/>
      <trackRevisions>false</trackRevisions>
    </reviewItem>
    <reviewItem>
      <errorID>3cfaf59d-31b6-40d3-abaf-7132a7f02f41</errorID>
      <errorWord>分</errorWord>
      <group>L1_Punc</group>
      <groupName>标点问题</groupName>
      <ability>L2_Punc_CN</ability>
      <abilityName>标点符号问题</abilityName>
      <candidateList>
        <item>分。</item>
      </candidateList>
      <explain/>
      <paraID>7A480A88</paraID>
      <start>23</start>
      <end>24</end>
      <status>unmodified</status>
      <modifiedWord/>
      <trackRevisions>false</trackRevisions>
    </reviewItem>
    <reviewItem>
      <errorID>7b46985e-599f-49bd-86f7-cfafc6f2b798</errorID>
      <errorWord>分</errorWord>
      <group>L1_Punc</group>
      <groupName>标点问题</groupName>
      <ability>L2_Punc_CN</ability>
      <abilityName>标点符号问题</abilityName>
      <candidateList>
        <item>分。</item>
      </candidateList>
      <explain/>
      <paraID>2B33861F</paraID>
      <start>25</start>
      <end>26</end>
      <status>unmodified</status>
      <modifiedWord/>
      <trackRevisions>false</trackRevisions>
    </reviewItem>
    <reviewItem>
      <errorID>963ac874-ad84-46c5-a52b-70f5cb4bc2b5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7507794C</paraID>
      <start>0</start>
      <end>2</end>
      <status>unmodified</status>
      <modifiedWord/>
      <trackRevisions>false</trackRevisions>
    </reviewItem>
    <reviewItem>
      <errorID>25a11277-020a-41a2-b614-073493ba1ede</errorID>
      <errorWord>分</errorWord>
      <group>L1_Punc</group>
      <groupName>标点问题</groupName>
      <ability>L2_Punc_CN</ability>
      <abilityName>标点符号问题</abilityName>
      <candidateList>
        <item>分。</item>
      </candidateList>
      <explain/>
      <paraID> EF79274</paraID>
      <start>23</start>
      <end>24</end>
      <status>unmodified</status>
      <modifiedWord/>
      <trackRevisions>false</trackRevisions>
    </reviewItem>
    <reviewItem>
      <errorID>abced0b5-ee02-4047-be22-3c43c1b8c5f4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6795B96C</paraID>
      <start>0</start>
      <end>2</end>
      <status>unmodified</status>
      <modifiedWord/>
      <trackRevisions>false</trackRevisions>
    </reviewItem>
    <reviewItem>
      <errorID>05a63b76-ae72-404e-b54f-06a72e5d4a7d</errorID>
      <errorWord>分</errorWord>
      <group>L1_Punc</group>
      <groupName>标点问题</groupName>
      <ability>L2_Punc_CN</ability>
      <abilityName>标点符号问题</abilityName>
      <candidateList>
        <item>分。</item>
      </candidateList>
      <explain/>
      <paraID>4986553B</paraID>
      <start>25</start>
      <end>26</end>
      <status>unmodified</status>
      <modifiedWord/>
      <trackRevisions>false</trackRevisions>
    </reviewItem>
    <reviewItem>
      <errorID>1c9b0875-3a6b-495d-a974-331ea8a41ab3</errorID>
      <errorWord>分</errorWord>
      <group>L1_Punc</group>
      <groupName>标点问题</groupName>
      <ability>L2_Punc_CN</ability>
      <abilityName>标点符号问题</abilityName>
      <candidateList>
        <item>分。</item>
      </candidateList>
      <explain/>
      <paraID>3E209E5B</paraID>
      <start>32</start>
      <end>33</end>
      <status>unmodified</status>
      <modifiedWord/>
      <trackRevisions>false</trackRevisions>
    </reviewItem>
    <reviewItem>
      <errorID>8cadf487-31ff-43c9-8109-275d62b15774</errorID>
      <errorWord>分</errorWord>
      <group>L1_Punc</group>
      <groupName>标点问题</groupName>
      <ability>L2_Punc_CN</ability>
      <abilityName>标点符号问题</abilityName>
      <candidateList>
        <item>分。</item>
      </candidateList>
      <explain/>
      <paraID>53A1FCF5</paraID>
      <start>23</start>
      <end>24</end>
      <status>unmodified</status>
      <modifiedWord/>
      <trackRevisions>false</trackRevisions>
    </reviewItem>
    <reviewItem>
      <errorID>8381b229-f9b9-481a-bcd1-adfda2cdfee9</errorID>
      <errorWord>分</errorWord>
      <group>L1_Punc</group>
      <groupName>标点问题</groupName>
      <ability>L2_Punc_CN</ability>
      <abilityName>标点符号问题</abilityName>
      <candidateList>
        <item>分。</item>
      </candidateList>
      <explain/>
      <paraID>5D2E945F</paraID>
      <start>21</start>
      <end>22</end>
      <status>unmodified</status>
      <modifiedWord/>
      <trackRevisions>false</trackRevisions>
    </reviewItem>
    <reviewItem>
      <errorID>3b3163dd-c904-4bb4-ae0c-f09c8ec19a5f</errorID>
      <errorWord>提供的</errorWord>
      <group>L1_Word</group>
      <groupName>字词问题</groupName>
      <ability>L2_Typo</ability>
      <abilityName>字词错误</abilityName>
      <candidateList>
        <item>提供</item>
      </candidateList>
      <explain/>
      <paraID> 2262D7F</paraID>
      <start>16</start>
      <end>19</end>
      <status>unmodified</status>
      <modifiedWord/>
      <trackRevisions>false</trackRevisions>
    </reviewItem>
    <reviewItem>
      <errorID>8bd59398-1ff1-45f5-8d30-e1fdcc18c09c</errorID>
      <errorWord>、</errorWord>
      <group>L1_Punc</group>
      <groupName>标点问题</groupName>
      <ability>L2_Punc_CN</ability>
      <abilityName>标点符号问题</abilityName>
      <candidateList>
        <item>，</item>
      </candidateList>
      <explain/>
      <paraID>2876D4B7</paraID>
      <start>17</start>
      <end>18</end>
      <status>unmodified</status>
      <modifiedWord/>
      <trackRevisions>false</trackRevisions>
    </reviewItem>
    <reviewItem>
      <errorID>48273af2-08b0-4e79-ac45-c7ec3e16b90b</errorID>
      <errorWord>能</errorWord>
      <group>L1_Punc</group>
      <groupName>标点问题</groupName>
      <ability>L2_Punc_CN</ability>
      <abilityName>标点符号问题</abilityName>
      <candidateList>
        <item>，能</item>
      </candidateList>
      <explain/>
      <paraID>74C341BD</paraID>
      <start>15</start>
      <end>16</end>
      <status>unmodified</status>
      <modifiedWord/>
      <trackRevisions>false</trackRevisions>
    </reviewItem>
    <reviewItem>
      <errorID>7cc6a241-1709-4c50-a250-db993c32e59f</errorID>
      <errorWord>项目</errorWord>
      <group>L1_Word</group>
      <groupName>字词问题</groupName>
      <ability>L2_Typo</ability>
      <abilityName>字词错误</abilityName>
      <candidateList>
        <item>的项目</item>
      </candidateList>
      <explain/>
      <paraID>2ED12C1F</paraID>
      <start>7</start>
      <end>9</end>
      <status>unmodified</status>
      <modifiedWord/>
      <trackRevisions>false</trackRevisions>
    </reviewItem>
    <reviewItem>
      <errorID>1c7723db-65bb-4bd4-b60b-9d3d616104fa</errorID>
      <errorWord>详实</errorWord>
      <group>L1_Word</group>
      <groupName>字词问题</groupName>
      <ability>L2_Typo</ability>
      <abilityName>字词错误</abilityName>
      <candidateList>
        <item>翔实</item>
      </candidateList>
      <explain/>
      <paraID>15AF8EC2</paraID>
      <start>25</start>
      <end>27</end>
      <status>unmodified</status>
      <modifiedWord/>
      <trackRevisions>false</trackRevisions>
    </reviewItem>
    <reviewItem>
      <errorID>65cb004c-2010-4ce8-abb2-bdf94a3bba98</errorID>
      <errorWord>且</errorWord>
      <group>L1_Word</group>
      <groupName>字词问题</groupName>
      <ability>L2_Typo</ability>
      <abilityName>字词错误</abilityName>
      <candidateList>
        <item>且有</item>
      </candidateList>
      <explain/>
      <paraID>15AF8EC2</paraID>
      <start>42</start>
      <end>43</end>
      <status>unmodified</status>
      <modifiedWord/>
      <trackRevisions>false</trackRevisions>
    </reviewItem>
    <reviewItem>
      <errorID>b817d277-5d5c-4b2a-a6ef-5765042e066d</errorID>
      <errorWord>的、</errorWord>
      <group>L1_Word</group>
      <groupName>字词问题</groupName>
      <ability>L2_Typo</ability>
      <abilityName>字词错误</abilityName>
      <candidateList>
        <item>，</item>
      </candidateList>
      <explain/>
      <paraID>15AF8EC2</paraID>
      <start>52</start>
      <end>54</end>
      <status>unmodified</status>
      <modifiedWord/>
      <trackRevisions>false</trackRevisions>
    </reviewItem>
    <reviewItem>
      <errorID>dbbdc499-6385-4664-9027-132c39d487a0</errorID>
      <errorWord>须待</errorWord>
      <group>L1_Word</group>
      <groupName>字词问题</groupName>
      <ability>L2_Typo</ability>
      <abilityName>字词错误</abilityName>
      <candidateList>
        <item>亟待</item>
      </candidateList>
      <explain/>
      <paraID>1F719AE2</paraID>
      <start>15</start>
      <end>17</end>
      <status>unmodified</status>
      <modifiedWord/>
      <trackRevisions>false</trackRevisions>
    </reviewItem>
    <reviewItem>
      <errorID>50f480a0-fee6-4d36-ae52-d2387e228427</errorID>
      <errorWord>案</errorWord>
      <group>L1_Word</group>
      <groupName>字词问题</groupName>
      <ability>L2_Typo</ability>
      <abilityName>字词错误</abilityName>
      <candidateList>
        <item>案有</item>
      </candidateList>
      <explain/>
      <paraID>  B61497</paraID>
      <start>10</start>
      <end>11</end>
      <status>unmodified</status>
      <modifiedWord/>
      <trackRevisions>false</trackRevisions>
    </reviewItem>
    <reviewItem>
      <errorID>6be691c7-1a43-4810-be06-8e9c35caa55f</errorID>
      <errorWord>全</errorWord>
      <group>L1_Word</group>
      <groupName>字词问题</groupName>
      <ability>L2_Typo</ability>
      <abilityName>字词错误</abilityName>
      <candidateList>
        <item>安全</item>
      </candidateList>
      <explain/>
      <paraID>300EC458</paraID>
      <start>0</start>
      <end>1</end>
      <status>unmodified</status>
      <modifiedWord/>
      <trackRevisions>false</trackRevisions>
    </reviewItem>
    <reviewItem>
      <errorID>dd52a476-a3ef-4bf1-b4b7-5043ade925f7</errorID>
      <errorWord>的</errorWord>
      <group>L1_Word</group>
      <groupName>字词问题</groupName>
      <ability>L2_Typo</ability>
      <abilityName>字词错误</abilityName>
      <candidateList>
        <item>，</item>
      </candidateList>
      <explain/>
      <paraID>272D5D56</paraID>
      <start>22</start>
      <end>23</end>
      <status>unmodified</status>
      <modifiedWord/>
      <trackRevisions>false</trackRevisions>
    </reviewItem>
    <reviewItem>
      <errorID>e6583954-863c-4145-992f-4e9bbd76f4b6</errorID>
      <errorWord>的</errorWord>
      <group>L1_Word</group>
      <groupName>字词问题</groupName>
      <ability>L2_Typo</ability>
      <abilityName>字词错误</abilityName>
      <candidateList>
        <item>，</item>
      </candidateList>
      <explain/>
      <paraID>60278FCE</paraID>
      <start>17</start>
      <end>18</end>
      <status>unmodified</status>
      <modifiedWord/>
      <trackRevisions>false</trackRevisions>
    </reviewItem>
    <reviewItem>
      <errorID>fd9b132e-8247-4d00-9f97-1bd2aa070a90</errorID>
      <errorWord> ％</errorWord>
      <group>L1_Word</group>
      <groupName>字词问题</groupName>
      <ability>L2_Typo</ability>
      <abilityName>字词错误</abilityName>
      <candidateList>
        <item>%</item>
      </candidateList>
      <explain/>
      <paraID>71229B44</paraID>
      <start>22</start>
      <end>24</end>
      <status>unmodified</status>
      <modifiedWord/>
      <trackRevisions>false</trackRevisions>
    </reviewItem>
    <reviewItem>
      <errorID>565ac756-1b23-49f8-8619-633dc7a81495</errorID>
      <errorWord>,</errorWord>
      <group>L1_Format</group>
      <groupName>格式问题</groupName>
      <ability>L2_HalfPunc_CN</ability>
      <abilityName>全半角问题</abilityName>
      <candidateList>
        <item>，</item>
      </candidateList>
      <explain>文本全半角错误。</explain>
      <paraID>62E67AE9</paraID>
      <start>15</start>
      <end>16</end>
      <status>unmodified</status>
      <modifiedWord/>
      <trackRevisions>false</trackRevisions>
    </reviewItem>
    <reviewItem>
      <errorID>53e52d67-f0b7-46d4-a861-462373c9f569</errorID>
      <errorWord>:</errorWord>
      <group>L1_Format</group>
      <groupName>格式问题</groupName>
      <ability>L2_HalfPunc_CN</ability>
      <abilityName>全半角问题</abilityName>
      <candidateList>
        <item>：</item>
      </candidateList>
      <explain>文本全半角错误。</explain>
      <paraID>62E67AE9</paraID>
      <start>23</start>
      <end>24</end>
      <status>unmodified</status>
      <modifiedWord/>
      <trackRevisions>false</trackRevisions>
    </reviewItem>
    <reviewItem>
      <errorID>2c1b7127-192e-4c4f-a1c9-96b9645fce25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5625EEC7</paraID>
      <start>0</start>
      <end>3</end>
      <status>unmodified</status>
      <modifiedWord/>
      <trackRevisions>false</trackRevisions>
    </reviewItem>
    <reviewItem>
      <errorID>5934b93b-0240-4d24-bb07-53cdbaa0a9d5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45983371</paraID>
      <start>0</start>
      <end>3</end>
      <status>unmodified</status>
      <modifiedWord/>
      <trackRevisions>false</trackRevisions>
    </reviewItem>
    <reviewItem>
      <errorID>34307e54-518e-4990-b928-d09032502e6a</errorID>
      <errorWord>,</errorWord>
      <group>L1_Format</group>
      <groupName>格式问题</groupName>
      <ability>L2_HalfPunc_CN</ability>
      <abilityName>全半角问题</abilityName>
      <candidateList>
        <item>，</item>
      </candidateList>
      <explain>文本全半角错误。</explain>
      <paraID>5167F86A</paraID>
      <start>14</start>
      <end>15</end>
      <status>unmodified</status>
      <modifiedWord/>
      <trackRevisions>false</trackRevisions>
    </reviewItem>
    <reviewItem>
      <errorID>3a6de402-a01b-4dfa-b6f3-2836756e35ac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1C322102</paraID>
      <start>0</start>
      <end>3</end>
      <status>unmodified</status>
      <modifiedWord/>
      <trackRevisions>false</trackRevisions>
    </reviewItem>
    <reviewItem>
      <errorID>ddaa809e-8828-4a40-b3e0-cfd2b6b80d84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7759DE2D</paraID>
      <start>0</start>
      <end>3</end>
      <status>unmodified</status>
      <modifiedWord/>
      <trackRevisions>false</trackRevisions>
    </reviewItem>
    <reviewItem>
      <errorID>2af0b33f-8c21-4d22-9cf5-4624825c70c6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6ED2792</paraID>
      <start>0</start>
      <end>3</end>
      <status>unmodified</status>
      <modifiedWord/>
      <trackRevisions>false</trackRevisions>
    </reviewItem>
    <reviewItem>
      <errorID>3e821a4c-16cd-463b-a6f6-3deb1f910207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23A3B6BE</paraID>
      <start>0</start>
      <end>3</end>
      <status>unmodified</status>
      <modifiedWord/>
      <trackRevisions>false</trackRevisions>
    </reviewItem>
    <reviewItem>
      <errorID>b9cc589e-2a4c-440d-9382-883e9ed151e6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1249F89A</paraID>
      <start>0</start>
      <end>3</end>
      <status>unmodified</status>
      <modifiedWord/>
      <trackRevisions>false</trackRevisions>
    </reviewItem>
    <reviewItem>
      <errorID>691071d9-1b95-4127-8417-009af8e5a974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6AB7364B</paraID>
      <start>0</start>
      <end>3</end>
      <status>unmodified</status>
      <modifiedWord/>
      <trackRevisions>false</trackRevisions>
    </reviewItem>
    <reviewItem>
      <errorID>a32b517a-ec5c-495e-bde2-bd7b1630d3c7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20BA7498</paraID>
      <start>0</start>
      <end>3</end>
      <status>unmodified</status>
      <modifiedWord/>
      <trackRevisions>false</trackRevisions>
    </reviewItem>
    <reviewItem>
      <errorID>35273f43-bffe-4ac8-b923-9141dbe02c65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41346668</paraID>
      <start>0</start>
      <end>3</end>
      <status>unmodified</status>
      <modifiedWord/>
      <trackRevisions>false</trackRevisions>
    </reviewItem>
    <reviewItem>
      <errorID>b647b908-217e-415d-881e-15fc21efcb28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10A9E8BC</paraID>
      <start>0</start>
      <end>3</end>
      <status>unmodified</status>
      <modifiedWord/>
      <trackRevisions>false</trackRevisions>
    </reviewItem>
    <reviewItem>
      <errorID>f8c25c1b-770d-4478-b876-3b6899d3a6a9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79EE171E</paraID>
      <start>0</start>
      <end>4</end>
      <status>unmodified</status>
      <modifiedWord/>
      <trackRevisions>false</trackRevisions>
    </reviewItem>
    <reviewItem>
      <errorID>0140f0e3-17ab-49f5-9f32-d5be0d2f1616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51F874A4</paraID>
      <start>0</start>
      <end>4</end>
      <status>unmodified</status>
      <modifiedWord/>
      <trackRevisions>false</trackRevisions>
    </reviewItem>
    <reviewItem>
      <errorID>cb355fdc-39f1-4abc-bdcf-8577f6286aa8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41CC3F3A</paraID>
      <start>0</start>
      <end>4</end>
      <status>unmodified</status>
      <modifiedWord/>
      <trackRevisions>false</trackRevisions>
    </reviewItem>
    <reviewItem>
      <errorID>1e536755-0ff2-467d-a170-5044639c6d4d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5BBCEBA7</paraID>
      <start>0</start>
      <end>4</end>
      <status>unmodified</status>
      <modifiedWord/>
      <trackRevisions>false</trackRevisions>
    </reviewItem>
    <reviewItem>
      <errorID>b113b222-b365-4c75-b6ef-6651fa9f6b21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5BBCEBA7</paraID>
      <start>4</start>
      <end>8</end>
      <status>unmodified</status>
      <modifiedWord/>
      <trackRevisions>false</trackRevisions>
    </reviewItem>
    <reviewItem>
      <errorID>d93771d9-a08e-4267-9047-9b831e16d568</errorID>
      <errorWord>委员会委</errorWord>
      <group>L1_Word</group>
      <groupName>字词问题</groupName>
      <ability>L2_Typo</ability>
      <abilityName>字词错误</abilityName>
      <candidateList>
        <item>委员会</item>
      </candidateList>
      <explain/>
      <paraID>5BBCEBA7</paraID>
      <start>12</start>
      <end>16</end>
      <status>unmodified</status>
      <modifiedWord/>
      <trackRevisions>false</trackRevisions>
    </reviewItem>
    <reviewItem>
      <errorID>c0f99006-021b-47a7-819d-c06b482b27af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5EF8AD4B</paraID>
      <start>0</start>
      <end>4</end>
      <status>unmodified</status>
      <modifiedWord/>
      <trackRevisions>false</trackRevisions>
    </reviewItem>
    <reviewItem>
      <errorID>8d0d421c-19ce-4755-91d0-349ed5408349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3F276E52</paraID>
      <start>0</start>
      <end>4</end>
      <status>unmodified</status>
      <modifiedWord/>
      <trackRevisions>false</trackRevisions>
    </reviewItem>
    <reviewItem>
      <errorID>b79f1be0-dc8b-43c5-b9fd-878f3c0b2bf8</errorID>
      <errorWord>的；</errorWord>
      <group>L1_Word</group>
      <groupName>字词问题</groupName>
      <ability>L2_Typo</ability>
      <abilityName>字词错误</abilityName>
      <candidateList>
        <item>，</item>
      </candidateList>
      <explain/>
      <paraID>3F276E52</paraID>
      <start>19</start>
      <end>21</end>
      <status>unmodified</status>
      <modifiedWord/>
      <trackRevisions>false</trackRevisions>
    </reviewItem>
    <reviewItem>
      <errorID>09684671-d96c-4908-9786-57a8710ac0ca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1900F1EC</paraID>
      <start>0</start>
      <end>4</end>
      <status>unmodified</status>
      <modifiedWord/>
      <trackRevisions>false</trackRevisions>
    </reviewItem>
    <reviewItem>
      <errorID>d6c9c9d5-7a56-4a32-b574-b312e72112f9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3890FFD4</paraID>
      <start>0</start>
      <end>4</end>
      <status>unmodified</status>
      <modifiedWord/>
      <trackRevisions>false</trackRevisions>
    </reviewItem>
    <reviewItem>
      <errorID>03105994-bca6-464e-ac36-d1d38a33bd31</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3890FFD4</paraID>
      <start>11</start>
      <end>15</end>
      <status>unmodified</status>
      <modifiedWord/>
      <trackRevisions>false</trackRevisions>
    </reviewItem>
    <reviewItem>
      <errorID>cb39b4a1-cf53-46df-9188-c1b492ad5613</errorID>
      <errorWord>,</errorWord>
      <group>L1_Format</group>
      <groupName>格式问题</groupName>
      <ability>L2_HalfPunc_CN</ability>
      <abilityName>全半角问题</abilityName>
      <candidateList>
        <item>，</item>
      </candidateList>
      <explain>文本全半角错误。</explain>
      <paraID> 8AA5769</paraID>
      <start>15</start>
      <end>16</end>
      <status>unmodified</status>
      <modifiedWord/>
      <trackRevisions>false</trackRevisions>
    </reviewItem>
    <reviewItem>
      <errorID>fe998668-ebeb-4711-a169-58077cf02b51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6E4AE0FC</paraID>
      <start>0</start>
      <end>3</end>
      <status>unmodified</status>
      <modifiedWord/>
      <trackRevisions>false</trackRevisions>
    </reviewItem>
    <reviewItem>
      <errorID>0978e665-ba0d-4cca-b00e-a8627c04dc5a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135E3753</paraID>
      <start>0</start>
      <end>3</end>
      <status>unmodified</status>
      <modifiedWord/>
      <trackRevisions>false</trackRevisions>
    </reviewItem>
    <reviewItem>
      <errorID>fda206ab-a782-4628-8553-ce2d34da6506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1EE7178</paraID>
      <start>0</start>
      <end>3</end>
      <status>unmodified</status>
      <modifiedWord/>
      <trackRevisions>false</trackRevisions>
    </reviewItem>
    <reviewItem>
      <errorID>4e8bc9f1-ae6f-470f-9970-9649d86b8faa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7FCAC5DB</paraID>
      <start>0</start>
      <end>3</end>
      <status>unmodified</status>
      <modifiedWord/>
      <trackRevisions>false</trackRevisions>
    </reviewItem>
    <reviewItem>
      <errorID>b85429bf-5652-4fea-a7ff-aef3d056399b</errorID>
      <errorWord>;</errorWord>
      <group>L1_Format</group>
      <groupName>格式问题</groupName>
      <ability>L2_HalfPunc_CN</ability>
      <abilityName>全半角问题</abilityName>
      <candidateList>
        <item>；</item>
      </candidateList>
      <explain>文本全半角错误。</explain>
      <paraID>7FCAC5DB</paraID>
      <start>27</start>
      <end>28</end>
      <status>unmodified</status>
      <modifiedWord/>
      <trackRevisions>false</trackRevisions>
    </reviewItem>
    <reviewItem>
      <errorID>6c730024-1053-45fe-91fd-e6e698c59412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18F1AC51</paraID>
      <start>0</start>
      <end>3</end>
      <status>unmodified</status>
      <modifiedWord/>
      <trackRevisions>false</trackRevisions>
    </reviewItem>
    <reviewItem>
      <errorID>bd321cee-3710-4b67-8149-b7c91f3b63e4</errorID>
      <errorWord>的</errorWord>
      <group>L1_Word</group>
      <groupName>字词问题</groupName>
      <ability>L2_Typo</ability>
      <abilityName>字词错误</abilityName>
      <candidateList>
        <item>，</item>
      </candidateList>
      <explain/>
      <paraID>18F1AC51</paraID>
      <start>24</start>
      <end>25</end>
      <status>unmodified</status>
      <modifiedWord/>
      <trackRevisions>false</trackRevisions>
    </reviewItem>
    <reviewItem>
      <errorID>ff5f7efc-3d7e-422a-8a1e-247e17fe8a8c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464DA05</paraID>
      <start>0</start>
      <end>3</end>
      <status>unmodified</status>
      <modifiedWord/>
      <trackRevisions>false</trackRevisions>
    </reviewItem>
    <reviewItem>
      <errorID>0cc71514-a4af-41da-95e3-349b7f0a2f60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5AF73EB0</paraID>
      <start>0</start>
      <end>3</end>
      <status>unmodified</status>
      <modifiedWord/>
      <trackRevisions>false</trackRevisions>
    </reviewItem>
    <reviewItem>
      <errorID>f43eea98-2080-479c-afeb-18b154233095</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5AF73EB0</paraID>
      <start>3</start>
      <end>7</end>
      <status>unmodified</status>
      <modifiedWord/>
      <trackRevisions>false</trackRevisions>
    </reviewItem>
    <reviewItem>
      <errorID>465ffafd-a8fd-44b6-96cc-9682c9bea3c9</errorID>
      <errorWord>委员会委</errorWord>
      <group>L1_Word</group>
      <groupName>字词问题</groupName>
      <ability>L2_Typo</ability>
      <abilityName>字词错误</abilityName>
      <candidateList>
        <item>委员会</item>
      </candidateList>
      <explain/>
      <paraID>5AF73EB0</paraID>
      <start>11</start>
      <end>15</end>
      <status>unmodified</status>
      <modifiedWord/>
      <trackRevisions>false</trackRevisions>
    </reviewItem>
    <reviewItem>
      <errorID>00f1e20f-7f6c-4c7a-a40f-dc08464801d9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339A4EC0</paraID>
      <start>0</start>
      <end>3</end>
      <status>unmodified</status>
      <modifiedWord/>
      <trackRevisions>false</trackRevisions>
    </reviewItem>
    <reviewItem>
      <errorID>bf377294-b523-4d77-8383-81feb3614df8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2C399F56</paraID>
      <start>0</start>
      <end>3</end>
      <status>unmodified</status>
      <modifiedWord/>
      <trackRevisions>false</trackRevisions>
    </reviewItem>
    <reviewItem>
      <errorID>0e652ff2-562a-4f21-bbc8-33af2039a067</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2C399F56</paraID>
      <start>10</start>
      <end>14</end>
      <status>unmodified</status>
      <modifiedWord/>
      <trackRevisions>false</trackRevisions>
    </reviewItem>
    <reviewItem>
      <errorID>22b41acd-4d22-47cb-9e74-41a2015cc175</errorID>
      <errorWord>,</errorWord>
      <group>L1_Format</group>
      <groupName>格式问题</groupName>
      <ability>L2_HalfPunc_CN</ability>
      <abilityName>全半角问题</abilityName>
      <candidateList>
        <item>，</item>
      </candidateList>
      <explain>文本全半角错误。</explain>
      <paraID>6DF67631</paraID>
      <start>15</start>
      <end>16</end>
      <status>unmodified</status>
      <modifiedWord/>
      <trackRevisions>false</trackRevisions>
    </reviewItem>
    <reviewItem>
      <errorID>68edd0d6-1e4c-4d6d-b2b6-5e54f700ca4b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3BB80193</paraID>
      <start>0</start>
      <end>3</end>
      <status>unmodified</status>
      <modifiedWord/>
      <trackRevisions>false</trackRevisions>
    </reviewItem>
    <reviewItem>
      <errorID>020d9e4a-2da7-4341-8d46-6d74769a99ca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D9A1D4E</paraID>
      <start>0</start>
      <end>3</end>
      <status>unmodified</status>
      <modifiedWord/>
      <trackRevisions>false</trackRevisions>
    </reviewItem>
    <reviewItem>
      <errorID>18b1ebf8-94fe-4cdf-bda0-00eaa9c3e24a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540E4874</paraID>
      <start>0</start>
      <end>3</end>
      <status>unmodified</status>
      <modifiedWord/>
      <trackRevisions>false</trackRevisions>
    </reviewItem>
    <reviewItem>
      <errorID>3c418f02-9af3-4dc5-a7b0-b04cc8636538</errorID>
      <errorWord>法律、法规</errorWord>
      <group>L1_Word</group>
      <groupName>字词问题</groupName>
      <ability>L2_Typo</ability>
      <abilityName>字词错误</abilityName>
      <candidateList>
        <item>法律法规</item>
      </candidateList>
      <explain/>
      <paraID>540E4874</paraID>
      <start>13</start>
      <end>18</end>
      <status>unmodified</status>
      <modifiedWord/>
      <trackRevisions>false</trackRevisions>
    </reviewItem>
    <reviewItem>
      <errorID>69728df0-dbde-498d-80a1-b646f8097cb1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5847DD83</paraID>
      <start>0</start>
      <end>3</end>
      <status>unmodified</status>
      <modifiedWord/>
      <trackRevisions>false</trackRevisions>
    </reviewItem>
    <reviewItem>
      <errorID>239753cb-1184-420a-bf82-1086d7a0c5f2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618C00B2</paraID>
      <start>0</start>
      <end>3</end>
      <status>unmodified</status>
      <modifiedWord/>
      <trackRevisions>false</trackRevisions>
    </reviewItem>
    <reviewItem>
      <errorID>8cc42050-1782-43af-8447-6dcbd9c651d6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704D4665</paraID>
      <start>0</start>
      <end>3</end>
      <status>unmodified</status>
      <modifiedWord/>
      <trackRevisions>false</trackRevisions>
    </reviewItem>
    <reviewItem>
      <errorID>807670d3-69f6-4ff4-abc7-a976e116b6cf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704D4665</paraID>
      <start>3</start>
      <end>7</end>
      <status>unmodified</status>
      <modifiedWord/>
      <trackRevisions>false</trackRevisions>
    </reviewItem>
    <reviewItem>
      <errorID>29ba4e06-557d-4975-8b70-c186bd89812b</errorID>
      <errorWord>委员会委</errorWord>
      <group>L1_Word</group>
      <groupName>字词问题</groupName>
      <ability>L2_Typo</ability>
      <abilityName>字词错误</abilityName>
      <candidateList>
        <item>委员会</item>
      </candidateList>
      <explain/>
      <paraID>704D4665</paraID>
      <start>11</start>
      <end>15</end>
      <status>unmodified</status>
      <modifiedWord/>
      <trackRevisions>false</trackRevisions>
    </reviewItem>
    <reviewItem>
      <errorID>62c0633e-2418-4304-b1a0-1d56162c7f01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430B26EB</paraID>
      <start>0</start>
      <end>3</end>
      <status>unmodified</status>
      <modifiedWord/>
      <trackRevisions>false</trackRevisions>
    </reviewItem>
    <reviewItem>
      <errorID>009b31bd-6a6c-470d-8d1a-fcfb585bb852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430B26EB</paraID>
      <start>10</start>
      <end>14</end>
      <status>unmodified</status>
      <modifiedWord/>
      <trackRevisions>false</trackRevisions>
    </reviewItem>
    <reviewItem>
      <errorID>686c0b3c-ada7-4d90-bf91-a431b7f3cf13</errorID>
      <errorWord>：甲方</errorWord>
      <group>L1_Punc</group>
      <groupName>标点问题</groupName>
      <ability>L2_Punc_CN</ability>
      <abilityName>标点符号问题</abilityName>
      <candidateList>
        <item>“甲方”</item>
      </candidateList>
      <explain/>
      <paraID> 52CBCF7</paraID>
      <start>16</start>
      <end>19</end>
      <status>unmodified</status>
      <modifiedWord/>
      <trackRevisions>false</trackRevisions>
    </reviewItem>
    <reviewItem>
      <errorID>45af8c05-e7f7-4917-8411-780a5c52f0b8</errorID>
      <errorWord> </errorWord>
      <group>L1_Punc</group>
      <groupName>标点问题</groupName>
      <ability>L2_Punc_CN</ability>
      <abilityName>标点符号问题</abilityName>
      <candidateList>
        <item/>
      </candidateList>
      <explain>此处空格冗余，建议删除。</explain>
      <paraID> 52CBCF7</paraID>
      <start>36</start>
      <end>37</end>
      <status>unmodified</status>
      <modifiedWord/>
      <trackRevisions>false</trackRevisions>
    </reviewItem>
    <reviewItem>
      <errorID>8bcff945-9109-4b3a-8e92-4e59569498fd</errorID>
      <errorWord>采购</errorWord>
      <group>L1_Grammar</group>
      <groupName>语法问题</groupName>
      <ability>L2_Grammar</ability>
      <abilityName>语法错误</abilityName>
      <candidateList>
        <item>开展采购</item>
      </candidateList>
      <explain/>
      <paraID> 52CBCF7</paraID>
      <start>46</start>
      <end>48</end>
      <status>unmodified</status>
      <modifiedWord/>
      <trackRevisions>false</trackRevisions>
    </reviewItem>
    <reviewItem>
      <errorID>50cb476a-dbcd-432d-8c31-5e2467f009ed</errorID>
      <errorWord>：乙方</errorWord>
      <group>L1_Punc</group>
      <groupName>标点问题</groupName>
      <ability>L2_Punc_CN</ability>
      <abilityName>标点符号问题</abilityName>
      <candidateList>
        <item>“乙方”</item>
      </candidateList>
      <explain/>
      <paraID> 52CBCF7</paraID>
      <start>65</start>
      <end>68</end>
      <status>unmodified</status>
      <modifiedWord/>
      <trackRevisions>false</trackRevisions>
    </reviewItem>
    <reviewItem>
      <errorID>91784c34-57d1-4d76-bbba-581580844a7e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17E3756F</paraID>
      <start>13</start>
      <end>16</end>
      <status>unmodified</status>
      <modifiedWord/>
      <trackRevisions>false</trackRevisions>
    </reviewItem>
    <reviewItem>
      <errorID>0a13fd38-f1d3-43a1-b666-62f8f8caffa3</errorID>
      <errorWord>之</errorWord>
      <group>L1_Word</group>
      <groupName>字词问题</groupName>
      <ability>L2_Typo</ability>
      <abilityName>字词错误</abilityName>
      <candidateList>
        <item>的</item>
      </candidateList>
      <explain/>
      <paraID>17E3756F</paraID>
      <start>36</start>
      <end>37</end>
      <status>unmodified</status>
      <modifiedWord/>
      <trackRevisions>false</trackRevisions>
    </reviewItem>
    <reviewItem>
      <errorID>a4efa6cf-947a-4308-8504-4d029e170932</errorID>
      <errorWord>兹</errorWord>
      <group>L1_Word</group>
      <groupName>字词问题</groupName>
      <ability>L2_Typo</ability>
      <abilityName>字词错误</abilityName>
      <candidateList>
        <item>供</item>
      </candidateList>
      <explain/>
      <paraID>17E3756F</paraID>
      <start>80</start>
      <end>81</end>
      <status>unmodified</status>
      <modifiedWord/>
      <trackRevisions>false</trackRevisions>
    </reviewItem>
    <reviewItem>
      <errorID>f30aba33-df23-42dc-bc8c-f37f51b23aca</errorID>
      <errorWord>5除前述约定外，</errorWord>
      <group>L1_Grammar</group>
      <groupName>语法问题</groupName>
      <ability>L2_Grammar</ability>
      <abilityName>语法错误</abilityName>
      <candidateList>
        <item>5</item>
      </candidateList>
      <explain/>
      <paraID>6C927A78</paraID>
      <start>4</start>
      <end>12</end>
      <status>unmodified</status>
      <modifiedWord/>
      <trackRevisions>false</trackRevisions>
    </reviewItem>
    <reviewItem>
      <errorID>6fccf688-2484-4906-b0ca-e7fa8b9d15fe</errorID>
      <errorWord>依</errorWord>
      <group>L1_Punc</group>
      <groupName>标点问题</groupName>
      <ability>L2_Punc_CN</ability>
      <abilityName>标点符号问题</abilityName>
      <candidateList>
        <item>，依</item>
      </candidateList>
      <explain/>
      <paraID>4B5F6C88</paraID>
      <start>29</start>
      <end>30</end>
      <status>unmodified</status>
      <modifiedWord/>
      <trackRevisions>false</trackRevisions>
    </reviewItem>
    <reviewItem>
      <errorID>5108432e-2fe0-491b-ad79-3a74fb15803b</errorID>
      <errorWord>达成</errorWord>
      <group>L1_Grammar</group>
      <groupName>语法问题</groupName>
      <ability>L2_Grammar</ability>
      <abilityName>语法错误</abilityName>
      <candidateList>
        <item>达成协议</item>
      </candidateList>
      <explain/>
      <paraID>283DE8D2</paraID>
      <start>29</start>
      <end>31</end>
      <status>unmodified</status>
      <modifiedWord/>
      <trackRevisions>false</trackRevisions>
    </reviewItem>
    <reviewItem>
      <errorID>6b5a177e-8313-42d7-ada1-1ee13731991b</errorID>
      <errorWord>协议</errorWord>
      <group>L1_Word</group>
      <groupName>字词问题</groupName>
      <ability>L2_Typo</ability>
      <abilityName>字词错误</abilityName>
      <candidateList>
        <item>文件</item>
      </candidateList>
      <explain/>
      <paraID>283DE8D2</paraID>
      <start>32</start>
      <end>34</end>
      <status>unmodified</status>
      <modifiedWord/>
      <trackRevisions>false</trackRevisions>
    </reviewItem>
    <reviewItem>
      <errorID>02dae84e-0f5d-405b-b3ee-f647126e7d01</errorID>
      <errorWord>(</errorWord>
      <group>L1_Format</group>
      <groupName>格式问题</groupName>
      <ability>L2_HalfPunc_CN</ability>
      <abilityName>全半角问题</abilityName>
      <candidateList>
        <item>（</item>
      </candidateList>
      <explain>文本全半角错误。</explain>
      <paraID>25B43C4D</paraID>
      <start>31</start>
      <end>32</end>
      <status>unmodified</status>
      <modifiedWord/>
      <trackRevisions>false</trackRevisions>
    </reviewItem>
    <reviewItem>
      <errorID>dc911c65-9825-43bb-8a02-57672da3f43f</errorID>
      <errorWord>)</errorWord>
      <group>L1_Format</group>
      <groupName>格式问题</groupName>
      <ability>L2_HalfPunc_CN</ability>
      <abilityName>全半角问题</abilityName>
      <candidateList>
        <item>）</item>
      </candidateList>
      <explain>文本全半角错误。</explain>
      <paraID>25B43C4D</paraID>
      <start>37</start>
      <end>38</end>
      <status>unmodified</status>
      <modifiedWord/>
      <trackRevisions>false</trackRevisions>
    </reviewItem>
    <reviewItem>
      <errorID>c6aa83d4-6181-425b-802f-efef2b2b45c8</errorID>
      <errorWord>(</errorWord>
      <group>L1_Format</group>
      <groupName>格式问题</groupName>
      <ability>L2_HalfPunc_CN</ability>
      <abilityName>全半角问题</abilityName>
      <candidateList>
        <item>（</item>
      </candidateList>
      <explain>文本全半角错误。</explain>
      <paraID>25B43C4D</paraID>
      <start>47</start>
      <end>48</end>
      <status>unmodified</status>
      <modifiedWord/>
      <trackRevisions>false</trackRevisions>
    </reviewItem>
    <reviewItem>
      <errorID>19a01511-037e-41f0-b2cb-85bb6bfc8dca</errorID>
      <errorWord>)</errorWord>
      <group>L1_Format</group>
      <groupName>格式问题</groupName>
      <ability>L2_HalfPunc_CN</ability>
      <abilityName>全半角问题</abilityName>
      <candidateList>
        <item>）</item>
      </candidateList>
      <explain>文本全半角错误。</explain>
      <paraID>25B43C4D</paraID>
      <start>57</start>
      <end>58</end>
      <status>unmodified</status>
      <modifiedWord/>
      <trackRevisions>false</trackRevisions>
    </reviewItem>
    <reviewItem>
      <errorID>b972ecc1-3cba-4c88-9947-609e88386ca9</errorID>
      <errorWord>乙方可以</errorWord>
      <group>L1_Grammar</group>
      <groupName>语法问题</groupName>
      <ability>L2_Grammar</ability>
      <abilityName>语法错误</abilityName>
      <candidateList>
        <item>乙方</item>
      </candidateList>
      <explain/>
      <paraID>3B10181C</paraID>
      <start>88</start>
      <end>92</end>
      <status>unmodified</status>
      <modifiedWord/>
      <trackRevisions>false</trackRevisions>
    </reviewItem>
    <reviewItem>
      <errorID>e5293b40-4118-428a-9b87-4f88c82260c9</errorID>
      <errorWord>签订</errorWord>
      <group>L1_Word</group>
      <groupName>字词问题</groupName>
      <ability>L2_Typo</ability>
      <abilityName>字词错误</abilityName>
      <candidateList>
        <item>以签订</item>
      </candidateList>
      <explain/>
      <paraID>4E52F832</paraID>
      <start>17</start>
      <end>19</end>
      <status>unmodified</status>
      <modifiedWord/>
      <trackRevisions>false</trackRevisions>
    </reviewItem>
    <reviewItem>
      <errorID>770f9301-0afe-4251-88f1-214162c0caee</errorID>
      <errorWord>1合同使用汉语书就</errorWord>
      <group>L1_Word</group>
      <groupName>字词问题</groupName>
      <ability>L2_Typo</ability>
      <abilityName>字词错误</abilityName>
      <candidateList>
        <item>1合同使用汉语书写</item>
      </candidateList>
      <explain/>
      <paraID>1DDE0416</paraID>
      <start>5</start>
      <end>14</end>
      <status>unmodified</status>
      <modifiedWord/>
      <trackRevisions>false</trackRevisions>
    </reviewItem>
    <reviewItem>
      <errorID>280c6405-8794-425c-a553-37b8ad9ac6f9</errorID>
      <errorWord>肆份</errorWord>
      <group>L1_Word</group>
      <groupName>字词问题</groupName>
      <ability>L2_Typo</ability>
      <abilityName>字词错误</abilityName>
      <candidateList>
        <item>四份</item>
      </candidateList>
      <explain>存在发音相同字词的误用。</explain>
      <paraID>1D84B87F</paraID>
      <start>4</start>
      <end>6</end>
      <status>unmodified</status>
      <modifiedWord/>
      <trackRevisions>false</trackRevisions>
    </reviewItem>
    <reviewItem>
      <errorID>0f85e6f4-5fe3-40f2-895e-3a8864d648a0</errorID>
      <errorWord>、或</errorWord>
      <group>L1_Word</group>
      <groupName>字词问题</groupName>
      <ability>L2_Typo</ability>
      <abilityName>字词错误</abilityName>
      <candidateList>
        <item>或</item>
      </candidateList>
      <explain/>
      <paraID>1B722557</paraID>
      <start>31</start>
      <end>33</end>
      <status>unmodified</status>
      <modifiedWord/>
      <trackRevisions>false</trackRevisions>
    </reviewItem>
    <reviewItem>
      <errorID>87a0def7-5ecd-4caf-85eb-9279cb7f90b5</errorID>
      <errorWord>程</errorWord>
      <group>L1_Word</group>
      <groupName>字词问题</groupName>
      <ability>L2_Typo</ability>
      <abilityName>字词错误</abilityName>
      <candidateList>
        <item>程中</item>
      </candidateList>
      <explain/>
      <paraID>33DEE005</paraID>
      <start>70</start>
      <end>71</end>
      <status>unmodified</status>
      <modifiedWord/>
      <trackRevisions>false</trackRevisions>
    </reviewItem>
    <reviewItem>
      <errorID>c6b6e16e-8255-485d-a897-2f8a46ce352a</errorID>
      <errorWord>(</errorWord>
      <group>L1_Format</group>
      <groupName>格式问题</groupName>
      <ability>L2_HalfPunc_CN</ability>
      <abilityName>全半角问题</abilityName>
      <candidateList>
        <item>（</item>
      </candidateList>
      <explain>文本全半角错误。</explain>
      <paraID>2DA5F379</paraID>
      <start>59</start>
      <end>60</end>
      <status>unmodified</status>
      <modifiedWord/>
      <trackRevisions>false</trackRevisions>
    </reviewItem>
    <reviewItem>
      <errorID>6cd057ef-1570-4b89-a29a-0cc1d50311cc</errorID>
      <errorWord>)</errorWord>
      <group>L1_Format</group>
      <groupName>格式问题</groupName>
      <ability>L2_HalfPunc_CN</ability>
      <abilityName>全半角问题</abilityName>
      <candidateList>
        <item>）</item>
      </candidateList>
      <explain>文本全半角错误。</explain>
      <paraID>2DA5F379</paraID>
      <start>76</start>
      <end>77</end>
      <status>unmodified</status>
      <modifiedWord/>
      <trackRevisions>false</trackRevisions>
    </reviewItem>
    <reviewItem>
      <errorID>f46d3c33-6b26-4521-b86f-a6b336f27f96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4FDB6D62</paraID>
      <start>0</start>
      <end>2</end>
      <status>unmodified</status>
      <modifiedWord/>
      <trackRevisions>false</trackRevisions>
    </reviewItem>
    <reviewItem>
      <errorID>07d1952c-5fde-40ad-a6ba-371bec63eff2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580387BB</paraID>
      <start>0</start>
      <end>4</end>
      <status>unmodified</status>
      <modifiedWord/>
      <trackRevisions>false</trackRevisions>
    </reviewItem>
    <reviewItem>
      <errorID>c39a9933-4371-4171-b235-55fe9f6616d5</errorID>
      <errorWord>-</errorWord>
      <group>L1_Format</group>
      <groupName>格式问题</groupName>
      <ability>L2_HalfPunc_CN</ability>
      <abilityName>全半角问题</abilityName>
      <candidateList>
        <item>－</item>
      </candidateList>
      <explain>文本全半角错误。</explain>
      <paraID>5B8FA350</paraID>
      <start>19</start>
      <end>20</end>
      <status>unmodified</status>
      <modifiedWord/>
      <trackRevisions>false</trackRevisions>
    </reviewItem>
    <reviewItem>
      <errorID>4998134c-ebf1-41b2-bbde-835f4afe657a</errorID>
      <errorWord>，</errorWord>
      <group>L1_Word</group>
      <groupName>字词问题</groupName>
      <ability>L2_Typo</ability>
      <abilityName>字词错误</abilityName>
      <candidateList>
        <item>，具</item>
      </candidateList>
      <explain/>
      <paraID>3205F50E</paraID>
      <start>91</start>
      <end>92</end>
      <status>unmodified</status>
      <modifiedWord/>
      <trackRevisions>false</trackRevisions>
    </reviewItem>
    <reviewItem>
      <errorID>adca04ff-d11e-4fd0-8cf0-b1e793520084</errorID>
      <errorWord>(</errorWord>
      <group>L1_Format</group>
      <groupName>格式问题</groupName>
      <ability>L2_HalfPunc_CN</ability>
      <abilityName>全半角问题</abilityName>
      <candidateList>
        <item>（</item>
      </candidateList>
      <explain>文本全半角错误。</explain>
      <paraID>17B90E4D</paraID>
      <start>153</start>
      <end>154</end>
      <status>unmodified</status>
      <modifiedWord/>
      <trackRevisions>false</trackRevisions>
    </reviewItem>
    <reviewItem>
      <errorID>ac535300-ae7e-448f-abe4-2dadcb7d0d69</errorID>
      <errorWord>)</errorWord>
      <group>L1_Format</group>
      <groupName>格式问题</groupName>
      <ability>L2_HalfPunc_CN</ability>
      <abilityName>全半角问题</abilityName>
      <candidateList>
        <item>）</item>
      </candidateList>
      <explain>文本全半角错误。</explain>
      <paraID>17B90E4D</paraID>
      <start>188</start>
      <end>189</end>
      <status>unmodified</status>
      <modifiedWord/>
      <trackRevisions>false</trackRevisions>
    </reviewItem>
    <reviewItem>
      <errorID>9562e3ef-ab42-4e8d-ae69-4cd110d77d3f</errorID>
      <errorWord>,</errorWord>
      <group>L1_Format</group>
      <groupName>格式问题</groupName>
      <ability>L2_HalfPunc_CN</ability>
      <abilityName>全半角问题</abilityName>
      <candidateList>
        <item>，</item>
      </candidateList>
      <explain>文本全半角错误。</explain>
      <paraID>68FA65C8</paraID>
      <start>26</start>
      <end>27</end>
      <status>unmodified</status>
      <modifiedWord/>
      <trackRevisions>false</trackRevisions>
    </reviewItem>
    <reviewItem>
      <errorID>dae65704-2d66-4cbb-800c-d12a265d437a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29713D8D</paraID>
      <start>49</start>
      <end>52</end>
      <status>unmodified</status>
      <modifiedWord/>
      <trackRevisions>false</trackRevisions>
    </reviewItem>
    <reviewItem>
      <errorID>e95f73c6-0878-47e4-a674-fe1e2ad9e7c2</errorID>
      <errorWord>(</errorWord>
      <group>L1_Format</group>
      <groupName>格式问题</groupName>
      <ability>L2_HalfPunc_CN</ability>
      <abilityName>全半角问题</abilityName>
      <candidateList>
        <item>（</item>
      </candidateList>
      <explain>文本全半角错误。</explain>
      <paraID>789C69AF</paraID>
      <start>38</start>
      <end>39</end>
      <status>unmodified</status>
      <modifiedWord/>
      <trackRevisions>false</trackRevisions>
    </reviewItem>
    <reviewItem>
      <errorID>b1055c1b-fb07-4122-b82f-dd2cb204397e</errorID>
      <errorWord>)</errorWord>
      <group>L1_Format</group>
      <groupName>格式问题</groupName>
      <ability>L2_HalfPunc_CN</ability>
      <abilityName>全半角问题</abilityName>
      <candidateList>
        <item>）</item>
      </candidateList>
      <explain>文本全半角错误。</explain>
      <paraID>789C69AF</paraID>
      <start>42</start>
      <end>43</end>
      <status>unmodified</status>
      <modifiedWord/>
      <trackRevisions>false</trackRevisions>
    </reviewItem>
    <reviewItem>
      <errorID>94abd4aa-8878-45c5-bde5-f5d5a7c2b598</errorID>
      <errorWord>(</errorWord>
      <group>L1_Format</group>
      <groupName>格式问题</groupName>
      <ability>L2_HalfPunc_CN</ability>
      <abilityName>全半角问题</abilityName>
      <candidateList>
        <item>（</item>
      </candidateList>
      <explain>文本全半角错误。</explain>
      <paraID>789C69AF</paraID>
      <start>47</start>
      <end>48</end>
      <status>unmodified</status>
      <modifiedWord/>
      <trackRevisions>false</trackRevisions>
    </reviewItem>
    <reviewItem>
      <errorID>7e939684-4264-4a99-a2a1-4d17f37fcc04</errorID>
      <errorWord>)</errorWord>
      <group>L1_Format</group>
      <groupName>格式问题</groupName>
      <ability>L2_HalfPunc_CN</ability>
      <abilityName>全半角问题</abilityName>
      <candidateList>
        <item>）</item>
      </candidateList>
      <explain>文本全半角错误。</explain>
      <paraID>789C69AF</paraID>
      <start>53</start>
      <end>54</end>
      <status>unmodified</status>
      <modifiedWord/>
      <trackRevisions>false</trackRevisions>
    </reviewItem>
    <reviewItem>
      <errorID>e35b9ea4-7617-4a74-975d-217be73d8986</errorID>
      <errorWord>(</errorWord>
      <group>L1_Format</group>
      <groupName>格式问题</groupName>
      <ability>L2_HalfPunc_CN</ability>
      <abilityName>全半角问题</abilityName>
      <candidateList>
        <item>（</item>
      </candidateList>
      <explain>文本全半角错误。</explain>
      <paraID> 4473D58</paraID>
      <start>2</start>
      <end>3</end>
      <status>unmodified</status>
      <modifiedWord/>
      <trackRevisions>false</trackRevisions>
    </reviewItem>
    <reviewItem>
      <errorID>68219b83-a07f-43aa-adb0-ac55054d9207</errorID>
      <errorWord>)</errorWord>
      <group>L1_Format</group>
      <groupName>格式问题</groupName>
      <ability>L2_HalfPunc_CN</ability>
      <abilityName>全半角问题</abilityName>
      <candidateList>
        <item>）</item>
      </candidateList>
      <explain>文本全半角错误。</explain>
      <paraID> 4473D58</paraID>
      <start>6</start>
      <end>7</end>
      <status>unmodified</status>
      <modifiedWord/>
      <trackRevisions>false</trackRevisions>
    </reviewItem>
    <reviewItem>
      <errorID>30700bc2-c8c8-4294-9c94-2a0f3d69d139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3A742B9E</paraID>
      <start>0</start>
      <end>2</end>
      <status>unmodified</status>
      <modifiedWord/>
      <trackRevisions>false</trackRevisions>
    </reviewItem>
    <reviewItem>
      <errorID>e365b3a2-0e0f-445f-8dcf-a5e7e13954d5</errorID>
      <errorWord>(</errorWord>
      <group>L1_Format</group>
      <groupName>格式问题</groupName>
      <ability>L2_HalfPunc_CN</ability>
      <abilityName>全半角问题</abilityName>
      <candidateList>
        <item>（</item>
      </candidateList>
      <explain>文本全半角错误。</explain>
      <paraID>3A742B9E</paraID>
      <start>2</start>
      <end>3</end>
      <status>unmodified</status>
      <modifiedWord/>
      <trackRevisions>false</trackRevisions>
    </reviewItem>
    <reviewItem>
      <errorID>bd2c44f7-2773-4a5d-bcd0-84446a7a4a8b</errorID>
      <errorWord>)</errorWord>
      <group>L1_Format</group>
      <groupName>格式问题</groupName>
      <ability>L2_HalfPunc_CN</ability>
      <abilityName>全半角问题</abilityName>
      <candidateList>
        <item>）</item>
      </candidateList>
      <explain>文本全半角错误。</explain>
      <paraID>3A742B9E</paraID>
      <start>8</start>
      <end>9</end>
      <status>unmodified</status>
      <modifiedWord/>
      <trackRevisions>false</trackRevisions>
    </reviewItem>
    <reviewItem>
      <errorID>6d4f6bb9-99fd-41f1-8682-d52c90c566fe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F8C89B</paraID>
      <start>0</start>
      <end>2</end>
      <status>unmodified</status>
      <modifiedWord/>
      <trackRevisions>false</trackRevisions>
    </reviewItem>
    <reviewItem>
      <errorID>d79bbdce-b27a-452d-ba38-b0f05eb70b9f</errorID>
      <errorWord>(</errorWord>
      <group>L1_Format</group>
      <groupName>格式问题</groupName>
      <ability>L2_HalfPunc_CN</ability>
      <abilityName>全半角问题</abilityName>
      <candidateList>
        <item>（</item>
      </candidateList>
      <explain>文本全半角错误。</explain>
      <paraID>  F8C89B</paraID>
      <start>2</start>
      <end>3</end>
      <status>unmodified</status>
      <modifiedWord/>
      <trackRevisions>false</trackRevisions>
    </reviewItem>
    <reviewItem>
      <errorID>a4fa09f2-91df-484c-a61b-468e6bf39b15</errorID>
      <errorWord>)</errorWord>
      <group>L1_Format</group>
      <groupName>格式问题</groupName>
      <ability>L2_HalfPunc_CN</ability>
      <abilityName>全半角问题</abilityName>
      <candidateList>
        <item>）</item>
      </candidateList>
      <explain>文本全半角错误。</explain>
      <paraID>  F8C89B</paraID>
      <start>14</start>
      <end>15</end>
      <status>unmodified</status>
      <modifiedWord/>
      <trackRevisions>false</trackRevisions>
    </reviewItem>
    <reviewItem>
      <errorID>4a525ffd-b518-4bf3-bdcf-c7fda51f8358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47BB7AD1</paraID>
      <start>0</start>
      <end>2</end>
      <status>unmodified</status>
      <modifiedWord/>
      <trackRevisions>false</trackRevisions>
    </reviewItem>
    <reviewItem>
      <errorID>6543efaf-7388-4a49-b8e1-feaf3acbfdb6</errorID>
      <errorWord>(</errorWord>
      <group>L1_Format</group>
      <groupName>格式问题</groupName>
      <ability>L2_HalfPunc_CN</ability>
      <abilityName>全半角问题</abilityName>
      <candidateList>
        <item>（</item>
      </candidateList>
      <explain>文本全半角错误。</explain>
      <paraID>47BB7AD1</paraID>
      <start>2</start>
      <end>3</end>
      <status>unmodified</status>
      <modifiedWord/>
      <trackRevisions>false</trackRevisions>
    </reviewItem>
    <reviewItem>
      <errorID>1b6030d2-2588-434c-b409-5bc2ff551b15</errorID>
      <errorWord>)</errorWord>
      <group>L1_Format</group>
      <groupName>格式问题</groupName>
      <ability>L2_HalfPunc_CN</ability>
      <abilityName>全半角问题</abilityName>
      <candidateList>
        <item>）</item>
      </candidateList>
      <explain>文本全半角错误。</explain>
      <paraID>47BB7AD1</paraID>
      <start>5</start>
      <end>6</end>
      <status>unmodified</status>
      <modifiedWord/>
      <trackRevisions>false</trackRevisions>
    </reviewItem>
    <reviewItem>
      <errorID>0b574b07-8be1-406d-876f-672c69a0959f</errorID>
      <errorWord>(</errorWord>
      <group>L1_Format</group>
      <groupName>格式问题</groupName>
      <ability>L2_HalfPunc_CN</ability>
      <abilityName>全半角问题</abilityName>
      <candidateList>
        <item>（</item>
      </candidateList>
      <explain>文本全半角错误。</explain>
      <paraID> FA7D843</paraID>
      <start>2</start>
      <end>3</end>
      <status>unmodified</status>
      <modifiedWord/>
      <trackRevisions>false</trackRevisions>
    </reviewItem>
    <reviewItem>
      <errorID>f4a4fe8c-c036-4c1c-a72d-e1fec0cb9b1b</errorID>
      <errorWord>)</errorWord>
      <group>L1_Format</group>
      <groupName>格式问题</groupName>
      <ability>L2_HalfPunc_CN</ability>
      <abilityName>全半角问题</abilityName>
      <candidateList>
        <item>）</item>
      </candidateList>
      <explain>文本全半角错误。</explain>
      <paraID> FA7D843</paraID>
      <start>6</start>
      <end>7</end>
      <status>unmodified</status>
      <modifiedWord/>
      <trackRevisions>false</trackRevisions>
    </reviewItem>
    <reviewItem>
      <errorID>23b8c2c6-44f6-429c-90df-4961e900cfbe</errorID>
      <errorWord>(</errorWord>
      <group>L1_Format</group>
      <groupName>格式问题</groupName>
      <ability>L2_HalfPunc_CN</ability>
      <abilityName>全半角问题</abilityName>
      <candidateList>
        <item>（</item>
      </candidateList>
      <explain>文本全半角错误。</explain>
      <paraID>10BBAED9</paraID>
      <start>2</start>
      <end>3</end>
      <status>unmodified</status>
      <modifiedWord/>
      <trackRevisions>false</trackRevisions>
    </reviewItem>
    <reviewItem>
      <errorID>a359dc5d-13d0-4774-855d-f3accd625340</errorID>
      <errorWord>)</errorWord>
      <group>L1_Format</group>
      <groupName>格式问题</groupName>
      <ability>L2_HalfPunc_CN</ability>
      <abilityName>全半角问题</abilityName>
      <candidateList>
        <item>）</item>
      </candidateList>
      <explain>文本全半角错误。</explain>
      <paraID>10BBAED9</paraID>
      <start>5</start>
      <end>6</end>
      <status>unmodified</status>
      <modifiedWord/>
      <trackRevisions>false</trackRevisions>
    </reviewItem>
    <reviewItem>
      <errorID>ee3abb1d-3b07-498f-b6cf-9e70af416d74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7EBA896B</paraID>
      <start>0</start>
      <end>2</end>
      <status>unmodified</status>
      <modifiedWord/>
      <trackRevisions>false</trackRevisions>
    </reviewItem>
    <reviewItem>
      <errorID>8b30a6fc-a2aa-4ab1-b6a5-84ef219d5a7c</errorID>
      <errorWord>、</errorWord>
      <group>L1_Word</group>
      <groupName>字词问题</groupName>
      <ability>L2_Typo</ability>
      <abilityName>字词错误</abilityName>
      <candidateList>
        <item>、在</item>
      </candidateList>
      <explain/>
      <paraID>4F1A1E6A</paraID>
      <start>1</start>
      <end>2</end>
      <status>unmodified</status>
      <modifiedWord/>
      <trackRevisions>false</trackRevisions>
    </reviewItem>
    <reviewItem>
      <errorID>ce4572df-9347-44b8-a0b2-b6b142c1c209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5329A7EC</paraID>
      <start>0</start>
      <end>2</end>
      <status>unmodified</status>
      <modifiedWord/>
      <trackRevisions>false</trackRevisions>
    </reviewItem>
    <reviewItem>
      <errorID>12eb943c-5be0-4903-9a4f-59ae9eeb2d05</errorID>
      <errorWord>公管部门</errorWord>
      <group>L1_Knowledge</group>
      <groupName>知识性问题</groupName>
      <ability>L2_Term</ability>
      <abilityName>专业术语</abilityName>
      <candidateList>
        <item>主管部门</item>
      </candidateList>
      <explain/>
      <paraID>45DB2AAC</paraID>
      <start>8</start>
      <end>12</end>
      <status>unmodified</status>
      <modifiedWord/>
      <trackRevisions>false</trackRevisions>
    </reviewItem>
    <reviewItem>
      <errorID>856cf1b5-2cf9-47a5-84a4-6f0ec3762efe</errorID>
      <errorWord>公管部门</errorWord>
      <group>L1_Knowledge</group>
      <groupName>知识性问题</groupName>
      <ability>L2_Term</ability>
      <abilityName>专业术语</abilityName>
      <candidateList>
        <item>主管部门</item>
      </candidateList>
      <explain/>
      <paraID>273CEE82</paraID>
      <start>8</start>
      <end>12</end>
      <status>unmodified</status>
      <modifiedWord/>
      <trackRevisions>false</trackRevisions>
    </reviewItem>
    <reviewItem>
      <errorID>417b2276-daff-4a3f-9d96-e65270faf889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102C5CE4</paraID>
      <start>0</start>
      <end>2</end>
      <status>unmodified</status>
      <modifiedWord/>
      <trackRevisions>false</trackRevisions>
    </reviewItem>
    <reviewItem>
      <errorID>fe85bc2d-62ad-4012-9da5-11b8622c86df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6631A18B</paraID>
      <start>0</start>
      <end>2</end>
      <status>unmodified</status>
      <modifiedWord/>
      <trackRevisions>false</trackRevisions>
    </reviewItem>
    <reviewItem>
      <errorID>46dd058a-07d1-49d5-8a1b-ae3d5ac9f716</errorID>
      <errorWord>、</errorWord>
      <group>L1_Word</group>
      <groupName>字词问题</groupName>
      <ability>L2_Typo</ability>
      <abilityName>字词错误</abilityName>
      <candidateList>
        <item>、在</item>
      </candidateList>
      <explain/>
      <paraID>7C8447CB</paraID>
      <start>1</start>
      <end>2</end>
      <status>unmodified</status>
      <modifiedWord/>
      <trackRevisions>false</trackRevisions>
    </reviewItem>
    <reviewItem>
      <errorID>60f58ffd-cedd-4f83-a334-770f52502f84</errorID>
      <errorWord>、</errorWord>
      <group>L1_Word</group>
      <groupName>字词问题</groupName>
      <ability>L2_Typo</ability>
      <abilityName>字词错误</abilityName>
      <candidateList>
        <item>、在</item>
      </candidateList>
      <explain/>
      <paraID>2B3904C0</paraID>
      <start>1</start>
      <end>2</end>
      <status>unmodified</status>
      <modifiedWord/>
      <trackRevisions>false</trackRevisions>
    </reviewItem>
    <reviewItem>
      <errorID>8976d03a-f135-4423-904b-17b1a029f985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2C9A0D78</paraID>
      <start>0</start>
      <end>2</end>
      <status>unmodified</status>
      <modifiedWord/>
      <trackRevisions>false</trackRevisions>
    </reviewItem>
    <reviewItem>
      <errorID>f09992b3-3d49-4b96-b313-f5c15fc46b47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624C4F6B</paraID>
      <start>0</start>
      <end>2</end>
      <status>unmodified</status>
      <modifiedWord/>
      <trackRevisions>false</trackRevisions>
    </reviewItem>
    <reviewItem>
      <errorID>6eba3bcf-3593-4c3b-bf53-9707d67a31b1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575064F3</paraID>
      <start>0</start>
      <end>2</end>
      <status>unmodified</status>
      <modifiedWord/>
      <trackRevisions>false</trackRevisions>
    </reviewItem>
    <reviewItem>
      <errorID>76ba5953-5067-41a8-896d-62b7b789f819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57EA24ED</paraID>
      <start>0</start>
      <end>2</end>
      <status>unmodified</status>
      <modifiedWord/>
      <trackRevisions>false</trackRevisions>
    </reviewItem>
    <reviewItem>
      <errorID>20f43bfe-4e58-42a4-9520-da007a184cac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76B4C039</paraID>
      <start>0</start>
      <end>2</end>
      <status>unmodified</status>
      <modifiedWord/>
      <trackRevisions>false</trackRevisions>
    </reviewItem>
    <reviewItem>
      <errorID>d825b8dd-91d6-4701-b958-922df4269e6f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267B45F2</paraID>
      <start>0</start>
      <end>2</end>
      <status>unmodified</status>
      <modifiedWord/>
      <trackRevisions>false</trackRevisions>
    </reviewItem>
    <reviewItem>
      <errorID>2c9dabc7-bfde-43c3-ae02-2e7f1b194e60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5A489D8B</paraID>
      <start>0</start>
      <end>2</end>
      <status>unmodified</status>
      <modifiedWord/>
      <trackRevisions>false</trackRevisions>
    </reviewItem>
    <reviewItem>
      <errorID>04ab644c-fdcf-4142-8c12-f7ec7047b7c6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5890F059</paraID>
      <start>0</start>
      <end>2</end>
      <status>unmodified</status>
      <modifiedWord/>
      <trackRevisions>false</trackRevisions>
    </reviewItem>
    <reviewItem>
      <errorID>56e93e78-e641-4e55-9508-414fb2267d97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6BB87CE7</paraID>
      <start>0</start>
      <end>2</end>
      <status>unmodified</status>
      <modifiedWord/>
      <trackRevisions>false</trackRevisions>
    </reviewItem>
    <reviewItem>
      <errorID>67ce8b69-6dac-4c5e-8f13-d8cb1d3eadab</errorID>
      <errorWord>;</errorWord>
      <group>L1_Format</group>
      <groupName>格式问题</groupName>
      <ability>L2_HalfPunc_CN</ability>
      <abilityName>全半角问题</abilityName>
      <candidateList>
        <item>；</item>
      </candidateList>
      <explain>文本全半角错误。</explain>
      <paraID>78B8E4DB</paraID>
      <start>28</start>
      <end>29</end>
      <status>unmodified</status>
      <modifiedWord/>
      <trackRevisions>false</trackRevisions>
    </reviewItem>
    <reviewItem>
      <errorID>541c3959-8a05-49e6-9ea2-0bf6c229e60a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371D99E</paraID>
      <start>39</start>
      <end>42</end>
      <status>unmodified</status>
      <modifiedWord/>
      <trackRevisions>false</trackRevisions>
    </reviewItem>
    <reviewItem>
      <errorID>e9dffefe-905e-42b4-b0a5-cfb6bc744a62</errorID>
      <errorWord>有关的情况和</errorWord>
      <group>L1_Word</group>
      <groupName>字词问题</groupName>
      <ability>L2_Typo</ability>
      <abilityName>字词错误</abilityName>
      <candidateList>
        <item>有关情况和</item>
      </candidateList>
      <explain/>
      <paraID>  9B7CF6</paraID>
      <start>30</start>
      <end>36</end>
      <status>unmodified</status>
      <modifiedWord/>
      <trackRevisions>false</trackRevisions>
    </reviewItem>
    <reviewItem>
      <errorID>d59c3dde-ef1b-4b8d-925a-ef2380c42b9e</errorID>
      <errorWord>,</errorWord>
      <group>L1_Format</group>
      <groupName>格式问题</groupName>
      <ability>L2_HalfPunc_CN</ability>
      <abilityName>全半角问题</abilityName>
      <candidateList>
        <item>，</item>
      </candidateList>
      <explain>文本全半角错误。</explain>
      <paraID> 9A59196</paraID>
      <start>24</start>
      <end>25</end>
      <status>unmodified</status>
      <modifiedWord/>
      <trackRevisions>false</trackRevisions>
    </reviewItem>
    <reviewItem>
      <errorID>605f96c1-e110-413d-bb67-c8c306959372</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443005A4</paraID>
      <start>22</start>
      <end>27</end>
      <status>unmodified</status>
      <modifiedWord/>
      <trackRevisions>false</trackRevisions>
    </reviewItem>
    <reviewItem>
      <errorID>506f29fa-cc1c-475f-9fb0-5395354f82a2</errorID>
      <errorWord>第78条</errorWord>
      <group>L1_Knowledge</group>
      <groupName>知识性问题</groupName>
      <ability>L2_Knowledge</ability>
      <abilityName>其他知识</abilityName>
      <candidateList>
        <item>第七十八条</item>
      </candidateList>
      <explain>法律条目书写应使用汉字数字，不使用阿拉伯数字。</explain>
      <paraID>443005A4</paraID>
      <start>28</start>
      <end>32</end>
      <status>unmodified</status>
      <modifiedWord/>
      <trackRevisions>false</trackRevisions>
    </reviewItem>
    <reviewItem>
      <errorID>704490d3-fdaa-452f-9335-4f46e501e4a5</errorID>
      <errorWord>"</errorWord>
      <group>L1_Format</group>
      <groupName>格式问题</groupName>
      <ability>L2_HalfPunc_CN</ability>
      <abilityName>全半角问题</abilityName>
      <candidateList>
        <item>“</item>
      </candidateList>
      <explain>文本全半角错误。</explain>
      <paraID>5F075E70</paraID>
      <start>5</start>
      <end>6</end>
      <status>unmodified</status>
      <modifiedWord/>
      <trackRevisions>false</trackRevisions>
    </reviewItem>
    <reviewItem>
      <errorID>da8ef0e2-6358-4af1-911e-50991de8c142</errorID>
      <errorWord>"</errorWord>
      <group>L1_Format</group>
      <groupName>格式问题</groupName>
      <ability>L2_HalfPunc_CN</ability>
      <abilityName>全半角问题</abilityName>
      <candidateList>
        <item>”</item>
      </candidateList>
      <explain>文本全半角错误。</explain>
      <paraID>5F075E70</paraID>
      <start>12</start>
      <end>13</end>
      <status>unmodified</status>
      <modifiedWord/>
      <trackRevisions>false</trackRevisions>
    </reviewItem>
    <reviewItem>
      <errorID>e8540547-d7c3-4f11-b346-e07569e18d73</errorID>
      <errorWord>法律、法规</errorWord>
      <group>L1_Word</group>
      <groupName>字词问题</groupName>
      <ability>L2_Typo</ability>
      <abilityName>字词错误</abilityName>
      <candidateList>
        <item>法律法规</item>
      </candidateList>
      <explain/>
      <paraID>47E00A95</paraID>
      <start>8</start>
      <end>13</end>
      <status>unmodified</status>
      <modifiedWord/>
      <trackRevisions>false</trackRevisions>
    </reviewItem>
    <reviewItem>
      <errorID>46b7d990-f43b-421f-bcf5-0e94df2e3cbe</errorID>
      <errorWord>,</errorWord>
      <group>L1_Format</group>
      <groupName>格式问题</groupName>
      <ability>L2_HalfPunc_CN</ability>
      <abilityName>全半角问题</abilityName>
      <candidateList>
        <item>，</item>
      </candidateList>
      <explain>文本全半角错误。</explain>
      <paraID>6BED016A</paraID>
      <start>13</start>
      <end>14</end>
      <status>unmodified</status>
      <modifiedWord/>
      <trackRevisions>false</trackRevisions>
    </reviewItem>
    <reviewItem>
      <errorID>6635264e-a612-4d7c-a087-6a5cf549fe96</errorID>
      <errorWord>"</errorWord>
      <group>L1_Format</group>
      <groupName>格式问题</groupName>
      <ability>L2_HalfPunc_CN</ability>
      <abilityName>全半角问题</abilityName>
      <candidateList>
        <item>“</item>
      </candidateList>
      <explain>文本全半角错误。</explain>
      <paraID>6CDE21D5</paraID>
      <start>16</start>
      <end>17</end>
      <status>unmodified</status>
      <modifiedWord/>
      <trackRevisions>false</trackRevisions>
    </reviewItem>
    <reviewItem>
      <errorID>d2569a35-9750-492a-b2cc-c428bca8c4d0</errorID>
      <errorWord>"</errorWord>
      <group>L1_Format</group>
      <groupName>格式问题</groupName>
      <ability>L2_HalfPunc_CN</ability>
      <abilityName>全半角问题</abilityName>
      <candidateList>
        <item>”</item>
      </candidateList>
      <explain>文本全半角错误。</explain>
      <paraID>6CDE21D5</paraID>
      <start>20</start>
      <end>21</end>
      <status>unmodified</status>
      <modifiedWord/>
      <trackRevisions>false</trackRevisions>
    </reviewItem>
    <reviewItem>
      <errorID>422f386c-de55-42d6-8156-9312bcc67c6e</errorID>
      <errorWord>"</errorWord>
      <group>L1_Format</group>
      <groupName>格式问题</groupName>
      <ability>L2_HalfPunc_CN</ability>
      <abilityName>全半角问题</abilityName>
      <candidateList>
        <item>“</item>
      </candidateList>
      <explain>文本全半角错误。</explain>
      <paraID>2B601666</paraID>
      <start>14</start>
      <end>15</end>
      <status>unmodified</status>
      <modifiedWord/>
      <trackRevisions>false</trackRevisions>
    </reviewItem>
    <reviewItem>
      <errorID>890b0f15-c18d-4271-bd33-64e93ecc57da</errorID>
      <errorWord>"</errorWord>
      <group>L1_Format</group>
      <groupName>格式问题</groupName>
      <ability>L2_HalfPunc_CN</ability>
      <abilityName>全半角问题</abilityName>
      <candidateList>
        <item>”</item>
      </candidateList>
      <explain>文本全半角错误。</explain>
      <paraID>2B601666</paraID>
      <start>18</start>
      <end>19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B33DB6-F43D-45AE-A11D-6F619929B354}">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12966</Words>
  <Characters>13915</Characters>
  <Lines>1422</Lines>
  <Paragraphs>1349</Paragraphs>
  <TotalTime>38</TotalTime>
  <ScaleCrop>false</ScaleCrop>
  <LinksUpToDate>false</LinksUpToDate>
  <CharactersWithSpaces>14020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2026-09-09T07:11:00Z</dcterms:created>
  <dc:creator>Administrator</dc:creator>
  <cp:lastModifiedBy>NTKO</cp:lastModifiedBy>
  <cp:lastPrinted>2026-08-05T03:02:00Z</cp:lastPrinted>
  <dcterms:modified xsi:type="dcterms:W3CDTF">2026-10-21T07:10:38Z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4EE1B336E2D24E3397DFEDADCBB8FA74_13</vt:lpwstr>
  </property>
  <property fmtid="{D5CDD505-2E9C-101B-9397-08002B2CF9AE}" pid="4" name="KSOTemplateDocerSaveRecord">
    <vt:lpwstr>eyJoZGlkIjoiZTQ4OTM2MTIyODI3Njc5MTE5MDBiNjA4NzIzYTUzZmEiLCJ1c2VySWQiOiI3MDAwNjg2OTUifQ==</vt:lpwstr>
  </property>
</Properties>
</file>