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2DF4B">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52"/>
          <w:szCs w:val="52"/>
          <w:highlight w:val="none"/>
        </w:rPr>
      </w:pPr>
    </w:p>
    <w:p w14:paraId="4F6027FB">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52"/>
          <w:szCs w:val="52"/>
          <w:highlight w:val="none"/>
        </w:rPr>
      </w:pPr>
    </w:p>
    <w:p w14:paraId="08D20AE3">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52"/>
          <w:szCs w:val="52"/>
          <w:highlight w:val="none"/>
        </w:rPr>
      </w:pPr>
    </w:p>
    <w:p w14:paraId="1EE0D718">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52"/>
          <w:szCs w:val="52"/>
          <w:highlight w:val="none"/>
        </w:rPr>
      </w:pPr>
      <w:bookmarkStart w:id="0" w:name="_Hlk9544796"/>
      <w:r>
        <w:rPr>
          <w:rFonts w:hint="eastAsia" w:ascii="宋体" w:hAnsi="宋体" w:eastAsia="宋体" w:cs="宋体"/>
          <w:b/>
          <w:bCs/>
          <w:color w:val="auto"/>
          <w:sz w:val="52"/>
          <w:szCs w:val="52"/>
          <w:highlight w:val="none"/>
        </w:rPr>
        <w:t>安徽省政府采购项目</w:t>
      </w:r>
    </w:p>
    <w:p w14:paraId="3FB378AE">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公开招标文件示范文本</w:t>
      </w:r>
      <w:bookmarkEnd w:id="0"/>
      <w:r>
        <w:rPr>
          <w:rFonts w:hint="eastAsia" w:ascii="宋体" w:hAnsi="宋体" w:eastAsia="宋体" w:cs="宋体"/>
          <w:b/>
          <w:bCs/>
          <w:color w:val="auto"/>
          <w:sz w:val="52"/>
          <w:szCs w:val="52"/>
          <w:highlight w:val="none"/>
        </w:rPr>
        <w:t>（服务类）</w:t>
      </w:r>
    </w:p>
    <w:p w14:paraId="24461BCE">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（2024年版）</w:t>
      </w:r>
    </w:p>
    <w:p w14:paraId="68105534">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44"/>
          <w:szCs w:val="44"/>
          <w:highlight w:val="none"/>
        </w:rPr>
      </w:pPr>
    </w:p>
    <w:p w14:paraId="2B747A57">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44"/>
          <w:szCs w:val="44"/>
          <w:highlight w:val="none"/>
        </w:rPr>
      </w:pPr>
    </w:p>
    <w:p w14:paraId="3F5CE73F">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44"/>
          <w:szCs w:val="44"/>
          <w:highlight w:val="none"/>
        </w:rPr>
      </w:pPr>
    </w:p>
    <w:p w14:paraId="51C644CA">
      <w:pPr>
        <w:rPr>
          <w:rFonts w:ascii="宋体" w:hAnsi="宋体" w:eastAsia="宋体" w:cs="宋体"/>
          <w:color w:val="auto"/>
          <w:highlight w:val="none"/>
        </w:rPr>
      </w:pPr>
    </w:p>
    <w:p w14:paraId="68F1F9B0">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44"/>
          <w:szCs w:val="44"/>
          <w:highlight w:val="none"/>
        </w:rPr>
      </w:pPr>
    </w:p>
    <w:p w14:paraId="35EA32B8">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eastAsia="zh-CN"/>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20"/>
          <w:kern w:val="0"/>
          <w:sz w:val="32"/>
          <w:szCs w:val="32"/>
          <w:highlight w:val="none"/>
          <w:u w:val="single"/>
        </w:rPr>
        <w:t>2026-2028年度全国会计专业技术资格无纸化考试滁州考点服务</w:t>
      </w:r>
    </w:p>
    <w:p w14:paraId="5D63E9D0">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eastAsia="zh-CN"/>
        </w:rPr>
      </w:pPr>
      <w:r>
        <w:rPr>
          <w:rFonts w:hint="eastAsia" w:ascii="宋体" w:hAnsi="宋体" w:eastAsia="宋体" w:cs="宋体"/>
          <w:b/>
          <w:color w:val="auto"/>
          <w:spacing w:val="20"/>
          <w:kern w:val="0"/>
          <w:sz w:val="32"/>
          <w:szCs w:val="32"/>
          <w:highlight w:val="none"/>
        </w:rPr>
        <w:t>项目编号：</w:t>
      </w:r>
      <w:r>
        <w:rPr>
          <w:rFonts w:hint="eastAsia" w:ascii="宋体" w:hAnsi="宋体" w:eastAsia="宋体" w:cs="宋体"/>
          <w:b/>
          <w:color w:val="auto"/>
          <w:spacing w:val="20"/>
          <w:kern w:val="0"/>
          <w:sz w:val="32"/>
          <w:szCs w:val="32"/>
          <w:highlight w:val="none"/>
          <w:u w:val="single"/>
          <w:lang w:val="en-US" w:eastAsia="zh-CN"/>
        </w:rPr>
        <w:t>czsjcg202510-028</w:t>
      </w:r>
    </w:p>
    <w:p w14:paraId="79D602AA">
      <w:pPr>
        <w:tabs>
          <w:tab w:val="left" w:pos="2410"/>
        </w:tabs>
        <w:autoSpaceDE w:val="0"/>
        <w:autoSpaceDN w:val="0"/>
        <w:adjustRightInd w:val="0"/>
        <w:snapToGrid w:val="0"/>
        <w:spacing w:line="360" w:lineRule="auto"/>
        <w:ind w:firstLine="723" w:firstLineChars="200"/>
        <w:rPr>
          <w:rFonts w:ascii="宋体" w:hAnsi="宋体" w:eastAsia="宋体" w:cs="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rPr>
        <w:t>采 购 人：</w:t>
      </w:r>
      <w:r>
        <w:rPr>
          <w:rFonts w:hint="eastAsia" w:ascii="宋体" w:hAnsi="宋体" w:eastAsia="宋体" w:cs="宋体"/>
          <w:b/>
          <w:color w:val="auto"/>
          <w:spacing w:val="20"/>
          <w:kern w:val="0"/>
          <w:sz w:val="32"/>
          <w:szCs w:val="32"/>
          <w:highlight w:val="none"/>
          <w:u w:val="single"/>
          <w:lang w:val="en-US" w:eastAsia="zh-CN"/>
        </w:rPr>
        <w:t>滁州市财政局</w:t>
      </w:r>
    </w:p>
    <w:p w14:paraId="7FE85E40">
      <w:pPr>
        <w:tabs>
          <w:tab w:val="left" w:pos="2410"/>
        </w:tabs>
        <w:autoSpaceDE w:val="0"/>
        <w:autoSpaceDN w:val="0"/>
        <w:adjustRightInd w:val="0"/>
        <w:snapToGrid w:val="0"/>
        <w:spacing w:line="360" w:lineRule="auto"/>
        <w:ind w:firstLine="723" w:firstLineChars="200"/>
        <w:rPr>
          <w:rFonts w:ascii="宋体" w:hAnsi="宋体" w:eastAsia="宋体" w:cs="宋体"/>
          <w:b/>
          <w:color w:val="auto"/>
          <w:spacing w:val="20"/>
          <w:kern w:val="0"/>
          <w:sz w:val="32"/>
          <w:szCs w:val="32"/>
          <w:highlight w:val="none"/>
          <w:u w:val="single"/>
        </w:rPr>
      </w:pPr>
      <w:r>
        <w:rPr>
          <w:rFonts w:hint="eastAsia" w:ascii="宋体" w:hAnsi="宋体" w:eastAsia="宋体" w:cs="宋体"/>
          <w:b/>
          <w:color w:val="auto"/>
          <w:spacing w:val="20"/>
          <w:kern w:val="0"/>
          <w:sz w:val="32"/>
          <w:szCs w:val="32"/>
          <w:highlight w:val="none"/>
        </w:rPr>
        <w:t>采购代理机构：</w:t>
      </w:r>
      <w:r>
        <w:rPr>
          <w:rFonts w:hint="eastAsia" w:ascii="宋体" w:hAnsi="宋体" w:eastAsia="宋体"/>
          <w:b/>
          <w:color w:val="auto"/>
          <w:spacing w:val="0"/>
          <w:kern w:val="0"/>
          <w:sz w:val="32"/>
          <w:szCs w:val="32"/>
          <w:highlight w:val="none"/>
          <w:u w:val="single"/>
          <w:lang w:val="en-US" w:eastAsia="zh-CN"/>
        </w:rPr>
        <w:t>滁州市城投工程咨询管理有限公司</w:t>
      </w:r>
    </w:p>
    <w:p w14:paraId="036AC69C">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44"/>
          <w:szCs w:val="44"/>
          <w:highlight w:val="none"/>
        </w:rPr>
      </w:pPr>
    </w:p>
    <w:p w14:paraId="4F85F213">
      <w:pPr>
        <w:pStyle w:val="13"/>
        <w:rPr>
          <w:rFonts w:ascii="宋体" w:hAnsi="宋体" w:eastAsia="宋体" w:cs="宋体"/>
          <w:color w:val="auto"/>
          <w:highlight w:val="none"/>
        </w:rPr>
      </w:pPr>
    </w:p>
    <w:p w14:paraId="19B52817">
      <w:pPr>
        <w:tabs>
          <w:tab w:val="left" w:pos="2410"/>
        </w:tabs>
        <w:autoSpaceDE w:val="0"/>
        <w:autoSpaceDN w:val="0"/>
        <w:adjustRightInd w:val="0"/>
        <w:snapToGrid w:val="0"/>
        <w:spacing w:line="360" w:lineRule="auto"/>
        <w:jc w:val="center"/>
        <w:rPr>
          <w:rFonts w:ascii="宋体" w:hAnsi="宋体" w:eastAsia="宋体" w:cs="宋体"/>
          <w:b/>
          <w:color w:val="auto"/>
          <w:sz w:val="36"/>
          <w:highlight w:val="none"/>
        </w:rPr>
      </w:pPr>
      <w:r>
        <w:rPr>
          <w:rFonts w:hint="eastAsia" w:ascii="宋体" w:hAnsi="宋体" w:eastAsia="宋体" w:cs="宋体"/>
          <w:b/>
          <w:color w:val="auto"/>
          <w:sz w:val="36"/>
          <w:highlight w:val="none"/>
          <w:u w:val="single"/>
        </w:rPr>
        <w:t>2025</w:t>
      </w:r>
      <w:r>
        <w:rPr>
          <w:rFonts w:hint="eastAsia" w:ascii="宋体" w:hAnsi="宋体" w:eastAsia="宋体" w:cs="宋体"/>
          <w:b/>
          <w:color w:val="auto"/>
          <w:sz w:val="36"/>
          <w:highlight w:val="none"/>
        </w:rPr>
        <w:t>年</w:t>
      </w:r>
      <w:r>
        <w:rPr>
          <w:rFonts w:hint="eastAsia" w:ascii="宋体" w:hAnsi="宋体" w:eastAsia="宋体" w:cs="宋体"/>
          <w:b/>
          <w:color w:val="auto"/>
          <w:sz w:val="36"/>
          <w:highlight w:val="none"/>
          <w:u w:val="single"/>
          <w:lang w:val="en-US" w:eastAsia="zh-CN"/>
        </w:rPr>
        <w:t>10</w:t>
      </w:r>
      <w:r>
        <w:rPr>
          <w:rFonts w:hint="eastAsia" w:ascii="宋体" w:hAnsi="宋体" w:eastAsia="宋体" w:cs="宋体"/>
          <w:b/>
          <w:color w:val="auto"/>
          <w:sz w:val="36"/>
          <w:highlight w:val="none"/>
        </w:rPr>
        <w:t>月</w:t>
      </w:r>
      <w:r>
        <w:rPr>
          <w:rFonts w:hint="eastAsia" w:ascii="宋体" w:hAnsi="宋体" w:eastAsia="宋体" w:cs="宋体"/>
          <w:b/>
          <w:color w:val="auto"/>
          <w:sz w:val="36"/>
          <w:highlight w:val="none"/>
        </w:rPr>
        <w:br w:type="page"/>
      </w:r>
    </w:p>
    <w:p w14:paraId="48CACDEB">
      <w:pPr>
        <w:rPr>
          <w:rFonts w:ascii="宋体" w:hAnsi="宋体" w:eastAsia="宋体" w:cs="宋体"/>
          <w:b/>
          <w:color w:val="auto"/>
          <w:sz w:val="28"/>
          <w:highlight w:val="none"/>
        </w:rPr>
      </w:pPr>
    </w:p>
    <w:p w14:paraId="6F22A955">
      <w:pPr>
        <w:tabs>
          <w:tab w:val="left" w:pos="2410"/>
        </w:tabs>
        <w:autoSpaceDE w:val="0"/>
        <w:autoSpaceDN w:val="0"/>
        <w:adjustRightInd w:val="0"/>
        <w:snapToGrid w:val="0"/>
        <w:spacing w:line="600" w:lineRule="exact"/>
        <w:jc w:val="center"/>
        <w:rPr>
          <w:rFonts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04545085">
      <w:pPr>
        <w:pStyle w:val="21"/>
        <w:tabs>
          <w:tab w:val="right" w:leader="dot" w:pos="8306"/>
        </w:tabs>
        <w:spacing w:line="600" w:lineRule="exact"/>
        <w:jc w:val="center"/>
        <w:rPr>
          <w:rFonts w:ascii="宋体" w:hAnsi="宋体" w:eastAsia="宋体" w:cs="宋体"/>
          <w:color w:val="auto"/>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"1-2" \h \z \u </w:instrText>
      </w:r>
      <w:r>
        <w:rPr>
          <w:rFonts w:hint="eastAsia" w:ascii="宋体" w:hAnsi="宋体" w:eastAsia="宋体" w:cs="宋体"/>
          <w:b/>
          <w:color w:val="auto"/>
          <w:sz w:val="24"/>
          <w:szCs w:val="24"/>
          <w:highlight w:val="none"/>
        </w:rPr>
        <w:fldChar w:fldCharType="separate"/>
      </w:r>
      <w:r>
        <w:rPr>
          <w:color w:val="auto"/>
          <w:highlight w:val="none"/>
        </w:rPr>
        <w:fldChar w:fldCharType="begin"/>
      </w:r>
      <w:r>
        <w:rPr>
          <w:color w:val="auto"/>
          <w:highlight w:val="none"/>
        </w:rPr>
        <w:instrText xml:space="preserve"> HYPERLINK \l "_Toc32331" </w:instrText>
      </w:r>
      <w:r>
        <w:rPr>
          <w:color w:val="auto"/>
          <w:highlight w:val="none"/>
        </w:rPr>
        <w:fldChar w:fldCharType="separate"/>
      </w:r>
      <w:r>
        <w:rPr>
          <w:rFonts w:hint="eastAsia" w:ascii="宋体" w:hAnsi="宋体" w:eastAsia="宋体" w:cs="宋体"/>
          <w:color w:val="auto"/>
          <w:highlight w:val="none"/>
        </w:rPr>
        <w:t>第一章  投标邀请</w:t>
      </w:r>
      <w:r>
        <w:rPr>
          <w:rFonts w:hint="eastAsia" w:ascii="宋体" w:hAnsi="宋体" w:eastAsia="宋体" w:cs="宋体"/>
          <w:color w:val="auto"/>
          <w:highlight w:val="none"/>
        </w:rPr>
        <w:tab/>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p>
    <w:p w14:paraId="41FADD6A">
      <w:pPr>
        <w:pStyle w:val="21"/>
        <w:tabs>
          <w:tab w:val="right" w:leader="dot" w:pos="8306"/>
        </w:tabs>
        <w:spacing w:line="600" w:lineRule="exact"/>
        <w:jc w:val="center"/>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"_Toc8888" </w:instrText>
      </w:r>
      <w:r>
        <w:rPr>
          <w:color w:val="auto"/>
          <w:highlight w:val="none"/>
        </w:rPr>
        <w:fldChar w:fldCharType="separate"/>
      </w:r>
      <w:r>
        <w:rPr>
          <w:rFonts w:hint="eastAsia" w:ascii="宋体" w:hAnsi="宋体" w:eastAsia="宋体" w:cs="宋体"/>
          <w:color w:val="auto"/>
          <w:highlight w:val="none"/>
        </w:rPr>
        <w:t>第二章  投标人须知</w:t>
      </w:r>
      <w:r>
        <w:rPr>
          <w:rFonts w:hint="eastAsia" w:ascii="宋体" w:hAnsi="宋体" w:eastAsia="宋体" w:cs="宋体"/>
          <w:color w:val="auto"/>
          <w:highlight w:val="none"/>
        </w:rPr>
        <w:tab/>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p>
    <w:p w14:paraId="016381C2">
      <w:pPr>
        <w:pStyle w:val="21"/>
        <w:tabs>
          <w:tab w:val="right" w:leader="dot" w:pos="8306"/>
        </w:tabs>
        <w:spacing w:line="600" w:lineRule="exact"/>
        <w:jc w:val="center"/>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"_Toc22605" </w:instrText>
      </w:r>
      <w:r>
        <w:rPr>
          <w:color w:val="auto"/>
          <w:highlight w:val="none"/>
        </w:rPr>
        <w:fldChar w:fldCharType="separate"/>
      </w:r>
      <w:r>
        <w:rPr>
          <w:rFonts w:hint="eastAsia" w:ascii="宋体" w:hAnsi="宋体" w:eastAsia="宋体" w:cs="宋体"/>
          <w:color w:val="auto"/>
          <w:highlight w:val="none"/>
        </w:rPr>
        <w:t>第三章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_Toc22605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8B7A01B">
      <w:pPr>
        <w:pStyle w:val="21"/>
        <w:tabs>
          <w:tab w:val="right" w:leader="dot" w:pos="8306"/>
        </w:tabs>
        <w:spacing w:line="600" w:lineRule="exact"/>
        <w:jc w:val="center"/>
        <w:rPr>
          <w:rFonts w:hint="eastAsia" w:ascii="宋体" w:hAnsi="宋体" w:eastAsia="宋体" w:cs="宋体"/>
          <w:color w:val="auto"/>
          <w:highlight w:val="none"/>
          <w:lang w:eastAsia="zh-CN"/>
        </w:rPr>
      </w:pPr>
      <w:r>
        <w:rPr>
          <w:color w:val="auto"/>
          <w:highlight w:val="none"/>
        </w:rPr>
        <w:fldChar w:fldCharType="begin"/>
      </w:r>
      <w:r>
        <w:rPr>
          <w:color w:val="auto"/>
          <w:highlight w:val="none"/>
        </w:rPr>
        <w:instrText xml:space="preserve"> HYPERLINK \l "_Toc30824" </w:instrText>
      </w:r>
      <w:r>
        <w:rPr>
          <w:color w:val="auto"/>
          <w:highlight w:val="none"/>
        </w:rPr>
        <w:fldChar w:fldCharType="separate"/>
      </w:r>
      <w:r>
        <w:rPr>
          <w:rFonts w:hint="eastAsia" w:ascii="宋体" w:hAnsi="宋体" w:eastAsia="宋体" w:cs="宋体"/>
          <w:color w:val="auto"/>
          <w:highlight w:val="none"/>
        </w:rPr>
        <w:t>第四章  评标方法和标准（综合评分法）</w:t>
      </w:r>
      <w:r>
        <w:rPr>
          <w:rFonts w:hint="eastAsia" w:ascii="宋体" w:hAnsi="宋体" w:eastAsia="宋体" w:cs="宋体"/>
          <w:color w:val="auto"/>
          <w:highlight w:val="none"/>
        </w:rPr>
        <w:tab/>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highlight w:val="none"/>
          <w:lang w:val="en-US" w:eastAsia="zh-CN"/>
        </w:rPr>
        <w:t>2</w:t>
      </w:r>
    </w:p>
    <w:p w14:paraId="30053C19">
      <w:pPr>
        <w:pStyle w:val="21"/>
        <w:tabs>
          <w:tab w:val="right" w:leader="dot" w:pos="8306"/>
        </w:tabs>
        <w:spacing w:line="600" w:lineRule="exact"/>
        <w:jc w:val="center"/>
        <w:rPr>
          <w:rFonts w:hint="eastAsia" w:ascii="宋体" w:hAnsi="宋体" w:eastAsia="宋体" w:cs="宋体"/>
          <w:color w:val="auto"/>
          <w:szCs w:val="24"/>
          <w:highlight w:val="none"/>
          <w:lang w:eastAsia="zh-CN"/>
        </w:rPr>
      </w:pPr>
      <w:r>
        <w:rPr>
          <w:color w:val="auto"/>
          <w:highlight w:val="none"/>
        </w:rPr>
        <w:fldChar w:fldCharType="begin"/>
      </w:r>
      <w:r>
        <w:rPr>
          <w:color w:val="auto"/>
          <w:highlight w:val="none"/>
        </w:rPr>
        <w:instrText xml:space="preserve"> HYPERLINK \l "_Toc20405" </w:instrText>
      </w:r>
      <w:r>
        <w:rPr>
          <w:color w:val="auto"/>
          <w:highlight w:val="none"/>
        </w:rPr>
        <w:fldChar w:fldCharType="separate"/>
      </w:r>
      <w:r>
        <w:rPr>
          <w:rFonts w:hint="eastAsia" w:ascii="宋体" w:hAnsi="宋体" w:eastAsia="宋体" w:cs="宋体"/>
          <w:color w:val="auto"/>
          <w:highlight w:val="none"/>
        </w:rPr>
        <w:t>第五章  政府采购合同</w:t>
      </w:r>
      <w:r>
        <w:rPr>
          <w:rFonts w:hint="eastAsia" w:ascii="宋体" w:hAnsi="宋体" w:eastAsia="宋体" w:cs="宋体"/>
          <w:color w:val="auto"/>
          <w:highlight w:val="none"/>
        </w:rPr>
        <w:tab/>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color w:val="auto"/>
          <w:highlight w:val="none"/>
          <w:lang w:val="en-US" w:eastAsia="zh-CN"/>
        </w:rPr>
        <w:t>3</w:t>
      </w:r>
    </w:p>
    <w:p w14:paraId="1DFC2B94">
      <w:pPr>
        <w:pStyle w:val="21"/>
        <w:tabs>
          <w:tab w:val="right" w:leader="dot" w:pos="8306"/>
        </w:tabs>
        <w:spacing w:line="600" w:lineRule="exact"/>
        <w:jc w:val="center"/>
        <w:rPr>
          <w:rFonts w:hint="eastAsia" w:ascii="宋体" w:hAnsi="宋体" w:eastAsia="宋体" w:cs="宋体"/>
          <w:color w:val="auto"/>
          <w:szCs w:val="24"/>
          <w:highlight w:val="none"/>
          <w:lang w:val="en-US" w:eastAsia="zh-CN"/>
        </w:rPr>
      </w:pPr>
      <w:r>
        <w:rPr>
          <w:color w:val="auto"/>
          <w:highlight w:val="none"/>
        </w:rPr>
        <w:fldChar w:fldCharType="begin"/>
      </w:r>
      <w:r>
        <w:rPr>
          <w:color w:val="auto"/>
          <w:highlight w:val="none"/>
        </w:rPr>
        <w:instrText xml:space="preserve"> HYPERLINK \l "_Toc13555" </w:instrText>
      </w:r>
      <w:r>
        <w:rPr>
          <w:color w:val="auto"/>
          <w:highlight w:val="none"/>
        </w:rPr>
        <w:fldChar w:fldCharType="separate"/>
      </w:r>
      <w:r>
        <w:rPr>
          <w:rFonts w:hint="eastAsia" w:ascii="宋体" w:hAnsi="宋体" w:eastAsia="宋体" w:cs="宋体"/>
          <w:color w:val="auto"/>
          <w:highlight w:val="none"/>
        </w:rPr>
        <w:t>第六章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highlight w:val="none"/>
          <w:lang w:val="en-US" w:eastAsia="zh-CN"/>
        </w:rPr>
        <w:t>2</w:t>
      </w:r>
    </w:p>
    <w:p w14:paraId="6D2C5C9A">
      <w:pPr>
        <w:pStyle w:val="21"/>
        <w:tabs>
          <w:tab w:val="right" w:leader="dot" w:pos="8306"/>
        </w:tabs>
        <w:spacing w:line="600" w:lineRule="exact"/>
        <w:jc w:val="center"/>
        <w:rPr>
          <w:rFonts w:hint="default"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"_Toc20819" </w:instrText>
      </w:r>
      <w:r>
        <w:rPr>
          <w:color w:val="auto"/>
          <w:highlight w:val="none"/>
        </w:rPr>
        <w:fldChar w:fldCharType="separate"/>
      </w:r>
      <w:r>
        <w:rPr>
          <w:rFonts w:hint="eastAsia" w:ascii="宋体" w:hAnsi="宋体" w:eastAsia="宋体" w:cs="宋体"/>
          <w:color w:val="auto"/>
          <w:highlight w:val="none"/>
        </w:rPr>
        <w:t>第七章</w:t>
      </w:r>
      <w:r>
        <w:rPr>
          <w:rFonts w:hint="eastAsia" w:ascii="宋体" w:hAnsi="宋体" w:eastAsia="宋体" w:cs="宋体"/>
          <w:bCs/>
          <w:color w:val="auto"/>
          <w:highlight w:val="none"/>
        </w:rPr>
        <w:t xml:space="preserve">  政府采购</w:t>
      </w:r>
      <w:r>
        <w:rPr>
          <w:rFonts w:hint="eastAsia" w:ascii="宋体" w:hAnsi="宋体" w:eastAsia="宋体" w:cs="宋体"/>
          <w:color w:val="auto"/>
          <w:highlight w:val="none"/>
        </w:rPr>
        <w:t>供应</w:t>
      </w:r>
      <w:r>
        <w:rPr>
          <w:rFonts w:hint="eastAsia" w:ascii="宋体" w:hAnsi="宋体" w:eastAsia="宋体" w:cs="宋体"/>
          <w:bCs/>
          <w:color w:val="auto"/>
          <w:highlight w:val="none"/>
        </w:rPr>
        <w:t>商询问函和质疑函范本</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end"/>
      </w:r>
      <w:r>
        <w:rPr>
          <w:rFonts w:hint="eastAsia" w:ascii="宋体" w:hAnsi="宋体" w:eastAsia="宋体" w:cs="宋体"/>
          <w:color w:val="auto"/>
          <w:highlight w:val="none"/>
          <w:lang w:val="en-US" w:eastAsia="zh-CN"/>
        </w:rPr>
        <w:t>69</w:t>
      </w:r>
    </w:p>
    <w:p w14:paraId="0E7270DC">
      <w:pPr>
        <w:spacing w:line="600" w:lineRule="exact"/>
        <w:jc w:val="center"/>
        <w:rPr>
          <w:rFonts w:ascii="宋体" w:hAnsi="宋体" w:eastAsia="宋体" w:cs="宋体"/>
          <w:b/>
          <w:color w:val="auto"/>
          <w:sz w:val="32"/>
          <w:highlight w:val="none"/>
        </w:rPr>
      </w:pPr>
      <w:r>
        <w:rPr>
          <w:rFonts w:hint="eastAsia" w:ascii="宋体" w:hAnsi="宋体" w:eastAsia="宋体" w:cs="宋体"/>
          <w:color w:val="auto"/>
          <w:szCs w:val="24"/>
          <w:highlight w:val="none"/>
        </w:rPr>
        <w:fldChar w:fldCharType="end"/>
      </w:r>
    </w:p>
    <w:p w14:paraId="58351762">
      <w:pPr>
        <w:spacing w:line="360" w:lineRule="auto"/>
        <w:rPr>
          <w:rFonts w:ascii="宋体" w:hAnsi="宋体" w:eastAsia="宋体" w:cs="宋体"/>
          <w:b/>
          <w:color w:val="auto"/>
          <w:sz w:val="32"/>
          <w:highlight w:val="none"/>
        </w:rPr>
      </w:pPr>
    </w:p>
    <w:p w14:paraId="50EDC96E">
      <w:pPr>
        <w:spacing w:line="360" w:lineRule="auto"/>
        <w:jc w:val="center"/>
        <w:outlineLvl w:val="1"/>
        <w:rPr>
          <w:rFonts w:ascii="宋体" w:hAnsi="宋体" w:eastAsia="宋体" w:cs="宋体"/>
          <w:b/>
          <w:color w:val="auto"/>
          <w:sz w:val="28"/>
          <w:highlight w:val="none"/>
        </w:rPr>
        <w:sectPr>
          <w:headerReference r:id="rId3" w:type="default"/>
          <w:footerReference r:id="rId4" w:type="default"/>
          <w:pgSz w:w="11906" w:h="16838"/>
          <w:pgMar w:top="1440" w:right="1417" w:bottom="1440" w:left="1417" w:header="851" w:footer="992" w:gutter="0"/>
          <w:cols w:space="0" w:num="1"/>
          <w:rtlGutter w:val="0"/>
          <w:docGrid w:type="lines" w:linePitch="312" w:charSpace="0"/>
        </w:sectPr>
      </w:pPr>
    </w:p>
    <w:p w14:paraId="7B99FFAE">
      <w:pPr>
        <w:spacing w:line="420" w:lineRule="exact"/>
        <w:jc w:val="center"/>
        <w:outlineLvl w:val="0"/>
        <w:rPr>
          <w:rFonts w:ascii="宋体" w:hAnsi="宋体" w:eastAsia="宋体" w:cs="宋体"/>
          <w:b/>
          <w:color w:val="auto"/>
          <w:sz w:val="28"/>
          <w:highlight w:val="none"/>
        </w:rPr>
      </w:pPr>
      <w:bookmarkStart w:id="1" w:name="_Toc32331"/>
      <w:r>
        <w:rPr>
          <w:rFonts w:hint="eastAsia" w:ascii="宋体" w:hAnsi="宋体" w:eastAsia="宋体" w:cs="宋体"/>
          <w:b/>
          <w:color w:val="auto"/>
          <w:sz w:val="28"/>
          <w:highlight w:val="none"/>
        </w:rPr>
        <w:t>第一章  投标邀请</w:t>
      </w:r>
      <w:bookmarkEnd w:id="1"/>
    </w:p>
    <w:p w14:paraId="7D52243A">
      <w:pPr>
        <w:spacing w:line="420" w:lineRule="exact"/>
        <w:ind w:firstLine="435"/>
        <w:rPr>
          <w:rFonts w:ascii="宋体" w:hAnsi="宋体" w:eastAsia="宋体" w:cs="宋体"/>
          <w:color w:val="auto"/>
          <w:sz w:val="24"/>
          <w:highlight w:val="none"/>
        </w:rPr>
      </w:pPr>
      <w:bookmarkStart w:id="2" w:name="_Toc1381"/>
      <w:bookmarkStart w:id="3" w:name="_Toc31518"/>
      <w:r>
        <w:rPr>
          <w:rFonts w:hint="eastAsia" w:ascii="宋体" w:hAnsi="宋体" w:eastAsia="宋体" w:cs="宋体"/>
          <w:color w:val="auto"/>
          <w:sz w:val="24"/>
          <w:highlight w:val="none"/>
        </w:rPr>
        <w:t>项目概况</w:t>
      </w:r>
    </w:p>
    <w:p w14:paraId="3EFAB3AD">
      <w:pPr>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u w:val="single"/>
        </w:rPr>
        <w:t>2026-2028年度全国会计专业技术资格无纸化考试滁州考点服务</w:t>
      </w:r>
      <w:r>
        <w:rPr>
          <w:rFonts w:hint="eastAsia" w:ascii="宋体" w:hAnsi="宋体" w:eastAsia="宋体" w:cs="宋体"/>
          <w:color w:val="auto"/>
          <w:sz w:val="24"/>
          <w:highlight w:val="none"/>
        </w:rPr>
        <w:t>的潜在投标人应在滁州市公共资源交易中心网（http://ggzy.chuzhou.gov.cn/）获取招标文件，并于2025年</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日8点00分（北京时间）前递交投标文件。</w:t>
      </w:r>
    </w:p>
    <w:p w14:paraId="1B849EA7">
      <w:pPr>
        <w:spacing w:line="420" w:lineRule="exact"/>
        <w:ind w:firstLine="437"/>
        <w:outlineLvl w:val="1"/>
        <w:rPr>
          <w:rFonts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一、</w:t>
      </w:r>
      <w:bookmarkEnd w:id="2"/>
      <w:r>
        <w:rPr>
          <w:rFonts w:hint="eastAsia" w:ascii="宋体" w:hAnsi="宋体" w:eastAsia="宋体" w:cs="宋体"/>
          <w:b/>
          <w:bCs/>
          <w:color w:val="auto"/>
          <w:sz w:val="24"/>
          <w:szCs w:val="18"/>
          <w:highlight w:val="none"/>
        </w:rPr>
        <w:t>项目基本情况</w:t>
      </w:r>
      <w:bookmarkEnd w:id="3"/>
    </w:p>
    <w:p w14:paraId="7710990D">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lang w:val="en-US" w:eastAsia="zh-CN"/>
        </w:rPr>
        <w:t xml:space="preserve">czsjcg202510-028 </w:t>
      </w:r>
      <w:r>
        <w:rPr>
          <w:rFonts w:hint="eastAsia" w:ascii="宋体" w:hAnsi="宋体" w:eastAsia="宋体" w:cs="宋体"/>
          <w:color w:val="auto"/>
          <w:sz w:val="24"/>
          <w:highlight w:val="none"/>
        </w:rPr>
        <w:t xml:space="preserve">  </w:t>
      </w:r>
    </w:p>
    <w:p w14:paraId="137A30E5">
      <w:pPr>
        <w:spacing w:line="420" w:lineRule="exact"/>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项目名称：2026-2028年度全国会计专业技术资格无纸化考试滁州考点服务</w:t>
      </w:r>
    </w:p>
    <w:p w14:paraId="5CA73B59">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预算金额：每年</w:t>
      </w:r>
      <w:r>
        <w:rPr>
          <w:rFonts w:hint="eastAsia" w:ascii="宋体" w:hAnsi="宋体" w:eastAsia="宋体" w:cs="宋体"/>
          <w:color w:val="auto"/>
          <w:sz w:val="24"/>
          <w:highlight w:val="none"/>
          <w:lang w:val="en-US" w:eastAsia="zh-CN"/>
        </w:rPr>
        <w:t>100</w:t>
      </w:r>
      <w:r>
        <w:rPr>
          <w:rFonts w:hint="eastAsia" w:ascii="宋体" w:hAnsi="宋体" w:eastAsia="宋体" w:cs="宋体"/>
          <w:color w:val="auto"/>
          <w:sz w:val="24"/>
          <w:highlight w:val="none"/>
        </w:rPr>
        <w:t>万元；三年</w:t>
      </w:r>
      <w:r>
        <w:rPr>
          <w:rFonts w:hint="eastAsia" w:ascii="宋体" w:hAnsi="宋体" w:eastAsia="宋体" w:cs="宋体"/>
          <w:color w:val="auto"/>
          <w:sz w:val="24"/>
          <w:highlight w:val="none"/>
          <w:lang w:val="en-US" w:eastAsia="zh-CN"/>
        </w:rPr>
        <w:t>300</w:t>
      </w:r>
      <w:r>
        <w:rPr>
          <w:rFonts w:hint="eastAsia" w:ascii="宋体" w:hAnsi="宋体" w:eastAsia="宋体" w:cs="宋体"/>
          <w:color w:val="auto"/>
          <w:sz w:val="24"/>
          <w:highlight w:val="none"/>
        </w:rPr>
        <w:t>万元；</w:t>
      </w:r>
    </w:p>
    <w:p w14:paraId="09CA2139">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最高限价：按每场（批）次</w:t>
      </w:r>
      <w:r>
        <w:rPr>
          <w:rFonts w:hint="eastAsia" w:ascii="宋体" w:hAnsi="宋体" w:eastAsia="宋体" w:cs="宋体"/>
          <w:color w:val="auto"/>
          <w:sz w:val="24"/>
          <w:highlight w:val="none"/>
          <w:lang w:val="en-US" w:eastAsia="zh-CN"/>
        </w:rPr>
        <w:t>最高限价</w:t>
      </w:r>
      <w:r>
        <w:rPr>
          <w:rFonts w:hint="eastAsia" w:ascii="宋体" w:hAnsi="宋体" w:eastAsia="宋体" w:cs="宋体"/>
          <w:color w:val="auto"/>
          <w:sz w:val="24"/>
          <w:highlight w:val="none"/>
        </w:rPr>
        <w:t>40元/考生(</w:t>
      </w:r>
      <w:r>
        <w:rPr>
          <w:rFonts w:hint="eastAsia" w:ascii="宋体" w:hAnsi="宋体" w:eastAsia="宋体" w:cs="宋体"/>
          <w:color w:val="auto"/>
          <w:sz w:val="24"/>
          <w:highlight w:val="none"/>
          <w:lang w:eastAsia="zh-CN"/>
        </w:rPr>
        <w:t>科目次）</w:t>
      </w:r>
      <w:r>
        <w:rPr>
          <w:rFonts w:hint="eastAsia" w:ascii="宋体" w:hAnsi="宋体" w:eastAsia="宋体" w:cs="宋体"/>
          <w:color w:val="auto"/>
          <w:sz w:val="24"/>
          <w:highlight w:val="none"/>
        </w:rPr>
        <w:t>。投标报价不得高于最高限价，否则按无效标处理。</w:t>
      </w:r>
    </w:p>
    <w:p w14:paraId="7EBE16C3">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采购需求：全国会计专业技术资格无纸化考试滁州考点服务</w:t>
      </w:r>
      <w:r>
        <w:rPr>
          <w:rFonts w:hint="eastAsia" w:ascii="宋体" w:hAnsi="宋体" w:eastAsia="宋体" w:cs="宋体"/>
          <w:color w:val="auto"/>
          <w:sz w:val="24"/>
          <w:highlight w:val="none"/>
          <w:lang w:val="en-US" w:eastAsia="zh-CN"/>
        </w:rPr>
        <w:t>。</w:t>
      </w:r>
    </w:p>
    <w:p w14:paraId="2321C161">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合同履行期限：服务期三年，合同一年一签。</w:t>
      </w:r>
    </w:p>
    <w:p w14:paraId="5D0FA6B8">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本项目不接受联合体投标。</w:t>
      </w:r>
    </w:p>
    <w:p w14:paraId="7017FBD0">
      <w:pPr>
        <w:spacing w:line="420" w:lineRule="exact"/>
        <w:ind w:firstLine="437"/>
        <w:outlineLvl w:val="1"/>
        <w:rPr>
          <w:rFonts w:ascii="宋体" w:hAnsi="宋体" w:eastAsia="宋体" w:cs="宋体"/>
          <w:b/>
          <w:bCs/>
          <w:color w:val="auto"/>
          <w:sz w:val="24"/>
          <w:szCs w:val="18"/>
          <w:highlight w:val="none"/>
        </w:rPr>
      </w:pPr>
      <w:bookmarkStart w:id="4" w:name="_Toc13530"/>
      <w:bookmarkStart w:id="5" w:name="_Toc9204"/>
      <w:r>
        <w:rPr>
          <w:rFonts w:hint="eastAsia" w:ascii="宋体" w:hAnsi="宋体" w:eastAsia="宋体" w:cs="宋体"/>
          <w:b/>
          <w:bCs/>
          <w:color w:val="auto"/>
          <w:sz w:val="24"/>
          <w:szCs w:val="18"/>
          <w:highlight w:val="none"/>
        </w:rPr>
        <w:t>二、</w:t>
      </w:r>
      <w:bookmarkEnd w:id="4"/>
      <w:r>
        <w:rPr>
          <w:rFonts w:hint="eastAsia" w:ascii="宋体" w:hAnsi="宋体" w:eastAsia="宋体" w:cs="宋体"/>
          <w:b/>
          <w:bCs/>
          <w:color w:val="auto"/>
          <w:sz w:val="24"/>
          <w:szCs w:val="18"/>
          <w:highlight w:val="none"/>
        </w:rPr>
        <w:t>申请人的资格要求</w:t>
      </w:r>
      <w:bookmarkEnd w:id="5"/>
    </w:p>
    <w:p w14:paraId="1BD14F6C">
      <w:pPr>
        <w:spacing w:line="420" w:lineRule="exact"/>
        <w:ind w:firstLine="435"/>
        <w:rPr>
          <w:rFonts w:ascii="宋体" w:hAnsi="宋体" w:eastAsia="宋体" w:cs="宋体"/>
          <w:color w:val="auto"/>
          <w:sz w:val="24"/>
          <w:highlight w:val="none"/>
        </w:rPr>
      </w:pPr>
      <w:bookmarkStart w:id="6" w:name="_Toc30110"/>
      <w:r>
        <w:rPr>
          <w:rFonts w:hint="eastAsia" w:ascii="宋体" w:hAnsi="宋体" w:eastAsia="宋体" w:cs="宋体"/>
          <w:color w:val="auto"/>
          <w:sz w:val="24"/>
          <w:highlight w:val="none"/>
        </w:rPr>
        <w:t>1.满足《中华人民共和国政府采购法》第二十二条规定；</w:t>
      </w:r>
    </w:p>
    <w:p w14:paraId="720F2C53">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2.落实政府采购政策需满足的资格要求：</w:t>
      </w:r>
      <w:r>
        <w:rPr>
          <w:rFonts w:hint="eastAsia" w:ascii="宋体" w:hAnsi="宋体" w:eastAsia="宋体" w:cs="宋体"/>
          <w:color w:val="auto"/>
          <w:sz w:val="24"/>
          <w:highlight w:val="none"/>
          <w:lang w:val="en-US" w:eastAsia="zh-CN"/>
        </w:rPr>
        <w:t>本项目符合财政部、工业和信息化部制定的《政府采购促进中小企业发展管理办法》第六条第三款（按照本办法规定预留采购份额无法确保充分供应、充分竞争，或者存在可能影响政府采购目标实现的情形）之规定，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r>
        <w:rPr>
          <w:rFonts w:hint="eastAsia" w:ascii="宋体" w:hAnsi="宋体" w:eastAsia="宋体" w:cs="宋体"/>
          <w:color w:val="auto"/>
          <w:sz w:val="24"/>
          <w:highlight w:val="none"/>
        </w:rPr>
        <w:t>；</w:t>
      </w:r>
    </w:p>
    <w:p w14:paraId="4F06AE4B">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3.本项目的特定资格要求：/。</w:t>
      </w:r>
    </w:p>
    <w:p w14:paraId="0A5CFA9A">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4.信誉要求：投标人不得存在以下情形：</w:t>
      </w:r>
    </w:p>
    <w:p w14:paraId="478ECF8D">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①被列入“信用中国”网站“失信被执行人”的；</w:t>
      </w:r>
    </w:p>
    <w:p w14:paraId="70A3BCB8">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②被列入“信用中国”网站“重大税收违法失信主体”的；</w:t>
      </w:r>
    </w:p>
    <w:p w14:paraId="2C28BE2F">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③被列入“信用中国”网站 “严重失信主体名单”的；</w:t>
      </w:r>
    </w:p>
    <w:p w14:paraId="53D9239B">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④在“信用中国”网站上披露的仍在公示期的严重失信行为(具体行为类别及判定依据见“信用中国”查询的严重失信行为类别及判定依据)的；</w:t>
      </w:r>
    </w:p>
    <w:p w14:paraId="5A9E7E63">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⑤被列入国家企业信用信息公示系统网站“经营异常名录”或者“严重违法失信名单”的。</w:t>
      </w:r>
    </w:p>
    <w:p w14:paraId="3361FA2F">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⑥被列入中国政府采购网站“政府采购严重违法失信行为信息记录”的；</w:t>
      </w:r>
    </w:p>
    <w:p w14:paraId="22B3A0CA">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⑦前三年有行贿犯罪行为的单位和个人。</w:t>
      </w:r>
    </w:p>
    <w:p w14:paraId="5040C425">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5.投标人所属分公司、办事处等分支机构存在第4条信誉要求①-⑦项情形之一的，接受投标人参加本项目。</w:t>
      </w:r>
    </w:p>
    <w:p w14:paraId="12C1F598">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备注：第4、5条按照“关于联合惩戒失信行为加强信用查询管理的通知”查询或承诺。</w:t>
      </w:r>
    </w:p>
    <w:p w14:paraId="65214D00">
      <w:pPr>
        <w:spacing w:line="420" w:lineRule="exact"/>
        <w:ind w:firstLine="437"/>
        <w:outlineLvl w:val="1"/>
        <w:rPr>
          <w:rFonts w:ascii="宋体" w:hAnsi="宋体" w:eastAsia="宋体" w:cs="宋体"/>
          <w:b/>
          <w:bCs/>
          <w:color w:val="auto"/>
          <w:sz w:val="24"/>
          <w:szCs w:val="18"/>
          <w:highlight w:val="none"/>
        </w:rPr>
      </w:pPr>
      <w:bookmarkStart w:id="7" w:name="_Toc21681"/>
      <w:r>
        <w:rPr>
          <w:rFonts w:hint="eastAsia" w:ascii="宋体" w:hAnsi="宋体" w:eastAsia="宋体" w:cs="宋体"/>
          <w:b/>
          <w:bCs/>
          <w:color w:val="auto"/>
          <w:sz w:val="24"/>
          <w:szCs w:val="18"/>
          <w:highlight w:val="none"/>
        </w:rPr>
        <w:t>三、</w:t>
      </w:r>
      <w:bookmarkEnd w:id="6"/>
      <w:r>
        <w:rPr>
          <w:rFonts w:hint="eastAsia" w:ascii="宋体" w:hAnsi="宋体" w:eastAsia="宋体" w:cs="宋体"/>
          <w:b/>
          <w:bCs/>
          <w:color w:val="auto"/>
          <w:sz w:val="24"/>
          <w:szCs w:val="18"/>
          <w:highlight w:val="none"/>
        </w:rPr>
        <w:t>获取招标文件</w:t>
      </w:r>
      <w:bookmarkEnd w:id="7"/>
    </w:p>
    <w:p w14:paraId="64AFA2B5">
      <w:pPr>
        <w:spacing w:line="420" w:lineRule="exact"/>
        <w:ind w:firstLine="480" w:firstLineChars="200"/>
        <w:rPr>
          <w:rFonts w:ascii="宋体" w:hAnsi="宋体" w:eastAsia="宋体" w:cs="宋体"/>
          <w:i/>
          <w:iCs/>
          <w:color w:val="auto"/>
          <w:sz w:val="24"/>
          <w:szCs w:val="24"/>
          <w:highlight w:val="none"/>
        </w:rPr>
      </w:pPr>
      <w:bookmarkStart w:id="8" w:name="_Toc7957"/>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23</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13</w:t>
      </w:r>
      <w:r>
        <w:rPr>
          <w:rFonts w:hint="eastAsia" w:ascii="宋体" w:hAnsi="宋体" w:eastAsia="宋体" w:cs="宋体"/>
          <w:color w:val="auto"/>
          <w:sz w:val="24"/>
          <w:szCs w:val="24"/>
          <w:highlight w:val="none"/>
          <w:u w:val="none"/>
          <w:lang w:val="en-US" w:eastAsia="zh-CN"/>
        </w:rPr>
        <w:t>日</w:t>
      </w:r>
      <w:r>
        <w:rPr>
          <w:rFonts w:hint="eastAsia" w:ascii="宋体" w:hAnsi="宋体" w:eastAsia="宋体" w:cs="宋体"/>
          <w:iCs/>
          <w:color w:val="auto"/>
          <w:sz w:val="24"/>
          <w:szCs w:val="24"/>
          <w:highlight w:val="none"/>
        </w:rPr>
        <w:t>（</w:t>
      </w:r>
      <w:r>
        <w:rPr>
          <w:rFonts w:hint="eastAsia" w:ascii="宋体" w:hAnsi="宋体" w:eastAsia="宋体" w:cs="宋体"/>
          <w:i/>
          <w:color w:val="auto"/>
          <w:sz w:val="24"/>
          <w:szCs w:val="24"/>
          <w:highlight w:val="none"/>
        </w:rPr>
        <w:t>提供期限自本公告发布之日起不得少于5个工作日</w:t>
      </w:r>
      <w:r>
        <w:rPr>
          <w:rFonts w:hint="eastAsia" w:ascii="宋体" w:hAnsi="宋体" w:eastAsia="宋体" w:cs="宋体"/>
          <w:iCs/>
          <w:color w:val="auto"/>
          <w:sz w:val="24"/>
          <w:szCs w:val="24"/>
          <w:highlight w:val="none"/>
        </w:rPr>
        <w:t>）</w:t>
      </w:r>
    </w:p>
    <w:p w14:paraId="61AAAFC1">
      <w:pPr>
        <w:spacing w:line="420" w:lineRule="exact"/>
        <w:ind w:firstLine="480" w:firstLineChars="200"/>
        <w:rPr>
          <w:rFonts w:ascii="宋体" w:hAnsi="宋体" w:eastAsia="宋体" w:cs="宋体"/>
          <w:color w:val="auto"/>
          <w:sz w:val="24"/>
          <w:szCs w:val="18"/>
          <w:highlight w:val="none"/>
          <w:u w:val="singl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18"/>
          <w:highlight w:val="none"/>
          <w:u w:val="single"/>
        </w:rPr>
        <w:t>滁州市公共资源交易中心网</w:t>
      </w:r>
    </w:p>
    <w:p w14:paraId="0D78A7AF">
      <w:pPr>
        <w:spacing w:line="420" w:lineRule="exact"/>
        <w:ind w:firstLine="480" w:firstLineChars="200"/>
        <w:rPr>
          <w:rFonts w:ascii="宋体" w:hAnsi="宋体" w:eastAsia="宋体" w:cs="宋体"/>
          <w:color w:val="auto"/>
          <w:sz w:val="24"/>
          <w:szCs w:val="18"/>
          <w:highlight w:val="none"/>
          <w:u w:val="single"/>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18"/>
          <w:highlight w:val="none"/>
          <w:u w:val="single"/>
        </w:rPr>
        <w:t>网上下载</w:t>
      </w:r>
    </w:p>
    <w:p w14:paraId="7EBACA0B">
      <w:pPr>
        <w:spacing w:line="420" w:lineRule="exact"/>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18"/>
          <w:highlight w:val="none"/>
        </w:rPr>
        <w:t>售价：</w:t>
      </w:r>
      <w:r>
        <w:rPr>
          <w:rFonts w:hint="eastAsia" w:ascii="宋体" w:hAnsi="宋体" w:eastAsia="宋体" w:cs="宋体"/>
          <w:color w:val="auto"/>
          <w:sz w:val="24"/>
          <w:szCs w:val="18"/>
          <w:highlight w:val="none"/>
          <w:u w:val="single"/>
        </w:rPr>
        <w:t>0元</w:t>
      </w:r>
    </w:p>
    <w:p w14:paraId="2CBB25E0">
      <w:pPr>
        <w:spacing w:line="420" w:lineRule="exact"/>
        <w:ind w:firstLine="437"/>
        <w:outlineLvl w:val="1"/>
        <w:rPr>
          <w:rFonts w:ascii="宋体" w:hAnsi="宋体" w:eastAsia="宋体" w:cs="宋体"/>
          <w:b/>
          <w:bCs/>
          <w:color w:val="auto"/>
          <w:sz w:val="24"/>
          <w:szCs w:val="18"/>
          <w:highlight w:val="none"/>
        </w:rPr>
      </w:pPr>
      <w:bookmarkStart w:id="9" w:name="_Toc25902"/>
      <w:r>
        <w:rPr>
          <w:rFonts w:hint="eastAsia" w:ascii="宋体" w:hAnsi="宋体" w:eastAsia="宋体" w:cs="宋体"/>
          <w:b/>
          <w:bCs/>
          <w:color w:val="auto"/>
          <w:sz w:val="24"/>
          <w:szCs w:val="18"/>
          <w:highlight w:val="none"/>
        </w:rPr>
        <w:t>四、</w:t>
      </w:r>
      <w:bookmarkEnd w:id="8"/>
      <w:r>
        <w:rPr>
          <w:rFonts w:hint="eastAsia" w:ascii="宋体" w:hAnsi="宋体" w:eastAsia="宋体" w:cs="宋体"/>
          <w:b/>
          <w:bCs/>
          <w:color w:val="auto"/>
          <w:sz w:val="24"/>
          <w:szCs w:val="18"/>
          <w:highlight w:val="none"/>
        </w:rPr>
        <w:t>提交投标文件截止时间、开标时间和地点</w:t>
      </w:r>
      <w:bookmarkEnd w:id="9"/>
    </w:p>
    <w:p w14:paraId="3684CC5A">
      <w:pPr>
        <w:spacing w:line="420" w:lineRule="exact"/>
        <w:ind w:firstLine="480" w:firstLineChars="200"/>
        <w:rPr>
          <w:rFonts w:ascii="宋体" w:hAnsi="宋体" w:eastAsia="宋体" w:cs="宋体"/>
          <w:bCs/>
          <w:color w:val="auto"/>
          <w:sz w:val="24"/>
          <w:szCs w:val="24"/>
          <w:highlight w:val="none"/>
        </w:rPr>
      </w:pPr>
      <w:bookmarkStart w:id="10" w:name="_Toc5082"/>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13</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u w:val="single"/>
        </w:rPr>
        <w:t>8</w:t>
      </w:r>
      <w:r>
        <w:rPr>
          <w:rFonts w:hint="eastAsia" w:ascii="宋体" w:hAnsi="宋体" w:eastAsia="宋体" w:cs="宋体"/>
          <w:bCs/>
          <w:color w:val="auto"/>
          <w:sz w:val="24"/>
          <w:szCs w:val="24"/>
          <w:highlight w:val="none"/>
        </w:rPr>
        <w:t>点</w:t>
      </w:r>
      <w:r>
        <w:rPr>
          <w:rFonts w:hint="eastAsia" w:ascii="宋体" w:hAnsi="宋体" w:eastAsia="宋体" w:cs="宋体"/>
          <w:bCs/>
          <w:color w:val="auto"/>
          <w:sz w:val="24"/>
          <w:szCs w:val="24"/>
          <w:highlight w:val="none"/>
          <w:u w:val="single"/>
        </w:rPr>
        <w:t>00</w:t>
      </w:r>
      <w:r>
        <w:rPr>
          <w:rFonts w:hint="eastAsia" w:ascii="宋体" w:hAnsi="宋体" w:eastAsia="宋体" w:cs="宋体"/>
          <w:bCs/>
          <w:color w:val="auto"/>
          <w:sz w:val="24"/>
          <w:szCs w:val="24"/>
          <w:highlight w:val="none"/>
        </w:rPr>
        <w:t>分</w:t>
      </w:r>
      <w:r>
        <w:rPr>
          <w:rFonts w:hint="eastAsia" w:ascii="宋体" w:hAnsi="宋体" w:eastAsia="宋体" w:cs="宋体"/>
          <w:bCs/>
          <w:i/>
          <w:iCs/>
          <w:color w:val="auto"/>
          <w:sz w:val="24"/>
          <w:szCs w:val="24"/>
          <w:highlight w:val="none"/>
        </w:rPr>
        <w:t>（北京时间）</w:t>
      </w:r>
      <w:r>
        <w:rPr>
          <w:rFonts w:hint="eastAsia" w:ascii="宋体" w:hAnsi="宋体" w:eastAsia="宋体" w:cs="宋体"/>
          <w:i/>
          <w:iCs/>
          <w:color w:val="auto"/>
          <w:sz w:val="24"/>
          <w:szCs w:val="24"/>
          <w:highlight w:val="none"/>
        </w:rPr>
        <w:t>（</w:t>
      </w:r>
      <w:r>
        <w:rPr>
          <w:rFonts w:hint="eastAsia" w:ascii="宋体" w:hAnsi="宋体" w:eastAsia="宋体" w:cs="宋体"/>
          <w:i/>
          <w:color w:val="auto"/>
          <w:sz w:val="24"/>
          <w:szCs w:val="24"/>
          <w:highlight w:val="none"/>
        </w:rPr>
        <w:t>自招标文件开始发出之日起至投标人提交投标文件截止之日止，不得少于20日</w:t>
      </w:r>
      <w:r>
        <w:rPr>
          <w:rFonts w:hint="eastAsia" w:ascii="宋体" w:hAnsi="宋体" w:eastAsia="宋体" w:cs="宋体"/>
          <w:iCs/>
          <w:color w:val="auto"/>
          <w:sz w:val="24"/>
          <w:szCs w:val="24"/>
          <w:highlight w:val="none"/>
        </w:rPr>
        <w:t>）</w:t>
      </w:r>
    </w:p>
    <w:p w14:paraId="613D7F69">
      <w:pPr>
        <w:spacing w:line="42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滁州市公共资源交易平台电子交易系统</w:t>
      </w:r>
    </w:p>
    <w:p w14:paraId="61350F6B">
      <w:pPr>
        <w:spacing w:line="420" w:lineRule="exact"/>
        <w:ind w:firstLine="437"/>
        <w:outlineLvl w:val="1"/>
        <w:rPr>
          <w:rFonts w:ascii="宋体" w:hAnsi="宋体" w:eastAsia="宋体" w:cs="宋体"/>
          <w:b/>
          <w:bCs/>
          <w:color w:val="auto"/>
          <w:sz w:val="24"/>
          <w:szCs w:val="18"/>
          <w:highlight w:val="none"/>
        </w:rPr>
      </w:pPr>
      <w:bookmarkStart w:id="11" w:name="_Toc7753"/>
      <w:r>
        <w:rPr>
          <w:rFonts w:hint="eastAsia" w:ascii="宋体" w:hAnsi="宋体" w:eastAsia="宋体" w:cs="宋体"/>
          <w:b/>
          <w:bCs/>
          <w:color w:val="auto"/>
          <w:sz w:val="24"/>
          <w:szCs w:val="18"/>
          <w:highlight w:val="none"/>
        </w:rPr>
        <w:t>五、</w:t>
      </w:r>
      <w:bookmarkEnd w:id="10"/>
      <w:r>
        <w:rPr>
          <w:rFonts w:hint="eastAsia" w:ascii="宋体" w:hAnsi="宋体" w:eastAsia="宋体" w:cs="宋体"/>
          <w:b/>
          <w:bCs/>
          <w:color w:val="auto"/>
          <w:sz w:val="24"/>
          <w:szCs w:val="18"/>
          <w:highlight w:val="none"/>
        </w:rPr>
        <w:t>公告期限</w:t>
      </w:r>
      <w:bookmarkEnd w:id="11"/>
    </w:p>
    <w:p w14:paraId="7FA4B4E5">
      <w:pPr>
        <w:spacing w:line="420" w:lineRule="exact"/>
        <w:ind w:firstLine="437"/>
        <w:rPr>
          <w:rFonts w:ascii="宋体" w:hAnsi="宋体" w:eastAsia="宋体" w:cs="宋体"/>
          <w:color w:val="auto"/>
          <w:sz w:val="24"/>
          <w:szCs w:val="18"/>
          <w:highlight w:val="none"/>
        </w:rPr>
      </w:pPr>
      <w:bookmarkStart w:id="12" w:name="_Toc1215"/>
      <w:r>
        <w:rPr>
          <w:rFonts w:hint="eastAsia" w:ascii="宋体" w:hAnsi="宋体" w:eastAsia="宋体" w:cs="宋体"/>
          <w:color w:val="auto"/>
          <w:sz w:val="24"/>
          <w:szCs w:val="18"/>
          <w:highlight w:val="none"/>
        </w:rPr>
        <w:t>自本公告发布之日起5个工作日。</w:t>
      </w:r>
    </w:p>
    <w:p w14:paraId="12D9C8EA">
      <w:pPr>
        <w:spacing w:line="420" w:lineRule="exact"/>
        <w:ind w:firstLine="437"/>
        <w:outlineLvl w:val="1"/>
        <w:rPr>
          <w:rFonts w:ascii="宋体" w:hAnsi="宋体" w:eastAsia="宋体" w:cs="宋体"/>
          <w:b/>
          <w:bCs/>
          <w:color w:val="auto"/>
          <w:sz w:val="24"/>
          <w:szCs w:val="18"/>
          <w:highlight w:val="none"/>
        </w:rPr>
      </w:pPr>
      <w:bookmarkStart w:id="13" w:name="_Toc31539"/>
      <w:bookmarkStart w:id="14" w:name="_Toc35393795"/>
      <w:bookmarkStart w:id="15" w:name="_Toc35393626"/>
      <w:r>
        <w:rPr>
          <w:rFonts w:hint="eastAsia" w:ascii="宋体" w:hAnsi="宋体" w:eastAsia="宋体" w:cs="宋体"/>
          <w:b/>
          <w:bCs/>
          <w:color w:val="auto"/>
          <w:sz w:val="24"/>
          <w:szCs w:val="18"/>
          <w:highlight w:val="none"/>
        </w:rPr>
        <w:t>六、</w:t>
      </w:r>
      <w:bookmarkEnd w:id="13"/>
      <w:bookmarkEnd w:id="14"/>
      <w:bookmarkEnd w:id="15"/>
      <w:r>
        <w:rPr>
          <w:rFonts w:hint="eastAsia" w:ascii="宋体" w:hAnsi="宋体" w:eastAsia="宋体" w:cs="宋体"/>
          <w:b/>
          <w:bCs/>
          <w:color w:val="auto"/>
          <w:sz w:val="24"/>
          <w:szCs w:val="18"/>
          <w:highlight w:val="none"/>
        </w:rPr>
        <w:t>投标保证金金额及缴纳账户</w:t>
      </w:r>
    </w:p>
    <w:p w14:paraId="6A8D980C">
      <w:pPr>
        <w:spacing w:line="420" w:lineRule="exact"/>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是否要求投标人提交投标保证金：不要求。</w:t>
      </w:r>
    </w:p>
    <w:p w14:paraId="456EE4E3">
      <w:pPr>
        <w:spacing w:line="420" w:lineRule="exact"/>
        <w:ind w:firstLine="437"/>
        <w:outlineLvl w:val="1"/>
        <w:rPr>
          <w:rFonts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七、其他补充事宜</w:t>
      </w:r>
    </w:p>
    <w:p w14:paraId="70DED4DA">
      <w:pPr>
        <w:wordWrap w:val="0"/>
        <w:spacing w:line="420" w:lineRule="exact"/>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陆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CA数字证书有关问题：安徽CA客服400-880-4959、0550-3019013（工作日），CFCA客服025-66085508 、0550-3801669（工作日）；3.</w:t>
      </w:r>
      <w:r>
        <w:rPr>
          <w:rFonts w:hint="eastAsia" w:ascii="宋体" w:hAnsi="宋体" w:eastAsia="宋体" w:cs="宋体"/>
          <w:color w:val="auto"/>
          <w:sz w:val="24"/>
          <w:szCs w:val="18"/>
          <w:highlight w:val="none"/>
          <w:lang w:val="en-US" w:eastAsia="zh-CN"/>
        </w:rPr>
        <w:t>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r>
        <w:rPr>
          <w:rFonts w:hint="eastAsia" w:ascii="宋体" w:hAnsi="宋体" w:eastAsia="宋体" w:cs="宋体"/>
          <w:color w:val="auto"/>
          <w:sz w:val="24"/>
          <w:szCs w:val="18"/>
          <w:highlight w:val="none"/>
        </w:rPr>
        <w:t>。</w:t>
      </w:r>
    </w:p>
    <w:p w14:paraId="6EAAA10F">
      <w:pPr>
        <w:spacing w:line="420" w:lineRule="exact"/>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2.请投标人登录滁州市公共资源交易中心网站查看参加本项目的程序（具体操作步骤和程序请参见服务指南&lt;交易须知&gt;投标人填写投标信息、下载文件及网上提问操作手册）。</w:t>
      </w:r>
    </w:p>
    <w:p w14:paraId="1D0FF9AC">
      <w:pPr>
        <w:keepNext w:val="0"/>
        <w:keepLines w:val="0"/>
        <w:pageBreakBefore w:val="0"/>
        <w:widowControl w:val="0"/>
        <w:kinsoku/>
        <w:wordWrap w:val="0"/>
        <w:overflowPunct/>
        <w:topLinePunct w:val="0"/>
        <w:autoSpaceDE/>
        <w:autoSpaceDN/>
        <w:bidi w:val="0"/>
        <w:adjustRightInd/>
        <w:snapToGrid/>
        <w:spacing w:line="420" w:lineRule="exact"/>
        <w:ind w:firstLine="437"/>
        <w:textAlignment w:val="auto"/>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以本项目网上招投标系统解密倒计时为准，至完成投标文件解密时间，不得超过60分钟，否则投标文件将被拒绝。</w:t>
      </w:r>
    </w:p>
    <w:p w14:paraId="502A48A0">
      <w:pPr>
        <w:spacing w:line="420" w:lineRule="exact"/>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bookmarkEnd w:id="12"/>
    <w:p w14:paraId="2809D3AC">
      <w:pPr>
        <w:spacing w:line="420" w:lineRule="exact"/>
        <w:ind w:firstLine="437"/>
        <w:outlineLvl w:val="1"/>
        <w:rPr>
          <w:rFonts w:ascii="宋体" w:hAnsi="宋体" w:eastAsia="宋体" w:cs="宋体"/>
          <w:b/>
          <w:bCs/>
          <w:color w:val="auto"/>
          <w:sz w:val="24"/>
          <w:szCs w:val="18"/>
          <w:highlight w:val="none"/>
        </w:rPr>
      </w:pPr>
      <w:bookmarkStart w:id="16" w:name="_Toc7265"/>
      <w:bookmarkStart w:id="17" w:name="_Toc13296"/>
      <w:r>
        <w:rPr>
          <w:rFonts w:hint="eastAsia" w:ascii="宋体" w:hAnsi="宋体" w:eastAsia="宋体" w:cs="宋体"/>
          <w:b/>
          <w:bCs/>
          <w:color w:val="auto"/>
          <w:sz w:val="24"/>
          <w:szCs w:val="18"/>
          <w:highlight w:val="none"/>
        </w:rPr>
        <w:t>七、</w:t>
      </w:r>
      <w:bookmarkEnd w:id="16"/>
      <w:r>
        <w:rPr>
          <w:rFonts w:hint="eastAsia" w:ascii="宋体" w:hAnsi="宋体" w:eastAsia="宋体" w:cs="宋体"/>
          <w:b/>
          <w:bCs/>
          <w:color w:val="auto"/>
          <w:sz w:val="24"/>
          <w:szCs w:val="18"/>
          <w:highlight w:val="none"/>
        </w:rPr>
        <w:t>对本次招标提出询问，请按以下方式联系</w:t>
      </w:r>
      <w:bookmarkEnd w:id="17"/>
    </w:p>
    <w:p w14:paraId="7DB7F160">
      <w:pPr>
        <w:spacing w:line="420" w:lineRule="exact"/>
        <w:ind w:firstLine="437"/>
        <w:outlineLvl w:val="2"/>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1.采购人信息</w:t>
      </w:r>
    </w:p>
    <w:p w14:paraId="73590C05">
      <w:pPr>
        <w:spacing w:line="420" w:lineRule="exact"/>
        <w:ind w:firstLine="435"/>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18"/>
          <w:highlight w:val="none"/>
        </w:rPr>
        <w:t>：滁州市财政局</w:t>
      </w:r>
    </w:p>
    <w:p w14:paraId="4BB55B93">
      <w:pPr>
        <w:spacing w:line="420" w:lineRule="exact"/>
        <w:ind w:firstLine="435"/>
        <w:rPr>
          <w:rFonts w:ascii="宋体" w:hAnsi="宋体" w:eastAsia="宋体" w:cs="宋体"/>
          <w:color w:val="auto"/>
          <w:sz w:val="24"/>
          <w:szCs w:val="18"/>
          <w:highlight w:val="none"/>
          <w:u w:val="single"/>
        </w:rPr>
      </w:pPr>
      <w:r>
        <w:rPr>
          <w:rFonts w:hint="eastAsia" w:ascii="宋体" w:hAnsi="宋体" w:eastAsia="宋体" w:cs="宋体"/>
          <w:color w:val="auto"/>
          <w:sz w:val="24"/>
          <w:szCs w:val="18"/>
          <w:highlight w:val="none"/>
        </w:rPr>
        <w:t>地  址</w:t>
      </w:r>
      <w:r>
        <w:rPr>
          <w:rFonts w:hint="eastAsia" w:ascii="宋体" w:hAnsi="宋体" w:eastAsia="宋体" w:cs="宋体"/>
          <w:color w:val="auto"/>
          <w:sz w:val="24"/>
          <w:szCs w:val="18"/>
          <w:highlight w:val="none"/>
          <w:lang w:val="en-US" w:eastAsia="zh-CN"/>
        </w:rPr>
        <w:t>：滁州市龙蟠大道99号政务中心东4楼</w:t>
      </w:r>
    </w:p>
    <w:p w14:paraId="03D2E988">
      <w:pPr>
        <w:spacing w:line="420" w:lineRule="exact"/>
        <w:ind w:firstLine="435"/>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联系人：</w:t>
      </w:r>
      <w:r>
        <w:rPr>
          <w:rFonts w:hint="eastAsia" w:ascii="宋体" w:hAnsi="宋体" w:eastAsia="宋体" w:cs="宋体"/>
          <w:color w:val="auto"/>
          <w:sz w:val="24"/>
          <w:szCs w:val="18"/>
          <w:highlight w:val="none"/>
          <w:lang w:val="en-US" w:eastAsia="zh-CN"/>
        </w:rPr>
        <w:t>陈伟</w:t>
      </w:r>
      <w:r>
        <w:rPr>
          <w:rFonts w:hint="eastAsia" w:ascii="宋体" w:hAnsi="宋体" w:eastAsia="宋体" w:cs="宋体"/>
          <w:color w:val="auto"/>
          <w:sz w:val="24"/>
          <w:szCs w:val="18"/>
          <w:highlight w:val="none"/>
        </w:rPr>
        <w:t xml:space="preserve"> </w:t>
      </w:r>
    </w:p>
    <w:p w14:paraId="6E252436">
      <w:pPr>
        <w:spacing w:line="420" w:lineRule="exact"/>
        <w:ind w:firstLine="435"/>
        <w:rPr>
          <w:rFonts w:ascii="宋体" w:hAnsi="宋体" w:eastAsia="宋体" w:cs="宋体"/>
          <w:color w:val="auto"/>
          <w:sz w:val="24"/>
          <w:szCs w:val="18"/>
          <w:highlight w:val="none"/>
          <w:u w:val="single"/>
        </w:rPr>
      </w:pPr>
      <w:r>
        <w:rPr>
          <w:rFonts w:hint="eastAsia" w:ascii="宋体" w:hAnsi="宋体" w:eastAsia="宋体" w:cs="宋体"/>
          <w:color w:val="auto"/>
          <w:sz w:val="24"/>
          <w:szCs w:val="18"/>
          <w:highlight w:val="none"/>
        </w:rPr>
        <w:t>联系方式：0550-</w:t>
      </w:r>
      <w:r>
        <w:rPr>
          <w:rFonts w:hint="eastAsia" w:ascii="宋体" w:hAnsi="宋体" w:eastAsia="宋体" w:cs="宋体"/>
          <w:color w:val="auto"/>
          <w:sz w:val="24"/>
          <w:szCs w:val="18"/>
          <w:highlight w:val="none"/>
          <w:lang w:val="en-US" w:eastAsia="zh-CN"/>
        </w:rPr>
        <w:t>3216511、3216205</w:t>
      </w:r>
    </w:p>
    <w:p w14:paraId="06CC8A8A">
      <w:pPr>
        <w:spacing w:line="420" w:lineRule="exact"/>
        <w:ind w:firstLine="437"/>
        <w:outlineLvl w:val="2"/>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2.采购代理机构信息</w:t>
      </w:r>
    </w:p>
    <w:p w14:paraId="7119B585">
      <w:pPr>
        <w:spacing w:line="420" w:lineRule="exact"/>
        <w:ind w:firstLine="435"/>
        <w:rPr>
          <w:rFonts w:ascii="宋体" w:hAnsi="宋体" w:eastAsia="宋体" w:cs="宋体"/>
          <w:color w:val="auto"/>
          <w:sz w:val="24"/>
          <w:szCs w:val="18"/>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18"/>
          <w:highlight w:val="none"/>
        </w:rPr>
        <w:t>：</w:t>
      </w:r>
      <w:r>
        <w:rPr>
          <w:rFonts w:hint="eastAsia" w:ascii="宋体" w:hAnsi="宋体" w:eastAsia="宋体" w:cs="宋体"/>
          <w:color w:val="auto"/>
          <w:sz w:val="24"/>
          <w:szCs w:val="18"/>
          <w:highlight w:val="none"/>
          <w:lang w:val="en-US" w:eastAsia="zh-CN"/>
        </w:rPr>
        <w:t>滁州市城投工程咨询管理有限公司</w:t>
      </w:r>
    </w:p>
    <w:p w14:paraId="178CA621">
      <w:pPr>
        <w:spacing w:line="420" w:lineRule="exact"/>
        <w:ind w:firstLine="435"/>
        <w:rPr>
          <w:rFonts w:ascii="宋体" w:hAnsi="宋体" w:eastAsia="宋体" w:cs="宋体"/>
          <w:color w:val="auto"/>
          <w:sz w:val="24"/>
          <w:szCs w:val="18"/>
          <w:highlight w:val="none"/>
          <w:u w:val="single"/>
        </w:rPr>
      </w:pPr>
      <w:r>
        <w:rPr>
          <w:rFonts w:hint="eastAsia" w:ascii="宋体" w:hAnsi="宋体" w:eastAsia="宋体" w:cs="宋体"/>
          <w:color w:val="auto"/>
          <w:sz w:val="24"/>
          <w:szCs w:val="18"/>
          <w:highlight w:val="none"/>
        </w:rPr>
        <w:t>地  址：</w:t>
      </w:r>
      <w:r>
        <w:rPr>
          <w:rFonts w:hint="eastAsia" w:ascii="宋体" w:hAnsi="宋体" w:eastAsia="宋体" w:cs="宋体"/>
          <w:color w:val="auto"/>
          <w:sz w:val="24"/>
          <w:szCs w:val="18"/>
          <w:highlight w:val="none"/>
          <w:lang w:val="en-US" w:eastAsia="zh-CN"/>
        </w:rPr>
        <w:t>滁州市龙蟠大道109号房产商务大厦6楼</w:t>
      </w:r>
    </w:p>
    <w:p w14:paraId="69946BE4">
      <w:pPr>
        <w:spacing w:line="420" w:lineRule="exact"/>
        <w:ind w:firstLine="435"/>
        <w:rPr>
          <w:rFonts w:ascii="宋体" w:hAnsi="宋体" w:eastAsia="宋体" w:cs="宋体"/>
          <w:color w:val="auto"/>
          <w:highlight w:val="none"/>
        </w:rPr>
      </w:pPr>
      <w:r>
        <w:rPr>
          <w:rFonts w:hint="eastAsia" w:ascii="宋体" w:hAnsi="宋体" w:eastAsia="宋体" w:cs="宋体"/>
          <w:color w:val="auto"/>
          <w:sz w:val="24"/>
          <w:szCs w:val="18"/>
          <w:highlight w:val="none"/>
        </w:rPr>
        <w:t>联系人：</w:t>
      </w:r>
      <w:r>
        <w:rPr>
          <w:rFonts w:hint="eastAsia" w:ascii="宋体" w:hAnsi="宋体" w:eastAsia="宋体" w:cs="宋体"/>
          <w:color w:val="auto"/>
          <w:sz w:val="24"/>
          <w:szCs w:val="18"/>
          <w:highlight w:val="none"/>
          <w:u w:val="none"/>
        </w:rPr>
        <w:t>关勤勤</w:t>
      </w:r>
    </w:p>
    <w:p w14:paraId="5058C624">
      <w:pPr>
        <w:spacing w:line="420" w:lineRule="exact"/>
        <w:ind w:firstLine="435"/>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联系方式：</w:t>
      </w:r>
      <w:r>
        <w:rPr>
          <w:rFonts w:hint="eastAsia" w:ascii="宋体" w:hAnsi="宋体" w:eastAsia="宋体" w:cs="宋体"/>
          <w:color w:val="auto"/>
          <w:sz w:val="24"/>
          <w:szCs w:val="18"/>
          <w:highlight w:val="none"/>
          <w:u w:val="none"/>
        </w:rPr>
        <w:t>0550-3519590、18909605753</w:t>
      </w:r>
    </w:p>
    <w:p w14:paraId="4E48A258">
      <w:pPr>
        <w:spacing w:line="420" w:lineRule="exact"/>
        <w:ind w:firstLine="437"/>
        <w:outlineLvl w:val="2"/>
        <w:rPr>
          <w:rFonts w:ascii="宋体" w:hAnsi="宋体" w:eastAsia="宋体" w:cs="宋体"/>
          <w:b/>
          <w:color w:val="auto"/>
          <w:sz w:val="24"/>
          <w:szCs w:val="18"/>
          <w:highlight w:val="none"/>
        </w:rPr>
      </w:pPr>
      <w:r>
        <w:rPr>
          <w:rFonts w:hint="eastAsia" w:ascii="宋体" w:hAnsi="宋体" w:eastAsia="宋体" w:cs="宋体"/>
          <w:bCs/>
          <w:color w:val="auto"/>
          <w:sz w:val="24"/>
          <w:szCs w:val="18"/>
          <w:highlight w:val="none"/>
        </w:rPr>
        <w:t>3</w:t>
      </w:r>
      <w:r>
        <w:rPr>
          <w:rFonts w:hint="eastAsia" w:ascii="宋体" w:hAnsi="宋体" w:eastAsia="宋体" w:cs="宋体"/>
          <w:b/>
          <w:color w:val="auto"/>
          <w:sz w:val="24"/>
          <w:szCs w:val="18"/>
          <w:highlight w:val="none"/>
        </w:rPr>
        <w:t>.</w:t>
      </w:r>
      <w:r>
        <w:rPr>
          <w:rFonts w:hint="eastAsia" w:ascii="宋体" w:hAnsi="宋体" w:eastAsia="宋体" w:cs="宋体"/>
          <w:color w:val="auto"/>
          <w:sz w:val="24"/>
          <w:szCs w:val="18"/>
          <w:highlight w:val="none"/>
        </w:rPr>
        <w:t>政府采购监督管理部门信息</w:t>
      </w:r>
    </w:p>
    <w:p w14:paraId="038AF05E">
      <w:pPr>
        <w:spacing w:line="420" w:lineRule="exact"/>
        <w:ind w:firstLine="435"/>
        <w:rPr>
          <w:rFonts w:ascii="宋体" w:hAnsi="宋体" w:eastAsia="宋体" w:cs="宋体"/>
          <w:color w:val="auto"/>
          <w:sz w:val="24"/>
          <w:szCs w:val="18"/>
          <w:highlight w:val="none"/>
          <w:u w:val="none"/>
        </w:rPr>
      </w:pPr>
      <w:r>
        <w:rPr>
          <w:rFonts w:hint="eastAsia" w:ascii="宋体" w:hAnsi="宋体" w:eastAsia="宋体" w:cs="宋体"/>
          <w:color w:val="auto"/>
          <w:sz w:val="24"/>
          <w:szCs w:val="24"/>
          <w:highlight w:val="none"/>
          <w:u w:val="none"/>
        </w:rPr>
        <w:t>名  称</w:t>
      </w:r>
      <w:r>
        <w:rPr>
          <w:rFonts w:hint="eastAsia" w:ascii="宋体" w:hAnsi="宋体" w:eastAsia="宋体" w:cs="宋体"/>
          <w:color w:val="auto"/>
          <w:sz w:val="24"/>
          <w:szCs w:val="18"/>
          <w:highlight w:val="none"/>
          <w:u w:val="none"/>
        </w:rPr>
        <w:t>：滁州市公共资源交易监督管理局</w:t>
      </w:r>
    </w:p>
    <w:p w14:paraId="69AD6D79">
      <w:pPr>
        <w:spacing w:line="420" w:lineRule="exact"/>
        <w:ind w:firstLine="435"/>
        <w:rPr>
          <w:rFonts w:ascii="宋体" w:hAnsi="宋体" w:eastAsia="宋体" w:cs="宋体"/>
          <w:color w:val="auto"/>
          <w:sz w:val="24"/>
          <w:szCs w:val="18"/>
          <w:highlight w:val="none"/>
          <w:u w:val="none"/>
        </w:rPr>
      </w:pPr>
      <w:r>
        <w:rPr>
          <w:rFonts w:hint="eastAsia" w:ascii="宋体" w:hAnsi="宋体" w:eastAsia="宋体" w:cs="宋体"/>
          <w:color w:val="auto"/>
          <w:sz w:val="24"/>
          <w:szCs w:val="18"/>
          <w:highlight w:val="none"/>
          <w:u w:val="none"/>
        </w:rPr>
        <w:t>地  址：滁州市龙蟠大道109号房产大厦三楼</w:t>
      </w:r>
    </w:p>
    <w:p w14:paraId="107A0C98">
      <w:pPr>
        <w:spacing w:line="420" w:lineRule="exact"/>
        <w:ind w:firstLine="435"/>
        <w:rPr>
          <w:rFonts w:ascii="宋体" w:hAnsi="宋体" w:eastAsia="宋体" w:cs="宋体"/>
          <w:color w:val="auto"/>
          <w:sz w:val="24"/>
          <w:szCs w:val="18"/>
          <w:highlight w:val="none"/>
          <w:u w:val="none"/>
        </w:rPr>
      </w:pPr>
      <w:r>
        <w:rPr>
          <w:rFonts w:hint="eastAsia" w:ascii="宋体" w:hAnsi="宋体" w:eastAsia="宋体" w:cs="宋体"/>
          <w:color w:val="auto"/>
          <w:sz w:val="24"/>
          <w:szCs w:val="18"/>
          <w:highlight w:val="none"/>
          <w:u w:val="none"/>
        </w:rPr>
        <w:t>联系方式：0550-3801656</w:t>
      </w:r>
    </w:p>
    <w:p w14:paraId="44F1C226">
      <w:pPr>
        <w:widowControl/>
        <w:jc w:val="left"/>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046851BB">
      <w:pPr>
        <w:spacing w:line="360" w:lineRule="auto"/>
        <w:jc w:val="center"/>
        <w:outlineLvl w:val="0"/>
        <w:rPr>
          <w:rFonts w:ascii="宋体" w:hAnsi="宋体" w:eastAsia="宋体" w:cs="宋体"/>
          <w:b/>
          <w:color w:val="auto"/>
          <w:sz w:val="28"/>
          <w:highlight w:val="none"/>
        </w:rPr>
      </w:pPr>
      <w:bookmarkStart w:id="18" w:name="_Toc8888"/>
      <w:r>
        <w:rPr>
          <w:rFonts w:hint="eastAsia" w:ascii="宋体" w:hAnsi="宋体" w:eastAsia="宋体" w:cs="宋体"/>
          <w:b/>
          <w:color w:val="auto"/>
          <w:sz w:val="28"/>
          <w:highlight w:val="none"/>
        </w:rPr>
        <w:t>第二章  投标人须知</w:t>
      </w:r>
      <w:bookmarkEnd w:id="18"/>
    </w:p>
    <w:p w14:paraId="00F25DD1">
      <w:pPr>
        <w:spacing w:line="360" w:lineRule="auto"/>
        <w:jc w:val="center"/>
        <w:outlineLvl w:val="1"/>
        <w:rPr>
          <w:rFonts w:ascii="宋体" w:hAnsi="宋体" w:eastAsia="宋体" w:cs="宋体"/>
          <w:b/>
          <w:color w:val="auto"/>
          <w:sz w:val="24"/>
          <w:highlight w:val="none"/>
        </w:rPr>
      </w:pPr>
      <w:bookmarkStart w:id="19" w:name="_Toc7178"/>
      <w:bookmarkStart w:id="20" w:name="_Toc13589"/>
      <w:r>
        <w:rPr>
          <w:rFonts w:hint="eastAsia" w:ascii="宋体" w:hAnsi="宋体" w:eastAsia="宋体" w:cs="宋体"/>
          <w:b/>
          <w:color w:val="auto"/>
          <w:sz w:val="24"/>
          <w:highlight w:val="none"/>
        </w:rPr>
        <w:t>一、投标人须知前附表</w:t>
      </w:r>
      <w:bookmarkEnd w:id="19"/>
      <w:bookmarkEnd w:id="20"/>
    </w:p>
    <w:p w14:paraId="3760593A">
      <w:pPr>
        <w:spacing w:line="360" w:lineRule="auto"/>
        <w:ind w:firstLine="435"/>
        <w:rPr>
          <w:rFonts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28"/>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184"/>
        <w:gridCol w:w="6149"/>
      </w:tblGrid>
      <w:tr w14:paraId="3CA45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29EE1F16">
            <w:pPr>
              <w:pStyle w:val="46"/>
              <w:widowControl w:val="0"/>
              <w:spacing w:before="0" w:beforeAutospacing="0" w:after="0" w:afterAutospacing="0" w:line="440" w:lineRule="exact"/>
              <w:rPr>
                <w:rFonts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2184" w:type="dxa"/>
            <w:vAlign w:val="center"/>
          </w:tcPr>
          <w:p w14:paraId="24CD1577">
            <w:pPr>
              <w:pStyle w:val="46"/>
              <w:widowControl w:val="0"/>
              <w:spacing w:before="0" w:beforeAutospacing="0" w:after="0" w:afterAutospacing="0" w:line="440" w:lineRule="exact"/>
              <w:rPr>
                <w:rFonts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6149" w:type="dxa"/>
            <w:vAlign w:val="center"/>
          </w:tcPr>
          <w:p w14:paraId="4F35E20B">
            <w:pPr>
              <w:pStyle w:val="46"/>
              <w:widowControl w:val="0"/>
              <w:spacing w:before="0" w:beforeAutospacing="0" w:after="0" w:afterAutospacing="0" w:line="440" w:lineRule="exact"/>
              <w:rPr>
                <w:rFonts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14:paraId="1D24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14506D7B">
            <w:pPr>
              <w:pStyle w:val="47"/>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5.2</w:t>
            </w:r>
          </w:p>
        </w:tc>
        <w:tc>
          <w:tcPr>
            <w:tcW w:w="2184" w:type="dxa"/>
            <w:vAlign w:val="center"/>
          </w:tcPr>
          <w:p w14:paraId="157A301A">
            <w:pPr>
              <w:pStyle w:val="46"/>
              <w:widowControl w:val="0"/>
              <w:spacing w:before="0" w:beforeAutospacing="0" w:after="0" w:afterAutospacing="0" w:line="440" w:lineRule="exact"/>
              <w:jc w:val="left"/>
              <w:rPr>
                <w:rFonts w:ascii="宋体" w:hAnsi="宋体" w:eastAsia="宋体" w:cs="宋体"/>
                <w:b w:val="0"/>
                <w:color w:val="auto"/>
                <w:sz w:val="24"/>
                <w:highlight w:val="none"/>
              </w:rPr>
            </w:pPr>
            <w:r>
              <w:rPr>
                <w:rFonts w:hint="eastAsia" w:ascii="宋体" w:hAnsi="宋体" w:eastAsia="宋体" w:cs="宋体"/>
                <w:b w:val="0"/>
                <w:color w:val="auto"/>
                <w:kern w:val="2"/>
                <w:sz w:val="24"/>
                <w:szCs w:val="22"/>
                <w:highlight w:val="none"/>
              </w:rPr>
              <w:t>现场考察或标前答疑会</w:t>
            </w:r>
          </w:p>
        </w:tc>
        <w:tc>
          <w:tcPr>
            <w:tcW w:w="6149" w:type="dxa"/>
            <w:vAlign w:val="center"/>
          </w:tcPr>
          <w:p w14:paraId="6F6F8B4A">
            <w:pPr>
              <w:spacing w:line="440" w:lineRule="exact"/>
              <w:rPr>
                <w:rFonts w:ascii="宋体" w:hAnsi="宋体" w:eastAsia="宋体" w:cs="宋体"/>
                <w:bCs/>
                <w:color w:val="auto"/>
                <w:sz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highlight w:val="none"/>
              </w:rPr>
              <w:t>不组织或不召开</w:t>
            </w:r>
          </w:p>
          <w:p w14:paraId="6EC856AF">
            <w:pPr>
              <w:spacing w:line="440" w:lineRule="exact"/>
              <w:rPr>
                <w:rFonts w:ascii="宋体" w:hAnsi="宋体" w:eastAsia="宋体" w:cs="宋体"/>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统一组织或统一召开</w:t>
            </w:r>
          </w:p>
          <w:p w14:paraId="3D55F166">
            <w:pPr>
              <w:spacing w:line="440" w:lineRule="exact"/>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时</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分</w:t>
            </w:r>
          </w:p>
          <w:p w14:paraId="6462A54B">
            <w:pPr>
              <w:spacing w:line="440" w:lineRule="exact"/>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地点：</w:t>
            </w:r>
            <w:r>
              <w:rPr>
                <w:rFonts w:hint="eastAsia" w:ascii="宋体" w:hAnsi="宋体" w:eastAsia="宋体" w:cs="宋体"/>
                <w:bCs/>
                <w:color w:val="auto"/>
                <w:sz w:val="24"/>
                <w:highlight w:val="none"/>
                <w:u w:val="single"/>
              </w:rPr>
              <w:t>/</w:t>
            </w:r>
          </w:p>
          <w:p w14:paraId="61AEE1A6">
            <w:pPr>
              <w:spacing w:line="440" w:lineRule="exact"/>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联系人及联系电话：</w:t>
            </w:r>
            <w:r>
              <w:rPr>
                <w:rFonts w:hint="eastAsia" w:ascii="宋体" w:hAnsi="宋体" w:eastAsia="宋体" w:cs="宋体"/>
                <w:bCs/>
                <w:color w:val="auto"/>
                <w:sz w:val="24"/>
                <w:highlight w:val="none"/>
                <w:u w:val="single"/>
              </w:rPr>
              <w:t>/</w:t>
            </w:r>
          </w:p>
          <w:p w14:paraId="5E74ABD6">
            <w:pPr>
              <w:pStyle w:val="46"/>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34A86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9C8C4A2">
            <w:pPr>
              <w:pStyle w:val="47"/>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6.1</w:t>
            </w:r>
          </w:p>
        </w:tc>
        <w:tc>
          <w:tcPr>
            <w:tcW w:w="2184" w:type="dxa"/>
            <w:vAlign w:val="center"/>
          </w:tcPr>
          <w:p w14:paraId="3D05D155">
            <w:pPr>
              <w:pStyle w:val="46"/>
              <w:widowControl w:val="0"/>
              <w:spacing w:before="0" w:beforeAutospacing="0" w:after="0" w:afterAutospacing="0" w:line="440" w:lineRule="exact"/>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网上询问截止时间</w:t>
            </w:r>
          </w:p>
        </w:tc>
        <w:tc>
          <w:tcPr>
            <w:tcW w:w="6149" w:type="dxa"/>
            <w:vAlign w:val="center"/>
          </w:tcPr>
          <w:p w14:paraId="710AA4C2">
            <w:pPr>
              <w:pStyle w:val="46"/>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u w:val="single"/>
              </w:rPr>
              <w:t>2025</w:t>
            </w:r>
            <w:r>
              <w:rPr>
                <w:rFonts w:hint="eastAsia" w:ascii="宋体" w:hAnsi="宋体" w:eastAsia="宋体" w:cs="宋体"/>
                <w:b w:val="0"/>
                <w:color w:val="auto"/>
                <w:sz w:val="24"/>
                <w:highlight w:val="none"/>
              </w:rPr>
              <w:t>年</w:t>
            </w:r>
            <w:r>
              <w:rPr>
                <w:rFonts w:hint="eastAsia" w:ascii="宋体" w:hAnsi="宋体" w:eastAsia="宋体" w:cs="宋体"/>
                <w:b w:val="0"/>
                <w:color w:val="auto"/>
                <w:sz w:val="24"/>
                <w:highlight w:val="none"/>
                <w:u w:val="single"/>
                <w:lang w:val="en-US" w:eastAsia="zh-CN"/>
              </w:rPr>
              <w:t>10</w:t>
            </w:r>
            <w:r>
              <w:rPr>
                <w:rFonts w:hint="eastAsia" w:ascii="宋体" w:hAnsi="宋体" w:eastAsia="宋体" w:cs="宋体"/>
                <w:b w:val="0"/>
                <w:color w:val="auto"/>
                <w:sz w:val="24"/>
                <w:highlight w:val="none"/>
              </w:rPr>
              <w:t>月</w:t>
            </w:r>
            <w:r>
              <w:rPr>
                <w:rFonts w:hint="eastAsia" w:ascii="宋体" w:hAnsi="宋体" w:eastAsia="宋体" w:cs="宋体"/>
                <w:b w:val="0"/>
                <w:color w:val="auto"/>
                <w:sz w:val="24"/>
                <w:highlight w:val="none"/>
                <w:u w:val="single"/>
                <w:lang w:val="en-US" w:eastAsia="zh-CN"/>
              </w:rPr>
              <w:t>30</w:t>
            </w:r>
            <w:r>
              <w:rPr>
                <w:rFonts w:hint="eastAsia" w:ascii="宋体" w:hAnsi="宋体" w:eastAsia="宋体" w:cs="宋体"/>
                <w:b w:val="0"/>
                <w:color w:val="auto"/>
                <w:sz w:val="24"/>
                <w:highlight w:val="none"/>
              </w:rPr>
              <w:t>日</w:t>
            </w:r>
            <w:r>
              <w:rPr>
                <w:rFonts w:hint="eastAsia" w:ascii="宋体" w:hAnsi="宋体" w:eastAsia="宋体" w:cs="宋体"/>
                <w:b w:val="0"/>
                <w:color w:val="auto"/>
                <w:sz w:val="24"/>
                <w:highlight w:val="none"/>
                <w:u w:val="single"/>
              </w:rPr>
              <w:t>17</w:t>
            </w:r>
            <w:r>
              <w:rPr>
                <w:rFonts w:hint="eastAsia" w:ascii="宋体" w:hAnsi="宋体" w:eastAsia="宋体" w:cs="宋体"/>
                <w:b w:val="0"/>
                <w:color w:val="auto"/>
                <w:sz w:val="24"/>
                <w:highlight w:val="none"/>
              </w:rPr>
              <w:t>时</w:t>
            </w:r>
            <w:r>
              <w:rPr>
                <w:rFonts w:hint="eastAsia" w:ascii="宋体" w:hAnsi="宋体" w:eastAsia="宋体" w:cs="宋体"/>
                <w:b w:val="0"/>
                <w:color w:val="auto"/>
                <w:sz w:val="24"/>
                <w:highlight w:val="none"/>
                <w:u w:val="single"/>
              </w:rPr>
              <w:t>30</w:t>
            </w:r>
            <w:r>
              <w:rPr>
                <w:rFonts w:hint="eastAsia" w:ascii="宋体" w:hAnsi="宋体" w:eastAsia="宋体" w:cs="宋体"/>
                <w:b w:val="0"/>
                <w:color w:val="auto"/>
                <w:sz w:val="24"/>
                <w:highlight w:val="none"/>
              </w:rPr>
              <w:t>分</w:t>
            </w:r>
          </w:p>
        </w:tc>
      </w:tr>
      <w:tr w14:paraId="2A08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4296BD48">
            <w:pPr>
              <w:pStyle w:val="47"/>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7.1</w:t>
            </w:r>
          </w:p>
        </w:tc>
        <w:tc>
          <w:tcPr>
            <w:tcW w:w="2184" w:type="dxa"/>
            <w:vAlign w:val="center"/>
          </w:tcPr>
          <w:p w14:paraId="267D1EB8">
            <w:pPr>
              <w:pStyle w:val="46"/>
              <w:widowControl w:val="0"/>
              <w:spacing w:before="0" w:beforeAutospacing="0" w:after="0" w:afterAutospacing="0" w:line="440" w:lineRule="exact"/>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6149" w:type="dxa"/>
            <w:vAlign w:val="center"/>
          </w:tcPr>
          <w:p w14:paraId="6A392589">
            <w:pPr>
              <w:pStyle w:val="46"/>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highlight w:val="none"/>
              </w:rPr>
              <w:t>不分包     □分为</w:t>
            </w:r>
            <w:r>
              <w:rPr>
                <w:rFonts w:hint="eastAsia" w:ascii="宋体" w:hAnsi="宋体" w:eastAsia="宋体" w:cs="宋体"/>
                <w:b w:val="0"/>
                <w:color w:val="auto"/>
                <w:sz w:val="24"/>
                <w:highlight w:val="none"/>
                <w:u w:val="single"/>
              </w:rPr>
              <w:t>/</w:t>
            </w:r>
            <w:r>
              <w:rPr>
                <w:rFonts w:hint="eastAsia" w:ascii="宋体" w:hAnsi="宋体" w:eastAsia="宋体" w:cs="宋体"/>
                <w:b w:val="0"/>
                <w:color w:val="auto"/>
                <w:sz w:val="24"/>
                <w:highlight w:val="none"/>
              </w:rPr>
              <w:t>个包</w:t>
            </w:r>
          </w:p>
          <w:p w14:paraId="0B8D3B7F">
            <w:pPr>
              <w:pStyle w:val="46"/>
              <w:widowControl w:val="0"/>
              <w:spacing w:before="0" w:beforeAutospacing="0" w:after="0" w:afterAutospacing="0" w:line="440" w:lineRule="exact"/>
              <w:jc w:val="both"/>
              <w:rPr>
                <w:rFonts w:ascii="宋体" w:hAnsi="宋体" w:eastAsia="宋体" w:cs="宋体"/>
                <w:b w:val="0"/>
                <w:color w:val="auto"/>
                <w:sz w:val="24"/>
                <w:highlight w:val="none"/>
                <w:u w:val="single"/>
              </w:rPr>
            </w:pPr>
            <w:r>
              <w:rPr>
                <w:rFonts w:hint="eastAsia" w:ascii="宋体" w:hAnsi="宋体" w:eastAsia="宋体" w:cs="宋体"/>
                <w:b w:val="0"/>
                <w:color w:val="auto"/>
                <w:sz w:val="24"/>
                <w:highlight w:val="none"/>
              </w:rPr>
              <w:t>投标人对多个包进行投标的中标包数规定：</w:t>
            </w:r>
            <w:r>
              <w:rPr>
                <w:rFonts w:hint="eastAsia" w:ascii="宋体" w:hAnsi="宋体" w:eastAsia="宋体" w:cs="宋体"/>
                <w:b w:val="0"/>
                <w:color w:val="auto"/>
                <w:sz w:val="24"/>
                <w:highlight w:val="none"/>
                <w:u w:val="single"/>
              </w:rPr>
              <w:t>/</w:t>
            </w:r>
            <w:r>
              <w:rPr>
                <w:rFonts w:hint="eastAsia" w:ascii="宋体" w:hAnsi="宋体" w:eastAsia="宋体" w:cs="宋体"/>
                <w:b w:val="0"/>
                <w:bCs w:val="0"/>
                <w:color w:val="auto"/>
                <w:sz w:val="24"/>
                <w:szCs w:val="18"/>
                <w:highlight w:val="none"/>
                <w:u w:val="single"/>
              </w:rPr>
              <w:t xml:space="preserve"> </w:t>
            </w:r>
          </w:p>
        </w:tc>
      </w:tr>
      <w:tr w14:paraId="04485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4313BB2E">
            <w:pPr>
              <w:pStyle w:val="47"/>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10.1</w:t>
            </w:r>
          </w:p>
        </w:tc>
        <w:tc>
          <w:tcPr>
            <w:tcW w:w="2184" w:type="dxa"/>
            <w:vAlign w:val="center"/>
          </w:tcPr>
          <w:p w14:paraId="0627B1F9">
            <w:pPr>
              <w:pStyle w:val="46"/>
              <w:widowControl w:val="0"/>
              <w:spacing w:before="0" w:beforeAutospacing="0" w:after="0" w:afterAutospacing="0" w:line="440" w:lineRule="exact"/>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投标保证金</w:t>
            </w:r>
          </w:p>
        </w:tc>
        <w:tc>
          <w:tcPr>
            <w:tcW w:w="6149" w:type="dxa"/>
            <w:vAlign w:val="center"/>
          </w:tcPr>
          <w:p w14:paraId="5C79F76B">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不收取</w:t>
            </w:r>
          </w:p>
        </w:tc>
      </w:tr>
      <w:tr w14:paraId="3EC6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03E09AF">
            <w:pPr>
              <w:pStyle w:val="47"/>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11.1</w:t>
            </w:r>
          </w:p>
        </w:tc>
        <w:tc>
          <w:tcPr>
            <w:tcW w:w="2184" w:type="dxa"/>
            <w:vAlign w:val="center"/>
          </w:tcPr>
          <w:p w14:paraId="78782EEC">
            <w:pPr>
              <w:pStyle w:val="46"/>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投标有效期</w:t>
            </w:r>
          </w:p>
        </w:tc>
        <w:tc>
          <w:tcPr>
            <w:tcW w:w="6149" w:type="dxa"/>
            <w:vAlign w:val="center"/>
          </w:tcPr>
          <w:p w14:paraId="686B3EB2">
            <w:pPr>
              <w:pStyle w:val="46"/>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u w:val="single"/>
              </w:rPr>
              <w:t>90</w:t>
            </w:r>
            <w:r>
              <w:rPr>
                <w:rFonts w:hint="eastAsia" w:ascii="宋体" w:hAnsi="宋体" w:eastAsia="宋体" w:cs="宋体"/>
                <w:b w:val="0"/>
                <w:color w:val="auto"/>
                <w:sz w:val="24"/>
                <w:highlight w:val="none"/>
              </w:rPr>
              <w:t>日历日</w:t>
            </w:r>
          </w:p>
        </w:tc>
      </w:tr>
      <w:tr w14:paraId="7708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15712EBF">
            <w:pPr>
              <w:pStyle w:val="47"/>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13.1</w:t>
            </w:r>
          </w:p>
        </w:tc>
        <w:tc>
          <w:tcPr>
            <w:tcW w:w="2184" w:type="dxa"/>
            <w:vAlign w:val="center"/>
          </w:tcPr>
          <w:p w14:paraId="3C7E6265">
            <w:pPr>
              <w:pStyle w:val="46"/>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投标文件解密时间</w:t>
            </w:r>
          </w:p>
        </w:tc>
        <w:tc>
          <w:tcPr>
            <w:tcW w:w="6149" w:type="dxa"/>
            <w:vAlign w:val="center"/>
          </w:tcPr>
          <w:p w14:paraId="2C4DA273">
            <w:pPr>
              <w:spacing w:line="440" w:lineRule="exact"/>
              <w:rPr>
                <w:rFonts w:ascii="宋体" w:hAnsi="宋体" w:eastAsia="宋体" w:cs="宋体"/>
                <w:bCs/>
                <w:color w:val="auto"/>
                <w:kern w:val="0"/>
                <w:sz w:val="24"/>
                <w:szCs w:val="28"/>
                <w:highlight w:val="none"/>
              </w:rPr>
            </w:pPr>
            <w:r>
              <w:rPr>
                <w:rFonts w:hint="eastAsia" w:ascii="宋体" w:hAnsi="宋体" w:eastAsia="宋体" w:cs="宋体"/>
                <w:color w:val="auto"/>
                <w:sz w:val="24"/>
                <w:highlight w:val="none"/>
              </w:rPr>
              <w:t>投标截止时间后</w:t>
            </w:r>
            <w:r>
              <w:rPr>
                <w:rFonts w:hint="eastAsia" w:ascii="宋体" w:hAnsi="宋体" w:eastAsia="宋体" w:cs="宋体"/>
                <w:color w:val="auto"/>
                <w:sz w:val="24"/>
                <w:highlight w:val="none"/>
                <w:u w:val="single"/>
              </w:rPr>
              <w:t>60</w:t>
            </w:r>
            <w:r>
              <w:rPr>
                <w:rFonts w:hint="eastAsia" w:ascii="宋体" w:hAnsi="宋体" w:eastAsia="宋体" w:cs="宋体"/>
                <w:color w:val="auto"/>
                <w:sz w:val="24"/>
                <w:highlight w:val="none"/>
              </w:rPr>
              <w:t>分钟内（以本项目网上招投标系统解密倒计时为准）。</w:t>
            </w:r>
          </w:p>
        </w:tc>
      </w:tr>
      <w:tr w14:paraId="7B52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380871A">
            <w:pPr>
              <w:pStyle w:val="47"/>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14.1</w:t>
            </w:r>
          </w:p>
        </w:tc>
        <w:tc>
          <w:tcPr>
            <w:tcW w:w="2184" w:type="dxa"/>
            <w:vAlign w:val="center"/>
          </w:tcPr>
          <w:p w14:paraId="0D167078">
            <w:pPr>
              <w:pStyle w:val="46"/>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资格审查</w:t>
            </w:r>
          </w:p>
        </w:tc>
        <w:tc>
          <w:tcPr>
            <w:tcW w:w="6149" w:type="dxa"/>
            <w:vAlign w:val="center"/>
          </w:tcPr>
          <w:p w14:paraId="5057A28D">
            <w:pPr>
              <w:pStyle w:val="46"/>
              <w:widowControl w:val="0"/>
              <w:spacing w:before="0" w:beforeAutospacing="0" w:after="0" w:afterAutospacing="0" w:line="440" w:lineRule="exact"/>
              <w:jc w:val="both"/>
              <w:rPr>
                <w:rFonts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rPr>
              <w:t>采购人审查</w:t>
            </w:r>
          </w:p>
          <w:p w14:paraId="519D9BA1">
            <w:pPr>
              <w:pStyle w:val="46"/>
              <w:widowControl w:val="0"/>
              <w:spacing w:before="0" w:beforeAutospacing="0" w:after="0" w:afterAutospacing="0" w:line="440" w:lineRule="exact"/>
              <w:jc w:val="both"/>
              <w:rPr>
                <w:rFonts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rPr>
              <w:t>采购人出具委托函委托采购代理机构进行审查</w:t>
            </w:r>
          </w:p>
        </w:tc>
      </w:tr>
      <w:tr w14:paraId="7F2D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4C4F1E07">
            <w:pPr>
              <w:pStyle w:val="47"/>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17.2</w:t>
            </w:r>
          </w:p>
        </w:tc>
        <w:tc>
          <w:tcPr>
            <w:tcW w:w="2184" w:type="dxa"/>
            <w:vAlign w:val="center"/>
          </w:tcPr>
          <w:p w14:paraId="6BD74615">
            <w:pPr>
              <w:pStyle w:val="46"/>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评标方法</w:t>
            </w:r>
          </w:p>
        </w:tc>
        <w:tc>
          <w:tcPr>
            <w:tcW w:w="6149" w:type="dxa"/>
            <w:vAlign w:val="center"/>
          </w:tcPr>
          <w:p w14:paraId="00E36B48">
            <w:pPr>
              <w:pStyle w:val="46"/>
              <w:widowControl w:val="0"/>
              <w:spacing w:before="0" w:beforeAutospacing="0" w:after="0" w:afterAutospacing="0" w:line="440" w:lineRule="exact"/>
              <w:jc w:val="both"/>
              <w:rPr>
                <w:rFonts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highlight w:val="none"/>
              </w:rPr>
              <w:t>最低评标价法</w:t>
            </w:r>
          </w:p>
          <w:p w14:paraId="7A63E785">
            <w:pPr>
              <w:pStyle w:val="46"/>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highlight w:val="none"/>
              </w:rPr>
              <w:t>综合评分法</w:t>
            </w:r>
          </w:p>
        </w:tc>
      </w:tr>
      <w:tr w14:paraId="0F5D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0985BA52">
            <w:pPr>
              <w:pStyle w:val="47"/>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17.3</w:t>
            </w:r>
          </w:p>
        </w:tc>
        <w:tc>
          <w:tcPr>
            <w:tcW w:w="2184" w:type="dxa"/>
            <w:vAlign w:val="center"/>
          </w:tcPr>
          <w:p w14:paraId="620F7B0F">
            <w:pPr>
              <w:pStyle w:val="46"/>
              <w:widowControl w:val="0"/>
              <w:spacing w:before="0" w:beforeAutospacing="0" w:after="0" w:afterAutospacing="0" w:line="440" w:lineRule="exact"/>
              <w:jc w:val="both"/>
              <w:rPr>
                <w:rFonts w:ascii="宋体" w:hAnsi="宋体" w:eastAsia="宋体" w:cs="宋体"/>
                <w:b w:val="0"/>
                <w:i/>
                <w:color w:val="auto"/>
                <w:sz w:val="24"/>
                <w:highlight w:val="none"/>
              </w:rPr>
            </w:pPr>
            <w:r>
              <w:rPr>
                <w:rFonts w:hint="eastAsia" w:ascii="宋体" w:hAnsi="宋体" w:eastAsia="宋体" w:cs="宋体"/>
                <w:b w:val="0"/>
                <w:color w:val="auto"/>
                <w:sz w:val="24"/>
                <w:highlight w:val="none"/>
              </w:rPr>
              <w:t>报价扣除（非专门面向中小企业采购项目适用）</w:t>
            </w:r>
          </w:p>
        </w:tc>
        <w:tc>
          <w:tcPr>
            <w:tcW w:w="6149" w:type="dxa"/>
            <w:vAlign w:val="center"/>
          </w:tcPr>
          <w:p w14:paraId="36F8A860">
            <w:pPr>
              <w:pStyle w:val="46"/>
              <w:keepNext w:val="0"/>
              <w:keepLines w:val="0"/>
              <w:widowControl w:val="0"/>
              <w:suppressLineNumbers w:val="0"/>
              <w:spacing w:before="0" w:beforeAutospacing="0" w:after="0" w:afterAutospacing="0" w:line="500" w:lineRule="exact"/>
              <w:ind w:left="0" w:right="0"/>
              <w:jc w:val="both"/>
              <w:rPr>
                <w:rFonts w:hint="default" w:ascii="宋体" w:hAnsi="宋体" w:eastAsia="宋体"/>
                <w:b w:val="0"/>
                <w:color w:val="auto"/>
                <w:sz w:val="24"/>
                <w:highlight w:val="none"/>
              </w:rPr>
            </w:pPr>
            <w:r>
              <w:rPr>
                <w:rFonts w:hint="eastAsia" w:ascii="宋体" w:hAnsi="宋体" w:eastAsia="宋体" w:cs="宋体"/>
                <w:b w:val="0"/>
                <w:color w:val="auto"/>
                <w:sz w:val="24"/>
                <w:highlight w:val="none"/>
              </w:rPr>
              <w:t>（1）</w:t>
            </w:r>
            <w:r>
              <w:rPr>
                <w:rFonts w:hint="default"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rPr>
              <w:t>对小型和微型企业的价格给予10%的扣除后参与评审；</w:t>
            </w:r>
          </w:p>
          <w:p w14:paraId="1FB5146E">
            <w:pPr>
              <w:pStyle w:val="46"/>
              <w:keepNext w:val="0"/>
              <w:keepLines w:val="0"/>
              <w:widowControl w:val="0"/>
              <w:suppressLineNumbers w:val="0"/>
              <w:spacing w:before="0" w:beforeAutospacing="0" w:after="0" w:afterAutospacing="0" w:line="500" w:lineRule="exact"/>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（2）监狱企业价格扣除：同</w:t>
            </w:r>
            <w:r>
              <w:rPr>
                <w:rFonts w:hint="default"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0D47E4B3">
            <w:pPr>
              <w:pStyle w:val="46"/>
              <w:keepNext w:val="0"/>
              <w:keepLines w:val="0"/>
              <w:widowControl w:val="0"/>
              <w:suppressLineNumbers w:val="0"/>
              <w:spacing w:before="0" w:beforeAutospacing="0" w:after="0" w:afterAutospacing="0" w:line="500" w:lineRule="exact"/>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（3）残疾人福利性单位价格扣除：同</w:t>
            </w:r>
            <w:r>
              <w:rPr>
                <w:rFonts w:hint="default"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7C692446">
            <w:pPr>
              <w:pStyle w:val="46"/>
              <w:keepNext w:val="0"/>
              <w:keepLines w:val="0"/>
              <w:widowControl w:val="0"/>
              <w:suppressLineNumbers w:val="0"/>
              <w:spacing w:before="0" w:beforeAutospacing="0" w:after="0" w:afterAutospacing="0" w:line="500" w:lineRule="exact"/>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cs="宋体"/>
                <w:bCs/>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171FE11D">
            <w:pPr>
              <w:pStyle w:val="46"/>
              <w:widowControl w:val="0"/>
              <w:spacing w:before="0" w:beforeAutospacing="0" w:after="0" w:afterAutospacing="0" w:line="440" w:lineRule="exact"/>
              <w:jc w:val="both"/>
              <w:rPr>
                <w:rFonts w:hint="eastAsia" w:ascii="宋体" w:hAnsi="宋体" w:eastAsia="宋体" w:cs="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u w:val="single"/>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cs="宋体"/>
                <w:b w:val="0"/>
                <w:color w:val="auto"/>
                <w:sz w:val="24"/>
                <w:highlight w:val="none"/>
              </w:rPr>
              <w:t>。</w:t>
            </w:r>
          </w:p>
        </w:tc>
      </w:tr>
      <w:tr w14:paraId="5796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23E9F77B">
            <w:pPr>
              <w:pStyle w:val="47"/>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21.1</w:t>
            </w:r>
          </w:p>
        </w:tc>
        <w:tc>
          <w:tcPr>
            <w:tcW w:w="2184" w:type="dxa"/>
            <w:vAlign w:val="center"/>
          </w:tcPr>
          <w:p w14:paraId="307EB009">
            <w:pPr>
              <w:pStyle w:val="46"/>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评标委员会推荐中标候选人的数量</w:t>
            </w:r>
          </w:p>
        </w:tc>
        <w:tc>
          <w:tcPr>
            <w:tcW w:w="6149" w:type="dxa"/>
            <w:vAlign w:val="center"/>
          </w:tcPr>
          <w:p w14:paraId="2E2F806F">
            <w:pPr>
              <w:pStyle w:val="46"/>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评标委员会推荐3名中标候选人。</w:t>
            </w:r>
          </w:p>
        </w:tc>
      </w:tr>
      <w:tr w14:paraId="2E81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1B8F2E46">
            <w:pPr>
              <w:pStyle w:val="47"/>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21.2</w:t>
            </w:r>
          </w:p>
        </w:tc>
        <w:tc>
          <w:tcPr>
            <w:tcW w:w="2184" w:type="dxa"/>
            <w:vAlign w:val="center"/>
          </w:tcPr>
          <w:p w14:paraId="211A6540">
            <w:pPr>
              <w:pStyle w:val="46"/>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确定中标人</w:t>
            </w:r>
          </w:p>
        </w:tc>
        <w:tc>
          <w:tcPr>
            <w:tcW w:w="6149" w:type="dxa"/>
            <w:vAlign w:val="center"/>
          </w:tcPr>
          <w:p w14:paraId="0476A51C">
            <w:pPr>
              <w:spacing w:line="44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A8"/>
            </w:r>
            <w:r>
              <w:rPr>
                <w:rFonts w:hint="eastAsia" w:ascii="宋体" w:hAnsi="宋体" w:eastAsia="宋体" w:cs="宋体"/>
                <w:color w:val="auto"/>
                <w:kern w:val="0"/>
                <w:sz w:val="24"/>
                <w:szCs w:val="24"/>
                <w:highlight w:val="none"/>
              </w:rPr>
              <w:t>采购人委托评标委员会确定</w:t>
            </w:r>
          </w:p>
          <w:p w14:paraId="5B13A881">
            <w:pPr>
              <w:pStyle w:val="46"/>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bCs w:val="0"/>
                <w:color w:val="auto"/>
                <w:kern w:val="2"/>
                <w:sz w:val="24"/>
                <w:szCs w:val="24"/>
                <w:highlight w:val="none"/>
              </w:rPr>
              <w:t>☑采购人确定</w:t>
            </w:r>
          </w:p>
        </w:tc>
      </w:tr>
      <w:tr w14:paraId="7151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49CE6D35">
            <w:pPr>
              <w:pStyle w:val="47"/>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23.3</w:t>
            </w:r>
          </w:p>
        </w:tc>
        <w:tc>
          <w:tcPr>
            <w:tcW w:w="2184" w:type="dxa"/>
            <w:vAlign w:val="center"/>
          </w:tcPr>
          <w:p w14:paraId="1BF1D329">
            <w:pPr>
              <w:pStyle w:val="46"/>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随中标结果公告同时公告的内容</w:t>
            </w:r>
          </w:p>
        </w:tc>
        <w:tc>
          <w:tcPr>
            <w:tcW w:w="6149" w:type="dxa"/>
            <w:vAlign w:val="center"/>
          </w:tcPr>
          <w:p w14:paraId="45CDA5F8">
            <w:pPr>
              <w:pStyle w:val="46"/>
              <w:widowControl w:val="0"/>
              <w:numPr>
                <w:ilvl w:val="0"/>
                <w:numId w:val="2"/>
              </w:numPr>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中小企业声明函；</w:t>
            </w:r>
          </w:p>
          <w:p w14:paraId="2E6A0BD5">
            <w:pPr>
              <w:pStyle w:val="46"/>
              <w:widowControl w:val="0"/>
              <w:spacing w:before="0" w:beforeAutospacing="0" w:after="0" w:afterAutospacing="0" w:line="440" w:lineRule="exact"/>
              <w:jc w:val="both"/>
              <w:rPr>
                <w:rFonts w:ascii="宋体" w:hAnsi="宋体" w:eastAsia="宋体" w:cs="宋体"/>
                <w:b w:val="0"/>
                <w:i/>
                <w:color w:val="auto"/>
                <w:sz w:val="24"/>
                <w:highlight w:val="none"/>
              </w:rPr>
            </w:pPr>
            <w:r>
              <w:rPr>
                <w:rFonts w:hint="eastAsia" w:ascii="宋体" w:hAnsi="宋体" w:eastAsia="宋体" w:cs="宋体"/>
                <w:b w:val="0"/>
                <w:color w:val="auto"/>
                <w:sz w:val="24"/>
                <w:highlight w:val="none"/>
              </w:rPr>
              <w:t>（2）残疾人福利性单位声明函；</w:t>
            </w:r>
            <w:r>
              <w:rPr>
                <w:rFonts w:hint="eastAsia" w:ascii="宋体" w:hAnsi="宋体" w:eastAsia="宋体" w:cs="宋体"/>
                <w:b w:val="0"/>
                <w:i/>
                <w:iCs/>
                <w:color w:val="auto"/>
                <w:sz w:val="24"/>
                <w:highlight w:val="none"/>
              </w:rPr>
              <w:t>（如有）</w:t>
            </w:r>
          </w:p>
          <w:p w14:paraId="412AFF78">
            <w:pPr>
              <w:pStyle w:val="46"/>
              <w:widowControl w:val="0"/>
              <w:spacing w:before="0" w:beforeAutospacing="0" w:after="0" w:afterAutospacing="0" w:line="440" w:lineRule="exact"/>
              <w:jc w:val="both"/>
              <w:rPr>
                <w:rFonts w:ascii="宋体" w:hAnsi="宋体" w:eastAsia="宋体" w:cs="宋体"/>
                <w:b w:val="0"/>
                <w:bCs w:val="0"/>
                <w:color w:val="auto"/>
                <w:sz w:val="24"/>
                <w:szCs w:val="24"/>
                <w:highlight w:val="none"/>
              </w:rPr>
            </w:pPr>
            <w:r>
              <w:rPr>
                <w:rFonts w:hint="eastAsia" w:ascii="宋体" w:hAnsi="宋体" w:eastAsia="宋体" w:cs="宋体"/>
                <w:b w:val="0"/>
                <w:color w:val="auto"/>
                <w:sz w:val="24"/>
                <w:highlight w:val="none"/>
              </w:rPr>
              <w:t>（3）中标（成交）供应商的评审总得分。</w:t>
            </w:r>
          </w:p>
        </w:tc>
      </w:tr>
      <w:tr w14:paraId="7B31D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566D202">
            <w:pPr>
              <w:pStyle w:val="47"/>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24.1</w:t>
            </w:r>
          </w:p>
        </w:tc>
        <w:tc>
          <w:tcPr>
            <w:tcW w:w="2184" w:type="dxa"/>
            <w:vAlign w:val="center"/>
          </w:tcPr>
          <w:p w14:paraId="3753035C">
            <w:pPr>
              <w:pStyle w:val="46"/>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中标通知书发出的形式</w:t>
            </w:r>
          </w:p>
        </w:tc>
        <w:tc>
          <w:tcPr>
            <w:tcW w:w="6149" w:type="dxa"/>
            <w:vAlign w:val="center"/>
          </w:tcPr>
          <w:p w14:paraId="5A5FC9CA">
            <w:pPr>
              <w:pStyle w:val="46"/>
              <w:widowControl w:val="0"/>
              <w:spacing w:before="0" w:beforeAutospacing="0" w:after="0" w:afterAutospacing="0" w:line="440" w:lineRule="exact"/>
              <w:jc w:val="both"/>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FE"/>
            </w:r>
            <w:r>
              <w:rPr>
                <w:rFonts w:hint="eastAsia" w:ascii="宋体" w:hAnsi="宋体" w:eastAsia="宋体" w:cs="宋体"/>
                <w:b w:val="0"/>
                <w:bCs w:val="0"/>
                <w:color w:val="auto"/>
                <w:sz w:val="24"/>
                <w:szCs w:val="24"/>
                <w:highlight w:val="none"/>
              </w:rPr>
              <w:t>数据电文</w:t>
            </w:r>
          </w:p>
        </w:tc>
      </w:tr>
      <w:tr w14:paraId="3867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29D983E3">
            <w:pPr>
              <w:pStyle w:val="47"/>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25.1</w:t>
            </w:r>
          </w:p>
        </w:tc>
        <w:tc>
          <w:tcPr>
            <w:tcW w:w="2184" w:type="dxa"/>
            <w:vAlign w:val="center"/>
          </w:tcPr>
          <w:p w14:paraId="00C8A86D">
            <w:pPr>
              <w:pStyle w:val="46"/>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告知招标结果的形式</w:t>
            </w:r>
          </w:p>
        </w:tc>
        <w:tc>
          <w:tcPr>
            <w:tcW w:w="6149" w:type="dxa"/>
            <w:vAlign w:val="center"/>
          </w:tcPr>
          <w:p w14:paraId="7C959AF6">
            <w:pPr>
              <w:spacing w:line="440" w:lineRule="exac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FE"/>
            </w:r>
            <w:r>
              <w:rPr>
                <w:rFonts w:hint="eastAsia" w:ascii="宋体" w:hAnsi="宋体" w:eastAsia="宋体" w:cs="宋体"/>
                <w:color w:val="auto"/>
                <w:kern w:val="0"/>
                <w:sz w:val="24"/>
                <w:szCs w:val="24"/>
                <w:highlight w:val="none"/>
              </w:rPr>
              <w:t>投标人自行登录电子</w:t>
            </w:r>
            <w:r>
              <w:rPr>
                <w:rFonts w:hint="eastAsia" w:ascii="宋体" w:hAnsi="宋体" w:eastAsia="宋体" w:cs="宋体"/>
                <w:color w:val="auto"/>
                <w:sz w:val="24"/>
                <w:szCs w:val="24"/>
                <w:highlight w:val="none"/>
              </w:rPr>
              <w:t>交易</w:t>
            </w:r>
            <w:r>
              <w:rPr>
                <w:rFonts w:hint="eastAsia" w:ascii="宋体" w:hAnsi="宋体" w:eastAsia="宋体" w:cs="宋体"/>
                <w:color w:val="auto"/>
                <w:kern w:val="0"/>
                <w:sz w:val="24"/>
                <w:szCs w:val="24"/>
                <w:highlight w:val="none"/>
              </w:rPr>
              <w:t>系统查看</w:t>
            </w:r>
          </w:p>
          <w:p w14:paraId="45C1D509">
            <w:pPr>
              <w:pStyle w:val="46"/>
              <w:widowControl w:val="0"/>
              <w:spacing w:before="0" w:beforeAutospacing="0" w:after="0" w:afterAutospacing="0" w:line="440" w:lineRule="exact"/>
              <w:jc w:val="both"/>
              <w:rPr>
                <w:rFonts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□评标现场告知</w:t>
            </w:r>
          </w:p>
        </w:tc>
      </w:tr>
      <w:tr w14:paraId="6C73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ED3F5D9">
            <w:pPr>
              <w:pStyle w:val="47"/>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26.1</w:t>
            </w:r>
          </w:p>
        </w:tc>
        <w:tc>
          <w:tcPr>
            <w:tcW w:w="2184" w:type="dxa"/>
            <w:vAlign w:val="center"/>
          </w:tcPr>
          <w:p w14:paraId="0317862D">
            <w:pPr>
              <w:pStyle w:val="46"/>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6149" w:type="dxa"/>
          </w:tcPr>
          <w:p w14:paraId="7C217518">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（1）金额：</w:t>
            </w:r>
          </w:p>
          <w:p w14:paraId="36EA1587">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☑免收</w:t>
            </w:r>
          </w:p>
          <w:p w14:paraId="109057D9">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□合同价的</w:t>
            </w:r>
            <w:r>
              <w:rPr>
                <w:rFonts w:hint="eastAsia" w:ascii="宋体" w:hAnsi="宋体" w:eastAsia="宋体" w:cs="宋体"/>
                <w:bCs/>
                <w:color w:val="auto"/>
                <w:sz w:val="24"/>
                <w:highlight w:val="none"/>
                <w:u w:val="single"/>
              </w:rPr>
              <w:t>/</w:t>
            </w:r>
            <w:r>
              <w:rPr>
                <w:rFonts w:hint="eastAsia" w:ascii="宋体" w:hAnsi="宋体" w:eastAsia="宋体" w:cs="宋体"/>
                <w:bCs/>
                <w:color w:val="auto"/>
                <w:kern w:val="0"/>
                <w:sz w:val="24"/>
                <w:szCs w:val="28"/>
                <w:highlight w:val="none"/>
              </w:rPr>
              <w:t>%</w:t>
            </w:r>
          </w:p>
          <w:p w14:paraId="3FF9797F">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□定额收取：人民币</w:t>
            </w:r>
            <w:r>
              <w:rPr>
                <w:rFonts w:hint="eastAsia" w:ascii="宋体" w:hAnsi="宋体" w:eastAsia="宋体" w:cs="宋体"/>
                <w:bCs/>
                <w:color w:val="auto"/>
                <w:sz w:val="24"/>
                <w:highlight w:val="none"/>
                <w:u w:val="single"/>
              </w:rPr>
              <w:t>/</w:t>
            </w:r>
            <w:r>
              <w:rPr>
                <w:rFonts w:hint="eastAsia" w:ascii="宋体" w:hAnsi="宋体" w:eastAsia="宋体" w:cs="宋体"/>
                <w:bCs/>
                <w:color w:val="auto"/>
                <w:kern w:val="0"/>
                <w:sz w:val="24"/>
                <w:szCs w:val="28"/>
                <w:highlight w:val="none"/>
              </w:rPr>
              <w:t>元</w:t>
            </w:r>
          </w:p>
          <w:p w14:paraId="78751334">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（2）支付方式：</w:t>
            </w:r>
          </w:p>
          <w:p w14:paraId="7520DF05">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转账/电汇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支票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汇票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本票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保险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保函</w:t>
            </w:r>
          </w:p>
          <w:p w14:paraId="525C298D">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（3）收取单位：</w:t>
            </w:r>
            <w:r>
              <w:rPr>
                <w:rFonts w:hint="eastAsia" w:ascii="宋体" w:hAnsi="宋体" w:eastAsia="宋体" w:cs="宋体"/>
                <w:bCs/>
                <w:color w:val="auto"/>
                <w:sz w:val="24"/>
                <w:highlight w:val="none"/>
                <w:u w:val="single"/>
              </w:rPr>
              <w:t>/</w:t>
            </w:r>
            <w:r>
              <w:rPr>
                <w:rFonts w:hint="eastAsia" w:ascii="宋体" w:hAnsi="宋体" w:eastAsia="宋体" w:cs="宋体"/>
                <w:bCs/>
                <w:color w:val="auto"/>
                <w:kern w:val="0"/>
                <w:sz w:val="24"/>
                <w:szCs w:val="28"/>
                <w:highlight w:val="none"/>
              </w:rPr>
              <w:t xml:space="preserve">              </w:t>
            </w:r>
          </w:p>
          <w:p w14:paraId="11044951">
            <w:pPr>
              <w:spacing w:line="440" w:lineRule="exact"/>
              <w:rPr>
                <w:rFonts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（4）收取账号：</w:t>
            </w:r>
            <w:r>
              <w:rPr>
                <w:rFonts w:hint="eastAsia" w:ascii="宋体" w:hAnsi="宋体" w:eastAsia="宋体" w:cs="宋体"/>
                <w:bCs/>
                <w:color w:val="auto"/>
                <w:sz w:val="24"/>
                <w:highlight w:val="none"/>
                <w:u w:val="single"/>
              </w:rPr>
              <w:t>/</w:t>
            </w:r>
          </w:p>
          <w:p w14:paraId="370DA357">
            <w:pPr>
              <w:spacing w:line="440" w:lineRule="exact"/>
              <w:rPr>
                <w:rFonts w:ascii="宋体" w:hAnsi="宋体" w:eastAsia="宋体" w:cs="宋体"/>
                <w:color w:val="auto"/>
                <w:sz w:val="24"/>
                <w:highlight w:val="none"/>
              </w:rPr>
            </w:pPr>
            <w:r>
              <w:rPr>
                <w:rFonts w:hint="eastAsia" w:ascii="宋体" w:hAnsi="宋体" w:eastAsia="宋体" w:cs="宋体"/>
                <w:bCs/>
                <w:color w:val="auto"/>
                <w:kern w:val="0"/>
                <w:sz w:val="24"/>
                <w:szCs w:val="28"/>
                <w:highlight w:val="none"/>
              </w:rPr>
              <w:t>（5）</w:t>
            </w:r>
            <w:r>
              <w:rPr>
                <w:rFonts w:hint="eastAsia" w:ascii="宋体" w:hAnsi="宋体" w:eastAsia="宋体" w:cs="宋体"/>
                <w:color w:val="auto"/>
                <w:sz w:val="24"/>
                <w:highlight w:val="none"/>
              </w:rPr>
              <w:t>退还时间：</w:t>
            </w:r>
            <w:r>
              <w:rPr>
                <w:rFonts w:hint="eastAsia" w:ascii="宋体" w:hAnsi="宋体" w:eastAsia="宋体" w:cs="宋体"/>
                <w:bCs/>
                <w:color w:val="auto"/>
                <w:sz w:val="24"/>
                <w:highlight w:val="none"/>
                <w:u w:val="single"/>
              </w:rPr>
              <w:t>/</w:t>
            </w:r>
          </w:p>
          <w:p w14:paraId="2D068DAE">
            <w:pPr>
              <w:spacing w:line="440" w:lineRule="exac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3AD40BB8">
            <w:pPr>
              <w:spacing w:line="440" w:lineRule="exac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66988A18">
            <w:pPr>
              <w:spacing w:line="440" w:lineRule="exac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（2）以担保函、保证保险形式缴纳履约保证金的，受益人和收取单位须为采购人。</w:t>
            </w:r>
          </w:p>
        </w:tc>
      </w:tr>
      <w:tr w14:paraId="18AD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6F7CBD45">
            <w:pPr>
              <w:pStyle w:val="47"/>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27.1</w:t>
            </w:r>
          </w:p>
        </w:tc>
        <w:tc>
          <w:tcPr>
            <w:tcW w:w="2184" w:type="dxa"/>
            <w:vAlign w:val="center"/>
          </w:tcPr>
          <w:p w14:paraId="2F79355B">
            <w:pPr>
              <w:pStyle w:val="46"/>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签订合同和合同公告时间</w:t>
            </w:r>
          </w:p>
        </w:tc>
        <w:tc>
          <w:tcPr>
            <w:tcW w:w="6149" w:type="dxa"/>
          </w:tcPr>
          <w:p w14:paraId="7C0A3D4F">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（1）采购人与中标人应当自发出中标通知书之日起7个工作日内签订合同，采购合同签订之日起2个工作日内完成政府采购合同公开。</w:t>
            </w:r>
          </w:p>
          <w:p w14:paraId="67EA193E">
            <w:pPr>
              <w:adjustRightInd w:val="0"/>
              <w:snapToGrid w:val="0"/>
              <w:spacing w:line="440" w:lineRule="exact"/>
              <w:rPr>
                <w:rFonts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2）采购人与中标人不得擅自变更合同，依照政府采购法确需变更政府采购合同内容的，采购人应当自合同变更之日起2个工作日内在安徽省政府采购网和滁州市公共资源交易中心网发布政府采购合同变更公告，但涉及国家秘密、商业秘密的信息和其他依法不得公开的信息除外。</w:t>
            </w:r>
          </w:p>
        </w:tc>
      </w:tr>
      <w:tr w14:paraId="7FCE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1A7076C5">
            <w:pPr>
              <w:pStyle w:val="47"/>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28.1</w:t>
            </w:r>
          </w:p>
        </w:tc>
        <w:tc>
          <w:tcPr>
            <w:tcW w:w="2184" w:type="dxa"/>
            <w:vAlign w:val="center"/>
          </w:tcPr>
          <w:p w14:paraId="3C49E957">
            <w:pPr>
              <w:pStyle w:val="46"/>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代理费用</w:t>
            </w:r>
          </w:p>
        </w:tc>
        <w:tc>
          <w:tcPr>
            <w:tcW w:w="6149" w:type="dxa"/>
            <w:vAlign w:val="center"/>
          </w:tcPr>
          <w:p w14:paraId="2AA89BE9">
            <w:pPr>
              <w:spacing w:before="39" w:line="440" w:lineRule="exact"/>
              <w:rPr>
                <w:rFonts w:ascii="宋体" w:hAnsi="宋体" w:eastAsia="宋体" w:cs="宋体"/>
                <w:color w:val="auto"/>
                <w:sz w:val="24"/>
                <w:szCs w:val="24"/>
                <w:highlight w:val="none"/>
              </w:rPr>
            </w:pPr>
            <w:r>
              <w:rPr>
                <w:rFonts w:hint="eastAsia" w:ascii="宋体" w:hAnsi="宋体" w:eastAsia="宋体" w:cs="宋体"/>
                <w:bCs/>
                <w:color w:val="auto"/>
                <w:kern w:val="0"/>
                <w:sz w:val="24"/>
                <w:szCs w:val="28"/>
                <w:highlight w:val="none"/>
              </w:rPr>
              <w:t>（1）收费对象</w:t>
            </w:r>
            <w:r>
              <w:rPr>
                <w:rFonts w:hint="eastAsia" w:ascii="宋体" w:hAnsi="宋体" w:eastAsia="宋体" w:cs="宋体"/>
                <w:color w:val="auto"/>
                <w:spacing w:val="-12"/>
                <w:sz w:val="24"/>
                <w:szCs w:val="24"/>
                <w:highlight w:val="none"/>
              </w:rPr>
              <w:t>：</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color w:val="auto"/>
                <w:spacing w:val="14"/>
                <w:sz w:val="24"/>
                <w:szCs w:val="24"/>
                <w:highlight w:val="none"/>
              </w:rPr>
              <w:t xml:space="preserve">采购人   </w:t>
            </w:r>
            <w:r>
              <w:rPr>
                <w:rFonts w:hint="eastAsia" w:ascii="宋体" w:hAnsi="宋体" w:eastAsia="宋体" w:cs="宋体"/>
                <w:bCs/>
                <w:color w:val="auto"/>
                <w:kern w:val="0"/>
                <w:sz w:val="24"/>
                <w:szCs w:val="28"/>
                <w:highlight w:val="none"/>
              </w:rPr>
              <w:sym w:font="Wingdings" w:char="00FE"/>
            </w:r>
            <w:r>
              <w:rPr>
                <w:rFonts w:hint="eastAsia" w:ascii="宋体" w:hAnsi="宋体" w:eastAsia="宋体" w:cs="宋体"/>
                <w:color w:val="auto"/>
                <w:spacing w:val="14"/>
                <w:sz w:val="24"/>
                <w:szCs w:val="24"/>
                <w:highlight w:val="none"/>
              </w:rPr>
              <w:t>中标人</w:t>
            </w:r>
          </w:p>
          <w:p w14:paraId="52D1C9F1">
            <w:pPr>
              <w:spacing w:before="24" w:line="440" w:lineRule="exact"/>
              <w:rPr>
                <w:rFonts w:hint="eastAsia" w:ascii="宋体" w:hAnsi="宋体" w:eastAsia="宋体" w:cs="宋体"/>
                <w:bCs/>
                <w:color w:val="auto"/>
                <w:kern w:val="0"/>
                <w:sz w:val="24"/>
                <w:szCs w:val="28"/>
                <w:highlight w:val="none"/>
                <w:lang w:eastAsia="zh-CN"/>
              </w:rPr>
            </w:pPr>
            <w:r>
              <w:rPr>
                <w:rFonts w:hint="eastAsia" w:ascii="宋体" w:hAnsi="宋体" w:eastAsia="宋体" w:cs="宋体"/>
                <w:bCs/>
                <w:color w:val="auto"/>
                <w:kern w:val="0"/>
                <w:sz w:val="24"/>
                <w:szCs w:val="28"/>
                <w:highlight w:val="none"/>
              </w:rPr>
              <w:t>（2）收取方式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eastAsia="zh-CN"/>
              </w:rPr>
              <w:t>银行转账</w:t>
            </w:r>
          </w:p>
          <w:p w14:paraId="7CFEA412">
            <w:pPr>
              <w:pStyle w:val="46"/>
              <w:widowControl w:val="0"/>
              <w:spacing w:before="0" w:beforeAutospacing="0" w:after="0" w:afterAutospacing="0" w:line="440" w:lineRule="exact"/>
              <w:jc w:val="both"/>
              <w:rPr>
                <w:rFonts w:hint="eastAsia" w:ascii="宋体" w:hAnsi="宋体" w:eastAsia="宋体" w:cs="宋体"/>
                <w:b w:val="0"/>
                <w:color w:val="auto"/>
                <w:sz w:val="24"/>
                <w:highlight w:val="none"/>
                <w:lang w:eastAsia="zh-CN"/>
              </w:rPr>
            </w:pPr>
            <w:r>
              <w:rPr>
                <w:rFonts w:hint="eastAsia" w:ascii="宋体" w:hAnsi="宋体" w:eastAsia="宋体" w:cs="宋体"/>
                <w:b w:val="0"/>
                <w:bCs w:val="0"/>
                <w:color w:val="auto"/>
                <w:sz w:val="24"/>
                <w:highlight w:val="none"/>
              </w:rPr>
              <w:t>（3）</w:t>
            </w:r>
            <w:r>
              <w:rPr>
                <w:rFonts w:hint="eastAsia" w:ascii="宋体" w:hAnsi="宋体" w:eastAsia="宋体" w:cs="宋体"/>
                <w:b w:val="0"/>
                <w:color w:val="auto"/>
                <w:sz w:val="24"/>
                <w:highlight w:val="none"/>
              </w:rPr>
              <w:t>收费标准：</w:t>
            </w:r>
            <w:r>
              <w:rPr>
                <w:rFonts w:hint="eastAsia" w:ascii="宋体" w:hAnsi="宋体" w:eastAsia="宋体" w:cs="宋体"/>
                <w:b w:val="0"/>
                <w:color w:val="auto"/>
                <w:sz w:val="24"/>
                <w:highlight w:val="none"/>
                <w:u w:val="single"/>
                <w:lang w:eastAsia="zh-CN"/>
              </w:rPr>
              <w:t>代理费服务费</w:t>
            </w:r>
            <w:r>
              <w:rPr>
                <w:rFonts w:hint="eastAsia" w:ascii="宋体" w:hAnsi="宋体" w:eastAsia="宋体" w:cs="宋体"/>
                <w:b w:val="0"/>
                <w:color w:val="auto"/>
                <w:sz w:val="24"/>
                <w:highlight w:val="none"/>
                <w:u w:val="single"/>
                <w:lang w:val="en-US" w:eastAsia="zh-CN"/>
              </w:rPr>
              <w:t>7500元。参考《关于进一步明确代理费计取标准的通知》（滁公管综〔2023〕19号）标准</w:t>
            </w:r>
            <w:r>
              <w:rPr>
                <w:rFonts w:hint="eastAsia" w:ascii="宋体" w:hAnsi="宋体" w:eastAsia="宋体" w:cs="宋体"/>
                <w:b w:val="0"/>
                <w:bCs w:val="0"/>
                <w:color w:val="auto"/>
                <w:kern w:val="2"/>
                <w:sz w:val="24"/>
                <w:szCs w:val="24"/>
                <w:highlight w:val="none"/>
                <w:u w:val="single"/>
                <w:lang w:eastAsia="zh-CN"/>
              </w:rPr>
              <w:t>。</w:t>
            </w:r>
          </w:p>
        </w:tc>
      </w:tr>
      <w:tr w14:paraId="5F43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5E06D367">
            <w:pPr>
              <w:pStyle w:val="47"/>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31.3</w:t>
            </w:r>
          </w:p>
        </w:tc>
        <w:tc>
          <w:tcPr>
            <w:tcW w:w="2184" w:type="dxa"/>
            <w:vAlign w:val="center"/>
          </w:tcPr>
          <w:p w14:paraId="447A7AA0">
            <w:pPr>
              <w:pStyle w:val="46"/>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6149" w:type="dxa"/>
            <w:vAlign w:val="center"/>
          </w:tcPr>
          <w:p w14:paraId="0C9216C2">
            <w:pPr>
              <w:pStyle w:val="46"/>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递交方式：</w:t>
            </w:r>
            <w:r>
              <w:rPr>
                <w:rFonts w:hint="eastAsia" w:ascii="宋体" w:hAnsi="宋体" w:eastAsia="宋体" w:cs="宋体"/>
                <w:b w:val="0"/>
                <w:color w:val="auto"/>
                <w:sz w:val="24"/>
                <w:highlight w:val="none"/>
                <w:u w:val="single"/>
              </w:rPr>
              <w:t>供应商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3F0133F6">
            <w:pPr>
              <w:pStyle w:val="46"/>
              <w:widowControl w:val="0"/>
              <w:spacing w:before="0" w:beforeAutospacing="0" w:after="0" w:afterAutospacing="0" w:line="440" w:lineRule="exact"/>
              <w:jc w:val="both"/>
              <w:rPr>
                <w:rFonts w:ascii="宋体" w:hAnsi="宋体" w:eastAsia="宋体" w:cs="宋体"/>
                <w:b w:val="0"/>
                <w:color w:val="auto"/>
                <w:sz w:val="24"/>
                <w:szCs w:val="18"/>
                <w:highlight w:val="none"/>
              </w:rPr>
            </w:pPr>
            <w:r>
              <w:rPr>
                <w:rFonts w:hint="eastAsia" w:ascii="宋体" w:hAnsi="宋体" w:eastAsia="宋体" w:cs="宋体"/>
                <w:b w:val="0"/>
                <w:color w:val="auto"/>
                <w:sz w:val="24"/>
                <w:highlight w:val="none"/>
              </w:rPr>
              <w:t>接收部门：</w:t>
            </w:r>
            <w:r>
              <w:rPr>
                <w:rFonts w:hint="eastAsia" w:ascii="宋体" w:hAnsi="宋体" w:eastAsia="宋体" w:cs="宋体"/>
                <w:b w:val="0"/>
                <w:color w:val="auto"/>
                <w:sz w:val="24"/>
                <w:highlight w:val="none"/>
                <w:u w:val="single"/>
                <w:lang w:val="en-US" w:eastAsia="zh-CN"/>
              </w:rPr>
              <w:t>滁州市财政局</w:t>
            </w:r>
            <w:r>
              <w:rPr>
                <w:rFonts w:hint="eastAsia" w:ascii="宋体" w:hAnsi="宋体" w:eastAsia="宋体" w:cs="宋体"/>
                <w:b w:val="0"/>
                <w:color w:val="auto"/>
                <w:sz w:val="24"/>
                <w:highlight w:val="none"/>
                <w:u w:val="single"/>
              </w:rPr>
              <w:t>、</w:t>
            </w:r>
            <w:r>
              <w:rPr>
                <w:rFonts w:hint="eastAsia" w:ascii="宋体" w:hAnsi="宋体" w:eastAsia="宋体" w:cs="宋体"/>
                <w:b w:val="0"/>
                <w:color w:val="auto"/>
                <w:sz w:val="24"/>
                <w:highlight w:val="none"/>
                <w:u w:val="single"/>
                <w:lang w:val="en-US" w:eastAsia="zh-CN"/>
              </w:rPr>
              <w:t>滁州市城投工程咨询管理有限公司</w:t>
            </w:r>
          </w:p>
          <w:p w14:paraId="6F48C2CF">
            <w:pPr>
              <w:pStyle w:val="46"/>
              <w:widowControl w:val="0"/>
              <w:spacing w:before="0" w:beforeAutospacing="0" w:after="0" w:afterAutospacing="0" w:line="440" w:lineRule="exact"/>
              <w:jc w:val="both"/>
              <w:rPr>
                <w:rFonts w:ascii="宋体" w:hAnsi="宋体" w:eastAsia="宋体" w:cs="宋体"/>
                <w:b w:val="0"/>
                <w:color w:val="auto"/>
                <w:sz w:val="24"/>
                <w:szCs w:val="18"/>
                <w:highlight w:val="none"/>
              </w:rPr>
            </w:pPr>
            <w:r>
              <w:rPr>
                <w:rFonts w:hint="eastAsia" w:ascii="宋体" w:hAnsi="宋体" w:eastAsia="宋体" w:cs="宋体"/>
                <w:b w:val="0"/>
                <w:color w:val="auto"/>
                <w:sz w:val="24"/>
                <w:highlight w:val="none"/>
              </w:rPr>
              <w:t>联系电话：</w:t>
            </w:r>
            <w:r>
              <w:rPr>
                <w:rFonts w:hint="eastAsia" w:ascii="宋体" w:hAnsi="宋体" w:eastAsia="宋体" w:cs="宋体"/>
                <w:b w:val="0"/>
                <w:color w:val="auto"/>
                <w:sz w:val="24"/>
                <w:highlight w:val="none"/>
                <w:u w:val="single"/>
              </w:rPr>
              <w:t xml:space="preserve"> 0550-</w:t>
            </w:r>
            <w:r>
              <w:rPr>
                <w:rFonts w:hint="eastAsia" w:ascii="宋体" w:hAnsi="宋体" w:eastAsia="宋体" w:cs="宋体"/>
                <w:b w:val="0"/>
                <w:color w:val="auto"/>
                <w:sz w:val="24"/>
                <w:highlight w:val="none"/>
                <w:u w:val="single"/>
                <w:lang w:val="en-US" w:eastAsia="zh-CN"/>
              </w:rPr>
              <w:t>3216511、3216205</w:t>
            </w:r>
            <w:r>
              <w:rPr>
                <w:rFonts w:hint="eastAsia" w:ascii="宋体" w:hAnsi="宋体" w:eastAsia="宋体" w:cs="宋体"/>
                <w:b w:val="0"/>
                <w:color w:val="auto"/>
                <w:sz w:val="24"/>
                <w:highlight w:val="none"/>
                <w:u w:val="single"/>
              </w:rPr>
              <w:t>、0550-3519590、18909605753</w:t>
            </w:r>
          </w:p>
          <w:p w14:paraId="42A06640">
            <w:pPr>
              <w:pStyle w:val="46"/>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b w:val="0"/>
                <w:color w:val="auto"/>
                <w:sz w:val="24"/>
                <w:highlight w:val="none"/>
                <w:u w:val="single"/>
                <w:lang w:val="en-US" w:eastAsia="zh-CN"/>
              </w:rPr>
              <w:t>滁州市龙蟠大道99号政务中心东4</w:t>
            </w:r>
            <w:r>
              <w:rPr>
                <w:rFonts w:hint="eastAsia" w:ascii="宋体" w:hAnsi="宋体" w:eastAsia="宋体" w:cs="宋体"/>
                <w:b w:val="0"/>
                <w:color w:val="auto"/>
                <w:sz w:val="24"/>
                <w:highlight w:val="none"/>
                <w:u w:val="single"/>
              </w:rPr>
              <w:t>楼</w:t>
            </w:r>
            <w:r>
              <w:rPr>
                <w:rFonts w:hint="eastAsia" w:ascii="宋体" w:hAnsi="宋体" w:eastAsia="宋体" w:cs="宋体"/>
                <w:b w:val="0"/>
                <w:color w:val="auto"/>
                <w:sz w:val="24"/>
                <w:highlight w:val="none"/>
                <w:u w:val="single"/>
                <w:lang w:val="en-US" w:eastAsia="zh-CN"/>
              </w:rPr>
              <w:t>、滁州市龙蟠大道109号房产商务大厦6楼</w:t>
            </w:r>
          </w:p>
        </w:tc>
      </w:tr>
      <w:tr w14:paraId="6DEE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12F479FE">
            <w:pPr>
              <w:pStyle w:val="47"/>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33</w:t>
            </w:r>
          </w:p>
        </w:tc>
        <w:tc>
          <w:tcPr>
            <w:tcW w:w="2184" w:type="dxa"/>
            <w:vAlign w:val="center"/>
          </w:tcPr>
          <w:p w14:paraId="29EC0DD8">
            <w:pPr>
              <w:pStyle w:val="46"/>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其他内容</w:t>
            </w:r>
          </w:p>
        </w:tc>
        <w:tc>
          <w:tcPr>
            <w:tcW w:w="6149" w:type="dxa"/>
            <w:vAlign w:val="center"/>
          </w:tcPr>
          <w:p w14:paraId="448B43E1">
            <w:pPr>
              <w:pStyle w:val="46"/>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1、解释权：</w:t>
            </w:r>
          </w:p>
          <w:p w14:paraId="0CA1E317">
            <w:pPr>
              <w:spacing w:line="44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105907FD">
            <w:pPr>
              <w:spacing w:line="44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6CBBCF59">
            <w:pPr>
              <w:spacing w:line="44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5DC97066">
            <w:pPr>
              <w:spacing w:line="44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00C09A7B">
            <w:pPr>
              <w:pStyle w:val="4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（5）按本款前述规定仍不能形成结论的，由采购人负责解释。</w:t>
            </w:r>
          </w:p>
          <w:p w14:paraId="14EEBCCE">
            <w:pPr>
              <w:spacing w:line="44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2、“政采贷”融资指引：有融资需求的</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在取得政府采购中标或成交通知书后，可访问安徽省政府采购网“政采贷”栏目，查看和联系第三方平台或者金融机构，商洽融资事项，确定融资意向。中标人签署政府采购中标（成交）合同后，登录“徽采云”金融服务模块，选择意向产品进行申请，并填写相关信息，“徽采云”金融服务模块将中标人融资申请信息推送第三方平台、意向金融机构。</w:t>
            </w:r>
          </w:p>
          <w:p w14:paraId="01CB07F9">
            <w:pPr>
              <w:pStyle w:val="4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3、电子保函指引：中标人可访问安徽省政府采购网“融资/保函”栏目，申请办理电子保函（包括：履约保函、预付款保函）。</w:t>
            </w:r>
          </w:p>
          <w:p w14:paraId="00288087">
            <w:pPr>
              <w:pStyle w:val="4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4、部分可提供线下政府采购合同融资的部分金融机构</w:t>
            </w:r>
          </w:p>
          <w:p w14:paraId="388DFB5D">
            <w:pPr>
              <w:pStyle w:val="4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市本级</w:t>
            </w:r>
          </w:p>
          <w:p w14:paraId="7F6FCDEF">
            <w:pPr>
              <w:pStyle w:val="4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金融机构名称：兴业银行滁州分行</w:t>
            </w:r>
          </w:p>
          <w:p w14:paraId="47DBDD06">
            <w:pPr>
              <w:pStyle w:val="4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安徽省滁州市琅琊区丰乐大道1090号</w:t>
            </w:r>
          </w:p>
          <w:p w14:paraId="041247AD">
            <w:pPr>
              <w:pStyle w:val="4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伏庚：17755080811</w:t>
            </w:r>
          </w:p>
          <w:p w14:paraId="307D4CE1">
            <w:pPr>
              <w:pStyle w:val="46"/>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5、系统中提供的表格与招标文件中不一致时，以招标文件中提供的表格格式为准。</w:t>
            </w:r>
          </w:p>
          <w:p w14:paraId="1F389F8F">
            <w:pPr>
              <w:pStyle w:val="4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6、特别提示：</w:t>
            </w:r>
          </w:p>
          <w:p w14:paraId="7CA2643C">
            <w:pPr>
              <w:pStyle w:val="4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（1）投标人应填写投标信息并下载招标文件，否则无法上传投标文件。</w:t>
            </w:r>
          </w:p>
          <w:p w14:paraId="22718051">
            <w:pPr>
              <w:pStyle w:val="4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注：投标人如为联合体的，牵头人必须完善投标人信息，并在上传投标文件环节添加联合体投标信息。</w:t>
            </w:r>
          </w:p>
          <w:p w14:paraId="0800861A">
            <w:pPr>
              <w:pStyle w:val="46"/>
              <w:keepNext w:val="0"/>
              <w:keepLines w:val="0"/>
              <w:pageBreakBefore w:val="0"/>
              <w:widowControl w:val="0"/>
              <w:kinsoku/>
              <w:wordWrap w:val="0"/>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5B7C42EF">
            <w:pPr>
              <w:pStyle w:val="4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（3）如果过程中出现招标文件更改，应以最后发布的招标答疑澄清文件中的模板制作本项目最新投标文件。</w:t>
            </w:r>
          </w:p>
          <w:p w14:paraId="24A59A78">
            <w:pPr>
              <w:pStyle w:val="4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（4）投标人应当用本单位CA数字证书制作投标文件，制作成功后进行投标文件上传。 </w:t>
            </w:r>
          </w:p>
          <w:p w14:paraId="3848D169">
            <w:pPr>
              <w:pStyle w:val="4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1D79ECFF">
            <w:pPr>
              <w:pStyle w:val="4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（6）请投标人注意加密投标文件CA数字证书的有效期，不在有效期的CA数字证书无法解密投标文件。</w:t>
            </w:r>
          </w:p>
          <w:p w14:paraId="43604746">
            <w:pPr>
              <w:pStyle w:val="4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（7）投标人投标MAC地址或投标人联系人或联系电话相同的，由评标委员会否决其投标，并报告监管部门作不良行为处理和进一步调查。</w:t>
            </w:r>
          </w:p>
          <w:p w14:paraId="205F8747">
            <w:pPr>
              <w:pStyle w:val="4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（8）投标人单方面出现其他投标人材料的，由评标委员会否决其投标。</w:t>
            </w:r>
          </w:p>
          <w:p w14:paraId="64E114E9">
            <w:pPr>
              <w:pStyle w:val="4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52874B14">
            <w:pPr>
              <w:pStyle w:val="4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25433D70">
            <w:pPr>
              <w:pStyle w:val="4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7.评标过程中的澄清、说明或补正：</w:t>
            </w:r>
          </w:p>
          <w:p w14:paraId="6251391D">
            <w:pPr>
              <w:pStyle w:val="4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4260519E">
            <w:pPr>
              <w:pStyle w:val="4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34B93A6E">
            <w:pPr>
              <w:pStyle w:val="4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8.同义词语：</w:t>
            </w:r>
          </w:p>
          <w:p w14:paraId="63C2E407">
            <w:pPr>
              <w:pStyle w:val="4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招标文件第六章  投标文件格式、附件1“关于联合惩戒失信行为 加强信用查询管理的通知”等章节中 “招标人”、“供应商”，等同于“采购人”、“投标人”。</w:t>
            </w:r>
          </w:p>
          <w:p w14:paraId="3B5A8F99">
            <w:pPr>
              <w:pStyle w:val="46"/>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9.落实政府采购支持节能产品、环境标志产品政策。</w:t>
            </w:r>
          </w:p>
        </w:tc>
      </w:tr>
    </w:tbl>
    <w:p w14:paraId="10C3DA2C">
      <w:pPr>
        <w:spacing w:line="440" w:lineRule="exact"/>
        <w:jc w:val="center"/>
        <w:outlineLvl w:val="1"/>
        <w:rPr>
          <w:rFonts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21" w:name="_Toc9427"/>
      <w:bookmarkStart w:id="22" w:name="_Toc24882"/>
      <w:r>
        <w:rPr>
          <w:rFonts w:hint="eastAsia" w:ascii="宋体" w:hAnsi="宋体" w:eastAsia="宋体" w:cs="宋体"/>
          <w:b/>
          <w:color w:val="auto"/>
          <w:sz w:val="24"/>
          <w:highlight w:val="none"/>
        </w:rPr>
        <w:t>二、投标人须知正文</w:t>
      </w:r>
      <w:bookmarkEnd w:id="21"/>
      <w:bookmarkEnd w:id="22"/>
    </w:p>
    <w:p w14:paraId="7FC65A68">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1.采购人、采购代理机构及投标人</w:t>
      </w:r>
    </w:p>
    <w:p w14:paraId="356F1DF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1.1采购人：是指依法开展政府采购活动的国家机关、事业单位、团体组织。</w:t>
      </w:r>
    </w:p>
    <w:p w14:paraId="22BB3C92">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1.2采购代理机构：是指集中采购机构或从事采购代理业务的社会中介机构。</w:t>
      </w:r>
    </w:p>
    <w:p w14:paraId="23AA1A0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1.3政府采购监督管理部门：各级人民政府指定的有关部门依法履行与政府采购活动有关的监督管理职责。</w:t>
      </w:r>
    </w:p>
    <w:p w14:paraId="53B9B512">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1.4投标人：是指向采购人提供货物、工程或者服务的法人、其他组织或者自然人。分支机构不得参加政府采购活动，但银行、保险、石油石化、电力、电信等特殊行业除外。本项目的投标人须满足以下条件：</w:t>
      </w:r>
    </w:p>
    <w:p w14:paraId="6F88D19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1.4.1具备《中华人民共和国政府采购法》第二十二条关于供应商条件的规定，遵守本项目采购人本级和上级财政部门政府采购的有关规定。</w:t>
      </w:r>
    </w:p>
    <w:p w14:paraId="43867A3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1.4.2以采购代理机构认可的方式获得本项目的招标文件。</w:t>
      </w:r>
    </w:p>
    <w:p w14:paraId="6C465E4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1.4.3若采购需求中写明允许采购进口产品，投标人应保证所投产品可履行合法报通关手续进入中国关境内。</w:t>
      </w:r>
    </w:p>
    <w:p w14:paraId="2EC5EAA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若采购需求中未写明允许采购进口产品，如投标人所投产品为进口产品，其投标将被认定为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42E88E0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1.5若招标公告中允许联合体投标，对联合体规定如下：</w:t>
      </w:r>
    </w:p>
    <w:p w14:paraId="071A520E">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1.5.1两个以上供应商可以组成一个投标联合体，以一个投标人的身份投标。联合体投标的，招标文件获取手续由联合体中任一成员单位办理均可。</w:t>
      </w:r>
    </w:p>
    <w:p w14:paraId="5CC2860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1.5.2联合体各方均应符合《中华人民共和国政府采购法》第二十二条规定的条件。</w:t>
      </w:r>
    </w:p>
    <w:p w14:paraId="2F04C72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1.5.3采购人根据采购项目对投标人的特殊要求，联合体中至少应当有一方符合相关规定。</w:t>
      </w:r>
    </w:p>
    <w:p w14:paraId="7D5F25A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1.5.4联合体各方应签订联合协议，明确约定联合体各方承担的工作和相应的责任，并将联合协议作为投标文件的一部分提交。</w:t>
      </w:r>
    </w:p>
    <w:p w14:paraId="7A34AA5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1.5.5大中型企业、其他自然人、法人或者非法人组织与小型、微型企业组成联合体共同参加投标，联合协议中应写明小型、微型企业的协议合同金额占到联合协议投标总金额的比例。</w:t>
      </w:r>
    </w:p>
    <w:p w14:paraId="0796C47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1.5.6联合体中有同类资质的供应商按照联合体分工承担相同工作的，应当按照资质等级较低的供应商确定资质等级。</w:t>
      </w:r>
    </w:p>
    <w:p w14:paraId="0AB6BDA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1.5.7以联合体形式参加政府采购活动的，联合体各方不得再单独参加或者与其他供应商另外组成联合体参加本项目投标，否则相关投标将被认定为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7E32E20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1.5.8对联合体投标的其他资格要求见申请人的资格要求。</w:t>
      </w:r>
    </w:p>
    <w:p w14:paraId="62389AF6">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2.资金落实情况</w:t>
      </w:r>
    </w:p>
    <w:p w14:paraId="20FB43D2">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2.1本项目的采购人已获得足以支付本次招标后所签订的合同项下的资金。</w:t>
      </w:r>
    </w:p>
    <w:p w14:paraId="650BA9C5">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3.投标费用</w:t>
      </w:r>
    </w:p>
    <w:p w14:paraId="3710DD9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不论投标的结果如何，投标人应承担所有与准备和参加投标有关的费用。</w:t>
      </w:r>
    </w:p>
    <w:p w14:paraId="63722189">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4.适用法律</w:t>
      </w:r>
    </w:p>
    <w:p w14:paraId="4F9B23D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本项目采购人、采购代理机构、投标人、评标委员会的相关行为均受《中华人民共和国政府采购法》、《中</w:t>
      </w:r>
      <w:r>
        <w:rPr>
          <w:rFonts w:hint="eastAsia" w:ascii="宋体" w:hAnsi="宋体" w:eastAsia="宋体" w:cs="宋体"/>
          <w:color w:val="auto"/>
          <w:sz w:val="24"/>
          <w:szCs w:val="22"/>
          <w:highlight w:val="none"/>
        </w:rPr>
        <w:t>华人民共和国政府采购法实施条例》及本项目本级和上级财政部门、政府采购监督管理部门的政府采购有关规定的约束，其权利受到上述法律法规的保护。</w:t>
      </w:r>
    </w:p>
    <w:p w14:paraId="48969C5C">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5.招标文件构成</w:t>
      </w:r>
    </w:p>
    <w:p w14:paraId="6FDBD20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5.1招标文件包括下列内容：</w:t>
      </w:r>
    </w:p>
    <w:p w14:paraId="756A097B">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第一章  投标邀请</w:t>
      </w:r>
    </w:p>
    <w:p w14:paraId="2C61F28E">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492AC450">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63DFE04C">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第四章  评标方法和标准</w:t>
      </w:r>
    </w:p>
    <w:p w14:paraId="7245D230">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4C9206BE">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第六章  投标文件格式</w:t>
      </w:r>
    </w:p>
    <w:p w14:paraId="00209736">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第七章  政府采购询问函和质疑函范本</w:t>
      </w:r>
    </w:p>
    <w:p w14:paraId="5FC63092">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5.2现场考察（</w:t>
      </w:r>
      <w:r>
        <w:rPr>
          <w:rFonts w:hint="eastAsia" w:ascii="宋体" w:hAnsi="宋体" w:eastAsia="宋体" w:cs="宋体"/>
          <w:bCs/>
          <w:color w:val="auto"/>
          <w:sz w:val="24"/>
          <w:szCs w:val="22"/>
          <w:highlight w:val="none"/>
        </w:rPr>
        <w:t>标前答疑会</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6901D68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5.3投标人应认真阅读招标文件所有的事项、格式、条款和技术规范等。</w:t>
      </w:r>
    </w:p>
    <w:p w14:paraId="48B747A9">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6.招标文件的澄清与修改</w:t>
      </w:r>
    </w:p>
    <w:p w14:paraId="4672084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6.1投标人如对招标文件内容有疑问，可在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规定的网上询问截止时间前提交给采购代理机构。</w:t>
      </w:r>
    </w:p>
    <w:p w14:paraId="4790678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6.2采购人可主动地或在答复投标人提出的询问时对招标文件进行澄清与修改。采购代理机构将在安徽省政府采购网和滁州市公共资源交易中心网以发布更正公告的方式，澄清或修改招标文件，更正公告的内容作为招标文件的组成部分，对投标人起约束作用。投标人应主动上网查询。采购代理机构不承担投标人未及时关注相关信息引发的相关责任。</w:t>
      </w:r>
    </w:p>
    <w:p w14:paraId="7D0551E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0F39A50">
      <w:pPr>
        <w:spacing w:line="440" w:lineRule="exact"/>
        <w:ind w:firstLine="435"/>
        <w:rPr>
          <w:rFonts w:ascii="宋体" w:hAnsi="宋体" w:eastAsia="宋体" w:cs="宋体"/>
          <w:i/>
          <w:iCs/>
          <w:color w:val="auto"/>
          <w:sz w:val="24"/>
          <w:highlight w:val="none"/>
        </w:rPr>
      </w:pPr>
      <w:r>
        <w:rPr>
          <w:rFonts w:hint="eastAsia" w:ascii="宋体" w:hAnsi="宋体" w:eastAsia="宋体" w:cs="宋体"/>
          <w:color w:val="auto"/>
          <w:sz w:val="24"/>
          <w:highlight w:val="none"/>
        </w:rPr>
        <w:t>6.4对于没有提出疑问又参与了本项目投标的投标人将被视为完全认同本招标文件（含更正公告的内容）</w:t>
      </w:r>
      <w:r>
        <w:rPr>
          <w:rFonts w:hint="eastAsia" w:ascii="宋体" w:hAnsi="宋体" w:eastAsia="宋体" w:cs="宋体"/>
          <w:i/>
          <w:color w:val="auto"/>
          <w:sz w:val="24"/>
          <w:highlight w:val="none"/>
        </w:rPr>
        <w:t>。</w:t>
      </w:r>
    </w:p>
    <w:p w14:paraId="2FC3D56F">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7.投标范围及投标文件中标准和计量单位的使用</w:t>
      </w:r>
    </w:p>
    <w:p w14:paraId="59698AD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7.1项目有分包的，投标人可对招标文件其中某一个或几个分包进行投标，除非在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中另有规定。</w:t>
      </w:r>
    </w:p>
    <w:p w14:paraId="21455A2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7.2投标人应当对所投分包招标文件中“采购需求”所列的所有内容进行投标，如仅响应所投包别中的部分内容，其所投包别的投标将被认定为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641E8BB">
      <w:pPr>
        <w:spacing w:line="440" w:lineRule="exact"/>
        <w:ind w:firstLine="435"/>
        <w:rPr>
          <w:rFonts w:ascii="宋体" w:hAnsi="宋体" w:eastAsia="宋体" w:cs="宋体"/>
          <w:color w:val="auto"/>
          <w:sz w:val="24"/>
          <w:highlight w:val="none"/>
        </w:rPr>
      </w:pPr>
      <w:bookmarkStart w:id="23" w:name="_Hlk16458980"/>
      <w:r>
        <w:rPr>
          <w:rFonts w:hint="eastAsia" w:ascii="宋体" w:hAnsi="宋体" w:eastAsia="宋体" w:cs="宋体"/>
          <w:color w:val="auto"/>
          <w:sz w:val="24"/>
          <w:highlight w:val="none"/>
        </w:rPr>
        <w:t>7.3无论招标文件中是否要求，投标人所投货物、服务及工程（如有）均应符合国家强制性标准。</w:t>
      </w:r>
    </w:p>
    <w:bookmarkEnd w:id="23"/>
    <w:p w14:paraId="2E0009C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7.4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3F3B72D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7.5除招标文件中有特殊要求外，投标文件中所使用的计量单位，应采用中华人民共和国法定计量单位。</w:t>
      </w:r>
    </w:p>
    <w:p w14:paraId="5D95821C">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8.投标文件构成</w:t>
      </w:r>
    </w:p>
    <w:p w14:paraId="15AAAF5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8.1投标人应完整地按招标文件提供的投标文件格式及要求编写投标文件，具体内容详见本项目投标文件格式的相关内容。</w:t>
      </w:r>
    </w:p>
    <w:p w14:paraId="7FA1935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8.2投标人应提交招标文件要求的证明文件，证明其投标内容符合招标文件规定，该证明文件是投标文件的一部分。证明文件形式可以是文字资料、图纸和数据</w:t>
      </w:r>
      <w:bookmarkStart w:id="24" w:name="_Hlk11703583"/>
      <w:r>
        <w:rPr>
          <w:rFonts w:hint="eastAsia" w:ascii="宋体" w:hAnsi="宋体" w:eastAsia="宋体" w:cs="宋体"/>
          <w:color w:val="auto"/>
          <w:sz w:val="24"/>
          <w:highlight w:val="none"/>
        </w:rPr>
        <w:t>等。</w:t>
      </w:r>
    </w:p>
    <w:bookmarkEnd w:id="24"/>
    <w:p w14:paraId="053FC21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8.3为保证公平公正，除非另有规定或说明，投标人对同一项目投标时，不得同时提供备选投标方案。</w:t>
      </w:r>
    </w:p>
    <w:p w14:paraId="0F42093C">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9.投标报价</w:t>
      </w:r>
    </w:p>
    <w:p w14:paraId="262C187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12.1投标人的报价应当包括满足本次招标全部采购需求。除招标文件另有规定外，所有投标均应以人民币报价。投标人的投标报价应遵守《中华人民共和国价格法》。</w:t>
      </w:r>
    </w:p>
    <w:p w14:paraId="65B4B03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9.2投标人报价超过招标文件规定的预算金额或者分项、分包最高限价，其投标将被认定为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C196F7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9.3投标报价在合同履行过程中是固定不变的，不得以任何理由予以变更。任何包含价格调整要求的投标，其投标将被认定为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1BCAA08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9.4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295D5B9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9.5采购人不接受具有附加条件的报价。</w:t>
      </w:r>
    </w:p>
    <w:p w14:paraId="08424CE1">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10.投标保证金</w:t>
      </w:r>
    </w:p>
    <w:p w14:paraId="2DA3847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10.1本项目不收取投标保证金。</w:t>
      </w:r>
    </w:p>
    <w:p w14:paraId="76E31CA0">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11.投标有效期</w:t>
      </w:r>
    </w:p>
    <w:p w14:paraId="1C2322E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11.1投标有效期为从投标截止之日算起的日历天数，投标有效期详见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7D09361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2DB130E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40BD00F1">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12.投标文件的递交、修改与撤回</w:t>
      </w:r>
    </w:p>
    <w:p w14:paraId="1A5E3B3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12.1投标人应当在招标公告规定的投标截止时间前，将加密的投标文件在电子交易系统上传。</w:t>
      </w:r>
    </w:p>
    <w:p w14:paraId="3D468AB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694A3955">
      <w:pPr>
        <w:spacing w:line="440" w:lineRule="exact"/>
        <w:ind w:firstLine="435"/>
        <w:rPr>
          <w:rFonts w:ascii="宋体" w:hAnsi="宋体" w:eastAsia="宋体" w:cs="宋体"/>
          <w:b/>
          <w:color w:val="auto"/>
          <w:sz w:val="24"/>
          <w:highlight w:val="none"/>
        </w:rPr>
      </w:pPr>
      <w:r>
        <w:rPr>
          <w:rFonts w:hint="eastAsia" w:ascii="宋体" w:hAnsi="宋体" w:eastAsia="宋体" w:cs="宋体"/>
          <w:b/>
          <w:color w:val="auto"/>
          <w:sz w:val="24"/>
          <w:highlight w:val="none"/>
        </w:rPr>
        <w:t>13.开标</w:t>
      </w:r>
    </w:p>
    <w:p w14:paraId="00C6FBD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13.1开标时，</w:t>
      </w:r>
      <w:r>
        <w:rPr>
          <w:rFonts w:hint="eastAsia" w:ascii="宋体" w:hAnsi="宋体" w:eastAsia="宋体" w:cs="宋体"/>
          <w:color w:val="auto"/>
          <w:sz w:val="24"/>
          <w:szCs w:val="24"/>
          <w:highlight w:val="none"/>
        </w:rPr>
        <w:t>各投标人应在</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规定的解密时间前</w:t>
      </w:r>
      <w:r>
        <w:rPr>
          <w:rFonts w:hint="eastAsia" w:ascii="宋体" w:hAnsi="宋体" w:eastAsia="宋体" w:cs="宋体"/>
          <w:color w:val="auto"/>
          <w:sz w:val="24"/>
          <w:highlight w:val="none"/>
        </w:rPr>
        <w:t>对</w:t>
      </w:r>
      <w:r>
        <w:rPr>
          <w:rFonts w:hint="eastAsia" w:ascii="宋体" w:hAnsi="宋体" w:eastAsia="宋体" w:cs="宋体"/>
          <w:color w:val="auto"/>
          <w:sz w:val="24"/>
          <w:szCs w:val="24"/>
          <w:highlight w:val="none"/>
        </w:rPr>
        <w:t>其</w:t>
      </w:r>
      <w:r>
        <w:rPr>
          <w:rFonts w:hint="eastAsia" w:ascii="宋体" w:hAnsi="宋体" w:eastAsia="宋体" w:cs="宋体"/>
          <w:color w:val="auto"/>
          <w:sz w:val="24"/>
          <w:highlight w:val="none"/>
        </w:rPr>
        <w:t>投标文件进行解密。</w:t>
      </w:r>
    </w:p>
    <w:p w14:paraId="5044F1D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13.2开标时，采购代理机构将通过网上开标系统公布开标结果，公布内容包括投标人名称、投标价格及招标文件规定的内容。</w:t>
      </w:r>
    </w:p>
    <w:p w14:paraId="7CDA529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13.3采购人或采购代理机构将对开标过程进行记录，并存档备查。</w:t>
      </w:r>
    </w:p>
    <w:p w14:paraId="7604EBCF">
      <w:pPr>
        <w:spacing w:line="440" w:lineRule="exact"/>
        <w:ind w:firstLine="435"/>
        <w:rPr>
          <w:rFonts w:ascii="宋体" w:hAnsi="宋体" w:eastAsia="宋体" w:cs="宋体"/>
          <w:color w:val="auto"/>
          <w:sz w:val="28"/>
          <w:highlight w:val="none"/>
        </w:rPr>
      </w:pPr>
      <w:r>
        <w:rPr>
          <w:rFonts w:hint="eastAsia" w:ascii="宋体" w:hAnsi="宋体" w:eastAsia="宋体" w:cs="宋体"/>
          <w:color w:val="auto"/>
          <w:sz w:val="24"/>
          <w:highlight w:val="none"/>
        </w:rPr>
        <w:t>13.4投标人代表对开标过程和开标记录有疑义，以及认为采购人、采购代理机构相关工作人员有需要回避的情形的，应当场提出询问或者回避申请。</w:t>
      </w:r>
    </w:p>
    <w:p w14:paraId="1EFFD78E">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14.资格审查及组建评标委员会</w:t>
      </w:r>
    </w:p>
    <w:p w14:paraId="75CD0EE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14.1采购人或采购代理机构依据法律法规和招标文件中规定的内容，对投标人资格进行审查，未通过资格审查的投标人不进入评标。</w:t>
      </w:r>
    </w:p>
    <w:p w14:paraId="1D948456">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ascii="宋体" w:hAnsi="宋体" w:eastAsia="宋体" w:cs="宋体"/>
          <w:color w:val="auto"/>
          <w:sz w:val="24"/>
          <w:szCs w:val="24"/>
          <w:highlight w:val="none"/>
        </w:rPr>
      </w:pPr>
      <w:bookmarkStart w:id="25" w:name="_Hlk24663244"/>
      <w:r>
        <w:rPr>
          <w:rFonts w:hint="eastAsia" w:ascii="宋体" w:hAnsi="宋体" w:eastAsia="宋体" w:cs="宋体"/>
          <w:color w:val="auto"/>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4D999A06">
      <w:pPr>
        <w:spacing w:line="440" w:lineRule="exact"/>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764F307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7D1267EA">
      <w:pPr>
        <w:spacing w:line="440" w:lineRule="exact"/>
        <w:ind w:firstLine="435"/>
        <w:rPr>
          <w:rFonts w:ascii="宋体" w:hAnsi="宋体" w:eastAsia="宋体" w:cs="宋体"/>
          <w:b/>
          <w:color w:val="auto"/>
          <w:sz w:val="24"/>
          <w:highlight w:val="none"/>
        </w:rPr>
      </w:pPr>
      <w:r>
        <w:rPr>
          <w:rFonts w:hint="eastAsia" w:ascii="宋体" w:hAnsi="宋体" w:eastAsia="宋体" w:cs="宋体"/>
          <w:color w:val="auto"/>
          <w:sz w:val="24"/>
          <w:highlight w:val="none"/>
        </w:rPr>
        <w:t>14.3按照《中华人民共和国政府采购法》、《中华人民共和国政府采购法实施条例》及本项目本级和上级财政部门、政府采购监督管理部门的有关规定依法组建的评标委员会，负责本项目评标工作。</w:t>
      </w:r>
    </w:p>
    <w:p w14:paraId="0C91974A">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15.投标文件符合性审查与澄清</w:t>
      </w:r>
    </w:p>
    <w:p w14:paraId="6B4B3A0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15.1符合性审查是指依据招标文件的规定，从投标文件的有效性和完整性对招标文件的响应程度进行审查，以确定是否对招标文件的实质性要求做出响应。</w:t>
      </w:r>
    </w:p>
    <w:p w14:paraId="7C35C51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15.2投标文件的澄清</w:t>
      </w:r>
    </w:p>
    <w:p w14:paraId="29CBA61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428D5461">
      <w:pPr>
        <w:spacing w:line="440" w:lineRule="exact"/>
        <w:ind w:firstLine="435"/>
        <w:rPr>
          <w:rFonts w:ascii="宋体" w:hAnsi="宋体" w:eastAsia="宋体" w:cs="宋体"/>
          <w:b/>
          <w:bCs/>
          <w:color w:val="auto"/>
          <w:sz w:val="24"/>
          <w:highlight w:val="none"/>
        </w:rPr>
      </w:pPr>
      <w:r>
        <w:rPr>
          <w:rFonts w:hint="eastAsia" w:ascii="宋体" w:hAnsi="宋体" w:eastAsia="宋体" w:cs="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r>
        <w:rPr>
          <w:rFonts w:hint="eastAsia" w:ascii="宋体" w:hAnsi="宋体" w:eastAsia="宋体" w:cs="宋体"/>
          <w:b/>
          <w:bCs/>
          <w:color w:val="auto"/>
          <w:sz w:val="24"/>
          <w:highlight w:val="none"/>
        </w:rPr>
        <w:t>本项目采用远程开标，具体操作方法详见服务指南&gt;交易须知&gt;开标大厅远程解密、质疑(异议)及回复以及评标过程中询标流程操作手册。</w:t>
      </w:r>
    </w:p>
    <w:p w14:paraId="1D0A08C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15.2.2投标人的澄清、说明或补正将作为投标文件的一部分。</w:t>
      </w:r>
    </w:p>
    <w:p w14:paraId="41D5D90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15.2.3评标委员会对投标人提交的澄清、说明或补正有疑问的，可以要求投标人进一步澄清、说明或补正，直至满足评标委员会的要求。</w:t>
      </w:r>
    </w:p>
    <w:p w14:paraId="5B75623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15.3投标文件报价出现前后不一致的，按照下列规定修正：</w:t>
      </w:r>
    </w:p>
    <w:p w14:paraId="47F002D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（1）投标文件中开标一览表内容与投标文件中相应内容不一致的，以开标一览表为准；</w:t>
      </w:r>
    </w:p>
    <w:p w14:paraId="1A42420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13E7B3E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14:paraId="4956A652">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515B84B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按照第15.3条的规定经投标人确认后产生约束力，无论投标人是接受或是拒绝调整后的价格，都应当由投标人在系统中确认。投标人拒绝对投标文件出现的错漏按上述原则进行修正、澄清、说明，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2AF39E0D">
      <w:pPr>
        <w:spacing w:line="440" w:lineRule="exact"/>
        <w:ind w:firstLine="435"/>
        <w:rPr>
          <w:rFonts w:ascii="宋体" w:hAnsi="宋体" w:eastAsia="宋体" w:cs="宋体"/>
          <w:b/>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06EF6937">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16.投标无效</w:t>
      </w:r>
    </w:p>
    <w:p w14:paraId="0738D9B2">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16.1根据本招标文件的规定，评标委员会要审查每份投标文件是否实质上响应了招标文件的要求。投标人不得通过修正或撤销不符合要求的偏离，从而使其投标成为实质上响应的投标。</w:t>
      </w:r>
    </w:p>
    <w:p w14:paraId="47A997F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评标委员会决定投标的响应性只根据招标文件要求和投标文件内容。</w:t>
      </w:r>
    </w:p>
    <w:p w14:paraId="1535CFB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无论何种原因，即使投标人投标时携带了证书材料的原件，但投标文件中未提供与之内容完全一致的扫描件的，评标委员会视同其未提供。</w:t>
      </w:r>
    </w:p>
    <w:p w14:paraId="4351C73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16.2如发现下列情况之一的，其投标将被认定为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6E6E7E5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（1）投标文件未按照招标文件规定要求签署、盖章的；</w:t>
      </w:r>
    </w:p>
    <w:p w14:paraId="13DA9EB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（2）不具备招标文件中规定的资格要求的；</w:t>
      </w:r>
    </w:p>
    <w:p w14:paraId="3EEC9AD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（3）报价超过招标文件中规定的预算金额或者最高限价的；</w:t>
      </w:r>
    </w:p>
    <w:p w14:paraId="36515AC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（4）投标文件含有采购人不能接受的附加条件的；</w:t>
      </w:r>
    </w:p>
    <w:p w14:paraId="40520FE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（5）法律、法规和招标文件规定的其他无效情形。</w:t>
      </w:r>
    </w:p>
    <w:p w14:paraId="0A783DD7">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17.比较与评价</w:t>
      </w:r>
    </w:p>
    <w:p w14:paraId="785CA34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17.1经符合性审查合格的投标文件，评标委员会将根据招标文件确定的评标方法和标准，对其投标文件作进一步的比较与评价。</w:t>
      </w:r>
    </w:p>
    <w:p w14:paraId="3462DCC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17.2评标严格按照招标文件的要求和条件进行。根据实际情况，在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中规定采用下列一种评标方法，详细评标方法和标准见招标文件第四章：</w:t>
      </w:r>
    </w:p>
    <w:p w14:paraId="4D7DBF5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785EB41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59FAD5B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17.3根据《政府采购促进中小企业发展管理办法》（财库〔2020〕46号）、《三部门联合发布关于促进残疾人就业政府采购政策的通知》（财库〔2017〕141号）和《财政部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中规定的标准扣除后的价格参与评审。对于同时属于小微企业、监狱企业或残疾人福利性单位的，不重复进行投标报价扣除。</w:t>
      </w:r>
    </w:p>
    <w:p w14:paraId="5360DF7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625B162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以联合体形式参加政府采购活动，联合体各方均为中小企业的，联合体视同中小企业。其中，联合体各方均为小微企业的，联合体视同小微企业。</w:t>
      </w:r>
    </w:p>
    <w:p w14:paraId="039CFFF2">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18.废标、重新招标与变更采购方式</w:t>
      </w:r>
    </w:p>
    <w:p w14:paraId="0BDB4FD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18.1出现下列情形之一，将导致项目废标：</w:t>
      </w:r>
    </w:p>
    <w:p w14:paraId="3A4C9A6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（1）符合专业条件的供应商或者对招标文件做实质性响应的供应商不足规定数量的；</w:t>
      </w:r>
    </w:p>
    <w:p w14:paraId="4A2AEE4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01E7B38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618C237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28FBE422">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18.2公开招标数额标准以上的采购项目，投标截止后投标人不足3家或者通过资格审查或符合性审查的投标人不足3家的，除采购任务取消情形外，按照以下方式处理：</w:t>
      </w:r>
    </w:p>
    <w:p w14:paraId="79A2F4C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（1）招标文件存在不合理条款或者招标程序不符合规定的，采购人、采购代理机构改正后依法重新招标；</w:t>
      </w:r>
    </w:p>
    <w:p w14:paraId="379162D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（2）招标文件没有不合理条款、招标程序符合规定，需要采用其他采购方式采购的，采购人应当依法报</w:t>
      </w:r>
      <w:r>
        <w:rPr>
          <w:rFonts w:hint="eastAsia" w:ascii="宋体" w:hAnsi="宋体" w:eastAsia="宋体" w:cs="宋体"/>
          <w:color w:val="auto"/>
          <w:sz w:val="24"/>
          <w:szCs w:val="24"/>
          <w:highlight w:val="none"/>
        </w:rPr>
        <w:t>政府采购监督管理部门</w:t>
      </w:r>
      <w:r>
        <w:rPr>
          <w:rFonts w:hint="eastAsia" w:ascii="宋体" w:hAnsi="宋体" w:eastAsia="宋体" w:cs="宋体"/>
          <w:color w:val="auto"/>
          <w:sz w:val="24"/>
          <w:highlight w:val="none"/>
        </w:rPr>
        <w:t>批准。</w:t>
      </w:r>
    </w:p>
    <w:p w14:paraId="38484247">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19.保密要求</w:t>
      </w:r>
    </w:p>
    <w:p w14:paraId="47E6762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19.1评标将在严格保密的情况下进行。</w:t>
      </w:r>
    </w:p>
    <w:p w14:paraId="3027B80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19.2有关人员应当遵守评标工作纪律，不得泄露评标文件、评标情况和评标中获悉的国家秘密、商业秘密。</w:t>
      </w:r>
    </w:p>
    <w:p w14:paraId="38885F61">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20.中标候选人的确定原则及标准</w:t>
      </w:r>
    </w:p>
    <w:p w14:paraId="212D6E1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20.1评标委员会依据本项目招标文件所约定的评标方法，对实质上响应招标文件的投标人按下列方法进行排序，确定中标候选人：</w:t>
      </w:r>
    </w:p>
    <w:p w14:paraId="302E0AE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采取评标委员会随机抽取的方式确定中标候选顺序。</w:t>
      </w:r>
    </w:p>
    <w:p w14:paraId="5CA5D022">
      <w:pPr>
        <w:spacing w:line="440" w:lineRule="exact"/>
        <w:ind w:firstLine="435"/>
        <w:rPr>
          <w:rFonts w:ascii="宋体" w:hAnsi="宋体" w:eastAsia="宋体" w:cs="宋体"/>
          <w:color w:val="auto"/>
          <w:highlight w:val="none"/>
        </w:rPr>
      </w:pPr>
      <w:r>
        <w:rPr>
          <w:rFonts w:hint="eastAsia" w:ascii="宋体" w:hAnsi="宋体" w:eastAsia="宋体" w:cs="宋体"/>
          <w:color w:val="auto"/>
          <w:sz w:val="24"/>
          <w:highlight w:val="none"/>
        </w:rPr>
        <w:t>（2）采用综合评分法的，评标结果按评审后得分由高到低顺序排列。得分相同的，按投标报价由低到高顺序排列。得分与投标报价均相同的，则采取评标委员会随机抽取的方式确定中标候选顺序。</w:t>
      </w:r>
    </w:p>
    <w:p w14:paraId="779990F5">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21.确定中标候选人和中标人</w:t>
      </w:r>
    </w:p>
    <w:p w14:paraId="56C67CC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21.1评标委员会将根据评标标准，按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中规定数量推荐中标候选人。</w:t>
      </w:r>
    </w:p>
    <w:p w14:paraId="6781180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21.2按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中规定，由评标委员会或采购人确定中标人。</w:t>
      </w:r>
    </w:p>
    <w:p w14:paraId="1B0870C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21.3因重大变故采购任务取消时，采购人有权拒绝任何投标人中标，且对受影响的投标人不承担任何责任。</w:t>
      </w:r>
    </w:p>
    <w:p w14:paraId="75469A56">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22.编写评标报告</w:t>
      </w:r>
    </w:p>
    <w:p w14:paraId="2E6E958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33D9655">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23.中标结果公告</w:t>
      </w:r>
    </w:p>
    <w:p w14:paraId="21885F76">
      <w:pPr>
        <w:spacing w:line="440" w:lineRule="exact"/>
        <w:ind w:firstLine="435"/>
        <w:rPr>
          <w:rFonts w:ascii="宋体" w:hAnsi="宋体" w:eastAsia="宋体" w:cs="宋体"/>
          <w:color w:val="auto"/>
          <w:sz w:val="24"/>
          <w:szCs w:val="18"/>
          <w:highlight w:val="none"/>
        </w:rPr>
      </w:pPr>
      <w:r>
        <w:rPr>
          <w:rFonts w:hint="eastAsia" w:ascii="宋体" w:hAnsi="宋体" w:eastAsia="宋体" w:cs="宋体"/>
          <w:color w:val="auto"/>
          <w:sz w:val="24"/>
          <w:highlight w:val="none"/>
        </w:rPr>
        <w:t>23.1除</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26C3639A">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23.2自中标人确定之日起2个工作日内，采购代理机构将在滁州市公共资源交易网（http://ggzy.chuzhou.gov.cn/）、安徽省政府采购网（www.ccgp-anhui.gov.cn）上发布中标结果公告。</w:t>
      </w:r>
    </w:p>
    <w:p w14:paraId="71DE159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23.3中标结果公告内容应当包括采购人及其委托的采购代理机构的名称、地址、联系方式，项目名称和项目编号，中标人名称、地址和中标金额，主要中标标的的名称、服务范围、服务要求、服务时间、服务标准，中标公告期限、评审专家名单以及</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中约定进行公告的内容。中标公告期限为1个工作日。</w:t>
      </w:r>
    </w:p>
    <w:p w14:paraId="5C208E19">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24.中标通知书</w:t>
      </w:r>
    </w:p>
    <w:p w14:paraId="29D9259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24.1采购代理机构发布中标结果公告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规定的形式向中标人发出中标通知书。中标通知书须加盖采购人、采购代理机构公章并经公共资源交易中心加盖见证章后，方可发出。</w:t>
      </w:r>
    </w:p>
    <w:p w14:paraId="6B69339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24.2中标通知书对采购人和中标人具有同等法律效力。中标通知书发出以后，采购人改变中标结果或者中标人放弃中标，应当承担相应的法律责任。</w:t>
      </w:r>
    </w:p>
    <w:p w14:paraId="4DD471E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24.3中标通知书是合同的组成部分。</w:t>
      </w:r>
    </w:p>
    <w:p w14:paraId="37538E82">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25.告知招标结果</w:t>
      </w:r>
    </w:p>
    <w:p w14:paraId="584C6EC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25.1在公告中标结果的同时，采购代理机构同时以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规定的形式告知未通过资格审查的投标人未通过的原因；采用综合评分法评审的，还将告知未中标人本人的评审得分和排序。</w:t>
      </w:r>
    </w:p>
    <w:p w14:paraId="4853A250">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26.履约保证金</w:t>
      </w:r>
    </w:p>
    <w:p w14:paraId="4598A11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26.1中标人应按照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w:t>
      </w:r>
    </w:p>
    <w:p w14:paraId="34DD8E63">
      <w:pPr>
        <w:spacing w:line="440" w:lineRule="exact"/>
        <w:ind w:firstLine="435"/>
        <w:rPr>
          <w:rFonts w:ascii="宋体" w:hAnsi="宋体" w:eastAsia="宋体" w:cs="宋体"/>
          <w:b/>
          <w:color w:val="auto"/>
          <w:sz w:val="24"/>
          <w:highlight w:val="none"/>
        </w:rPr>
      </w:pPr>
      <w:r>
        <w:rPr>
          <w:rFonts w:hint="eastAsia" w:ascii="宋体" w:hAnsi="宋体" w:eastAsia="宋体" w:cs="宋体"/>
          <w:color w:val="auto"/>
          <w:sz w:val="24"/>
          <w:highlight w:val="none"/>
        </w:rPr>
        <w:t>26.2如果中标人没有按照上述履约保证金的规定执行，将视为放弃中标资格。在此情况下，采购人可确定下一中标候选人为中标人，也可以重新开展采购活动。</w:t>
      </w:r>
    </w:p>
    <w:p w14:paraId="521F47E6">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27.签订合同</w:t>
      </w:r>
    </w:p>
    <w:p w14:paraId="1012279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0C85594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27.2招标文件、中标人的投标文件及其澄清文件等，均为签订合同的依据。</w:t>
      </w:r>
    </w:p>
    <w:p w14:paraId="1353002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27.3中标人拒绝与采购人签订合同的，采购人可以按照评审报告推荐的中标候选人名单排序，确定下一中标候选人为中标人，也可以重新开展政府采购活动。</w:t>
      </w:r>
    </w:p>
    <w:p w14:paraId="5E2F519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27.4依据《政府采购促进中小企业发展管理办法》（财库〔2020〕46号）规定享受扶持政策获得政府采购合同的，小微企业不得将合同分包给大中型企业，中型企业不得将合同分包给大型企业。</w:t>
      </w:r>
    </w:p>
    <w:p w14:paraId="2C056F7F">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28.代理费用</w:t>
      </w:r>
    </w:p>
    <w:p w14:paraId="2572561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28.1本项目代理费用的收取按</w:t>
      </w:r>
      <w:r>
        <w:rPr>
          <w:rFonts w:hint="eastAsia" w:ascii="宋体" w:hAnsi="宋体" w:eastAsia="宋体" w:cs="宋体"/>
          <w:color w:val="auto"/>
          <w:sz w:val="24"/>
          <w:highlight w:val="none"/>
          <w:u w:val="single"/>
        </w:rPr>
        <w:t>投标人须知前附表的</w:t>
      </w:r>
      <w:r>
        <w:rPr>
          <w:rFonts w:hint="eastAsia" w:ascii="宋体" w:hAnsi="宋体" w:eastAsia="宋体" w:cs="宋体"/>
          <w:color w:val="auto"/>
          <w:sz w:val="24"/>
          <w:highlight w:val="none"/>
        </w:rPr>
        <w:t>规定执行。</w:t>
      </w:r>
    </w:p>
    <w:p w14:paraId="00F5DF90">
      <w:pPr>
        <w:spacing w:line="440" w:lineRule="exact"/>
        <w:ind w:firstLine="437"/>
        <w:outlineLvl w:val="2"/>
        <w:rPr>
          <w:rFonts w:ascii="宋体" w:hAnsi="宋体" w:eastAsia="宋体" w:cs="宋体"/>
          <w:b/>
          <w:color w:val="auto"/>
          <w:sz w:val="24"/>
          <w:highlight w:val="none"/>
        </w:rPr>
      </w:pPr>
      <w:bookmarkStart w:id="26" w:name="_Toc518923100"/>
      <w:bookmarkStart w:id="27" w:name="_Toc2583661"/>
      <w:r>
        <w:rPr>
          <w:rFonts w:hint="eastAsia" w:ascii="宋体" w:hAnsi="宋体" w:eastAsia="宋体" w:cs="宋体"/>
          <w:b/>
          <w:color w:val="auto"/>
          <w:sz w:val="24"/>
          <w:highlight w:val="none"/>
        </w:rPr>
        <w:t>29.廉洁自律规定</w:t>
      </w:r>
      <w:bookmarkEnd w:id="26"/>
      <w:bookmarkEnd w:id="27"/>
    </w:p>
    <w:p w14:paraId="55846EF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29.1采购代理机构工作人员不得以不正当手段获取政府采购代理业务，不得与采购人、供应商恶意串通。</w:t>
      </w:r>
    </w:p>
    <w:p w14:paraId="5162FF8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29.2采购代理机构工作人员不得接受采购人或者供应商组织的宴请、旅游、娱乐，不得收受礼品、现金、有价证券等，不得向采购人或者供应商报销应当由个人承担的费用。</w:t>
      </w:r>
    </w:p>
    <w:p w14:paraId="482887B7">
      <w:pPr>
        <w:spacing w:line="440" w:lineRule="exact"/>
        <w:ind w:firstLine="437"/>
        <w:outlineLvl w:val="2"/>
        <w:rPr>
          <w:rFonts w:ascii="宋体" w:hAnsi="宋体" w:eastAsia="宋体" w:cs="宋体"/>
          <w:b/>
          <w:color w:val="auto"/>
          <w:sz w:val="24"/>
          <w:highlight w:val="none"/>
        </w:rPr>
      </w:pPr>
      <w:bookmarkStart w:id="28" w:name="_Toc2583662"/>
      <w:bookmarkStart w:id="29" w:name="_Toc518923101"/>
      <w:r>
        <w:rPr>
          <w:rFonts w:hint="eastAsia" w:ascii="宋体" w:hAnsi="宋体" w:eastAsia="宋体" w:cs="宋体"/>
          <w:b/>
          <w:color w:val="auto"/>
          <w:sz w:val="24"/>
          <w:highlight w:val="none"/>
        </w:rPr>
        <w:t>30.人员回避</w:t>
      </w:r>
      <w:bookmarkEnd w:id="28"/>
      <w:bookmarkEnd w:id="29"/>
    </w:p>
    <w:p w14:paraId="7A719EF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投标人认为采购人员及其相关人员有法律法规所列与其他供应商有利害关系的，可以向采购人或采购代理机构书面提出回避申请，并说明理由。</w:t>
      </w:r>
    </w:p>
    <w:p w14:paraId="1BA2674E">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31.质疑的提出与接收</w:t>
      </w:r>
    </w:p>
    <w:p w14:paraId="46F8814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141240F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7C40A31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31.3采购代理机构质疑函接收部门、联系电话和通讯地址，见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41BD2E3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注：上述条款中所要求的书面形式包含通过电子交易系统递交方式。</w:t>
      </w:r>
    </w:p>
    <w:p w14:paraId="6BD88A80">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32.投诉</w:t>
      </w:r>
    </w:p>
    <w:p w14:paraId="5BF73E46">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32.1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6ADB2C1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32.2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2725F17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32.3政府采购监督管理部门在处理投诉事项期间，可以视具体情况书面通知采购人暂停采购活动，但暂停时间最长不得超过30日。</w:t>
      </w:r>
    </w:p>
    <w:p w14:paraId="2E57507C">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33.需要补充的其他内容</w:t>
      </w:r>
    </w:p>
    <w:p w14:paraId="7F4FE12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7073EF59">
      <w:pPr>
        <w:widowControl/>
        <w:jc w:val="left"/>
        <w:rPr>
          <w:rFonts w:ascii="宋体" w:hAnsi="宋体" w:eastAsia="宋体" w:cs="宋体"/>
          <w:b/>
          <w:color w:val="auto"/>
          <w:sz w:val="28"/>
          <w:highlight w:val="none"/>
        </w:rPr>
      </w:pPr>
      <w:r>
        <w:rPr>
          <w:rFonts w:hint="eastAsia" w:ascii="宋体" w:hAnsi="宋体" w:eastAsia="宋体" w:cs="宋体"/>
          <w:color w:val="auto"/>
          <w:sz w:val="24"/>
          <w:highlight w:val="none"/>
        </w:rPr>
        <w:br w:type="page"/>
      </w:r>
    </w:p>
    <w:p w14:paraId="09E31F2D">
      <w:pPr>
        <w:numPr>
          <w:ilvl w:val="0"/>
          <w:numId w:val="3"/>
        </w:numPr>
        <w:spacing w:line="360" w:lineRule="auto"/>
        <w:jc w:val="center"/>
        <w:outlineLvl w:val="0"/>
        <w:rPr>
          <w:rFonts w:ascii="宋体" w:hAnsi="宋体" w:eastAsia="宋体" w:cs="宋体"/>
          <w:b/>
          <w:color w:val="auto"/>
          <w:sz w:val="28"/>
          <w:highlight w:val="none"/>
        </w:rPr>
      </w:pPr>
      <w:r>
        <w:rPr>
          <w:rFonts w:hint="eastAsia" w:ascii="宋体" w:hAnsi="宋体" w:eastAsia="宋体" w:cs="宋体"/>
          <w:b/>
          <w:color w:val="auto"/>
          <w:sz w:val="28"/>
          <w:highlight w:val="none"/>
        </w:rPr>
        <w:t xml:space="preserve"> </w:t>
      </w:r>
      <w:bookmarkStart w:id="30" w:name="_Toc22605"/>
      <w:r>
        <w:rPr>
          <w:rFonts w:hint="eastAsia" w:ascii="宋体" w:hAnsi="宋体" w:eastAsia="宋体" w:cs="宋体"/>
          <w:b/>
          <w:color w:val="auto"/>
          <w:sz w:val="28"/>
          <w:highlight w:val="none"/>
        </w:rPr>
        <w:t>采购需求</w:t>
      </w:r>
      <w:bookmarkEnd w:id="30"/>
    </w:p>
    <w:p w14:paraId="047C6F05">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前注：</w:t>
      </w:r>
    </w:p>
    <w:p w14:paraId="03E36E78">
      <w:pPr>
        <w:spacing w:line="440" w:lineRule="exact"/>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1.本采购需求中提出的服务方案仅为参考，如无明确限制，投标人可以进行优化，提供满足采购人实际需要的更优（或者性能实质上不低于的）服务方案，且此方案须经评标委员会评审认可。</w:t>
      </w:r>
    </w:p>
    <w:p w14:paraId="4B88B125">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2.政府采购政策（包括但不限于下列具体政策要求）：</w:t>
      </w:r>
    </w:p>
    <w:p w14:paraId="7CB0357F">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24074EF4">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3C075094">
      <w:pPr>
        <w:spacing w:line="440" w:lineRule="exact"/>
        <w:ind w:firstLine="480" w:firstLineChars="200"/>
        <w:rPr>
          <w:rFonts w:ascii="宋体" w:hAnsi="宋体" w:eastAsia="宋体" w:cs="宋体"/>
          <w:bCs/>
          <w:color w:val="auto"/>
          <w:sz w:val="24"/>
          <w:szCs w:val="18"/>
          <w:highlight w:val="none"/>
        </w:rPr>
      </w:pPr>
      <w:r>
        <w:rPr>
          <w:rFonts w:hint="eastAsia" w:ascii="宋体" w:hAnsi="宋体" w:eastAsia="宋体" w:cs="宋体"/>
          <w:color w:val="auto"/>
          <w:sz w:val="24"/>
          <w:szCs w:val="24"/>
          <w:highlight w:val="none"/>
        </w:rPr>
        <w:t>3.如采购人允许采用分包方式履行合同的，应当明确可以分包履行的相关内容。</w:t>
      </w:r>
    </w:p>
    <w:p w14:paraId="21FD90A4">
      <w:pPr>
        <w:spacing w:line="440" w:lineRule="exact"/>
        <w:ind w:firstLine="437"/>
        <w:outlineLvl w:val="1"/>
        <w:rPr>
          <w:rFonts w:ascii="宋体" w:hAnsi="宋体" w:eastAsia="宋体" w:cs="宋体"/>
          <w:b/>
          <w:color w:val="auto"/>
          <w:sz w:val="24"/>
          <w:szCs w:val="18"/>
          <w:highlight w:val="none"/>
        </w:rPr>
      </w:pPr>
      <w:bookmarkStart w:id="31" w:name="_Toc21798"/>
      <w:bookmarkStart w:id="32" w:name="_Toc4148"/>
      <w:bookmarkStart w:id="33" w:name="_Hlk23621890"/>
      <w:r>
        <w:rPr>
          <w:rFonts w:hint="eastAsia" w:ascii="宋体" w:hAnsi="宋体" w:eastAsia="宋体" w:cs="宋体"/>
          <w:b/>
          <w:color w:val="auto"/>
          <w:sz w:val="24"/>
          <w:szCs w:val="18"/>
          <w:highlight w:val="none"/>
        </w:rPr>
        <w:t>一、采购需求前附表</w:t>
      </w:r>
      <w:bookmarkEnd w:id="31"/>
      <w:bookmarkEnd w:id="32"/>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2215"/>
        <w:gridCol w:w="5977"/>
      </w:tblGrid>
      <w:tr w14:paraId="5DD8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7A2994E">
            <w:pPr>
              <w:pStyle w:val="47"/>
              <w:pBdr>
                <w:bottom w:val="none" w:color="auto" w:sz="0" w:space="0"/>
              </w:pBdr>
              <w:tabs>
                <w:tab w:val="clear" w:pos="4153"/>
                <w:tab w:val="clear" w:pos="8306"/>
              </w:tabs>
              <w:adjustRightInd/>
              <w:spacing w:line="440" w:lineRule="exact"/>
              <w:textAlignment w:val="auto"/>
              <w:rPr>
                <w:rFonts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1192" w:type="pct"/>
            <w:vAlign w:val="center"/>
          </w:tcPr>
          <w:p w14:paraId="53E001E1">
            <w:pPr>
              <w:pStyle w:val="46"/>
              <w:widowControl w:val="0"/>
              <w:spacing w:before="0" w:beforeAutospacing="0" w:after="0" w:afterAutospacing="0" w:line="440" w:lineRule="exact"/>
              <w:rPr>
                <w:rFonts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217" w:type="pct"/>
            <w:vAlign w:val="center"/>
          </w:tcPr>
          <w:p w14:paraId="53B4E596">
            <w:pPr>
              <w:pStyle w:val="46"/>
              <w:widowControl w:val="0"/>
              <w:spacing w:before="0" w:beforeAutospacing="0" w:after="0" w:afterAutospacing="0" w:line="440" w:lineRule="exact"/>
              <w:rPr>
                <w:rFonts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07BA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590" w:type="pct"/>
            <w:vAlign w:val="center"/>
          </w:tcPr>
          <w:p w14:paraId="56718032">
            <w:pPr>
              <w:pStyle w:val="47"/>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1192" w:type="pct"/>
            <w:vAlign w:val="center"/>
          </w:tcPr>
          <w:p w14:paraId="5B4FEC28">
            <w:pPr>
              <w:pStyle w:val="46"/>
              <w:widowControl w:val="0"/>
              <w:spacing w:before="0" w:beforeAutospacing="0" w:after="0" w:afterAutospacing="0" w:line="440" w:lineRule="exact"/>
              <w:rPr>
                <w:rFonts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3217" w:type="pct"/>
            <w:vAlign w:val="center"/>
          </w:tcPr>
          <w:p w14:paraId="4D1A5776">
            <w:pPr>
              <w:pStyle w:val="46"/>
              <w:widowControl w:val="0"/>
              <w:spacing w:before="0" w:beforeAutospacing="0" w:after="0" w:afterAutospacing="0" w:line="440" w:lineRule="exact"/>
              <w:jc w:val="both"/>
              <w:rPr>
                <w:rFonts w:hint="eastAsia"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u w:val="single"/>
                <w:lang w:val="en-US" w:eastAsia="zh-CN"/>
              </w:rPr>
              <w:t>本项目为预采购项目无预付款。最终按照会计类无纸化考试实际报名人数（科目次）在考试结束后，待省财政厅拨付资金到位后付清。</w:t>
            </w:r>
          </w:p>
          <w:p w14:paraId="2423AD40">
            <w:pPr>
              <w:pStyle w:val="46"/>
              <w:widowControl w:val="0"/>
              <w:spacing w:before="0" w:beforeAutospacing="0" w:after="0" w:afterAutospacing="0" w:line="440" w:lineRule="exact"/>
              <w:jc w:val="both"/>
              <w:rPr>
                <w:rFonts w:ascii="宋体" w:hAnsi="宋体" w:eastAsia="宋体" w:cs="宋体"/>
                <w:b w:val="0"/>
                <w:color w:val="auto"/>
                <w:sz w:val="24"/>
                <w:highlight w:val="none"/>
                <w:u w:val="single"/>
              </w:rPr>
            </w:pPr>
            <w:r>
              <w:rPr>
                <w:rFonts w:hint="eastAsia" w:ascii="宋体" w:hAnsi="宋体" w:eastAsia="宋体" w:cs="宋体"/>
                <w:b w:val="0"/>
                <w:color w:val="auto"/>
                <w:sz w:val="24"/>
                <w:highlight w:val="none"/>
                <w:u w:val="single"/>
                <w:lang w:val="en-US" w:eastAsia="zh-CN"/>
              </w:rPr>
              <w:t>最终合同价按中标单价*实际报考人数（科目次）</w:t>
            </w:r>
            <w:r>
              <w:rPr>
                <w:rFonts w:hint="eastAsia" w:ascii="宋体" w:hAnsi="宋体" w:eastAsia="宋体" w:cs="宋体"/>
                <w:b w:val="0"/>
                <w:color w:val="auto"/>
                <w:sz w:val="24"/>
                <w:highlight w:val="none"/>
                <w:u w:val="single"/>
              </w:rPr>
              <w:t>。</w:t>
            </w:r>
          </w:p>
        </w:tc>
      </w:tr>
      <w:tr w14:paraId="4F72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90" w:type="pct"/>
            <w:vAlign w:val="center"/>
          </w:tcPr>
          <w:p w14:paraId="0B80822B">
            <w:pPr>
              <w:pStyle w:val="47"/>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1192" w:type="pct"/>
            <w:vAlign w:val="center"/>
          </w:tcPr>
          <w:p w14:paraId="5C0E5CC6">
            <w:pPr>
              <w:pStyle w:val="46"/>
              <w:widowControl w:val="0"/>
              <w:spacing w:before="0" w:beforeAutospacing="0" w:after="0" w:afterAutospacing="0" w:line="440" w:lineRule="exact"/>
              <w:rPr>
                <w:rFonts w:ascii="宋体" w:hAnsi="宋体" w:eastAsia="宋体" w:cs="宋体"/>
                <w:b w:val="0"/>
                <w:color w:val="auto"/>
                <w:sz w:val="24"/>
                <w:highlight w:val="none"/>
              </w:rPr>
            </w:pPr>
            <w:r>
              <w:rPr>
                <w:rFonts w:hint="eastAsia" w:ascii="宋体" w:hAnsi="宋体" w:eastAsia="宋体" w:cs="宋体"/>
                <w:b w:val="0"/>
                <w:color w:val="auto"/>
                <w:sz w:val="24"/>
                <w:highlight w:val="none"/>
              </w:rPr>
              <w:t>服务地点</w:t>
            </w:r>
          </w:p>
        </w:tc>
        <w:tc>
          <w:tcPr>
            <w:tcW w:w="3217" w:type="pct"/>
            <w:vAlign w:val="center"/>
          </w:tcPr>
          <w:p w14:paraId="2E09F7C4">
            <w:pPr>
              <w:pStyle w:val="46"/>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滁州市</w:t>
            </w:r>
          </w:p>
        </w:tc>
      </w:tr>
      <w:tr w14:paraId="4D10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90" w:type="pct"/>
            <w:vAlign w:val="center"/>
          </w:tcPr>
          <w:p w14:paraId="041DE8CF">
            <w:pPr>
              <w:pStyle w:val="47"/>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1192" w:type="pct"/>
            <w:vAlign w:val="center"/>
          </w:tcPr>
          <w:p w14:paraId="0A78ECAC">
            <w:pPr>
              <w:pStyle w:val="46"/>
              <w:widowControl w:val="0"/>
              <w:spacing w:before="0" w:beforeAutospacing="0" w:after="0" w:afterAutospacing="0" w:line="440" w:lineRule="exact"/>
              <w:rPr>
                <w:rFonts w:ascii="宋体" w:hAnsi="宋体" w:eastAsia="宋体" w:cs="宋体"/>
                <w:b w:val="0"/>
                <w:color w:val="auto"/>
                <w:sz w:val="24"/>
                <w:highlight w:val="none"/>
              </w:rPr>
            </w:pPr>
            <w:r>
              <w:rPr>
                <w:rFonts w:hint="eastAsia" w:ascii="宋体" w:hAnsi="宋体" w:eastAsia="宋体" w:cs="宋体"/>
                <w:b w:val="0"/>
                <w:color w:val="auto"/>
                <w:sz w:val="24"/>
                <w:highlight w:val="none"/>
              </w:rPr>
              <w:t>服务期限</w:t>
            </w:r>
          </w:p>
        </w:tc>
        <w:tc>
          <w:tcPr>
            <w:tcW w:w="3217" w:type="pct"/>
            <w:vAlign w:val="center"/>
          </w:tcPr>
          <w:p w14:paraId="42F85CE6">
            <w:pPr>
              <w:pStyle w:val="46"/>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u w:val="single"/>
              </w:rPr>
              <w:t>服务期三年，合同一年一签。</w:t>
            </w:r>
          </w:p>
        </w:tc>
      </w:tr>
      <w:tr w14:paraId="62F7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590" w:type="pct"/>
            <w:vAlign w:val="center"/>
          </w:tcPr>
          <w:p w14:paraId="16C2D76B">
            <w:pPr>
              <w:pStyle w:val="47"/>
              <w:pBdr>
                <w:bottom w:val="none" w:color="auto" w:sz="0" w:space="0"/>
              </w:pBdr>
              <w:tabs>
                <w:tab w:val="clear" w:pos="4153"/>
                <w:tab w:val="clear" w:pos="8306"/>
              </w:tabs>
              <w:adjustRightInd/>
              <w:spacing w:line="440" w:lineRule="exact"/>
              <w:textAlignment w:val="auto"/>
              <w:rPr>
                <w:rFonts w:ascii="宋体" w:hAnsi="宋体" w:eastAsia="宋体" w:cs="宋体"/>
                <w:bCs/>
                <w:color w:val="auto"/>
                <w:kern w:val="2"/>
                <w:highlight w:val="none"/>
              </w:rPr>
            </w:pPr>
            <w:r>
              <w:rPr>
                <w:rFonts w:hint="eastAsia" w:ascii="宋体" w:hAnsi="宋体" w:eastAsia="宋体" w:cs="宋体"/>
                <w:bCs/>
                <w:color w:val="auto"/>
                <w:kern w:val="2"/>
                <w:highlight w:val="none"/>
              </w:rPr>
              <w:t>4</w:t>
            </w:r>
          </w:p>
        </w:tc>
        <w:tc>
          <w:tcPr>
            <w:tcW w:w="1192" w:type="pct"/>
            <w:vAlign w:val="center"/>
          </w:tcPr>
          <w:p w14:paraId="4BCED925">
            <w:pPr>
              <w:pStyle w:val="46"/>
              <w:widowControl w:val="0"/>
              <w:spacing w:before="0" w:beforeAutospacing="0" w:after="0" w:afterAutospacing="0" w:line="440" w:lineRule="exact"/>
              <w:rPr>
                <w:rFonts w:ascii="宋体" w:hAnsi="宋体" w:eastAsia="宋体" w:cs="宋体"/>
                <w:b w:val="0"/>
                <w:color w:val="auto"/>
                <w:sz w:val="24"/>
                <w:highlight w:val="none"/>
              </w:rPr>
            </w:pPr>
            <w:r>
              <w:rPr>
                <w:rFonts w:hint="eastAsia" w:ascii="宋体" w:hAnsi="宋体" w:eastAsia="宋体" w:cs="宋体"/>
                <w:b w:val="0"/>
                <w:color w:val="auto"/>
                <w:sz w:val="24"/>
                <w:highlight w:val="none"/>
              </w:rPr>
              <w:t>本项目采购标的名称及所属行业</w:t>
            </w:r>
          </w:p>
        </w:tc>
        <w:tc>
          <w:tcPr>
            <w:tcW w:w="3217" w:type="pct"/>
            <w:vAlign w:val="center"/>
          </w:tcPr>
          <w:p w14:paraId="596D3FE6">
            <w:pPr>
              <w:spacing w:line="44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标的名称：</w:t>
            </w:r>
            <w:bookmarkStart w:id="34" w:name="OLE_LINK2"/>
            <w:bookmarkStart w:id="35" w:name="OLE_LINK1"/>
            <w:r>
              <w:rPr>
                <w:rFonts w:hint="eastAsia" w:ascii="宋体" w:hAnsi="宋体" w:eastAsia="宋体" w:cs="宋体"/>
                <w:color w:val="auto"/>
                <w:sz w:val="24"/>
                <w:highlight w:val="none"/>
              </w:rPr>
              <w:t>2026-2028年度全国会计专业技术资格无纸化考试滁州考点服务</w:t>
            </w:r>
          </w:p>
          <w:p w14:paraId="4F394421">
            <w:pPr>
              <w:spacing w:line="4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所属行业</w:t>
            </w:r>
            <w:bookmarkEnd w:id="34"/>
            <w:bookmarkEnd w:id="35"/>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其他未列明行业</w:t>
            </w:r>
          </w:p>
        </w:tc>
      </w:tr>
    </w:tbl>
    <w:p w14:paraId="4B8B1E37">
      <w:pPr>
        <w:spacing w:line="440" w:lineRule="exact"/>
        <w:ind w:firstLine="437"/>
        <w:outlineLvl w:val="1"/>
        <w:rPr>
          <w:rFonts w:ascii="宋体" w:hAnsi="宋体" w:eastAsia="宋体" w:cs="宋体"/>
          <w:b/>
          <w:color w:val="auto"/>
          <w:sz w:val="24"/>
          <w:szCs w:val="18"/>
          <w:highlight w:val="none"/>
        </w:rPr>
      </w:pPr>
      <w:bookmarkStart w:id="36" w:name="_Toc8753"/>
      <w:bookmarkStart w:id="37" w:name="_Toc16543"/>
      <w:bookmarkStart w:id="38" w:name="_Hlk16461016"/>
      <w:r>
        <w:rPr>
          <w:rFonts w:hint="eastAsia" w:ascii="宋体" w:hAnsi="宋体" w:eastAsia="宋体" w:cs="宋体"/>
          <w:b/>
          <w:color w:val="auto"/>
          <w:sz w:val="24"/>
          <w:szCs w:val="18"/>
          <w:highlight w:val="none"/>
        </w:rPr>
        <w:t>二、项目概况</w:t>
      </w:r>
      <w:bookmarkEnd w:id="36"/>
      <w:bookmarkEnd w:id="37"/>
    </w:p>
    <w:p w14:paraId="3312F428">
      <w:pPr>
        <w:pStyle w:val="46"/>
        <w:widowControl w:val="0"/>
        <w:spacing w:before="0" w:beforeAutospacing="0" w:after="0" w:afterAutospacing="0" w:line="440" w:lineRule="exact"/>
        <w:ind w:firstLine="480" w:firstLineChars="200"/>
        <w:jc w:val="both"/>
        <w:rPr>
          <w:rFonts w:hint="default" w:ascii="宋体" w:hAnsi="宋体" w:eastAsia="宋体" w:cs="宋体"/>
          <w:b w:val="0"/>
          <w:color w:val="auto"/>
          <w:sz w:val="24"/>
          <w:highlight w:val="none"/>
          <w:u w:val="single"/>
          <w:lang w:val="en-US"/>
        </w:rPr>
      </w:pPr>
      <w:r>
        <w:rPr>
          <w:rFonts w:hint="eastAsia" w:ascii="宋体" w:hAnsi="宋体" w:eastAsia="宋体" w:cs="宋体"/>
          <w:b w:val="0"/>
          <w:color w:val="auto"/>
          <w:sz w:val="24"/>
          <w:highlight w:val="none"/>
          <w:lang w:val="en-US" w:eastAsia="zh-CN"/>
        </w:rPr>
        <w:t>滁州市会计类无纸化考试根据财政部（全国会计考办）、省财政厅（省会计考办）相关规定和要求举办，具体包括会计专业技术初级资格考试（每年1次，一般在上半年，连续考试天数至少8天）和会计专业技术中级资格考试（每年1次，一般在下半年，连续考试天数至少4天）。具体要求如下，未尽事宜按安徽省会计专业技术资格考试领导小组办公室关于印发《2025年度全省会计专业技术资格无纸化考试工作方案》的通知执行。</w:t>
      </w:r>
    </w:p>
    <w:p w14:paraId="792D63A4">
      <w:pPr>
        <w:spacing w:line="440" w:lineRule="exact"/>
        <w:ind w:left="437"/>
        <w:outlineLvl w:val="1"/>
        <w:rPr>
          <w:rFonts w:ascii="宋体" w:hAnsi="宋体" w:eastAsia="宋体" w:cs="宋体"/>
          <w:b/>
          <w:color w:val="auto"/>
          <w:sz w:val="24"/>
          <w:szCs w:val="18"/>
          <w:highlight w:val="none"/>
        </w:rPr>
      </w:pPr>
      <w:bookmarkStart w:id="39" w:name="_Toc13016"/>
      <w:bookmarkStart w:id="40" w:name="_Toc27920"/>
      <w:r>
        <w:rPr>
          <w:rFonts w:hint="eastAsia" w:ascii="宋体" w:hAnsi="宋体" w:eastAsia="宋体" w:cs="宋体"/>
          <w:b/>
          <w:color w:val="auto"/>
          <w:sz w:val="24"/>
          <w:szCs w:val="18"/>
          <w:highlight w:val="none"/>
        </w:rPr>
        <w:t>三、服务需求</w:t>
      </w:r>
      <w:bookmarkEnd w:id="39"/>
      <w:bookmarkEnd w:id="40"/>
    </w:p>
    <w:p w14:paraId="5789A8A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bookmarkStart w:id="41" w:name="_Toc20717"/>
      <w:bookmarkStart w:id="42" w:name="_Toc16414"/>
      <w:r>
        <w:rPr>
          <w:rFonts w:hint="eastAsia" w:asciiTheme="majorEastAsia" w:hAnsiTheme="majorEastAsia" w:eastAsiaTheme="majorEastAsia" w:cstheme="majorEastAsia"/>
          <w:b/>
          <w:bCs w:val="0"/>
          <w:color w:val="auto"/>
          <w:sz w:val="24"/>
          <w:szCs w:val="24"/>
          <w:highlight w:val="none"/>
          <w:lang w:val="en-US" w:eastAsia="zh-CN"/>
        </w:rPr>
        <w:t>（一）考点考场设置一般性要求</w:t>
      </w:r>
    </w:p>
    <w:p w14:paraId="1454E6E6">
      <w:pPr>
        <w:pStyle w:val="85"/>
        <w:keepNext w:val="0"/>
        <w:keepLines w:val="0"/>
        <w:pageBreakBefore w:val="0"/>
        <w:widowControl w:val="0"/>
        <w:kinsoku/>
        <w:wordWrap/>
        <w:overflowPunct/>
        <w:topLinePunct w:val="0"/>
        <w:autoSpaceDE/>
        <w:autoSpaceDN/>
        <w:bidi w:val="0"/>
        <w:adjustRightInd/>
        <w:snapToGrid/>
        <w:spacing w:after="0" w:afterLines="0" w:line="500" w:lineRule="exact"/>
        <w:ind w:left="0" w:leftChars="0" w:firstLine="0" w:firstLineChars="0"/>
        <w:textAlignment w:val="auto"/>
        <w:rPr>
          <w:rFonts w:hint="eastAsia" w:asciiTheme="majorEastAsia" w:hAnsiTheme="majorEastAsia" w:eastAsiaTheme="majorEastAsia" w:cstheme="majorEastAsia"/>
          <w:b w:val="0"/>
          <w:bCs/>
          <w:color w:val="auto"/>
          <w:kern w:val="2"/>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 xml:space="preserve">  </w:t>
      </w:r>
      <w:r>
        <w:rPr>
          <w:rFonts w:hint="eastAsia" w:asciiTheme="majorEastAsia" w:hAnsiTheme="majorEastAsia" w:eastAsiaTheme="majorEastAsia" w:cstheme="majorEastAsia"/>
          <w:b w:val="0"/>
          <w:bCs/>
          <w:color w:val="auto"/>
          <w:kern w:val="2"/>
          <w:sz w:val="24"/>
          <w:szCs w:val="24"/>
          <w:highlight w:val="none"/>
          <w:lang w:val="en-US" w:eastAsia="zh-CN"/>
        </w:rPr>
        <w:t xml:space="preserve"> 1、考点设置：满足财政部（全国会计考办）、省财政厅（省会计考办）相关文件中考生必须在其报名所在地市进行考试。</w:t>
      </w:r>
    </w:p>
    <w:p w14:paraId="45084BD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kern w:val="2"/>
          <w:sz w:val="24"/>
          <w:szCs w:val="24"/>
          <w:highlight w:val="none"/>
          <w:lang w:val="en-US" w:eastAsia="zh-CN"/>
        </w:rPr>
      </w:pPr>
      <w:r>
        <w:rPr>
          <w:rFonts w:hint="eastAsia" w:asciiTheme="majorEastAsia" w:hAnsiTheme="majorEastAsia" w:eastAsiaTheme="majorEastAsia" w:cstheme="majorEastAsia"/>
          <w:b w:val="0"/>
          <w:bCs/>
          <w:color w:val="auto"/>
          <w:kern w:val="2"/>
          <w:sz w:val="24"/>
          <w:szCs w:val="24"/>
          <w:highlight w:val="none"/>
          <w:lang w:val="en-US" w:eastAsia="zh-CN"/>
        </w:rPr>
        <w:t>2、考点环境：考点周边交通便捷，安全安静，具有考试应急处置能力，考试期间考点实行封闭，除考生和相关会务人员，其他人员不得进入，以确保考试的正常进行。</w:t>
      </w:r>
    </w:p>
    <w:p w14:paraId="7FC9503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3、硬件要求：考点拥有备用发电设备、独立的电子考场、服务器机房、网络传输、远程监控系统、考务办公室、应考人员候考区、卫生间等设施。具体为至少拥有900个以上机位和相应考场，考场配备专用摄像头，每两个机位间有隔断隔开，符合省安徽省会计考办无纸化考试配置规定要求。【</w:t>
      </w:r>
      <w:r>
        <w:rPr>
          <w:rFonts w:hint="eastAsia" w:asciiTheme="majorEastAsia" w:hAnsiTheme="majorEastAsia" w:eastAsiaTheme="majorEastAsia" w:cstheme="majorEastAsia"/>
          <w:b/>
          <w:bCs w:val="0"/>
          <w:color w:val="auto"/>
          <w:sz w:val="24"/>
          <w:szCs w:val="24"/>
          <w:highlight w:val="none"/>
          <w:lang w:val="en-US" w:eastAsia="zh-CN"/>
        </w:rPr>
        <w:t>投标时须提供900个以上机位现状(可按考场拍摄)、摄像头、备用发电设备、机位隔断的照片和符合上述要求的承诺函（格式自拟），招标人保留现场核查的权利，如发现提供虚假材料的，招标人将上报有关部门按规定处理</w:t>
      </w:r>
      <w:r>
        <w:rPr>
          <w:rFonts w:hint="eastAsia" w:asciiTheme="majorEastAsia" w:hAnsiTheme="majorEastAsia" w:eastAsiaTheme="majorEastAsia" w:cstheme="majorEastAsia"/>
          <w:b w:val="0"/>
          <w:bCs/>
          <w:color w:val="auto"/>
          <w:sz w:val="24"/>
          <w:szCs w:val="24"/>
          <w:highlight w:val="none"/>
          <w:lang w:val="en-US" w:eastAsia="zh-CN"/>
        </w:rPr>
        <w:t>】</w:t>
      </w:r>
    </w:p>
    <w:p w14:paraId="4E6D478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 xml:space="preserve">    4、软件要求：考点拥有满足考试需要的技术力量，能有效组织考试、考务管理。</w:t>
      </w:r>
    </w:p>
    <w:p w14:paraId="212F4D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 xml:space="preserve">    5、考试模式：会计类无纸化考试主要包括全国会计专业技术资格（初、中级）考试等，采用无纸化考试模式，考试时间、场次、科目设置等根据安徽省会计考办相关通知要求和规定办理，考试日程安排按照安徽省会计考办要求，结合滁州考区相关考试考生报名情况确定。</w:t>
      </w:r>
    </w:p>
    <w:p w14:paraId="7B59DAC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 xml:space="preserve">    6、考试时间：考试一般分别安排在5月份和9月份，考点考场计划连续封闭使用至少4-8天左右，考试期间需提供满足上述考试要求的考场、技术人员、网络传输、供电保障和其他设施条件。</w:t>
      </w:r>
    </w:p>
    <w:p w14:paraId="7BAC0EA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 xml:space="preserve">    7、中标单位不得自行变更考点位置和机房。</w:t>
      </w:r>
    </w:p>
    <w:p w14:paraId="7F20F323">
      <w:pPr>
        <w:keepNext w:val="0"/>
        <w:keepLines w:val="0"/>
        <w:pageBreakBefore w:val="0"/>
        <w:widowControl w:val="0"/>
        <w:kinsoku/>
        <w:wordWrap/>
        <w:overflowPunct/>
        <w:topLinePunct w:val="0"/>
        <w:autoSpaceDE/>
        <w:autoSpaceDN/>
        <w:bidi w:val="0"/>
        <w:adjustRightInd/>
        <w:snapToGrid/>
        <w:spacing w:line="500" w:lineRule="exact"/>
        <w:ind w:firstLine="241" w:firstLineChars="100"/>
        <w:textAlignment w:val="auto"/>
        <w:rPr>
          <w:rFonts w:hint="eastAsia" w:asciiTheme="majorEastAsia" w:hAnsiTheme="majorEastAsia" w:eastAsiaTheme="majorEastAsia" w:cstheme="majorEastAsia"/>
          <w:b/>
          <w:bCs w:val="0"/>
          <w:color w:val="auto"/>
          <w:sz w:val="24"/>
          <w:szCs w:val="24"/>
          <w:highlight w:val="none"/>
          <w:lang w:val="en-US" w:eastAsia="zh-CN"/>
        </w:rPr>
      </w:pPr>
      <w:r>
        <w:rPr>
          <w:rFonts w:hint="eastAsia" w:asciiTheme="majorEastAsia" w:hAnsiTheme="majorEastAsia" w:eastAsiaTheme="majorEastAsia" w:cstheme="majorEastAsia"/>
          <w:b/>
          <w:bCs w:val="0"/>
          <w:color w:val="auto"/>
          <w:sz w:val="24"/>
          <w:szCs w:val="24"/>
          <w:highlight w:val="none"/>
          <w:lang w:val="en-US" w:eastAsia="zh-CN"/>
        </w:rPr>
        <w:t>（二）考点考场设置及技术服务保障具体要求</w:t>
      </w:r>
    </w:p>
    <w:p w14:paraId="59AA8FE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1、中标单位主要领导担任考试主考，中标单位分管领导担任考试副主考，中标单位必须安排本单位人员具体负责各项考务工作。考点考务工作应接受招标人的管理和监督。</w:t>
      </w:r>
    </w:p>
    <w:p w14:paraId="516C2A0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2、会计类无纸化考试日期及考试天数安排由招标人按照上级会计考办要求，根据本考区会计类无纸化考试考生实际报名情况提出，且提前与中标单位商定、部署。中标单位须无条件服从招标人关于考试日期及正常工作日内连续考试天数的安排，考试日程及时间安排按照省会计考办通知执行。</w:t>
      </w:r>
    </w:p>
    <w:p w14:paraId="1D32FD5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3、考场设置应按照便利、集中的原则，根据报考人数情况合理确定。</w:t>
      </w:r>
    </w:p>
    <w:p w14:paraId="58242C9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4、考点及考场应安全、安静、宽敞明亮，具有良好的通风性能；考点要达到消防要求，并具有防热、防火、防雷、防电击等保护措施以及应急处置能力，有具体完善的供电保障方案。考场内应加强对老鼠等生物的防害措施，应由专人检查及防治。</w:t>
      </w:r>
    </w:p>
    <w:p w14:paraId="354D01A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5、考点应具备独立的备用发电设备【</w:t>
      </w:r>
      <w:r>
        <w:rPr>
          <w:rFonts w:hint="eastAsia" w:asciiTheme="majorEastAsia" w:hAnsiTheme="majorEastAsia" w:eastAsiaTheme="majorEastAsia" w:cstheme="majorEastAsia"/>
          <w:b/>
          <w:bCs w:val="0"/>
          <w:color w:val="auto"/>
          <w:sz w:val="24"/>
          <w:szCs w:val="24"/>
          <w:highlight w:val="none"/>
          <w:lang w:val="en-US" w:eastAsia="zh-CN"/>
        </w:rPr>
        <w:t>投标时须提供照片和承诺函（格式自拟），招标人保留现场核查的权利，如发现提供虚假材料的，招标人将上报有关部门按规定处理</w:t>
      </w:r>
      <w:r>
        <w:rPr>
          <w:rFonts w:hint="eastAsia" w:asciiTheme="majorEastAsia" w:hAnsiTheme="majorEastAsia" w:eastAsiaTheme="majorEastAsia" w:cstheme="majorEastAsia"/>
          <w:b w:val="0"/>
          <w:bCs/>
          <w:color w:val="auto"/>
          <w:sz w:val="24"/>
          <w:szCs w:val="24"/>
          <w:highlight w:val="none"/>
          <w:lang w:val="en-US" w:eastAsia="zh-CN"/>
        </w:rPr>
        <w:t>】，考场应全部安装空调设施，以便保持适宜的温度和湿度，考试时温度控制在18度至28度。考场内应确保适度的照明条件，但需避免直射显示器屏幕引起眩光，向阳的考场应加装窗帘以遮挡强光。考场应加强门窗的密闭性能，保持室内清洁和卫生，考生进退场时不能有扬尘。</w:t>
      </w:r>
    </w:p>
    <w:p w14:paraId="4C14117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6、考点应有独立的计算机考场、服务器、考务办公室、应考人员候考区和候考室等。应考人员候考区、候考室需配置适当的便民服务设施。考场应远离强电磁场源（如无线发射机等），机房内的工作台、工作椅、地面等材料尽量选用防静电材料，做好考场静电防护。</w:t>
      </w:r>
    </w:p>
    <w:p w14:paraId="49D86F1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7、考场应配置考试服务器、考试计算机、备用计算机、不间断电源、局域网络等无纸化考试必要的软硬件设备，确保考场满足无纸化考试要求。考场服务器和考试计算机通过100M及以上局域网互联，每个考场考试用计算机至少应配置50台以上，每考场启用考试机位数根据报考人数确定，最多不超过80台（含备用机），每考场按考试人数的5%预留备用考试计算机位以应急使用。考点应预留一个配备至少70台以上考试计算机的备用考场以应急使用。</w:t>
      </w:r>
    </w:p>
    <w:p w14:paraId="435F185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8、考场应配置身份识别设备、监控设备等必要的防舞弊设备，防范替考、抄袭、交头接耳、传接物品、使用通讯设备等作弊行为。监控设备应以宽带固定IP接入因特网，能够实现远程监控。</w:t>
      </w:r>
    </w:p>
    <w:p w14:paraId="105E353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9、全国会计专业技术资格无纸化统一考试期间，中标单位在非考试时段应将已确定的会计专业技术资格考试考场全部保持封场状态，不得安排其他用途。考场内机器设备维护必须由考点考办安排相关技术人员进行。考场内计算机只能安装符合会计类无纸化考试规定的相关软件，不得安装或存有其他任何与会计专业相关的软件、文件和资料等内容。</w:t>
      </w:r>
    </w:p>
    <w:p w14:paraId="6E65464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10、人员配备：考点应配备主考、副主考、考点考办负责人、技术负责人、机房管理员及相应的监考人员，确保考点技术管理和考场监考人员在数量和能力两方面均达到要求。考试考点应配备专业技术人员，负责考场软硬件设备的维护以及突发故障的处理，200台考试机以下的考点，至少配备1名技术保障人员；200台考试机以上的考点，每增加200台考试机至少增配1名技术保障人员。严禁聘用考点机房管理员为考点技术服务人员，严格落实考点技术人员与机房管理员之间互相协作、制衡与监督的工作机制；考场按考生人数配备监考人员，考生人数在50人及以下考场应配备2名监考人员；每增加25名考生应增加配备1至2名监考人员。</w:t>
      </w:r>
    </w:p>
    <w:p w14:paraId="20C3AA6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11、考点应在考点入口处等显著位置悬挂横幅、广告牌等显著标识，标明考点名称，考试类别等考试基本情况，并提前张贴考场示意图、考试时间表和考场规则等。各考场应在考场入口处张贴考场号及各考场准考证起止号，方便考生快速定位考试位置。</w:t>
      </w:r>
    </w:p>
    <w:p w14:paraId="78278EE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12、考试信息管理。考试系统日志、应考人员信息、考试答题数据库及考试期间考场监控录像等所有与考试相关的数据信息资料保管期限为1年，上述资料须由考点单位负责备份后单独保管备查并按要求出具复查复核证明。</w:t>
      </w:r>
    </w:p>
    <w:p w14:paraId="5D34D2D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bCs w:val="0"/>
          <w:color w:val="auto"/>
          <w:sz w:val="24"/>
          <w:szCs w:val="24"/>
          <w:highlight w:val="none"/>
          <w:lang w:val="en-US" w:eastAsia="zh-CN"/>
        </w:rPr>
        <w:t xml:space="preserve">（三）考场软硬件设备最低配置要求 </w:t>
      </w:r>
    </w:p>
    <w:p w14:paraId="4522377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ajorEastAsia" w:hAnsiTheme="majorEastAsia" w:eastAsiaTheme="majorEastAsia" w:cstheme="majorEastAsia"/>
          <w:b/>
          <w:bCs w:val="0"/>
          <w:color w:val="auto"/>
          <w:sz w:val="24"/>
          <w:szCs w:val="24"/>
          <w:highlight w:val="none"/>
          <w:lang w:val="en-US" w:eastAsia="zh-CN"/>
        </w:rPr>
      </w:pPr>
      <w:r>
        <w:rPr>
          <w:rFonts w:hint="eastAsia" w:asciiTheme="majorEastAsia" w:hAnsiTheme="majorEastAsia" w:eastAsiaTheme="majorEastAsia" w:cstheme="majorEastAsia"/>
          <w:b/>
          <w:bCs w:val="0"/>
          <w:color w:val="auto"/>
          <w:sz w:val="24"/>
          <w:szCs w:val="24"/>
          <w:highlight w:val="none"/>
          <w:lang w:val="en-US" w:eastAsia="zh-CN"/>
        </w:rPr>
        <w:t>部署B/S（浏览器/服务器）架构考试系统的要求</w:t>
      </w:r>
    </w:p>
    <w:p w14:paraId="482F28B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ajorEastAsia" w:hAnsiTheme="majorEastAsia" w:eastAsiaTheme="majorEastAsia" w:cstheme="majorEastAsia"/>
          <w:b/>
          <w:bCs w:val="0"/>
          <w:color w:val="auto"/>
          <w:sz w:val="24"/>
          <w:szCs w:val="24"/>
          <w:highlight w:val="none"/>
          <w:lang w:val="en-US" w:eastAsia="zh-CN"/>
        </w:rPr>
      </w:pPr>
      <w:r>
        <w:rPr>
          <w:rFonts w:hint="eastAsia" w:asciiTheme="majorEastAsia" w:hAnsiTheme="majorEastAsia" w:eastAsiaTheme="majorEastAsia" w:cstheme="majorEastAsia"/>
          <w:b/>
          <w:bCs w:val="0"/>
          <w:color w:val="auto"/>
          <w:sz w:val="24"/>
          <w:szCs w:val="24"/>
          <w:highlight w:val="none"/>
          <w:lang w:val="en-US" w:eastAsia="zh-CN"/>
        </w:rPr>
        <w:t>1.考场要求</w:t>
      </w:r>
    </w:p>
    <w:p w14:paraId="4B43CAA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 xml:space="preserve">（1）每个考生分配1台考试机，每个考场应配备考场人数5%的备用考试机，有条件的考点可配备1个备用考场。每个考点或考场根据签到方式和考生规模至少配备1台监考机（考务操作用）和1台备用机，提供电子签到相关设备（如身份识别设备、摄像头等）。每台服务器至少配备1台备用机。 </w:t>
      </w:r>
    </w:p>
    <w:p w14:paraId="1679089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 xml:space="preserve">（2）考试机、监考机、服务器操作系统干净、无病毒，并确保操作系统已经安装最新的更新及必备的软件。 </w:t>
      </w:r>
    </w:p>
    <w:p w14:paraId="26B659A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 xml:space="preserve">（3）考试机、监考机、管理机需安装杀毒软件及最新病毒库，并启用防火墙。 </w:t>
      </w:r>
    </w:p>
    <w:p w14:paraId="39AE0B0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 xml:space="preserve">（4）监考机、服务器尽量不安装还原卡或将还原卡设置为无效模式，考试机在设置好后可加上还原卡等保护措施以便于管理,但考试期间数据存放盘需要去掉还原卡保护。 </w:t>
      </w:r>
    </w:p>
    <w:p w14:paraId="04F4089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（5）考场应达到有关消防要求，有稳定的电源。每个考点应有备用供电途径，每台服务器应配备可提供1小时以上供电时长的不间断电源（UPS）。</w:t>
      </w:r>
    </w:p>
    <w:p w14:paraId="2B4BBB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 xml:space="preserve">（6）若使用摄像头等签到设备，应重点测试与考试系统的兼容性。 </w:t>
      </w:r>
    </w:p>
    <w:p w14:paraId="4C8909B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（7）应充分考虑由于考试设备（考试机、监考机、服务器等）老化造成的设备标识技术参数（CPU、内存及硬盘技术参数等）与实际性能不一致的情况，在进行考场测试时对使用时间较长的设备进行重点测试。</w:t>
      </w:r>
    </w:p>
    <w:p w14:paraId="4E47F34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2.网络要求</w:t>
      </w:r>
    </w:p>
    <w:p w14:paraId="0253813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（1）网络交换机应稳定可靠。</w:t>
      </w:r>
    </w:p>
    <w:p w14:paraId="35BEB8A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（2）考点至少配备1台能够接入互联网的计算机，互联网接入网络带宽应达到5M独享。考点局域网应为TCP/IP协议的有线网络。</w:t>
      </w:r>
    </w:p>
    <w:p w14:paraId="7340BE7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（3）考场内计算机应设为同一IP段。考试机、监考机、服务器之间连接带宽达到100M，考试机之间不得建立共享，每台考试机必须有独立管理员权限的登录用户。</w:t>
      </w:r>
    </w:p>
    <w:p w14:paraId="659C1DF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（4）考试过程中，所有设备严禁访问互联网。</w:t>
      </w:r>
    </w:p>
    <w:p w14:paraId="63129B5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sz w:val="24"/>
          <w:szCs w:val="24"/>
          <w:highlight w:val="none"/>
          <w:lang w:val="en-US" w:eastAsia="zh-CN"/>
        </w:rPr>
        <w:t>3.服务器配置要求（数量要求均已包括1台备用机）</w:t>
      </w:r>
    </w:p>
    <w:tbl>
      <w:tblPr>
        <w:tblStyle w:val="28"/>
        <w:tblW w:w="9464"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7"/>
        <w:gridCol w:w="1177"/>
        <w:gridCol w:w="5630"/>
        <w:gridCol w:w="860"/>
      </w:tblGrid>
      <w:tr w14:paraId="5415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7" w:type="dxa"/>
            <w:shd w:val="clear" w:color="auto" w:fill="auto"/>
            <w:vAlign w:val="center"/>
          </w:tcPr>
          <w:p w14:paraId="37DB00CC">
            <w:pPr>
              <w:jc w:val="center"/>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考点规模（考试机数量）</w:t>
            </w:r>
          </w:p>
        </w:tc>
        <w:tc>
          <w:tcPr>
            <w:tcW w:w="1177" w:type="dxa"/>
            <w:shd w:val="clear" w:color="auto" w:fill="auto"/>
            <w:vAlign w:val="center"/>
          </w:tcPr>
          <w:p w14:paraId="2C30624D">
            <w:pPr>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设备名称</w:t>
            </w:r>
          </w:p>
        </w:tc>
        <w:tc>
          <w:tcPr>
            <w:tcW w:w="5630" w:type="dxa"/>
            <w:shd w:val="clear" w:color="auto" w:fill="auto"/>
            <w:vAlign w:val="center"/>
          </w:tcPr>
          <w:p w14:paraId="516E0575">
            <w:pPr>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配置要求</w:t>
            </w:r>
          </w:p>
        </w:tc>
        <w:tc>
          <w:tcPr>
            <w:tcW w:w="860" w:type="dxa"/>
            <w:shd w:val="clear" w:color="auto" w:fill="auto"/>
            <w:vAlign w:val="center"/>
          </w:tcPr>
          <w:p w14:paraId="2B7E8C2D">
            <w:pPr>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数量</w:t>
            </w:r>
          </w:p>
        </w:tc>
      </w:tr>
      <w:tr w14:paraId="7E5B0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97" w:type="dxa"/>
            <w:shd w:val="clear" w:color="auto" w:fill="auto"/>
            <w:vAlign w:val="center"/>
          </w:tcPr>
          <w:p w14:paraId="5C6CDF17">
            <w:pPr>
              <w:jc w:val="center"/>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1000-2000台</w:t>
            </w:r>
          </w:p>
        </w:tc>
        <w:tc>
          <w:tcPr>
            <w:tcW w:w="1177" w:type="dxa"/>
            <w:shd w:val="clear" w:color="auto" w:fill="auto"/>
            <w:vAlign w:val="center"/>
          </w:tcPr>
          <w:p w14:paraId="35F66F38">
            <w:pPr>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服务器</w:t>
            </w:r>
          </w:p>
        </w:tc>
        <w:tc>
          <w:tcPr>
            <w:tcW w:w="5630" w:type="dxa"/>
            <w:shd w:val="clear" w:color="auto" w:fill="auto"/>
            <w:vAlign w:val="center"/>
          </w:tcPr>
          <w:p w14:paraId="2553CCC8">
            <w:pP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lang w:val="en-US" w:eastAsia="zh-CN"/>
              </w:rPr>
              <w:t>优于或相当于：</w:t>
            </w:r>
            <w:r>
              <w:rPr>
                <w:rFonts w:hint="eastAsia" w:asciiTheme="majorEastAsia" w:hAnsiTheme="majorEastAsia" w:eastAsiaTheme="majorEastAsia" w:cstheme="majorEastAsia"/>
                <w:color w:val="auto"/>
                <w:sz w:val="24"/>
                <w:highlight w:val="none"/>
              </w:rPr>
              <w:t>CPU</w:t>
            </w:r>
            <w:r>
              <w:rPr>
                <w:rFonts w:hint="eastAsia" w:asciiTheme="majorEastAsia" w:hAnsiTheme="majorEastAsia" w:eastAsiaTheme="majorEastAsia" w:cstheme="majorEastAsia"/>
                <w:color w:val="auto"/>
                <w:sz w:val="24"/>
                <w:highlight w:val="none"/>
                <w:lang w:val="en-US" w:eastAsia="zh-CN"/>
              </w:rPr>
              <w:t>12</w:t>
            </w:r>
            <w:r>
              <w:rPr>
                <w:rFonts w:hint="eastAsia" w:asciiTheme="majorEastAsia" w:hAnsiTheme="majorEastAsia" w:eastAsiaTheme="majorEastAsia" w:cstheme="majorEastAsia"/>
                <w:color w:val="auto"/>
                <w:sz w:val="24"/>
                <w:highlight w:val="none"/>
              </w:rPr>
              <w:t>核2.4GHz，2颗以上</w:t>
            </w:r>
            <w:r>
              <w:rPr>
                <w:rFonts w:hint="eastAsia" w:asciiTheme="majorEastAsia" w:hAnsiTheme="majorEastAsia" w:eastAsiaTheme="majorEastAsia" w:cstheme="majorEastAsia"/>
                <w:color w:val="auto"/>
                <w:sz w:val="24"/>
                <w:highlight w:val="none"/>
                <w:lang w:eastAsia="zh-CN"/>
              </w:rPr>
              <w:t>，</w:t>
            </w:r>
            <w:r>
              <w:rPr>
                <w:rFonts w:hint="eastAsia" w:asciiTheme="majorEastAsia" w:hAnsiTheme="majorEastAsia" w:eastAsiaTheme="majorEastAsia" w:cstheme="majorEastAsia"/>
                <w:color w:val="auto"/>
                <w:sz w:val="24"/>
                <w:highlight w:val="none"/>
              </w:rPr>
              <w:t>内存</w:t>
            </w:r>
            <w:r>
              <w:rPr>
                <w:rFonts w:hint="eastAsia" w:asciiTheme="majorEastAsia" w:hAnsiTheme="majorEastAsia" w:eastAsiaTheme="majorEastAsia" w:cstheme="majorEastAsia"/>
                <w:color w:val="auto"/>
                <w:sz w:val="24"/>
                <w:highlight w:val="none"/>
                <w:lang w:val="en-US" w:eastAsia="zh-CN"/>
              </w:rPr>
              <w:t>64</w:t>
            </w:r>
            <w:r>
              <w:rPr>
                <w:rFonts w:hint="eastAsia" w:asciiTheme="majorEastAsia" w:hAnsiTheme="majorEastAsia" w:eastAsiaTheme="majorEastAsia" w:cstheme="majorEastAsia"/>
                <w:color w:val="auto"/>
                <w:sz w:val="24"/>
                <w:highlight w:val="none"/>
              </w:rPr>
              <w:t>G以上</w:t>
            </w:r>
            <w:r>
              <w:rPr>
                <w:rFonts w:hint="eastAsia" w:asciiTheme="majorEastAsia" w:hAnsiTheme="majorEastAsia" w:eastAsiaTheme="majorEastAsia" w:cstheme="majorEastAsia"/>
                <w:color w:val="auto"/>
                <w:sz w:val="24"/>
                <w:highlight w:val="none"/>
                <w:lang w:eastAsia="zh-CN"/>
              </w:rPr>
              <w:t>，</w:t>
            </w:r>
            <w:r>
              <w:rPr>
                <w:rFonts w:hint="eastAsia" w:asciiTheme="majorEastAsia" w:hAnsiTheme="majorEastAsia" w:eastAsiaTheme="majorEastAsia" w:cstheme="majorEastAsia"/>
                <w:color w:val="auto"/>
                <w:sz w:val="24"/>
                <w:highlight w:val="none"/>
              </w:rPr>
              <w:t xml:space="preserve">Windows Server 2012 </w:t>
            </w:r>
            <w:r>
              <w:rPr>
                <w:rFonts w:hint="eastAsia" w:asciiTheme="majorEastAsia" w:hAnsiTheme="majorEastAsia" w:eastAsiaTheme="majorEastAsia" w:cstheme="majorEastAsia"/>
                <w:color w:val="auto"/>
                <w:sz w:val="24"/>
                <w:highlight w:val="none"/>
                <w:lang w:val="en-US" w:eastAsia="zh-CN"/>
              </w:rPr>
              <w:t>及以上64位操作系统</w:t>
            </w:r>
          </w:p>
        </w:tc>
        <w:tc>
          <w:tcPr>
            <w:tcW w:w="860" w:type="dxa"/>
            <w:shd w:val="clear" w:color="auto" w:fill="auto"/>
            <w:vAlign w:val="center"/>
          </w:tcPr>
          <w:p w14:paraId="118AD7EB">
            <w:pPr>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3</w:t>
            </w:r>
          </w:p>
        </w:tc>
      </w:tr>
      <w:tr w14:paraId="5C24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797" w:type="dxa"/>
            <w:shd w:val="clear" w:color="auto" w:fill="auto"/>
            <w:vAlign w:val="center"/>
          </w:tcPr>
          <w:p w14:paraId="2A874AAF">
            <w:pPr>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lang w:val="en-US" w:eastAsia="zh-CN"/>
              </w:rPr>
              <w:t>200-1000台</w:t>
            </w:r>
          </w:p>
        </w:tc>
        <w:tc>
          <w:tcPr>
            <w:tcW w:w="1177" w:type="dxa"/>
            <w:shd w:val="clear" w:color="auto" w:fill="auto"/>
            <w:vAlign w:val="center"/>
          </w:tcPr>
          <w:p w14:paraId="098CC9CA">
            <w:pPr>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服务器</w:t>
            </w:r>
          </w:p>
        </w:tc>
        <w:tc>
          <w:tcPr>
            <w:tcW w:w="5630" w:type="dxa"/>
            <w:shd w:val="clear" w:color="auto" w:fill="auto"/>
            <w:vAlign w:val="center"/>
          </w:tcPr>
          <w:p w14:paraId="6B4EDA5C">
            <w:pP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lang w:val="en-US" w:eastAsia="zh-CN"/>
              </w:rPr>
              <w:t>优于或相当于：</w:t>
            </w:r>
            <w:r>
              <w:rPr>
                <w:rFonts w:hint="eastAsia" w:asciiTheme="majorEastAsia" w:hAnsiTheme="majorEastAsia" w:eastAsiaTheme="majorEastAsia" w:cstheme="majorEastAsia"/>
                <w:color w:val="auto"/>
                <w:sz w:val="24"/>
                <w:highlight w:val="none"/>
              </w:rPr>
              <w:t>CPU</w:t>
            </w:r>
            <w:r>
              <w:rPr>
                <w:rFonts w:hint="eastAsia" w:asciiTheme="majorEastAsia" w:hAnsiTheme="majorEastAsia" w:eastAsiaTheme="majorEastAsia" w:cstheme="majorEastAsia"/>
                <w:color w:val="auto"/>
                <w:sz w:val="24"/>
                <w:highlight w:val="none"/>
                <w:lang w:val="en-US" w:eastAsia="zh-CN"/>
              </w:rPr>
              <w:t>8</w:t>
            </w:r>
            <w:r>
              <w:rPr>
                <w:rFonts w:hint="eastAsia" w:asciiTheme="majorEastAsia" w:hAnsiTheme="majorEastAsia" w:eastAsiaTheme="majorEastAsia" w:cstheme="majorEastAsia"/>
                <w:color w:val="auto"/>
                <w:sz w:val="24"/>
                <w:highlight w:val="none"/>
              </w:rPr>
              <w:t>核2.4GHz，2颗以上</w:t>
            </w:r>
            <w:r>
              <w:rPr>
                <w:rFonts w:hint="eastAsia" w:asciiTheme="majorEastAsia" w:hAnsiTheme="majorEastAsia" w:eastAsiaTheme="majorEastAsia" w:cstheme="majorEastAsia"/>
                <w:color w:val="auto"/>
                <w:sz w:val="24"/>
                <w:highlight w:val="none"/>
                <w:lang w:eastAsia="zh-CN"/>
              </w:rPr>
              <w:t>，</w:t>
            </w:r>
            <w:r>
              <w:rPr>
                <w:rFonts w:hint="eastAsia" w:asciiTheme="majorEastAsia" w:hAnsiTheme="majorEastAsia" w:eastAsiaTheme="majorEastAsia" w:cstheme="majorEastAsia"/>
                <w:color w:val="auto"/>
                <w:sz w:val="24"/>
                <w:highlight w:val="none"/>
              </w:rPr>
              <w:t>内存</w:t>
            </w:r>
            <w:r>
              <w:rPr>
                <w:rFonts w:hint="eastAsia" w:asciiTheme="majorEastAsia" w:hAnsiTheme="majorEastAsia" w:eastAsiaTheme="majorEastAsia" w:cstheme="majorEastAsia"/>
                <w:color w:val="auto"/>
                <w:sz w:val="24"/>
                <w:highlight w:val="none"/>
                <w:lang w:val="en-US" w:eastAsia="zh-CN"/>
              </w:rPr>
              <w:t>32</w:t>
            </w:r>
            <w:r>
              <w:rPr>
                <w:rFonts w:hint="eastAsia" w:asciiTheme="majorEastAsia" w:hAnsiTheme="majorEastAsia" w:eastAsiaTheme="majorEastAsia" w:cstheme="majorEastAsia"/>
                <w:color w:val="auto"/>
                <w:sz w:val="24"/>
                <w:highlight w:val="none"/>
              </w:rPr>
              <w:t>G以上</w:t>
            </w:r>
            <w:r>
              <w:rPr>
                <w:rFonts w:hint="eastAsia" w:asciiTheme="majorEastAsia" w:hAnsiTheme="majorEastAsia" w:eastAsiaTheme="majorEastAsia" w:cstheme="majorEastAsia"/>
                <w:color w:val="auto"/>
                <w:sz w:val="24"/>
                <w:highlight w:val="none"/>
                <w:lang w:eastAsia="zh-CN"/>
              </w:rPr>
              <w:t>，</w:t>
            </w:r>
            <w:r>
              <w:rPr>
                <w:rFonts w:hint="eastAsia" w:asciiTheme="majorEastAsia" w:hAnsiTheme="majorEastAsia" w:eastAsiaTheme="majorEastAsia" w:cstheme="majorEastAsia"/>
                <w:color w:val="auto"/>
                <w:sz w:val="24"/>
                <w:highlight w:val="none"/>
              </w:rPr>
              <w:t>硬盘300GB×4</w:t>
            </w:r>
            <w:r>
              <w:rPr>
                <w:rFonts w:hint="eastAsia" w:asciiTheme="majorEastAsia" w:hAnsiTheme="majorEastAsia" w:eastAsiaTheme="majorEastAsia" w:cstheme="majorEastAsia"/>
                <w:color w:val="auto"/>
                <w:sz w:val="24"/>
                <w:highlight w:val="none"/>
                <w:lang w:val="en-US" w:eastAsia="zh-CN"/>
              </w:rPr>
              <w:t>以上</w:t>
            </w:r>
            <w:r>
              <w:rPr>
                <w:rFonts w:hint="eastAsia" w:asciiTheme="majorEastAsia" w:hAnsiTheme="majorEastAsia" w:eastAsiaTheme="majorEastAsia" w:cstheme="majorEastAsia"/>
                <w:color w:val="auto"/>
                <w:sz w:val="24"/>
                <w:highlight w:val="none"/>
                <w:lang w:eastAsia="zh-CN"/>
              </w:rPr>
              <w:t>，</w:t>
            </w:r>
            <w:r>
              <w:rPr>
                <w:rFonts w:hint="eastAsia" w:asciiTheme="majorEastAsia" w:hAnsiTheme="majorEastAsia" w:eastAsiaTheme="majorEastAsia" w:cstheme="majorEastAsia"/>
                <w:color w:val="auto"/>
                <w:sz w:val="24"/>
                <w:highlight w:val="none"/>
              </w:rPr>
              <w:t xml:space="preserve">Windows Server 2012 </w:t>
            </w:r>
            <w:r>
              <w:rPr>
                <w:rFonts w:hint="eastAsia" w:asciiTheme="majorEastAsia" w:hAnsiTheme="majorEastAsia" w:eastAsiaTheme="majorEastAsia" w:cstheme="majorEastAsia"/>
                <w:color w:val="auto"/>
                <w:sz w:val="24"/>
                <w:highlight w:val="none"/>
                <w:lang w:val="en-US" w:eastAsia="zh-CN"/>
              </w:rPr>
              <w:t>及以上64位操作系统</w:t>
            </w:r>
          </w:p>
        </w:tc>
        <w:tc>
          <w:tcPr>
            <w:tcW w:w="860" w:type="dxa"/>
            <w:shd w:val="clear" w:color="auto" w:fill="auto"/>
            <w:vAlign w:val="center"/>
          </w:tcPr>
          <w:p w14:paraId="764806FF">
            <w:pPr>
              <w:jc w:val="center"/>
              <w:rPr>
                <w:rFonts w:hint="eastAsia" w:asciiTheme="majorEastAsia" w:hAnsiTheme="majorEastAsia" w:eastAsiaTheme="majorEastAsia" w:cstheme="majorEastAsia"/>
                <w:color w:val="auto"/>
                <w:sz w:val="24"/>
                <w:highlight w:val="none"/>
                <w:lang w:eastAsia="zh-CN"/>
              </w:rPr>
            </w:pPr>
            <w:r>
              <w:rPr>
                <w:rFonts w:hint="eastAsia" w:asciiTheme="majorEastAsia" w:hAnsiTheme="majorEastAsia" w:eastAsiaTheme="majorEastAsia" w:cstheme="majorEastAsia"/>
                <w:color w:val="auto"/>
                <w:sz w:val="24"/>
                <w:highlight w:val="none"/>
                <w:lang w:val="en-US" w:eastAsia="zh-CN"/>
              </w:rPr>
              <w:t>2</w:t>
            </w:r>
          </w:p>
        </w:tc>
      </w:tr>
    </w:tbl>
    <w:p w14:paraId="3A47966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kern w:val="2"/>
          <w:sz w:val="24"/>
          <w:szCs w:val="24"/>
          <w:highlight w:val="none"/>
          <w:lang w:val="en-US" w:eastAsia="zh-CN" w:bidi="ar-SA"/>
        </w:rPr>
        <w:t>4.</w:t>
      </w:r>
      <w:r>
        <w:rPr>
          <w:rFonts w:hint="eastAsia" w:asciiTheme="majorEastAsia" w:hAnsiTheme="majorEastAsia" w:eastAsiaTheme="majorEastAsia" w:cstheme="majorEastAsia"/>
          <w:b w:val="0"/>
          <w:bCs/>
          <w:color w:val="auto"/>
          <w:sz w:val="24"/>
          <w:szCs w:val="24"/>
          <w:highlight w:val="none"/>
          <w:lang w:val="en-US" w:eastAsia="zh-CN"/>
        </w:rPr>
        <w:t>监考机要求</w:t>
      </w:r>
    </w:p>
    <w:tbl>
      <w:tblPr>
        <w:tblStyle w:val="28"/>
        <w:tblW w:w="9362"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84"/>
        <w:gridCol w:w="7278"/>
      </w:tblGrid>
      <w:tr w14:paraId="13CC5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blHeader/>
        </w:trPr>
        <w:tc>
          <w:tcPr>
            <w:tcW w:w="2084" w:type="dxa"/>
            <w:shd w:val="clear" w:color="auto" w:fill="auto"/>
            <w:vAlign w:val="center"/>
          </w:tcPr>
          <w:p w14:paraId="16D950F0">
            <w:pPr>
              <w:keepNext w:val="0"/>
              <w:keepLines w:val="0"/>
              <w:pageBreakBefore w:val="0"/>
              <w:widowControl w:val="0"/>
              <w:kinsoku/>
              <w:wordWrap/>
              <w:overflowPunct/>
              <w:topLinePunct w:val="0"/>
              <w:autoSpaceDE/>
              <w:autoSpaceDN/>
              <w:bidi w:val="0"/>
              <w:adjustRightInd/>
              <w:snapToGrid/>
              <w:spacing w:line="320" w:lineRule="exact"/>
              <w:ind w:firstLine="160" w:firstLineChars="50"/>
              <w:textAlignment w:val="auto"/>
              <w:rPr>
                <w:rFonts w:hint="eastAsia" w:ascii="宋体" w:hAnsi="宋体" w:eastAsia="宋体" w:cs="宋体"/>
                <w:color w:val="auto"/>
                <w:sz w:val="24"/>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24"/>
                <w:highlight w:val="none"/>
              </w:rPr>
              <w:t>设备名称</w:t>
            </w:r>
          </w:p>
        </w:tc>
        <w:tc>
          <w:tcPr>
            <w:tcW w:w="7278" w:type="dxa"/>
            <w:shd w:val="clear" w:color="auto" w:fill="auto"/>
            <w:vAlign w:val="center"/>
          </w:tcPr>
          <w:p w14:paraId="5DBA0B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配置要求</w:t>
            </w:r>
          </w:p>
        </w:tc>
      </w:tr>
      <w:tr w14:paraId="767AE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2084" w:type="dxa"/>
            <w:shd w:val="clear" w:color="auto" w:fill="auto"/>
            <w:vAlign w:val="center"/>
          </w:tcPr>
          <w:p w14:paraId="4D9649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CPU</w:t>
            </w:r>
          </w:p>
        </w:tc>
        <w:tc>
          <w:tcPr>
            <w:tcW w:w="7278" w:type="dxa"/>
            <w:shd w:val="clear" w:color="auto" w:fill="auto"/>
            <w:vAlign w:val="center"/>
          </w:tcPr>
          <w:p w14:paraId="3E2229D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Theme="majorEastAsia" w:hAnsiTheme="majorEastAsia" w:eastAsiaTheme="majorEastAsia" w:cstheme="majorEastAsia"/>
                <w:color w:val="auto"/>
                <w:sz w:val="24"/>
                <w:highlight w:val="none"/>
                <w:lang w:val="en-US" w:eastAsia="zh-CN"/>
              </w:rPr>
              <w:t>优于或相当于：</w:t>
            </w:r>
            <w:r>
              <w:rPr>
                <w:rFonts w:hint="eastAsia" w:ascii="宋体" w:hAnsi="宋体" w:eastAsia="宋体" w:cs="宋体"/>
                <w:color w:val="auto"/>
                <w:sz w:val="24"/>
                <w:highlight w:val="none"/>
              </w:rPr>
              <w:t>双核，主频2GHz以上</w:t>
            </w:r>
          </w:p>
        </w:tc>
      </w:tr>
      <w:tr w14:paraId="757E3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trPr>
        <w:tc>
          <w:tcPr>
            <w:tcW w:w="2084" w:type="dxa"/>
            <w:shd w:val="clear" w:color="auto" w:fill="auto"/>
            <w:vAlign w:val="center"/>
          </w:tcPr>
          <w:p w14:paraId="6BD34A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内存</w:t>
            </w:r>
          </w:p>
        </w:tc>
        <w:tc>
          <w:tcPr>
            <w:tcW w:w="7278" w:type="dxa"/>
            <w:shd w:val="clear" w:color="auto" w:fill="auto"/>
            <w:vAlign w:val="center"/>
          </w:tcPr>
          <w:p w14:paraId="5EA219C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GB以上</w:t>
            </w:r>
          </w:p>
        </w:tc>
      </w:tr>
      <w:tr w14:paraId="0A681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2084" w:type="dxa"/>
            <w:shd w:val="clear" w:color="auto" w:fill="auto"/>
            <w:vAlign w:val="center"/>
          </w:tcPr>
          <w:p w14:paraId="3340312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硬盘</w:t>
            </w:r>
          </w:p>
        </w:tc>
        <w:tc>
          <w:tcPr>
            <w:tcW w:w="7278" w:type="dxa"/>
            <w:shd w:val="clear" w:color="auto" w:fill="auto"/>
            <w:vAlign w:val="center"/>
          </w:tcPr>
          <w:p w14:paraId="4FD0A73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系统盘10GB以上空闲空间</w:t>
            </w:r>
          </w:p>
        </w:tc>
      </w:tr>
      <w:tr w14:paraId="4104F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2084" w:type="dxa"/>
            <w:shd w:val="clear" w:color="auto" w:fill="auto"/>
            <w:vAlign w:val="center"/>
          </w:tcPr>
          <w:p w14:paraId="582804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显示器</w:t>
            </w:r>
          </w:p>
        </w:tc>
        <w:tc>
          <w:tcPr>
            <w:tcW w:w="7278" w:type="dxa"/>
            <w:shd w:val="clear" w:color="auto" w:fill="auto"/>
            <w:vAlign w:val="center"/>
          </w:tcPr>
          <w:p w14:paraId="0C9EADB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分辨率1024×768以上，彩色</w:t>
            </w:r>
          </w:p>
        </w:tc>
      </w:tr>
      <w:tr w14:paraId="7CEFC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2084" w:type="dxa"/>
            <w:shd w:val="clear" w:color="auto" w:fill="auto"/>
            <w:vAlign w:val="center"/>
          </w:tcPr>
          <w:p w14:paraId="5E6435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网卡</w:t>
            </w:r>
          </w:p>
        </w:tc>
        <w:tc>
          <w:tcPr>
            <w:tcW w:w="7278" w:type="dxa"/>
            <w:shd w:val="clear" w:color="auto" w:fill="auto"/>
            <w:vAlign w:val="center"/>
          </w:tcPr>
          <w:p w14:paraId="3B0BF6A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带宽</w:t>
            </w:r>
            <w:r>
              <w:rPr>
                <w:rFonts w:hint="eastAsia" w:ascii="宋体" w:hAnsi="宋体" w:eastAsia="宋体" w:cs="宋体"/>
                <w:color w:val="auto"/>
                <w:sz w:val="24"/>
                <w:highlight w:val="none"/>
              </w:rPr>
              <w:t>100M</w:t>
            </w:r>
            <w:r>
              <w:rPr>
                <w:rFonts w:hint="eastAsia" w:ascii="宋体" w:hAnsi="宋体" w:eastAsia="宋体" w:cs="宋体"/>
                <w:color w:val="auto"/>
                <w:sz w:val="24"/>
                <w:highlight w:val="none"/>
                <w:lang w:val="en-US" w:eastAsia="zh-CN"/>
              </w:rPr>
              <w:t>以上</w:t>
            </w:r>
          </w:p>
        </w:tc>
      </w:tr>
      <w:tr w14:paraId="4B6D0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2084" w:type="dxa"/>
            <w:shd w:val="clear" w:color="auto" w:fill="auto"/>
            <w:vAlign w:val="center"/>
          </w:tcPr>
          <w:p w14:paraId="3CD858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USB接口</w:t>
            </w:r>
          </w:p>
        </w:tc>
        <w:tc>
          <w:tcPr>
            <w:tcW w:w="7278" w:type="dxa"/>
            <w:shd w:val="clear" w:color="auto" w:fill="auto"/>
            <w:vAlign w:val="center"/>
          </w:tcPr>
          <w:p w14:paraId="7DD95A9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至少有1个空闲备用</w:t>
            </w:r>
          </w:p>
        </w:tc>
      </w:tr>
      <w:tr w14:paraId="5FC3C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2084" w:type="dxa"/>
            <w:shd w:val="clear" w:color="auto" w:fill="auto"/>
            <w:vAlign w:val="center"/>
          </w:tcPr>
          <w:p w14:paraId="128CCF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操作系统</w:t>
            </w:r>
          </w:p>
        </w:tc>
        <w:tc>
          <w:tcPr>
            <w:tcW w:w="7278" w:type="dxa"/>
            <w:shd w:val="clear" w:color="auto" w:fill="auto"/>
            <w:vAlign w:val="center"/>
          </w:tcPr>
          <w:p w14:paraId="4BE0BAD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Windows 7、Windows 8、Windows 10、Windows 1</w:t>
            </w:r>
            <w:r>
              <w:rPr>
                <w:rFonts w:hint="eastAsia" w:ascii="宋体" w:hAnsi="宋体" w:eastAsia="宋体" w:cs="宋体"/>
                <w:color w:val="auto"/>
                <w:sz w:val="24"/>
                <w:highlight w:val="none"/>
                <w:lang w:val="en-US" w:eastAsia="zh-CN"/>
              </w:rPr>
              <w:t>1之一</w:t>
            </w:r>
          </w:p>
        </w:tc>
      </w:tr>
      <w:tr w14:paraId="6FA58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2084" w:type="dxa"/>
            <w:shd w:val="clear" w:color="auto" w:fill="auto"/>
            <w:vAlign w:val="center"/>
          </w:tcPr>
          <w:p w14:paraId="132293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局域网要求</w:t>
            </w:r>
          </w:p>
        </w:tc>
        <w:tc>
          <w:tcPr>
            <w:tcW w:w="7278" w:type="dxa"/>
            <w:shd w:val="clear" w:color="auto" w:fill="auto"/>
            <w:vAlign w:val="center"/>
          </w:tcPr>
          <w:p w14:paraId="6AFBC60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和本考场考生考试机在一个局域网内</w:t>
            </w:r>
          </w:p>
        </w:tc>
      </w:tr>
    </w:tbl>
    <w:p w14:paraId="47B73F0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Theme="majorEastAsia" w:hAnsiTheme="majorEastAsia" w:eastAsiaTheme="majorEastAsia" w:cstheme="majorEastAsia"/>
          <w:b w:val="0"/>
          <w:bCs/>
          <w:color w:val="auto"/>
          <w:sz w:val="24"/>
          <w:szCs w:val="24"/>
          <w:highlight w:val="none"/>
          <w:lang w:val="en-US" w:eastAsia="zh-CN"/>
        </w:rPr>
      </w:pPr>
      <w:r>
        <w:rPr>
          <w:rFonts w:hint="eastAsia" w:asciiTheme="majorEastAsia" w:hAnsiTheme="majorEastAsia" w:eastAsiaTheme="majorEastAsia" w:cstheme="majorEastAsia"/>
          <w:b w:val="0"/>
          <w:bCs/>
          <w:color w:val="auto"/>
          <w:kern w:val="2"/>
          <w:sz w:val="24"/>
          <w:szCs w:val="24"/>
          <w:highlight w:val="none"/>
          <w:lang w:val="en-US" w:eastAsia="zh-CN" w:bidi="ar-SA"/>
        </w:rPr>
        <w:t>5.</w:t>
      </w:r>
      <w:r>
        <w:rPr>
          <w:rFonts w:hint="eastAsia" w:asciiTheme="majorEastAsia" w:hAnsiTheme="majorEastAsia" w:eastAsiaTheme="majorEastAsia" w:cstheme="majorEastAsia"/>
          <w:b w:val="0"/>
          <w:bCs/>
          <w:color w:val="auto"/>
          <w:sz w:val="24"/>
          <w:szCs w:val="24"/>
          <w:highlight w:val="none"/>
          <w:lang w:val="en-US" w:eastAsia="zh-CN"/>
        </w:rPr>
        <w:t>考试机要求</w:t>
      </w:r>
    </w:p>
    <w:tbl>
      <w:tblPr>
        <w:tblStyle w:val="28"/>
        <w:tblW w:w="9358"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5"/>
        <w:gridCol w:w="7263"/>
      </w:tblGrid>
      <w:tr w14:paraId="76BF2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blHeader/>
        </w:trPr>
        <w:tc>
          <w:tcPr>
            <w:tcW w:w="2095" w:type="dxa"/>
            <w:shd w:val="clear" w:color="auto" w:fill="auto"/>
            <w:vAlign w:val="center"/>
          </w:tcPr>
          <w:p w14:paraId="031AB2B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设备名称</w:t>
            </w:r>
          </w:p>
        </w:tc>
        <w:tc>
          <w:tcPr>
            <w:tcW w:w="7263" w:type="dxa"/>
            <w:shd w:val="clear" w:color="auto" w:fill="auto"/>
            <w:vAlign w:val="center"/>
          </w:tcPr>
          <w:p w14:paraId="468E2C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配置要求</w:t>
            </w:r>
          </w:p>
        </w:tc>
      </w:tr>
      <w:tr w14:paraId="51C62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095" w:type="dxa"/>
            <w:shd w:val="clear" w:color="auto" w:fill="auto"/>
            <w:vAlign w:val="center"/>
          </w:tcPr>
          <w:p w14:paraId="6EC8254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CPU</w:t>
            </w:r>
          </w:p>
        </w:tc>
        <w:tc>
          <w:tcPr>
            <w:tcW w:w="7263" w:type="dxa"/>
            <w:shd w:val="clear" w:color="auto" w:fill="auto"/>
            <w:vAlign w:val="center"/>
          </w:tcPr>
          <w:p w14:paraId="405C5EA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Theme="majorEastAsia" w:hAnsiTheme="majorEastAsia" w:eastAsiaTheme="majorEastAsia" w:cstheme="majorEastAsia"/>
                <w:color w:val="auto"/>
                <w:sz w:val="24"/>
                <w:highlight w:val="none"/>
                <w:lang w:val="en-US" w:eastAsia="zh-CN"/>
              </w:rPr>
              <w:t>优于或相当于：</w:t>
            </w:r>
            <w:r>
              <w:rPr>
                <w:rFonts w:hint="eastAsia" w:ascii="宋体" w:hAnsi="宋体" w:eastAsia="宋体" w:cs="宋体"/>
                <w:color w:val="auto"/>
                <w:sz w:val="24"/>
                <w:highlight w:val="none"/>
              </w:rPr>
              <w:t>双核，主频2GHz以上</w:t>
            </w:r>
          </w:p>
        </w:tc>
      </w:tr>
      <w:tr w14:paraId="09AEF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095" w:type="dxa"/>
            <w:shd w:val="clear" w:color="auto" w:fill="auto"/>
            <w:vAlign w:val="center"/>
          </w:tcPr>
          <w:p w14:paraId="334704B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内存</w:t>
            </w:r>
          </w:p>
        </w:tc>
        <w:tc>
          <w:tcPr>
            <w:tcW w:w="7263" w:type="dxa"/>
            <w:shd w:val="clear" w:color="auto" w:fill="auto"/>
            <w:vAlign w:val="center"/>
          </w:tcPr>
          <w:p w14:paraId="533C5AA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GB以上</w:t>
            </w:r>
          </w:p>
        </w:tc>
      </w:tr>
      <w:tr w14:paraId="116A4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095" w:type="dxa"/>
            <w:shd w:val="clear" w:color="auto" w:fill="auto"/>
            <w:vAlign w:val="center"/>
          </w:tcPr>
          <w:p w14:paraId="1102D57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硬盘</w:t>
            </w:r>
          </w:p>
        </w:tc>
        <w:tc>
          <w:tcPr>
            <w:tcW w:w="7263" w:type="dxa"/>
            <w:shd w:val="clear" w:color="auto" w:fill="auto"/>
            <w:vAlign w:val="center"/>
          </w:tcPr>
          <w:p w14:paraId="5546D1F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系统盘</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GB以上空闲空间</w:t>
            </w:r>
          </w:p>
        </w:tc>
      </w:tr>
      <w:tr w14:paraId="1F76E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095" w:type="dxa"/>
            <w:shd w:val="clear" w:color="auto" w:fill="auto"/>
            <w:vAlign w:val="center"/>
          </w:tcPr>
          <w:p w14:paraId="2BA3389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显示器</w:t>
            </w:r>
          </w:p>
        </w:tc>
        <w:tc>
          <w:tcPr>
            <w:tcW w:w="7263" w:type="dxa"/>
            <w:shd w:val="clear" w:color="auto" w:fill="auto"/>
            <w:vAlign w:val="center"/>
          </w:tcPr>
          <w:p w14:paraId="64E49B8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分辨率1024×768以上，彩色</w:t>
            </w:r>
          </w:p>
        </w:tc>
      </w:tr>
      <w:tr w14:paraId="7DD69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095" w:type="dxa"/>
            <w:shd w:val="clear" w:color="auto" w:fill="auto"/>
            <w:vAlign w:val="center"/>
          </w:tcPr>
          <w:p w14:paraId="1299FEA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网卡</w:t>
            </w:r>
          </w:p>
        </w:tc>
        <w:tc>
          <w:tcPr>
            <w:tcW w:w="7263" w:type="dxa"/>
            <w:shd w:val="clear" w:color="auto" w:fill="auto"/>
            <w:vAlign w:val="center"/>
          </w:tcPr>
          <w:p w14:paraId="1CC8491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带宽</w:t>
            </w:r>
            <w:r>
              <w:rPr>
                <w:rFonts w:hint="eastAsia" w:ascii="宋体" w:hAnsi="宋体" w:eastAsia="宋体" w:cs="宋体"/>
                <w:color w:val="auto"/>
                <w:sz w:val="24"/>
                <w:highlight w:val="none"/>
              </w:rPr>
              <w:t>100M</w:t>
            </w:r>
            <w:r>
              <w:rPr>
                <w:rFonts w:hint="eastAsia" w:ascii="宋体" w:hAnsi="宋体" w:eastAsia="宋体" w:cs="宋体"/>
                <w:color w:val="auto"/>
                <w:sz w:val="24"/>
                <w:highlight w:val="none"/>
                <w:lang w:val="en-US" w:eastAsia="zh-CN"/>
              </w:rPr>
              <w:t>以上</w:t>
            </w:r>
          </w:p>
        </w:tc>
      </w:tr>
      <w:tr w14:paraId="6D448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095" w:type="dxa"/>
            <w:shd w:val="clear" w:color="auto" w:fill="auto"/>
            <w:vAlign w:val="center"/>
          </w:tcPr>
          <w:p w14:paraId="77186DB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USB接口</w:t>
            </w:r>
          </w:p>
        </w:tc>
        <w:tc>
          <w:tcPr>
            <w:tcW w:w="7263" w:type="dxa"/>
            <w:shd w:val="clear" w:color="auto" w:fill="auto"/>
            <w:vAlign w:val="center"/>
          </w:tcPr>
          <w:p w14:paraId="76B3DD3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至少有1个空闲备用</w:t>
            </w:r>
          </w:p>
        </w:tc>
      </w:tr>
      <w:tr w14:paraId="2524B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095" w:type="dxa"/>
            <w:shd w:val="clear" w:color="auto" w:fill="auto"/>
            <w:vAlign w:val="center"/>
          </w:tcPr>
          <w:p w14:paraId="3295A4E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操作系统</w:t>
            </w:r>
          </w:p>
        </w:tc>
        <w:tc>
          <w:tcPr>
            <w:tcW w:w="7263" w:type="dxa"/>
            <w:shd w:val="clear" w:color="auto" w:fill="auto"/>
            <w:vAlign w:val="center"/>
          </w:tcPr>
          <w:p w14:paraId="11295BB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Windows 7、Windows 8、Windows 10、Windows 1</w:t>
            </w:r>
            <w:r>
              <w:rPr>
                <w:rFonts w:hint="eastAsia" w:ascii="宋体" w:hAnsi="宋体" w:eastAsia="宋体" w:cs="宋体"/>
                <w:color w:val="auto"/>
                <w:sz w:val="24"/>
                <w:highlight w:val="none"/>
                <w:lang w:val="en-US" w:eastAsia="zh-CN"/>
              </w:rPr>
              <w:t>1之一</w:t>
            </w:r>
          </w:p>
        </w:tc>
      </w:tr>
      <w:tr w14:paraId="5F494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095" w:type="dxa"/>
            <w:shd w:val="clear" w:color="auto" w:fill="auto"/>
            <w:vAlign w:val="center"/>
          </w:tcPr>
          <w:p w14:paraId="71D6367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局域网要求</w:t>
            </w:r>
          </w:p>
        </w:tc>
        <w:tc>
          <w:tcPr>
            <w:tcW w:w="7263" w:type="dxa"/>
            <w:shd w:val="clear" w:color="auto" w:fill="auto"/>
            <w:vAlign w:val="center"/>
          </w:tcPr>
          <w:p w14:paraId="052110F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和本考场</w:t>
            </w:r>
            <w:r>
              <w:rPr>
                <w:rFonts w:hint="eastAsia" w:ascii="宋体" w:hAnsi="宋体" w:eastAsia="宋体" w:cs="宋体"/>
                <w:color w:val="auto"/>
                <w:sz w:val="24"/>
                <w:highlight w:val="none"/>
                <w:lang w:val="en-US" w:eastAsia="zh-CN"/>
              </w:rPr>
              <w:t>监考机</w:t>
            </w:r>
            <w:r>
              <w:rPr>
                <w:rFonts w:hint="eastAsia" w:ascii="宋体" w:hAnsi="宋体" w:eastAsia="宋体" w:cs="宋体"/>
                <w:color w:val="auto"/>
                <w:sz w:val="24"/>
                <w:highlight w:val="none"/>
              </w:rPr>
              <w:t>在一个局域网内</w:t>
            </w:r>
          </w:p>
        </w:tc>
      </w:tr>
    </w:tbl>
    <w:p w14:paraId="0D07AF6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ajorEastAsia" w:hAnsiTheme="majorEastAsia" w:eastAsiaTheme="majorEastAsia" w:cstheme="majorEastAsia"/>
          <w:b/>
          <w:bCs w:val="0"/>
          <w:color w:val="auto"/>
          <w:sz w:val="24"/>
          <w:szCs w:val="24"/>
          <w:highlight w:val="none"/>
          <w:lang w:val="en-US" w:eastAsia="zh-CN"/>
        </w:rPr>
      </w:pPr>
      <w:r>
        <w:rPr>
          <w:rFonts w:hint="eastAsia" w:asciiTheme="majorEastAsia" w:hAnsiTheme="majorEastAsia" w:eastAsiaTheme="majorEastAsia" w:cstheme="majorEastAsia"/>
          <w:b/>
          <w:bCs w:val="0"/>
          <w:color w:val="auto"/>
          <w:sz w:val="24"/>
          <w:szCs w:val="24"/>
          <w:highlight w:val="none"/>
          <w:lang w:val="en-US" w:eastAsia="zh-CN"/>
        </w:rPr>
        <w:t>视频监控要求</w:t>
      </w:r>
    </w:p>
    <w:p w14:paraId="3E8272BD">
      <w:pPr>
        <w:spacing w:line="440" w:lineRule="exact"/>
        <w:ind w:firstLine="480" w:firstLineChars="200"/>
        <w:rPr>
          <w:rFonts w:hint="eastAsia" w:ascii="宋体" w:hAnsi="宋体" w:eastAsia="宋体" w:cs="宋体"/>
          <w:bCs/>
          <w:color w:val="auto"/>
          <w:kern w:val="0"/>
          <w:sz w:val="24"/>
          <w:szCs w:val="28"/>
          <w:highlight w:val="none"/>
          <w:lang w:val="en-US" w:eastAsia="zh-CN"/>
        </w:rPr>
      </w:pPr>
      <w:r>
        <w:rPr>
          <w:rFonts w:hint="eastAsia" w:ascii="宋体" w:hAnsi="宋体" w:eastAsia="宋体" w:cs="宋体"/>
          <w:bCs/>
          <w:color w:val="auto"/>
          <w:kern w:val="0"/>
          <w:sz w:val="24"/>
          <w:szCs w:val="28"/>
          <w:highlight w:val="none"/>
          <w:lang w:val="en-US" w:eastAsia="zh-CN"/>
        </w:rPr>
        <w:t>1. 各考场须配置视频监控设备。</w:t>
      </w:r>
    </w:p>
    <w:p w14:paraId="055BC9E3">
      <w:pPr>
        <w:spacing w:line="440" w:lineRule="exact"/>
        <w:ind w:firstLine="480" w:firstLineChars="200"/>
        <w:rPr>
          <w:rFonts w:hint="eastAsia" w:ascii="宋体" w:hAnsi="宋体" w:eastAsia="宋体" w:cs="宋体"/>
          <w:bCs/>
          <w:color w:val="auto"/>
          <w:kern w:val="0"/>
          <w:sz w:val="24"/>
          <w:szCs w:val="28"/>
          <w:highlight w:val="none"/>
          <w:lang w:val="en-US" w:eastAsia="zh-CN"/>
        </w:rPr>
      </w:pPr>
      <w:r>
        <w:rPr>
          <w:rFonts w:hint="eastAsia" w:ascii="宋体" w:hAnsi="宋体" w:eastAsia="宋体" w:cs="宋体"/>
          <w:bCs/>
          <w:color w:val="auto"/>
          <w:kern w:val="0"/>
          <w:sz w:val="24"/>
          <w:szCs w:val="28"/>
          <w:highlight w:val="none"/>
          <w:lang w:val="en-US" w:eastAsia="zh-CN"/>
        </w:rPr>
        <w:t>2．调整考场内各摄像头的监控范围，确保考场无盲区，调节摄像头图像，使得清晰度达到设备最佳。如果条件允许，每个考场每 100 台（及以下）考试机可配置一台带云台、360 度旋转、650 线高速摄像头，实时监控、抓拍考场情况；每台考试机可配置一对一的监控摄像头进行考试的全程录像。</w:t>
      </w:r>
    </w:p>
    <w:p w14:paraId="5D7232C1">
      <w:pPr>
        <w:spacing w:line="440" w:lineRule="exact"/>
        <w:ind w:firstLine="480" w:firstLineChars="200"/>
        <w:rPr>
          <w:rFonts w:hint="eastAsia" w:ascii="宋体" w:hAnsi="宋体" w:eastAsia="宋体" w:cs="宋体"/>
          <w:bCs/>
          <w:color w:val="auto"/>
          <w:kern w:val="0"/>
          <w:sz w:val="24"/>
          <w:szCs w:val="28"/>
          <w:highlight w:val="none"/>
          <w:lang w:val="en-US" w:eastAsia="zh-CN"/>
        </w:rPr>
      </w:pPr>
      <w:r>
        <w:rPr>
          <w:rFonts w:hint="eastAsia" w:ascii="宋体" w:hAnsi="宋体" w:eastAsia="宋体" w:cs="宋体"/>
          <w:bCs/>
          <w:color w:val="auto"/>
          <w:kern w:val="0"/>
          <w:sz w:val="24"/>
          <w:szCs w:val="28"/>
          <w:highlight w:val="none"/>
          <w:lang w:val="en-US" w:eastAsia="zh-CN"/>
        </w:rPr>
        <w:t>3．做好考试期间监控设备的录像工作，并由考点妥善保存录像文件 4 个月，以备事后回放。</w:t>
      </w:r>
    </w:p>
    <w:p w14:paraId="5EBFE8E1">
      <w:pPr>
        <w:spacing w:line="440" w:lineRule="exact"/>
        <w:ind w:firstLine="480" w:firstLineChars="200"/>
        <w:rPr>
          <w:rFonts w:hint="eastAsia" w:ascii="宋体" w:hAnsi="宋体" w:eastAsia="宋体" w:cs="宋体"/>
          <w:bCs/>
          <w:color w:val="auto"/>
          <w:kern w:val="0"/>
          <w:sz w:val="24"/>
          <w:szCs w:val="28"/>
          <w:highlight w:val="none"/>
          <w:lang w:val="en-US" w:eastAsia="zh-CN"/>
        </w:rPr>
      </w:pPr>
      <w:r>
        <w:rPr>
          <w:rFonts w:hint="eastAsia" w:ascii="宋体" w:hAnsi="宋体" w:eastAsia="宋体" w:cs="宋体"/>
          <w:bCs/>
          <w:color w:val="auto"/>
          <w:kern w:val="0"/>
          <w:sz w:val="24"/>
          <w:szCs w:val="28"/>
          <w:highlight w:val="none"/>
          <w:lang w:val="en-US" w:eastAsia="zh-CN"/>
        </w:rPr>
        <w:t>4．监控设备显示器应放在考场外的其他适当地点。如果条件允许，配置专用考点总控室，可同时监控所有考场的实时情况，能切换每个考场的声图信息到主画面，能手动锁定到每个考生的细节情况。声图信号稳定、清晰、同步。</w:t>
      </w:r>
    </w:p>
    <w:p w14:paraId="4DACD3B5">
      <w:pPr>
        <w:spacing w:line="440" w:lineRule="exact"/>
        <w:ind w:firstLine="480" w:firstLineChars="200"/>
        <w:rPr>
          <w:rFonts w:hint="eastAsia" w:ascii="宋体" w:hAnsi="宋体" w:eastAsia="宋体" w:cs="宋体"/>
          <w:bCs/>
          <w:color w:val="auto"/>
          <w:kern w:val="0"/>
          <w:sz w:val="24"/>
          <w:szCs w:val="28"/>
          <w:highlight w:val="none"/>
          <w:lang w:val="en-US" w:eastAsia="zh-CN"/>
        </w:rPr>
      </w:pPr>
      <w:r>
        <w:rPr>
          <w:rFonts w:hint="eastAsia" w:ascii="宋体" w:hAnsi="宋体" w:eastAsia="宋体" w:cs="宋体"/>
          <w:bCs/>
          <w:color w:val="auto"/>
          <w:kern w:val="0"/>
          <w:sz w:val="24"/>
          <w:szCs w:val="28"/>
          <w:highlight w:val="none"/>
          <w:lang w:val="en-US" w:eastAsia="zh-CN"/>
        </w:rPr>
        <w:t>5．在信息安全前提下，监控设备应能够接入外网，可授权外网用户对每个考场进行巡考、录像。考点应安装防火墙,确保考点硬盘录像机接在本考点防火墙内，并做好相应安全措施，防止他人非法盗取、篡改或删除监控录像数据。每个省（区、市）至少有1</w:t>
      </w:r>
      <w:bookmarkStart w:id="287" w:name="_GoBack"/>
      <w:bookmarkEnd w:id="287"/>
      <w:r>
        <w:rPr>
          <w:rFonts w:hint="eastAsia" w:ascii="宋体" w:hAnsi="宋体" w:eastAsia="宋体" w:cs="宋体"/>
          <w:bCs/>
          <w:color w:val="auto"/>
          <w:kern w:val="0"/>
          <w:sz w:val="24"/>
          <w:szCs w:val="28"/>
          <w:highlight w:val="none"/>
          <w:lang w:val="en-US" w:eastAsia="zh-CN"/>
        </w:rPr>
        <w:t>个考点能按此项要求接入部级监控平台。</w:t>
      </w:r>
    </w:p>
    <w:p w14:paraId="68E62093">
      <w:pPr>
        <w:pStyle w:val="46"/>
        <w:widowControl w:val="0"/>
        <w:spacing w:before="0" w:beforeAutospacing="0" w:after="0" w:afterAutospacing="0" w:line="440" w:lineRule="exact"/>
        <w:ind w:firstLine="482" w:firstLineChars="200"/>
        <w:jc w:val="both"/>
        <w:rPr>
          <w:rFonts w:ascii="宋体" w:hAnsi="宋体" w:eastAsia="宋体" w:cs="宋体"/>
          <w:color w:val="auto"/>
          <w:sz w:val="24"/>
          <w:szCs w:val="18"/>
          <w:highlight w:val="none"/>
        </w:rPr>
      </w:pPr>
      <w:r>
        <w:rPr>
          <w:rFonts w:hint="eastAsia" w:ascii="宋体" w:hAnsi="宋体" w:eastAsia="宋体" w:cs="宋体"/>
          <w:color w:val="auto"/>
          <w:sz w:val="24"/>
          <w:szCs w:val="18"/>
          <w:highlight w:val="none"/>
          <w:lang w:val="en-US" w:eastAsia="zh-CN"/>
        </w:rPr>
        <w:t>四</w:t>
      </w:r>
      <w:r>
        <w:rPr>
          <w:rFonts w:hint="eastAsia" w:ascii="宋体" w:hAnsi="宋体" w:eastAsia="宋体" w:cs="宋体"/>
          <w:color w:val="auto"/>
          <w:sz w:val="24"/>
          <w:szCs w:val="18"/>
          <w:highlight w:val="none"/>
        </w:rPr>
        <w:t>、报价要</w:t>
      </w:r>
      <w:bookmarkEnd w:id="41"/>
      <w:bookmarkEnd w:id="42"/>
      <w:r>
        <w:rPr>
          <w:rFonts w:hint="eastAsia" w:ascii="宋体" w:hAnsi="宋体" w:eastAsia="宋体" w:cs="宋体"/>
          <w:color w:val="auto"/>
          <w:sz w:val="24"/>
          <w:szCs w:val="18"/>
          <w:highlight w:val="none"/>
        </w:rPr>
        <w:t>求及说明</w:t>
      </w:r>
    </w:p>
    <w:p w14:paraId="5F7C8523">
      <w:pPr>
        <w:pStyle w:val="46"/>
        <w:widowControl w:val="0"/>
        <w:spacing w:before="0" w:beforeAutospacing="0" w:after="0" w:afterAutospacing="0" w:line="440" w:lineRule="exact"/>
        <w:ind w:firstLine="482" w:firstLineChars="200"/>
        <w:jc w:val="both"/>
        <w:rPr>
          <w:rFonts w:ascii="宋体" w:hAnsi="宋体" w:eastAsia="宋体" w:cs="宋体"/>
          <w:bCs w:val="0"/>
          <w:color w:val="auto"/>
          <w:sz w:val="24"/>
          <w:highlight w:val="none"/>
        </w:rPr>
      </w:pPr>
      <w:bookmarkStart w:id="43" w:name="_Toc18794"/>
      <w:bookmarkStart w:id="44" w:name="_Toc8283"/>
      <w:r>
        <w:rPr>
          <w:rFonts w:hint="eastAsia" w:ascii="宋体" w:hAnsi="宋体" w:eastAsia="宋体" w:cs="宋体"/>
          <w:bCs w:val="0"/>
          <w:color w:val="auto"/>
          <w:sz w:val="24"/>
          <w:highlight w:val="none"/>
        </w:rPr>
        <w:t>（一）本项目服务期三年，合同一年一签。最高限价为每年</w:t>
      </w:r>
      <w:r>
        <w:rPr>
          <w:rFonts w:hint="eastAsia" w:ascii="宋体" w:hAnsi="宋体" w:eastAsia="宋体" w:cs="宋体"/>
          <w:bCs w:val="0"/>
          <w:color w:val="auto"/>
          <w:sz w:val="24"/>
          <w:highlight w:val="none"/>
          <w:lang w:val="en-US" w:eastAsia="zh-CN"/>
        </w:rPr>
        <w:t>100万</w:t>
      </w:r>
      <w:r>
        <w:rPr>
          <w:rFonts w:hint="eastAsia" w:ascii="宋体" w:hAnsi="宋体" w:eastAsia="宋体" w:cs="宋体"/>
          <w:bCs w:val="0"/>
          <w:color w:val="auto"/>
          <w:sz w:val="24"/>
          <w:highlight w:val="none"/>
        </w:rPr>
        <w:t>元；三年</w:t>
      </w:r>
      <w:r>
        <w:rPr>
          <w:rFonts w:hint="eastAsia" w:ascii="宋体" w:hAnsi="宋体" w:eastAsia="宋体" w:cs="宋体"/>
          <w:bCs w:val="0"/>
          <w:color w:val="auto"/>
          <w:sz w:val="24"/>
          <w:highlight w:val="none"/>
          <w:lang w:val="en-US" w:eastAsia="zh-CN"/>
        </w:rPr>
        <w:t>300万</w:t>
      </w:r>
      <w:r>
        <w:rPr>
          <w:rFonts w:hint="eastAsia" w:ascii="宋体" w:hAnsi="宋体" w:eastAsia="宋体" w:cs="宋体"/>
          <w:bCs w:val="0"/>
          <w:color w:val="auto"/>
          <w:sz w:val="24"/>
          <w:highlight w:val="none"/>
        </w:rPr>
        <w:t>元。</w:t>
      </w:r>
    </w:p>
    <w:p w14:paraId="43904EDE">
      <w:pPr>
        <w:pStyle w:val="46"/>
        <w:widowControl w:val="0"/>
        <w:spacing w:before="0" w:beforeAutospacing="0" w:after="0" w:afterAutospacing="0" w:line="440" w:lineRule="exact"/>
        <w:ind w:firstLine="482" w:firstLineChars="200"/>
        <w:jc w:val="both"/>
        <w:rPr>
          <w:rFonts w:hint="default" w:ascii="宋体" w:hAnsi="宋体" w:eastAsia="宋体" w:cs="宋体"/>
          <w:bCs w:val="0"/>
          <w:color w:val="auto"/>
          <w:sz w:val="24"/>
          <w:highlight w:val="none"/>
          <w:lang w:val="en-US"/>
        </w:rPr>
      </w:pPr>
      <w:r>
        <w:rPr>
          <w:rFonts w:hint="eastAsia" w:ascii="宋体" w:hAnsi="宋体" w:eastAsia="宋体" w:cs="宋体"/>
          <w:bCs w:val="0"/>
          <w:color w:val="auto"/>
          <w:sz w:val="24"/>
          <w:highlight w:val="none"/>
        </w:rPr>
        <w:t>（</w:t>
      </w:r>
      <w:r>
        <w:rPr>
          <w:rFonts w:hint="eastAsia" w:ascii="宋体" w:hAnsi="宋体" w:eastAsia="宋体" w:cs="宋体"/>
          <w:bCs w:val="0"/>
          <w:color w:val="auto"/>
          <w:sz w:val="24"/>
          <w:highlight w:val="none"/>
          <w:lang w:val="en-US" w:eastAsia="zh-CN"/>
        </w:rPr>
        <w:t>二</w:t>
      </w:r>
      <w:r>
        <w:rPr>
          <w:rFonts w:hint="eastAsia" w:ascii="宋体" w:hAnsi="宋体" w:eastAsia="宋体" w:cs="宋体"/>
          <w:bCs w:val="0"/>
          <w:color w:val="auto"/>
          <w:sz w:val="24"/>
          <w:highlight w:val="none"/>
        </w:rPr>
        <w:t>）本项目投标</w:t>
      </w:r>
      <w:r>
        <w:rPr>
          <w:rFonts w:hint="eastAsia" w:ascii="宋体" w:hAnsi="宋体" w:eastAsia="宋体" w:cs="宋体"/>
          <w:bCs w:val="0"/>
          <w:color w:val="auto"/>
          <w:sz w:val="24"/>
          <w:highlight w:val="none"/>
          <w:lang w:val="en-US" w:eastAsia="zh-CN"/>
        </w:rPr>
        <w:t>单价</w:t>
      </w:r>
      <w:r>
        <w:rPr>
          <w:rFonts w:hint="eastAsia" w:ascii="宋体" w:hAnsi="宋体" w:eastAsia="宋体" w:cs="宋体"/>
          <w:bCs w:val="0"/>
          <w:color w:val="auto"/>
          <w:sz w:val="24"/>
          <w:highlight w:val="none"/>
        </w:rPr>
        <w:t>为完成本次招标</w:t>
      </w:r>
      <w:r>
        <w:rPr>
          <w:rFonts w:hint="eastAsia" w:ascii="宋体" w:hAnsi="宋体" w:eastAsia="宋体" w:cs="宋体"/>
          <w:bCs w:val="0"/>
          <w:color w:val="auto"/>
          <w:sz w:val="24"/>
          <w:highlight w:val="none"/>
          <w:lang w:val="en-US" w:eastAsia="zh-CN"/>
        </w:rPr>
        <w:t>服务所必需的全部</w:t>
      </w:r>
      <w:r>
        <w:rPr>
          <w:rFonts w:hint="eastAsia" w:ascii="宋体" w:hAnsi="宋体" w:eastAsia="宋体" w:cs="宋体"/>
          <w:bCs w:val="0"/>
          <w:color w:val="auto"/>
          <w:sz w:val="24"/>
          <w:highlight w:val="none"/>
        </w:rPr>
        <w:t>费用</w:t>
      </w:r>
      <w:r>
        <w:rPr>
          <w:rFonts w:hint="eastAsia" w:ascii="宋体" w:hAnsi="宋体" w:eastAsia="宋体" w:cs="宋体"/>
          <w:bCs w:val="0"/>
          <w:color w:val="auto"/>
          <w:sz w:val="24"/>
          <w:highlight w:val="none"/>
          <w:lang w:eastAsia="zh-CN"/>
        </w:rPr>
        <w:t>，</w:t>
      </w:r>
      <w:r>
        <w:rPr>
          <w:rFonts w:hint="eastAsia" w:ascii="宋体" w:hAnsi="宋体" w:eastAsia="宋体" w:cs="宋体"/>
          <w:bCs w:val="0"/>
          <w:color w:val="auto"/>
          <w:sz w:val="24"/>
          <w:highlight w:val="none"/>
          <w:lang w:val="en-US" w:eastAsia="zh-CN"/>
        </w:rPr>
        <w:t>包括但不限于</w:t>
      </w:r>
      <w:r>
        <w:rPr>
          <w:rFonts w:hint="eastAsia" w:ascii="宋体" w:hAnsi="宋体" w:eastAsia="宋体" w:cs="宋体"/>
          <w:bCs w:val="0"/>
          <w:color w:val="auto"/>
          <w:sz w:val="24"/>
          <w:highlight w:val="none"/>
        </w:rPr>
        <w:t>考场场地费、全部计算机及网络设备使用费、服务器及UPS电源运维费、考试期间标准电力保障费、规定期限内的数据存储备份费、</w:t>
      </w:r>
      <w:r>
        <w:rPr>
          <w:rFonts w:hint="eastAsia" w:ascii="宋体" w:hAnsi="宋体" w:eastAsia="宋体" w:cs="宋体"/>
          <w:bCs w:val="0"/>
          <w:color w:val="auto"/>
          <w:sz w:val="24"/>
          <w:highlight w:val="none"/>
          <w:lang w:val="en-US" w:eastAsia="zh-CN"/>
        </w:rPr>
        <w:t>考务服务费、招标代理服务费等。请投标综合考虑上述费用，合理报价。</w:t>
      </w:r>
    </w:p>
    <w:p w14:paraId="61DF739D">
      <w:pPr>
        <w:pStyle w:val="46"/>
        <w:widowControl w:val="0"/>
        <w:spacing w:before="0" w:beforeAutospacing="0" w:after="0" w:afterAutospacing="0" w:line="440" w:lineRule="exact"/>
        <w:ind w:firstLine="482" w:firstLineChars="200"/>
        <w:jc w:val="both"/>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br w:type="page"/>
      </w:r>
    </w:p>
    <w:bookmarkEnd w:id="33"/>
    <w:bookmarkEnd w:id="38"/>
    <w:bookmarkEnd w:id="43"/>
    <w:bookmarkEnd w:id="44"/>
    <w:p w14:paraId="66315310">
      <w:pPr>
        <w:spacing w:line="360" w:lineRule="auto"/>
        <w:jc w:val="center"/>
        <w:outlineLvl w:val="0"/>
        <w:rPr>
          <w:rFonts w:ascii="宋体" w:hAnsi="宋体" w:eastAsia="宋体" w:cs="宋体"/>
          <w:b/>
          <w:color w:val="auto"/>
          <w:sz w:val="28"/>
          <w:highlight w:val="none"/>
        </w:rPr>
      </w:pPr>
      <w:bookmarkStart w:id="45" w:name="_Toc30824"/>
      <w:r>
        <w:rPr>
          <w:rFonts w:hint="eastAsia" w:ascii="宋体" w:hAnsi="宋体" w:eastAsia="宋体" w:cs="宋体"/>
          <w:b/>
          <w:color w:val="auto"/>
          <w:sz w:val="28"/>
          <w:highlight w:val="none"/>
        </w:rPr>
        <w:t>第四章  评标方法和标准（综合评分法）</w:t>
      </w:r>
      <w:bookmarkEnd w:id="45"/>
    </w:p>
    <w:p w14:paraId="6078D12A">
      <w:pPr>
        <w:spacing w:line="440" w:lineRule="exact"/>
        <w:ind w:firstLine="437"/>
        <w:outlineLvl w:val="1"/>
        <w:rPr>
          <w:rFonts w:ascii="宋体" w:hAnsi="宋体" w:eastAsia="宋体" w:cs="宋体"/>
          <w:b/>
          <w:color w:val="auto"/>
          <w:sz w:val="24"/>
          <w:highlight w:val="none"/>
        </w:rPr>
      </w:pPr>
      <w:bookmarkStart w:id="46" w:name="_Toc4705"/>
      <w:bookmarkStart w:id="47" w:name="_Toc11823"/>
      <w:r>
        <w:rPr>
          <w:rFonts w:hint="eastAsia" w:ascii="宋体" w:hAnsi="宋体" w:eastAsia="宋体" w:cs="宋体"/>
          <w:b/>
          <w:color w:val="auto"/>
          <w:sz w:val="24"/>
          <w:highlight w:val="none"/>
        </w:rPr>
        <w:t>一、总则</w:t>
      </w:r>
      <w:bookmarkEnd w:id="46"/>
      <w:bookmarkEnd w:id="47"/>
    </w:p>
    <w:p w14:paraId="7764DE5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本项目将按照招标文件第二章投标人须知的相关要求及本章的规定评标。</w:t>
      </w:r>
    </w:p>
    <w:p w14:paraId="41A62E6E">
      <w:pPr>
        <w:spacing w:line="440" w:lineRule="exact"/>
        <w:ind w:firstLine="437"/>
        <w:outlineLvl w:val="1"/>
        <w:rPr>
          <w:rFonts w:ascii="宋体" w:hAnsi="宋体" w:eastAsia="宋体" w:cs="宋体"/>
          <w:b/>
          <w:color w:val="auto"/>
          <w:sz w:val="24"/>
          <w:highlight w:val="none"/>
        </w:rPr>
      </w:pPr>
      <w:bookmarkStart w:id="48" w:name="_Toc32410"/>
      <w:bookmarkStart w:id="49" w:name="_Toc31871"/>
      <w:r>
        <w:rPr>
          <w:rFonts w:hint="eastAsia" w:ascii="宋体" w:hAnsi="宋体" w:eastAsia="宋体" w:cs="宋体"/>
          <w:b/>
          <w:color w:val="auto"/>
          <w:sz w:val="24"/>
          <w:highlight w:val="none"/>
        </w:rPr>
        <w:t>二、评标方法</w:t>
      </w:r>
      <w:bookmarkEnd w:id="48"/>
      <w:bookmarkEnd w:id="49"/>
    </w:p>
    <w:p w14:paraId="22B60695">
      <w:pPr>
        <w:spacing w:line="440" w:lineRule="exact"/>
        <w:ind w:firstLine="437"/>
        <w:outlineLvl w:val="2"/>
        <w:rPr>
          <w:rFonts w:ascii="宋体" w:hAnsi="宋体" w:eastAsia="宋体" w:cs="宋体"/>
          <w:color w:val="auto"/>
          <w:sz w:val="24"/>
          <w:highlight w:val="none"/>
        </w:rPr>
      </w:pPr>
      <w:r>
        <w:rPr>
          <w:rFonts w:hint="eastAsia" w:ascii="宋体" w:hAnsi="宋体" w:eastAsia="宋体" w:cs="宋体"/>
          <w:color w:val="auto"/>
          <w:sz w:val="24"/>
          <w:highlight w:val="none"/>
        </w:rPr>
        <w:t>2.1资格审查</w:t>
      </w:r>
    </w:p>
    <w:tbl>
      <w:tblPr>
        <w:tblStyle w:val="28"/>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794"/>
        <w:gridCol w:w="4964"/>
        <w:gridCol w:w="2069"/>
      </w:tblGrid>
      <w:tr w14:paraId="600E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7726DC7">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b/>
                <w:color w:val="auto"/>
                <w:sz w:val="24"/>
                <w:szCs w:val="22"/>
                <w:highlight w:val="none"/>
              </w:rPr>
              <w:t>资格审查表</w:t>
            </w:r>
          </w:p>
        </w:tc>
      </w:tr>
      <w:tr w14:paraId="5F2C8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tcBorders>
              <w:bottom w:val="single" w:color="auto" w:sz="4" w:space="0"/>
            </w:tcBorders>
            <w:vAlign w:val="center"/>
          </w:tcPr>
          <w:p w14:paraId="76BA5B7D">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940" w:type="pct"/>
            <w:tcBorders>
              <w:bottom w:val="single" w:color="auto" w:sz="4" w:space="0"/>
            </w:tcBorders>
            <w:vAlign w:val="center"/>
          </w:tcPr>
          <w:p w14:paraId="6A124B7C">
            <w:pPr>
              <w:pStyle w:val="47"/>
              <w:pBdr>
                <w:bottom w:val="none" w:color="auto" w:sz="0" w:space="0"/>
              </w:pBdr>
              <w:tabs>
                <w:tab w:val="clear" w:pos="4153"/>
                <w:tab w:val="clear" w:pos="8306"/>
              </w:tabs>
              <w:snapToGrid w:val="0"/>
              <w:spacing w:line="440" w:lineRule="exact"/>
              <w:ind w:right="-10"/>
              <w:textAlignment w:val="auto"/>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审查因素</w:t>
            </w:r>
          </w:p>
        </w:tc>
        <w:tc>
          <w:tcPr>
            <w:tcW w:w="2601" w:type="pct"/>
            <w:tcBorders>
              <w:bottom w:val="single" w:color="auto" w:sz="4" w:space="0"/>
            </w:tcBorders>
            <w:vAlign w:val="center"/>
          </w:tcPr>
          <w:p w14:paraId="22C7D1BD">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审查内容</w:t>
            </w:r>
          </w:p>
        </w:tc>
        <w:tc>
          <w:tcPr>
            <w:tcW w:w="1082" w:type="pct"/>
            <w:tcBorders>
              <w:bottom w:val="single" w:color="auto" w:sz="4" w:space="0"/>
            </w:tcBorders>
            <w:vAlign w:val="center"/>
          </w:tcPr>
          <w:p w14:paraId="382D5F58">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5013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5" w:type="pct"/>
            <w:tcBorders>
              <w:bottom w:val="single" w:color="auto" w:sz="4" w:space="0"/>
            </w:tcBorders>
            <w:vAlign w:val="center"/>
          </w:tcPr>
          <w:p w14:paraId="537952E9">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940" w:type="pct"/>
            <w:tcBorders>
              <w:bottom w:val="single" w:color="auto" w:sz="4" w:space="0"/>
            </w:tcBorders>
            <w:vAlign w:val="center"/>
          </w:tcPr>
          <w:p w14:paraId="11E95F01">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pacing w:val="9"/>
                <w:sz w:val="24"/>
                <w:szCs w:val="24"/>
                <w:highlight w:val="none"/>
              </w:rPr>
              <w:t>营业执照等证明</w:t>
            </w:r>
            <w:r>
              <w:rPr>
                <w:rFonts w:hint="eastAsia" w:ascii="宋体" w:hAnsi="宋体" w:eastAsia="宋体" w:cs="宋体"/>
                <w:color w:val="auto"/>
                <w:spacing w:val="-3"/>
                <w:sz w:val="24"/>
                <w:szCs w:val="24"/>
                <w:highlight w:val="none"/>
              </w:rPr>
              <w:t>文件</w:t>
            </w:r>
          </w:p>
        </w:tc>
        <w:tc>
          <w:tcPr>
            <w:tcW w:w="2601" w:type="pct"/>
            <w:tcBorders>
              <w:bottom w:val="single" w:color="auto" w:sz="4" w:space="0"/>
            </w:tcBorders>
            <w:vAlign w:val="center"/>
          </w:tcPr>
          <w:p w14:paraId="52AFE07E">
            <w:pPr>
              <w:spacing w:after="50" w:line="440" w:lineRule="exact"/>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（1）投标人为企业（包括合伙企业）的，应提供有效的营业执照；</w:t>
            </w:r>
          </w:p>
          <w:p w14:paraId="2BA26E47">
            <w:pPr>
              <w:spacing w:after="50" w:line="440" w:lineRule="exact"/>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（2）投标人为事业单位的，应提供有效的事业单位法人证书；</w:t>
            </w:r>
          </w:p>
          <w:p w14:paraId="001DE32D">
            <w:pPr>
              <w:spacing w:after="50" w:line="440" w:lineRule="exact"/>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（3）投标人是非企业机构的，应提供有效的执业许可证或登记证书等证明文件；</w:t>
            </w:r>
          </w:p>
          <w:p w14:paraId="01137E5B">
            <w:pPr>
              <w:spacing w:after="50" w:line="440" w:lineRule="exact"/>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（4）投标人是个体工商户的，应提供有效的个体工商户营业执照；</w:t>
            </w:r>
          </w:p>
          <w:p w14:paraId="2733C60F">
            <w:pPr>
              <w:spacing w:after="50" w:line="440" w:lineRule="exact"/>
              <w:ind w:right="-10"/>
              <w:jc w:val="left"/>
              <w:rPr>
                <w:rFonts w:ascii="宋体" w:hAnsi="宋体" w:eastAsia="宋体" w:cs="宋体"/>
                <w:color w:val="auto"/>
                <w:sz w:val="24"/>
                <w:szCs w:val="28"/>
                <w:highlight w:val="none"/>
              </w:rPr>
            </w:pPr>
            <w:r>
              <w:rPr>
                <w:rFonts w:hint="eastAsia" w:ascii="宋体" w:hAnsi="宋体" w:eastAsia="宋体" w:cs="宋体"/>
                <w:color w:val="auto"/>
                <w:sz w:val="24"/>
                <w:szCs w:val="24"/>
                <w:highlight w:val="none"/>
              </w:rPr>
              <w:t>（5）投标人是自然人的，应提供有效的自然人身份证明。</w:t>
            </w:r>
          </w:p>
        </w:tc>
        <w:tc>
          <w:tcPr>
            <w:tcW w:w="1082" w:type="pct"/>
            <w:vAlign w:val="center"/>
          </w:tcPr>
          <w:p w14:paraId="69B650EB">
            <w:pPr>
              <w:spacing w:line="440" w:lineRule="exact"/>
              <w:jc w:val="left"/>
              <w:rPr>
                <w:rFonts w:ascii="宋体" w:hAnsi="宋体" w:eastAsia="宋体" w:cs="宋体"/>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r w14:paraId="60BB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5" w:type="pct"/>
            <w:tcBorders>
              <w:bottom w:val="single" w:color="auto" w:sz="4" w:space="0"/>
            </w:tcBorders>
            <w:vAlign w:val="center"/>
          </w:tcPr>
          <w:p w14:paraId="4256474A">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940" w:type="pct"/>
            <w:tcBorders>
              <w:bottom w:val="single" w:color="auto" w:sz="4" w:space="0"/>
            </w:tcBorders>
            <w:vAlign w:val="center"/>
          </w:tcPr>
          <w:p w14:paraId="61D7EF20">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18"/>
                <w:highlight w:val="none"/>
              </w:rPr>
              <w:t>投标人资格声明书</w:t>
            </w:r>
          </w:p>
        </w:tc>
        <w:tc>
          <w:tcPr>
            <w:tcW w:w="2601" w:type="pct"/>
            <w:tcBorders>
              <w:bottom w:val="single" w:color="auto" w:sz="4" w:space="0"/>
            </w:tcBorders>
            <w:vAlign w:val="center"/>
          </w:tcPr>
          <w:p w14:paraId="5ED873A6">
            <w:pPr>
              <w:spacing w:after="50" w:line="440" w:lineRule="exact"/>
              <w:ind w:right="-10"/>
              <w:jc w:val="left"/>
              <w:rPr>
                <w:rFonts w:ascii="宋体" w:hAnsi="宋体" w:eastAsia="宋体" w:cs="宋体"/>
                <w:color w:val="auto"/>
                <w:sz w:val="24"/>
                <w:szCs w:val="28"/>
                <w:highlight w:val="none"/>
              </w:rPr>
            </w:pPr>
            <w:r>
              <w:rPr>
                <w:rFonts w:hint="eastAsia" w:ascii="宋体" w:hAnsi="宋体" w:eastAsia="宋体" w:cs="宋体"/>
                <w:color w:val="auto"/>
                <w:sz w:val="24"/>
                <w:szCs w:val="24"/>
                <w:highlight w:val="none"/>
              </w:rPr>
              <w:t>提供符合招标文件要求的《投标人资格声明书》。</w:t>
            </w:r>
          </w:p>
        </w:tc>
        <w:tc>
          <w:tcPr>
            <w:tcW w:w="1082" w:type="pct"/>
            <w:vAlign w:val="center"/>
          </w:tcPr>
          <w:p w14:paraId="514120B3">
            <w:pPr>
              <w:spacing w:line="440" w:lineRule="exact"/>
              <w:jc w:val="left"/>
              <w:rPr>
                <w:rFonts w:ascii="宋体" w:hAnsi="宋体" w:eastAsia="宋体" w:cs="宋体"/>
                <w:color w:val="auto"/>
                <w:sz w:val="24"/>
                <w:szCs w:val="24"/>
                <w:highlight w:val="none"/>
              </w:rPr>
            </w:pPr>
            <w:r>
              <w:rPr>
                <w:rFonts w:hint="eastAsia" w:ascii="宋体" w:hAnsi="宋体" w:eastAsia="宋体" w:cs="宋体"/>
                <w:color w:val="auto"/>
                <w:sz w:val="24"/>
                <w:highlight w:val="none"/>
              </w:rPr>
              <w:t>详见第六章投标文件格式。</w:t>
            </w:r>
          </w:p>
        </w:tc>
      </w:tr>
      <w:tr w14:paraId="7AE1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14:paraId="1A3BC637">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940" w:type="pct"/>
            <w:vAlign w:val="center"/>
          </w:tcPr>
          <w:p w14:paraId="348EB94A">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1" w:type="pct"/>
            <w:vAlign w:val="center"/>
          </w:tcPr>
          <w:p w14:paraId="4E6A9731">
            <w:pPr>
              <w:spacing w:after="50" w:line="440" w:lineRule="exact"/>
              <w:ind w:right="-10"/>
              <w:jc w:val="left"/>
              <w:rPr>
                <w:rFonts w:ascii="宋体" w:hAnsi="宋体" w:eastAsia="宋体" w:cs="宋体"/>
                <w:color w:val="auto"/>
                <w:highlight w:val="none"/>
              </w:rPr>
            </w:pPr>
            <w:r>
              <w:rPr>
                <w:rFonts w:hint="eastAsia" w:ascii="宋体" w:hAnsi="宋体" w:eastAsia="宋体" w:cs="宋体"/>
                <w:color w:val="auto"/>
                <w:sz w:val="24"/>
                <w:szCs w:val="24"/>
                <w:highlight w:val="none"/>
                <w:lang w:val="zh-CN"/>
              </w:rPr>
              <w:t>投标人不得存在</w:t>
            </w:r>
            <w:r>
              <w:rPr>
                <w:rFonts w:hint="eastAsia" w:ascii="宋体" w:hAnsi="宋体" w:eastAsia="宋体" w:cs="宋体"/>
                <w:color w:val="auto"/>
                <w:sz w:val="24"/>
                <w:szCs w:val="24"/>
                <w:highlight w:val="none"/>
              </w:rPr>
              <w:t>投标邀请第4条信誉要求和</w:t>
            </w:r>
            <w:r>
              <w:rPr>
                <w:rFonts w:hint="eastAsia" w:ascii="宋体" w:hAnsi="宋体" w:eastAsia="宋体" w:cs="宋体"/>
                <w:color w:val="auto"/>
                <w:sz w:val="24"/>
                <w:szCs w:val="24"/>
                <w:highlight w:val="none"/>
                <w:lang w:val="zh-CN"/>
              </w:rPr>
              <w:t>投标人须知正文第1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条中</w:t>
            </w:r>
            <w:r>
              <w:rPr>
                <w:rFonts w:hint="eastAsia" w:ascii="宋体" w:hAnsi="宋体" w:eastAsia="宋体" w:cs="宋体"/>
                <w:color w:val="auto"/>
                <w:sz w:val="24"/>
                <w:szCs w:val="28"/>
                <w:highlight w:val="none"/>
              </w:rPr>
              <w:t>的</w:t>
            </w:r>
            <w:r>
              <w:rPr>
                <w:rFonts w:hint="eastAsia" w:ascii="宋体" w:hAnsi="宋体" w:eastAsia="宋体" w:cs="宋体"/>
                <w:color w:val="auto"/>
                <w:sz w:val="24"/>
                <w:szCs w:val="18"/>
                <w:highlight w:val="none"/>
              </w:rPr>
              <w:t>不良信用记录情形</w:t>
            </w:r>
          </w:p>
        </w:tc>
        <w:tc>
          <w:tcPr>
            <w:tcW w:w="1082" w:type="pct"/>
            <w:vAlign w:val="center"/>
          </w:tcPr>
          <w:p w14:paraId="6F0C522F">
            <w:pPr>
              <w:spacing w:line="440" w:lineRule="exact"/>
              <w:jc w:val="left"/>
              <w:rPr>
                <w:rFonts w:ascii="宋体" w:hAnsi="宋体" w:eastAsia="宋体" w:cs="宋体"/>
                <w:color w:val="auto"/>
                <w:highlight w:val="none"/>
              </w:rPr>
            </w:pPr>
            <w:r>
              <w:rPr>
                <w:rFonts w:hint="eastAsia" w:ascii="宋体" w:hAnsi="宋体" w:eastAsia="宋体" w:cs="宋体"/>
                <w:color w:val="auto"/>
                <w:sz w:val="24"/>
                <w:szCs w:val="24"/>
                <w:highlight w:val="none"/>
              </w:rPr>
              <w:t>无须投标人提供，由采购人或采购代理机构查询。</w:t>
            </w:r>
          </w:p>
        </w:tc>
      </w:tr>
      <w:tr w14:paraId="1E40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1B87E490">
            <w:pPr>
              <w:keepNext w:val="0"/>
              <w:keepLines w:val="0"/>
              <w:suppressLineNumbers w:val="0"/>
              <w:adjustRightInd w:val="0"/>
              <w:snapToGrid w:val="0"/>
              <w:spacing w:before="0" w:beforeAutospacing="0" w:after="0" w:afterAutospacing="0" w:line="360" w:lineRule="auto"/>
              <w:ind w:left="0" w:leftChars="0" w:right="-10" w:rightChars="0"/>
              <w:jc w:val="center"/>
              <w:rPr>
                <w:rFonts w:hint="eastAsia" w:ascii="宋体" w:hAnsi="宋体" w:eastAsia="宋体" w:cs="宋体"/>
                <w:color w:val="auto"/>
                <w:sz w:val="24"/>
                <w:highlight w:val="none"/>
              </w:rPr>
            </w:pPr>
            <w:r>
              <w:rPr>
                <w:rFonts w:hint="eastAsia" w:ascii="宋体" w:hAnsi="宋体" w:eastAsia="宋体"/>
                <w:color w:val="auto"/>
                <w:sz w:val="24"/>
                <w:szCs w:val="20"/>
                <w:highlight w:val="none"/>
                <w:lang w:val="en-US" w:eastAsia="zh-CN"/>
              </w:rPr>
              <w:t>4</w:t>
            </w:r>
          </w:p>
        </w:tc>
        <w:tc>
          <w:tcPr>
            <w:tcW w:w="1796" w:type="dxa"/>
            <w:vAlign w:val="center"/>
          </w:tcPr>
          <w:p w14:paraId="5C74342A">
            <w:pPr>
              <w:keepNext w:val="0"/>
              <w:keepLines w:val="0"/>
              <w:pageBreakBefore w:val="0"/>
              <w:suppressLineNumbers w:val="0"/>
              <w:kinsoku/>
              <w:wordWrap w:val="0"/>
              <w:overflowPunct/>
              <w:topLinePunct w:val="0"/>
              <w:bidi w:val="0"/>
              <w:spacing w:before="0" w:beforeAutospacing="0" w:after="50" w:afterAutospacing="0" w:line="360" w:lineRule="auto"/>
              <w:ind w:left="0" w:leftChars="0" w:right="-1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诚信投标承诺书</w:t>
            </w:r>
          </w:p>
        </w:tc>
        <w:tc>
          <w:tcPr>
            <w:tcW w:w="4965" w:type="dxa"/>
            <w:vAlign w:val="center"/>
          </w:tcPr>
          <w:p w14:paraId="600DB977">
            <w:pPr>
              <w:keepNext w:val="0"/>
              <w:keepLines w:val="0"/>
              <w:pageBreakBefore w:val="0"/>
              <w:suppressLineNumbers w:val="0"/>
              <w:kinsoku/>
              <w:wordWrap w:val="0"/>
              <w:overflowPunct/>
              <w:topLinePunct w:val="0"/>
              <w:bidi w:val="0"/>
              <w:spacing w:before="0" w:beforeAutospacing="0" w:after="50" w:afterAutospacing="0" w:line="360" w:lineRule="auto"/>
              <w:ind w:left="0" w:leftChars="0" w:right="-10" w:rightChars="0"/>
              <w:jc w:val="both"/>
              <w:rPr>
                <w:rFonts w:hint="eastAsia" w:ascii="宋体" w:hAnsi="宋体" w:eastAsia="宋体" w:cs="宋体"/>
                <w:color w:val="auto"/>
                <w:sz w:val="24"/>
                <w:szCs w:val="24"/>
                <w:highlight w:val="none"/>
                <w:lang w:val="zh-CN"/>
              </w:rPr>
            </w:pPr>
            <w:r>
              <w:rPr>
                <w:rFonts w:hint="eastAsia" w:ascii="宋体" w:hAnsi="宋体" w:eastAsia="宋体" w:cs="宋体"/>
                <w:color w:val="auto"/>
                <w:kern w:val="2"/>
                <w:sz w:val="24"/>
                <w:szCs w:val="24"/>
                <w:highlight w:val="none"/>
                <w:lang w:val="en-US" w:eastAsia="en-US" w:bidi="ar-SA"/>
              </w:rPr>
              <w:t>格式、填写要求符合招标文件规定并加盖投标人电子签章</w:t>
            </w:r>
          </w:p>
        </w:tc>
        <w:tc>
          <w:tcPr>
            <w:tcW w:w="2067" w:type="dxa"/>
            <w:vAlign w:val="center"/>
          </w:tcPr>
          <w:p w14:paraId="69752A43">
            <w:pPr>
              <w:keepNext w:val="0"/>
              <w:keepLines w:val="0"/>
              <w:pageBreakBefore w:val="0"/>
              <w:suppressLineNumbers w:val="0"/>
              <w:kinsoku/>
              <w:wordWrap w:val="0"/>
              <w:overflowPunct/>
              <w:topLinePunct w:val="0"/>
              <w:bidi w:val="0"/>
              <w:spacing w:before="0" w:beforeAutospacing="0" w:after="50" w:afterAutospacing="0" w:line="360" w:lineRule="auto"/>
              <w:ind w:left="0" w:leftChars="0" w:right="-10" w:rightChars="0"/>
              <w:jc w:val="both"/>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bl>
    <w:p w14:paraId="189EB1C5">
      <w:pPr>
        <w:spacing w:line="440" w:lineRule="exact"/>
        <w:ind w:firstLine="435"/>
        <w:rPr>
          <w:rFonts w:ascii="宋体" w:hAnsi="宋体" w:eastAsia="宋体" w:cs="宋体"/>
          <w:color w:val="auto"/>
          <w:sz w:val="24"/>
          <w:highlight w:val="none"/>
        </w:rPr>
      </w:pPr>
      <w:r>
        <w:rPr>
          <w:rFonts w:hint="eastAsia" w:ascii="宋体" w:hAnsi="宋体" w:eastAsia="宋体" w:cs="宋体"/>
          <w:b/>
          <w:bCs/>
          <w:color w:val="auto"/>
          <w:sz w:val="24"/>
          <w:highlight w:val="none"/>
        </w:rPr>
        <w:t>资格审查指标通过标准：</w:t>
      </w:r>
      <w:r>
        <w:rPr>
          <w:rFonts w:hint="eastAsia" w:ascii="宋体" w:hAnsi="宋体" w:eastAsia="宋体" w:cs="宋体"/>
          <w:color w:val="auto"/>
          <w:sz w:val="24"/>
          <w:highlight w:val="none"/>
        </w:rPr>
        <w:t>投标人必须通过资格审查表中的全部评审指标。</w:t>
      </w:r>
    </w:p>
    <w:p w14:paraId="032CF359">
      <w:pPr>
        <w:spacing w:line="440" w:lineRule="exact"/>
        <w:ind w:firstLine="437"/>
        <w:outlineLvl w:val="2"/>
        <w:rPr>
          <w:rFonts w:ascii="宋体" w:hAnsi="宋体" w:eastAsia="宋体" w:cs="宋体"/>
          <w:color w:val="auto"/>
          <w:sz w:val="24"/>
          <w:highlight w:val="none"/>
        </w:rPr>
      </w:pPr>
      <w:r>
        <w:rPr>
          <w:rFonts w:hint="eastAsia" w:ascii="宋体" w:hAnsi="宋体" w:eastAsia="宋体" w:cs="宋体"/>
          <w:color w:val="auto"/>
          <w:sz w:val="24"/>
          <w:highlight w:val="none"/>
        </w:rPr>
        <w:t>2.2符合性审查</w:t>
      </w:r>
    </w:p>
    <w:p w14:paraId="45DEA93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评标委员会对通过资格审查的投标人的投标文件进行符合性审查，以确定其是否满足招标文件的实质性要求。符合性审查表如下：</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2307"/>
        <w:gridCol w:w="3409"/>
        <w:gridCol w:w="2738"/>
      </w:tblGrid>
      <w:tr w14:paraId="52CEE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6161120F">
            <w:pPr>
              <w:adjustRightInd w:val="0"/>
              <w:snapToGrid w:val="0"/>
              <w:spacing w:line="440" w:lineRule="exact"/>
              <w:ind w:right="-10"/>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符合性审查表</w:t>
            </w:r>
          </w:p>
        </w:tc>
      </w:tr>
      <w:tr w14:paraId="1303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532ECAC7">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2" w:type="pct"/>
            <w:tcBorders>
              <w:bottom w:val="single" w:color="auto" w:sz="4" w:space="0"/>
            </w:tcBorders>
            <w:vAlign w:val="center"/>
          </w:tcPr>
          <w:p w14:paraId="39FEF515">
            <w:pPr>
              <w:pStyle w:val="47"/>
              <w:pBdr>
                <w:bottom w:val="none" w:color="auto" w:sz="0" w:space="0"/>
              </w:pBdr>
              <w:tabs>
                <w:tab w:val="clear" w:pos="4153"/>
                <w:tab w:val="clear" w:pos="8306"/>
              </w:tabs>
              <w:snapToGrid w:val="0"/>
              <w:spacing w:line="440" w:lineRule="exact"/>
              <w:ind w:right="-10"/>
              <w:textAlignment w:val="auto"/>
              <w:rPr>
                <w:rFonts w:ascii="宋体" w:hAnsi="宋体" w:eastAsia="宋体" w:cs="宋体"/>
                <w:color w:val="auto"/>
                <w:kern w:val="2"/>
                <w:highlight w:val="none"/>
              </w:rPr>
            </w:pPr>
            <w:r>
              <w:rPr>
                <w:rFonts w:hint="eastAsia" w:ascii="宋体" w:hAnsi="宋体" w:eastAsia="宋体" w:cs="宋体"/>
                <w:color w:val="auto"/>
                <w:kern w:val="2"/>
                <w:highlight w:val="none"/>
              </w:rPr>
              <w:t>审查指标</w:t>
            </w:r>
          </w:p>
        </w:tc>
        <w:tc>
          <w:tcPr>
            <w:tcW w:w="1835" w:type="pct"/>
            <w:tcBorders>
              <w:bottom w:val="single" w:color="auto" w:sz="4" w:space="0"/>
            </w:tcBorders>
            <w:vAlign w:val="center"/>
          </w:tcPr>
          <w:p w14:paraId="215D4335">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审查标准</w:t>
            </w:r>
          </w:p>
        </w:tc>
        <w:tc>
          <w:tcPr>
            <w:tcW w:w="1473" w:type="pct"/>
            <w:tcBorders>
              <w:bottom w:val="single" w:color="auto" w:sz="4" w:space="0"/>
            </w:tcBorders>
            <w:vAlign w:val="center"/>
          </w:tcPr>
          <w:p w14:paraId="017255EC">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3306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226DC01">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1242" w:type="pct"/>
            <w:vAlign w:val="center"/>
          </w:tcPr>
          <w:p w14:paraId="5708A766">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highlight w:val="none"/>
              </w:rPr>
              <w:t>开标一览表</w:t>
            </w:r>
          </w:p>
        </w:tc>
        <w:tc>
          <w:tcPr>
            <w:tcW w:w="1835" w:type="pct"/>
            <w:vAlign w:val="center"/>
          </w:tcPr>
          <w:p w14:paraId="55C390C1">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3" w:type="pct"/>
            <w:vAlign w:val="center"/>
          </w:tcPr>
          <w:p w14:paraId="761ADA60">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p>
        </w:tc>
      </w:tr>
      <w:tr w14:paraId="1B38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7C7FF39">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1242" w:type="pct"/>
            <w:vAlign w:val="center"/>
          </w:tcPr>
          <w:p w14:paraId="6EE080FA">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投标函</w:t>
            </w:r>
          </w:p>
        </w:tc>
        <w:tc>
          <w:tcPr>
            <w:tcW w:w="1835" w:type="pct"/>
            <w:vAlign w:val="center"/>
          </w:tcPr>
          <w:p w14:paraId="19752558">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3" w:type="pct"/>
            <w:vAlign w:val="center"/>
          </w:tcPr>
          <w:p w14:paraId="422DAF1E">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p>
        </w:tc>
      </w:tr>
      <w:tr w14:paraId="1DB9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27487AAF">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1242" w:type="pct"/>
            <w:vAlign w:val="center"/>
          </w:tcPr>
          <w:p w14:paraId="6FC047C3">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授权书</w:t>
            </w:r>
          </w:p>
        </w:tc>
        <w:tc>
          <w:tcPr>
            <w:tcW w:w="1835" w:type="pct"/>
            <w:vAlign w:val="center"/>
          </w:tcPr>
          <w:p w14:paraId="43CF9829">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3" w:type="pct"/>
            <w:vAlign w:val="center"/>
          </w:tcPr>
          <w:p w14:paraId="09AD574C">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法定代表人参加投标的无需此件，提供身份证明即可。详见第六章投标文件格式。</w:t>
            </w:r>
          </w:p>
        </w:tc>
      </w:tr>
      <w:tr w14:paraId="48F8D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592FAB3">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4</w:t>
            </w:r>
          </w:p>
        </w:tc>
        <w:tc>
          <w:tcPr>
            <w:tcW w:w="1242" w:type="pct"/>
            <w:vAlign w:val="center"/>
          </w:tcPr>
          <w:p w14:paraId="15D5E08F">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投标报价</w:t>
            </w:r>
          </w:p>
        </w:tc>
        <w:tc>
          <w:tcPr>
            <w:tcW w:w="1835" w:type="pct"/>
            <w:vAlign w:val="center"/>
          </w:tcPr>
          <w:p w14:paraId="1F309AD3">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highlight w:val="none"/>
              </w:rPr>
              <w:t>招标文件投标人须知正文第9条要求</w:t>
            </w:r>
          </w:p>
        </w:tc>
        <w:tc>
          <w:tcPr>
            <w:tcW w:w="1473" w:type="pct"/>
            <w:vAlign w:val="center"/>
          </w:tcPr>
          <w:p w14:paraId="14E17153">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p>
        </w:tc>
      </w:tr>
      <w:tr w14:paraId="587A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452A9839">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5</w:t>
            </w:r>
          </w:p>
        </w:tc>
        <w:tc>
          <w:tcPr>
            <w:tcW w:w="1242" w:type="pct"/>
            <w:vAlign w:val="center"/>
          </w:tcPr>
          <w:p w14:paraId="5068115D">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1835" w:type="pct"/>
            <w:vAlign w:val="center"/>
          </w:tcPr>
          <w:p w14:paraId="49DCEB54">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符合招标文件采购需求中对付款方式、服务地点、服务期限等实质性要求</w:t>
            </w:r>
          </w:p>
        </w:tc>
        <w:tc>
          <w:tcPr>
            <w:tcW w:w="1473" w:type="pct"/>
            <w:vAlign w:val="center"/>
          </w:tcPr>
          <w:p w14:paraId="4CC97408">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p>
        </w:tc>
      </w:tr>
      <w:tr w14:paraId="6370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7273E85">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6</w:t>
            </w:r>
          </w:p>
        </w:tc>
        <w:tc>
          <w:tcPr>
            <w:tcW w:w="1242" w:type="pct"/>
            <w:vAlign w:val="center"/>
          </w:tcPr>
          <w:p w14:paraId="75AD8407">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1835" w:type="pct"/>
            <w:vAlign w:val="center"/>
          </w:tcPr>
          <w:p w14:paraId="08A9F7EB">
            <w:pPr>
              <w:spacing w:after="50" w:line="440" w:lineRule="exact"/>
              <w:ind w:right="-10"/>
              <w:jc w:val="center"/>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符合法律、行政法规规定的其他条件或招标文件列明的其他实质性要求</w:t>
            </w:r>
          </w:p>
        </w:tc>
        <w:tc>
          <w:tcPr>
            <w:tcW w:w="1473" w:type="pct"/>
            <w:vAlign w:val="center"/>
          </w:tcPr>
          <w:p w14:paraId="4AE1F875">
            <w:pPr>
              <w:adjustRightInd w:val="0"/>
              <w:snapToGrid w:val="0"/>
              <w:spacing w:line="440" w:lineRule="exact"/>
              <w:ind w:right="-10"/>
              <w:jc w:val="center"/>
              <w:rPr>
                <w:rFonts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p>
        </w:tc>
      </w:tr>
    </w:tbl>
    <w:p w14:paraId="7DE73121">
      <w:pPr>
        <w:spacing w:line="440" w:lineRule="exact"/>
        <w:ind w:firstLine="435"/>
        <w:rPr>
          <w:rFonts w:ascii="宋体" w:hAnsi="宋体" w:eastAsia="宋体" w:cs="宋体"/>
          <w:color w:val="auto"/>
          <w:sz w:val="24"/>
          <w:highlight w:val="none"/>
        </w:rPr>
      </w:pPr>
      <w:r>
        <w:rPr>
          <w:rFonts w:hint="eastAsia" w:ascii="宋体" w:hAnsi="宋体" w:eastAsia="宋体" w:cs="宋体"/>
          <w:b/>
          <w:bCs/>
          <w:color w:val="auto"/>
          <w:sz w:val="24"/>
          <w:highlight w:val="none"/>
        </w:rPr>
        <w:t>符合性审查指标通过标准：</w:t>
      </w:r>
      <w:r>
        <w:rPr>
          <w:rFonts w:hint="eastAsia" w:ascii="宋体" w:hAnsi="宋体" w:eastAsia="宋体" w:cs="宋体"/>
          <w:color w:val="auto"/>
          <w:sz w:val="24"/>
          <w:highlight w:val="none"/>
        </w:rPr>
        <w:t>投标人必须通过符合性审查表中的全部评审指标。</w:t>
      </w:r>
    </w:p>
    <w:p w14:paraId="1D9A9F01">
      <w:pPr>
        <w:spacing w:line="440" w:lineRule="exact"/>
        <w:ind w:firstLine="437"/>
        <w:outlineLvl w:val="2"/>
        <w:rPr>
          <w:rFonts w:ascii="宋体" w:hAnsi="宋体" w:eastAsia="宋体" w:cs="宋体"/>
          <w:color w:val="auto"/>
          <w:sz w:val="24"/>
          <w:highlight w:val="none"/>
        </w:rPr>
      </w:pPr>
      <w:r>
        <w:rPr>
          <w:rFonts w:hint="eastAsia" w:ascii="宋体" w:hAnsi="宋体" w:eastAsia="宋体" w:cs="宋体"/>
          <w:color w:val="auto"/>
          <w:sz w:val="24"/>
          <w:highlight w:val="none"/>
        </w:rPr>
        <w:t>2.3详细审查</w:t>
      </w:r>
    </w:p>
    <w:p w14:paraId="2B8B353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2.3.1评标委员会按照下表对投标文件进行详细审查和评分。</w:t>
      </w:r>
    </w:p>
    <w:p w14:paraId="1906F51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2.3.2本项目综合评分满分为100分，具体评分细则如下：</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5"/>
        <w:gridCol w:w="1702"/>
        <w:gridCol w:w="5015"/>
        <w:gridCol w:w="966"/>
      </w:tblGrid>
      <w:tr w14:paraId="432D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4" w:type="pct"/>
            <w:tcBorders>
              <w:top w:val="single" w:color="auto" w:sz="4" w:space="0"/>
              <w:left w:val="single" w:color="auto" w:sz="4" w:space="0"/>
              <w:bottom w:val="single" w:color="auto" w:sz="4" w:space="0"/>
              <w:right w:val="single" w:color="auto" w:sz="4" w:space="0"/>
            </w:tcBorders>
            <w:vAlign w:val="center"/>
          </w:tcPr>
          <w:p w14:paraId="6EBFBB2E">
            <w:pPr>
              <w:spacing w:line="440" w:lineRule="exact"/>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类别</w:t>
            </w:r>
          </w:p>
        </w:tc>
        <w:tc>
          <w:tcPr>
            <w:tcW w:w="916" w:type="pct"/>
            <w:tcBorders>
              <w:top w:val="single" w:color="auto" w:sz="4" w:space="0"/>
              <w:left w:val="single" w:color="auto" w:sz="4" w:space="0"/>
              <w:bottom w:val="single" w:color="auto" w:sz="4" w:space="0"/>
              <w:right w:val="single" w:color="auto" w:sz="4" w:space="0"/>
            </w:tcBorders>
            <w:vAlign w:val="center"/>
          </w:tcPr>
          <w:p w14:paraId="34DE02D9">
            <w:pPr>
              <w:spacing w:line="440" w:lineRule="exact"/>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评分内容</w:t>
            </w:r>
          </w:p>
        </w:tc>
        <w:tc>
          <w:tcPr>
            <w:tcW w:w="2699" w:type="pct"/>
            <w:tcBorders>
              <w:top w:val="single" w:color="auto" w:sz="4" w:space="0"/>
              <w:left w:val="single" w:color="auto" w:sz="4" w:space="0"/>
              <w:bottom w:val="single" w:color="auto" w:sz="4" w:space="0"/>
              <w:right w:val="single" w:color="auto" w:sz="4" w:space="0"/>
            </w:tcBorders>
            <w:vAlign w:val="center"/>
          </w:tcPr>
          <w:p w14:paraId="14F9869C">
            <w:pPr>
              <w:spacing w:line="440" w:lineRule="exact"/>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评分标准</w:t>
            </w:r>
          </w:p>
        </w:tc>
        <w:tc>
          <w:tcPr>
            <w:tcW w:w="520" w:type="pct"/>
            <w:tcBorders>
              <w:top w:val="single" w:color="auto" w:sz="4" w:space="0"/>
              <w:left w:val="single" w:color="auto" w:sz="4" w:space="0"/>
              <w:bottom w:val="single" w:color="auto" w:sz="4" w:space="0"/>
              <w:right w:val="single" w:color="auto" w:sz="4" w:space="0"/>
            </w:tcBorders>
            <w:vAlign w:val="center"/>
          </w:tcPr>
          <w:p w14:paraId="21ECDA6E">
            <w:pPr>
              <w:spacing w:line="440" w:lineRule="exact"/>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分值范围</w:t>
            </w:r>
          </w:p>
        </w:tc>
      </w:tr>
      <w:tr w14:paraId="428D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restart"/>
            <w:tcBorders>
              <w:top w:val="single" w:color="auto" w:sz="4" w:space="0"/>
              <w:left w:val="single" w:color="auto" w:sz="4" w:space="0"/>
              <w:right w:val="single" w:color="auto" w:sz="4" w:space="0"/>
            </w:tcBorders>
            <w:vAlign w:val="center"/>
          </w:tcPr>
          <w:p w14:paraId="5331B76F">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技术资信分</w:t>
            </w:r>
          </w:p>
          <w:p w14:paraId="074DD039">
            <w:pPr>
              <w:spacing w:line="440" w:lineRule="exact"/>
              <w:jc w:val="center"/>
              <w:rPr>
                <w:rFonts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72</w:t>
            </w:r>
            <w:r>
              <w:rPr>
                <w:rFonts w:hint="eastAsia" w:ascii="宋体" w:hAnsi="宋体" w:eastAsia="宋体" w:cs="宋体"/>
                <w:color w:val="auto"/>
                <w:sz w:val="24"/>
                <w:highlight w:val="none"/>
              </w:rPr>
              <w:t>分）</w:t>
            </w:r>
          </w:p>
        </w:tc>
        <w:tc>
          <w:tcPr>
            <w:tcW w:w="916" w:type="pct"/>
            <w:tcBorders>
              <w:top w:val="single" w:color="auto" w:sz="4" w:space="0"/>
              <w:left w:val="single" w:color="auto" w:sz="4" w:space="0"/>
              <w:bottom w:val="single" w:color="auto" w:sz="4" w:space="0"/>
              <w:right w:val="single" w:color="auto" w:sz="4" w:space="0"/>
            </w:tcBorders>
            <w:vAlign w:val="center"/>
          </w:tcPr>
          <w:p w14:paraId="6A885EE2">
            <w:pPr>
              <w:wordWrap w:val="0"/>
              <w:spacing w:line="360" w:lineRule="auto"/>
              <w:jc w:val="center"/>
              <w:rPr>
                <w:rFonts w:ascii="宋体" w:hAnsi="宋体" w:eastAsia="宋体" w:cs="宋体"/>
                <w:bCs/>
                <w:color w:val="auto"/>
                <w:sz w:val="24"/>
                <w:highlight w:val="none"/>
              </w:rPr>
            </w:pPr>
            <w:r>
              <w:rPr>
                <w:rFonts w:hint="eastAsia" w:asciiTheme="minorEastAsia" w:hAnsiTheme="minorEastAsia" w:eastAsiaTheme="minorEastAsia"/>
                <w:color w:val="auto"/>
                <w:sz w:val="24"/>
                <w:highlight w:val="none"/>
              </w:rPr>
              <w:t>1.供应商</w:t>
            </w:r>
            <w:r>
              <w:rPr>
                <w:rFonts w:hint="eastAsia" w:asciiTheme="minorEastAsia" w:hAnsiTheme="minorEastAsia" w:eastAsiaTheme="minorEastAsia"/>
                <w:color w:val="auto"/>
                <w:sz w:val="24"/>
                <w:highlight w:val="none"/>
                <w:lang w:val="zh-CN"/>
              </w:rPr>
              <w:t>业绩</w:t>
            </w:r>
          </w:p>
        </w:tc>
        <w:tc>
          <w:tcPr>
            <w:tcW w:w="2699" w:type="pct"/>
            <w:tcBorders>
              <w:top w:val="single" w:color="auto" w:sz="4" w:space="0"/>
              <w:left w:val="single" w:color="auto" w:sz="4" w:space="0"/>
              <w:bottom w:val="single" w:color="auto" w:sz="4" w:space="0"/>
              <w:right w:val="single" w:color="auto" w:sz="4" w:space="0"/>
            </w:tcBorders>
            <w:vAlign w:val="center"/>
          </w:tcPr>
          <w:p w14:paraId="2FE8A44B">
            <w:pPr>
              <w:wordWrap w:val="0"/>
              <w:spacing w:line="360" w:lineRule="auto"/>
              <w:jc w:val="lef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w:t>
            </w:r>
            <w:r>
              <w:rPr>
                <w:rFonts w:hint="eastAsia" w:asciiTheme="minorEastAsia" w:hAnsiTheme="minorEastAsia" w:eastAsiaTheme="minorEastAsia"/>
                <w:bCs/>
                <w:color w:val="auto"/>
                <w:sz w:val="24"/>
                <w:highlight w:val="none"/>
                <w:lang w:val="zh-CN" w:eastAsia="zh-CN"/>
              </w:rPr>
              <w:t>投标人</w:t>
            </w:r>
            <w:r>
              <w:rPr>
                <w:rFonts w:hint="eastAsia" w:asciiTheme="minorEastAsia" w:hAnsiTheme="minorEastAsia" w:eastAsiaTheme="minorEastAsia"/>
                <w:bCs/>
                <w:color w:val="auto"/>
                <w:sz w:val="24"/>
                <w:highlight w:val="none"/>
                <w:lang w:val="en-US" w:eastAsia="zh-CN"/>
              </w:rPr>
              <w:t>自2021年1月1日以来每提供一个市级及以上无纸化考试考点业绩的</w:t>
            </w:r>
            <w:r>
              <w:rPr>
                <w:rFonts w:hint="eastAsia" w:asciiTheme="minorEastAsia" w:hAnsiTheme="minorEastAsia" w:eastAsiaTheme="minorEastAsia"/>
                <w:bCs/>
                <w:color w:val="auto"/>
                <w:sz w:val="24"/>
                <w:highlight w:val="none"/>
                <w:lang w:val="zh-CN" w:eastAsia="zh-CN"/>
              </w:rPr>
              <w:t>得2分，本项最高得4分</w:t>
            </w:r>
            <w:r>
              <w:rPr>
                <w:rFonts w:hint="eastAsia" w:asciiTheme="minorEastAsia" w:hAnsiTheme="minorEastAsia" w:eastAsiaTheme="minorEastAsia"/>
                <w:bCs/>
                <w:color w:val="auto"/>
                <w:sz w:val="24"/>
                <w:highlight w:val="none"/>
              </w:rPr>
              <w:t>。</w:t>
            </w:r>
          </w:p>
          <w:p w14:paraId="264B420C">
            <w:pPr>
              <w:wordWrap w:val="0"/>
              <w:spacing w:line="360" w:lineRule="auto"/>
              <w:jc w:val="left"/>
              <w:rPr>
                <w:rFonts w:ascii="宋体" w:hAnsi="宋体" w:eastAsia="宋体" w:cs="宋体"/>
                <w:color w:val="auto"/>
                <w:sz w:val="24"/>
                <w:szCs w:val="28"/>
                <w:highlight w:val="none"/>
              </w:rPr>
            </w:pPr>
            <w:r>
              <w:rPr>
                <w:rFonts w:hint="eastAsia" w:asciiTheme="minorEastAsia" w:hAnsiTheme="minorEastAsia" w:eastAsiaTheme="minorEastAsia"/>
                <w:bCs/>
                <w:color w:val="auto"/>
                <w:sz w:val="24"/>
                <w:highlight w:val="none"/>
              </w:rPr>
              <w:t>注：</w:t>
            </w:r>
            <w:r>
              <w:rPr>
                <w:rFonts w:hint="eastAsia" w:asciiTheme="minorEastAsia" w:hAnsiTheme="minorEastAsia" w:eastAsiaTheme="minorEastAsia"/>
                <w:bCs/>
                <w:color w:val="auto"/>
                <w:sz w:val="24"/>
                <w:highlight w:val="none"/>
                <w:lang w:val="zh-CN" w:eastAsia="zh-CN"/>
              </w:rPr>
              <w:t>投标文件中提供合同的扫描件，若合同无法体现服务内容等关键评审因素的，须另附业主（合同甲方）证明材料的扫描件，</w:t>
            </w:r>
            <w:r>
              <w:rPr>
                <w:rFonts w:hint="eastAsia" w:asciiTheme="minorEastAsia" w:hAnsiTheme="minorEastAsia" w:eastAsiaTheme="minorEastAsia"/>
                <w:bCs/>
                <w:color w:val="auto"/>
                <w:sz w:val="24"/>
                <w:highlight w:val="none"/>
                <w:lang w:val="en-US" w:eastAsia="zh-CN"/>
              </w:rPr>
              <w:t>业绩时间以合同签订时间为准</w:t>
            </w:r>
            <w:r>
              <w:rPr>
                <w:rFonts w:hint="eastAsia" w:asciiTheme="minorEastAsia" w:hAnsiTheme="minorEastAsia" w:eastAsiaTheme="minorEastAsia"/>
                <w:bCs/>
                <w:color w:val="auto"/>
                <w:sz w:val="24"/>
                <w:highlight w:val="none"/>
              </w:rPr>
              <w:t>。</w:t>
            </w:r>
          </w:p>
        </w:tc>
        <w:tc>
          <w:tcPr>
            <w:tcW w:w="520" w:type="pct"/>
            <w:tcBorders>
              <w:top w:val="single" w:color="auto" w:sz="4" w:space="0"/>
              <w:left w:val="single" w:color="auto" w:sz="4" w:space="0"/>
              <w:bottom w:val="single" w:color="auto" w:sz="4" w:space="0"/>
              <w:right w:val="single" w:color="auto" w:sz="4" w:space="0"/>
            </w:tcBorders>
            <w:vAlign w:val="center"/>
          </w:tcPr>
          <w:p w14:paraId="724F38F6">
            <w:pPr>
              <w:spacing w:line="440" w:lineRule="exact"/>
              <w:jc w:val="center"/>
              <w:rPr>
                <w:rFonts w:ascii="宋体" w:hAnsi="宋体" w:eastAsia="宋体" w:cs="宋体"/>
                <w:b/>
                <w:bCs/>
                <w:color w:val="auto"/>
                <w:sz w:val="24"/>
                <w:highlight w:val="none"/>
              </w:rPr>
            </w:pPr>
            <w:r>
              <w:rPr>
                <w:rFonts w:hint="eastAsia" w:ascii="宋体" w:hAnsi="宋体" w:eastAsia="宋体" w:cs="宋体"/>
                <w:color w:val="auto"/>
                <w:sz w:val="24"/>
                <w:highlight w:val="none"/>
              </w:rPr>
              <w:t>4分</w:t>
            </w:r>
          </w:p>
        </w:tc>
      </w:tr>
      <w:tr w14:paraId="209D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864" w:type="pct"/>
            <w:vMerge w:val="continue"/>
            <w:tcBorders>
              <w:left w:val="single" w:color="auto" w:sz="4" w:space="0"/>
              <w:right w:val="single" w:color="auto" w:sz="4" w:space="0"/>
            </w:tcBorders>
            <w:vAlign w:val="center"/>
          </w:tcPr>
          <w:p w14:paraId="779D4F18">
            <w:pPr>
              <w:spacing w:line="440" w:lineRule="exact"/>
              <w:jc w:val="center"/>
              <w:rPr>
                <w:rFonts w:ascii="宋体" w:hAnsi="宋体" w:eastAsia="宋体" w:cs="宋体"/>
                <w:color w:val="auto"/>
                <w:sz w:val="24"/>
                <w:highlight w:val="none"/>
              </w:rPr>
            </w:pPr>
          </w:p>
        </w:tc>
        <w:tc>
          <w:tcPr>
            <w:tcW w:w="916" w:type="pct"/>
            <w:tcBorders>
              <w:top w:val="single" w:color="auto" w:sz="4" w:space="0"/>
              <w:left w:val="single" w:color="auto" w:sz="4" w:space="0"/>
              <w:right w:val="single" w:color="auto" w:sz="4" w:space="0"/>
            </w:tcBorders>
            <w:vAlign w:val="center"/>
          </w:tcPr>
          <w:p w14:paraId="308A38E6">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2.服务团队</w:t>
            </w:r>
          </w:p>
        </w:tc>
        <w:tc>
          <w:tcPr>
            <w:tcW w:w="2699" w:type="pct"/>
            <w:tcBorders>
              <w:top w:val="single" w:color="auto" w:sz="4" w:space="0"/>
              <w:left w:val="single" w:color="auto" w:sz="4" w:space="0"/>
              <w:right w:val="single" w:color="auto" w:sz="4" w:space="0"/>
            </w:tcBorders>
            <w:vAlign w:val="center"/>
          </w:tcPr>
          <w:p w14:paraId="30EDA23F">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投标人为本项目配备的服务团队具有以下证书的：</w:t>
            </w:r>
          </w:p>
          <w:p w14:paraId="40C2BEFA">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（1）网络工程师证书（软考）的得2分，本条最高得2分；</w:t>
            </w:r>
          </w:p>
          <w:p w14:paraId="055DA0E4">
            <w:pPr>
              <w:spacing w:line="440" w:lineRule="exact"/>
              <w:jc w:val="left"/>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（2）系统架构设计师证书（软考）的得2分，本条最高得2分；</w:t>
            </w:r>
          </w:p>
          <w:p w14:paraId="25296679">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（3）软件设计师证书（软考）的得2分，本条最高得2分；</w:t>
            </w:r>
          </w:p>
          <w:p w14:paraId="08743CBA">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（4）系统分析师证书（软考）的得2分，本条最高得2分； </w:t>
            </w:r>
          </w:p>
          <w:p w14:paraId="02C0E6B2">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（5）具有计算机专业中级及以上技术职称证书的得2分，本条最高得10分； </w:t>
            </w:r>
          </w:p>
          <w:p w14:paraId="1F5A282D">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同时提供人员相应证书扫描件、社保部门出具的投标单位为上述人员缴纳的投标前近三个月中任意1个月的养老保险证明（含官网在线打印件，证明文件两个月内有效）或投标单位提供承诺已为上述人员缴纳养老保险证明的承诺书（格式自拟）。</w:t>
            </w:r>
          </w:p>
        </w:tc>
        <w:tc>
          <w:tcPr>
            <w:tcW w:w="520" w:type="pct"/>
            <w:tcBorders>
              <w:top w:val="single" w:color="auto" w:sz="4" w:space="0"/>
              <w:left w:val="single" w:color="auto" w:sz="4" w:space="0"/>
              <w:bottom w:val="single" w:color="auto" w:sz="4" w:space="0"/>
              <w:right w:val="single" w:color="auto" w:sz="4" w:space="0"/>
            </w:tcBorders>
            <w:vAlign w:val="center"/>
          </w:tcPr>
          <w:p w14:paraId="36E4D6F6">
            <w:pPr>
              <w:spacing w:line="440" w:lineRule="exact"/>
              <w:jc w:val="center"/>
              <w:rPr>
                <w:rFonts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分</w:t>
            </w:r>
          </w:p>
        </w:tc>
      </w:tr>
      <w:tr w14:paraId="45A3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864" w:type="pct"/>
            <w:vMerge w:val="continue"/>
            <w:tcBorders>
              <w:left w:val="single" w:color="auto" w:sz="4" w:space="0"/>
              <w:right w:val="single" w:color="auto" w:sz="4" w:space="0"/>
            </w:tcBorders>
            <w:vAlign w:val="center"/>
          </w:tcPr>
          <w:p w14:paraId="4DA30D35">
            <w:pPr>
              <w:spacing w:line="440" w:lineRule="exact"/>
              <w:ind w:firstLine="435"/>
              <w:jc w:val="center"/>
              <w:rPr>
                <w:rFonts w:ascii="宋体" w:hAnsi="宋体" w:eastAsia="宋体" w:cs="宋体"/>
                <w:b/>
                <w:bCs/>
                <w:color w:val="auto"/>
                <w:sz w:val="24"/>
                <w:highlight w:val="none"/>
              </w:rPr>
            </w:pPr>
          </w:p>
        </w:tc>
        <w:tc>
          <w:tcPr>
            <w:tcW w:w="916" w:type="pct"/>
            <w:tcBorders>
              <w:top w:val="single" w:color="auto" w:sz="4" w:space="0"/>
              <w:left w:val="single" w:color="auto" w:sz="4" w:space="0"/>
              <w:right w:val="single" w:color="auto" w:sz="4" w:space="0"/>
            </w:tcBorders>
            <w:vAlign w:val="center"/>
          </w:tcPr>
          <w:p w14:paraId="4BC324DE">
            <w:pPr>
              <w:spacing w:line="440" w:lineRule="exact"/>
              <w:jc w:val="center"/>
              <w:rPr>
                <w:rFonts w:ascii="宋体" w:hAnsi="宋体" w:eastAsia="宋体" w:cs="宋体"/>
                <w:color w:val="auto"/>
                <w:sz w:val="24"/>
                <w:highlight w:val="none"/>
              </w:rPr>
            </w:pPr>
            <w:r>
              <w:rPr>
                <w:rFonts w:hint="eastAsia" w:asciiTheme="minorEastAsia" w:hAnsiTheme="minorEastAsia" w:eastAsiaTheme="minorEastAsia"/>
                <w:bCs/>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rPr>
              <w:t>服务方案</w:t>
            </w:r>
          </w:p>
        </w:tc>
        <w:tc>
          <w:tcPr>
            <w:tcW w:w="2699" w:type="pct"/>
            <w:tcBorders>
              <w:top w:val="single" w:color="auto" w:sz="4" w:space="0"/>
              <w:left w:val="single" w:color="auto" w:sz="4" w:space="0"/>
              <w:right w:val="single" w:color="auto" w:sz="4" w:space="0"/>
            </w:tcBorders>
            <w:vAlign w:val="center"/>
          </w:tcPr>
          <w:p w14:paraId="08AAFAD5">
            <w:pPr>
              <w:spacing w:line="440" w:lineRule="exact"/>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供应商根据本项目需求提供服务方案，</w:t>
            </w:r>
            <w:r>
              <w:rPr>
                <w:rFonts w:hint="eastAsia" w:asciiTheme="minorEastAsia" w:hAnsiTheme="minorEastAsia" w:eastAsiaTheme="minorEastAsia"/>
                <w:color w:val="auto"/>
                <w:sz w:val="24"/>
                <w:highlight w:val="none"/>
                <w:lang w:val="en-US" w:eastAsia="zh-CN"/>
              </w:rPr>
              <w:t>评标委员会</w:t>
            </w:r>
            <w:r>
              <w:rPr>
                <w:rFonts w:hint="eastAsia" w:asciiTheme="minorEastAsia" w:hAnsiTheme="minorEastAsia" w:eastAsiaTheme="minorEastAsia"/>
                <w:color w:val="auto"/>
                <w:sz w:val="24"/>
                <w:highlight w:val="none"/>
              </w:rPr>
              <w:t>进行评分。</w:t>
            </w:r>
          </w:p>
          <w:p w14:paraId="113456AA">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1）能够准确阐述全国会计专业技术资格无纸化考试的政策要求、并结合本项目考生规模特点制定完整、全面的服务方案，方案内容详尽、逻辑清晰，完全覆盖并优于采购需求。对考试流程组织、考生服务、场次调度、与财政部门的协作机制等有深入理解和创新性、合理化建议、流程设计科学，责任划分明确的得5分； </w:t>
            </w:r>
          </w:p>
          <w:p w14:paraId="6132CB12">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（2）了解全国会计专业技术资格无纸化考试的政策要求，</w:t>
            </w:r>
            <w:r>
              <w:rPr>
                <w:rFonts w:hint="eastAsia" w:asciiTheme="minorEastAsia" w:hAnsiTheme="minorEastAsia" w:eastAsiaTheme="minorEastAsia"/>
                <w:color w:val="auto"/>
                <w:sz w:val="24"/>
                <w:highlight w:val="none"/>
                <w:lang w:val="en-US"/>
              </w:rPr>
              <w:t>服务方案内容完整，基本覆盖采购需求。对关键环节有描述和安排，流程设计合理</w:t>
            </w:r>
            <w:r>
              <w:rPr>
                <w:rFonts w:hint="eastAsia" w:asciiTheme="minorEastAsia" w:hAnsiTheme="minorEastAsia" w:eastAsiaTheme="minorEastAsia"/>
                <w:color w:val="auto"/>
                <w:sz w:val="24"/>
                <w:highlight w:val="none"/>
                <w:lang w:val="en-US" w:eastAsia="zh-CN"/>
              </w:rPr>
              <w:t xml:space="preserve">得4分； </w:t>
            </w:r>
          </w:p>
          <w:p w14:paraId="2AF37A6B">
            <w:pPr>
              <w:spacing w:line="440" w:lineRule="exact"/>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lang w:val="en-US"/>
              </w:rPr>
              <w:t>服务方案简单，有待提升、完善</w:t>
            </w:r>
            <w:r>
              <w:rPr>
                <w:rFonts w:hint="eastAsia" w:asciiTheme="minorEastAsia" w:hAnsiTheme="minorEastAsia" w:eastAsiaTheme="minorEastAsia"/>
                <w:color w:val="auto"/>
                <w:sz w:val="24"/>
                <w:highlight w:val="none"/>
                <w:lang w:val="en-US" w:eastAsia="zh-CN"/>
              </w:rPr>
              <w:t xml:space="preserve">的得3分。 </w:t>
            </w:r>
          </w:p>
          <w:p w14:paraId="52016D6E">
            <w:pPr>
              <w:spacing w:line="440" w:lineRule="exact"/>
              <w:jc w:val="left"/>
              <w:rPr>
                <w:rFonts w:ascii="宋体" w:hAnsi="宋体" w:eastAsia="宋体" w:cs="宋体"/>
                <w:color w:val="auto"/>
                <w:sz w:val="24"/>
                <w:szCs w:val="28"/>
                <w:highlight w:val="none"/>
              </w:rPr>
            </w:pPr>
            <w:r>
              <w:rPr>
                <w:rFonts w:hint="eastAsia" w:asciiTheme="minorEastAsia" w:hAnsiTheme="minorEastAsia" w:eastAsiaTheme="minorEastAsia"/>
                <w:color w:val="auto"/>
                <w:sz w:val="24"/>
                <w:highlight w:val="none"/>
                <w:lang w:val="en-US" w:eastAsia="zh-CN"/>
              </w:rPr>
              <w:t>（4）未提供的不得分</w:t>
            </w:r>
            <w:r>
              <w:rPr>
                <w:rFonts w:hint="eastAsia" w:asciiTheme="minorEastAsia" w:hAnsiTheme="minorEastAsia" w:eastAsiaTheme="minorEastAsia"/>
                <w:color w:val="auto"/>
                <w:sz w:val="24"/>
                <w:highlight w:val="none"/>
              </w:rPr>
              <w:t>。</w:t>
            </w:r>
          </w:p>
        </w:tc>
        <w:tc>
          <w:tcPr>
            <w:tcW w:w="520" w:type="pct"/>
            <w:tcBorders>
              <w:top w:val="single" w:color="auto" w:sz="4" w:space="0"/>
              <w:left w:val="single" w:color="auto" w:sz="4" w:space="0"/>
              <w:bottom w:val="single" w:color="auto" w:sz="4" w:space="0"/>
              <w:right w:val="single" w:color="auto" w:sz="4" w:space="0"/>
            </w:tcBorders>
            <w:vAlign w:val="center"/>
          </w:tcPr>
          <w:p w14:paraId="68485457">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0-5分</w:t>
            </w:r>
          </w:p>
        </w:tc>
      </w:tr>
      <w:tr w14:paraId="149AC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5436D0A9">
            <w:pPr>
              <w:spacing w:line="440" w:lineRule="exact"/>
              <w:ind w:firstLine="435"/>
              <w:jc w:val="center"/>
              <w:rPr>
                <w:rFonts w:ascii="宋体" w:hAnsi="宋体" w:eastAsia="宋体" w:cs="宋体"/>
                <w:b/>
                <w:bCs/>
                <w:color w:val="auto"/>
                <w:sz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344B39BF">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4.考场维护措施</w:t>
            </w:r>
          </w:p>
        </w:tc>
        <w:tc>
          <w:tcPr>
            <w:tcW w:w="2699" w:type="pct"/>
            <w:tcBorders>
              <w:top w:val="single" w:color="auto" w:sz="4" w:space="0"/>
              <w:left w:val="single" w:color="auto" w:sz="4" w:space="0"/>
              <w:bottom w:val="single" w:color="auto" w:sz="4" w:space="0"/>
              <w:right w:val="single" w:color="auto" w:sz="4" w:space="0"/>
            </w:tcBorders>
            <w:vAlign w:val="top"/>
          </w:tcPr>
          <w:p w14:paraId="0CE97E89">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供应商根据本项目</w:t>
            </w:r>
            <w:r>
              <w:rPr>
                <w:rFonts w:hint="eastAsia" w:ascii="宋体" w:hAnsi="宋体" w:eastAsia="宋体" w:cs="宋体"/>
                <w:color w:val="auto"/>
                <w:sz w:val="24"/>
                <w:highlight w:val="none"/>
                <w:lang w:val="en-US" w:eastAsia="zh-CN"/>
              </w:rPr>
              <w:t>考试周期、人数、考场位置制定维护措施</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评标委员会</w:t>
            </w:r>
            <w:r>
              <w:rPr>
                <w:rFonts w:hint="eastAsia" w:ascii="宋体" w:hAnsi="宋体" w:eastAsia="宋体" w:cs="宋体"/>
                <w:color w:val="auto"/>
                <w:sz w:val="24"/>
                <w:highlight w:val="none"/>
              </w:rPr>
              <w:t>进行评分。</w:t>
            </w:r>
          </w:p>
          <w:p w14:paraId="3EC39A75">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1）提供详细的维护计划，包含具体的检查项目、标准、流程和责任人。对服务器、考试机、网络设备、UPS、空调等关键设备有专门的、可执行的保障预案。有完善的设备故障应急更换流程和备品备件管理制度的得5分； </w:t>
            </w:r>
          </w:p>
          <w:p w14:paraId="364981A4">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（2）提供维护计划，涵盖主要设备和环节。有基本的故障应急处理流程和保障措施，能满足考试保障的基本要求的得4分； </w:t>
            </w:r>
          </w:p>
          <w:p w14:paraId="136553CF">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en-US"/>
              </w:rPr>
              <w:t>措施简单，保障措施不够具体，应急流程不清晰</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rPr>
              <w:t>有待提升、完善</w:t>
            </w:r>
            <w:r>
              <w:rPr>
                <w:rFonts w:hint="eastAsia" w:ascii="宋体" w:hAnsi="宋体" w:eastAsia="宋体" w:cs="宋体"/>
                <w:color w:val="auto"/>
                <w:sz w:val="24"/>
                <w:highlight w:val="none"/>
                <w:lang w:val="en-US" w:eastAsia="zh-CN"/>
              </w:rPr>
              <w:t xml:space="preserve">的得3分。 </w:t>
            </w:r>
          </w:p>
          <w:p w14:paraId="3EB00BFC">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（4）未提供的不得分。</w:t>
            </w:r>
          </w:p>
        </w:tc>
        <w:tc>
          <w:tcPr>
            <w:tcW w:w="520" w:type="pct"/>
            <w:tcBorders>
              <w:top w:val="single" w:color="auto" w:sz="4" w:space="0"/>
              <w:left w:val="single" w:color="auto" w:sz="4" w:space="0"/>
              <w:bottom w:val="single" w:color="auto" w:sz="4" w:space="0"/>
              <w:right w:val="single" w:color="auto" w:sz="4" w:space="0"/>
            </w:tcBorders>
            <w:vAlign w:val="center"/>
          </w:tcPr>
          <w:p w14:paraId="7A5D8B9B">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0-5分</w:t>
            </w:r>
          </w:p>
        </w:tc>
      </w:tr>
      <w:tr w14:paraId="57D6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288E5CFF">
            <w:pPr>
              <w:spacing w:line="440" w:lineRule="exact"/>
              <w:ind w:firstLine="435"/>
              <w:jc w:val="center"/>
              <w:rPr>
                <w:rFonts w:ascii="宋体" w:hAnsi="宋体" w:eastAsia="宋体" w:cs="宋体"/>
                <w:b/>
                <w:bCs/>
                <w:color w:val="auto"/>
                <w:sz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3F869035">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5.考试防舞弊方案、保障措施</w:t>
            </w:r>
          </w:p>
        </w:tc>
        <w:tc>
          <w:tcPr>
            <w:tcW w:w="2699" w:type="pct"/>
            <w:tcBorders>
              <w:top w:val="single" w:color="auto" w:sz="4" w:space="0"/>
              <w:left w:val="single" w:color="auto" w:sz="4" w:space="0"/>
              <w:bottom w:val="single" w:color="auto" w:sz="4" w:space="0"/>
              <w:right w:val="single" w:color="auto" w:sz="4" w:space="0"/>
            </w:tcBorders>
            <w:vAlign w:val="top"/>
          </w:tcPr>
          <w:p w14:paraId="343C3635">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val="en-US" w:eastAsia="zh-CN"/>
              </w:rPr>
              <w:t>制定考试防舞弊方案、保障措施</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评标委员会</w:t>
            </w:r>
            <w:r>
              <w:rPr>
                <w:rFonts w:hint="eastAsia" w:ascii="宋体" w:hAnsi="宋体" w:eastAsia="宋体" w:cs="宋体"/>
                <w:color w:val="auto"/>
                <w:sz w:val="24"/>
                <w:highlight w:val="none"/>
              </w:rPr>
              <w:t>进行评分。</w:t>
            </w:r>
          </w:p>
          <w:p w14:paraId="282B154D">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（1）方案系统性强，结合人防、技防、物防。详细说明身份核验、考场监控、网络隔离、考试数据加密、通讯设备管控、考场纪律巡查等具体措施。方案严密，能有效识别和防范各类潜在作弊行为的得5分； </w:t>
            </w:r>
          </w:p>
          <w:p w14:paraId="69D2A268">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（2）方案涵盖了主要的防舞弊环节，如身份核验、考场监控和纪律管理。措施具体，具有一定的防范能力的得4分； </w:t>
            </w:r>
          </w:p>
          <w:p w14:paraId="14175A5D">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en-US"/>
              </w:rPr>
              <w:t>措施简单，防舞弊措施不完善</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rPr>
              <w:t>有待提升、完善</w:t>
            </w:r>
            <w:r>
              <w:rPr>
                <w:rFonts w:hint="eastAsia" w:ascii="宋体" w:hAnsi="宋体" w:eastAsia="宋体" w:cs="宋体"/>
                <w:color w:val="auto"/>
                <w:sz w:val="24"/>
                <w:highlight w:val="none"/>
                <w:lang w:val="en-US" w:eastAsia="zh-CN"/>
              </w:rPr>
              <w:t xml:space="preserve">的得3分。 </w:t>
            </w:r>
          </w:p>
          <w:p w14:paraId="1498578F">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（4）未提供的不得分。</w:t>
            </w:r>
          </w:p>
        </w:tc>
        <w:tc>
          <w:tcPr>
            <w:tcW w:w="520" w:type="pct"/>
            <w:tcBorders>
              <w:top w:val="single" w:color="auto" w:sz="4" w:space="0"/>
              <w:left w:val="single" w:color="auto" w:sz="4" w:space="0"/>
              <w:bottom w:val="single" w:color="auto" w:sz="4" w:space="0"/>
              <w:right w:val="single" w:color="auto" w:sz="4" w:space="0"/>
            </w:tcBorders>
            <w:vAlign w:val="center"/>
          </w:tcPr>
          <w:p w14:paraId="7EF3577E">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0-5分</w:t>
            </w:r>
          </w:p>
        </w:tc>
      </w:tr>
      <w:tr w14:paraId="3CA6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4" w:type="pct"/>
            <w:vMerge w:val="continue"/>
            <w:tcBorders>
              <w:left w:val="single" w:color="auto" w:sz="4" w:space="0"/>
              <w:right w:val="single" w:color="auto" w:sz="4" w:space="0"/>
            </w:tcBorders>
            <w:vAlign w:val="center"/>
          </w:tcPr>
          <w:p w14:paraId="5B4A1BE7">
            <w:pPr>
              <w:spacing w:line="440" w:lineRule="exact"/>
              <w:ind w:firstLine="435"/>
              <w:jc w:val="center"/>
              <w:rPr>
                <w:rFonts w:ascii="宋体" w:hAnsi="宋体" w:eastAsia="宋体" w:cs="宋体"/>
                <w:b/>
                <w:bCs/>
                <w:color w:val="auto"/>
                <w:sz w:val="24"/>
                <w:highlight w:val="none"/>
              </w:rPr>
            </w:pPr>
          </w:p>
        </w:tc>
        <w:tc>
          <w:tcPr>
            <w:tcW w:w="916" w:type="pct"/>
            <w:tcBorders>
              <w:top w:val="single" w:color="auto" w:sz="4" w:space="0"/>
              <w:left w:val="single" w:color="auto" w:sz="4" w:space="0"/>
              <w:right w:val="single" w:color="auto" w:sz="4" w:space="0"/>
            </w:tcBorders>
            <w:vAlign w:val="center"/>
          </w:tcPr>
          <w:p w14:paraId="343D1607">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6.应急预案及保障措施</w:t>
            </w:r>
          </w:p>
        </w:tc>
        <w:tc>
          <w:tcPr>
            <w:tcW w:w="2699" w:type="pct"/>
            <w:tcBorders>
              <w:top w:val="single" w:color="auto" w:sz="4" w:space="0"/>
              <w:left w:val="single" w:color="auto" w:sz="4" w:space="0"/>
              <w:right w:val="single" w:color="auto" w:sz="4" w:space="0"/>
            </w:tcBorders>
            <w:vAlign w:val="top"/>
          </w:tcPr>
          <w:p w14:paraId="1365DD40">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val="en-US" w:eastAsia="zh-CN"/>
              </w:rPr>
              <w:t>针对本项目可能发生的突发情况制定应急预案及保障措施</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评标委员会</w:t>
            </w:r>
            <w:r>
              <w:rPr>
                <w:rFonts w:hint="eastAsia" w:ascii="宋体" w:hAnsi="宋体" w:eastAsia="宋体" w:cs="宋体"/>
                <w:color w:val="auto"/>
                <w:sz w:val="24"/>
                <w:highlight w:val="none"/>
              </w:rPr>
              <w:t>进行评分。</w:t>
            </w:r>
          </w:p>
          <w:p w14:paraId="2C78CE10">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1）应急预案覆盖全面，分类分级清晰。针对每类突发事件，有明确的预警机制、启动条件、详细的处置流程、人员分工、联络机制和善后措施。预案体现实战性，包含模拟演练计划。备用考场、备用电源等关键资源的启用方案明确的得5分； </w:t>
            </w:r>
          </w:p>
          <w:p w14:paraId="7E760FCD">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（2）应急预案覆盖了主要风险点，有基本的处置流程和分工，具备一定的应急响应能力的得4分； </w:t>
            </w:r>
          </w:p>
          <w:p w14:paraId="197A1B96">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（3）应急预案不完整，或流程过于简单，可操作性不强，对重大突发情况的考虑不周的得3分；</w:t>
            </w:r>
          </w:p>
          <w:p w14:paraId="32FFF2AB">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（4）未提供的不得分。</w:t>
            </w:r>
          </w:p>
        </w:tc>
        <w:tc>
          <w:tcPr>
            <w:tcW w:w="520" w:type="pct"/>
            <w:tcBorders>
              <w:top w:val="single" w:color="auto" w:sz="4" w:space="0"/>
              <w:left w:val="single" w:color="auto" w:sz="4" w:space="0"/>
              <w:bottom w:val="single" w:color="auto" w:sz="4" w:space="0"/>
              <w:right w:val="single" w:color="auto" w:sz="4" w:space="0"/>
            </w:tcBorders>
            <w:vAlign w:val="center"/>
          </w:tcPr>
          <w:p w14:paraId="6F23B8D6">
            <w:pPr>
              <w:spacing w:line="440" w:lineRule="exact"/>
              <w:jc w:val="center"/>
              <w:rPr>
                <w:rFonts w:ascii="宋体" w:hAnsi="宋体" w:eastAsia="宋体" w:cs="宋体"/>
                <w:b/>
                <w:bCs/>
                <w:color w:val="auto"/>
                <w:sz w:val="24"/>
                <w:highlight w:val="none"/>
              </w:rPr>
            </w:pPr>
            <w:r>
              <w:rPr>
                <w:rFonts w:hint="eastAsia" w:ascii="宋体" w:hAnsi="宋体" w:eastAsia="宋体" w:cs="宋体"/>
                <w:color w:val="auto"/>
                <w:sz w:val="24"/>
                <w:highlight w:val="none"/>
              </w:rPr>
              <w:t>0-5分</w:t>
            </w:r>
          </w:p>
        </w:tc>
      </w:tr>
      <w:tr w14:paraId="481F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2E273766">
            <w:pPr>
              <w:spacing w:line="440" w:lineRule="exact"/>
              <w:ind w:firstLine="435"/>
              <w:jc w:val="center"/>
              <w:rPr>
                <w:rFonts w:ascii="宋体" w:hAnsi="宋体" w:eastAsia="宋体" w:cs="宋体"/>
                <w:b/>
                <w:bCs/>
                <w:color w:val="auto"/>
                <w:sz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6CF2CB28">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7.人员组织方案</w:t>
            </w:r>
          </w:p>
        </w:tc>
        <w:tc>
          <w:tcPr>
            <w:tcW w:w="2699" w:type="pct"/>
            <w:tcBorders>
              <w:top w:val="single" w:color="auto" w:sz="4" w:space="0"/>
              <w:left w:val="single" w:color="auto" w:sz="4" w:space="0"/>
              <w:bottom w:val="single" w:color="auto" w:sz="4" w:space="0"/>
              <w:right w:val="single" w:color="auto" w:sz="4" w:space="0"/>
            </w:tcBorders>
            <w:vAlign w:val="top"/>
          </w:tcPr>
          <w:p w14:paraId="4CC336D8">
            <w:pPr>
              <w:spacing w:line="440" w:lineRule="exac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投标人针对本次考试配备的服务人员，制定专门的人员保障方案：</w:t>
            </w:r>
          </w:p>
          <w:p w14:paraId="56C301B0">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1）组织架构清晰合理，岗位设置齐全（如总负责、技术、考务、安保、后勤等）。明确各岗位职责、人员数量。提供详细的人员排班表、交接班制度及A/B角备份机制。方案能充分保障考试期间各环节人力充足、责任到人的得5分； </w:t>
            </w:r>
          </w:p>
          <w:p w14:paraId="04C87CC2">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（2）组织架构和岗位设置基本合理，明确了主要岗位的职责和人员配置，能满足项目的人力需求的得4分；</w:t>
            </w:r>
          </w:p>
          <w:p w14:paraId="39F447E6">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（3）人员配置简单稀少、人员保障方案有待进一步完善的得3分； </w:t>
            </w:r>
          </w:p>
          <w:p w14:paraId="7C86D506">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（4）未提供的不得分。</w:t>
            </w:r>
          </w:p>
        </w:tc>
        <w:tc>
          <w:tcPr>
            <w:tcW w:w="520" w:type="pct"/>
            <w:tcBorders>
              <w:top w:val="single" w:color="auto" w:sz="4" w:space="0"/>
              <w:left w:val="single" w:color="auto" w:sz="4" w:space="0"/>
              <w:bottom w:val="single" w:color="auto" w:sz="4" w:space="0"/>
              <w:right w:val="single" w:color="auto" w:sz="4" w:space="0"/>
            </w:tcBorders>
            <w:vAlign w:val="center"/>
          </w:tcPr>
          <w:p w14:paraId="3EFD8319">
            <w:pPr>
              <w:spacing w:line="440" w:lineRule="exact"/>
              <w:jc w:val="center"/>
              <w:rPr>
                <w:rFonts w:ascii="宋体" w:hAnsi="宋体" w:eastAsia="宋体" w:cs="宋体"/>
                <w:b/>
                <w:bCs/>
                <w:color w:val="auto"/>
                <w:sz w:val="24"/>
                <w:highlight w:val="none"/>
              </w:rPr>
            </w:pPr>
            <w:r>
              <w:rPr>
                <w:rFonts w:hint="eastAsia" w:ascii="宋体" w:hAnsi="宋体" w:eastAsia="宋体" w:cs="宋体"/>
                <w:color w:val="auto"/>
                <w:sz w:val="24"/>
                <w:highlight w:val="none"/>
              </w:rPr>
              <w:t>0-5分</w:t>
            </w:r>
          </w:p>
        </w:tc>
      </w:tr>
      <w:tr w14:paraId="51AC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5A751A84">
            <w:pPr>
              <w:spacing w:line="440" w:lineRule="exact"/>
              <w:ind w:firstLine="435"/>
              <w:jc w:val="center"/>
              <w:rPr>
                <w:rFonts w:ascii="宋体" w:hAnsi="宋体" w:eastAsia="宋体" w:cs="宋体"/>
                <w:b/>
                <w:bCs/>
                <w:color w:val="auto"/>
                <w:sz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0A1AC3BC">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val="en-US"/>
              </w:rPr>
              <w:t>场地保障方案</w:t>
            </w:r>
          </w:p>
        </w:tc>
        <w:tc>
          <w:tcPr>
            <w:tcW w:w="2699" w:type="pct"/>
            <w:tcBorders>
              <w:top w:val="single" w:color="auto" w:sz="4" w:space="0"/>
              <w:left w:val="single" w:color="auto" w:sz="4" w:space="0"/>
              <w:bottom w:val="single" w:color="auto" w:sz="4" w:space="0"/>
              <w:right w:val="single" w:color="auto" w:sz="4" w:space="0"/>
            </w:tcBorders>
            <w:vAlign w:val="center"/>
          </w:tcPr>
          <w:p w14:paraId="7C17F24A">
            <w:pPr>
              <w:spacing w:line="440" w:lineRule="exac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投标人针对本次考试提供的场地并制定场地保障方案：</w:t>
            </w:r>
          </w:p>
          <w:p w14:paraId="30249415">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（1）详细描述考场环境（面积、布局、隔断、照明、通风、温度控制）、机位数量与分布、候考区、考务办公室等的得5分； </w:t>
            </w:r>
          </w:p>
          <w:p w14:paraId="63512B6E">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（2）对场地情况有基本描述，保障方案基本可行的得4分；</w:t>
            </w:r>
          </w:p>
          <w:p w14:paraId="6433A52C">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（3）考场稀少、保障方案简单，缺乏细节有待进一步完善的得3分； </w:t>
            </w:r>
          </w:p>
          <w:p w14:paraId="0006A3E2">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（4）未提供的不得分。</w:t>
            </w:r>
          </w:p>
        </w:tc>
        <w:tc>
          <w:tcPr>
            <w:tcW w:w="520" w:type="pct"/>
            <w:tcBorders>
              <w:top w:val="single" w:color="auto" w:sz="4" w:space="0"/>
              <w:left w:val="single" w:color="auto" w:sz="4" w:space="0"/>
              <w:bottom w:val="single" w:color="auto" w:sz="4" w:space="0"/>
              <w:right w:val="single" w:color="auto" w:sz="4" w:space="0"/>
            </w:tcBorders>
            <w:vAlign w:val="center"/>
          </w:tcPr>
          <w:p w14:paraId="7B965B42">
            <w:pPr>
              <w:spacing w:line="440" w:lineRule="exact"/>
              <w:jc w:val="center"/>
              <w:rPr>
                <w:rFonts w:ascii="宋体" w:hAnsi="宋体" w:eastAsia="宋体" w:cs="宋体"/>
                <w:b/>
                <w:bCs/>
                <w:color w:val="auto"/>
                <w:sz w:val="24"/>
                <w:highlight w:val="none"/>
              </w:rPr>
            </w:pPr>
            <w:r>
              <w:rPr>
                <w:rFonts w:hint="eastAsia" w:ascii="宋体" w:hAnsi="宋体" w:eastAsia="宋体" w:cs="宋体"/>
                <w:color w:val="auto"/>
                <w:sz w:val="24"/>
                <w:highlight w:val="none"/>
              </w:rPr>
              <w:t>0-5分</w:t>
            </w:r>
          </w:p>
        </w:tc>
      </w:tr>
      <w:tr w14:paraId="421D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112CADFF">
            <w:pPr>
              <w:spacing w:line="440" w:lineRule="exact"/>
              <w:ind w:firstLine="435"/>
              <w:jc w:val="center"/>
              <w:rPr>
                <w:rFonts w:ascii="宋体" w:hAnsi="宋体" w:eastAsia="宋体" w:cs="宋体"/>
                <w:b/>
                <w:bCs/>
                <w:color w:val="auto"/>
                <w:sz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387C82B9">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val="en-US"/>
              </w:rPr>
              <w:t>设备保障方案</w:t>
            </w:r>
          </w:p>
        </w:tc>
        <w:tc>
          <w:tcPr>
            <w:tcW w:w="2699" w:type="pct"/>
            <w:tcBorders>
              <w:top w:val="single" w:color="auto" w:sz="4" w:space="0"/>
              <w:left w:val="single" w:color="auto" w:sz="4" w:space="0"/>
              <w:bottom w:val="single" w:color="auto" w:sz="4" w:space="0"/>
              <w:right w:val="single" w:color="auto" w:sz="4" w:space="0"/>
            </w:tcBorders>
            <w:vAlign w:val="center"/>
          </w:tcPr>
          <w:p w14:paraId="2821D101">
            <w:pPr>
              <w:spacing w:line="440" w:lineRule="exac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投标人针对本次考试提供的各类考试设备并制定设备保障方案：</w:t>
            </w:r>
          </w:p>
          <w:p w14:paraId="11C585E6">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（1）设备清单详尽，包含考试机、服务器、网络设备、UPS、监控设备等的型号、数量和性能参数。提供高效的设备调试、部署、回收和存储方案的得5分； </w:t>
            </w:r>
          </w:p>
          <w:p w14:paraId="7EA04EB0">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（2）对设备情况有基本描述，可以满足采购需求，保障项目实施的得4分；</w:t>
            </w:r>
          </w:p>
          <w:p w14:paraId="070505DF">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（3）考试设备稀少、保障方案简单，缺乏细节有待进一步完善的得3分； </w:t>
            </w:r>
          </w:p>
          <w:p w14:paraId="6DFDC8A5">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（4）未提供的不得分。</w:t>
            </w:r>
          </w:p>
        </w:tc>
        <w:tc>
          <w:tcPr>
            <w:tcW w:w="520" w:type="pct"/>
            <w:tcBorders>
              <w:top w:val="single" w:color="auto" w:sz="4" w:space="0"/>
              <w:left w:val="single" w:color="auto" w:sz="4" w:space="0"/>
              <w:bottom w:val="single" w:color="auto" w:sz="4" w:space="0"/>
              <w:right w:val="single" w:color="auto" w:sz="4" w:space="0"/>
            </w:tcBorders>
            <w:vAlign w:val="center"/>
          </w:tcPr>
          <w:p w14:paraId="04C132BF">
            <w:pPr>
              <w:spacing w:line="440" w:lineRule="exact"/>
              <w:jc w:val="center"/>
              <w:rPr>
                <w:rFonts w:ascii="宋体" w:hAnsi="宋体" w:eastAsia="宋体" w:cs="宋体"/>
                <w:b/>
                <w:bCs/>
                <w:color w:val="auto"/>
                <w:sz w:val="24"/>
                <w:highlight w:val="none"/>
              </w:rPr>
            </w:pPr>
            <w:r>
              <w:rPr>
                <w:rFonts w:hint="eastAsia" w:ascii="宋体" w:hAnsi="宋体" w:eastAsia="宋体" w:cs="宋体"/>
                <w:color w:val="auto"/>
                <w:sz w:val="24"/>
                <w:highlight w:val="none"/>
              </w:rPr>
              <w:t>0-5分</w:t>
            </w:r>
          </w:p>
        </w:tc>
      </w:tr>
      <w:tr w14:paraId="2170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384EE4AE">
            <w:pPr>
              <w:spacing w:line="440" w:lineRule="exact"/>
              <w:ind w:firstLine="435"/>
              <w:jc w:val="center"/>
              <w:rPr>
                <w:rFonts w:ascii="宋体" w:hAnsi="宋体" w:eastAsia="宋体" w:cs="宋体"/>
                <w:b/>
                <w:bCs/>
                <w:color w:val="auto"/>
                <w:sz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18F881EE">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lang w:val="en-US"/>
              </w:rPr>
              <w:t>考点便捷性</w:t>
            </w:r>
          </w:p>
        </w:tc>
        <w:tc>
          <w:tcPr>
            <w:tcW w:w="2699" w:type="pct"/>
            <w:tcBorders>
              <w:top w:val="single" w:color="auto" w:sz="4" w:space="0"/>
              <w:left w:val="single" w:color="auto" w:sz="4" w:space="0"/>
              <w:bottom w:val="single" w:color="auto" w:sz="4" w:space="0"/>
              <w:right w:val="single" w:color="auto" w:sz="4" w:space="0"/>
            </w:tcBorders>
            <w:vAlign w:val="center"/>
          </w:tcPr>
          <w:p w14:paraId="3D887BB6">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根据投标人提供的考点周边交通、饮食、住宿、出行等进行评审： </w:t>
            </w:r>
          </w:p>
          <w:p w14:paraId="0245C3DB">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1）对考点周边的公共交通线路、站点距离、停车条件、餐饮、住宿等有详细调研和指引。提出具体的考生服务措施，如清晰的指引标识、充足的候考区域、饮水设施、人性化提示、志愿者服务等，充分体现以考生为中心的服务理念的得5分； </w:t>
            </w:r>
          </w:p>
          <w:p w14:paraId="2A157BA7">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（2）提供了考点周边的便利性信息，有基本的考生服务措施和指引方案的得4分； </w:t>
            </w:r>
          </w:p>
          <w:p w14:paraId="69EED27E">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（3）仅简单提及考点位置，缺乏详细的便利性分析和具体的考生服务举措的得3分； </w:t>
            </w:r>
          </w:p>
          <w:p w14:paraId="4E96B228">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（4）未提供的不得分。</w:t>
            </w:r>
          </w:p>
        </w:tc>
        <w:tc>
          <w:tcPr>
            <w:tcW w:w="520" w:type="pct"/>
            <w:tcBorders>
              <w:top w:val="single" w:color="auto" w:sz="4" w:space="0"/>
              <w:left w:val="single" w:color="auto" w:sz="4" w:space="0"/>
              <w:bottom w:val="single" w:color="auto" w:sz="4" w:space="0"/>
              <w:right w:val="single" w:color="auto" w:sz="4" w:space="0"/>
            </w:tcBorders>
            <w:vAlign w:val="center"/>
          </w:tcPr>
          <w:p w14:paraId="0D90A525">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0-</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分</w:t>
            </w:r>
          </w:p>
        </w:tc>
      </w:tr>
      <w:tr w14:paraId="687C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pct"/>
            <w:vMerge w:val="continue"/>
            <w:tcBorders>
              <w:left w:val="single" w:color="auto" w:sz="4" w:space="0"/>
              <w:right w:val="single" w:color="auto" w:sz="4" w:space="0"/>
            </w:tcBorders>
            <w:vAlign w:val="center"/>
          </w:tcPr>
          <w:p w14:paraId="6F1D32B9">
            <w:pPr>
              <w:spacing w:line="440" w:lineRule="exact"/>
              <w:ind w:firstLine="435"/>
              <w:jc w:val="center"/>
              <w:rPr>
                <w:rFonts w:ascii="宋体" w:hAnsi="宋体" w:eastAsia="宋体" w:cs="宋体"/>
                <w:b/>
                <w:bCs/>
                <w:color w:val="auto"/>
                <w:sz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1B59EF66">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val="zh-CN"/>
              </w:rPr>
              <w:t>安全保密管理措施</w:t>
            </w:r>
          </w:p>
        </w:tc>
        <w:tc>
          <w:tcPr>
            <w:tcW w:w="2699" w:type="pct"/>
            <w:tcBorders>
              <w:top w:val="single" w:color="auto" w:sz="4" w:space="0"/>
              <w:left w:val="single" w:color="auto" w:sz="4" w:space="0"/>
              <w:bottom w:val="single" w:color="auto" w:sz="4" w:space="0"/>
              <w:right w:val="single" w:color="auto" w:sz="4" w:space="0"/>
            </w:tcBorders>
            <w:vAlign w:val="center"/>
          </w:tcPr>
          <w:p w14:paraId="6E544EE1">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根据投标人提供的</w:t>
            </w:r>
            <w:r>
              <w:rPr>
                <w:rFonts w:hint="eastAsia" w:ascii="宋体" w:hAnsi="宋体" w:eastAsia="宋体" w:cs="宋体"/>
                <w:color w:val="auto"/>
                <w:sz w:val="24"/>
                <w:highlight w:val="none"/>
                <w:lang w:val="zh-CN"/>
              </w:rPr>
              <w:t>安全保密管理措施</w:t>
            </w:r>
            <w:r>
              <w:rPr>
                <w:rFonts w:hint="eastAsia" w:ascii="宋体" w:hAnsi="宋体" w:eastAsia="宋体" w:cs="宋体"/>
                <w:color w:val="auto"/>
                <w:sz w:val="24"/>
                <w:highlight w:val="none"/>
                <w:lang w:val="en-US" w:eastAsia="zh-CN"/>
              </w:rPr>
              <w:t xml:space="preserve">进行评审： </w:t>
            </w:r>
          </w:p>
          <w:p w14:paraId="3891EC6B">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1）方案全面，涵盖物理安全（机房、考场准入）、数据安全（传输加密、存储加密、访问权限控制）、网络安全（防火墙、入侵检测）、系统安全及人员管理（保密协议、背景审查、培训）。流程严谨，责任明确，能有效杜绝信息泄露风险的得5分； </w:t>
            </w:r>
          </w:p>
          <w:p w14:paraId="4BF6A8B4">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（2）方案涵盖了主要的安全保密环节，措施基本得当的得4分； </w:t>
            </w:r>
          </w:p>
          <w:p w14:paraId="3C595953">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zh-CN"/>
              </w:rPr>
              <w:t>安全保密管理措施</w:t>
            </w:r>
            <w:r>
              <w:rPr>
                <w:rFonts w:hint="eastAsia" w:ascii="宋体" w:hAnsi="宋体" w:eastAsia="宋体" w:cs="宋体"/>
                <w:color w:val="auto"/>
                <w:sz w:val="24"/>
                <w:highlight w:val="none"/>
                <w:lang w:val="en-US" w:eastAsia="zh-CN"/>
              </w:rPr>
              <w:t xml:space="preserve">简单有待提升完善的得3分。 </w:t>
            </w:r>
          </w:p>
          <w:p w14:paraId="2BFC076D">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（4）未提供的不得分。</w:t>
            </w:r>
          </w:p>
        </w:tc>
        <w:tc>
          <w:tcPr>
            <w:tcW w:w="520" w:type="pct"/>
            <w:tcBorders>
              <w:top w:val="single" w:color="auto" w:sz="4" w:space="0"/>
              <w:left w:val="single" w:color="auto" w:sz="4" w:space="0"/>
              <w:bottom w:val="single" w:color="auto" w:sz="4" w:space="0"/>
              <w:right w:val="single" w:color="auto" w:sz="4" w:space="0"/>
            </w:tcBorders>
            <w:vAlign w:val="center"/>
          </w:tcPr>
          <w:p w14:paraId="729B6F12">
            <w:pPr>
              <w:spacing w:line="440" w:lineRule="exact"/>
              <w:jc w:val="center"/>
              <w:rPr>
                <w:rFonts w:ascii="宋体" w:hAnsi="宋体" w:eastAsia="宋体" w:cs="宋体"/>
                <w:b/>
                <w:bCs/>
                <w:color w:val="auto"/>
                <w:sz w:val="24"/>
                <w:highlight w:val="none"/>
              </w:rPr>
            </w:pPr>
            <w:r>
              <w:rPr>
                <w:rFonts w:hint="eastAsia" w:ascii="宋体" w:hAnsi="宋体" w:eastAsia="宋体" w:cs="宋体"/>
                <w:color w:val="auto"/>
                <w:sz w:val="24"/>
                <w:highlight w:val="none"/>
              </w:rPr>
              <w:t>0-5分</w:t>
            </w:r>
          </w:p>
        </w:tc>
      </w:tr>
      <w:tr w14:paraId="50150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0" w:hRule="atLeast"/>
          <w:jc w:val="center"/>
        </w:trPr>
        <w:tc>
          <w:tcPr>
            <w:tcW w:w="864" w:type="pct"/>
            <w:vMerge w:val="continue"/>
            <w:tcBorders>
              <w:left w:val="single" w:color="auto" w:sz="4" w:space="0"/>
              <w:right w:val="single" w:color="auto" w:sz="4" w:space="0"/>
            </w:tcBorders>
            <w:vAlign w:val="center"/>
          </w:tcPr>
          <w:p w14:paraId="72240A6F">
            <w:pPr>
              <w:spacing w:line="440" w:lineRule="exact"/>
              <w:ind w:firstLine="435"/>
              <w:jc w:val="center"/>
              <w:rPr>
                <w:rFonts w:ascii="宋体" w:hAnsi="宋体" w:eastAsia="宋体" w:cs="宋体"/>
                <w:b/>
                <w:bCs/>
                <w:color w:val="auto"/>
                <w:sz w:val="24"/>
                <w:highlight w:val="none"/>
              </w:rPr>
            </w:pPr>
          </w:p>
        </w:tc>
        <w:tc>
          <w:tcPr>
            <w:tcW w:w="916" w:type="pct"/>
            <w:tcBorders>
              <w:top w:val="single" w:color="auto" w:sz="4" w:space="0"/>
              <w:left w:val="single" w:color="auto" w:sz="4" w:space="0"/>
              <w:right w:val="single" w:color="auto" w:sz="4" w:space="0"/>
            </w:tcBorders>
            <w:vAlign w:val="center"/>
          </w:tcPr>
          <w:p w14:paraId="2F4BDC04">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lang w:val="zh-CN"/>
              </w:rPr>
              <w:t>售后服务承诺</w:t>
            </w:r>
          </w:p>
        </w:tc>
        <w:tc>
          <w:tcPr>
            <w:tcW w:w="2699" w:type="pct"/>
            <w:tcBorders>
              <w:top w:val="single" w:color="auto" w:sz="4" w:space="0"/>
              <w:left w:val="single" w:color="auto" w:sz="4" w:space="0"/>
              <w:right w:val="single" w:color="auto" w:sz="4" w:space="0"/>
            </w:tcBorders>
            <w:vAlign w:val="center"/>
          </w:tcPr>
          <w:p w14:paraId="30CA15A7">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根据投标人提供的</w:t>
            </w:r>
            <w:r>
              <w:rPr>
                <w:rFonts w:hint="eastAsia" w:ascii="宋体" w:hAnsi="宋体" w:eastAsia="宋体" w:cs="宋体"/>
                <w:color w:val="auto"/>
                <w:sz w:val="24"/>
                <w:highlight w:val="none"/>
                <w:lang w:val="zh-CN"/>
              </w:rPr>
              <w:t>售后服务承诺</w:t>
            </w:r>
            <w:r>
              <w:rPr>
                <w:rFonts w:hint="eastAsia" w:ascii="宋体" w:hAnsi="宋体" w:eastAsia="宋体" w:cs="宋体"/>
                <w:color w:val="auto"/>
                <w:sz w:val="24"/>
                <w:highlight w:val="none"/>
                <w:lang w:val="en-US" w:eastAsia="zh-CN"/>
              </w:rPr>
              <w:t>进行评审：</w:t>
            </w:r>
          </w:p>
          <w:p w14:paraId="38861A9A">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（1）承诺内容具体。明确数据备份方式、保管期限、销毁流程。提供快速响应机制（如7x24小时技术支持、明确的服务响应时间）。提出针对未来合作的优化建议和长期服务支持计划的得5分； </w:t>
            </w:r>
          </w:p>
          <w:p w14:paraId="6FD291B8">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（2）售后服务承诺内容完整，有基本的响应机制和数据管理方案的得4分；</w:t>
            </w:r>
          </w:p>
          <w:p w14:paraId="19B75824">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（3）内容简单或部分缺失，缺乏具体措施和时限保证，有待进一步完善的得3分； </w:t>
            </w:r>
          </w:p>
          <w:p w14:paraId="3EFA1ADE">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（4）未提供的不得分。</w:t>
            </w:r>
          </w:p>
        </w:tc>
        <w:tc>
          <w:tcPr>
            <w:tcW w:w="520" w:type="pct"/>
            <w:tcBorders>
              <w:top w:val="single" w:color="auto" w:sz="4" w:space="0"/>
              <w:left w:val="single" w:color="auto" w:sz="4" w:space="0"/>
              <w:bottom w:val="single" w:color="auto" w:sz="4" w:space="0"/>
              <w:right w:val="single" w:color="auto" w:sz="4" w:space="0"/>
            </w:tcBorders>
            <w:vAlign w:val="center"/>
          </w:tcPr>
          <w:p w14:paraId="36EA8F4C">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0-5分</w:t>
            </w:r>
          </w:p>
        </w:tc>
      </w:tr>
      <w:tr w14:paraId="7E25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864" w:type="pct"/>
            <w:tcBorders>
              <w:left w:val="single" w:color="auto" w:sz="4" w:space="0"/>
              <w:right w:val="single" w:color="auto" w:sz="4" w:space="0"/>
            </w:tcBorders>
            <w:vAlign w:val="center"/>
          </w:tcPr>
          <w:p w14:paraId="639CE2BD">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价格分</w:t>
            </w:r>
          </w:p>
          <w:p w14:paraId="7AE6E0A4">
            <w:pPr>
              <w:spacing w:line="440" w:lineRule="exact"/>
              <w:jc w:val="center"/>
              <w:rPr>
                <w:rFonts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28</w:t>
            </w:r>
            <w:r>
              <w:rPr>
                <w:rFonts w:hint="eastAsia" w:ascii="宋体" w:hAnsi="宋体" w:eastAsia="宋体" w:cs="宋体"/>
                <w:color w:val="auto"/>
                <w:sz w:val="24"/>
                <w:highlight w:val="none"/>
              </w:rPr>
              <w:t>分）</w:t>
            </w:r>
          </w:p>
        </w:tc>
        <w:tc>
          <w:tcPr>
            <w:tcW w:w="4135" w:type="pct"/>
            <w:gridSpan w:val="3"/>
            <w:tcBorders>
              <w:top w:val="single" w:color="auto" w:sz="4" w:space="0"/>
              <w:left w:val="single" w:color="auto" w:sz="4" w:space="0"/>
              <w:bottom w:val="single" w:color="auto" w:sz="4" w:space="0"/>
              <w:right w:val="single" w:color="auto" w:sz="4" w:space="0"/>
            </w:tcBorders>
            <w:vAlign w:val="center"/>
          </w:tcPr>
          <w:p w14:paraId="42845E7E">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价格分统一采用低价优先法，即满足招标文件要求且投标价格最低</w:t>
            </w:r>
            <w:r>
              <w:rPr>
                <w:rFonts w:hint="eastAsia" w:ascii="宋体" w:hAnsi="宋体" w:eastAsia="宋体" w:cs="宋体"/>
                <w:color w:val="auto"/>
                <w:sz w:val="24"/>
                <w:highlight w:val="none"/>
                <w:lang w:val="en-US" w:eastAsia="zh-CN"/>
              </w:rPr>
              <w:t>（如有扣除为扣除后价格）</w:t>
            </w:r>
            <w:r>
              <w:rPr>
                <w:rFonts w:hint="eastAsia" w:ascii="宋体" w:hAnsi="宋体" w:eastAsia="宋体" w:cs="宋体"/>
                <w:color w:val="auto"/>
                <w:sz w:val="24"/>
                <w:highlight w:val="none"/>
              </w:rPr>
              <w:t>的投标报价为评标基准价，其价格分为满分</w:t>
            </w:r>
            <w:r>
              <w:rPr>
                <w:rFonts w:hint="eastAsia" w:ascii="宋体" w:hAnsi="宋体" w:eastAsia="宋体" w:cs="宋体"/>
                <w:color w:val="auto"/>
                <w:sz w:val="24"/>
                <w:highlight w:val="none"/>
                <w:u w:val="single"/>
                <w:lang w:val="en-US" w:eastAsia="zh-CN"/>
              </w:rPr>
              <w:t>28</w:t>
            </w:r>
            <w:r>
              <w:rPr>
                <w:rFonts w:hint="eastAsia" w:ascii="宋体" w:hAnsi="宋体" w:eastAsia="宋体" w:cs="宋体"/>
                <w:color w:val="auto"/>
                <w:sz w:val="24"/>
                <w:highlight w:val="none"/>
              </w:rPr>
              <w:t>分。其他投标人的价格分统一按照下列公式计算：</w:t>
            </w:r>
          </w:p>
          <w:p w14:paraId="1E5E12A7">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投标报价得分＝（评标基准价</w:t>
            </w:r>
            <w:r>
              <w:rPr>
                <w:rFonts w:hint="eastAsia" w:ascii="宋体" w:hAnsi="宋体" w:eastAsia="宋体" w:cs="宋体"/>
                <w:color w:val="auto"/>
                <w:sz w:val="24"/>
                <w:highlight w:val="none"/>
                <w:lang w:val="en-US" w:eastAsia="zh-CN"/>
              </w:rPr>
              <w:t>（如有扣除为扣除后价格）</w:t>
            </w:r>
            <w:r>
              <w:rPr>
                <w:rFonts w:hint="eastAsia" w:ascii="宋体" w:hAnsi="宋体" w:eastAsia="宋体" w:cs="宋体"/>
                <w:color w:val="auto"/>
                <w:sz w:val="24"/>
                <w:highlight w:val="none"/>
              </w:rPr>
              <w:t>/投标报价</w:t>
            </w:r>
            <w:r>
              <w:rPr>
                <w:rFonts w:hint="eastAsia" w:ascii="宋体" w:hAnsi="宋体" w:eastAsia="宋体" w:cs="宋体"/>
                <w:color w:val="auto"/>
                <w:sz w:val="24"/>
                <w:highlight w:val="none"/>
                <w:lang w:val="en-US" w:eastAsia="zh-CN"/>
              </w:rPr>
              <w:t>（如有扣除为扣除后价格）</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％×100</w:t>
            </w:r>
          </w:p>
        </w:tc>
      </w:tr>
    </w:tbl>
    <w:p w14:paraId="0C935A2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2.3.3分值汇总</w:t>
      </w:r>
    </w:p>
    <w:p w14:paraId="6C315CA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4A1512F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（2）将投标人的技术资信分加上根据上述标准计算出的价格分，即为该投标人的综合总得分。</w:t>
      </w:r>
    </w:p>
    <w:p w14:paraId="0EB4C776">
      <w:pPr>
        <w:spacing w:line="360" w:lineRule="auto"/>
        <w:ind w:firstLine="435"/>
        <w:rPr>
          <w:rFonts w:ascii="宋体" w:hAnsi="宋体" w:eastAsia="宋体" w:cs="宋体"/>
          <w:b/>
          <w:bCs/>
          <w:color w:val="auto"/>
          <w:sz w:val="24"/>
          <w:highlight w:val="none"/>
        </w:rPr>
      </w:pPr>
      <w:r>
        <w:rPr>
          <w:rFonts w:hint="eastAsia" w:ascii="宋体" w:hAnsi="宋体" w:eastAsia="宋体" w:cs="宋体"/>
          <w:b/>
          <w:bCs/>
          <w:color w:val="auto"/>
          <w:sz w:val="24"/>
          <w:highlight w:val="none"/>
        </w:rPr>
        <w:t>三、无效投标条款</w:t>
      </w:r>
    </w:p>
    <w:p w14:paraId="18D8A78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3.1投标文件有下列情形之一的,其投标文件拒收:</w:t>
      </w:r>
    </w:p>
    <w:p w14:paraId="2C20DA7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 未在开标截止时间前通过网上招标投标系统递交有效电子投标文件的，开标系统不予接收，投标将被拒绝。</w:t>
      </w:r>
    </w:p>
    <w:p w14:paraId="36A8927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6596854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3.2投标人有下列情形之一的,资格审查后其投标作无效投标处理：</w:t>
      </w:r>
    </w:p>
    <w:p w14:paraId="10FF3AE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(1)投标人为本项目提供招标代理服务的；</w:t>
      </w:r>
    </w:p>
    <w:p w14:paraId="234B24B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(2)投标人与在本项目代理机构存在相互任职或工作的；</w:t>
      </w:r>
    </w:p>
    <w:p w14:paraId="44C7A0F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(3)招标公告写明专门面向中小企业采购，投标人提供的货物非中小企业制造的；</w:t>
      </w:r>
    </w:p>
    <w:p w14:paraId="7DB9E90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(4)要求供应商以联合体形式参加采购活动，投标人非联合体或者联合协议中中小企业合同金额未达到应当达到的比例；</w:t>
      </w:r>
    </w:p>
    <w:p w14:paraId="3696DC52">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(5)要求获得采购合同的供应商向中小企业分包，投标人未提供分包意向协议或者分包意向协议中中小企业合同金额未达到应当达到的比例；</w:t>
      </w:r>
    </w:p>
    <w:p w14:paraId="47D2D492">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(6)评标专家无法查看并检验电子投标文件中相关资料的；</w:t>
      </w:r>
    </w:p>
    <w:p w14:paraId="0BA2BEF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(7)联合体投标未提交联合体协议的；</w:t>
      </w:r>
    </w:p>
    <w:p w14:paraId="7DC2534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(8)责令停产停业的；</w:t>
      </w:r>
    </w:p>
    <w:p w14:paraId="634BB55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(9)暂停或者取消参与政府采购项目资格的；</w:t>
      </w:r>
    </w:p>
    <w:p w14:paraId="1EA5540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(10)投标人单位负责人为同一人或者存在（直接）控股、管理关系的不同单位的；</w:t>
      </w:r>
    </w:p>
    <w:p w14:paraId="69C3F9D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(11)投标人基本资格条件和特定资格条件中有一项及以上不符合要求的；</w:t>
      </w:r>
    </w:p>
    <w:p w14:paraId="6A94EC7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481B103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(13)其它情形，经评标委员会委提出按无效投标处理，并经公共资源交易监督部门核准的；</w:t>
      </w:r>
    </w:p>
    <w:p w14:paraId="3A5F9AA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(14)投标人投标MAC地址或投标人联系人或联系电话相同的，由评标委员会否决其投标，并报告监管部门作不良行为处理和进一步调查；</w:t>
      </w:r>
    </w:p>
    <w:p w14:paraId="3043EE6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(15)投标人单方面出现其他投标人材料的；</w:t>
      </w:r>
    </w:p>
    <w:p w14:paraId="3021068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(16)招标文件规定的其它无效投标情形。</w:t>
      </w:r>
    </w:p>
    <w:p w14:paraId="48B5453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3.3 投标人有下列情形之一的,符合性审查后其投标按无效投标处理：</w:t>
      </w:r>
    </w:p>
    <w:p w14:paraId="2B7F85D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(1)投标文件签字、盖章不全，经评标委员会一致认定对开评标内容有实质性影响并经公共资源交易监督部门核准的；</w:t>
      </w:r>
    </w:p>
    <w:p w14:paraId="0127510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(2)未按规定的格式填写导致实质性内容不全以及实质上不响应，或者关键字迹模糊、无法辨认； 经公共资源交易监督部门核准的；</w:t>
      </w:r>
    </w:p>
    <w:p w14:paraId="3D0FDD6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(3)同一投标人提交两个以上不同的投标文件或者投标报价，但招标文件规定提交备选方案的除外；</w:t>
      </w:r>
    </w:p>
    <w:p w14:paraId="7D12D79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(4)投标文件没有对招标文件的实质性要求和条件作出响应;</w:t>
      </w:r>
    </w:p>
    <w:p w14:paraId="21B8268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(5)投标报价超出规定的投标限价或公布的采购预算的或投标人的投标报价各项单价高于招标文件给定的单价最高限价；</w:t>
      </w:r>
    </w:p>
    <w:p w14:paraId="76C7B892">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(6)不按评标委员会要求澄清、说明或补正的，或者评标委员会根据招标文件的规定对投标文件的计算错误进行修正后，投标人不接受修正的投标报价的。</w:t>
      </w:r>
    </w:p>
    <w:p w14:paraId="0A89D26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(7)其它情形，经评标委员会委提出按无效投标处理，并经公共资源交易监督部门核准的；</w:t>
      </w:r>
    </w:p>
    <w:p w14:paraId="689C655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(8)投标文件含有采购人不能接受的附加条件的；</w:t>
      </w:r>
    </w:p>
    <w:p w14:paraId="02CCFC1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(9)招标文件规定的其它无效投标情形。</w:t>
      </w:r>
    </w:p>
    <w:p w14:paraId="7CBEC63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3.4 投标人有下列情形之一的, 详细评审后其投标按无效投标处理：</w:t>
      </w:r>
    </w:p>
    <w:p w14:paraId="59C671E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(1)投标产品不符合必须强制执行的国家标准的；</w:t>
      </w:r>
    </w:p>
    <w:p w14:paraId="5FAAA2C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(2)投标人有串通投标、弄虚作假、行贿等违法行为；</w:t>
      </w:r>
    </w:p>
    <w:p w14:paraId="1AB6A0B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(3)投标文件含有违反国家法律、法规的内容，或附有采购人不能接受的条件的；</w:t>
      </w:r>
    </w:p>
    <w:p w14:paraId="1C77232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(4)报价明显低于其他投标人，且不能证明报价合理性的投标无效；</w:t>
      </w:r>
    </w:p>
    <w:p w14:paraId="28A37FD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(5)拒不确认评标委员会评审修正的投标无效；</w:t>
      </w:r>
    </w:p>
    <w:p w14:paraId="4BEEA90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(6)其它情形，经评标委员会委提出按无效投标处理，并经公共资源交易监督部门核准的；</w:t>
      </w:r>
    </w:p>
    <w:p w14:paraId="3148012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(7)招标文件规定的其它无效投标情形。</w:t>
      </w:r>
      <w:r>
        <w:rPr>
          <w:rFonts w:hint="eastAsia" w:ascii="宋体" w:hAnsi="宋体" w:eastAsia="宋体" w:cs="宋体"/>
          <w:color w:val="auto"/>
          <w:sz w:val="24"/>
          <w:highlight w:val="none"/>
        </w:rPr>
        <w:br w:type="page"/>
      </w:r>
    </w:p>
    <w:p w14:paraId="5563203F">
      <w:pPr>
        <w:spacing w:line="480" w:lineRule="auto"/>
        <w:jc w:val="center"/>
        <w:outlineLvl w:val="1"/>
        <w:rPr>
          <w:rFonts w:hint="eastAsia" w:ascii="宋体" w:hAnsi="宋体" w:eastAsia="宋体" w:cs="宋体"/>
          <w:b/>
          <w:color w:val="auto"/>
          <w:sz w:val="28"/>
          <w:highlight w:val="none"/>
        </w:rPr>
      </w:pPr>
      <w:bookmarkStart w:id="50" w:name="_Toc20405"/>
      <w:r>
        <w:rPr>
          <w:rFonts w:hint="eastAsia" w:ascii="宋体" w:hAnsi="宋体" w:eastAsia="宋体" w:cs="宋体"/>
          <w:b/>
          <w:color w:val="auto"/>
          <w:sz w:val="28"/>
          <w:highlight w:val="none"/>
        </w:rPr>
        <w:t xml:space="preserve">第五章 </w:t>
      </w:r>
      <w:r>
        <w:rPr>
          <w:rFonts w:hint="eastAsia" w:ascii="宋体" w:hAnsi="宋体" w:eastAsia="宋体" w:cs="宋体"/>
          <w:b/>
          <w:color w:val="auto"/>
          <w:sz w:val="28"/>
          <w:highlight w:val="none"/>
          <w:lang w:val="en-US" w:eastAsia="zh-CN"/>
        </w:rPr>
        <w:t>政府采购合同</w:t>
      </w:r>
      <w:r>
        <w:rPr>
          <w:rFonts w:hint="eastAsia" w:ascii="宋体" w:hAnsi="宋体" w:eastAsia="宋体" w:cs="宋体"/>
          <w:b/>
          <w:color w:val="auto"/>
          <w:sz w:val="28"/>
          <w:highlight w:val="none"/>
        </w:rPr>
        <w:t xml:space="preserve"> </w:t>
      </w:r>
      <w:bookmarkEnd w:id="50"/>
      <w:bookmarkStart w:id="51" w:name="_Toc3714"/>
      <w:bookmarkStart w:id="52" w:name="_Toc13555"/>
    </w:p>
    <w:p w14:paraId="0ACEE535">
      <w:pPr>
        <w:spacing w:line="480" w:lineRule="auto"/>
        <w:jc w:val="center"/>
        <w:outlineLvl w:val="1"/>
        <w:rPr>
          <w:rFonts w:ascii="宋体" w:hAnsi="宋体" w:eastAsia="宋体" w:cs="Times New Roman"/>
          <w:b/>
          <w:color w:val="auto"/>
          <w:sz w:val="28"/>
          <w:szCs w:val="28"/>
          <w:highlight w:val="none"/>
        </w:rPr>
      </w:pPr>
      <w:r>
        <w:rPr>
          <w:rFonts w:ascii="宋体" w:hAnsi="宋体" w:eastAsia="宋体" w:cs="Times New Roman"/>
          <w:b/>
          <w:color w:val="auto"/>
          <w:sz w:val="28"/>
          <w:szCs w:val="28"/>
          <w:highlight w:val="none"/>
        </w:rPr>
        <w:t>政府采购合同</w:t>
      </w:r>
      <w:r>
        <w:rPr>
          <w:rFonts w:hint="eastAsia" w:ascii="宋体" w:hAnsi="宋体" w:eastAsia="宋体" w:cs="Times New Roman"/>
          <w:b/>
          <w:color w:val="auto"/>
          <w:sz w:val="28"/>
          <w:szCs w:val="28"/>
          <w:highlight w:val="none"/>
        </w:rPr>
        <w:t>参考范本</w:t>
      </w:r>
      <w:bookmarkEnd w:id="51"/>
    </w:p>
    <w:p w14:paraId="00D6254B">
      <w:pPr>
        <w:spacing w:line="480" w:lineRule="auto"/>
        <w:jc w:val="center"/>
        <w:outlineLvl w:val="1"/>
        <w:rPr>
          <w:rFonts w:ascii="宋体" w:hAnsi="宋体" w:eastAsia="宋体" w:cs="Times New Roman"/>
          <w:b/>
          <w:color w:val="auto"/>
          <w:sz w:val="28"/>
          <w:szCs w:val="28"/>
          <w:highlight w:val="none"/>
        </w:rPr>
      </w:pPr>
      <w:bookmarkStart w:id="53" w:name="_Toc8560"/>
      <w:r>
        <w:rPr>
          <w:rFonts w:hint="eastAsia" w:ascii="宋体" w:hAnsi="宋体" w:eastAsia="宋体" w:cs="Times New Roman"/>
          <w:b/>
          <w:color w:val="auto"/>
          <w:sz w:val="28"/>
          <w:szCs w:val="28"/>
          <w:highlight w:val="none"/>
        </w:rPr>
        <w:t>（服务类）</w:t>
      </w:r>
      <w:bookmarkEnd w:id="53"/>
    </w:p>
    <w:p w14:paraId="23A00C31">
      <w:pPr>
        <w:spacing w:line="480" w:lineRule="auto"/>
        <w:jc w:val="center"/>
        <w:rPr>
          <w:rFonts w:ascii="宋体" w:hAnsi="宋体" w:eastAsia="宋体" w:cs="Times New Roman"/>
          <w:b/>
          <w:color w:val="auto"/>
          <w:sz w:val="24"/>
          <w:szCs w:val="24"/>
          <w:highlight w:val="none"/>
        </w:rPr>
      </w:pPr>
    </w:p>
    <w:p w14:paraId="1BA92138">
      <w:pPr>
        <w:spacing w:line="480" w:lineRule="auto"/>
        <w:jc w:val="center"/>
        <w:rPr>
          <w:rFonts w:ascii="宋体" w:hAnsi="宋体" w:eastAsia="宋体" w:cs="Times New Roman"/>
          <w:b/>
          <w:color w:val="auto"/>
          <w:sz w:val="24"/>
          <w:szCs w:val="24"/>
          <w:highlight w:val="none"/>
        </w:rPr>
      </w:pPr>
    </w:p>
    <w:p w14:paraId="2DAA394D">
      <w:pPr>
        <w:spacing w:line="480" w:lineRule="auto"/>
        <w:jc w:val="center"/>
        <w:rPr>
          <w:rFonts w:ascii="宋体" w:hAnsi="宋体" w:eastAsia="宋体" w:cs="Times New Roman"/>
          <w:b/>
          <w:color w:val="auto"/>
          <w:sz w:val="24"/>
          <w:szCs w:val="24"/>
          <w:highlight w:val="none"/>
        </w:rPr>
      </w:pPr>
    </w:p>
    <w:p w14:paraId="0BDFF376">
      <w:pPr>
        <w:spacing w:line="360" w:lineRule="auto"/>
        <w:jc w:val="center"/>
        <w:outlineLvl w:val="1"/>
        <w:rPr>
          <w:rFonts w:ascii="宋体" w:hAnsi="宋体" w:eastAsia="宋体"/>
          <w:b/>
          <w:color w:val="auto"/>
          <w:sz w:val="24"/>
          <w:highlight w:val="none"/>
        </w:rPr>
      </w:pPr>
      <w:bookmarkStart w:id="54" w:name="_Toc2449"/>
      <w:r>
        <w:rPr>
          <w:rFonts w:hint="eastAsia" w:ascii="宋体" w:hAnsi="宋体" w:eastAsia="宋体"/>
          <w:b/>
          <w:color w:val="auto"/>
          <w:sz w:val="24"/>
          <w:highlight w:val="none"/>
        </w:rPr>
        <w:t>第一部分 合同书</w:t>
      </w:r>
      <w:bookmarkEnd w:id="54"/>
    </w:p>
    <w:p w14:paraId="6DB8AB00">
      <w:pPr>
        <w:spacing w:line="480" w:lineRule="auto"/>
        <w:jc w:val="center"/>
        <w:rPr>
          <w:rFonts w:ascii="宋体" w:hAnsi="宋体" w:eastAsia="宋体" w:cs="Times New Roman"/>
          <w:b/>
          <w:color w:val="auto"/>
          <w:sz w:val="24"/>
          <w:szCs w:val="24"/>
          <w:highlight w:val="none"/>
        </w:rPr>
      </w:pPr>
    </w:p>
    <w:p w14:paraId="613DFB7E">
      <w:pPr>
        <w:spacing w:line="480" w:lineRule="auto"/>
        <w:jc w:val="center"/>
        <w:rPr>
          <w:rFonts w:ascii="宋体" w:hAnsi="宋体" w:eastAsia="宋体" w:cs="Times New Roman"/>
          <w:b/>
          <w:color w:val="auto"/>
          <w:sz w:val="24"/>
          <w:szCs w:val="24"/>
          <w:highlight w:val="none"/>
        </w:rPr>
      </w:pPr>
    </w:p>
    <w:p w14:paraId="152B9A2B">
      <w:pPr>
        <w:pStyle w:val="13"/>
        <w:rPr>
          <w:color w:val="auto"/>
          <w:highlight w:val="none"/>
        </w:rPr>
      </w:pPr>
    </w:p>
    <w:p w14:paraId="5AA704AB">
      <w:pPr>
        <w:pStyle w:val="13"/>
        <w:rPr>
          <w:color w:val="auto"/>
          <w:highlight w:val="none"/>
        </w:rPr>
      </w:pPr>
    </w:p>
    <w:p w14:paraId="4544689B">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hint="default" w:ascii="宋体" w:hAnsi="宋体" w:eastAsia="宋体" w:cs="Times New Roman"/>
          <w:color w:val="auto"/>
          <w:sz w:val="24"/>
          <w:szCs w:val="24"/>
          <w:highlight w:val="none"/>
          <w:u w:val="single"/>
          <w:lang w:val="en-US"/>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u w:val="single"/>
          <w:lang w:val="en-US" w:eastAsia="zh-CN"/>
        </w:rPr>
        <w:t xml:space="preserve">                                      </w:t>
      </w:r>
    </w:p>
    <w:p w14:paraId="181F6293">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项目编号：</w:t>
      </w:r>
      <w:r>
        <w:rPr>
          <w:rFonts w:hint="eastAsia" w:ascii="宋体" w:hAnsi="宋体" w:eastAsia="宋体" w:cs="Times New Roman"/>
          <w:color w:val="auto"/>
          <w:sz w:val="24"/>
          <w:szCs w:val="24"/>
          <w:highlight w:val="none"/>
          <w:u w:val="single"/>
          <w:lang w:val="en-US" w:eastAsia="zh-CN"/>
        </w:rPr>
        <w:t xml:space="preserve">                                     </w:t>
      </w:r>
    </w:p>
    <w:p w14:paraId="21455E48">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hint="default"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rPr>
        <w:t>甲方（采购人）：</w:t>
      </w:r>
      <w:r>
        <w:rPr>
          <w:rFonts w:hint="eastAsia" w:ascii="宋体" w:hAnsi="宋体" w:eastAsia="宋体" w:cs="Times New Roman"/>
          <w:color w:val="auto"/>
          <w:sz w:val="24"/>
          <w:szCs w:val="24"/>
          <w:highlight w:val="none"/>
          <w:u w:val="single"/>
          <w:lang w:val="en-US" w:eastAsia="zh-CN"/>
        </w:rPr>
        <w:t xml:space="preserve">                                  </w:t>
      </w:r>
    </w:p>
    <w:p w14:paraId="285DFFA6">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乙方（中标人）：</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14:paraId="5B620441">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签订地：</w:t>
      </w:r>
      <w:r>
        <w:rPr>
          <w:rFonts w:hint="eastAsia" w:ascii="宋体" w:hAnsi="宋体" w:eastAsia="宋体" w:cs="Times New Roman"/>
          <w:color w:val="auto"/>
          <w:sz w:val="24"/>
          <w:szCs w:val="24"/>
          <w:highlight w:val="none"/>
          <w:u w:val="single"/>
        </w:rPr>
        <w:t xml:space="preserve">                                     </w:t>
      </w:r>
    </w:p>
    <w:p w14:paraId="58CBF5D2">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签订日期：</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日</w:t>
      </w:r>
    </w:p>
    <w:p w14:paraId="5AFBF043">
      <w:pPr>
        <w:widowControl/>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br w:type="page"/>
      </w:r>
    </w:p>
    <w:p w14:paraId="2EFBAB2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rPr>
        <w:t>（</w:t>
      </w:r>
      <w:r>
        <w:rPr>
          <w:rFonts w:hint="eastAsia" w:ascii="宋体" w:hAnsi="宋体" w:eastAsia="宋体" w:cs="Times New Roman"/>
          <w:color w:val="auto"/>
          <w:sz w:val="24"/>
          <w:szCs w:val="24"/>
          <w:highlight w:val="none"/>
          <w:lang w:val="zh-CN"/>
        </w:rPr>
        <w:t>以下简称：甲方</w:t>
      </w:r>
      <w:r>
        <w:rPr>
          <w:rFonts w:hint="eastAsia" w:ascii="宋体" w:hAnsi="宋体" w:eastAsia="宋体"/>
          <w:color w:val="auto"/>
          <w:sz w:val="24"/>
          <w:highlight w:val="none"/>
        </w:rPr>
        <w:t>）通过</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rPr>
        <w:t>组织的</w:t>
      </w:r>
      <w:r>
        <w:rPr>
          <w:rFonts w:hint="eastAsia" w:ascii="宋体" w:hAnsi="宋体" w:eastAsia="宋体"/>
          <w:color w:val="auto"/>
          <w:sz w:val="24"/>
          <w:highlight w:val="none"/>
          <w:u w:val="single"/>
        </w:rPr>
        <w:t>公开招标</w:t>
      </w:r>
      <w:r>
        <w:rPr>
          <w:rFonts w:hint="eastAsia" w:ascii="宋体" w:hAnsi="宋体" w:eastAsia="宋体"/>
          <w:color w:val="auto"/>
          <w:sz w:val="24"/>
          <w:highlight w:val="none"/>
        </w:rPr>
        <w:t>方式采购活动，经</w:t>
      </w:r>
      <w:r>
        <w:rPr>
          <w:rFonts w:hint="eastAsia" w:ascii="宋体" w:hAnsi="宋体" w:eastAsia="宋体"/>
          <w:color w:val="auto"/>
          <w:sz w:val="24"/>
          <w:highlight w:val="none"/>
          <w:u w:val="single"/>
        </w:rPr>
        <w:t>评标委员会</w:t>
      </w:r>
      <w:r>
        <w:rPr>
          <w:rFonts w:hint="eastAsia" w:ascii="宋体" w:hAnsi="宋体" w:eastAsia="宋体"/>
          <w:color w:val="auto"/>
          <w:sz w:val="24"/>
          <w:highlight w:val="none"/>
        </w:rPr>
        <w:t>评定，</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rPr>
        <w:t>（</w:t>
      </w:r>
      <w:r>
        <w:rPr>
          <w:rFonts w:hint="eastAsia" w:ascii="宋体" w:hAnsi="宋体" w:eastAsia="宋体" w:cs="Times New Roman"/>
          <w:color w:val="auto"/>
          <w:sz w:val="24"/>
          <w:szCs w:val="24"/>
          <w:highlight w:val="none"/>
          <w:lang w:val="zh-CN"/>
        </w:rPr>
        <w:t>以下简称：乙方</w:t>
      </w:r>
      <w:r>
        <w:rPr>
          <w:rFonts w:hint="eastAsia" w:ascii="宋体" w:hAnsi="宋体" w:eastAsia="宋体"/>
          <w:color w:val="auto"/>
          <w:sz w:val="24"/>
          <w:highlight w:val="none"/>
        </w:rPr>
        <w:t>）为本项目中标人，现</w:t>
      </w:r>
      <w:r>
        <w:rPr>
          <w:rFonts w:hint="eastAsia" w:ascii="宋体" w:hAnsi="宋体" w:eastAsia="宋体" w:cs="Times New Roman"/>
          <w:color w:val="auto"/>
          <w:sz w:val="24"/>
          <w:szCs w:val="24"/>
          <w:highlight w:val="none"/>
        </w:rPr>
        <w:t>按照采购文件确定的事项签订本合同。</w:t>
      </w:r>
    </w:p>
    <w:p w14:paraId="2F32FE88">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2974EA6A">
      <w:pPr>
        <w:spacing w:line="360" w:lineRule="auto"/>
        <w:ind w:firstLine="437"/>
        <w:outlineLvl w:val="2"/>
        <w:rPr>
          <w:rFonts w:ascii="宋体" w:hAnsi="宋体" w:eastAsia="宋体" w:cs="Times New Roman"/>
          <w:b/>
          <w:bCs/>
          <w:color w:val="auto"/>
          <w:sz w:val="24"/>
          <w:szCs w:val="24"/>
          <w:highlight w:val="none"/>
          <w:lang w:val="zh-CN"/>
        </w:rPr>
      </w:pPr>
      <w:bookmarkStart w:id="55" w:name="_Toc24059"/>
      <w:bookmarkStart w:id="56" w:name="_Toc2232"/>
      <w:bookmarkStart w:id="57" w:name="_Toc3029"/>
      <w:r>
        <w:rPr>
          <w:rFonts w:hint="eastAsia" w:ascii="宋体" w:hAnsi="宋体" w:eastAsia="宋体" w:cs="Times New Roman"/>
          <w:b/>
          <w:bCs/>
          <w:color w:val="auto"/>
          <w:sz w:val="24"/>
          <w:szCs w:val="24"/>
          <w:highlight w:val="none"/>
          <w:lang w:val="zh-CN"/>
        </w:rPr>
        <w:t>1.1</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合同组成部分</w:t>
      </w:r>
      <w:bookmarkEnd w:id="55"/>
      <w:bookmarkEnd w:id="56"/>
      <w:bookmarkEnd w:id="57"/>
    </w:p>
    <w:p w14:paraId="7E20D231">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76605340">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1.1.1本合同及其补充合同、变更协议；</w:t>
      </w:r>
    </w:p>
    <w:p w14:paraId="56B76BB3">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1.1.2中标通知书；</w:t>
      </w:r>
    </w:p>
    <w:p w14:paraId="1E035282">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1.1.3投标文件（含澄清或者说明文件）；</w:t>
      </w:r>
    </w:p>
    <w:p w14:paraId="03BCF4E6">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1.1.4招标文件（含澄清或者修改文件）；</w:t>
      </w:r>
    </w:p>
    <w:p w14:paraId="7AE16803">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1.1.5其他相关采购文件。</w:t>
      </w:r>
    </w:p>
    <w:p w14:paraId="683BC0CA">
      <w:pPr>
        <w:spacing w:line="360" w:lineRule="auto"/>
        <w:ind w:firstLine="437"/>
        <w:outlineLvl w:val="2"/>
        <w:rPr>
          <w:rFonts w:ascii="宋体" w:hAnsi="宋体" w:eastAsia="宋体" w:cs="Times New Roman"/>
          <w:b/>
          <w:bCs/>
          <w:color w:val="auto"/>
          <w:sz w:val="24"/>
          <w:szCs w:val="24"/>
          <w:highlight w:val="none"/>
          <w:lang w:val="zh-CN"/>
        </w:rPr>
      </w:pPr>
      <w:bookmarkStart w:id="58" w:name="_Toc18585"/>
      <w:bookmarkStart w:id="59" w:name="_Toc22185"/>
      <w:bookmarkStart w:id="60" w:name="_Toc2918"/>
      <w:bookmarkStart w:id="61" w:name="_Toc6311"/>
      <w:bookmarkStart w:id="62" w:name="_Toc6773"/>
      <w:r>
        <w:rPr>
          <w:rFonts w:hint="eastAsia" w:ascii="宋体" w:hAnsi="宋体" w:eastAsia="宋体" w:cs="Times New Roman"/>
          <w:b/>
          <w:bCs/>
          <w:color w:val="auto"/>
          <w:sz w:val="24"/>
          <w:szCs w:val="24"/>
          <w:highlight w:val="none"/>
          <w:lang w:val="zh-CN"/>
        </w:rPr>
        <w:t xml:space="preserve">1.2 </w:t>
      </w:r>
      <w:bookmarkEnd w:id="58"/>
      <w:bookmarkEnd w:id="59"/>
      <w:bookmarkEnd w:id="60"/>
      <w:bookmarkEnd w:id="61"/>
      <w:bookmarkEnd w:id="62"/>
      <w:r>
        <w:rPr>
          <w:rFonts w:hint="eastAsia" w:ascii="宋体" w:hAnsi="宋体" w:eastAsia="宋体" w:cs="Times New Roman"/>
          <w:b/>
          <w:bCs/>
          <w:color w:val="auto"/>
          <w:sz w:val="24"/>
          <w:szCs w:val="24"/>
          <w:highlight w:val="none"/>
          <w:lang w:val="zh-CN"/>
        </w:rPr>
        <w:t>服务</w:t>
      </w:r>
    </w:p>
    <w:p w14:paraId="51BDA54B">
      <w:pPr>
        <w:spacing w:line="360" w:lineRule="auto"/>
        <w:ind w:firstLine="435"/>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1.2.1服务</w:t>
      </w:r>
      <w:r>
        <w:rPr>
          <w:rFonts w:ascii="宋体" w:hAnsi="宋体" w:eastAsia="宋体" w:cs="Times New Roman"/>
          <w:color w:val="auto"/>
          <w:sz w:val="24"/>
          <w:szCs w:val="24"/>
          <w:highlight w:val="none"/>
        </w:rPr>
        <w:t>名称：</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4B9D73AC">
      <w:pPr>
        <w:spacing w:line="360" w:lineRule="auto"/>
        <w:ind w:firstLine="435"/>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1.2.2服务内容</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1F62B05C">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1.2.3服务质量：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7A58B927">
      <w:pPr>
        <w:spacing w:line="360" w:lineRule="auto"/>
        <w:ind w:firstLine="437"/>
        <w:outlineLvl w:val="2"/>
        <w:rPr>
          <w:rFonts w:ascii="宋体" w:hAnsi="宋体" w:eastAsia="宋体" w:cs="Times New Roman"/>
          <w:b/>
          <w:bCs/>
          <w:color w:val="auto"/>
          <w:sz w:val="24"/>
          <w:szCs w:val="24"/>
          <w:highlight w:val="none"/>
          <w:lang w:val="zh-CN"/>
        </w:rPr>
      </w:pPr>
      <w:bookmarkStart w:id="63" w:name="_Toc23292"/>
      <w:bookmarkStart w:id="64" w:name="_Toc21631"/>
      <w:bookmarkStart w:id="65" w:name="_Toc21551"/>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 xml:space="preserve">3 </w:t>
      </w:r>
      <w:r>
        <w:rPr>
          <w:rFonts w:hint="eastAsia" w:ascii="宋体" w:hAnsi="宋体" w:eastAsia="宋体" w:cs="Times New Roman"/>
          <w:b/>
          <w:bCs/>
          <w:color w:val="auto"/>
          <w:sz w:val="24"/>
          <w:szCs w:val="24"/>
          <w:highlight w:val="none"/>
          <w:lang w:val="zh-CN"/>
        </w:rPr>
        <w:t>价款</w:t>
      </w:r>
      <w:bookmarkEnd w:id="63"/>
      <w:bookmarkEnd w:id="64"/>
      <w:bookmarkEnd w:id="65"/>
    </w:p>
    <w:p w14:paraId="2F4AF87E">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本合同总价为</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元</w:t>
      </w:r>
      <w:r>
        <w:rPr>
          <w:rFonts w:hint="eastAsia" w:ascii="宋体" w:hAnsi="宋体" w:eastAsia="宋体" w:cs="Times New Roman"/>
          <w:color w:val="auto"/>
          <w:sz w:val="24"/>
          <w:szCs w:val="24"/>
          <w:highlight w:val="none"/>
        </w:rPr>
        <w:t>（大写：人民币</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元）</w:t>
      </w:r>
      <w:r>
        <w:rPr>
          <w:rFonts w:ascii="宋体" w:hAnsi="宋体" w:eastAsia="宋体" w:cs="Times New Roman"/>
          <w:color w:val="auto"/>
          <w:sz w:val="24"/>
          <w:szCs w:val="24"/>
          <w:highlight w:val="none"/>
        </w:rPr>
        <w:t>。</w:t>
      </w:r>
    </w:p>
    <w:p w14:paraId="6485407C">
      <w:pPr>
        <w:spacing w:line="360" w:lineRule="auto"/>
        <w:ind w:firstLine="435"/>
        <w:rPr>
          <w:rFonts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rPr>
        <w:t>分项价格：</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7CD6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center"/>
          </w:tcPr>
          <w:p w14:paraId="6F20244B">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lang w:val="zh-CN"/>
              </w:rPr>
            </w:pPr>
            <w:r>
              <w:rPr>
                <w:rFonts w:hint="default" w:ascii="宋体" w:hAnsi="宋体" w:eastAsia="宋体" w:cs="Times New Roman"/>
                <w:color w:val="auto"/>
                <w:sz w:val="24"/>
                <w:szCs w:val="24"/>
                <w:highlight w:val="none"/>
                <w:lang w:val="zh-CN"/>
              </w:rPr>
              <w:t>序号</w:t>
            </w:r>
          </w:p>
        </w:tc>
        <w:tc>
          <w:tcPr>
            <w:tcW w:w="4316" w:type="dxa"/>
            <w:noWrap w:val="0"/>
            <w:vAlign w:val="center"/>
          </w:tcPr>
          <w:p w14:paraId="349D9EE9">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分项名称</w:t>
            </w:r>
          </w:p>
        </w:tc>
        <w:tc>
          <w:tcPr>
            <w:tcW w:w="3237" w:type="dxa"/>
            <w:gridSpan w:val="2"/>
            <w:noWrap w:val="0"/>
            <w:vAlign w:val="center"/>
          </w:tcPr>
          <w:p w14:paraId="4D1EC44C">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rPr>
              <w:t>分项价格</w:t>
            </w:r>
          </w:p>
        </w:tc>
      </w:tr>
      <w:tr w14:paraId="05A9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0CCA916C">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w:t>
            </w:r>
          </w:p>
        </w:tc>
        <w:tc>
          <w:tcPr>
            <w:tcW w:w="4316" w:type="dxa"/>
            <w:noWrap w:val="0"/>
            <w:vAlign w:val="center"/>
          </w:tcPr>
          <w:p w14:paraId="190ECDF5">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c>
          <w:tcPr>
            <w:tcW w:w="3237" w:type="dxa"/>
            <w:gridSpan w:val="2"/>
            <w:noWrap w:val="0"/>
            <w:vAlign w:val="center"/>
          </w:tcPr>
          <w:p w14:paraId="2961677C">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r>
      <w:tr w14:paraId="2201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0384B5A1">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2</w:t>
            </w:r>
          </w:p>
        </w:tc>
        <w:tc>
          <w:tcPr>
            <w:tcW w:w="4316" w:type="dxa"/>
            <w:noWrap w:val="0"/>
            <w:vAlign w:val="center"/>
          </w:tcPr>
          <w:p w14:paraId="13619265">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c>
          <w:tcPr>
            <w:tcW w:w="3237" w:type="dxa"/>
            <w:gridSpan w:val="2"/>
            <w:noWrap w:val="0"/>
            <w:vAlign w:val="center"/>
          </w:tcPr>
          <w:p w14:paraId="67947875">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r>
      <w:tr w14:paraId="0B75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62A1D457">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lang w:val="zh-CN"/>
              </w:rPr>
            </w:pPr>
            <w:r>
              <w:rPr>
                <w:rFonts w:hint="default" w:ascii="宋体" w:hAnsi="宋体" w:eastAsia="宋体" w:cs="Times New Roman"/>
                <w:color w:val="auto"/>
                <w:sz w:val="24"/>
                <w:szCs w:val="24"/>
                <w:highlight w:val="none"/>
                <w:lang w:val="zh-CN"/>
              </w:rPr>
              <w:t>3</w:t>
            </w:r>
          </w:p>
        </w:tc>
        <w:tc>
          <w:tcPr>
            <w:tcW w:w="4316" w:type="dxa"/>
            <w:noWrap w:val="0"/>
            <w:vAlign w:val="center"/>
          </w:tcPr>
          <w:p w14:paraId="77A09F98">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c>
          <w:tcPr>
            <w:tcW w:w="3237" w:type="dxa"/>
            <w:gridSpan w:val="2"/>
            <w:noWrap w:val="0"/>
            <w:vAlign w:val="center"/>
          </w:tcPr>
          <w:p w14:paraId="2171C86E">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r>
      <w:tr w14:paraId="3ADF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149038E2">
            <w:pPr>
              <w:keepNext w:val="0"/>
              <w:keepLines w:val="0"/>
              <w:suppressLineNumbers w:val="0"/>
              <w:spacing w:before="0" w:beforeAutospacing="0" w:after="0" w:afterAutospacing="0"/>
              <w:ind w:left="0" w:right="0"/>
              <w:jc w:val="center"/>
              <w:rPr>
                <w:rFonts w:hint="default"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w:t>
            </w:r>
          </w:p>
        </w:tc>
        <w:tc>
          <w:tcPr>
            <w:tcW w:w="4316" w:type="dxa"/>
            <w:noWrap w:val="0"/>
            <w:vAlign w:val="center"/>
          </w:tcPr>
          <w:p w14:paraId="052EBA98">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c>
          <w:tcPr>
            <w:tcW w:w="3237" w:type="dxa"/>
            <w:gridSpan w:val="2"/>
            <w:noWrap w:val="0"/>
            <w:vAlign w:val="center"/>
          </w:tcPr>
          <w:p w14:paraId="6E7F90C2">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r>
      <w:tr w14:paraId="584C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noWrap w:val="0"/>
            <w:vAlign w:val="center"/>
          </w:tcPr>
          <w:p w14:paraId="53E020A6">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总价</w:t>
            </w:r>
          </w:p>
        </w:tc>
        <w:tc>
          <w:tcPr>
            <w:tcW w:w="3237" w:type="dxa"/>
            <w:gridSpan w:val="2"/>
            <w:noWrap w:val="0"/>
            <w:vAlign w:val="center"/>
          </w:tcPr>
          <w:p w14:paraId="313D18D1">
            <w:pPr>
              <w:keepNext w:val="0"/>
              <w:keepLines w:val="0"/>
              <w:suppressLineNumbers w:val="0"/>
              <w:spacing w:before="0" w:beforeAutospacing="0" w:after="0" w:afterAutospacing="0"/>
              <w:ind w:left="0" w:right="0" w:firstLine="200"/>
              <w:jc w:val="center"/>
              <w:rPr>
                <w:rFonts w:hint="default" w:ascii="宋体" w:hAnsi="宋体" w:eastAsia="宋体" w:cs="Times New Roman"/>
                <w:color w:val="auto"/>
                <w:sz w:val="24"/>
                <w:szCs w:val="24"/>
                <w:highlight w:val="none"/>
              </w:rPr>
            </w:pPr>
          </w:p>
        </w:tc>
      </w:tr>
    </w:tbl>
    <w:p w14:paraId="3D5F0626">
      <w:pPr>
        <w:spacing w:line="360" w:lineRule="auto"/>
        <w:ind w:firstLine="437"/>
        <w:outlineLvl w:val="2"/>
        <w:rPr>
          <w:rFonts w:ascii="宋体" w:hAnsi="宋体" w:eastAsia="宋体" w:cs="Times New Roman"/>
          <w:b/>
          <w:bCs/>
          <w:color w:val="auto"/>
          <w:sz w:val="24"/>
          <w:szCs w:val="24"/>
          <w:highlight w:val="none"/>
          <w:lang w:val="zh-CN"/>
        </w:rPr>
      </w:pPr>
      <w:bookmarkStart w:id="66" w:name="_Toc22618"/>
      <w:bookmarkStart w:id="67" w:name="_Toc10340"/>
      <w:bookmarkStart w:id="68" w:name="_Toc1814"/>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4 付款方式和发票开具方式</w:t>
      </w:r>
      <w:bookmarkEnd w:id="66"/>
      <w:bookmarkEnd w:id="67"/>
      <w:bookmarkEnd w:id="68"/>
    </w:p>
    <w:p w14:paraId="1AB32067">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1.4.1</w:t>
      </w:r>
      <w:r>
        <w:rPr>
          <w:rFonts w:ascii="宋体" w:hAnsi="宋体" w:eastAsia="宋体" w:cs="Times New Roman"/>
          <w:color w:val="auto"/>
          <w:sz w:val="24"/>
          <w:szCs w:val="24"/>
          <w:highlight w:val="none"/>
        </w:rPr>
        <w:t>付款方式：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3374A444">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1.4.2发票开具方式：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1AAF0239">
      <w:pPr>
        <w:spacing w:line="360" w:lineRule="auto"/>
        <w:ind w:firstLine="437"/>
        <w:outlineLvl w:val="2"/>
        <w:rPr>
          <w:rFonts w:ascii="宋体" w:hAnsi="宋体" w:eastAsia="宋体" w:cs="Times New Roman"/>
          <w:b/>
          <w:bCs/>
          <w:color w:val="auto"/>
          <w:sz w:val="24"/>
          <w:szCs w:val="24"/>
          <w:highlight w:val="none"/>
          <w:lang w:val="zh-CN"/>
        </w:rPr>
      </w:pPr>
      <w:bookmarkStart w:id="69" w:name="_Toc19304"/>
      <w:bookmarkStart w:id="70" w:name="_Toc2846"/>
      <w:bookmarkStart w:id="71" w:name="_Toc32071"/>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 xml:space="preserve">5 </w:t>
      </w:r>
      <w:r>
        <w:rPr>
          <w:rFonts w:hint="eastAsia" w:ascii="宋体" w:hAnsi="宋体" w:eastAsia="宋体" w:cs="Times New Roman"/>
          <w:b/>
          <w:bCs/>
          <w:color w:val="auto"/>
          <w:sz w:val="24"/>
          <w:szCs w:val="24"/>
          <w:highlight w:val="none"/>
          <w:lang w:val="zh-CN"/>
        </w:rPr>
        <w:t>服务</w:t>
      </w:r>
      <w:r>
        <w:rPr>
          <w:rFonts w:ascii="宋体" w:hAnsi="宋体" w:eastAsia="宋体" w:cs="Times New Roman"/>
          <w:b/>
          <w:bCs/>
          <w:color w:val="auto"/>
          <w:sz w:val="24"/>
          <w:szCs w:val="24"/>
          <w:highlight w:val="none"/>
          <w:lang w:val="zh-CN"/>
        </w:rPr>
        <w:t>期限</w:t>
      </w:r>
      <w:r>
        <w:rPr>
          <w:rFonts w:hint="eastAsia" w:ascii="宋体" w:hAnsi="宋体" w:eastAsia="宋体" w:cs="Times New Roman"/>
          <w:b/>
          <w:bCs/>
          <w:color w:val="auto"/>
          <w:sz w:val="24"/>
          <w:szCs w:val="24"/>
          <w:highlight w:val="none"/>
          <w:lang w:val="zh-CN"/>
        </w:rPr>
        <w:t>、地点和方式</w:t>
      </w:r>
      <w:bookmarkEnd w:id="69"/>
      <w:bookmarkEnd w:id="70"/>
      <w:bookmarkEnd w:id="71"/>
    </w:p>
    <w:p w14:paraId="22B96CCB">
      <w:pPr>
        <w:spacing w:line="360" w:lineRule="auto"/>
        <w:ind w:firstLine="435"/>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1.5.1服务期限</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7E4C437B">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1.5.2服务地点</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5A6B6057">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1.5.3服务方式：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65755C68">
      <w:pPr>
        <w:spacing w:line="360" w:lineRule="auto"/>
        <w:ind w:firstLine="437"/>
        <w:outlineLvl w:val="2"/>
        <w:rPr>
          <w:rFonts w:ascii="宋体" w:hAnsi="宋体" w:eastAsia="宋体" w:cs="Times New Roman"/>
          <w:b/>
          <w:bCs/>
          <w:color w:val="auto"/>
          <w:sz w:val="24"/>
          <w:szCs w:val="24"/>
          <w:highlight w:val="none"/>
          <w:lang w:val="zh-CN"/>
        </w:rPr>
      </w:pPr>
      <w:bookmarkStart w:id="72" w:name="_Toc21423"/>
      <w:bookmarkStart w:id="73" w:name="_Toc27250"/>
      <w:bookmarkStart w:id="74" w:name="_Toc19554"/>
      <w:r>
        <w:rPr>
          <w:rFonts w:hint="eastAsia" w:ascii="宋体" w:hAnsi="宋体" w:eastAsia="宋体" w:cs="Times New Roman"/>
          <w:b/>
          <w:bCs/>
          <w:color w:val="auto"/>
          <w:sz w:val="24"/>
          <w:szCs w:val="24"/>
          <w:highlight w:val="none"/>
          <w:lang w:val="zh-CN"/>
        </w:rPr>
        <w:t>1.6 违约责任</w:t>
      </w:r>
      <w:bookmarkEnd w:id="72"/>
      <w:bookmarkEnd w:id="73"/>
      <w:bookmarkEnd w:id="74"/>
    </w:p>
    <w:p w14:paraId="364D5536">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1.6.1</w:t>
      </w:r>
      <w:r>
        <w:rPr>
          <w:rFonts w:ascii="宋体" w:hAnsi="宋体" w:eastAsia="宋体" w:cs="Times New Roman"/>
          <w:color w:val="auto"/>
          <w:sz w:val="24"/>
          <w:szCs w:val="24"/>
          <w:highlight w:val="none"/>
        </w:rPr>
        <w:t>除不可抗力外，如果乙方没有按照本合同约定的期限</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地点和方式</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，那么甲方可要求乙方支付违约金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违约金按每迟延</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一日的应提供而未</w:t>
      </w:r>
      <w:r>
        <w:rPr>
          <w:rFonts w:hint="eastAsia" w:ascii="宋体" w:hAnsi="宋体" w:eastAsia="宋体" w:cs="Times New Roman"/>
          <w:color w:val="auto"/>
          <w:sz w:val="24"/>
          <w:szCs w:val="24"/>
          <w:highlight w:val="none"/>
        </w:rPr>
        <w:t>提供</w:t>
      </w:r>
      <w:r>
        <w:rPr>
          <w:rFonts w:ascii="宋体" w:hAnsi="宋体" w:eastAsia="宋体" w:cs="Times New Roman"/>
          <w:color w:val="auto"/>
          <w:sz w:val="24"/>
          <w:szCs w:val="24"/>
          <w:highlight w:val="none"/>
        </w:rPr>
        <w:t>服务价格的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1</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%计算</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最高限额为</w:t>
      </w:r>
      <w:r>
        <w:rPr>
          <w:rFonts w:hint="eastAsia" w:ascii="宋体" w:hAnsi="宋体" w:eastAsia="宋体" w:cs="Times New Roman"/>
          <w:color w:val="auto"/>
          <w:sz w:val="24"/>
          <w:szCs w:val="24"/>
          <w:highlight w:val="none"/>
        </w:rPr>
        <w:t>本</w:t>
      </w:r>
      <w:r>
        <w:rPr>
          <w:rFonts w:ascii="宋体" w:hAnsi="宋体" w:eastAsia="宋体" w:cs="Times New Roman"/>
          <w:color w:val="auto"/>
          <w:sz w:val="24"/>
          <w:szCs w:val="24"/>
          <w:highlight w:val="none"/>
        </w:rPr>
        <w:t>合同总价的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10</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迟延</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的违约金计算数额达到前述最高限额之日起</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甲方有权在要求乙方支付违约金的同时</w:t>
      </w:r>
      <w:r>
        <w:rPr>
          <w:rFonts w:hint="eastAsia" w:ascii="宋体" w:hAnsi="宋体" w:eastAsia="宋体" w:cs="Times New Roman"/>
          <w:color w:val="auto"/>
          <w:sz w:val="24"/>
          <w:szCs w:val="24"/>
          <w:highlight w:val="none"/>
        </w:rPr>
        <w:t>，书面通知乙方</w:t>
      </w:r>
      <w:r>
        <w:rPr>
          <w:rFonts w:ascii="宋体" w:hAnsi="宋体" w:eastAsia="宋体" w:cs="Times New Roman"/>
          <w:color w:val="auto"/>
          <w:sz w:val="24"/>
          <w:szCs w:val="24"/>
          <w:highlight w:val="none"/>
        </w:rPr>
        <w:t>解除本合同</w:t>
      </w:r>
      <w:r>
        <w:rPr>
          <w:rFonts w:hint="eastAsia" w:ascii="宋体" w:hAnsi="宋体" w:eastAsia="宋体" w:cs="Times New Roman"/>
          <w:color w:val="auto"/>
          <w:sz w:val="24"/>
          <w:szCs w:val="24"/>
          <w:highlight w:val="none"/>
        </w:rPr>
        <w:t>；</w:t>
      </w:r>
    </w:p>
    <w:p w14:paraId="15C4AE61">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1.6.2</w:t>
      </w:r>
      <w:r>
        <w:rPr>
          <w:rFonts w:ascii="宋体" w:hAnsi="宋体" w:eastAsia="宋体" w:cs="Times New Roman"/>
          <w:color w:val="auto"/>
          <w:sz w:val="24"/>
          <w:szCs w:val="24"/>
          <w:highlight w:val="none"/>
        </w:rPr>
        <w:t>除不可抗力外，如果甲方没有按照本合同约定的付款方式付款，那么乙方可要求甲方支付违约金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违约金按每迟延</w:t>
      </w:r>
      <w:r>
        <w:rPr>
          <w:rFonts w:hint="eastAsia" w:ascii="宋体" w:hAnsi="宋体" w:eastAsia="宋体" w:cs="Times New Roman"/>
          <w:color w:val="auto"/>
          <w:sz w:val="24"/>
          <w:szCs w:val="24"/>
          <w:highlight w:val="none"/>
        </w:rPr>
        <w:t>付款</w:t>
      </w:r>
      <w:r>
        <w:rPr>
          <w:rFonts w:ascii="宋体" w:hAnsi="宋体" w:eastAsia="宋体" w:cs="Times New Roman"/>
          <w:color w:val="auto"/>
          <w:sz w:val="24"/>
          <w:szCs w:val="24"/>
          <w:highlight w:val="none"/>
        </w:rPr>
        <w:t>一日的应付而未付款的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0.1</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%计算</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最高限额为</w:t>
      </w:r>
      <w:r>
        <w:rPr>
          <w:rFonts w:hint="eastAsia" w:ascii="宋体" w:hAnsi="宋体" w:eastAsia="宋体" w:cs="Times New Roman"/>
          <w:color w:val="auto"/>
          <w:sz w:val="24"/>
          <w:szCs w:val="24"/>
          <w:highlight w:val="none"/>
        </w:rPr>
        <w:t>本</w:t>
      </w:r>
      <w:r>
        <w:rPr>
          <w:rFonts w:ascii="宋体" w:hAnsi="宋体" w:eastAsia="宋体" w:cs="Times New Roman"/>
          <w:color w:val="auto"/>
          <w:sz w:val="24"/>
          <w:szCs w:val="24"/>
          <w:highlight w:val="none"/>
        </w:rPr>
        <w:t>合同总价的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1</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迟延</w:t>
      </w:r>
      <w:r>
        <w:rPr>
          <w:rFonts w:hint="eastAsia" w:ascii="宋体" w:hAnsi="宋体" w:eastAsia="宋体" w:cs="Times New Roman"/>
          <w:color w:val="auto"/>
          <w:sz w:val="24"/>
          <w:szCs w:val="24"/>
          <w:highlight w:val="none"/>
        </w:rPr>
        <w:t>付款</w:t>
      </w:r>
      <w:r>
        <w:rPr>
          <w:rFonts w:ascii="宋体" w:hAnsi="宋体" w:eastAsia="宋体" w:cs="Times New Roman"/>
          <w:color w:val="auto"/>
          <w:sz w:val="24"/>
          <w:szCs w:val="24"/>
          <w:highlight w:val="none"/>
        </w:rPr>
        <w:t>的违约金计算数额达到前述最高限额之日起</w:t>
      </w:r>
      <w:r>
        <w:rPr>
          <w:rFonts w:hint="eastAsia" w:ascii="宋体" w:hAnsi="宋体" w:eastAsia="宋体" w:cs="Times New Roman"/>
          <w:color w:val="auto"/>
          <w:sz w:val="24"/>
          <w:szCs w:val="24"/>
          <w:highlight w:val="none"/>
        </w:rPr>
        <w:t>，乙</w:t>
      </w:r>
      <w:r>
        <w:rPr>
          <w:rFonts w:ascii="宋体" w:hAnsi="宋体" w:eastAsia="宋体" w:cs="Times New Roman"/>
          <w:color w:val="auto"/>
          <w:sz w:val="24"/>
          <w:szCs w:val="24"/>
          <w:highlight w:val="none"/>
        </w:rPr>
        <w:t>方有权在要求甲方支付违约金的同时</w:t>
      </w:r>
      <w:r>
        <w:rPr>
          <w:rFonts w:hint="eastAsia" w:ascii="宋体" w:hAnsi="宋体" w:eastAsia="宋体" w:cs="Times New Roman"/>
          <w:color w:val="auto"/>
          <w:sz w:val="24"/>
          <w:szCs w:val="24"/>
          <w:highlight w:val="none"/>
        </w:rPr>
        <w:t>，书面通知甲方</w:t>
      </w:r>
      <w:r>
        <w:rPr>
          <w:rFonts w:ascii="宋体" w:hAnsi="宋体" w:eastAsia="宋体" w:cs="Times New Roman"/>
          <w:color w:val="auto"/>
          <w:sz w:val="24"/>
          <w:szCs w:val="24"/>
          <w:highlight w:val="none"/>
        </w:rPr>
        <w:t>解除本合同</w:t>
      </w:r>
      <w:r>
        <w:rPr>
          <w:rFonts w:hint="eastAsia" w:ascii="宋体" w:hAnsi="宋体" w:eastAsia="宋体" w:cs="Times New Roman"/>
          <w:color w:val="auto"/>
          <w:sz w:val="24"/>
          <w:szCs w:val="24"/>
          <w:highlight w:val="none"/>
        </w:rPr>
        <w:t>；</w:t>
      </w:r>
    </w:p>
    <w:p w14:paraId="18E2B82C">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3DCF07E">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A4E76C6">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280EDB5">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3549D619">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1.6.7因甲方未按合同约定支付价款、未按合同约定受领标的物、擅自解除合同</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逾期退还履约保证金</w:t>
      </w:r>
      <w:r>
        <w:rPr>
          <w:rFonts w:ascii="宋体" w:hAnsi="宋体" w:eastAsia="宋体" w:cs="Times New Roman"/>
          <w:color w:val="auto"/>
          <w:sz w:val="24"/>
          <w:szCs w:val="24"/>
          <w:highlight w:val="none"/>
        </w:rPr>
        <w:t>导致乙方遭受的直接损失，乙方可向甲方申请赔偿，赔偿金额由双方协商一致；</w:t>
      </w:r>
      <w:r>
        <w:rPr>
          <w:rFonts w:hint="eastAsia" w:ascii="宋体" w:hAnsi="宋体" w:eastAsia="宋体" w:cs="Times New Roman"/>
          <w:color w:val="auto"/>
          <w:sz w:val="24"/>
          <w:szCs w:val="24"/>
          <w:highlight w:val="none"/>
        </w:rPr>
        <w:t>针对因政策变化等原因不能签订合同或解除合同时，造成乙方合法利益受损的情形，可以给予乙方合理补偿，补偿金额不得超过乙方的直接损失。</w:t>
      </w:r>
    </w:p>
    <w:p w14:paraId="5C7D42E6">
      <w:pPr>
        <w:spacing w:line="360" w:lineRule="auto"/>
        <w:ind w:firstLine="437"/>
        <w:outlineLvl w:val="2"/>
        <w:rPr>
          <w:rFonts w:ascii="宋体" w:hAnsi="宋体" w:eastAsia="宋体" w:cs="Times New Roman"/>
          <w:b/>
          <w:bCs/>
          <w:color w:val="auto"/>
          <w:sz w:val="24"/>
          <w:szCs w:val="24"/>
          <w:highlight w:val="none"/>
          <w:lang w:val="zh-CN"/>
        </w:rPr>
      </w:pPr>
      <w:bookmarkStart w:id="75" w:name="_Toc15583"/>
      <w:bookmarkStart w:id="76" w:name="_Toc28375"/>
      <w:bookmarkStart w:id="77" w:name="_Toc16021"/>
      <w:r>
        <w:rPr>
          <w:rFonts w:hint="eastAsia" w:ascii="宋体" w:hAnsi="宋体" w:eastAsia="宋体" w:cs="Times New Roman"/>
          <w:b/>
          <w:bCs/>
          <w:color w:val="auto"/>
          <w:sz w:val="24"/>
          <w:szCs w:val="24"/>
          <w:highlight w:val="none"/>
          <w:lang w:val="zh-CN"/>
        </w:rPr>
        <w:t>1.7</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合同</w:t>
      </w:r>
      <w:r>
        <w:rPr>
          <w:rFonts w:ascii="宋体" w:hAnsi="宋体" w:eastAsia="宋体" w:cs="Times New Roman"/>
          <w:b/>
          <w:bCs/>
          <w:color w:val="auto"/>
          <w:sz w:val="24"/>
          <w:szCs w:val="24"/>
          <w:highlight w:val="none"/>
          <w:lang w:val="zh-CN"/>
        </w:rPr>
        <w:t>争议的解决</w:t>
      </w:r>
      <w:bookmarkEnd w:id="75"/>
      <w:bookmarkEnd w:id="76"/>
      <w:bookmarkEnd w:id="77"/>
    </w:p>
    <w:p w14:paraId="3A190A14">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本合</w:t>
      </w:r>
      <w:r>
        <w:rPr>
          <w:rFonts w:ascii="宋体" w:hAnsi="宋体" w:eastAsia="宋体" w:cs="Times New Roman"/>
          <w:color w:val="auto"/>
          <w:sz w:val="24"/>
          <w:szCs w:val="24"/>
          <w:highlight w:val="none"/>
        </w:rPr>
        <w:t>同履行过程中发生的任何争议，双方当事人均可</w:t>
      </w:r>
      <w:r>
        <w:rPr>
          <w:rFonts w:hint="eastAsia" w:ascii="宋体" w:hAnsi="宋体" w:eastAsia="宋体" w:cs="Times New Roman"/>
          <w:color w:val="auto"/>
          <w:sz w:val="24"/>
          <w:szCs w:val="24"/>
          <w:highlight w:val="none"/>
        </w:rPr>
        <w:t>通过和解或者调解解决；不愿和解、调解或者和解、调解不成的，可以选择下列第</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1</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种方式解决：</w:t>
      </w:r>
    </w:p>
    <w:p w14:paraId="5E7303F5">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1.7.1将争议提交</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滁州</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仲裁委员会依申请仲裁时其现行有效的仲裁规则裁决；</w:t>
      </w:r>
    </w:p>
    <w:p w14:paraId="531BF515">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1.7.2向</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采购人所在地</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人民法院起诉。</w:t>
      </w:r>
    </w:p>
    <w:p w14:paraId="01E9FE36">
      <w:pPr>
        <w:spacing w:line="360" w:lineRule="auto"/>
        <w:ind w:firstLine="437"/>
        <w:outlineLvl w:val="2"/>
        <w:rPr>
          <w:rFonts w:ascii="宋体" w:hAnsi="宋体" w:eastAsia="宋体" w:cs="Times New Roman"/>
          <w:b/>
          <w:bCs/>
          <w:color w:val="auto"/>
          <w:sz w:val="24"/>
          <w:szCs w:val="24"/>
          <w:highlight w:val="none"/>
          <w:lang w:val="zh-CN"/>
        </w:rPr>
      </w:pPr>
      <w:bookmarkStart w:id="78" w:name="_Toc15322"/>
      <w:bookmarkStart w:id="79" w:name="_Toc7245"/>
      <w:bookmarkStart w:id="80" w:name="_Toc11173"/>
      <w:r>
        <w:rPr>
          <w:rFonts w:hint="eastAsia" w:ascii="宋体" w:hAnsi="宋体" w:eastAsia="宋体" w:cs="Times New Roman"/>
          <w:b/>
          <w:bCs/>
          <w:color w:val="auto"/>
          <w:sz w:val="24"/>
          <w:szCs w:val="24"/>
          <w:highlight w:val="none"/>
          <w:lang w:val="zh-CN"/>
        </w:rPr>
        <w:t>1.8</w:t>
      </w:r>
      <w:r>
        <w:rPr>
          <w:rFonts w:ascii="宋体" w:hAnsi="宋体" w:eastAsia="宋体" w:cs="Times New Roman"/>
          <w:b/>
          <w:bCs/>
          <w:color w:val="auto"/>
          <w:sz w:val="24"/>
          <w:szCs w:val="24"/>
          <w:highlight w:val="none"/>
          <w:lang w:val="zh-CN"/>
        </w:rPr>
        <w:t xml:space="preserve"> 合同生效</w:t>
      </w:r>
      <w:bookmarkEnd w:id="78"/>
      <w:bookmarkEnd w:id="79"/>
      <w:bookmarkEnd w:id="80"/>
    </w:p>
    <w:p w14:paraId="6F7B7CD9">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本合同自</w:t>
      </w:r>
      <w:r>
        <w:rPr>
          <w:rFonts w:hint="eastAsia" w:ascii="宋体" w:hAnsi="宋体" w:eastAsia="宋体" w:cs="Times New Roman"/>
          <w:color w:val="auto"/>
          <w:sz w:val="24"/>
          <w:szCs w:val="24"/>
          <w:highlight w:val="none"/>
        </w:rPr>
        <w:t>双方当事人盖章时</w:t>
      </w:r>
      <w:r>
        <w:rPr>
          <w:rFonts w:ascii="宋体" w:hAnsi="宋体" w:eastAsia="宋体" w:cs="Times New Roman"/>
          <w:color w:val="auto"/>
          <w:sz w:val="24"/>
          <w:szCs w:val="24"/>
          <w:highlight w:val="none"/>
        </w:rPr>
        <w:t>生效。</w:t>
      </w:r>
    </w:p>
    <w:p w14:paraId="58327039">
      <w:pPr>
        <w:autoSpaceDE w:val="0"/>
        <w:autoSpaceDN w:val="0"/>
        <w:adjustRightInd w:val="0"/>
        <w:spacing w:line="560" w:lineRule="exact"/>
        <w:rPr>
          <w:rFonts w:ascii="宋体" w:hAnsi="宋体" w:eastAsia="宋体" w:cs="Times New Roman"/>
          <w:color w:val="auto"/>
          <w:sz w:val="24"/>
          <w:szCs w:val="24"/>
          <w:highlight w:val="none"/>
          <w:lang w:val="zh-CN"/>
        </w:rPr>
      </w:pPr>
    </w:p>
    <w:p w14:paraId="799E952F">
      <w:pPr>
        <w:autoSpaceDE w:val="0"/>
        <w:autoSpaceDN w:val="0"/>
        <w:adjustRightInd w:val="0"/>
        <w:spacing w:line="560" w:lineRule="exact"/>
        <w:rPr>
          <w:rFonts w:ascii="宋体" w:hAnsi="宋体" w:eastAsia="宋体" w:cs="Times New Roman"/>
          <w:color w:val="auto"/>
          <w:sz w:val="24"/>
          <w:szCs w:val="24"/>
          <w:highlight w:val="none"/>
          <w:lang w:val="zh-CN"/>
        </w:rPr>
      </w:pPr>
    </w:p>
    <w:p w14:paraId="1EA0E261">
      <w:pPr>
        <w:autoSpaceDE w:val="0"/>
        <w:autoSpaceDN w:val="0"/>
        <w:adjustRightInd w:val="0"/>
        <w:spacing w:line="560" w:lineRule="exact"/>
        <w:rPr>
          <w:rFonts w:ascii="宋体" w:hAnsi="宋体" w:eastAsia="宋体" w:cs="Times New Roman"/>
          <w:color w:val="auto"/>
          <w:sz w:val="24"/>
          <w:szCs w:val="24"/>
          <w:highlight w:val="none"/>
          <w:lang w:val="zh-CN"/>
        </w:rPr>
      </w:pPr>
    </w:p>
    <w:p w14:paraId="0142E8E2">
      <w:pPr>
        <w:autoSpaceDE w:val="0"/>
        <w:autoSpaceDN w:val="0"/>
        <w:adjustRightInd w:val="0"/>
        <w:spacing w:line="560" w:lineRule="exact"/>
        <w:rPr>
          <w:rFonts w:ascii="宋体" w:hAnsi="宋体" w:eastAsia="宋体" w:cs="Times New Roman"/>
          <w:bCs/>
          <w:color w:val="auto"/>
          <w:sz w:val="24"/>
          <w:szCs w:val="24"/>
          <w:highlight w:val="none"/>
          <w:lang w:val="zh-CN"/>
        </w:rPr>
      </w:pPr>
      <w:r>
        <w:rPr>
          <w:rFonts w:hint="eastAsia" w:ascii="宋体" w:hAnsi="宋体" w:eastAsia="宋体" w:cs="Times New Roman"/>
          <w:bCs/>
          <w:color w:val="auto"/>
          <w:sz w:val="24"/>
          <w:szCs w:val="24"/>
          <w:highlight w:val="none"/>
          <w:lang w:val="zh-CN"/>
        </w:rPr>
        <w:t xml:space="preserve">甲 </w:t>
      </w:r>
      <w:r>
        <w:rPr>
          <w:rFonts w:ascii="宋体" w:hAnsi="宋体" w:eastAsia="宋体" w:cs="Times New Roman"/>
          <w:bCs/>
          <w:color w:val="auto"/>
          <w:sz w:val="24"/>
          <w:szCs w:val="24"/>
          <w:highlight w:val="none"/>
          <w:lang w:val="zh-CN"/>
        </w:rPr>
        <w:t xml:space="preserve">   </w:t>
      </w:r>
      <w:r>
        <w:rPr>
          <w:rFonts w:hint="eastAsia" w:ascii="宋体" w:hAnsi="宋体" w:eastAsia="宋体" w:cs="Times New Roman"/>
          <w:bCs/>
          <w:color w:val="auto"/>
          <w:sz w:val="24"/>
          <w:szCs w:val="24"/>
          <w:highlight w:val="none"/>
          <w:lang w:val="zh-CN"/>
        </w:rPr>
        <w:t>方：</w:t>
      </w:r>
      <w:r>
        <w:rPr>
          <w:rFonts w:hint="eastAsia" w:ascii="宋体" w:hAnsi="宋体" w:eastAsia="宋体" w:cs="Times New Roman"/>
          <w:bCs/>
          <w:color w:val="auto"/>
          <w:sz w:val="24"/>
          <w:szCs w:val="24"/>
          <w:highlight w:val="none"/>
          <w:u w:val="single"/>
          <w:lang w:val="zh-CN"/>
        </w:rPr>
        <w:t xml:space="preserve">    （单位盖章）     </w:t>
      </w:r>
      <w:r>
        <w:rPr>
          <w:rFonts w:hint="eastAsia" w:ascii="宋体" w:hAnsi="宋体" w:eastAsia="宋体" w:cs="Times New Roman"/>
          <w:bCs/>
          <w:color w:val="auto"/>
          <w:sz w:val="24"/>
          <w:szCs w:val="24"/>
          <w:highlight w:val="none"/>
          <w:lang w:val="zh-CN"/>
        </w:rPr>
        <w:t xml:space="preserve">          乙方：</w:t>
      </w:r>
      <w:r>
        <w:rPr>
          <w:rFonts w:hint="eastAsia" w:ascii="宋体" w:hAnsi="宋体" w:eastAsia="宋体" w:cs="Times New Roman"/>
          <w:bCs/>
          <w:color w:val="auto"/>
          <w:sz w:val="24"/>
          <w:szCs w:val="24"/>
          <w:highlight w:val="none"/>
          <w:u w:val="single"/>
          <w:lang w:val="zh-CN"/>
        </w:rPr>
        <w:t xml:space="preserve">    （单位盖章）     </w:t>
      </w:r>
    </w:p>
    <w:p w14:paraId="3DE51942">
      <w:pPr>
        <w:autoSpaceDE w:val="0"/>
        <w:autoSpaceDN w:val="0"/>
        <w:adjustRightInd w:val="0"/>
        <w:spacing w:line="560" w:lineRule="exact"/>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 xml:space="preserve">法定代表人                             </w:t>
      </w:r>
      <w:r>
        <w:rPr>
          <w:rFonts w:ascii="宋体" w:hAnsi="宋体" w:eastAsia="宋体" w:cs="Times New Roman"/>
          <w:color w:val="auto"/>
          <w:sz w:val="24"/>
          <w:szCs w:val="24"/>
          <w:highlight w:val="none"/>
          <w:lang w:val="zh-CN"/>
        </w:rPr>
        <w:t xml:space="preserve">  </w:t>
      </w:r>
      <w:r>
        <w:rPr>
          <w:rFonts w:hint="eastAsia" w:ascii="宋体" w:hAnsi="宋体" w:eastAsia="宋体" w:cs="Times New Roman"/>
          <w:color w:val="auto"/>
          <w:sz w:val="24"/>
          <w:szCs w:val="24"/>
          <w:highlight w:val="none"/>
          <w:lang w:val="zh-CN"/>
        </w:rPr>
        <w:t>法定代表人</w:t>
      </w:r>
    </w:p>
    <w:p w14:paraId="5C0C7874">
      <w:pPr>
        <w:autoSpaceDE w:val="0"/>
        <w:autoSpaceDN w:val="0"/>
        <w:adjustRightInd w:val="0"/>
        <w:spacing w:line="560" w:lineRule="exact"/>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或授权代表（签字）：                      或授权代表（签字）：</w:t>
      </w:r>
    </w:p>
    <w:p w14:paraId="5F99C1D4">
      <w:pPr>
        <w:widowControl/>
        <w:spacing w:line="560" w:lineRule="exact"/>
        <w:jc w:val="left"/>
        <w:rPr>
          <w:rFonts w:ascii="宋体" w:hAnsi="宋体" w:eastAsia="宋体" w:cs="Times New Roman"/>
          <w:bCs/>
          <w:color w:val="auto"/>
          <w:sz w:val="24"/>
          <w:szCs w:val="24"/>
          <w:highlight w:val="none"/>
        </w:rPr>
      </w:pPr>
      <w:bookmarkStart w:id="81" w:name="_Toc331685783"/>
      <w:r>
        <w:rPr>
          <w:rFonts w:hint="eastAsia" w:ascii="宋体" w:hAnsi="宋体" w:eastAsia="宋体" w:cs="Times New Roman"/>
          <w:bCs/>
          <w:color w:val="auto"/>
          <w:sz w:val="24"/>
          <w:szCs w:val="24"/>
          <w:highlight w:val="none"/>
        </w:rPr>
        <w:t>时间：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               时间：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w:t>
      </w:r>
    </w:p>
    <w:p w14:paraId="4F52ED41">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bookmarkStart w:id="82" w:name="_Hlk110099149"/>
      <w:r>
        <w:rPr>
          <w:rFonts w:hint="eastAsia" w:ascii="宋体" w:hAnsi="宋体" w:eastAsia="宋体"/>
          <w:color w:val="auto"/>
          <w:sz w:val="24"/>
          <w:szCs w:val="24"/>
          <w:highlight w:val="none"/>
        </w:rPr>
        <w:t>乙方账户信息</w:t>
      </w:r>
    </w:p>
    <w:p w14:paraId="5584F171">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户名：</w:t>
      </w:r>
      <w:r>
        <w:rPr>
          <w:rFonts w:hint="eastAsia" w:ascii="宋体" w:hAnsi="宋体" w:eastAsia="宋体"/>
          <w:color w:val="auto"/>
          <w:sz w:val="24"/>
          <w:szCs w:val="24"/>
          <w:highlight w:val="none"/>
          <w:u w:val="single"/>
        </w:rPr>
        <w:t xml:space="preserve">            </w:t>
      </w:r>
    </w:p>
    <w:p w14:paraId="3D9F30EE">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账号：</w:t>
      </w:r>
      <w:r>
        <w:rPr>
          <w:rFonts w:hint="eastAsia" w:ascii="宋体" w:hAnsi="宋体" w:eastAsia="宋体"/>
          <w:color w:val="auto"/>
          <w:sz w:val="24"/>
          <w:szCs w:val="24"/>
          <w:highlight w:val="none"/>
          <w:u w:val="single"/>
        </w:rPr>
        <w:t xml:space="preserve">            </w:t>
      </w:r>
    </w:p>
    <w:p w14:paraId="2D215A69">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开户银行：</w:t>
      </w:r>
      <w:r>
        <w:rPr>
          <w:rFonts w:hint="eastAsia" w:ascii="宋体" w:hAnsi="宋体" w:eastAsia="宋体"/>
          <w:color w:val="auto"/>
          <w:sz w:val="24"/>
          <w:szCs w:val="24"/>
          <w:highlight w:val="none"/>
          <w:u w:val="single"/>
        </w:rPr>
        <w:t xml:space="preserve">        </w:t>
      </w:r>
    </w:p>
    <w:bookmarkEnd w:id="82"/>
    <w:p w14:paraId="262A335C">
      <w:pPr>
        <w:widowControl/>
        <w:jc w:val="left"/>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br w:type="page"/>
      </w:r>
    </w:p>
    <w:p w14:paraId="759EBA2B">
      <w:pPr>
        <w:spacing w:line="360" w:lineRule="auto"/>
        <w:jc w:val="center"/>
        <w:outlineLvl w:val="1"/>
        <w:rPr>
          <w:rFonts w:ascii="宋体" w:hAnsi="宋体" w:eastAsia="宋体"/>
          <w:b/>
          <w:color w:val="auto"/>
          <w:sz w:val="24"/>
          <w:highlight w:val="none"/>
        </w:rPr>
      </w:pPr>
      <w:bookmarkStart w:id="83" w:name="_Toc415"/>
      <w:r>
        <w:rPr>
          <w:rFonts w:hint="eastAsia" w:ascii="宋体" w:hAnsi="宋体" w:eastAsia="宋体"/>
          <w:b/>
          <w:color w:val="auto"/>
          <w:sz w:val="24"/>
          <w:highlight w:val="none"/>
        </w:rPr>
        <w:t>第二部分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合同一般条款</w:t>
      </w:r>
      <w:bookmarkEnd w:id="81"/>
      <w:bookmarkEnd w:id="83"/>
    </w:p>
    <w:p w14:paraId="283ECEB0">
      <w:pPr>
        <w:spacing w:line="360" w:lineRule="auto"/>
        <w:ind w:firstLine="437"/>
        <w:outlineLvl w:val="2"/>
        <w:rPr>
          <w:rFonts w:ascii="宋体" w:hAnsi="宋体" w:eastAsia="宋体" w:cs="Times New Roman"/>
          <w:b/>
          <w:bCs/>
          <w:color w:val="auto"/>
          <w:sz w:val="24"/>
          <w:szCs w:val="24"/>
          <w:highlight w:val="none"/>
          <w:lang w:val="zh-CN"/>
        </w:rPr>
      </w:pPr>
      <w:bookmarkStart w:id="84" w:name="_Ref467379205"/>
      <w:bookmarkStart w:id="85" w:name="_Toc19614"/>
      <w:bookmarkStart w:id="86" w:name="_Ref467378463"/>
      <w:bookmarkStart w:id="87" w:name="_Ref467379094"/>
      <w:bookmarkStart w:id="88" w:name="_Toc259093669"/>
      <w:bookmarkStart w:id="89" w:name="_Ref467379109"/>
      <w:bookmarkStart w:id="90" w:name="_Toc16917"/>
      <w:bookmarkStart w:id="91" w:name="_Ref467378404"/>
      <w:bookmarkStart w:id="92" w:name="_Ref467378499"/>
      <w:bookmarkStart w:id="93" w:name="_Ref467379225"/>
      <w:bookmarkStart w:id="94" w:name="_Ref467379214"/>
      <w:bookmarkStart w:id="95" w:name="_Ref467379101"/>
      <w:bookmarkStart w:id="96" w:name="_Toc28763"/>
      <w:bookmarkStart w:id="97" w:name="_Ref467379195"/>
      <w:bookmarkStart w:id="98" w:name="_Toc487900349"/>
      <w:bookmarkStart w:id="99" w:name="_Toc279701240"/>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 xml:space="preserve"> 定义</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0FA4F80C">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本合同中的下列</w:t>
      </w:r>
      <w:r>
        <w:rPr>
          <w:rFonts w:hint="eastAsia" w:ascii="宋体" w:hAnsi="宋体" w:eastAsia="宋体" w:cs="Times New Roman"/>
          <w:color w:val="auto"/>
          <w:sz w:val="24"/>
          <w:szCs w:val="24"/>
          <w:highlight w:val="none"/>
        </w:rPr>
        <w:t>词</w:t>
      </w:r>
      <w:r>
        <w:rPr>
          <w:rFonts w:ascii="宋体" w:hAnsi="宋体" w:eastAsia="宋体" w:cs="Times New Roman"/>
          <w:color w:val="auto"/>
          <w:sz w:val="24"/>
          <w:szCs w:val="24"/>
          <w:highlight w:val="none"/>
        </w:rPr>
        <w:t>语应</w:t>
      </w:r>
      <w:r>
        <w:rPr>
          <w:rFonts w:hint="eastAsia" w:ascii="宋体" w:hAnsi="宋体" w:eastAsia="宋体" w:cs="Times New Roman"/>
          <w:color w:val="auto"/>
          <w:sz w:val="24"/>
          <w:szCs w:val="24"/>
          <w:highlight w:val="none"/>
        </w:rPr>
        <w:t>按以下内容进行</w:t>
      </w:r>
      <w:r>
        <w:rPr>
          <w:rFonts w:ascii="宋体" w:hAnsi="宋体" w:eastAsia="宋体" w:cs="Times New Roman"/>
          <w:color w:val="auto"/>
          <w:sz w:val="24"/>
          <w:szCs w:val="24"/>
          <w:highlight w:val="none"/>
        </w:rPr>
        <w:t>解释：</w:t>
      </w:r>
    </w:p>
    <w:p w14:paraId="3B31C47C">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“合同”系指采购人和中标人签订的载明双方当事人所达成的协议，并包括所有的附件、附录和构成合同的其他文件。</w:t>
      </w:r>
    </w:p>
    <w:p w14:paraId="17551628">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1.2“合同价”系指根据合同约定，中标人在完全履行合同义务后</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采购人应支付给中标人的价格。</w:t>
      </w:r>
    </w:p>
    <w:p w14:paraId="44EE4A8E">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1.3“</w:t>
      </w:r>
      <w:r>
        <w:rPr>
          <w:rFonts w:hint="eastAsia" w:ascii="宋体" w:hAnsi="宋体" w:eastAsia="宋体" w:cs="Times New Roman"/>
          <w:color w:val="auto"/>
          <w:sz w:val="24"/>
          <w:szCs w:val="24"/>
          <w:highlight w:val="none"/>
        </w:rPr>
        <w:t>服务</w:t>
      </w:r>
      <w:r>
        <w:rPr>
          <w:rFonts w:ascii="宋体" w:hAnsi="宋体" w:eastAsia="宋体" w:cs="Times New Roman"/>
          <w:color w:val="auto"/>
          <w:sz w:val="24"/>
          <w:szCs w:val="24"/>
          <w:highlight w:val="none"/>
        </w:rPr>
        <w:t>”系指</w:t>
      </w:r>
      <w:r>
        <w:rPr>
          <w:rFonts w:hint="eastAsia" w:ascii="宋体" w:hAnsi="宋体" w:eastAsia="宋体" w:cs="Times New Roman"/>
          <w:color w:val="auto"/>
          <w:sz w:val="24"/>
          <w:szCs w:val="24"/>
          <w:highlight w:val="none"/>
        </w:rPr>
        <w:t>中标人</w:t>
      </w:r>
      <w:r>
        <w:rPr>
          <w:rFonts w:ascii="宋体" w:hAnsi="宋体" w:eastAsia="宋体" w:cs="Times New Roman"/>
          <w:color w:val="auto"/>
          <w:sz w:val="24"/>
          <w:szCs w:val="24"/>
          <w:highlight w:val="none"/>
        </w:rPr>
        <w:t>根据合同约定应向采购人</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的</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，包括采购人自身需要的服务和向社会公众提供的公共服务。</w:t>
      </w:r>
    </w:p>
    <w:p w14:paraId="38D2EFE0">
      <w:pPr>
        <w:spacing w:line="360" w:lineRule="auto"/>
        <w:ind w:firstLine="435"/>
        <w:rPr>
          <w:rFonts w:ascii="宋体" w:hAnsi="宋体" w:eastAsia="宋体" w:cs="Times New Roman"/>
          <w:color w:val="auto"/>
          <w:sz w:val="24"/>
          <w:szCs w:val="24"/>
          <w:highlight w:val="none"/>
        </w:rPr>
      </w:pPr>
      <w:bookmarkStart w:id="100" w:name="_Ref467378840"/>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甲方</w:t>
      </w:r>
      <w:r>
        <w:rPr>
          <w:rFonts w:ascii="宋体" w:hAnsi="宋体" w:eastAsia="宋体" w:cs="Times New Roman"/>
          <w:color w:val="auto"/>
          <w:sz w:val="24"/>
          <w:szCs w:val="24"/>
          <w:highlight w:val="none"/>
        </w:rPr>
        <w:t>”系指与</w:t>
      </w:r>
      <w:r>
        <w:rPr>
          <w:rFonts w:hint="eastAsia" w:ascii="宋体" w:hAnsi="宋体" w:eastAsia="宋体" w:cs="Times New Roman"/>
          <w:color w:val="auto"/>
          <w:sz w:val="24"/>
          <w:szCs w:val="24"/>
          <w:highlight w:val="none"/>
        </w:rPr>
        <w:t>中标人</w:t>
      </w:r>
      <w:r>
        <w:rPr>
          <w:rFonts w:ascii="宋体" w:hAnsi="宋体" w:eastAsia="宋体" w:cs="Times New Roman"/>
          <w:color w:val="auto"/>
          <w:sz w:val="24"/>
          <w:szCs w:val="24"/>
          <w:highlight w:val="none"/>
        </w:rPr>
        <w:t>签署合同的采购人</w:t>
      </w:r>
      <w:bookmarkEnd w:id="100"/>
      <w:r>
        <w:rPr>
          <w:rFonts w:hint="eastAsia" w:ascii="宋体" w:hAnsi="宋体" w:eastAsia="宋体" w:cs="Times New Roman"/>
          <w:color w:val="auto"/>
          <w:sz w:val="24"/>
          <w:szCs w:val="24"/>
          <w:highlight w:val="none"/>
        </w:rPr>
        <w:t>；采购人委托采购代理机构代表其与乙方签订合同的，采购人的授权委托书作为合同附件。</w:t>
      </w:r>
    </w:p>
    <w:p w14:paraId="3DAC29CD">
      <w:pPr>
        <w:spacing w:line="360" w:lineRule="auto"/>
        <w:ind w:firstLine="435"/>
        <w:rPr>
          <w:rFonts w:ascii="宋体" w:hAnsi="宋体" w:eastAsia="宋体" w:cs="Times New Roman"/>
          <w:color w:val="auto"/>
          <w:sz w:val="24"/>
          <w:szCs w:val="24"/>
          <w:highlight w:val="none"/>
        </w:rPr>
      </w:pPr>
      <w:bookmarkStart w:id="101" w:name="_Ref467379400"/>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“乙方”系指根据合同约定</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的中标人</w:t>
      </w:r>
      <w:bookmarkEnd w:id="101"/>
      <w:r>
        <w:rPr>
          <w:rFonts w:hint="eastAsia" w:ascii="宋体" w:hAnsi="宋体" w:eastAsia="宋体" w:cs="Times New Roman"/>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A2F2A8B">
      <w:pPr>
        <w:spacing w:line="360" w:lineRule="auto"/>
        <w:ind w:firstLine="435"/>
        <w:rPr>
          <w:rFonts w:ascii="宋体" w:hAnsi="宋体" w:eastAsia="宋体" w:cs="Times New Roman"/>
          <w:color w:val="auto"/>
          <w:sz w:val="24"/>
          <w:szCs w:val="24"/>
          <w:highlight w:val="none"/>
        </w:rPr>
      </w:pPr>
      <w:bookmarkStart w:id="102" w:name="_Ref467379436"/>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“现场”系指合同约定</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的地点。</w:t>
      </w:r>
      <w:bookmarkEnd w:id="102"/>
    </w:p>
    <w:p w14:paraId="16D8C4DF">
      <w:pPr>
        <w:spacing w:line="360" w:lineRule="auto"/>
        <w:ind w:firstLine="437"/>
        <w:outlineLvl w:val="2"/>
        <w:rPr>
          <w:rFonts w:ascii="宋体" w:hAnsi="宋体" w:eastAsia="宋体" w:cs="Times New Roman"/>
          <w:b/>
          <w:bCs/>
          <w:color w:val="auto"/>
          <w:sz w:val="24"/>
          <w:szCs w:val="24"/>
          <w:highlight w:val="none"/>
          <w:lang w:val="zh-CN"/>
        </w:rPr>
      </w:pPr>
      <w:bookmarkStart w:id="103" w:name="_Toc32504"/>
      <w:bookmarkStart w:id="104" w:name="_Toc487900350"/>
      <w:bookmarkStart w:id="105" w:name="_Toc13336"/>
      <w:bookmarkStart w:id="106" w:name="_Toc27635"/>
      <w:bookmarkStart w:id="107" w:name="_Toc259093670"/>
      <w:bookmarkStart w:id="108" w:name="_Toc279701241"/>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2 技术规范</w:t>
      </w:r>
      <w:bookmarkEnd w:id="103"/>
      <w:bookmarkEnd w:id="104"/>
      <w:bookmarkEnd w:id="105"/>
      <w:bookmarkEnd w:id="106"/>
      <w:bookmarkEnd w:id="107"/>
      <w:bookmarkEnd w:id="108"/>
    </w:p>
    <w:p w14:paraId="1D396EE0">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货物所应遵守的技术规范应与采购文件规定的技术规范和技术规范附件(如果有的话)及其技术规范偏差表(如果被甲方接受的话)相一致</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如果采购文件中没有技术规范的相应说明，那么应以国家有关部门最新颁布的相应标准</w:t>
      </w:r>
      <w:r>
        <w:rPr>
          <w:rFonts w:hint="eastAsia" w:ascii="宋体" w:hAnsi="宋体" w:eastAsia="宋体" w:cs="Times New Roman"/>
          <w:color w:val="auto"/>
          <w:sz w:val="24"/>
          <w:szCs w:val="24"/>
          <w:highlight w:val="none"/>
        </w:rPr>
        <w:t>和</w:t>
      </w:r>
      <w:r>
        <w:rPr>
          <w:rFonts w:ascii="宋体" w:hAnsi="宋体" w:eastAsia="宋体" w:cs="Times New Roman"/>
          <w:color w:val="auto"/>
          <w:sz w:val="24"/>
          <w:szCs w:val="24"/>
          <w:highlight w:val="none"/>
        </w:rPr>
        <w:t>规范为准。</w:t>
      </w:r>
    </w:p>
    <w:p w14:paraId="553E1A11">
      <w:pPr>
        <w:spacing w:line="360" w:lineRule="auto"/>
        <w:ind w:firstLine="437"/>
        <w:outlineLvl w:val="2"/>
        <w:rPr>
          <w:rFonts w:ascii="宋体" w:hAnsi="宋体" w:eastAsia="宋体" w:cs="Times New Roman"/>
          <w:b/>
          <w:bCs/>
          <w:color w:val="auto"/>
          <w:sz w:val="24"/>
          <w:szCs w:val="24"/>
          <w:highlight w:val="none"/>
          <w:lang w:val="zh-CN"/>
        </w:rPr>
      </w:pPr>
      <w:bookmarkStart w:id="109" w:name="_Toc279701242"/>
      <w:bookmarkStart w:id="110" w:name="_Toc31634"/>
      <w:bookmarkStart w:id="111" w:name="_Toc27853"/>
      <w:bookmarkStart w:id="112" w:name="_Toc9829"/>
      <w:bookmarkStart w:id="113" w:name="_Toc259093671"/>
      <w:bookmarkStart w:id="114" w:name="_Toc487900351"/>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3 知识产权</w:t>
      </w:r>
      <w:bookmarkEnd w:id="109"/>
      <w:bookmarkEnd w:id="110"/>
      <w:bookmarkEnd w:id="111"/>
      <w:bookmarkEnd w:id="112"/>
      <w:bookmarkEnd w:id="113"/>
      <w:bookmarkEnd w:id="114"/>
    </w:p>
    <w:p w14:paraId="29B86852">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2.3.1乙</w:t>
      </w:r>
      <w:r>
        <w:rPr>
          <w:rFonts w:ascii="宋体" w:hAnsi="宋体" w:eastAsia="宋体" w:cs="Times New Roman"/>
          <w:color w:val="auto"/>
          <w:sz w:val="24"/>
          <w:szCs w:val="24"/>
          <w:highlight w:val="none"/>
        </w:rPr>
        <w:t>方应保证</w:t>
      </w:r>
      <w:r>
        <w:rPr>
          <w:rFonts w:hint="eastAsia" w:ascii="宋体" w:hAnsi="宋体" w:eastAsia="宋体" w:cs="Times New Roman"/>
          <w:color w:val="auto"/>
          <w:sz w:val="24"/>
          <w:szCs w:val="24"/>
          <w:highlight w:val="none"/>
        </w:rPr>
        <w:t>其提供的服务</w:t>
      </w:r>
      <w:r>
        <w:rPr>
          <w:rFonts w:ascii="宋体" w:hAnsi="宋体" w:eastAsia="宋体" w:cs="Times New Roman"/>
          <w:color w:val="auto"/>
          <w:sz w:val="24"/>
          <w:szCs w:val="24"/>
          <w:highlight w:val="none"/>
        </w:rPr>
        <w:t>不受任何第三方提出的侵犯其著作权、商标权、专利权等知识产权方面的起诉</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如果任何第三方提出侵权</w:t>
      </w:r>
      <w:r>
        <w:rPr>
          <w:rFonts w:hint="eastAsia" w:ascii="宋体" w:hAnsi="宋体" w:eastAsia="宋体" w:cs="Times New Roman"/>
          <w:color w:val="auto"/>
          <w:sz w:val="24"/>
          <w:szCs w:val="24"/>
          <w:highlight w:val="none"/>
        </w:rPr>
        <w:t>指控</w:t>
      </w:r>
      <w:r>
        <w:rPr>
          <w:rFonts w:ascii="宋体" w:hAnsi="宋体" w:eastAsia="宋体" w:cs="Times New Roman"/>
          <w:color w:val="auto"/>
          <w:sz w:val="24"/>
          <w:szCs w:val="24"/>
          <w:highlight w:val="none"/>
        </w:rPr>
        <w:t>，那么乙方须与该第三方交涉并承担由此发生的一切责任、费用和赔偿</w:t>
      </w:r>
      <w:r>
        <w:rPr>
          <w:rFonts w:hint="eastAsia" w:ascii="宋体" w:hAnsi="宋体" w:eastAsia="宋体" w:cs="Times New Roman"/>
          <w:color w:val="auto"/>
          <w:sz w:val="24"/>
          <w:szCs w:val="24"/>
          <w:highlight w:val="none"/>
        </w:rPr>
        <w:t>；</w:t>
      </w:r>
    </w:p>
    <w:p w14:paraId="3FA9082E">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2.3.2具有知识产权的计算机软件等货物的知识产权归属，</w:t>
      </w:r>
      <w:r>
        <w:rPr>
          <w:rFonts w:ascii="宋体" w:hAnsi="宋体" w:eastAsia="宋体" w:cs="Times New Roman"/>
          <w:color w:val="auto"/>
          <w:sz w:val="24"/>
          <w:szCs w:val="24"/>
          <w:highlight w:val="none"/>
        </w:rPr>
        <w:t>详见</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w:t>
      </w:r>
    </w:p>
    <w:p w14:paraId="3D419663">
      <w:pPr>
        <w:spacing w:line="360" w:lineRule="auto"/>
        <w:ind w:firstLine="437"/>
        <w:outlineLvl w:val="2"/>
        <w:rPr>
          <w:rFonts w:ascii="宋体" w:hAnsi="宋体" w:eastAsia="宋体" w:cs="Times New Roman"/>
          <w:b/>
          <w:bCs/>
          <w:color w:val="auto"/>
          <w:sz w:val="24"/>
          <w:szCs w:val="24"/>
          <w:highlight w:val="none"/>
          <w:lang w:val="zh-CN"/>
        </w:rPr>
      </w:pPr>
      <w:bookmarkStart w:id="115" w:name="_Ref467378541"/>
      <w:bookmarkStart w:id="116" w:name="_Ref467379536"/>
      <w:bookmarkStart w:id="117" w:name="_Ref467379542"/>
      <w:bookmarkStart w:id="118" w:name="_Ref467379527"/>
      <w:bookmarkStart w:id="119" w:name="_Toc259093674"/>
      <w:bookmarkStart w:id="120" w:name="_Ref467378591"/>
      <w:bookmarkStart w:id="121" w:name="_Toc487900354"/>
      <w:bookmarkStart w:id="122" w:name="_Toc279701245"/>
      <w:bookmarkStart w:id="123" w:name="_Toc30272"/>
      <w:bookmarkStart w:id="124" w:name="_Toc26182"/>
      <w:bookmarkStart w:id="125" w:name="_Toc19074"/>
      <w:r>
        <w:rPr>
          <w:rFonts w:hint="eastAsia" w:ascii="宋体" w:hAnsi="宋体" w:eastAsia="宋体" w:cs="Times New Roman"/>
          <w:b/>
          <w:bCs/>
          <w:color w:val="auto"/>
          <w:sz w:val="24"/>
          <w:szCs w:val="24"/>
          <w:highlight w:val="none"/>
          <w:lang w:val="zh-CN"/>
        </w:rPr>
        <w:t>2.</w:t>
      </w:r>
      <w:bookmarkEnd w:id="115"/>
      <w:bookmarkEnd w:id="116"/>
      <w:bookmarkEnd w:id="117"/>
      <w:bookmarkEnd w:id="118"/>
      <w:bookmarkEnd w:id="119"/>
      <w:bookmarkEnd w:id="120"/>
      <w:bookmarkEnd w:id="121"/>
      <w:bookmarkEnd w:id="122"/>
      <w:r>
        <w:rPr>
          <w:rFonts w:ascii="宋体" w:hAnsi="宋体" w:eastAsia="宋体" w:cs="Times New Roman"/>
          <w:b/>
          <w:bCs/>
          <w:color w:val="auto"/>
          <w:sz w:val="24"/>
          <w:szCs w:val="24"/>
          <w:highlight w:val="none"/>
          <w:lang w:val="zh-CN"/>
        </w:rPr>
        <w:t xml:space="preserve">4 </w:t>
      </w:r>
      <w:r>
        <w:rPr>
          <w:rFonts w:hint="eastAsia" w:ascii="宋体" w:hAnsi="宋体" w:eastAsia="宋体" w:cs="Times New Roman"/>
          <w:b/>
          <w:bCs/>
          <w:color w:val="auto"/>
          <w:sz w:val="24"/>
          <w:szCs w:val="24"/>
          <w:highlight w:val="none"/>
          <w:lang w:val="zh-CN"/>
        </w:rPr>
        <w:t>履约检查和问题反馈</w:t>
      </w:r>
      <w:bookmarkEnd w:id="123"/>
      <w:bookmarkEnd w:id="124"/>
      <w:bookmarkEnd w:id="125"/>
    </w:p>
    <w:p w14:paraId="176C8F53">
      <w:pPr>
        <w:spacing w:line="360" w:lineRule="auto"/>
        <w:ind w:firstLine="435"/>
        <w:rPr>
          <w:rFonts w:ascii="宋体" w:hAnsi="宋体" w:eastAsia="宋体" w:cs="Times New Roman"/>
          <w:color w:val="auto"/>
          <w:sz w:val="24"/>
          <w:szCs w:val="24"/>
          <w:highlight w:val="none"/>
        </w:rPr>
      </w:pPr>
      <w:bookmarkStart w:id="126" w:name="_Toc186431854"/>
      <w:bookmarkStart w:id="127" w:name="_Toc259093676"/>
      <w:bookmarkStart w:id="128" w:name="_Toc279701247"/>
      <w:bookmarkStart w:id="129" w:name="_Toc487900357"/>
      <w:bookmarkStart w:id="130" w:name="_Ref467379807"/>
      <w:bookmarkStart w:id="131" w:name="_Ref467379793"/>
      <w:r>
        <w:rPr>
          <w:rFonts w:hint="eastAsia" w:ascii="宋体" w:hAnsi="宋体" w:eastAsia="宋体" w:cs="Times New Roman"/>
          <w:color w:val="auto"/>
          <w:sz w:val="24"/>
          <w:szCs w:val="24"/>
          <w:highlight w:val="none"/>
        </w:rPr>
        <w:t>2.4</w:t>
      </w:r>
      <w:r>
        <w:rPr>
          <w:rFonts w:ascii="宋体" w:hAnsi="宋体" w:eastAsia="宋体" w:cs="Times New Roman"/>
          <w:color w:val="auto"/>
          <w:sz w:val="24"/>
          <w:szCs w:val="24"/>
          <w:highlight w:val="none"/>
        </w:rPr>
        <w:t>.1甲方</w:t>
      </w:r>
      <w:r>
        <w:rPr>
          <w:rFonts w:hint="eastAsia" w:ascii="宋体" w:hAnsi="宋体" w:eastAsia="宋体" w:cs="Times New Roman"/>
          <w:color w:val="auto"/>
          <w:sz w:val="24"/>
          <w:szCs w:val="24"/>
          <w:highlight w:val="none"/>
        </w:rPr>
        <w:t>有权</w:t>
      </w:r>
      <w:r>
        <w:rPr>
          <w:rFonts w:ascii="宋体" w:hAnsi="宋体" w:eastAsia="宋体" w:cs="Times New Roman"/>
          <w:color w:val="auto"/>
          <w:sz w:val="24"/>
          <w:szCs w:val="24"/>
          <w:highlight w:val="none"/>
        </w:rPr>
        <w:t>在其认为必要时</w:t>
      </w:r>
      <w:r>
        <w:rPr>
          <w:rFonts w:hint="eastAsia" w:ascii="宋体" w:hAnsi="宋体" w:eastAsia="宋体" w:cs="Times New Roman"/>
          <w:color w:val="auto"/>
          <w:sz w:val="24"/>
          <w:szCs w:val="24"/>
          <w:highlight w:val="none"/>
        </w:rPr>
        <w:t>，对乙方是否能够按照合同约定提供服务进行履约检查，以确保乙方所提供的服务能够依约满足甲方项目需求，但不得因履约检查妨碍乙方的正常工作，乙方应予积极配合；</w:t>
      </w:r>
    </w:p>
    <w:p w14:paraId="5791523A">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.2合同履行期间，甲方有权将履行过程中出现的问题反馈给乙方，双方当事人应以书面形式约定需要完善和改进的内容</w:t>
      </w:r>
      <w:bookmarkEnd w:id="126"/>
      <w:bookmarkStart w:id="132" w:name="_Toc186431855"/>
      <w:r>
        <w:rPr>
          <w:rFonts w:hint="eastAsia" w:ascii="宋体" w:hAnsi="宋体" w:eastAsia="宋体" w:cs="Times New Roman"/>
          <w:color w:val="auto"/>
          <w:sz w:val="24"/>
          <w:szCs w:val="24"/>
          <w:highlight w:val="none"/>
        </w:rPr>
        <w:t>。</w:t>
      </w:r>
    </w:p>
    <w:bookmarkEnd w:id="132"/>
    <w:p w14:paraId="41A555CD">
      <w:pPr>
        <w:spacing w:line="360" w:lineRule="auto"/>
        <w:ind w:firstLine="437"/>
        <w:outlineLvl w:val="2"/>
        <w:rPr>
          <w:rFonts w:ascii="宋体" w:hAnsi="宋体" w:eastAsia="宋体" w:cs="Times New Roman"/>
          <w:b/>
          <w:bCs/>
          <w:color w:val="auto"/>
          <w:sz w:val="24"/>
          <w:szCs w:val="24"/>
          <w:highlight w:val="none"/>
          <w:lang w:val="zh-CN"/>
        </w:rPr>
      </w:pPr>
      <w:bookmarkStart w:id="133" w:name="_Toc28451"/>
      <w:bookmarkStart w:id="134" w:name="_Toc19219"/>
      <w:bookmarkStart w:id="135" w:name="_Toc7836"/>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5</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结算方式和付款条件</w:t>
      </w:r>
      <w:bookmarkEnd w:id="127"/>
      <w:bookmarkEnd w:id="128"/>
      <w:bookmarkEnd w:id="129"/>
      <w:bookmarkEnd w:id="130"/>
      <w:bookmarkEnd w:id="131"/>
      <w:bookmarkEnd w:id="133"/>
      <w:bookmarkEnd w:id="134"/>
      <w:bookmarkEnd w:id="135"/>
    </w:p>
    <w:p w14:paraId="15CC14FB">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详见</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w:t>
      </w:r>
    </w:p>
    <w:p w14:paraId="5C2FD435">
      <w:pPr>
        <w:spacing w:line="360" w:lineRule="auto"/>
        <w:ind w:firstLine="437"/>
        <w:outlineLvl w:val="2"/>
        <w:rPr>
          <w:rFonts w:ascii="宋体" w:hAnsi="宋体" w:eastAsia="宋体" w:cs="Times New Roman"/>
          <w:b/>
          <w:bCs/>
          <w:color w:val="auto"/>
          <w:sz w:val="24"/>
          <w:szCs w:val="24"/>
          <w:highlight w:val="none"/>
          <w:lang w:val="zh-CN"/>
        </w:rPr>
      </w:pPr>
      <w:bookmarkStart w:id="136" w:name="_Toc279701248"/>
      <w:bookmarkStart w:id="137" w:name="_Toc487900358"/>
      <w:bookmarkStart w:id="138" w:name="_Toc259093677"/>
      <w:bookmarkStart w:id="139" w:name="_Ref467379863"/>
      <w:bookmarkStart w:id="140" w:name="_Ref467379852"/>
      <w:bookmarkStart w:id="141" w:name="_Ref467379923"/>
      <w:bookmarkStart w:id="142" w:name="_Toc3225"/>
      <w:bookmarkStart w:id="143" w:name="_Toc774"/>
      <w:bookmarkStart w:id="144" w:name="_Toc16110"/>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6</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技术资料</w:t>
      </w:r>
      <w:bookmarkEnd w:id="136"/>
      <w:bookmarkEnd w:id="137"/>
      <w:bookmarkEnd w:id="138"/>
      <w:bookmarkEnd w:id="139"/>
      <w:bookmarkEnd w:id="140"/>
      <w:bookmarkEnd w:id="141"/>
      <w:r>
        <w:rPr>
          <w:rFonts w:ascii="宋体" w:hAnsi="宋体" w:eastAsia="宋体" w:cs="Times New Roman"/>
          <w:b/>
          <w:bCs/>
          <w:color w:val="auto"/>
          <w:sz w:val="24"/>
          <w:szCs w:val="24"/>
          <w:highlight w:val="none"/>
          <w:lang w:val="zh-CN"/>
        </w:rPr>
        <w:t>和保密义务</w:t>
      </w:r>
      <w:bookmarkEnd w:id="142"/>
      <w:bookmarkEnd w:id="143"/>
      <w:bookmarkEnd w:id="144"/>
    </w:p>
    <w:p w14:paraId="1BBD7BF3">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乙方有权依据合同约定和项目需要，向甲方了解有关情况，调阅有关资料等，甲方应予积极配合；</w:t>
      </w:r>
    </w:p>
    <w:p w14:paraId="634B3905">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6</w:t>
      </w:r>
      <w:r>
        <w:rPr>
          <w:rFonts w:hint="eastAsia" w:ascii="宋体" w:hAnsi="宋体" w:eastAsia="宋体" w:cs="Times New Roman"/>
          <w:color w:val="auto"/>
          <w:sz w:val="24"/>
          <w:szCs w:val="24"/>
          <w:highlight w:val="none"/>
        </w:rPr>
        <w:t>.2乙方有义务妥善保管和保护由甲方提供的前款信息和资料等；</w:t>
      </w:r>
    </w:p>
    <w:p w14:paraId="460EDE1C">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6.</w:t>
      </w:r>
      <w:r>
        <w:rPr>
          <w:rFonts w:hint="eastAsia" w:ascii="宋体" w:hAnsi="宋体" w:eastAsia="宋体" w:cs="Times New Roman"/>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Times New Roman"/>
          <w:color w:val="auto"/>
          <w:sz w:val="24"/>
          <w:szCs w:val="24"/>
          <w:highlight w:val="none"/>
        </w:rPr>
        <w:t>技术情报</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技术资料</w:t>
      </w:r>
      <w:r>
        <w:rPr>
          <w:rFonts w:hint="eastAsia" w:ascii="宋体" w:hAnsi="宋体" w:eastAsia="宋体" w:cs="Times New Roman"/>
          <w:color w:val="auto"/>
          <w:sz w:val="24"/>
          <w:szCs w:val="24"/>
          <w:highlight w:val="none"/>
        </w:rPr>
        <w:t>、商业秘密和商业信息等，并采取一切合理和必要措施和方式防止任何第三方接触到对方当事人的上述保密信息和资料。</w:t>
      </w:r>
    </w:p>
    <w:p w14:paraId="00315956">
      <w:pPr>
        <w:spacing w:line="360" w:lineRule="auto"/>
        <w:ind w:firstLine="437"/>
        <w:outlineLvl w:val="2"/>
        <w:rPr>
          <w:rFonts w:ascii="宋体" w:hAnsi="宋体" w:eastAsia="宋体" w:cs="Times New Roman"/>
          <w:b/>
          <w:bCs/>
          <w:color w:val="auto"/>
          <w:sz w:val="24"/>
          <w:szCs w:val="24"/>
          <w:highlight w:val="none"/>
          <w:lang w:val="zh-CN"/>
        </w:rPr>
      </w:pPr>
      <w:bookmarkStart w:id="145" w:name="_Toc7860"/>
      <w:r>
        <w:rPr>
          <w:rFonts w:ascii="宋体" w:hAnsi="宋体" w:eastAsia="宋体" w:cs="Times New Roman"/>
          <w:b/>
          <w:bCs/>
          <w:color w:val="auto"/>
          <w:sz w:val="24"/>
          <w:szCs w:val="24"/>
          <w:highlight w:val="none"/>
          <w:lang w:val="zh-CN"/>
        </w:rPr>
        <w:t>2.7 质量保证</w:t>
      </w:r>
      <w:bookmarkEnd w:id="145"/>
    </w:p>
    <w:p w14:paraId="7D383586">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rPr>
        <w:t>.1乙方应建立和完善履行合同的内部质量保证体系，并提供相关内部规章制度给甲方，以便甲方进行监督检查；</w:t>
      </w:r>
    </w:p>
    <w:p w14:paraId="32D032E8">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rPr>
        <w:t>.2乙方应保证履行合同的人员数量和素质、软件和硬件设备的配置、场地、环境和设施等满足全面履行合同的要求，并应接受甲方的监督检查。</w:t>
      </w:r>
    </w:p>
    <w:p w14:paraId="3A0808A1">
      <w:pPr>
        <w:spacing w:line="360" w:lineRule="auto"/>
        <w:ind w:firstLine="437"/>
        <w:outlineLvl w:val="2"/>
        <w:rPr>
          <w:rFonts w:ascii="宋体" w:hAnsi="宋体" w:eastAsia="宋体" w:cs="Times New Roman"/>
          <w:b/>
          <w:color w:val="auto"/>
          <w:sz w:val="24"/>
          <w:szCs w:val="24"/>
          <w:highlight w:val="none"/>
        </w:rPr>
      </w:pPr>
      <w:bookmarkStart w:id="146" w:name="_Toc22267"/>
      <w:r>
        <w:rPr>
          <w:rFonts w:hint="eastAsia" w:ascii="宋体" w:hAnsi="宋体" w:eastAsia="宋体" w:cs="Times New Roman"/>
          <w:b/>
          <w:color w:val="auto"/>
          <w:sz w:val="24"/>
          <w:szCs w:val="24"/>
          <w:highlight w:val="none"/>
        </w:rPr>
        <w:t>2.8 延迟履行</w:t>
      </w:r>
      <w:bookmarkEnd w:id="146"/>
    </w:p>
    <w:p w14:paraId="54DC347B">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在合同履行过程中，如果乙方遇到不能按时</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的情况，应及时以书面形式将不能按时</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的理由、预期延误时间通知甲方</w:t>
      </w:r>
      <w:r>
        <w:rPr>
          <w:rFonts w:hint="eastAsia" w:ascii="宋体" w:hAnsi="宋体" w:eastAsia="宋体" w:cs="Times New Roman"/>
          <w:color w:val="auto"/>
          <w:sz w:val="24"/>
          <w:szCs w:val="24"/>
          <w:highlight w:val="none"/>
        </w:rPr>
        <w:t>；甲</w:t>
      </w:r>
      <w:r>
        <w:rPr>
          <w:rFonts w:ascii="宋体" w:hAnsi="宋体" w:eastAsia="宋体" w:cs="Times New Roman"/>
          <w:color w:val="auto"/>
          <w:sz w:val="24"/>
          <w:szCs w:val="24"/>
          <w:highlight w:val="none"/>
        </w:rPr>
        <w:t>方收到乙方通知后，认为其理由正当的，可以书面形式酌情同意乙方可以延长</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的具体时间。</w:t>
      </w:r>
    </w:p>
    <w:p w14:paraId="11745FE6">
      <w:pPr>
        <w:spacing w:line="360" w:lineRule="auto"/>
        <w:ind w:firstLine="437"/>
        <w:outlineLvl w:val="2"/>
        <w:rPr>
          <w:rFonts w:ascii="宋体" w:hAnsi="宋体" w:eastAsia="宋体" w:cs="Times New Roman"/>
          <w:b/>
          <w:bCs/>
          <w:color w:val="auto"/>
          <w:sz w:val="24"/>
          <w:szCs w:val="24"/>
          <w:highlight w:val="none"/>
          <w:lang w:val="zh-CN"/>
        </w:rPr>
      </w:pPr>
      <w:bookmarkStart w:id="147" w:name="_Toc7502"/>
      <w:bookmarkStart w:id="148" w:name="_Toc487900364"/>
      <w:bookmarkStart w:id="149" w:name="_Toc279701254"/>
      <w:bookmarkStart w:id="150" w:name="_Ref467378121"/>
      <w:bookmarkStart w:id="151" w:name="_Toc259093683"/>
      <w:r>
        <w:rPr>
          <w:rFonts w:ascii="宋体" w:hAnsi="宋体" w:eastAsia="宋体" w:cs="Times New Roman"/>
          <w:b/>
          <w:bCs/>
          <w:color w:val="auto"/>
          <w:sz w:val="24"/>
          <w:szCs w:val="24"/>
          <w:highlight w:val="none"/>
          <w:lang w:val="zh-CN"/>
        </w:rPr>
        <w:t>2.9 合同变更</w:t>
      </w:r>
      <w:bookmarkEnd w:id="147"/>
    </w:p>
    <w:p w14:paraId="2AB88EA1">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.1双方当事人协商一致，可以签订书面补充合同的形式变更合同，但不得违背采购文件确定的事项；</w:t>
      </w:r>
    </w:p>
    <w:p w14:paraId="304570A2">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.2合同继续履行将损害国家利益和社会公共利益的，双方当事人应当以书面形式变更合同。有过错的一方应当承担赔偿责任，双方当事人都有过错的，各自承担相应的责任。</w:t>
      </w:r>
      <w:bookmarkStart w:id="152" w:name="_Toc279701259"/>
      <w:bookmarkStart w:id="153" w:name="_Toc259093688"/>
      <w:bookmarkStart w:id="154" w:name="_Toc487900369"/>
    </w:p>
    <w:p w14:paraId="490D8B83">
      <w:pPr>
        <w:spacing w:line="360" w:lineRule="auto"/>
        <w:ind w:firstLine="437"/>
        <w:outlineLvl w:val="2"/>
        <w:rPr>
          <w:rFonts w:ascii="宋体" w:hAnsi="宋体" w:eastAsia="宋体" w:cs="Times New Roman"/>
          <w:b/>
          <w:bCs/>
          <w:color w:val="auto"/>
          <w:sz w:val="24"/>
          <w:szCs w:val="24"/>
          <w:highlight w:val="none"/>
          <w:lang w:val="zh-CN"/>
        </w:rPr>
      </w:pPr>
      <w:bookmarkStart w:id="155" w:name="_Toc15237"/>
      <w:bookmarkStart w:id="156" w:name="_Toc10366"/>
      <w:bookmarkStart w:id="157" w:name="_Toc22955"/>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0</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合同转让</w:t>
      </w:r>
      <w:bookmarkEnd w:id="152"/>
      <w:bookmarkEnd w:id="153"/>
      <w:bookmarkEnd w:id="154"/>
      <w:r>
        <w:rPr>
          <w:rFonts w:ascii="宋体" w:hAnsi="宋体" w:eastAsia="宋体" w:cs="Times New Roman"/>
          <w:b/>
          <w:bCs/>
          <w:color w:val="auto"/>
          <w:sz w:val="24"/>
          <w:szCs w:val="24"/>
          <w:highlight w:val="none"/>
          <w:lang w:val="zh-CN"/>
        </w:rPr>
        <w:t>和分包</w:t>
      </w:r>
      <w:bookmarkEnd w:id="155"/>
      <w:bookmarkEnd w:id="156"/>
      <w:bookmarkEnd w:id="157"/>
    </w:p>
    <w:p w14:paraId="348BB4B4">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合同的权利义务依法不</w:t>
      </w:r>
      <w:r>
        <w:rPr>
          <w:rFonts w:hint="eastAsia" w:ascii="宋体" w:hAnsi="宋体" w:eastAsia="宋体" w:cs="Times New Roman"/>
          <w:color w:val="auto"/>
          <w:sz w:val="24"/>
          <w:szCs w:val="24"/>
          <w:highlight w:val="none"/>
        </w:rPr>
        <w:t>得</w:t>
      </w:r>
      <w:r>
        <w:rPr>
          <w:rFonts w:ascii="宋体" w:hAnsi="宋体" w:eastAsia="宋体" w:cs="Times New Roman"/>
          <w:color w:val="auto"/>
          <w:sz w:val="24"/>
          <w:szCs w:val="24"/>
          <w:highlight w:val="none"/>
        </w:rPr>
        <w:t>转让</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但经甲方</w:t>
      </w:r>
      <w:r>
        <w:rPr>
          <w:rFonts w:hint="eastAsia" w:ascii="宋体" w:hAnsi="宋体" w:eastAsia="宋体" w:cs="Times New Roman"/>
          <w:color w:val="auto"/>
          <w:sz w:val="24"/>
          <w:szCs w:val="24"/>
          <w:highlight w:val="none"/>
        </w:rPr>
        <w:t>同意，乙方可以依法采取分包方式履行合同，即：依法可以</w:t>
      </w:r>
      <w:r>
        <w:rPr>
          <w:rFonts w:ascii="宋体" w:hAnsi="宋体" w:eastAsia="宋体" w:cs="Times New Roman"/>
          <w:color w:val="auto"/>
          <w:sz w:val="24"/>
          <w:szCs w:val="24"/>
          <w:highlight w:val="none"/>
        </w:rPr>
        <w:t>将合同项下的部分非主体、非关键性工作分包给他人完成</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接受分包的人应当具备相应的资格条件，并不得再次分包</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且乙方应就分包项目向甲方负责</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并</w:t>
      </w:r>
      <w:r>
        <w:rPr>
          <w:rFonts w:hint="eastAsia" w:ascii="宋体" w:hAnsi="宋体" w:eastAsia="宋体" w:cs="Times New Roman"/>
          <w:color w:val="auto"/>
          <w:sz w:val="24"/>
          <w:szCs w:val="24"/>
          <w:highlight w:val="none"/>
        </w:rPr>
        <w:t>与分包供应商就分包项目向甲方承担连带责任。</w:t>
      </w:r>
    </w:p>
    <w:p w14:paraId="1D16429A">
      <w:pPr>
        <w:spacing w:line="360" w:lineRule="auto"/>
        <w:ind w:firstLine="437"/>
        <w:outlineLvl w:val="2"/>
        <w:rPr>
          <w:rFonts w:ascii="宋体" w:hAnsi="宋体" w:eastAsia="宋体" w:cs="Times New Roman"/>
          <w:b/>
          <w:bCs/>
          <w:color w:val="auto"/>
          <w:sz w:val="24"/>
          <w:szCs w:val="24"/>
          <w:highlight w:val="none"/>
          <w:lang w:val="zh-CN"/>
        </w:rPr>
      </w:pPr>
      <w:bookmarkStart w:id="158" w:name="_Toc13566"/>
      <w:bookmarkStart w:id="159" w:name="_Toc14066"/>
      <w:bookmarkStart w:id="160" w:name="_Toc16508"/>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1 不可抗力</w:t>
      </w:r>
      <w:bookmarkEnd w:id="158"/>
      <w:bookmarkEnd w:id="159"/>
      <w:bookmarkEnd w:id="160"/>
    </w:p>
    <w:p w14:paraId="60638960">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1.1如果任何一方遭遇法律规定的不可抗力，致使合同履行受阻时，履行合同的期限应予延长，延长的期限应相当于不可抗力所影响的时间</w:t>
      </w:r>
      <w:r>
        <w:rPr>
          <w:rFonts w:hint="eastAsia" w:ascii="宋体" w:hAnsi="宋体" w:eastAsia="宋体" w:cs="Times New Roman"/>
          <w:color w:val="auto"/>
          <w:sz w:val="24"/>
          <w:szCs w:val="24"/>
          <w:highlight w:val="none"/>
        </w:rPr>
        <w:t>；</w:t>
      </w:r>
    </w:p>
    <w:p w14:paraId="7B6DA0C3">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.2因不可抗力致使不能实现合同目的的，当事人可以解除合同；</w:t>
      </w:r>
    </w:p>
    <w:p w14:paraId="0F43EE39">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.3因</w:t>
      </w:r>
      <w:r>
        <w:rPr>
          <w:rFonts w:ascii="宋体" w:hAnsi="宋体" w:eastAsia="宋体" w:cs="Times New Roman"/>
          <w:color w:val="auto"/>
          <w:sz w:val="24"/>
          <w:szCs w:val="24"/>
          <w:highlight w:val="none"/>
        </w:rPr>
        <w:t>不可抗力致使合同有变更必要的，双方当事人应在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约定时间内以书面形式变更合同</w:t>
      </w:r>
      <w:r>
        <w:rPr>
          <w:rFonts w:hint="eastAsia" w:ascii="宋体" w:hAnsi="宋体" w:eastAsia="宋体" w:cs="Times New Roman"/>
          <w:color w:val="auto"/>
          <w:sz w:val="24"/>
          <w:szCs w:val="24"/>
          <w:highlight w:val="none"/>
        </w:rPr>
        <w:t>；</w:t>
      </w:r>
    </w:p>
    <w:p w14:paraId="387E2FCD">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受</w:t>
      </w:r>
      <w:r>
        <w:rPr>
          <w:rFonts w:hint="eastAsia" w:ascii="宋体" w:hAnsi="宋体" w:eastAsia="宋体" w:cs="Times New Roman"/>
          <w:color w:val="auto"/>
          <w:sz w:val="24"/>
          <w:szCs w:val="24"/>
          <w:highlight w:val="none"/>
        </w:rPr>
        <w:t>不可抗力</w:t>
      </w:r>
      <w:r>
        <w:rPr>
          <w:rFonts w:ascii="宋体" w:hAnsi="宋体" w:eastAsia="宋体" w:cs="Times New Roman"/>
          <w:color w:val="auto"/>
          <w:sz w:val="24"/>
          <w:szCs w:val="24"/>
          <w:highlight w:val="none"/>
        </w:rPr>
        <w:t>影响的一方在不可抗力发生后</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应在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约定时间内以书面形式通知</w:t>
      </w:r>
      <w:r>
        <w:rPr>
          <w:rFonts w:hint="eastAsia" w:ascii="宋体" w:hAnsi="宋体" w:eastAsia="宋体" w:cs="Times New Roman"/>
          <w:color w:val="auto"/>
          <w:sz w:val="24"/>
          <w:szCs w:val="24"/>
          <w:highlight w:val="none"/>
        </w:rPr>
        <w:t>对</w:t>
      </w:r>
      <w:r>
        <w:rPr>
          <w:rFonts w:ascii="宋体" w:hAnsi="宋体" w:eastAsia="宋体" w:cs="Times New Roman"/>
          <w:color w:val="auto"/>
          <w:sz w:val="24"/>
          <w:szCs w:val="24"/>
          <w:highlight w:val="none"/>
        </w:rPr>
        <w:t>方当事人，并在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约定时间内，将有关部门出具的证明文件送达</w:t>
      </w:r>
      <w:r>
        <w:rPr>
          <w:rFonts w:hint="eastAsia" w:ascii="宋体" w:hAnsi="宋体" w:eastAsia="宋体" w:cs="Times New Roman"/>
          <w:color w:val="auto"/>
          <w:sz w:val="24"/>
          <w:szCs w:val="24"/>
          <w:highlight w:val="none"/>
        </w:rPr>
        <w:t>对方当事人</w:t>
      </w:r>
      <w:r>
        <w:rPr>
          <w:rFonts w:ascii="宋体" w:hAnsi="宋体" w:eastAsia="宋体" w:cs="Times New Roman"/>
          <w:color w:val="auto"/>
          <w:sz w:val="24"/>
          <w:szCs w:val="24"/>
          <w:highlight w:val="none"/>
        </w:rPr>
        <w:t>。</w:t>
      </w:r>
    </w:p>
    <w:p w14:paraId="7C917B18">
      <w:pPr>
        <w:spacing w:line="360" w:lineRule="auto"/>
        <w:ind w:firstLine="437"/>
        <w:outlineLvl w:val="2"/>
        <w:rPr>
          <w:rFonts w:ascii="宋体" w:hAnsi="宋体" w:eastAsia="宋体" w:cs="Times New Roman"/>
          <w:b/>
          <w:bCs/>
          <w:color w:val="auto"/>
          <w:sz w:val="24"/>
          <w:szCs w:val="24"/>
          <w:highlight w:val="none"/>
          <w:lang w:val="zh-CN"/>
        </w:rPr>
      </w:pPr>
      <w:bookmarkStart w:id="161" w:name="_Toc6969"/>
      <w:bookmarkStart w:id="162" w:name="_Toc259093684"/>
      <w:bookmarkStart w:id="163" w:name="_Toc279701255"/>
      <w:bookmarkStart w:id="164" w:name="_Toc487900365"/>
      <w:bookmarkStart w:id="165" w:name="_Toc30676"/>
      <w:bookmarkStart w:id="166" w:name="_Toc689"/>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12</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税费</w:t>
      </w:r>
      <w:bookmarkEnd w:id="161"/>
      <w:bookmarkEnd w:id="162"/>
      <w:bookmarkEnd w:id="163"/>
      <w:bookmarkEnd w:id="164"/>
      <w:bookmarkEnd w:id="165"/>
      <w:bookmarkEnd w:id="166"/>
    </w:p>
    <w:p w14:paraId="6A321EA9">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与合同有关的一切税费</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均按照中华人民共和国法律的相关规定</w:t>
      </w:r>
      <w:r>
        <w:rPr>
          <w:rFonts w:hint="eastAsia" w:ascii="宋体" w:hAnsi="宋体" w:eastAsia="宋体" w:cs="Times New Roman"/>
          <w:color w:val="auto"/>
          <w:sz w:val="24"/>
          <w:szCs w:val="24"/>
          <w:highlight w:val="none"/>
        </w:rPr>
        <w:t>缴纳</w:t>
      </w:r>
      <w:r>
        <w:rPr>
          <w:rFonts w:ascii="宋体" w:hAnsi="宋体" w:eastAsia="宋体" w:cs="Times New Roman"/>
          <w:color w:val="auto"/>
          <w:sz w:val="24"/>
          <w:szCs w:val="24"/>
          <w:highlight w:val="none"/>
        </w:rPr>
        <w:t>。</w:t>
      </w:r>
    </w:p>
    <w:p w14:paraId="754A073C">
      <w:pPr>
        <w:spacing w:line="360" w:lineRule="auto"/>
        <w:ind w:firstLine="437"/>
        <w:outlineLvl w:val="2"/>
        <w:rPr>
          <w:rFonts w:ascii="宋体" w:hAnsi="宋体" w:eastAsia="宋体" w:cs="Times New Roman"/>
          <w:b/>
          <w:bCs/>
          <w:color w:val="auto"/>
          <w:sz w:val="24"/>
          <w:szCs w:val="24"/>
          <w:highlight w:val="none"/>
          <w:lang w:val="zh-CN"/>
        </w:rPr>
      </w:pPr>
      <w:bookmarkStart w:id="167" w:name="_Toc279701258"/>
      <w:bookmarkStart w:id="168" w:name="_Toc487900368"/>
      <w:bookmarkStart w:id="169" w:name="_Toc16959"/>
      <w:bookmarkStart w:id="170" w:name="_Toc7102"/>
      <w:bookmarkStart w:id="171" w:name="_Toc8298"/>
      <w:bookmarkStart w:id="172" w:name="_Toc259093687"/>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13</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乙方破产</w:t>
      </w:r>
      <w:bookmarkEnd w:id="167"/>
      <w:bookmarkEnd w:id="168"/>
      <w:bookmarkEnd w:id="169"/>
      <w:bookmarkEnd w:id="170"/>
      <w:bookmarkEnd w:id="171"/>
      <w:bookmarkEnd w:id="172"/>
    </w:p>
    <w:p w14:paraId="0A366822">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如果乙方破产导致合同无法履行时，甲方可以书面形式通知乙方终止合同且不给予乙方任何补偿和赔偿</w:t>
      </w:r>
      <w:r>
        <w:rPr>
          <w:rFonts w:hint="eastAsia" w:ascii="宋体" w:hAnsi="宋体" w:eastAsia="宋体" w:cs="Times New Roman"/>
          <w:color w:val="auto"/>
          <w:sz w:val="24"/>
          <w:szCs w:val="24"/>
          <w:highlight w:val="none"/>
        </w:rPr>
        <w:t>，但合同的</w:t>
      </w:r>
      <w:r>
        <w:rPr>
          <w:rFonts w:ascii="宋体" w:hAnsi="宋体" w:eastAsia="宋体" w:cs="Times New Roman"/>
          <w:color w:val="auto"/>
          <w:sz w:val="24"/>
          <w:szCs w:val="24"/>
          <w:highlight w:val="none"/>
        </w:rPr>
        <w:t>终止不损害或不影响甲方已经采取或将要采取的任何要求乙方支付违约金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赔偿损失等的行动或补救措施的权利</w:t>
      </w:r>
      <w:r>
        <w:rPr>
          <w:rFonts w:hint="eastAsia" w:ascii="宋体" w:hAnsi="宋体" w:eastAsia="宋体" w:cs="Times New Roman"/>
          <w:color w:val="auto"/>
          <w:sz w:val="24"/>
          <w:szCs w:val="24"/>
          <w:highlight w:val="none"/>
        </w:rPr>
        <w:t>。</w:t>
      </w:r>
    </w:p>
    <w:p w14:paraId="2DE246C6">
      <w:pPr>
        <w:spacing w:line="360" w:lineRule="auto"/>
        <w:ind w:firstLine="437"/>
        <w:outlineLvl w:val="2"/>
        <w:rPr>
          <w:rFonts w:ascii="宋体" w:hAnsi="宋体" w:eastAsia="宋体" w:cs="Times New Roman"/>
          <w:b/>
          <w:color w:val="auto"/>
          <w:sz w:val="24"/>
          <w:szCs w:val="24"/>
          <w:highlight w:val="none"/>
        </w:rPr>
      </w:pPr>
      <w:bookmarkStart w:id="173" w:name="_Toc15387"/>
      <w:bookmarkStart w:id="174" w:name="_Toc29333"/>
      <w:bookmarkStart w:id="175" w:name="_Toc6134"/>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4</w:t>
      </w:r>
      <w:r>
        <w:rPr>
          <w:rFonts w:hint="eastAsia" w:ascii="宋体" w:hAnsi="宋体" w:eastAsia="宋体" w:cs="Times New Roman"/>
          <w:b/>
          <w:bCs/>
          <w:color w:val="auto"/>
          <w:sz w:val="24"/>
          <w:szCs w:val="24"/>
          <w:highlight w:val="none"/>
          <w:lang w:val="zh-CN"/>
        </w:rPr>
        <w:t xml:space="preserve"> 合同中止、终止</w:t>
      </w:r>
      <w:bookmarkEnd w:id="173"/>
      <w:bookmarkEnd w:id="174"/>
      <w:bookmarkEnd w:id="175"/>
    </w:p>
    <w:p w14:paraId="78B692B8">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.1双方当事人不得擅自中止或者终止合同；</w:t>
      </w:r>
    </w:p>
    <w:p w14:paraId="06D00587">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.2合同继续履行将损害国家利益和社会公共利益的，双方当事人应当中止或者终止合同。有过错的一方应当承担赔偿责任，双方当事人都有过错的，各自承担相应的责任。</w:t>
      </w:r>
    </w:p>
    <w:p w14:paraId="122428A9">
      <w:pPr>
        <w:spacing w:line="360" w:lineRule="auto"/>
        <w:ind w:firstLine="437"/>
        <w:outlineLvl w:val="2"/>
        <w:rPr>
          <w:rFonts w:ascii="宋体" w:hAnsi="宋体" w:eastAsia="宋体" w:cs="Times New Roman"/>
          <w:b/>
          <w:bCs/>
          <w:color w:val="auto"/>
          <w:sz w:val="24"/>
          <w:szCs w:val="24"/>
          <w:highlight w:val="none"/>
          <w:lang w:val="zh-CN"/>
        </w:rPr>
      </w:pPr>
      <w:bookmarkStart w:id="176" w:name="_Toc14563"/>
      <w:bookmarkStart w:id="177" w:name="_Toc6596"/>
      <w:bookmarkStart w:id="178" w:name="_Toc1125"/>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5</w:t>
      </w:r>
      <w:r>
        <w:rPr>
          <w:rFonts w:hint="eastAsia" w:ascii="宋体" w:hAnsi="宋体" w:eastAsia="宋体" w:cs="Times New Roman"/>
          <w:b/>
          <w:bCs/>
          <w:color w:val="auto"/>
          <w:sz w:val="24"/>
          <w:szCs w:val="24"/>
          <w:highlight w:val="none"/>
          <w:lang w:val="zh-CN"/>
        </w:rPr>
        <w:t xml:space="preserve"> 检验和验收</w:t>
      </w:r>
      <w:bookmarkEnd w:id="176"/>
      <w:bookmarkEnd w:id="177"/>
      <w:bookmarkEnd w:id="178"/>
    </w:p>
    <w:p w14:paraId="7F2A5624">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1乙方按照</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的约定</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定期提交服务报告</w:t>
      </w:r>
      <w:r>
        <w:rPr>
          <w:rFonts w:hint="eastAsia" w:ascii="宋体" w:hAnsi="宋体" w:eastAsia="宋体" w:cs="Times New Roman"/>
          <w:color w:val="auto"/>
          <w:sz w:val="24"/>
          <w:szCs w:val="24"/>
          <w:highlight w:val="none"/>
        </w:rPr>
        <w:t>，甲方按照</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的约定进行定期验收</w:t>
      </w:r>
      <w:r>
        <w:rPr>
          <w:rFonts w:hint="eastAsia" w:ascii="宋体" w:hAnsi="宋体" w:eastAsia="宋体" w:cs="Times New Roman"/>
          <w:color w:val="auto"/>
          <w:sz w:val="24"/>
          <w:szCs w:val="24"/>
          <w:highlight w:val="none"/>
        </w:rPr>
        <w:t>；</w:t>
      </w:r>
    </w:p>
    <w:p w14:paraId="4B438566">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9612171">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2.15.3检验和验收标准、程序等具体内容以及前述验收书的效力详见</w:t>
      </w:r>
      <w:r>
        <w:rPr>
          <w:rFonts w:ascii="宋体" w:hAnsi="宋体" w:eastAsia="宋体" w:cs="Times New Roman"/>
          <w:b/>
          <w:i/>
          <w:color w:val="auto"/>
          <w:sz w:val="24"/>
          <w:szCs w:val="24"/>
          <w:highlight w:val="none"/>
          <w:u w:val="single"/>
        </w:rPr>
        <w:t>合同专用条款</w:t>
      </w:r>
      <w:r>
        <w:rPr>
          <w:rFonts w:hint="eastAsia" w:ascii="宋体" w:hAnsi="宋体" w:eastAsia="宋体" w:cs="Times New Roman"/>
          <w:i/>
          <w:color w:val="auto"/>
          <w:sz w:val="24"/>
          <w:szCs w:val="24"/>
          <w:highlight w:val="none"/>
        </w:rPr>
        <w:t>。</w:t>
      </w:r>
    </w:p>
    <w:bookmarkEnd w:id="148"/>
    <w:bookmarkEnd w:id="149"/>
    <w:bookmarkEnd w:id="150"/>
    <w:bookmarkEnd w:id="151"/>
    <w:p w14:paraId="59DE3AD3">
      <w:pPr>
        <w:spacing w:line="360" w:lineRule="auto"/>
        <w:ind w:firstLine="437"/>
        <w:outlineLvl w:val="2"/>
        <w:rPr>
          <w:rFonts w:ascii="宋体" w:hAnsi="宋体" w:eastAsia="宋体" w:cs="Times New Roman"/>
          <w:b/>
          <w:bCs/>
          <w:color w:val="auto"/>
          <w:sz w:val="24"/>
          <w:szCs w:val="24"/>
          <w:highlight w:val="none"/>
        </w:rPr>
      </w:pPr>
      <w:bookmarkStart w:id="179" w:name="_Toc259093692"/>
      <w:bookmarkStart w:id="180" w:name="_Toc279701263"/>
      <w:bookmarkStart w:id="181" w:name="_Toc10330"/>
      <w:bookmarkStart w:id="182" w:name="_Toc18567"/>
      <w:bookmarkStart w:id="183" w:name="_Toc12773"/>
      <w:bookmarkStart w:id="184" w:name="_Toc487900373"/>
      <w:r>
        <w:rPr>
          <w:rFonts w:hint="eastAsia" w:ascii="宋体" w:hAnsi="宋体" w:eastAsia="宋体" w:cs="Times New Roman"/>
          <w:b/>
          <w:bCs/>
          <w:color w:val="auto"/>
          <w:sz w:val="24"/>
          <w:szCs w:val="24"/>
          <w:highlight w:val="none"/>
        </w:rPr>
        <w:t>2.</w:t>
      </w:r>
      <w:r>
        <w:rPr>
          <w:rFonts w:ascii="宋体" w:hAnsi="宋体" w:eastAsia="宋体" w:cs="Times New Roman"/>
          <w:b/>
          <w:bCs/>
          <w:color w:val="auto"/>
          <w:sz w:val="24"/>
          <w:szCs w:val="24"/>
          <w:highlight w:val="none"/>
        </w:rPr>
        <w:t>16</w:t>
      </w:r>
      <w:r>
        <w:rPr>
          <w:rFonts w:hint="eastAsia" w:ascii="宋体" w:hAnsi="宋体" w:eastAsia="宋体" w:cs="Times New Roman"/>
          <w:b/>
          <w:bCs/>
          <w:color w:val="auto"/>
          <w:sz w:val="24"/>
          <w:szCs w:val="24"/>
          <w:highlight w:val="none"/>
        </w:rPr>
        <w:t xml:space="preserve"> </w:t>
      </w:r>
      <w:r>
        <w:rPr>
          <w:rFonts w:hint="eastAsia" w:ascii="宋体" w:hAnsi="宋体" w:eastAsia="宋体" w:cs="Times New Roman"/>
          <w:b/>
          <w:bCs/>
          <w:color w:val="auto"/>
          <w:sz w:val="24"/>
          <w:szCs w:val="24"/>
          <w:highlight w:val="none"/>
          <w:lang w:val="zh-CN"/>
        </w:rPr>
        <w:t>合同使用的文字和</w:t>
      </w:r>
      <w:r>
        <w:rPr>
          <w:rFonts w:ascii="宋体" w:hAnsi="宋体" w:eastAsia="宋体" w:cs="Times New Roman"/>
          <w:b/>
          <w:bCs/>
          <w:color w:val="auto"/>
          <w:sz w:val="24"/>
          <w:szCs w:val="24"/>
          <w:highlight w:val="none"/>
          <w:lang w:val="zh-CN"/>
        </w:rPr>
        <w:t>适用的法律</w:t>
      </w:r>
      <w:bookmarkEnd w:id="179"/>
      <w:bookmarkEnd w:id="180"/>
      <w:bookmarkEnd w:id="181"/>
      <w:bookmarkEnd w:id="182"/>
      <w:bookmarkEnd w:id="183"/>
      <w:bookmarkEnd w:id="184"/>
    </w:p>
    <w:p w14:paraId="7128492D">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16.1合同使用汉语书就</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变更和解释</w:t>
      </w:r>
      <w:r>
        <w:rPr>
          <w:rFonts w:hint="eastAsia" w:ascii="宋体" w:hAnsi="宋体" w:eastAsia="宋体" w:cs="Times New Roman"/>
          <w:color w:val="auto"/>
          <w:sz w:val="24"/>
          <w:szCs w:val="24"/>
          <w:highlight w:val="none"/>
        </w:rPr>
        <w:t>；</w:t>
      </w:r>
    </w:p>
    <w:p w14:paraId="647B0A65">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16</w:t>
      </w:r>
      <w:r>
        <w:rPr>
          <w:rFonts w:hint="eastAsia" w:ascii="宋体" w:hAnsi="宋体" w:eastAsia="宋体" w:cs="Times New Roman"/>
          <w:color w:val="auto"/>
          <w:sz w:val="24"/>
          <w:szCs w:val="24"/>
          <w:highlight w:val="none"/>
        </w:rPr>
        <w:t>.2合同适用</w:t>
      </w:r>
      <w:r>
        <w:rPr>
          <w:rFonts w:ascii="宋体" w:hAnsi="宋体" w:eastAsia="宋体" w:cs="Times New Roman"/>
          <w:color w:val="auto"/>
          <w:sz w:val="24"/>
          <w:szCs w:val="24"/>
          <w:highlight w:val="none"/>
        </w:rPr>
        <w:t>中华人民共和国法律。</w:t>
      </w:r>
    </w:p>
    <w:p w14:paraId="04A96F34">
      <w:pPr>
        <w:spacing w:line="360" w:lineRule="auto"/>
        <w:ind w:firstLine="437"/>
        <w:outlineLvl w:val="2"/>
        <w:rPr>
          <w:rFonts w:ascii="宋体" w:hAnsi="宋体" w:eastAsia="宋体" w:cs="Times New Roman"/>
          <w:b/>
          <w:color w:val="auto"/>
          <w:sz w:val="24"/>
          <w:szCs w:val="24"/>
          <w:highlight w:val="none"/>
        </w:rPr>
      </w:pPr>
      <w:bookmarkStart w:id="185" w:name="_Toc279701264"/>
      <w:bookmarkStart w:id="186" w:name="_Toc16673"/>
      <w:bookmarkStart w:id="187" w:name="_Toc259093693"/>
      <w:bookmarkStart w:id="188" w:name="_Toc12004"/>
      <w:bookmarkStart w:id="189" w:name="_Toc3148"/>
      <w:bookmarkStart w:id="190" w:name="_Toc487900374"/>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17</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履约保证金</w:t>
      </w:r>
      <w:bookmarkEnd w:id="185"/>
      <w:bookmarkEnd w:id="186"/>
      <w:bookmarkEnd w:id="187"/>
      <w:bookmarkEnd w:id="188"/>
      <w:bookmarkEnd w:id="189"/>
    </w:p>
    <w:p w14:paraId="57FFB6AC">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17</w:t>
      </w:r>
      <w:r>
        <w:rPr>
          <w:rFonts w:hint="eastAsia" w:ascii="宋体" w:hAnsi="宋体" w:eastAsia="宋体" w:cs="Times New Roman"/>
          <w:color w:val="auto"/>
          <w:sz w:val="24"/>
          <w:szCs w:val="24"/>
          <w:highlight w:val="none"/>
        </w:rPr>
        <w:t>.1采购文件要求乙方提交履约保证金的，乙方</w:t>
      </w:r>
      <w:r>
        <w:rPr>
          <w:rFonts w:ascii="宋体" w:hAnsi="宋体" w:eastAsia="宋体" w:cs="Times New Roman"/>
          <w:color w:val="auto"/>
          <w:sz w:val="24"/>
          <w:szCs w:val="24"/>
          <w:highlight w:val="none"/>
        </w:rPr>
        <w:t>应按</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约定的方式</w:t>
      </w:r>
      <w:r>
        <w:rPr>
          <w:rFonts w:hint="eastAsia" w:ascii="宋体" w:hAnsi="宋体" w:eastAsia="宋体" w:cs="Times New Roman"/>
          <w:color w:val="auto"/>
          <w:sz w:val="24"/>
          <w:szCs w:val="24"/>
          <w:highlight w:val="none"/>
        </w:rPr>
        <w:t>，以支票、汇票、本票或者金融机构、担保机构出具的保函等非现金形式提交；</w:t>
      </w:r>
    </w:p>
    <w:p w14:paraId="5435A198">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17.2履约保证金在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约定期间内不予退还或者应完全有效</w:t>
      </w:r>
      <w:r>
        <w:rPr>
          <w:rFonts w:hint="eastAsia" w:ascii="宋体" w:hAnsi="宋体" w:eastAsia="宋体" w:cs="Times New Roman"/>
          <w:color w:val="auto"/>
          <w:sz w:val="24"/>
          <w:szCs w:val="24"/>
          <w:highlight w:val="none"/>
        </w:rPr>
        <w:t>，前述约定期间届满</w:t>
      </w:r>
      <w:r>
        <w:rPr>
          <w:rFonts w:ascii="宋体" w:hAnsi="宋体" w:eastAsia="宋体" w:cs="Times New Roman"/>
          <w:color w:val="auto"/>
          <w:sz w:val="24"/>
          <w:szCs w:val="24"/>
          <w:highlight w:val="none"/>
        </w:rPr>
        <w:t>之日起</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3</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个</w:t>
      </w:r>
      <w:r>
        <w:rPr>
          <w:rFonts w:ascii="宋体" w:hAnsi="宋体" w:eastAsia="宋体" w:cs="Times New Roman"/>
          <w:color w:val="auto"/>
          <w:sz w:val="24"/>
          <w:szCs w:val="24"/>
          <w:highlight w:val="none"/>
        </w:rPr>
        <w:t>工作日内，甲方应将履约保证金退还乙方</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甲方</w:t>
      </w:r>
      <w:r>
        <w:rPr>
          <w:rFonts w:hint="eastAsia" w:ascii="宋体" w:hAnsi="宋体" w:eastAsia="宋体" w:cs="Times New Roman"/>
          <w:color w:val="auto"/>
          <w:sz w:val="24"/>
          <w:szCs w:val="24"/>
          <w:highlight w:val="none"/>
        </w:rPr>
        <w:t>逾期退还履约保证金</w:t>
      </w:r>
      <w:r>
        <w:rPr>
          <w:rFonts w:hint="eastAsia" w:ascii="宋体" w:hAnsi="宋体" w:eastAsia="宋体" w:cs="Times New Roman"/>
          <w:color w:val="auto"/>
          <w:sz w:val="24"/>
          <w:szCs w:val="24"/>
          <w:highlight w:val="none"/>
          <w:lang w:val="en-US" w:eastAsia="zh-CN"/>
        </w:rPr>
        <w:t>应承担违约责任。</w:t>
      </w:r>
    </w:p>
    <w:p w14:paraId="33B8DC9D">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17</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如果乙方不履行合同</w:t>
      </w:r>
      <w:r>
        <w:rPr>
          <w:rFonts w:hint="eastAsia" w:ascii="宋体" w:hAnsi="宋体" w:eastAsia="宋体" w:cs="Times New Roman"/>
          <w:color w:val="auto"/>
          <w:sz w:val="24"/>
          <w:szCs w:val="24"/>
          <w:highlight w:val="none"/>
        </w:rPr>
        <w:t>，履约保证金不予退还；如果乙方</w:t>
      </w:r>
      <w:r>
        <w:rPr>
          <w:rFonts w:ascii="宋体" w:hAnsi="宋体" w:eastAsia="宋体" w:cs="Times New Roman"/>
          <w:color w:val="auto"/>
          <w:sz w:val="24"/>
          <w:szCs w:val="24"/>
          <w:highlight w:val="none"/>
        </w:rPr>
        <w:t>未能按合同</w:t>
      </w:r>
      <w:r>
        <w:rPr>
          <w:rFonts w:hint="eastAsia" w:ascii="宋体" w:hAnsi="宋体" w:eastAsia="宋体" w:cs="Times New Roman"/>
          <w:color w:val="auto"/>
          <w:sz w:val="24"/>
          <w:szCs w:val="24"/>
          <w:highlight w:val="none"/>
        </w:rPr>
        <w:t>约</w:t>
      </w:r>
      <w:r>
        <w:rPr>
          <w:rFonts w:ascii="宋体" w:hAnsi="宋体" w:eastAsia="宋体" w:cs="Times New Roman"/>
          <w:color w:val="auto"/>
          <w:sz w:val="24"/>
          <w:szCs w:val="24"/>
          <w:highlight w:val="none"/>
        </w:rPr>
        <w:t>定全面履行义务，那么甲方有权从履约保证金中取得补偿或赔偿</w:t>
      </w:r>
      <w:r>
        <w:rPr>
          <w:rFonts w:hint="eastAsia" w:ascii="宋体" w:hAnsi="宋体" w:eastAsia="宋体" w:cs="Times New Roman"/>
          <w:color w:val="auto"/>
          <w:sz w:val="24"/>
          <w:szCs w:val="24"/>
          <w:highlight w:val="none"/>
        </w:rPr>
        <w:t>，同时不影响甲方要求乙方承担合同约定的超过履约保证金的违约责任的权利。</w:t>
      </w:r>
    </w:p>
    <w:bookmarkEnd w:id="190"/>
    <w:p w14:paraId="60A11303">
      <w:pPr>
        <w:spacing w:line="360" w:lineRule="auto"/>
        <w:ind w:firstLine="437"/>
        <w:outlineLvl w:val="2"/>
        <w:rPr>
          <w:rFonts w:ascii="宋体" w:hAnsi="宋体" w:eastAsia="宋体" w:cs="Times New Roman"/>
          <w:b/>
          <w:color w:val="auto"/>
          <w:sz w:val="24"/>
          <w:szCs w:val="24"/>
          <w:highlight w:val="none"/>
        </w:rPr>
      </w:pPr>
      <w:bookmarkStart w:id="191" w:name="_Toc6885"/>
      <w:bookmarkStart w:id="192" w:name="_Toc19890"/>
      <w:bookmarkStart w:id="193" w:name="_Toc14001"/>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18</w:t>
      </w:r>
      <w:r>
        <w:rPr>
          <w:rFonts w:hint="eastAsia" w:ascii="宋体" w:hAnsi="宋体" w:eastAsia="宋体" w:cs="Times New Roman"/>
          <w:b/>
          <w:bCs/>
          <w:color w:val="auto"/>
          <w:sz w:val="24"/>
          <w:szCs w:val="24"/>
          <w:highlight w:val="none"/>
          <w:lang w:val="zh-CN"/>
        </w:rPr>
        <w:t xml:space="preserve"> 合同份数</w:t>
      </w:r>
      <w:bookmarkEnd w:id="191"/>
      <w:bookmarkEnd w:id="192"/>
      <w:bookmarkEnd w:id="193"/>
    </w:p>
    <w:p w14:paraId="5372466B">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合同份数按</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规定</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每份均具有同等法律效力</w:t>
      </w:r>
      <w:r>
        <w:rPr>
          <w:rFonts w:hint="eastAsia" w:ascii="宋体" w:hAnsi="宋体" w:eastAsia="宋体" w:cs="Times New Roman"/>
          <w:color w:val="auto"/>
          <w:sz w:val="24"/>
          <w:szCs w:val="24"/>
          <w:highlight w:val="none"/>
        </w:rPr>
        <w:t>。</w:t>
      </w:r>
    </w:p>
    <w:p w14:paraId="77B48476">
      <w:pPr>
        <w:spacing w:line="360" w:lineRule="auto"/>
        <w:jc w:val="center"/>
        <w:outlineLvl w:val="1"/>
        <w:rPr>
          <w:rFonts w:hint="eastAsia" w:ascii="宋体"/>
          <w:b/>
          <w:color w:val="auto"/>
          <w:sz w:val="30"/>
          <w:szCs w:val="30"/>
          <w:highlight w:val="none"/>
        </w:rPr>
      </w:pPr>
      <w:r>
        <w:rPr>
          <w:rFonts w:ascii="宋体" w:hAnsi="宋体" w:eastAsia="宋体" w:cs="Times New Roman"/>
          <w:color w:val="auto"/>
          <w:sz w:val="24"/>
          <w:szCs w:val="24"/>
          <w:highlight w:val="none"/>
        </w:rPr>
        <w:br w:type="page"/>
      </w:r>
      <w:r>
        <w:rPr>
          <w:rFonts w:hint="eastAsia" w:ascii="宋体"/>
          <w:b/>
          <w:color w:val="auto"/>
          <w:sz w:val="30"/>
          <w:szCs w:val="30"/>
          <w:highlight w:val="none"/>
        </w:rPr>
        <w:t>第三部分 合同专用条款</w:t>
      </w:r>
    </w:p>
    <w:p w14:paraId="3AD696B9">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3"/>
        <w:gridCol w:w="7569"/>
      </w:tblGrid>
      <w:tr w14:paraId="4D81E7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3" w:type="dxa"/>
            <w:tcBorders>
              <w:left w:val="single" w:color="auto" w:sz="4" w:space="0"/>
            </w:tcBorders>
            <w:noWrap w:val="0"/>
            <w:vAlign w:val="center"/>
          </w:tcPr>
          <w:p w14:paraId="35780757">
            <w:pPr>
              <w:keepNext w:val="0"/>
              <w:keepLines w:val="0"/>
              <w:suppressLineNumbers w:val="0"/>
              <w:spacing w:before="0" w:beforeAutospacing="0" w:after="0" w:afterAutospacing="0"/>
              <w:ind w:left="0" w:right="0"/>
              <w:jc w:val="center"/>
              <w:rPr>
                <w:rFonts w:hint="default" w:ascii="宋体" w:hAnsi="宋体"/>
                <w:b/>
                <w:color w:val="auto"/>
                <w:szCs w:val="21"/>
                <w:highlight w:val="none"/>
              </w:rPr>
            </w:pPr>
            <w:r>
              <w:rPr>
                <w:rFonts w:hint="default" w:ascii="宋体" w:hAnsi="宋体"/>
                <w:b/>
                <w:color w:val="auto"/>
                <w:szCs w:val="21"/>
                <w:highlight w:val="none"/>
              </w:rPr>
              <w:t>条款号</w:t>
            </w:r>
          </w:p>
        </w:tc>
        <w:tc>
          <w:tcPr>
            <w:tcW w:w="7569" w:type="dxa"/>
            <w:noWrap w:val="0"/>
            <w:vAlign w:val="center"/>
          </w:tcPr>
          <w:p w14:paraId="08371288">
            <w:pPr>
              <w:keepNext w:val="0"/>
              <w:keepLines w:val="0"/>
              <w:suppressLineNumbers w:val="0"/>
              <w:spacing w:before="0" w:beforeAutospacing="0" w:after="0" w:afterAutospacing="0"/>
              <w:ind w:left="0" w:right="0"/>
              <w:jc w:val="center"/>
              <w:rPr>
                <w:rFonts w:hint="default" w:ascii="宋体" w:hAnsi="宋体"/>
                <w:b/>
                <w:color w:val="auto"/>
                <w:szCs w:val="21"/>
                <w:highlight w:val="none"/>
              </w:rPr>
            </w:pPr>
            <w:r>
              <w:rPr>
                <w:rFonts w:hint="eastAsia" w:ascii="宋体" w:hAnsi="宋体" w:eastAsia="宋体" w:cs="宋体"/>
                <w:color w:val="auto"/>
                <w:szCs w:val="21"/>
                <w:highlight w:val="none"/>
              </w:rPr>
              <w:t>约定内容</w:t>
            </w:r>
          </w:p>
        </w:tc>
      </w:tr>
      <w:tr w14:paraId="16E6C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2673FFFD">
            <w:pPr>
              <w:keepNext w:val="0"/>
              <w:keepLines w:val="0"/>
              <w:pageBreakBefore w:val="0"/>
              <w:kinsoku/>
              <w:wordWrap/>
              <w:overflowPunct/>
              <w:topLinePunct w:val="0"/>
              <w:bidi w:val="0"/>
              <w:snapToGrid/>
              <w:spacing w:line="440" w:lineRule="exact"/>
              <w:jc w:val="center"/>
              <w:textAlignment w:val="auto"/>
              <w:rPr>
                <w:rFonts w:hint="default" w:ascii="宋体" w:hAnsi="宋体"/>
                <w:b/>
                <w:bCs/>
                <w:color w:val="auto"/>
                <w:sz w:val="28"/>
                <w:szCs w:val="28"/>
                <w:highlight w:val="none"/>
                <w:lang w:val="en-US" w:eastAsia="zh-CN"/>
              </w:rPr>
            </w:pPr>
            <w:r>
              <w:rPr>
                <w:rFonts w:hint="eastAsia" w:ascii="宋体" w:hAnsi="宋体" w:eastAsia="宋体" w:cs="宋体"/>
                <w:color w:val="auto"/>
                <w:sz w:val="24"/>
                <w:szCs w:val="24"/>
                <w:highlight w:val="none"/>
                <w:lang w:val="en-US" w:eastAsia="zh-CN"/>
              </w:rPr>
              <w:t>2.11.3</w:t>
            </w:r>
          </w:p>
        </w:tc>
        <w:tc>
          <w:tcPr>
            <w:tcW w:w="7569" w:type="dxa"/>
            <w:noWrap w:val="0"/>
            <w:vAlign w:val="center"/>
          </w:tcPr>
          <w:p w14:paraId="1BC5756A">
            <w:pPr>
              <w:keepNext w:val="0"/>
              <w:keepLines w:val="0"/>
              <w:pageBreakBefore w:val="0"/>
              <w:kinsoku/>
              <w:wordWrap/>
              <w:overflowPunct/>
              <w:topLinePunct w:val="0"/>
              <w:bidi w:val="0"/>
              <w:snapToGrid/>
              <w:spacing w:line="440" w:lineRule="exact"/>
              <w:textAlignment w:val="auto"/>
              <w:rPr>
                <w:rFonts w:hint="default" w:ascii="宋体" w:hAnsi="宋体"/>
                <w:b/>
                <w:bCs/>
                <w:color w:val="auto"/>
                <w:sz w:val="28"/>
                <w:szCs w:val="28"/>
                <w:highlight w:val="none"/>
                <w:lang w:val="en-US" w:eastAsia="zh-CN"/>
              </w:rPr>
            </w:pPr>
            <w:r>
              <w:rPr>
                <w:rFonts w:hint="eastAsia" w:ascii="宋体" w:hAnsi="宋体" w:eastAsia="宋体" w:cs="宋体"/>
                <w:color w:val="auto"/>
                <w:sz w:val="24"/>
                <w:szCs w:val="24"/>
                <w:highlight w:val="none"/>
              </w:rPr>
              <w:t>因不可抗力致使合同有变更必要的，双方当事人应在不可抗力发生的3个工作日内以书面形式变更合同</w:t>
            </w:r>
          </w:p>
        </w:tc>
      </w:tr>
      <w:tr w14:paraId="75D02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632D0C08">
            <w:pPr>
              <w:keepNext w:val="0"/>
              <w:keepLines w:val="0"/>
              <w:pageBreakBefore w:val="0"/>
              <w:kinsoku/>
              <w:wordWrap/>
              <w:overflowPunct/>
              <w:topLinePunct w:val="0"/>
              <w:bidi w:val="0"/>
              <w:snapToGrid/>
              <w:spacing w:line="440" w:lineRule="exact"/>
              <w:jc w:val="center"/>
              <w:textAlignment w:val="auto"/>
              <w:rPr>
                <w:rFonts w:hint="default" w:ascii="宋体" w:hAnsi="宋体"/>
                <w:color w:val="auto"/>
                <w:szCs w:val="21"/>
                <w:highlight w:val="none"/>
              </w:rPr>
            </w:pPr>
            <w:r>
              <w:rPr>
                <w:rFonts w:hint="eastAsia" w:ascii="宋体" w:hAnsi="宋体" w:eastAsia="宋体" w:cs="宋体"/>
                <w:color w:val="auto"/>
                <w:sz w:val="24"/>
                <w:szCs w:val="24"/>
                <w:highlight w:val="none"/>
                <w:lang w:val="en-US" w:eastAsia="zh-CN"/>
              </w:rPr>
              <w:t>2.11.4</w:t>
            </w:r>
          </w:p>
        </w:tc>
        <w:tc>
          <w:tcPr>
            <w:tcW w:w="7569" w:type="dxa"/>
            <w:noWrap w:val="0"/>
            <w:vAlign w:val="center"/>
          </w:tcPr>
          <w:p w14:paraId="31D3A54D">
            <w:pPr>
              <w:keepNext w:val="0"/>
              <w:keepLines w:val="0"/>
              <w:pageBreakBefore w:val="0"/>
              <w:kinsoku/>
              <w:wordWrap/>
              <w:overflowPunct/>
              <w:topLinePunct w:val="0"/>
              <w:bidi w:val="0"/>
              <w:snapToGrid/>
              <w:spacing w:line="440" w:lineRule="exact"/>
              <w:textAlignment w:val="auto"/>
              <w:rPr>
                <w:rFonts w:hint="default" w:ascii="宋体" w:hAnsi="宋体"/>
                <w:color w:val="auto"/>
                <w:szCs w:val="21"/>
                <w:highlight w:val="none"/>
              </w:rPr>
            </w:pPr>
            <w:r>
              <w:rPr>
                <w:rFonts w:hint="eastAsia" w:ascii="宋体" w:hAnsi="宋体" w:eastAsia="宋体" w:cs="宋体"/>
                <w:color w:val="auto"/>
                <w:sz w:val="24"/>
                <w:szCs w:val="24"/>
                <w:highlight w:val="none"/>
              </w:rPr>
              <w:t>受不可抗力影响的一方在不可抗力发生后，应在不可抗力发生的1个工作日内以书面形式通知对方当事人，并在1个工作日内，将有关部门出具的证明文件送达对方当事人</w:t>
            </w:r>
          </w:p>
        </w:tc>
      </w:tr>
      <w:tr w14:paraId="1D92AA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167FE300">
            <w:pPr>
              <w:keepNext w:val="0"/>
              <w:keepLines w:val="0"/>
              <w:pageBreakBefore w:val="0"/>
              <w:kinsoku/>
              <w:wordWrap/>
              <w:overflowPunct/>
              <w:topLinePunct w:val="0"/>
              <w:bidi w:val="0"/>
              <w:snapToGrid/>
              <w:spacing w:line="440" w:lineRule="exact"/>
              <w:jc w:val="center"/>
              <w:textAlignment w:val="auto"/>
              <w:rPr>
                <w:rFonts w:hint="default" w:ascii="宋体" w:hAnsi="宋体"/>
                <w:color w:val="auto"/>
                <w:szCs w:val="21"/>
                <w:highlight w:val="none"/>
              </w:rPr>
            </w:pPr>
            <w:r>
              <w:rPr>
                <w:rFonts w:hint="eastAsia" w:ascii="宋体" w:hAnsi="宋体" w:eastAsia="宋体" w:cs="宋体"/>
                <w:color w:val="auto"/>
                <w:sz w:val="24"/>
                <w:szCs w:val="24"/>
                <w:highlight w:val="none"/>
                <w:lang w:val="en-US" w:eastAsia="zh-CN"/>
              </w:rPr>
              <w:t>2.18</w:t>
            </w:r>
          </w:p>
        </w:tc>
        <w:tc>
          <w:tcPr>
            <w:tcW w:w="7569" w:type="dxa"/>
            <w:noWrap w:val="0"/>
            <w:vAlign w:val="center"/>
          </w:tcPr>
          <w:p w14:paraId="2EC6D1F6">
            <w:pPr>
              <w:keepNext w:val="0"/>
              <w:keepLines w:val="0"/>
              <w:pageBreakBefore w:val="0"/>
              <w:kinsoku/>
              <w:wordWrap/>
              <w:overflowPunct/>
              <w:topLinePunct w:val="0"/>
              <w:bidi w:val="0"/>
              <w:snapToGrid/>
              <w:spacing w:line="440" w:lineRule="exact"/>
              <w:textAlignment w:val="auto"/>
              <w:rPr>
                <w:rFonts w:hint="default" w:ascii="宋体" w:hAnsi="宋体"/>
                <w:color w:val="auto"/>
                <w:szCs w:val="21"/>
                <w:highlight w:val="none"/>
              </w:rPr>
            </w:pPr>
            <w:r>
              <w:rPr>
                <w:rFonts w:hint="eastAsia" w:ascii="宋体" w:hAnsi="宋体" w:eastAsia="宋体" w:cs="宋体"/>
                <w:color w:val="auto"/>
                <w:sz w:val="24"/>
                <w:szCs w:val="24"/>
                <w:highlight w:val="none"/>
                <w:u w:val="single"/>
              </w:rPr>
              <w:t>合同一式</w:t>
            </w:r>
            <w:r>
              <w:rPr>
                <w:rFonts w:hint="eastAsia" w:ascii="宋体" w:hAnsi="宋体" w:eastAsia="宋体" w:cs="宋体"/>
                <w:color w:val="auto"/>
                <w:sz w:val="24"/>
                <w:szCs w:val="24"/>
                <w:highlight w:val="none"/>
                <w:u w:val="single"/>
                <w:lang w:val="en-US" w:eastAsia="zh-CN"/>
              </w:rPr>
              <w:t>四</w:t>
            </w:r>
            <w:r>
              <w:rPr>
                <w:rFonts w:hint="eastAsia" w:ascii="宋体" w:hAnsi="宋体" w:eastAsia="宋体" w:cs="宋体"/>
                <w:color w:val="auto"/>
                <w:sz w:val="24"/>
                <w:szCs w:val="24"/>
                <w:highlight w:val="none"/>
                <w:u w:val="single"/>
              </w:rPr>
              <w:t>份，甲乙双方各执</w:t>
            </w:r>
            <w:r>
              <w:rPr>
                <w:rFonts w:hint="eastAsia" w:ascii="宋体" w:hAnsi="宋体" w:eastAsia="宋体" w:cs="宋体"/>
                <w:color w:val="auto"/>
                <w:sz w:val="24"/>
                <w:szCs w:val="24"/>
                <w:highlight w:val="none"/>
                <w:u w:val="single"/>
                <w:lang w:val="en-US" w:eastAsia="zh-CN"/>
              </w:rPr>
              <w:t>二</w:t>
            </w:r>
            <w:r>
              <w:rPr>
                <w:rFonts w:hint="eastAsia" w:ascii="宋体" w:hAnsi="宋体" w:eastAsia="宋体" w:cs="宋体"/>
                <w:color w:val="auto"/>
                <w:sz w:val="24"/>
                <w:szCs w:val="24"/>
                <w:highlight w:val="none"/>
                <w:u w:val="single"/>
              </w:rPr>
              <w:t>份。</w:t>
            </w:r>
          </w:p>
        </w:tc>
      </w:tr>
      <w:tr w14:paraId="5AB90F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4FEA0428">
            <w:pPr>
              <w:keepNext w:val="0"/>
              <w:keepLines w:val="0"/>
              <w:pageBreakBefore w:val="0"/>
              <w:kinsoku/>
              <w:wordWrap/>
              <w:overflowPunct/>
              <w:topLinePunct w:val="0"/>
              <w:bidi w:val="0"/>
              <w:snapToGrid/>
              <w:spacing w:line="440" w:lineRule="exact"/>
              <w:jc w:val="center"/>
              <w:textAlignment w:val="auto"/>
              <w:rPr>
                <w:rFonts w:hint="default" w:ascii="宋体" w:hAnsi="宋体"/>
                <w:color w:val="auto"/>
                <w:szCs w:val="21"/>
                <w:highlight w:val="none"/>
              </w:rPr>
            </w:pPr>
          </w:p>
        </w:tc>
        <w:tc>
          <w:tcPr>
            <w:tcW w:w="7569" w:type="dxa"/>
            <w:noWrap w:val="0"/>
            <w:vAlign w:val="center"/>
          </w:tcPr>
          <w:p w14:paraId="28A51E03">
            <w:pPr>
              <w:keepNext w:val="0"/>
              <w:keepLines w:val="0"/>
              <w:pageBreakBefore w:val="0"/>
              <w:kinsoku/>
              <w:wordWrap/>
              <w:overflowPunct/>
              <w:topLinePunct w:val="0"/>
              <w:bidi w:val="0"/>
              <w:snapToGrid/>
              <w:spacing w:line="440" w:lineRule="exact"/>
              <w:textAlignment w:val="auto"/>
              <w:rPr>
                <w:rFonts w:hint="default" w:ascii="宋体" w:hAnsi="宋体"/>
                <w:color w:val="auto"/>
                <w:szCs w:val="21"/>
                <w:highlight w:val="none"/>
                <w:u w:val="single"/>
              </w:rPr>
            </w:pPr>
            <w:r>
              <w:rPr>
                <w:rFonts w:hint="eastAsia" w:ascii="宋体" w:hAnsi="宋体" w:eastAsia="宋体" w:cs="宋体"/>
                <w:color w:val="auto"/>
                <w:sz w:val="24"/>
                <w:szCs w:val="24"/>
                <w:highlight w:val="none"/>
              </w:rPr>
              <w:t>（签订合同时可补充）</w:t>
            </w:r>
          </w:p>
        </w:tc>
      </w:tr>
      <w:tr w14:paraId="61C66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1CB29F43">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7F55AD13">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212DC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3F448403">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744FB14E">
            <w:pPr>
              <w:keepNext w:val="0"/>
              <w:keepLines w:val="0"/>
              <w:suppressLineNumbers w:val="0"/>
              <w:spacing w:before="0" w:beforeAutospacing="0" w:after="0" w:afterAutospacing="0" w:line="560" w:lineRule="exact"/>
              <w:ind w:left="0" w:right="0"/>
              <w:rPr>
                <w:rFonts w:hint="default" w:ascii="宋体" w:hAnsi="宋体"/>
                <w:color w:val="auto"/>
                <w:szCs w:val="21"/>
                <w:highlight w:val="none"/>
                <w:u w:val="single"/>
              </w:rPr>
            </w:pPr>
          </w:p>
        </w:tc>
      </w:tr>
      <w:tr w14:paraId="042D7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0D318CDF">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6554114C">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79FFD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793" w:type="dxa"/>
            <w:tcBorders>
              <w:left w:val="single" w:color="auto" w:sz="4" w:space="0"/>
            </w:tcBorders>
            <w:noWrap w:val="0"/>
            <w:vAlign w:val="center"/>
          </w:tcPr>
          <w:p w14:paraId="189BA5BD">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262E3302">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20D33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793" w:type="dxa"/>
            <w:tcBorders>
              <w:left w:val="single" w:color="auto" w:sz="4" w:space="0"/>
            </w:tcBorders>
            <w:noWrap w:val="0"/>
            <w:vAlign w:val="center"/>
          </w:tcPr>
          <w:p w14:paraId="55C7A44B">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344ECBD5">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2663C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7026CF0C">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tcBorders>
              <w:top w:val="single" w:color="auto" w:sz="6" w:space="0"/>
              <w:left w:val="single" w:color="auto" w:sz="6" w:space="0"/>
              <w:bottom w:val="single" w:color="auto" w:sz="6" w:space="0"/>
              <w:right w:val="single" w:color="auto" w:sz="6" w:space="0"/>
            </w:tcBorders>
            <w:noWrap w:val="0"/>
            <w:vAlign w:val="center"/>
          </w:tcPr>
          <w:p w14:paraId="396CC13A">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643D4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23DD4867">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tcBorders>
              <w:top w:val="single" w:color="auto" w:sz="6" w:space="0"/>
              <w:left w:val="single" w:color="auto" w:sz="6" w:space="0"/>
              <w:bottom w:val="single" w:color="auto" w:sz="6" w:space="0"/>
              <w:right w:val="single" w:color="auto" w:sz="6" w:space="0"/>
            </w:tcBorders>
            <w:noWrap w:val="0"/>
            <w:vAlign w:val="center"/>
          </w:tcPr>
          <w:p w14:paraId="4E1A05B9">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bl>
    <w:p w14:paraId="1167AA63">
      <w:pPr>
        <w:rPr>
          <w:rFonts w:ascii="宋体" w:hAnsi="宋体" w:eastAsia="宋体" w:cs="宋体"/>
          <w:color w:val="auto"/>
          <w:sz w:val="24"/>
          <w:szCs w:val="24"/>
          <w:highlight w:val="none"/>
        </w:rPr>
      </w:pPr>
    </w:p>
    <w:p w14:paraId="63397FF2">
      <w:pPr>
        <w:spacing w:line="360" w:lineRule="auto"/>
        <w:jc w:val="center"/>
        <w:outlineLvl w:val="0"/>
        <w:rPr>
          <w:rFonts w:ascii="宋体" w:hAnsi="宋体" w:eastAsia="宋体" w:cs="宋体"/>
          <w:b/>
          <w:color w:val="auto"/>
          <w:sz w:val="28"/>
          <w:highlight w:val="none"/>
        </w:rPr>
      </w:pPr>
    </w:p>
    <w:p w14:paraId="1453901C">
      <w:pPr>
        <w:spacing w:line="360" w:lineRule="auto"/>
        <w:jc w:val="center"/>
        <w:outlineLvl w:val="0"/>
        <w:rPr>
          <w:rFonts w:ascii="宋体" w:hAnsi="宋体" w:eastAsia="宋体" w:cs="宋体"/>
          <w:b/>
          <w:color w:val="auto"/>
          <w:sz w:val="28"/>
          <w:highlight w:val="none"/>
        </w:rPr>
      </w:pPr>
    </w:p>
    <w:p w14:paraId="5F4EDD97">
      <w:pPr>
        <w:spacing w:line="360" w:lineRule="auto"/>
        <w:jc w:val="center"/>
        <w:outlineLvl w:val="0"/>
        <w:rPr>
          <w:rFonts w:ascii="宋体" w:hAnsi="宋体" w:eastAsia="宋体" w:cs="宋体"/>
          <w:b/>
          <w:color w:val="auto"/>
          <w:sz w:val="28"/>
          <w:highlight w:val="none"/>
        </w:rPr>
      </w:pPr>
    </w:p>
    <w:p w14:paraId="2819490D">
      <w:pPr>
        <w:spacing w:line="360" w:lineRule="auto"/>
        <w:jc w:val="center"/>
        <w:outlineLvl w:val="0"/>
        <w:rPr>
          <w:rFonts w:ascii="宋体" w:hAnsi="宋体" w:eastAsia="宋体" w:cs="宋体"/>
          <w:b/>
          <w:color w:val="auto"/>
          <w:sz w:val="28"/>
          <w:highlight w:val="none"/>
        </w:rPr>
      </w:pPr>
    </w:p>
    <w:p w14:paraId="48849AEB">
      <w:pPr>
        <w:spacing w:line="360" w:lineRule="auto"/>
        <w:jc w:val="center"/>
        <w:outlineLvl w:val="0"/>
        <w:rPr>
          <w:rFonts w:ascii="宋体" w:hAnsi="宋体" w:eastAsia="宋体" w:cs="宋体"/>
          <w:b/>
          <w:color w:val="auto"/>
          <w:sz w:val="28"/>
          <w:highlight w:val="none"/>
        </w:rPr>
      </w:pPr>
    </w:p>
    <w:p w14:paraId="4DBE0201">
      <w:pPr>
        <w:spacing w:line="360" w:lineRule="auto"/>
        <w:jc w:val="center"/>
        <w:outlineLvl w:val="0"/>
        <w:rPr>
          <w:rFonts w:ascii="宋体" w:hAnsi="宋体" w:eastAsia="宋体" w:cs="宋体"/>
          <w:b/>
          <w:color w:val="auto"/>
          <w:sz w:val="28"/>
          <w:highlight w:val="none"/>
        </w:rPr>
      </w:pPr>
    </w:p>
    <w:p w14:paraId="00B00552">
      <w:pPr>
        <w:spacing w:line="360" w:lineRule="auto"/>
        <w:jc w:val="center"/>
        <w:outlineLvl w:val="0"/>
        <w:rPr>
          <w:rFonts w:ascii="宋体" w:hAnsi="宋体" w:eastAsia="宋体" w:cs="宋体"/>
          <w:b/>
          <w:color w:val="auto"/>
          <w:sz w:val="28"/>
          <w:highlight w:val="none"/>
        </w:rPr>
      </w:pPr>
      <w:r>
        <w:rPr>
          <w:rFonts w:hint="eastAsia" w:ascii="宋体" w:hAnsi="宋体" w:eastAsia="宋体" w:cs="宋体"/>
          <w:b/>
          <w:color w:val="auto"/>
          <w:sz w:val="28"/>
          <w:highlight w:val="none"/>
        </w:rPr>
        <w:t>第六章  投标文件格式</w:t>
      </w:r>
      <w:bookmarkEnd w:id="52"/>
    </w:p>
    <w:p w14:paraId="55B4D7F1">
      <w:pPr>
        <w:spacing w:line="900" w:lineRule="exact"/>
        <w:jc w:val="center"/>
        <w:rPr>
          <w:rFonts w:ascii="宋体" w:hAnsi="宋体" w:eastAsia="宋体" w:cs="宋体"/>
          <w:b/>
          <w:color w:val="auto"/>
          <w:sz w:val="72"/>
          <w:highlight w:val="none"/>
        </w:rPr>
      </w:pPr>
    </w:p>
    <w:p w14:paraId="496DD241">
      <w:pPr>
        <w:rPr>
          <w:rFonts w:ascii="宋体" w:hAnsi="宋体" w:eastAsia="宋体" w:cs="宋体"/>
          <w:b/>
          <w:color w:val="auto"/>
          <w:sz w:val="28"/>
          <w:szCs w:val="28"/>
          <w:highlight w:val="none"/>
          <w:bdr w:val="single" w:color="000000" w:sz="4" w:space="0"/>
        </w:rPr>
      </w:pPr>
      <w:bookmarkStart w:id="194" w:name="_Toc17986"/>
      <w:bookmarkStart w:id="195" w:name="_Toc28960"/>
      <w:r>
        <w:rPr>
          <w:rFonts w:hint="eastAsia" w:ascii="宋体" w:hAnsi="宋体" w:eastAsia="宋体" w:cs="宋体"/>
          <w:b/>
          <w:color w:val="auto"/>
          <w:sz w:val="28"/>
          <w:szCs w:val="28"/>
          <w:highlight w:val="none"/>
        </w:rPr>
        <w:t>一、资信证明格式文件</w:t>
      </w:r>
    </w:p>
    <w:p w14:paraId="6E4AD0DB">
      <w:pPr>
        <w:jc w:val="center"/>
        <w:rPr>
          <w:rFonts w:ascii="宋体" w:hAnsi="宋体" w:eastAsia="宋体" w:cs="宋体"/>
          <w:color w:val="auto"/>
          <w:sz w:val="20"/>
          <w:highlight w:val="none"/>
        </w:rPr>
      </w:pPr>
    </w:p>
    <w:p w14:paraId="1C701583">
      <w:pPr>
        <w:rPr>
          <w:rFonts w:ascii="宋体" w:hAnsi="宋体" w:eastAsia="宋体" w:cs="宋体"/>
          <w:color w:val="auto"/>
          <w:sz w:val="20"/>
          <w:highlight w:val="none"/>
        </w:rPr>
      </w:pPr>
    </w:p>
    <w:p w14:paraId="4FFCE7E3">
      <w:pPr>
        <w:jc w:val="center"/>
        <w:rPr>
          <w:rFonts w:ascii="宋体" w:hAnsi="宋体" w:eastAsia="宋体" w:cs="宋体"/>
          <w:b/>
          <w:color w:val="auto"/>
          <w:sz w:val="44"/>
          <w:szCs w:val="44"/>
          <w:highlight w:val="none"/>
        </w:rPr>
      </w:pPr>
      <w:bookmarkStart w:id="196" w:name="_Toc449028949"/>
      <w:bookmarkStart w:id="197" w:name="_Toc350698753"/>
      <w:r>
        <w:rPr>
          <w:rFonts w:hint="eastAsia" w:ascii="宋体" w:hAnsi="宋体" w:eastAsia="宋体" w:cs="宋体"/>
          <w:b/>
          <w:color w:val="auto"/>
          <w:sz w:val="44"/>
          <w:szCs w:val="44"/>
          <w:highlight w:val="none"/>
        </w:rPr>
        <w:t>资信证明文件</w:t>
      </w:r>
      <w:bookmarkEnd w:id="196"/>
      <w:bookmarkEnd w:id="197"/>
    </w:p>
    <w:p w14:paraId="443066C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（投标文件一）</w:t>
      </w:r>
    </w:p>
    <w:p w14:paraId="43173BC2">
      <w:pPr>
        <w:jc w:val="center"/>
        <w:rPr>
          <w:rFonts w:ascii="宋体" w:hAnsi="宋体" w:eastAsia="宋体" w:cs="宋体"/>
          <w:color w:val="auto"/>
          <w:sz w:val="44"/>
          <w:szCs w:val="44"/>
          <w:highlight w:val="none"/>
        </w:rPr>
      </w:pPr>
    </w:p>
    <w:p w14:paraId="49CF712C">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287748F8">
      <w:pPr>
        <w:jc w:val="center"/>
        <w:rPr>
          <w:rFonts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72472D48">
      <w:pPr>
        <w:rPr>
          <w:rFonts w:ascii="宋体" w:hAnsi="宋体" w:eastAsia="宋体" w:cs="宋体"/>
          <w:color w:val="auto"/>
          <w:sz w:val="28"/>
          <w:szCs w:val="28"/>
          <w:highlight w:val="none"/>
        </w:rPr>
      </w:pPr>
    </w:p>
    <w:p w14:paraId="233541C3">
      <w:pPr>
        <w:rPr>
          <w:rFonts w:ascii="宋体" w:hAnsi="宋体" w:eastAsia="宋体" w:cs="宋体"/>
          <w:color w:val="auto"/>
          <w:sz w:val="28"/>
          <w:szCs w:val="28"/>
          <w:highlight w:val="none"/>
        </w:rPr>
      </w:pPr>
    </w:p>
    <w:p w14:paraId="470118B5">
      <w:pPr>
        <w:rPr>
          <w:rFonts w:ascii="宋体" w:hAnsi="宋体" w:eastAsia="宋体" w:cs="宋体"/>
          <w:color w:val="auto"/>
          <w:sz w:val="28"/>
          <w:szCs w:val="28"/>
          <w:highlight w:val="none"/>
        </w:rPr>
      </w:pPr>
    </w:p>
    <w:p w14:paraId="4406366C">
      <w:pPr>
        <w:rPr>
          <w:rFonts w:ascii="宋体" w:hAnsi="宋体" w:eastAsia="宋体" w:cs="宋体"/>
          <w:color w:val="auto"/>
          <w:sz w:val="28"/>
          <w:szCs w:val="28"/>
          <w:highlight w:val="none"/>
        </w:rPr>
      </w:pPr>
    </w:p>
    <w:p w14:paraId="37B5AB7B">
      <w:pPr>
        <w:rPr>
          <w:rFonts w:ascii="宋体" w:hAnsi="宋体" w:eastAsia="宋体" w:cs="宋体"/>
          <w:color w:val="auto"/>
          <w:sz w:val="28"/>
          <w:szCs w:val="28"/>
          <w:highlight w:val="none"/>
        </w:rPr>
      </w:pPr>
    </w:p>
    <w:p w14:paraId="160283AC">
      <w:pPr>
        <w:rPr>
          <w:rFonts w:ascii="宋体" w:hAnsi="宋体" w:eastAsia="宋体" w:cs="宋体"/>
          <w:color w:val="auto"/>
          <w:sz w:val="28"/>
          <w:szCs w:val="28"/>
          <w:highlight w:val="none"/>
        </w:rPr>
      </w:pPr>
    </w:p>
    <w:p w14:paraId="79E33168">
      <w:pPr>
        <w:rPr>
          <w:rFonts w:ascii="宋体" w:hAnsi="宋体" w:eastAsia="宋体" w:cs="宋体"/>
          <w:color w:val="auto"/>
          <w:sz w:val="28"/>
          <w:szCs w:val="28"/>
          <w:highlight w:val="none"/>
        </w:rPr>
      </w:pPr>
    </w:p>
    <w:p w14:paraId="4B0C0F71">
      <w:pPr>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16035EBA">
      <w:pPr>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6E5B6523">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24323ACE">
      <w:pPr>
        <w:spacing w:line="720" w:lineRule="auto"/>
        <w:jc w:val="center"/>
        <w:rPr>
          <w:rFonts w:ascii="宋体" w:hAnsi="宋体" w:eastAsia="宋体" w:cs="宋体"/>
          <w:b/>
          <w:color w:val="auto"/>
          <w:sz w:val="36"/>
          <w:szCs w:val="36"/>
          <w:highlight w:val="none"/>
        </w:rPr>
      </w:pPr>
    </w:p>
    <w:p w14:paraId="46BFC557">
      <w:pPr>
        <w:spacing w:line="400" w:lineRule="exact"/>
        <w:ind w:firstLine="4130" w:firstLineChars="935"/>
        <w:rPr>
          <w:rFonts w:ascii="宋体" w:hAnsi="宋体" w:eastAsia="宋体" w:cs="宋体"/>
          <w:b/>
          <w:color w:val="auto"/>
          <w:sz w:val="44"/>
          <w:szCs w:val="44"/>
          <w:highlight w:val="none"/>
        </w:rPr>
      </w:pPr>
    </w:p>
    <w:p w14:paraId="002A7DCF">
      <w:pPr>
        <w:spacing w:line="400" w:lineRule="exact"/>
        <w:ind w:firstLine="4130" w:firstLineChars="935"/>
        <w:rPr>
          <w:rFonts w:ascii="宋体" w:hAnsi="宋体" w:eastAsia="宋体" w:cs="宋体"/>
          <w:b/>
          <w:color w:val="auto"/>
          <w:sz w:val="44"/>
          <w:szCs w:val="44"/>
          <w:highlight w:val="none"/>
        </w:rPr>
      </w:pPr>
    </w:p>
    <w:p w14:paraId="4FB5C614">
      <w:pPr>
        <w:pageBreakBefore/>
        <w:jc w:val="center"/>
        <w:rPr>
          <w:rFonts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47DEE62F">
      <w:pPr>
        <w:spacing w:line="440" w:lineRule="exact"/>
        <w:rPr>
          <w:rFonts w:ascii="宋体" w:hAnsi="宋体" w:eastAsia="宋体" w:cs="宋体"/>
          <w:color w:val="auto"/>
          <w:sz w:val="24"/>
          <w:szCs w:val="24"/>
          <w:highlight w:val="none"/>
        </w:rPr>
      </w:pPr>
    </w:p>
    <w:p w14:paraId="276F7434">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（1）投标人资格声明书（格式见附件）；</w:t>
      </w:r>
    </w:p>
    <w:p w14:paraId="5C644905">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（2）授权书（格式见附件）；   </w:t>
      </w:r>
    </w:p>
    <w:p w14:paraId="3933FD90">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（3）投标人为企业（包括合伙企业）的，应提供有效的“营业执照”；</w:t>
      </w:r>
    </w:p>
    <w:p w14:paraId="3ACEA381">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投标人为事业单位的，应提供有效的“事业单位法人证书”；</w:t>
      </w:r>
    </w:p>
    <w:p w14:paraId="2F3089B6">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投标人是非企业机构的，应提供有效的“执业许可证”、“登记证书”等证明文件；</w:t>
      </w:r>
    </w:p>
    <w:p w14:paraId="1F28439F">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投标人是个体工商户的，应提供有效的“个体工商户营业执照”；</w:t>
      </w:r>
    </w:p>
    <w:p w14:paraId="6E3AB2EB">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投标人是自然人的，应提供有效的自然人身份证明；</w:t>
      </w:r>
    </w:p>
    <w:p w14:paraId="03D69D58">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（4）诚信投标承诺书（格式见附件）；</w:t>
      </w:r>
    </w:p>
    <w:p w14:paraId="47E050AE">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）招标文件中要求的资信评审和资信评分的支持资料；</w:t>
      </w:r>
    </w:p>
    <w:p w14:paraId="09E13E93">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）投标人认为需要提供的其他资信证明材料。</w:t>
      </w:r>
    </w:p>
    <w:p w14:paraId="3655658B">
      <w:pPr>
        <w:pageBreakBefore/>
        <w:spacing w:line="440" w:lineRule="exact"/>
        <w:jc w:val="center"/>
        <w:outlineLvl w:val="1"/>
        <w:rPr>
          <w:rFonts w:ascii="宋体" w:hAnsi="宋体" w:eastAsia="宋体" w:cs="宋体"/>
          <w:b/>
          <w:color w:val="auto"/>
          <w:sz w:val="24"/>
          <w:highlight w:val="none"/>
        </w:rPr>
      </w:pPr>
      <w:bookmarkStart w:id="198" w:name="_Toc18881"/>
      <w:r>
        <w:rPr>
          <w:rFonts w:hint="eastAsia" w:ascii="宋体" w:hAnsi="宋体" w:eastAsia="宋体" w:cs="宋体"/>
          <w:b/>
          <w:color w:val="auto"/>
          <w:sz w:val="24"/>
          <w:highlight w:val="none"/>
        </w:rPr>
        <w:t>（1）投标人资格声明书</w:t>
      </w:r>
      <w:bookmarkEnd w:id="198"/>
      <w:r>
        <w:rPr>
          <w:rFonts w:hint="eastAsia" w:ascii="宋体" w:hAnsi="宋体" w:eastAsia="宋体" w:cs="宋体"/>
          <w:b/>
          <w:color w:val="auto"/>
          <w:sz w:val="24"/>
          <w:highlight w:val="none"/>
        </w:rPr>
        <w:t xml:space="preserve"> </w:t>
      </w:r>
    </w:p>
    <w:p w14:paraId="77CBF4F1">
      <w:pPr>
        <w:pStyle w:val="14"/>
        <w:spacing w:line="440" w:lineRule="exact"/>
        <w:rPr>
          <w:rFonts w:ascii="宋体" w:hAnsi="宋体" w:cs="宋体"/>
          <w:color w:val="auto"/>
          <w:sz w:val="24"/>
          <w:szCs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采购人</w:t>
      </w:r>
    </w:p>
    <w:p w14:paraId="27AE49E7">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7E30667D">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71A13EFF">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2B6528DE">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74DFDC22">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2396DCD">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（五）我单位不属于政府采购法律、行政法规规定的公益一类事业单位、或使用事业编制且由财政拨款保障的群团组织（仅适用于政府购买服务项目）； </w:t>
      </w:r>
    </w:p>
    <w:p w14:paraId="6652F095">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（六）我单位不存在为采购项目提供整体设计、规范编制或者项目管理、监理、检测等服务后，再参加该采购项目的其他采购活动的情形（单一来源采购项目除外）；</w:t>
      </w:r>
    </w:p>
    <w:p w14:paraId="39E729E6">
      <w:pPr>
        <w:widowControl/>
        <w:spacing w:line="440" w:lineRule="exact"/>
        <w:ind w:firstLine="480" w:firstLineChars="20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（七）与我单位存在单位负责人为同一人或者存在直接控股、管理关系的其他法人单位信息如下（如有，不论其是否参加同一合同项下的政府采购活动均须填写）：</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231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6A2EFEF">
            <w:pPr>
              <w:widowControl/>
              <w:spacing w:before="156" w:beforeLines="50" w:after="10" w:line="440" w:lineRule="exact"/>
              <w:jc w:val="center"/>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序号</w:t>
            </w:r>
          </w:p>
        </w:tc>
        <w:tc>
          <w:tcPr>
            <w:tcW w:w="2841" w:type="dxa"/>
          </w:tcPr>
          <w:p w14:paraId="6FD3F89F">
            <w:pPr>
              <w:pStyle w:val="13"/>
              <w:spacing w:before="156" w:beforeLines="50" w:after="10" w:line="440" w:lineRule="exact"/>
              <w:jc w:val="center"/>
              <w:rPr>
                <w:rFonts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单位名称</w:t>
            </w:r>
          </w:p>
        </w:tc>
        <w:tc>
          <w:tcPr>
            <w:tcW w:w="2841" w:type="dxa"/>
          </w:tcPr>
          <w:p w14:paraId="5BC1CF5F">
            <w:pPr>
              <w:pStyle w:val="13"/>
              <w:spacing w:before="156" w:beforeLines="50" w:after="10" w:line="440" w:lineRule="exact"/>
              <w:jc w:val="center"/>
              <w:rPr>
                <w:rFonts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相互关系</w:t>
            </w:r>
          </w:p>
        </w:tc>
      </w:tr>
      <w:tr w14:paraId="72508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4083B24">
            <w:pPr>
              <w:pStyle w:val="13"/>
              <w:spacing w:before="156" w:beforeLines="50" w:after="10" w:line="440" w:lineRule="exact"/>
              <w:jc w:val="center"/>
              <w:rPr>
                <w:rFonts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1</w:t>
            </w:r>
          </w:p>
        </w:tc>
        <w:tc>
          <w:tcPr>
            <w:tcW w:w="2841" w:type="dxa"/>
          </w:tcPr>
          <w:p w14:paraId="369DB8DF">
            <w:pPr>
              <w:pStyle w:val="13"/>
              <w:spacing w:before="156" w:beforeLines="50" w:after="10" w:line="440" w:lineRule="exact"/>
              <w:jc w:val="center"/>
              <w:rPr>
                <w:rFonts w:ascii="宋体" w:hAnsi="宋体" w:eastAsia="宋体" w:cs="宋体"/>
                <w:color w:val="auto"/>
                <w:kern w:val="0"/>
                <w:sz w:val="24"/>
                <w:highlight w:val="none"/>
                <w:lang w:val="en-US" w:bidi="ar"/>
              </w:rPr>
            </w:pPr>
          </w:p>
        </w:tc>
        <w:tc>
          <w:tcPr>
            <w:tcW w:w="2841" w:type="dxa"/>
          </w:tcPr>
          <w:p w14:paraId="572FC447">
            <w:pPr>
              <w:pStyle w:val="13"/>
              <w:spacing w:before="156" w:beforeLines="50" w:after="10" w:line="440" w:lineRule="exact"/>
              <w:jc w:val="center"/>
              <w:rPr>
                <w:rFonts w:ascii="宋体" w:hAnsi="宋体" w:eastAsia="宋体" w:cs="宋体"/>
                <w:color w:val="auto"/>
                <w:kern w:val="0"/>
                <w:sz w:val="24"/>
                <w:highlight w:val="none"/>
                <w:lang w:val="en-US" w:bidi="ar"/>
              </w:rPr>
            </w:pPr>
          </w:p>
        </w:tc>
      </w:tr>
      <w:tr w14:paraId="7662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7CB8AF7">
            <w:pPr>
              <w:pStyle w:val="13"/>
              <w:spacing w:before="156" w:beforeLines="50" w:after="10" w:line="440" w:lineRule="exact"/>
              <w:jc w:val="center"/>
              <w:rPr>
                <w:rFonts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2</w:t>
            </w:r>
          </w:p>
        </w:tc>
        <w:tc>
          <w:tcPr>
            <w:tcW w:w="2841" w:type="dxa"/>
          </w:tcPr>
          <w:p w14:paraId="09B80A6F">
            <w:pPr>
              <w:pStyle w:val="13"/>
              <w:spacing w:before="156" w:beforeLines="50" w:after="10" w:line="440" w:lineRule="exact"/>
              <w:jc w:val="center"/>
              <w:rPr>
                <w:rFonts w:ascii="宋体" w:hAnsi="宋体" w:eastAsia="宋体" w:cs="宋体"/>
                <w:color w:val="auto"/>
                <w:kern w:val="0"/>
                <w:sz w:val="24"/>
                <w:highlight w:val="none"/>
                <w:lang w:val="en-US" w:bidi="ar"/>
              </w:rPr>
            </w:pPr>
          </w:p>
        </w:tc>
        <w:tc>
          <w:tcPr>
            <w:tcW w:w="2841" w:type="dxa"/>
          </w:tcPr>
          <w:p w14:paraId="3C2F0314">
            <w:pPr>
              <w:pStyle w:val="13"/>
              <w:spacing w:before="156" w:beforeLines="50" w:after="10" w:line="440" w:lineRule="exact"/>
              <w:jc w:val="center"/>
              <w:rPr>
                <w:rFonts w:ascii="宋体" w:hAnsi="宋体" w:eastAsia="宋体" w:cs="宋体"/>
                <w:color w:val="auto"/>
                <w:kern w:val="0"/>
                <w:sz w:val="24"/>
                <w:highlight w:val="none"/>
                <w:lang w:val="en-US" w:bidi="ar"/>
              </w:rPr>
            </w:pPr>
          </w:p>
        </w:tc>
      </w:tr>
    </w:tbl>
    <w:p w14:paraId="7C7379D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3F46797C">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1F93A08C">
      <w:pPr>
        <w:tabs>
          <w:tab w:val="left" w:pos="630"/>
        </w:tabs>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1C9663AB">
      <w:pPr>
        <w:spacing w:line="440" w:lineRule="exact"/>
        <w:rPr>
          <w:rFonts w:ascii="宋体" w:hAnsi="宋体" w:eastAsia="宋体" w:cs="宋体"/>
          <w:b/>
          <w:color w:val="auto"/>
          <w:sz w:val="24"/>
          <w:highlight w:val="none"/>
        </w:rPr>
      </w:pPr>
      <w:bookmarkStart w:id="199" w:name="_Toc11607"/>
      <w:r>
        <w:rPr>
          <w:rFonts w:hint="eastAsia" w:ascii="宋体" w:hAnsi="宋体" w:eastAsia="宋体" w:cs="宋体"/>
          <w:b/>
          <w:color w:val="auto"/>
          <w:sz w:val="24"/>
          <w:highlight w:val="none"/>
        </w:rPr>
        <w:br w:type="page"/>
      </w:r>
    </w:p>
    <w:p w14:paraId="3314BE37">
      <w:pPr>
        <w:spacing w:line="440" w:lineRule="exact"/>
        <w:jc w:val="center"/>
        <w:outlineLvl w:val="1"/>
        <w:rPr>
          <w:rFonts w:ascii="宋体" w:hAnsi="宋体" w:eastAsia="宋体" w:cs="宋体"/>
          <w:b/>
          <w:color w:val="auto"/>
          <w:sz w:val="24"/>
          <w:highlight w:val="none"/>
        </w:rPr>
      </w:pPr>
      <w:bookmarkStart w:id="200" w:name="_Toc24583"/>
      <w:r>
        <w:rPr>
          <w:rFonts w:hint="eastAsia" w:ascii="宋体" w:hAnsi="宋体" w:eastAsia="宋体" w:cs="宋体"/>
          <w:b/>
          <w:color w:val="auto"/>
          <w:sz w:val="24"/>
          <w:highlight w:val="none"/>
        </w:rPr>
        <w:t>（2）授权书</w:t>
      </w:r>
      <w:bookmarkEnd w:id="199"/>
      <w:bookmarkEnd w:id="200"/>
    </w:p>
    <w:p w14:paraId="18A55865">
      <w:pPr>
        <w:pStyle w:val="16"/>
        <w:snapToGrid w:val="0"/>
        <w:spacing w:line="440" w:lineRule="exact"/>
        <w:ind w:firstLine="480" w:firstLineChars="200"/>
        <w:jc w:val="left"/>
        <w:rPr>
          <w:rFonts w:hAnsi="宋体" w:eastAsia="宋体" w:cs="宋体"/>
          <w:color w:val="auto"/>
          <w:sz w:val="24"/>
          <w:szCs w:val="28"/>
          <w:highlight w:val="none"/>
        </w:rPr>
      </w:pPr>
    </w:p>
    <w:p w14:paraId="0F3E973C">
      <w:pPr>
        <w:spacing w:line="440" w:lineRule="exact"/>
        <w:ind w:firstLine="435"/>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本</w:t>
      </w:r>
      <w:r>
        <w:rPr>
          <w:rFonts w:hint="eastAsia" w:ascii="宋体" w:hAnsi="宋体" w:eastAsia="宋体" w:cs="宋体"/>
          <w:color w:val="auto"/>
          <w:sz w:val="24"/>
          <w:highlight w:val="none"/>
        </w:rPr>
        <w:t>授权</w:t>
      </w:r>
      <w:r>
        <w:rPr>
          <w:rFonts w:hint="eastAsia" w:ascii="宋体" w:hAnsi="宋体" w:eastAsia="宋体" w:cs="宋体"/>
          <w:color w:val="auto"/>
          <w:sz w:val="24"/>
          <w:szCs w:val="28"/>
          <w:highlight w:val="none"/>
        </w:rPr>
        <w:t>书声明：</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（投标人名称）授权</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（投标人授权代表姓名）代表我方参加本项目</w:t>
      </w:r>
      <w:r>
        <w:rPr>
          <w:rFonts w:hint="eastAsia" w:ascii="宋体" w:hAnsi="宋体" w:eastAsia="宋体" w:cs="宋体"/>
          <w:bCs/>
          <w:color w:val="auto"/>
          <w:sz w:val="24"/>
          <w:szCs w:val="28"/>
          <w:highlight w:val="none"/>
        </w:rPr>
        <w:t>采购活动</w:t>
      </w:r>
      <w:r>
        <w:rPr>
          <w:rFonts w:hint="eastAsia" w:ascii="宋体" w:hAnsi="宋体" w:eastAsia="宋体" w:cs="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8181769">
      <w:pPr>
        <w:spacing w:line="440" w:lineRule="exact"/>
        <w:ind w:firstLine="435"/>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本授权书自出具之日起生效。</w:t>
      </w:r>
    </w:p>
    <w:p w14:paraId="75A6DFF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szCs w:val="28"/>
          <w:highlight w:val="none"/>
        </w:rPr>
        <w:t>授权</w:t>
      </w:r>
      <w:r>
        <w:rPr>
          <w:rFonts w:hint="eastAsia" w:ascii="宋体" w:hAnsi="宋体" w:eastAsia="宋体" w:cs="宋体"/>
          <w:color w:val="auto"/>
          <w:sz w:val="24"/>
          <w:highlight w:val="none"/>
        </w:rPr>
        <w:t>代表身份证明扫描件：</w:t>
      </w:r>
    </w:p>
    <w:p w14:paraId="0242E172">
      <w:pPr>
        <w:spacing w:line="440" w:lineRule="exact"/>
        <w:ind w:firstLine="435"/>
        <w:rPr>
          <w:rFonts w:ascii="宋体" w:hAnsi="宋体" w:eastAsia="宋体" w:cs="宋体"/>
          <w:color w:val="auto"/>
          <w:sz w:val="24"/>
          <w:highlight w:val="none"/>
        </w:rPr>
      </w:pPr>
    </w:p>
    <w:p w14:paraId="161E520C">
      <w:pPr>
        <w:spacing w:line="440" w:lineRule="exact"/>
        <w:ind w:firstLine="435"/>
        <w:rPr>
          <w:rFonts w:ascii="宋体" w:hAnsi="宋体" w:eastAsia="宋体" w:cs="宋体"/>
          <w:color w:val="auto"/>
          <w:sz w:val="24"/>
          <w:highlight w:val="none"/>
        </w:rPr>
      </w:pPr>
    </w:p>
    <w:p w14:paraId="6F3E9814">
      <w:pPr>
        <w:spacing w:line="440" w:lineRule="exact"/>
        <w:ind w:firstLine="435"/>
        <w:rPr>
          <w:rFonts w:ascii="宋体" w:hAnsi="宋体" w:eastAsia="宋体" w:cs="宋体"/>
          <w:color w:val="auto"/>
          <w:sz w:val="24"/>
          <w:highlight w:val="none"/>
        </w:rPr>
      </w:pPr>
    </w:p>
    <w:p w14:paraId="2D3EBCFA">
      <w:pPr>
        <w:spacing w:line="440" w:lineRule="exact"/>
        <w:ind w:firstLine="435"/>
        <w:rPr>
          <w:rFonts w:ascii="宋体" w:hAnsi="宋体" w:eastAsia="宋体" w:cs="宋体"/>
          <w:color w:val="auto"/>
          <w:sz w:val="24"/>
          <w:szCs w:val="28"/>
          <w:highlight w:val="none"/>
          <w:u w:val="single"/>
          <w:lang w:val="zh-CN"/>
        </w:rPr>
      </w:pPr>
      <w:r>
        <w:rPr>
          <w:rFonts w:hint="eastAsia" w:ascii="宋体" w:hAnsi="宋体" w:eastAsia="宋体" w:cs="宋体"/>
          <w:color w:val="auto"/>
          <w:sz w:val="24"/>
          <w:szCs w:val="28"/>
          <w:highlight w:val="none"/>
        </w:rPr>
        <w:t>授权代表联系方式：</w:t>
      </w:r>
      <w:r>
        <w:rPr>
          <w:rFonts w:hint="eastAsia" w:ascii="宋体" w:hAnsi="宋体" w:eastAsia="宋体" w:cs="宋体"/>
          <w:color w:val="auto"/>
          <w:sz w:val="24"/>
          <w:szCs w:val="28"/>
          <w:highlight w:val="none"/>
          <w:u w:val="single"/>
        </w:rPr>
        <w:t xml:space="preserve">          （请填写手机号码）</w:t>
      </w:r>
    </w:p>
    <w:p w14:paraId="33F8439F">
      <w:pPr>
        <w:spacing w:line="440" w:lineRule="exact"/>
        <w:ind w:firstLine="435"/>
        <w:rPr>
          <w:rFonts w:ascii="宋体" w:hAnsi="宋体" w:eastAsia="宋体" w:cs="宋体"/>
          <w:color w:val="auto"/>
          <w:sz w:val="24"/>
          <w:szCs w:val="28"/>
          <w:highlight w:val="none"/>
          <w:lang w:val="zh-CN"/>
        </w:rPr>
      </w:pPr>
    </w:p>
    <w:p w14:paraId="7856DA36">
      <w:pPr>
        <w:spacing w:line="440" w:lineRule="exact"/>
        <w:ind w:firstLine="435"/>
        <w:rPr>
          <w:rFonts w:ascii="宋体" w:hAnsi="宋体" w:eastAsia="宋体" w:cs="宋体"/>
          <w:color w:val="auto"/>
          <w:sz w:val="24"/>
          <w:szCs w:val="28"/>
          <w:highlight w:val="none"/>
        </w:rPr>
      </w:pPr>
      <w:r>
        <w:rPr>
          <w:rFonts w:hint="eastAsia" w:ascii="宋体" w:hAnsi="宋体" w:eastAsia="宋体" w:cs="宋体"/>
          <w:color w:val="auto"/>
          <w:sz w:val="24"/>
          <w:highlight w:val="none"/>
        </w:rPr>
        <w:t>特此</w:t>
      </w:r>
      <w:r>
        <w:rPr>
          <w:rFonts w:hint="eastAsia" w:ascii="宋体" w:hAnsi="宋体" w:eastAsia="宋体" w:cs="宋体"/>
          <w:color w:val="auto"/>
          <w:sz w:val="24"/>
          <w:szCs w:val="28"/>
          <w:highlight w:val="none"/>
        </w:rPr>
        <w:t>声明。</w:t>
      </w:r>
    </w:p>
    <w:p w14:paraId="35C4A858">
      <w:pPr>
        <w:spacing w:line="440" w:lineRule="exact"/>
        <w:rPr>
          <w:rFonts w:ascii="宋体" w:hAnsi="宋体" w:eastAsia="宋体" w:cs="宋体"/>
          <w:color w:val="auto"/>
          <w:sz w:val="24"/>
          <w:szCs w:val="28"/>
          <w:highlight w:val="none"/>
        </w:rPr>
      </w:pPr>
    </w:p>
    <w:p w14:paraId="39A9AB1D">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6898F6DD">
      <w:pPr>
        <w:tabs>
          <w:tab w:val="left" w:pos="630"/>
        </w:tabs>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53D72F2">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注：</w:t>
      </w:r>
    </w:p>
    <w:p w14:paraId="0065FC9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1.本项目只允许有唯一的投标人授权代表，提供身份证明扫描件；</w:t>
      </w:r>
    </w:p>
    <w:p w14:paraId="79023F0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2.法定代表人参加投标的无需提供授权书，提供身份证明扫描件。</w:t>
      </w:r>
    </w:p>
    <w:p w14:paraId="6DDA9267">
      <w:pPr>
        <w:spacing w:line="360" w:lineRule="auto"/>
        <w:jc w:val="center"/>
        <w:outlineLvl w:val="1"/>
        <w:rPr>
          <w:rFonts w:hint="eastAsia" w:asciiTheme="minorEastAsia" w:hAnsiTheme="minorEastAsia" w:eastAsiaTheme="minorEastAsia"/>
          <w:b/>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4"/>
          <w:highlight w:val="none"/>
        </w:rPr>
        <w:t>（3）</w:t>
      </w:r>
      <w:r>
        <w:rPr>
          <w:rFonts w:hint="eastAsia" w:asciiTheme="minorEastAsia" w:hAnsiTheme="minorEastAsia" w:eastAsiaTheme="minorEastAsia"/>
          <w:b/>
          <w:color w:val="auto"/>
          <w:sz w:val="24"/>
          <w:highlight w:val="none"/>
        </w:rPr>
        <w:t>诚信投标承诺书</w:t>
      </w:r>
    </w:p>
    <w:p w14:paraId="5F5F82F1">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本人以企业法定代表人的身份郑重承诺：</w:t>
      </w:r>
    </w:p>
    <w:p w14:paraId="224955AF">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一、将遵循公开、公正和诚实信用的原则自愿参加</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项目的投标，所提供的一切材料都是真实、有效、合法的；</w:t>
      </w:r>
    </w:p>
    <w:p w14:paraId="1361DD44">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2FBABB51">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三、不出借、转让资质证书，不让他人挂靠投标，不以他人名义投标或者以其他方式弄虚作假，骗取中标；</w:t>
      </w:r>
    </w:p>
    <w:p w14:paraId="01030736">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四、不与其他投标人相互串通投标报价，不排挤其他投标人的公平竞争、损害招标人的合法权益；</w:t>
      </w:r>
    </w:p>
    <w:p w14:paraId="424F8700">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五、不与招标人、招标代理机构或其他投标人串通投标，损害国家利益、社会公共利益或者他人的合法权益；</w:t>
      </w:r>
    </w:p>
    <w:p w14:paraId="2C9B5496">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六、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（企业名称）或</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企业名称）法定代表人或拟派项目经理（负责人）没有下列情形：①被列入“信用中国”网站“失信被执行人”的；②被列入“信用中国”网站“重大税收违法失信主体”的；③被列入“信用中国”网站“严重失信主体名单”的；④在“信用中国”网站上披露的仍在公示期的严重失信行为(具体行为类别及判定依据见附件2)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4B20FBF9">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七、我公司没有下列情形：被滁州市县两级公管部门记入不良行为记录且在披露期内。</w:t>
      </w:r>
    </w:p>
    <w:p w14:paraId="3C35B1E1">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八、严格遵守开标现场纪律，服从监管人员管理；</w:t>
      </w:r>
    </w:p>
    <w:p w14:paraId="266B32EA">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九、保证中标后不转包，若有分包征得</w:t>
      </w:r>
      <w:r>
        <w:rPr>
          <w:rFonts w:hint="eastAsia" w:ascii="宋体" w:hAnsi="宋体" w:eastAsia="宋体" w:cs="宋体"/>
          <w:color w:val="auto"/>
          <w:szCs w:val="21"/>
          <w:highlight w:val="none"/>
          <w:lang w:val="en-US" w:eastAsia="zh-CN" w:bidi="ar"/>
        </w:rPr>
        <w:t>采购</w:t>
      </w:r>
      <w:r>
        <w:rPr>
          <w:rFonts w:hint="eastAsia" w:ascii="宋体" w:hAnsi="宋体" w:eastAsia="宋体" w:cs="宋体"/>
          <w:color w:val="auto"/>
          <w:szCs w:val="21"/>
          <w:highlight w:val="none"/>
          <w:lang w:bidi="ar"/>
        </w:rPr>
        <w:t>人同意；</w:t>
      </w:r>
    </w:p>
    <w:p w14:paraId="12F6535A">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十、保证中标之后，按照投标文件要求提供相关后续服务；</w:t>
      </w:r>
    </w:p>
    <w:p w14:paraId="022072B5">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十一、保证企业及所属相关人员在本次投标中无行贿等犯罪行为；</w:t>
      </w:r>
    </w:p>
    <w:p w14:paraId="09846A77">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738EE0CD">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015C945E">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21A2EFA2">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开户银行：                      基本账户：</w:t>
      </w:r>
    </w:p>
    <w:p w14:paraId="08407884">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投标单位（签章）：              法定代表人（签章）：</w:t>
      </w:r>
    </w:p>
    <w:p w14:paraId="4EF26DD9">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61FA734A">
      <w:pPr>
        <w:spacing w:line="560" w:lineRule="exact"/>
        <w:jc w:val="right"/>
        <w:rPr>
          <w:rFonts w:hint="eastAsia" w:ascii="仿宋_GB2312" w:eastAsia="仿宋_GB2312" w:cs="仿宋_GB2312"/>
          <w:color w:val="auto"/>
          <w:sz w:val="32"/>
          <w:szCs w:val="32"/>
          <w:highlight w:val="none"/>
        </w:rPr>
      </w:pPr>
      <w:r>
        <w:rPr>
          <w:rFonts w:hint="eastAsia" w:ascii="宋体" w:hAnsi="宋体" w:eastAsia="宋体" w:cs="宋体"/>
          <w:color w:val="auto"/>
          <w:szCs w:val="21"/>
          <w:highlight w:val="none"/>
          <w:lang w:bidi="ar"/>
        </w:rPr>
        <w:t>日期：</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年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月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日</w:t>
      </w:r>
    </w:p>
    <w:p w14:paraId="3F4C67A3">
      <w:pPr>
        <w:spacing w:line="440" w:lineRule="exact"/>
        <w:ind w:firstLine="435"/>
        <w:rPr>
          <w:rFonts w:ascii="宋体" w:hAnsi="宋体" w:eastAsia="宋体" w:cs="宋体"/>
          <w:color w:val="auto"/>
          <w:sz w:val="24"/>
          <w:szCs w:val="28"/>
          <w:highlight w:val="none"/>
        </w:rPr>
      </w:pPr>
    </w:p>
    <w:p w14:paraId="0CAA35C2">
      <w:pPr>
        <w:spacing w:line="440" w:lineRule="exact"/>
        <w:jc w:val="center"/>
        <w:outlineLvl w:val="0"/>
        <w:rPr>
          <w:rFonts w:hint="eastAsia" w:ascii="宋体" w:hAnsi="宋体" w:eastAsia="宋体" w:cs="宋体"/>
          <w:b/>
          <w:color w:val="auto"/>
          <w:sz w:val="28"/>
          <w:highlight w:val="none"/>
        </w:rPr>
      </w:pPr>
    </w:p>
    <w:p w14:paraId="05FDBCCF">
      <w:pPr>
        <w:spacing w:line="440" w:lineRule="exact"/>
        <w:jc w:val="center"/>
        <w:outlineLvl w:val="0"/>
        <w:rPr>
          <w:rFonts w:hint="eastAsia" w:ascii="宋体" w:hAnsi="宋体" w:eastAsia="宋体" w:cs="宋体"/>
          <w:b/>
          <w:color w:val="auto"/>
          <w:sz w:val="28"/>
          <w:highlight w:val="none"/>
        </w:rPr>
      </w:pPr>
    </w:p>
    <w:p w14:paraId="3F891ABA">
      <w:pPr>
        <w:spacing w:line="440" w:lineRule="exact"/>
        <w:jc w:val="center"/>
        <w:outlineLvl w:val="0"/>
        <w:rPr>
          <w:rFonts w:hint="eastAsia" w:ascii="宋体" w:hAnsi="宋体" w:eastAsia="宋体" w:cs="宋体"/>
          <w:b/>
          <w:color w:val="auto"/>
          <w:sz w:val="28"/>
          <w:highlight w:val="none"/>
        </w:rPr>
      </w:pPr>
    </w:p>
    <w:p w14:paraId="50B9DDFD">
      <w:pPr>
        <w:spacing w:line="440" w:lineRule="exact"/>
        <w:jc w:val="center"/>
        <w:outlineLvl w:val="0"/>
        <w:rPr>
          <w:rFonts w:hint="eastAsia" w:ascii="宋体" w:hAnsi="宋体" w:eastAsia="宋体" w:cs="宋体"/>
          <w:b/>
          <w:color w:val="auto"/>
          <w:sz w:val="28"/>
          <w:highlight w:val="none"/>
        </w:rPr>
      </w:pPr>
    </w:p>
    <w:p w14:paraId="4088BB8E">
      <w:pPr>
        <w:spacing w:line="440" w:lineRule="exact"/>
        <w:jc w:val="center"/>
        <w:outlineLvl w:val="0"/>
        <w:rPr>
          <w:rFonts w:hint="eastAsia" w:ascii="宋体" w:hAnsi="宋体" w:eastAsia="宋体" w:cs="宋体"/>
          <w:b/>
          <w:color w:val="auto"/>
          <w:sz w:val="28"/>
          <w:highlight w:val="none"/>
        </w:rPr>
      </w:pPr>
    </w:p>
    <w:p w14:paraId="44F81DEB">
      <w:pPr>
        <w:spacing w:line="440" w:lineRule="exact"/>
        <w:jc w:val="center"/>
        <w:outlineLvl w:val="0"/>
        <w:rPr>
          <w:rFonts w:hint="eastAsia" w:ascii="宋体" w:hAnsi="宋体" w:eastAsia="宋体" w:cs="宋体"/>
          <w:b/>
          <w:color w:val="auto"/>
          <w:sz w:val="28"/>
          <w:highlight w:val="none"/>
        </w:rPr>
      </w:pPr>
    </w:p>
    <w:p w14:paraId="5CB0970E">
      <w:pPr>
        <w:spacing w:line="440" w:lineRule="exact"/>
        <w:jc w:val="center"/>
        <w:outlineLvl w:val="0"/>
        <w:rPr>
          <w:rFonts w:hint="eastAsia" w:ascii="宋体" w:hAnsi="宋体" w:eastAsia="宋体" w:cs="宋体"/>
          <w:b/>
          <w:color w:val="auto"/>
          <w:sz w:val="28"/>
          <w:highlight w:val="none"/>
        </w:rPr>
      </w:pPr>
    </w:p>
    <w:p w14:paraId="75254BC4">
      <w:pPr>
        <w:spacing w:line="440" w:lineRule="exact"/>
        <w:jc w:val="center"/>
        <w:outlineLvl w:val="0"/>
        <w:rPr>
          <w:rFonts w:hint="eastAsia" w:ascii="宋体" w:hAnsi="宋体" w:eastAsia="宋体" w:cs="宋体"/>
          <w:b/>
          <w:color w:val="auto"/>
          <w:sz w:val="28"/>
          <w:highlight w:val="none"/>
        </w:rPr>
      </w:pPr>
    </w:p>
    <w:p w14:paraId="6739634A">
      <w:pPr>
        <w:spacing w:line="440" w:lineRule="exact"/>
        <w:jc w:val="center"/>
        <w:outlineLvl w:val="0"/>
        <w:rPr>
          <w:rFonts w:hint="eastAsia" w:ascii="宋体" w:hAnsi="宋体" w:eastAsia="宋体" w:cs="宋体"/>
          <w:b/>
          <w:color w:val="auto"/>
          <w:sz w:val="28"/>
          <w:highlight w:val="none"/>
        </w:rPr>
      </w:pPr>
    </w:p>
    <w:p w14:paraId="7011A557">
      <w:pPr>
        <w:spacing w:line="440" w:lineRule="exact"/>
        <w:jc w:val="center"/>
        <w:outlineLvl w:val="0"/>
        <w:rPr>
          <w:rFonts w:hint="eastAsia" w:ascii="宋体" w:hAnsi="宋体" w:eastAsia="宋体" w:cs="宋体"/>
          <w:b/>
          <w:color w:val="auto"/>
          <w:sz w:val="28"/>
          <w:highlight w:val="none"/>
        </w:rPr>
      </w:pPr>
    </w:p>
    <w:p w14:paraId="61AA1CC1">
      <w:pPr>
        <w:spacing w:line="440" w:lineRule="exact"/>
        <w:jc w:val="center"/>
        <w:outlineLvl w:val="0"/>
        <w:rPr>
          <w:rFonts w:hint="eastAsia" w:ascii="宋体" w:hAnsi="宋体" w:eastAsia="宋体" w:cs="宋体"/>
          <w:b/>
          <w:color w:val="auto"/>
          <w:sz w:val="28"/>
          <w:highlight w:val="none"/>
        </w:rPr>
      </w:pPr>
    </w:p>
    <w:p w14:paraId="15550432">
      <w:pPr>
        <w:spacing w:line="440" w:lineRule="exact"/>
        <w:jc w:val="center"/>
        <w:outlineLvl w:val="0"/>
        <w:rPr>
          <w:rFonts w:hint="eastAsia" w:ascii="宋体" w:hAnsi="宋体" w:eastAsia="宋体" w:cs="宋体"/>
          <w:b/>
          <w:color w:val="auto"/>
          <w:sz w:val="28"/>
          <w:highlight w:val="none"/>
        </w:rPr>
      </w:pPr>
    </w:p>
    <w:p w14:paraId="6B1AECCC">
      <w:pPr>
        <w:spacing w:line="440" w:lineRule="exact"/>
        <w:jc w:val="center"/>
        <w:outlineLvl w:val="0"/>
        <w:rPr>
          <w:rFonts w:hint="eastAsia" w:ascii="宋体" w:hAnsi="宋体" w:eastAsia="宋体" w:cs="宋体"/>
          <w:b/>
          <w:color w:val="auto"/>
          <w:sz w:val="28"/>
          <w:highlight w:val="none"/>
        </w:rPr>
      </w:pPr>
    </w:p>
    <w:p w14:paraId="4861554A">
      <w:pPr>
        <w:spacing w:line="440" w:lineRule="exact"/>
        <w:jc w:val="center"/>
        <w:outlineLvl w:val="0"/>
        <w:rPr>
          <w:rFonts w:hint="eastAsia" w:ascii="宋体" w:hAnsi="宋体" w:eastAsia="宋体" w:cs="宋体"/>
          <w:b/>
          <w:color w:val="auto"/>
          <w:sz w:val="28"/>
          <w:highlight w:val="none"/>
        </w:rPr>
      </w:pPr>
    </w:p>
    <w:p w14:paraId="4636D25C">
      <w:pPr>
        <w:pageBreakBefore/>
        <w:rPr>
          <w:rFonts w:ascii="宋体" w:hAnsi="宋体" w:eastAsia="宋体" w:cs="宋体"/>
          <w:b/>
          <w:color w:val="auto"/>
          <w:sz w:val="28"/>
          <w:szCs w:val="28"/>
          <w:highlight w:val="none"/>
          <w:bdr w:val="single" w:color="000000" w:sz="4" w:space="0"/>
        </w:rPr>
      </w:pPr>
      <w:r>
        <w:rPr>
          <w:rFonts w:hint="eastAsia" w:ascii="宋体" w:hAnsi="宋体" w:eastAsia="宋体" w:cs="宋体"/>
          <w:b/>
          <w:color w:val="auto"/>
          <w:sz w:val="28"/>
          <w:szCs w:val="28"/>
          <w:highlight w:val="none"/>
        </w:rPr>
        <w:t>二、技术标格式文件</w:t>
      </w:r>
    </w:p>
    <w:p w14:paraId="318FE8E2">
      <w:pPr>
        <w:jc w:val="center"/>
        <w:rPr>
          <w:rFonts w:ascii="宋体" w:hAnsi="宋体" w:eastAsia="宋体" w:cs="宋体"/>
          <w:color w:val="auto"/>
          <w:sz w:val="20"/>
          <w:highlight w:val="none"/>
        </w:rPr>
      </w:pPr>
    </w:p>
    <w:p w14:paraId="7B980630">
      <w:pPr>
        <w:rPr>
          <w:rFonts w:ascii="宋体" w:hAnsi="宋体" w:eastAsia="宋体" w:cs="宋体"/>
          <w:color w:val="auto"/>
          <w:sz w:val="20"/>
          <w:highlight w:val="none"/>
        </w:rPr>
      </w:pPr>
    </w:p>
    <w:p w14:paraId="443E96AD">
      <w:pPr>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技术标</w:t>
      </w:r>
    </w:p>
    <w:p w14:paraId="442BCA75">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（投标文件二）</w:t>
      </w:r>
    </w:p>
    <w:p w14:paraId="7ACBF9B1">
      <w:pPr>
        <w:jc w:val="center"/>
        <w:rPr>
          <w:rFonts w:ascii="宋体" w:hAnsi="宋体" w:eastAsia="宋体" w:cs="宋体"/>
          <w:color w:val="auto"/>
          <w:sz w:val="44"/>
          <w:szCs w:val="44"/>
          <w:highlight w:val="none"/>
        </w:rPr>
      </w:pPr>
    </w:p>
    <w:p w14:paraId="745FC8E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694241F7">
      <w:pPr>
        <w:jc w:val="center"/>
        <w:rPr>
          <w:rFonts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1A722363">
      <w:pPr>
        <w:rPr>
          <w:rFonts w:ascii="宋体" w:hAnsi="宋体" w:eastAsia="宋体" w:cs="宋体"/>
          <w:color w:val="auto"/>
          <w:sz w:val="28"/>
          <w:szCs w:val="28"/>
          <w:highlight w:val="none"/>
        </w:rPr>
      </w:pPr>
    </w:p>
    <w:p w14:paraId="2EC19DBC">
      <w:pPr>
        <w:rPr>
          <w:rFonts w:ascii="宋体" w:hAnsi="宋体" w:eastAsia="宋体" w:cs="宋体"/>
          <w:color w:val="auto"/>
          <w:sz w:val="28"/>
          <w:szCs w:val="28"/>
          <w:highlight w:val="none"/>
        </w:rPr>
      </w:pPr>
    </w:p>
    <w:p w14:paraId="2F81ACE3">
      <w:pPr>
        <w:rPr>
          <w:rFonts w:ascii="宋体" w:hAnsi="宋体" w:eastAsia="宋体" w:cs="宋体"/>
          <w:color w:val="auto"/>
          <w:sz w:val="28"/>
          <w:szCs w:val="28"/>
          <w:highlight w:val="none"/>
        </w:rPr>
      </w:pPr>
    </w:p>
    <w:p w14:paraId="40045E6B">
      <w:pPr>
        <w:rPr>
          <w:rFonts w:ascii="宋体" w:hAnsi="宋体" w:eastAsia="宋体" w:cs="宋体"/>
          <w:color w:val="auto"/>
          <w:sz w:val="28"/>
          <w:szCs w:val="28"/>
          <w:highlight w:val="none"/>
        </w:rPr>
      </w:pPr>
    </w:p>
    <w:p w14:paraId="5E4FC54F">
      <w:pPr>
        <w:rPr>
          <w:rFonts w:ascii="宋体" w:hAnsi="宋体" w:eastAsia="宋体" w:cs="宋体"/>
          <w:color w:val="auto"/>
          <w:sz w:val="28"/>
          <w:szCs w:val="28"/>
          <w:highlight w:val="none"/>
        </w:rPr>
      </w:pPr>
    </w:p>
    <w:p w14:paraId="0C251CA6">
      <w:pPr>
        <w:rPr>
          <w:rFonts w:ascii="宋体" w:hAnsi="宋体" w:eastAsia="宋体" w:cs="宋体"/>
          <w:color w:val="auto"/>
          <w:sz w:val="28"/>
          <w:szCs w:val="28"/>
          <w:highlight w:val="none"/>
        </w:rPr>
      </w:pPr>
    </w:p>
    <w:p w14:paraId="6803D4FB">
      <w:pPr>
        <w:rPr>
          <w:rFonts w:ascii="宋体" w:hAnsi="宋体" w:eastAsia="宋体" w:cs="宋体"/>
          <w:color w:val="auto"/>
          <w:sz w:val="28"/>
          <w:szCs w:val="28"/>
          <w:highlight w:val="none"/>
        </w:rPr>
      </w:pPr>
    </w:p>
    <w:p w14:paraId="19D496AC">
      <w:pPr>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7BCD2289">
      <w:pPr>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6E1A92A0">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2EEAEC6">
      <w:pPr>
        <w:spacing w:line="720" w:lineRule="auto"/>
        <w:jc w:val="center"/>
        <w:rPr>
          <w:rFonts w:ascii="宋体" w:hAnsi="宋体" w:eastAsia="宋体" w:cs="宋体"/>
          <w:b/>
          <w:color w:val="auto"/>
          <w:sz w:val="36"/>
          <w:szCs w:val="36"/>
          <w:highlight w:val="none"/>
        </w:rPr>
      </w:pPr>
    </w:p>
    <w:p w14:paraId="6C1EBE2E">
      <w:pPr>
        <w:spacing w:line="400" w:lineRule="exact"/>
        <w:ind w:firstLine="4130" w:firstLineChars="935"/>
        <w:rPr>
          <w:rFonts w:ascii="宋体" w:hAnsi="宋体" w:eastAsia="宋体" w:cs="宋体"/>
          <w:b/>
          <w:color w:val="auto"/>
          <w:sz w:val="44"/>
          <w:szCs w:val="44"/>
          <w:highlight w:val="none"/>
        </w:rPr>
      </w:pPr>
    </w:p>
    <w:p w14:paraId="2E45EF9D">
      <w:pPr>
        <w:spacing w:line="400" w:lineRule="exact"/>
        <w:ind w:firstLine="4130" w:firstLineChars="935"/>
        <w:rPr>
          <w:rFonts w:ascii="宋体" w:hAnsi="宋体" w:eastAsia="宋体" w:cs="宋体"/>
          <w:b/>
          <w:color w:val="auto"/>
          <w:sz w:val="44"/>
          <w:szCs w:val="44"/>
          <w:highlight w:val="none"/>
        </w:rPr>
      </w:pPr>
    </w:p>
    <w:p w14:paraId="5224C26B">
      <w:pPr>
        <w:pageBreakBefore/>
        <w:jc w:val="center"/>
        <w:rPr>
          <w:rFonts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5953A1A9">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（1）投标响应表（格式见附件）；</w:t>
      </w:r>
    </w:p>
    <w:p w14:paraId="35FC6406">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（3）诚信履约承诺函（格式见附件）；</w:t>
      </w:r>
    </w:p>
    <w:p w14:paraId="1AB51762">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（4）招标文件中要求的技术标评审及技术标评分的支持资料；</w:t>
      </w:r>
    </w:p>
    <w:p w14:paraId="1AD6A408">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（5）投标人认为需要提供的其他技术证明材料（如有）。</w:t>
      </w:r>
    </w:p>
    <w:p w14:paraId="7B823F41">
      <w:pPr>
        <w:pageBreakBefore/>
        <w:spacing w:line="440" w:lineRule="exact"/>
        <w:jc w:val="center"/>
        <w:outlineLvl w:val="1"/>
        <w:rPr>
          <w:rFonts w:ascii="宋体" w:hAnsi="宋体" w:eastAsia="宋体" w:cs="宋体"/>
          <w:b/>
          <w:color w:val="auto"/>
          <w:sz w:val="24"/>
          <w:highlight w:val="none"/>
        </w:rPr>
      </w:pPr>
      <w:bookmarkStart w:id="201" w:name="_Toc15209"/>
      <w:r>
        <w:rPr>
          <w:rFonts w:hint="eastAsia" w:ascii="宋体" w:hAnsi="宋体" w:eastAsia="宋体" w:cs="宋体"/>
          <w:b/>
          <w:color w:val="auto"/>
          <w:sz w:val="24"/>
          <w:highlight w:val="none"/>
        </w:rPr>
        <w:t>（1）投标响应表</w:t>
      </w:r>
      <w:bookmarkEnd w:id="201"/>
    </w:p>
    <w:p w14:paraId="30AD5B2F">
      <w:pPr>
        <w:spacing w:line="440" w:lineRule="exact"/>
        <w:ind w:firstLine="435"/>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1.1商务响应表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089"/>
        <w:gridCol w:w="2723"/>
        <w:gridCol w:w="2806"/>
        <w:gridCol w:w="883"/>
      </w:tblGrid>
      <w:tr w14:paraId="27B05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18B169AF">
            <w:pPr>
              <w:pStyle w:val="16"/>
              <w:spacing w:line="440" w:lineRule="exact"/>
              <w:jc w:val="center"/>
              <w:rPr>
                <w:rFonts w:hAnsi="宋体" w:eastAsia="宋体" w:cs="宋体"/>
                <w:b/>
                <w:color w:val="auto"/>
                <w:sz w:val="24"/>
                <w:highlight w:val="none"/>
              </w:rPr>
            </w:pPr>
            <w:r>
              <w:rPr>
                <w:rFonts w:hint="eastAsia" w:hAnsi="宋体" w:eastAsia="宋体" w:cs="宋体"/>
                <w:b/>
                <w:color w:val="auto"/>
                <w:sz w:val="24"/>
                <w:highlight w:val="none"/>
              </w:rPr>
              <w:t>序号</w:t>
            </w:r>
          </w:p>
        </w:tc>
        <w:tc>
          <w:tcPr>
            <w:tcW w:w="1124" w:type="pct"/>
            <w:vAlign w:val="center"/>
          </w:tcPr>
          <w:p w14:paraId="5E54C786">
            <w:pPr>
              <w:pStyle w:val="16"/>
              <w:spacing w:line="440" w:lineRule="exact"/>
              <w:jc w:val="center"/>
              <w:rPr>
                <w:rFonts w:hAnsi="宋体" w:eastAsia="宋体" w:cs="宋体"/>
                <w:b/>
                <w:color w:val="auto"/>
                <w:sz w:val="24"/>
                <w:highlight w:val="none"/>
              </w:rPr>
            </w:pPr>
            <w:r>
              <w:rPr>
                <w:rFonts w:hint="eastAsia" w:hAnsi="宋体" w:eastAsia="宋体" w:cs="宋体"/>
                <w:b/>
                <w:bCs/>
                <w:color w:val="auto"/>
                <w:sz w:val="24"/>
                <w:szCs w:val="24"/>
                <w:highlight w:val="none"/>
              </w:rPr>
              <w:t>商务条款</w:t>
            </w:r>
          </w:p>
        </w:tc>
        <w:tc>
          <w:tcPr>
            <w:tcW w:w="1465" w:type="pct"/>
            <w:vAlign w:val="center"/>
          </w:tcPr>
          <w:p w14:paraId="13BF701B">
            <w:pPr>
              <w:pStyle w:val="16"/>
              <w:spacing w:line="440" w:lineRule="exact"/>
              <w:jc w:val="center"/>
              <w:rPr>
                <w:rFonts w:hAnsi="宋体" w:eastAsia="宋体" w:cs="宋体"/>
                <w:b/>
                <w:color w:val="auto"/>
                <w:sz w:val="24"/>
                <w:highlight w:val="none"/>
              </w:rPr>
            </w:pPr>
            <w:r>
              <w:rPr>
                <w:rFonts w:hint="eastAsia" w:hAnsi="宋体" w:eastAsia="宋体" w:cs="宋体"/>
                <w:b/>
                <w:color w:val="auto"/>
                <w:sz w:val="24"/>
                <w:highlight w:val="none"/>
              </w:rPr>
              <w:t>招标文件要求</w:t>
            </w:r>
          </w:p>
        </w:tc>
        <w:tc>
          <w:tcPr>
            <w:tcW w:w="1510" w:type="pct"/>
            <w:vAlign w:val="center"/>
          </w:tcPr>
          <w:p w14:paraId="197028D8">
            <w:pPr>
              <w:pStyle w:val="16"/>
              <w:spacing w:line="440" w:lineRule="exact"/>
              <w:jc w:val="center"/>
              <w:rPr>
                <w:rFonts w:hAnsi="宋体" w:eastAsia="宋体" w:cs="宋体"/>
                <w:b/>
                <w:color w:val="auto"/>
                <w:sz w:val="24"/>
                <w:highlight w:val="none"/>
              </w:rPr>
            </w:pPr>
            <w:r>
              <w:rPr>
                <w:rFonts w:hint="eastAsia" w:hAnsi="宋体" w:eastAsia="宋体" w:cs="宋体"/>
                <w:b/>
                <w:color w:val="auto"/>
                <w:sz w:val="24"/>
                <w:highlight w:val="none"/>
              </w:rPr>
              <w:t>投标人承诺</w:t>
            </w:r>
          </w:p>
        </w:tc>
        <w:tc>
          <w:tcPr>
            <w:tcW w:w="475" w:type="pct"/>
            <w:vAlign w:val="center"/>
          </w:tcPr>
          <w:p w14:paraId="481935C9">
            <w:pPr>
              <w:pStyle w:val="16"/>
              <w:spacing w:line="440" w:lineRule="exact"/>
              <w:jc w:val="center"/>
              <w:rPr>
                <w:rFonts w:hAnsi="宋体" w:eastAsia="宋体" w:cs="宋体"/>
                <w:b/>
                <w:color w:val="auto"/>
                <w:sz w:val="24"/>
                <w:highlight w:val="none"/>
              </w:rPr>
            </w:pPr>
            <w:r>
              <w:rPr>
                <w:rFonts w:hint="eastAsia" w:hAnsi="宋体" w:eastAsia="宋体" w:cs="宋体"/>
                <w:b/>
                <w:color w:val="auto"/>
                <w:sz w:val="24"/>
                <w:highlight w:val="none"/>
              </w:rPr>
              <w:t>偏离说明</w:t>
            </w:r>
          </w:p>
        </w:tc>
      </w:tr>
      <w:tr w14:paraId="12CB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3CA3811">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1124" w:type="pct"/>
            <w:vAlign w:val="center"/>
          </w:tcPr>
          <w:p w14:paraId="6E1D11C1">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1465" w:type="pct"/>
            <w:vAlign w:val="center"/>
          </w:tcPr>
          <w:p w14:paraId="2679F00E">
            <w:pPr>
              <w:spacing w:line="440" w:lineRule="exact"/>
              <w:jc w:val="center"/>
              <w:rPr>
                <w:rFonts w:ascii="宋体" w:hAnsi="宋体" w:eastAsia="宋体" w:cs="宋体"/>
                <w:color w:val="auto"/>
                <w:sz w:val="24"/>
                <w:highlight w:val="none"/>
              </w:rPr>
            </w:pPr>
          </w:p>
        </w:tc>
        <w:tc>
          <w:tcPr>
            <w:tcW w:w="1510" w:type="pct"/>
            <w:vAlign w:val="center"/>
          </w:tcPr>
          <w:p w14:paraId="1BD4CE9E">
            <w:pPr>
              <w:spacing w:line="440" w:lineRule="exact"/>
              <w:jc w:val="center"/>
              <w:rPr>
                <w:rFonts w:ascii="宋体" w:hAnsi="宋体" w:eastAsia="宋体" w:cs="宋体"/>
                <w:color w:val="auto"/>
                <w:sz w:val="24"/>
                <w:highlight w:val="none"/>
              </w:rPr>
            </w:pPr>
          </w:p>
        </w:tc>
        <w:tc>
          <w:tcPr>
            <w:tcW w:w="475" w:type="pct"/>
            <w:vAlign w:val="center"/>
          </w:tcPr>
          <w:p w14:paraId="1E6B6C11">
            <w:pPr>
              <w:spacing w:line="440" w:lineRule="exact"/>
              <w:jc w:val="center"/>
              <w:rPr>
                <w:rFonts w:ascii="宋体" w:hAnsi="宋体" w:eastAsia="宋体" w:cs="宋体"/>
                <w:color w:val="auto"/>
                <w:sz w:val="24"/>
                <w:highlight w:val="none"/>
              </w:rPr>
            </w:pPr>
          </w:p>
        </w:tc>
      </w:tr>
      <w:tr w14:paraId="1E26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AB18920">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1124" w:type="pct"/>
            <w:vAlign w:val="center"/>
          </w:tcPr>
          <w:p w14:paraId="0B971FD7">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服务地点</w:t>
            </w:r>
          </w:p>
        </w:tc>
        <w:tc>
          <w:tcPr>
            <w:tcW w:w="1465" w:type="pct"/>
            <w:vAlign w:val="center"/>
          </w:tcPr>
          <w:p w14:paraId="037E46AE">
            <w:pPr>
              <w:spacing w:line="440" w:lineRule="exact"/>
              <w:jc w:val="center"/>
              <w:rPr>
                <w:rFonts w:ascii="宋体" w:hAnsi="宋体" w:eastAsia="宋体" w:cs="宋体"/>
                <w:color w:val="auto"/>
                <w:sz w:val="24"/>
                <w:highlight w:val="none"/>
              </w:rPr>
            </w:pPr>
          </w:p>
        </w:tc>
        <w:tc>
          <w:tcPr>
            <w:tcW w:w="1510" w:type="pct"/>
            <w:vAlign w:val="center"/>
          </w:tcPr>
          <w:p w14:paraId="18787A5C">
            <w:pPr>
              <w:spacing w:line="440" w:lineRule="exact"/>
              <w:jc w:val="center"/>
              <w:rPr>
                <w:rFonts w:ascii="宋体" w:hAnsi="宋体" w:eastAsia="宋体" w:cs="宋体"/>
                <w:color w:val="auto"/>
                <w:sz w:val="24"/>
                <w:highlight w:val="none"/>
              </w:rPr>
            </w:pPr>
          </w:p>
        </w:tc>
        <w:tc>
          <w:tcPr>
            <w:tcW w:w="475" w:type="pct"/>
            <w:vAlign w:val="center"/>
          </w:tcPr>
          <w:p w14:paraId="2898A422">
            <w:pPr>
              <w:spacing w:line="440" w:lineRule="exact"/>
              <w:jc w:val="center"/>
              <w:rPr>
                <w:rFonts w:ascii="宋体" w:hAnsi="宋体" w:eastAsia="宋体" w:cs="宋体"/>
                <w:color w:val="auto"/>
                <w:sz w:val="24"/>
                <w:highlight w:val="none"/>
              </w:rPr>
            </w:pPr>
          </w:p>
        </w:tc>
      </w:tr>
      <w:tr w14:paraId="1DFA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7E60116">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1124" w:type="pct"/>
            <w:vAlign w:val="center"/>
          </w:tcPr>
          <w:p w14:paraId="55FB10E7">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服务期限</w:t>
            </w:r>
          </w:p>
        </w:tc>
        <w:tc>
          <w:tcPr>
            <w:tcW w:w="1465" w:type="pct"/>
            <w:vAlign w:val="center"/>
          </w:tcPr>
          <w:p w14:paraId="5EBE78AF">
            <w:pPr>
              <w:spacing w:line="440" w:lineRule="exact"/>
              <w:jc w:val="center"/>
              <w:rPr>
                <w:rFonts w:ascii="宋体" w:hAnsi="宋体" w:eastAsia="宋体" w:cs="宋体"/>
                <w:color w:val="auto"/>
                <w:sz w:val="24"/>
                <w:highlight w:val="none"/>
              </w:rPr>
            </w:pPr>
          </w:p>
        </w:tc>
        <w:tc>
          <w:tcPr>
            <w:tcW w:w="1510" w:type="pct"/>
            <w:vAlign w:val="center"/>
          </w:tcPr>
          <w:p w14:paraId="58578856">
            <w:pPr>
              <w:pStyle w:val="54"/>
              <w:spacing w:line="440" w:lineRule="exact"/>
              <w:jc w:val="center"/>
              <w:rPr>
                <w:rFonts w:ascii="宋体" w:hAnsi="宋体" w:cs="宋体"/>
                <w:color w:val="auto"/>
                <w:highlight w:val="none"/>
              </w:rPr>
            </w:pPr>
          </w:p>
        </w:tc>
        <w:tc>
          <w:tcPr>
            <w:tcW w:w="475" w:type="pct"/>
            <w:vAlign w:val="center"/>
          </w:tcPr>
          <w:p w14:paraId="5DF0C778">
            <w:pPr>
              <w:spacing w:line="440" w:lineRule="exact"/>
              <w:jc w:val="center"/>
              <w:rPr>
                <w:rFonts w:ascii="宋体" w:hAnsi="宋体" w:eastAsia="宋体" w:cs="宋体"/>
                <w:color w:val="auto"/>
                <w:sz w:val="24"/>
                <w:highlight w:val="none"/>
              </w:rPr>
            </w:pPr>
          </w:p>
        </w:tc>
      </w:tr>
      <w:tr w14:paraId="322F3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4726D6C">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4</w:t>
            </w:r>
          </w:p>
        </w:tc>
        <w:tc>
          <w:tcPr>
            <w:tcW w:w="1124" w:type="pct"/>
            <w:vAlign w:val="center"/>
          </w:tcPr>
          <w:p w14:paraId="452CA322">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“采购需求”所列的所有内容</w:t>
            </w:r>
          </w:p>
        </w:tc>
        <w:tc>
          <w:tcPr>
            <w:tcW w:w="1465" w:type="pct"/>
            <w:vAlign w:val="center"/>
          </w:tcPr>
          <w:p w14:paraId="5179BF6A">
            <w:pPr>
              <w:spacing w:line="440" w:lineRule="exact"/>
              <w:jc w:val="center"/>
              <w:rPr>
                <w:rFonts w:ascii="宋体" w:hAnsi="宋体" w:eastAsia="宋体" w:cs="宋体"/>
                <w:color w:val="auto"/>
                <w:sz w:val="24"/>
                <w:highlight w:val="none"/>
              </w:rPr>
            </w:pPr>
          </w:p>
        </w:tc>
        <w:tc>
          <w:tcPr>
            <w:tcW w:w="1510" w:type="pct"/>
            <w:vAlign w:val="center"/>
          </w:tcPr>
          <w:p w14:paraId="5DC84688">
            <w:pPr>
              <w:pStyle w:val="54"/>
              <w:spacing w:line="440" w:lineRule="exact"/>
              <w:jc w:val="center"/>
              <w:rPr>
                <w:rFonts w:ascii="宋体" w:hAnsi="宋体" w:cs="宋体"/>
                <w:color w:val="auto"/>
                <w:highlight w:val="none"/>
              </w:rPr>
            </w:pPr>
          </w:p>
        </w:tc>
        <w:tc>
          <w:tcPr>
            <w:tcW w:w="475" w:type="pct"/>
            <w:vAlign w:val="center"/>
          </w:tcPr>
          <w:p w14:paraId="3D58B803">
            <w:pPr>
              <w:spacing w:line="440" w:lineRule="exact"/>
              <w:jc w:val="center"/>
              <w:rPr>
                <w:rFonts w:ascii="宋体" w:hAnsi="宋体" w:eastAsia="宋体" w:cs="宋体"/>
                <w:color w:val="auto"/>
                <w:sz w:val="24"/>
                <w:highlight w:val="none"/>
              </w:rPr>
            </w:pPr>
          </w:p>
        </w:tc>
      </w:tr>
      <w:tr w14:paraId="3C33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664FBAE">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w:t>
            </w:r>
          </w:p>
        </w:tc>
        <w:tc>
          <w:tcPr>
            <w:tcW w:w="1124" w:type="pct"/>
            <w:vAlign w:val="center"/>
          </w:tcPr>
          <w:p w14:paraId="39200411">
            <w:pPr>
              <w:spacing w:line="440" w:lineRule="exact"/>
              <w:jc w:val="center"/>
              <w:rPr>
                <w:rFonts w:ascii="宋体" w:hAnsi="宋体" w:eastAsia="宋体" w:cs="宋体"/>
                <w:color w:val="auto"/>
                <w:sz w:val="24"/>
                <w:highlight w:val="none"/>
              </w:rPr>
            </w:pPr>
          </w:p>
        </w:tc>
        <w:tc>
          <w:tcPr>
            <w:tcW w:w="1465" w:type="pct"/>
            <w:vAlign w:val="center"/>
          </w:tcPr>
          <w:p w14:paraId="5CAED50B">
            <w:pPr>
              <w:spacing w:line="440" w:lineRule="exact"/>
              <w:jc w:val="center"/>
              <w:rPr>
                <w:rFonts w:ascii="宋体" w:hAnsi="宋体" w:eastAsia="宋体" w:cs="宋体"/>
                <w:color w:val="auto"/>
                <w:sz w:val="24"/>
                <w:highlight w:val="none"/>
              </w:rPr>
            </w:pPr>
          </w:p>
        </w:tc>
        <w:tc>
          <w:tcPr>
            <w:tcW w:w="1510" w:type="pct"/>
            <w:vAlign w:val="center"/>
          </w:tcPr>
          <w:p w14:paraId="521EBB2D">
            <w:pPr>
              <w:spacing w:line="440" w:lineRule="exact"/>
              <w:jc w:val="center"/>
              <w:rPr>
                <w:rFonts w:ascii="宋体" w:hAnsi="宋体" w:eastAsia="宋体" w:cs="宋体"/>
                <w:color w:val="auto"/>
                <w:sz w:val="24"/>
                <w:highlight w:val="none"/>
              </w:rPr>
            </w:pPr>
          </w:p>
        </w:tc>
        <w:tc>
          <w:tcPr>
            <w:tcW w:w="475" w:type="pct"/>
            <w:vAlign w:val="center"/>
          </w:tcPr>
          <w:p w14:paraId="3653FF94">
            <w:pPr>
              <w:spacing w:line="440" w:lineRule="exact"/>
              <w:jc w:val="center"/>
              <w:rPr>
                <w:rFonts w:ascii="宋体" w:hAnsi="宋体" w:eastAsia="宋体" w:cs="宋体"/>
                <w:color w:val="auto"/>
                <w:sz w:val="24"/>
                <w:highlight w:val="none"/>
              </w:rPr>
            </w:pPr>
          </w:p>
        </w:tc>
      </w:tr>
    </w:tbl>
    <w:p w14:paraId="2F0C3713">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7B6284B0">
      <w:pPr>
        <w:tabs>
          <w:tab w:val="left" w:pos="630"/>
        </w:tabs>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0687F64C">
      <w:pPr>
        <w:pStyle w:val="14"/>
        <w:spacing w:line="440" w:lineRule="exact"/>
        <w:jc w:val="center"/>
        <w:rPr>
          <w:rFonts w:ascii="宋体" w:hAnsi="宋体" w:cs="宋体"/>
          <w:color w:val="auto"/>
          <w:sz w:val="24"/>
          <w:highlight w:val="none"/>
        </w:rPr>
      </w:pPr>
      <w:r>
        <w:rPr>
          <w:rFonts w:hint="eastAsia" w:ascii="宋体" w:hAnsi="宋体" w:cs="宋体"/>
          <w:b w:val="0"/>
          <w:color w:val="auto"/>
          <w:sz w:val="24"/>
          <w:highlight w:val="none"/>
        </w:rPr>
        <w:br w:type="page"/>
      </w:r>
      <w:bookmarkStart w:id="202" w:name="_Toc23860"/>
      <w:bookmarkStart w:id="203" w:name="_Toc26536"/>
      <w:bookmarkStart w:id="204" w:name="_Hlk11701496"/>
      <w:r>
        <w:rPr>
          <w:rFonts w:hint="eastAsia" w:ascii="宋体" w:hAnsi="宋体" w:cs="宋体"/>
          <w:color w:val="auto"/>
          <w:sz w:val="24"/>
          <w:highlight w:val="none"/>
        </w:rPr>
        <w:t>（2）诚信履约承诺函</w:t>
      </w:r>
      <w:bookmarkEnd w:id="202"/>
      <w:bookmarkEnd w:id="203"/>
    </w:p>
    <w:p w14:paraId="554940D6">
      <w:pPr>
        <w:spacing w:line="440" w:lineRule="exact"/>
        <w:rPr>
          <w:rFonts w:ascii="宋体" w:hAnsi="宋体" w:eastAsia="宋体" w:cs="宋体"/>
          <w:b/>
          <w:bCs/>
          <w:color w:val="auto"/>
          <w:sz w:val="24"/>
          <w:highlight w:val="none"/>
        </w:rPr>
      </w:pPr>
    </w:p>
    <w:p w14:paraId="59E2AA9D">
      <w:pPr>
        <w:spacing w:line="440" w:lineRule="exact"/>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rPr>
        <w:t>致：</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采购人</w:t>
      </w:r>
    </w:p>
    <w:p w14:paraId="1EE90842">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A3F429F">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（1）中标或者成交后无正当理由拒不与采购人签订政府采购合同；</w:t>
      </w:r>
    </w:p>
    <w:p w14:paraId="41BAE6BF">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（2）未按照采购文件确定的事项签订政府采购合同；</w:t>
      </w:r>
    </w:p>
    <w:p w14:paraId="4BD08EAA">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（3）将政府采购合同转包；</w:t>
      </w:r>
    </w:p>
    <w:p w14:paraId="38FAC792">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（4）提供假冒伪劣产品；</w:t>
      </w:r>
    </w:p>
    <w:p w14:paraId="728EEBB1">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（5）擅自变更、中止或者终止政府采购合同。</w:t>
      </w:r>
    </w:p>
    <w:p w14:paraId="5E248624">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D06FD1">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本承诺声明：</w:t>
      </w:r>
      <w:r>
        <w:rPr>
          <w:rFonts w:hint="eastAsia" w:ascii="宋体" w:hAnsi="宋体" w:eastAsia="宋体" w:cs="宋体"/>
          <w:bCs/>
          <w:color w:val="auto"/>
          <w:sz w:val="24"/>
          <w:highlight w:val="none"/>
          <w:u w:val="single"/>
        </w:rPr>
        <w:t xml:space="preserve">                   （投标人名称）</w:t>
      </w:r>
      <w:r>
        <w:rPr>
          <w:rFonts w:hint="eastAsia" w:ascii="宋体" w:hAnsi="宋体" w:eastAsia="宋体" w:cs="宋体"/>
          <w:bCs/>
          <w:color w:val="auto"/>
          <w:sz w:val="24"/>
          <w:highlight w:val="none"/>
        </w:rPr>
        <w:t>对本招标文件的相关要求完全响应，配备人员数量和要求不低于采购需求的要求。若有幸中标将严格按照以上承诺进行服务。</w:t>
      </w:r>
    </w:p>
    <w:p w14:paraId="6EF35E45">
      <w:pPr>
        <w:spacing w:line="440" w:lineRule="exact"/>
        <w:rPr>
          <w:rFonts w:ascii="宋体" w:hAnsi="宋体" w:eastAsia="宋体" w:cs="宋体"/>
          <w:bCs/>
          <w:color w:val="auto"/>
          <w:sz w:val="24"/>
          <w:highlight w:val="none"/>
        </w:rPr>
      </w:pPr>
    </w:p>
    <w:p w14:paraId="73D3EAA3">
      <w:pPr>
        <w:spacing w:line="440" w:lineRule="exact"/>
        <w:rPr>
          <w:rFonts w:ascii="宋体" w:hAnsi="宋体" w:eastAsia="宋体" w:cs="宋体"/>
          <w:bCs/>
          <w:color w:val="auto"/>
          <w:sz w:val="24"/>
          <w:highlight w:val="none"/>
        </w:rPr>
      </w:pPr>
    </w:p>
    <w:p w14:paraId="669FFFE5">
      <w:pPr>
        <w:spacing w:line="440" w:lineRule="exact"/>
        <w:ind w:firstLine="4320" w:firstLineChars="180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投标人电子签章：</w:t>
      </w:r>
      <w:r>
        <w:rPr>
          <w:rFonts w:hint="eastAsia" w:ascii="宋体" w:hAnsi="宋体" w:eastAsia="宋体" w:cs="宋体"/>
          <w:bCs/>
          <w:color w:val="auto"/>
          <w:sz w:val="24"/>
          <w:highlight w:val="none"/>
          <w:u w:val="single"/>
        </w:rPr>
        <w:t xml:space="preserve">             </w:t>
      </w:r>
    </w:p>
    <w:p w14:paraId="5D5833EA">
      <w:pPr>
        <w:spacing w:line="440" w:lineRule="exact"/>
        <w:ind w:firstLine="4320" w:firstLineChars="1800"/>
        <w:rPr>
          <w:rFonts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4D0D0A0C">
      <w:pPr>
        <w:widowControl/>
        <w:spacing w:line="4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br w:type="page"/>
      </w:r>
    </w:p>
    <w:bookmarkEnd w:id="204"/>
    <w:p w14:paraId="09292E73">
      <w:pPr>
        <w:pageBreakBefore/>
        <w:rPr>
          <w:rFonts w:ascii="宋体" w:hAnsi="宋体" w:eastAsia="宋体" w:cs="宋体"/>
          <w:b/>
          <w:color w:val="auto"/>
          <w:sz w:val="28"/>
          <w:szCs w:val="28"/>
          <w:highlight w:val="none"/>
          <w:bdr w:val="single" w:color="000000" w:sz="4" w:space="0"/>
        </w:rPr>
      </w:pPr>
      <w:r>
        <w:rPr>
          <w:rFonts w:hint="eastAsia" w:ascii="宋体" w:hAnsi="宋体" w:eastAsia="宋体" w:cs="宋体"/>
          <w:b/>
          <w:color w:val="auto"/>
          <w:sz w:val="28"/>
          <w:szCs w:val="28"/>
          <w:highlight w:val="none"/>
        </w:rPr>
        <w:t>三、商务标格式文件</w:t>
      </w:r>
    </w:p>
    <w:p w14:paraId="190DA040">
      <w:pPr>
        <w:jc w:val="center"/>
        <w:rPr>
          <w:rFonts w:ascii="宋体" w:hAnsi="宋体" w:eastAsia="宋体" w:cs="宋体"/>
          <w:color w:val="auto"/>
          <w:sz w:val="20"/>
          <w:highlight w:val="none"/>
        </w:rPr>
      </w:pPr>
    </w:p>
    <w:p w14:paraId="7791A3D7">
      <w:pPr>
        <w:rPr>
          <w:rFonts w:ascii="宋体" w:hAnsi="宋体" w:eastAsia="宋体" w:cs="宋体"/>
          <w:color w:val="auto"/>
          <w:sz w:val="20"/>
          <w:highlight w:val="none"/>
        </w:rPr>
      </w:pPr>
    </w:p>
    <w:p w14:paraId="31C9BE2D">
      <w:pPr>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商务标</w:t>
      </w:r>
    </w:p>
    <w:p w14:paraId="24A946EA">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（投标文件三）</w:t>
      </w:r>
    </w:p>
    <w:p w14:paraId="00DCFA96">
      <w:pPr>
        <w:jc w:val="center"/>
        <w:rPr>
          <w:rFonts w:ascii="宋体" w:hAnsi="宋体" w:eastAsia="宋体" w:cs="宋体"/>
          <w:color w:val="auto"/>
          <w:sz w:val="44"/>
          <w:szCs w:val="44"/>
          <w:highlight w:val="none"/>
        </w:rPr>
      </w:pPr>
    </w:p>
    <w:p w14:paraId="359F57A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0AB15B9E">
      <w:pPr>
        <w:jc w:val="center"/>
        <w:rPr>
          <w:rFonts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7DBF1167">
      <w:pPr>
        <w:rPr>
          <w:rFonts w:ascii="宋体" w:hAnsi="宋体" w:eastAsia="宋体" w:cs="宋体"/>
          <w:color w:val="auto"/>
          <w:sz w:val="28"/>
          <w:szCs w:val="28"/>
          <w:highlight w:val="none"/>
        </w:rPr>
      </w:pPr>
    </w:p>
    <w:p w14:paraId="02AAF74A">
      <w:pPr>
        <w:rPr>
          <w:rFonts w:ascii="宋体" w:hAnsi="宋体" w:eastAsia="宋体" w:cs="宋体"/>
          <w:color w:val="auto"/>
          <w:sz w:val="28"/>
          <w:szCs w:val="28"/>
          <w:highlight w:val="none"/>
        </w:rPr>
      </w:pPr>
    </w:p>
    <w:p w14:paraId="2F8E6534">
      <w:pPr>
        <w:rPr>
          <w:rFonts w:ascii="宋体" w:hAnsi="宋体" w:eastAsia="宋体" w:cs="宋体"/>
          <w:color w:val="auto"/>
          <w:sz w:val="28"/>
          <w:szCs w:val="28"/>
          <w:highlight w:val="none"/>
        </w:rPr>
      </w:pPr>
    </w:p>
    <w:p w14:paraId="48437203">
      <w:pPr>
        <w:rPr>
          <w:rFonts w:ascii="宋体" w:hAnsi="宋体" w:eastAsia="宋体" w:cs="宋体"/>
          <w:color w:val="auto"/>
          <w:sz w:val="28"/>
          <w:szCs w:val="28"/>
          <w:highlight w:val="none"/>
        </w:rPr>
      </w:pPr>
    </w:p>
    <w:p w14:paraId="5C2CA82C">
      <w:pPr>
        <w:rPr>
          <w:rFonts w:ascii="宋体" w:hAnsi="宋体" w:eastAsia="宋体" w:cs="宋体"/>
          <w:color w:val="auto"/>
          <w:sz w:val="28"/>
          <w:szCs w:val="28"/>
          <w:highlight w:val="none"/>
        </w:rPr>
      </w:pPr>
    </w:p>
    <w:p w14:paraId="1DD269F9">
      <w:pPr>
        <w:rPr>
          <w:rFonts w:ascii="宋体" w:hAnsi="宋体" w:eastAsia="宋体" w:cs="宋体"/>
          <w:color w:val="auto"/>
          <w:sz w:val="28"/>
          <w:szCs w:val="28"/>
          <w:highlight w:val="none"/>
        </w:rPr>
      </w:pPr>
    </w:p>
    <w:p w14:paraId="12C7D721">
      <w:pPr>
        <w:rPr>
          <w:rFonts w:ascii="宋体" w:hAnsi="宋体" w:eastAsia="宋体" w:cs="宋体"/>
          <w:color w:val="auto"/>
          <w:sz w:val="28"/>
          <w:szCs w:val="28"/>
          <w:highlight w:val="none"/>
        </w:rPr>
      </w:pPr>
    </w:p>
    <w:p w14:paraId="243C44D8">
      <w:pPr>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192FC63B">
      <w:pPr>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66204F04">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F24EE2F">
      <w:pPr>
        <w:spacing w:line="720" w:lineRule="auto"/>
        <w:jc w:val="center"/>
        <w:rPr>
          <w:rFonts w:ascii="宋体" w:hAnsi="宋体" w:eastAsia="宋体" w:cs="宋体"/>
          <w:b/>
          <w:color w:val="auto"/>
          <w:sz w:val="36"/>
          <w:szCs w:val="36"/>
          <w:highlight w:val="none"/>
        </w:rPr>
      </w:pPr>
    </w:p>
    <w:p w14:paraId="21CE8DA9">
      <w:pPr>
        <w:spacing w:line="400" w:lineRule="exact"/>
        <w:ind w:firstLine="4130" w:firstLineChars="935"/>
        <w:rPr>
          <w:rFonts w:ascii="宋体" w:hAnsi="宋体" w:eastAsia="宋体" w:cs="宋体"/>
          <w:b/>
          <w:color w:val="auto"/>
          <w:sz w:val="44"/>
          <w:szCs w:val="44"/>
          <w:highlight w:val="none"/>
        </w:rPr>
      </w:pPr>
    </w:p>
    <w:p w14:paraId="087A9B00">
      <w:pPr>
        <w:spacing w:line="400" w:lineRule="exact"/>
        <w:ind w:firstLine="4130" w:firstLineChars="935"/>
        <w:rPr>
          <w:rFonts w:ascii="宋体" w:hAnsi="宋体" w:eastAsia="宋体" w:cs="宋体"/>
          <w:b/>
          <w:color w:val="auto"/>
          <w:sz w:val="44"/>
          <w:szCs w:val="44"/>
          <w:highlight w:val="none"/>
        </w:rPr>
      </w:pPr>
    </w:p>
    <w:p w14:paraId="692359C8">
      <w:pPr>
        <w:pageBreakBefore/>
        <w:jc w:val="center"/>
        <w:rPr>
          <w:rFonts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171D4768">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（1）开标一览表（格式见附件）；</w:t>
      </w:r>
    </w:p>
    <w:p w14:paraId="7EBF0EA9">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（2）投标函（格式见附件）；</w:t>
      </w:r>
    </w:p>
    <w:p w14:paraId="62BBC0AC">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（3）中小企业声明函，残疾人福利性企业（格式见附件）；</w:t>
      </w:r>
    </w:p>
    <w:p w14:paraId="2464D49D">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省级以上监狱管理局、戒毒管理局（含新疆生产建设兵团）出具的属于监狱企业的证明（如是）；</w:t>
      </w:r>
    </w:p>
    <w:p w14:paraId="707D2E1A">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）招标文件商务评审中要求提供的其他相关资料；</w:t>
      </w:r>
    </w:p>
    <w:p w14:paraId="11920370">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）投标人认为需要提供的其他材料。</w:t>
      </w:r>
    </w:p>
    <w:p w14:paraId="650C9871">
      <w:pPr>
        <w:spacing w:line="440" w:lineRule="exact"/>
        <w:rPr>
          <w:rFonts w:ascii="宋体" w:hAnsi="宋体" w:eastAsia="宋体" w:cs="宋体"/>
          <w:color w:val="auto"/>
          <w:sz w:val="24"/>
          <w:szCs w:val="24"/>
          <w:highlight w:val="none"/>
        </w:rPr>
      </w:pPr>
    </w:p>
    <w:p w14:paraId="7D00FAF0">
      <w:pPr>
        <w:pageBreakBefore/>
        <w:spacing w:line="440" w:lineRule="exact"/>
        <w:jc w:val="center"/>
        <w:outlineLvl w:val="1"/>
        <w:rPr>
          <w:rFonts w:ascii="宋体" w:hAnsi="宋体" w:eastAsia="宋体" w:cs="宋体"/>
          <w:b/>
          <w:color w:val="auto"/>
          <w:sz w:val="24"/>
          <w:highlight w:val="none"/>
        </w:rPr>
      </w:pPr>
      <w:r>
        <w:rPr>
          <w:rFonts w:hint="eastAsia" w:ascii="宋体" w:hAnsi="宋体" w:eastAsia="宋体" w:cs="宋体"/>
          <w:b/>
          <w:color w:val="auto"/>
          <w:sz w:val="24"/>
          <w:highlight w:val="none"/>
        </w:rPr>
        <w:t>（1）开标一览表</w:t>
      </w:r>
      <w:bookmarkEnd w:id="194"/>
      <w:bookmarkEnd w:id="195"/>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1"/>
        <w:gridCol w:w="6777"/>
      </w:tblGrid>
      <w:tr w14:paraId="6D46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308169A3">
            <w:pPr>
              <w:widowControl/>
              <w:spacing w:line="44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46ECDBD4">
            <w:pPr>
              <w:spacing w:line="440" w:lineRule="exact"/>
              <w:jc w:val="center"/>
              <w:rPr>
                <w:rFonts w:ascii="宋体" w:hAnsi="宋体" w:eastAsia="宋体" w:cs="宋体"/>
                <w:bCs/>
                <w:color w:val="auto"/>
                <w:sz w:val="24"/>
                <w:highlight w:val="none"/>
                <w:u w:val="single"/>
              </w:rPr>
            </w:pPr>
          </w:p>
        </w:tc>
      </w:tr>
      <w:tr w14:paraId="63C0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33018B1">
            <w:pPr>
              <w:spacing w:line="44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投标人全称</w:t>
            </w:r>
          </w:p>
        </w:tc>
        <w:tc>
          <w:tcPr>
            <w:tcW w:w="3648" w:type="pct"/>
            <w:tcBorders>
              <w:top w:val="nil"/>
            </w:tcBorders>
            <w:vAlign w:val="center"/>
          </w:tcPr>
          <w:p w14:paraId="7A915038">
            <w:pPr>
              <w:spacing w:line="440" w:lineRule="exact"/>
              <w:rPr>
                <w:rFonts w:ascii="宋体" w:hAnsi="宋体" w:eastAsia="宋体" w:cs="宋体"/>
                <w:color w:val="auto"/>
                <w:sz w:val="24"/>
                <w:highlight w:val="none"/>
              </w:rPr>
            </w:pPr>
          </w:p>
        </w:tc>
      </w:tr>
      <w:tr w14:paraId="4355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352" w:type="pct"/>
            <w:tcBorders>
              <w:top w:val="nil"/>
            </w:tcBorders>
            <w:vAlign w:val="center"/>
          </w:tcPr>
          <w:p w14:paraId="6623CA57">
            <w:pPr>
              <w:spacing w:line="44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投标范围</w:t>
            </w:r>
          </w:p>
        </w:tc>
        <w:tc>
          <w:tcPr>
            <w:tcW w:w="3648" w:type="pct"/>
            <w:tcBorders>
              <w:top w:val="nil"/>
            </w:tcBorders>
            <w:vAlign w:val="center"/>
          </w:tcPr>
          <w:p w14:paraId="7080593A">
            <w:pPr>
              <w:widowControl/>
              <w:spacing w:line="440" w:lineRule="exact"/>
              <w:rPr>
                <w:rFonts w:ascii="宋体" w:hAnsi="宋体" w:eastAsia="宋体" w:cs="宋体"/>
                <w:color w:val="auto"/>
                <w:sz w:val="24"/>
                <w:highlight w:val="none"/>
              </w:rPr>
            </w:pPr>
            <w:r>
              <w:rPr>
                <w:rFonts w:hint="eastAsia" w:ascii="宋体" w:hAnsi="宋体" w:eastAsia="宋体" w:cs="宋体"/>
                <w:color w:val="auto"/>
                <w:sz w:val="24"/>
                <w:szCs w:val="28"/>
                <w:highlight w:val="none"/>
              </w:rPr>
              <w:t>全部</w:t>
            </w:r>
          </w:p>
        </w:tc>
      </w:tr>
      <w:tr w14:paraId="3098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7F89BB3">
            <w:pPr>
              <w:spacing w:line="44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投标报价</w:t>
            </w:r>
          </w:p>
        </w:tc>
        <w:tc>
          <w:tcPr>
            <w:tcW w:w="3648" w:type="pct"/>
            <w:tcBorders>
              <w:top w:val="nil"/>
            </w:tcBorders>
            <w:vAlign w:val="center"/>
          </w:tcPr>
          <w:p w14:paraId="3567B13F">
            <w:pPr>
              <w:spacing w:line="440" w:lineRule="exact"/>
              <w:ind w:right="-67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投标单价</w:t>
            </w:r>
            <w:r>
              <w:rPr>
                <w:rFonts w:hint="eastAsia" w:ascii="宋体" w:hAnsi="宋体" w:eastAsia="宋体" w:cs="宋体"/>
                <w:color w:val="auto"/>
                <w:sz w:val="24"/>
                <w:highlight w:val="none"/>
              </w:rPr>
              <w:t xml:space="preserve"> （大写）：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元/考生(</w:t>
            </w:r>
            <w:r>
              <w:rPr>
                <w:rFonts w:hint="eastAsia" w:ascii="宋体" w:hAnsi="宋体" w:eastAsia="宋体" w:cs="宋体"/>
                <w:color w:val="auto"/>
                <w:sz w:val="24"/>
                <w:highlight w:val="none"/>
                <w:lang w:eastAsia="zh-CN"/>
              </w:rPr>
              <w:t>科目次）</w:t>
            </w:r>
          </w:p>
          <w:p w14:paraId="2DEF7FDB">
            <w:pPr>
              <w:spacing w:line="440" w:lineRule="exact"/>
              <w:ind w:right="-670" w:firstLine="1200" w:firstLineChars="500"/>
              <w:rPr>
                <w:rFonts w:ascii="宋体" w:hAnsi="宋体" w:eastAsia="宋体" w:cs="宋体"/>
                <w:color w:val="auto"/>
                <w:sz w:val="24"/>
                <w:highlight w:val="none"/>
              </w:rPr>
            </w:pPr>
            <w:r>
              <w:rPr>
                <w:rFonts w:hint="eastAsia" w:ascii="宋体" w:hAnsi="宋体" w:eastAsia="宋体" w:cs="宋体"/>
                <w:color w:val="auto"/>
                <w:sz w:val="24"/>
                <w:highlight w:val="none"/>
              </w:rPr>
              <w:t>(小写)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元/考生(</w:t>
            </w:r>
            <w:r>
              <w:rPr>
                <w:rFonts w:hint="eastAsia" w:ascii="宋体" w:hAnsi="宋体" w:eastAsia="宋体" w:cs="宋体"/>
                <w:color w:val="auto"/>
                <w:sz w:val="24"/>
                <w:highlight w:val="none"/>
                <w:lang w:eastAsia="zh-CN"/>
              </w:rPr>
              <w:t>科目次）</w:t>
            </w:r>
          </w:p>
        </w:tc>
      </w:tr>
      <w:tr w14:paraId="6C7F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70F7938">
            <w:pPr>
              <w:spacing w:line="44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其他</w:t>
            </w:r>
          </w:p>
        </w:tc>
        <w:tc>
          <w:tcPr>
            <w:tcW w:w="3648" w:type="pct"/>
            <w:tcBorders>
              <w:top w:val="nil"/>
            </w:tcBorders>
            <w:vAlign w:val="center"/>
          </w:tcPr>
          <w:p w14:paraId="0192193F">
            <w:pPr>
              <w:spacing w:line="440" w:lineRule="exact"/>
              <w:jc w:val="left"/>
              <w:rPr>
                <w:rFonts w:ascii="宋体" w:hAnsi="宋体" w:eastAsia="宋体" w:cs="宋体"/>
                <w:color w:val="auto"/>
                <w:sz w:val="24"/>
                <w:szCs w:val="28"/>
                <w:highlight w:val="none"/>
              </w:rPr>
            </w:pPr>
            <w:r>
              <w:rPr>
                <w:rFonts w:hint="eastAsia" w:ascii="宋体" w:hAnsi="宋体" w:eastAsia="宋体" w:cs="宋体"/>
                <w:color w:val="auto"/>
                <w:sz w:val="24"/>
                <w:highlight w:val="none"/>
              </w:rPr>
              <w:t>服务期：</w:t>
            </w:r>
            <w:r>
              <w:rPr>
                <w:rFonts w:hint="eastAsia" w:ascii="宋体" w:hAnsi="宋体" w:eastAsia="宋体" w:cs="宋体"/>
                <w:color w:val="auto"/>
                <w:sz w:val="24"/>
                <w:highlight w:val="none"/>
                <w:lang w:val="en-US" w:eastAsia="zh-CN"/>
              </w:rPr>
              <w:t>服务期三年，合同一年一签。</w:t>
            </w:r>
            <w:r>
              <w:rPr>
                <w:rFonts w:hint="eastAsia" w:ascii="宋体" w:hAnsi="宋体" w:eastAsia="宋体" w:cs="宋体"/>
                <w:color w:val="auto"/>
                <w:sz w:val="24"/>
                <w:highlight w:val="none"/>
              </w:rPr>
              <w:t xml:space="preserve"> </w:t>
            </w:r>
          </w:p>
        </w:tc>
      </w:tr>
    </w:tbl>
    <w:p w14:paraId="41E89C36">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2C65B9F5">
      <w:pPr>
        <w:tabs>
          <w:tab w:val="left" w:pos="630"/>
        </w:tabs>
        <w:spacing w:line="440" w:lineRule="exact"/>
        <w:ind w:firstLine="4800" w:firstLineChars="2000"/>
        <w:rPr>
          <w:rFonts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20BECAF">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注：</w:t>
      </w:r>
    </w:p>
    <w:p w14:paraId="3DE3F3A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1.此表用于开标唱标之用。</w:t>
      </w:r>
    </w:p>
    <w:p w14:paraId="7422DE1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2.表中投标报价即为优惠后报价，并作为评审及定标依据。任何有选择或有条件的投标报价，或者表中某一包别填写多个报价，均为无效报价。</w:t>
      </w:r>
    </w:p>
    <w:p w14:paraId="14252B4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3.表中大写金额与小写金额不一致的，以大写金额为准。</w:t>
      </w:r>
      <w:r>
        <w:rPr>
          <w:rFonts w:hint="eastAsia" w:ascii="宋体" w:hAnsi="宋体" w:eastAsia="宋体" w:cs="宋体"/>
          <w:color w:val="auto"/>
          <w:sz w:val="24"/>
          <w:highlight w:val="none"/>
        </w:rPr>
        <w:br w:type="page"/>
      </w:r>
    </w:p>
    <w:p w14:paraId="417A18B8">
      <w:pPr>
        <w:spacing w:line="440" w:lineRule="exact"/>
        <w:jc w:val="center"/>
        <w:outlineLvl w:val="1"/>
        <w:rPr>
          <w:rFonts w:ascii="宋体" w:hAnsi="宋体" w:eastAsia="宋体" w:cs="宋体"/>
          <w:b/>
          <w:color w:val="auto"/>
          <w:sz w:val="24"/>
          <w:highlight w:val="none"/>
        </w:rPr>
      </w:pPr>
      <w:bookmarkStart w:id="205" w:name="_Toc6441"/>
      <w:bookmarkStart w:id="206" w:name="_Toc6120"/>
      <w:r>
        <w:rPr>
          <w:rFonts w:hint="eastAsia" w:ascii="宋体" w:hAnsi="宋体" w:eastAsia="宋体" w:cs="宋体"/>
          <w:b/>
          <w:color w:val="auto"/>
          <w:sz w:val="24"/>
          <w:highlight w:val="none"/>
        </w:rPr>
        <w:t>（2）投标函</w:t>
      </w:r>
      <w:bookmarkEnd w:id="205"/>
      <w:bookmarkEnd w:id="206"/>
    </w:p>
    <w:p w14:paraId="2E9C4798">
      <w:pPr>
        <w:pStyle w:val="14"/>
        <w:spacing w:line="440" w:lineRule="exact"/>
        <w:rPr>
          <w:rFonts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采购人</w:t>
      </w:r>
    </w:p>
    <w:p w14:paraId="3D0F0F1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根据贵方的招标公告和投标邀请，我方兹宣布同意如下：</w:t>
      </w:r>
    </w:p>
    <w:p w14:paraId="0730D65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47A4107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2.我方已详细审核全部招标文件，包括招标文件附件及更正公告（如有），我方正式认可并遵守本次招标文件，并对招标文件各项条款、规定及要求均无异议。</w:t>
      </w:r>
    </w:p>
    <w:p w14:paraId="5E6EB1C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3.我方同意从招标文件规定的开标日期起遵循本招标文件，并在招标文件规定的投标有效期之前均具有约束力。</w:t>
      </w:r>
    </w:p>
    <w:p w14:paraId="49E79DF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62B34D15">
      <w:pPr>
        <w:spacing w:line="440" w:lineRule="exact"/>
        <w:ind w:firstLine="4800" w:firstLineChars="2000"/>
        <w:rPr>
          <w:rFonts w:ascii="宋体" w:hAnsi="宋体" w:eastAsia="宋体" w:cs="宋体"/>
          <w:color w:val="auto"/>
          <w:sz w:val="24"/>
          <w:highlight w:val="none"/>
        </w:rPr>
      </w:pPr>
    </w:p>
    <w:p w14:paraId="262C3880">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4F5CC216">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60766973">
      <w:pPr>
        <w:widowControl/>
        <w:spacing w:line="440" w:lineRule="exact"/>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br w:type="page"/>
      </w:r>
    </w:p>
    <w:p w14:paraId="7A00BDC0">
      <w:pPr>
        <w:pageBreakBefore/>
        <w:spacing w:line="440" w:lineRule="exact"/>
        <w:jc w:val="center"/>
        <w:outlineLvl w:val="1"/>
        <w:rPr>
          <w:rFonts w:ascii="宋体" w:hAnsi="宋体" w:eastAsia="宋体" w:cs="宋体"/>
          <w:color w:val="auto"/>
          <w:sz w:val="24"/>
          <w:szCs w:val="24"/>
          <w:highlight w:val="none"/>
        </w:rPr>
      </w:pPr>
      <w:bookmarkStart w:id="207" w:name="_Toc32226"/>
      <w:bookmarkStart w:id="208" w:name="_Toc31027"/>
      <w:r>
        <w:rPr>
          <w:rFonts w:hint="eastAsia" w:ascii="宋体" w:hAnsi="宋体" w:eastAsia="宋体" w:cs="宋体"/>
          <w:b/>
          <w:color w:val="auto"/>
          <w:sz w:val="24"/>
          <w:highlight w:val="none"/>
        </w:rPr>
        <w:t>（3）</w:t>
      </w:r>
      <w:bookmarkEnd w:id="207"/>
      <w:bookmarkEnd w:id="208"/>
      <w:bookmarkStart w:id="209" w:name="_Toc23068"/>
      <w:bookmarkStart w:id="210" w:name="_Toc20329"/>
      <w:r>
        <w:rPr>
          <w:rFonts w:hint="eastAsia" w:ascii="宋体" w:hAnsi="宋体" w:eastAsia="宋体" w:cs="宋体"/>
          <w:b/>
          <w:color w:val="auto"/>
          <w:sz w:val="24"/>
          <w:highlight w:val="none"/>
        </w:rPr>
        <w:t>中小企业声明函</w:t>
      </w:r>
      <w:bookmarkEnd w:id="209"/>
    </w:p>
    <w:p w14:paraId="129F73D9">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lang w:val="zh-CN"/>
        </w:rPr>
        <w:t>单位</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lang w:val="zh-CN"/>
        </w:rPr>
        <w:t>）的（</w:t>
      </w:r>
      <w:r>
        <w:rPr>
          <w:rFonts w:hint="eastAsia" w:ascii="宋体" w:hAnsi="宋体" w:eastAsia="宋体" w:cs="宋体"/>
          <w:color w:val="auto"/>
          <w:sz w:val="24"/>
          <w:szCs w:val="24"/>
          <w:highlight w:val="none"/>
          <w:u w:val="single"/>
          <w:lang w:val="zh-CN"/>
        </w:rPr>
        <w:t>项目</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43A5B6C8">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u w:val="single"/>
          <w:lang w:val="zh-CN"/>
        </w:rPr>
        <w:t xml:space="preserve"> （标的名称） </w:t>
      </w:r>
      <w:r>
        <w:rPr>
          <w:rFonts w:hint="eastAsia" w:ascii="宋体" w:hAnsi="宋体" w:eastAsia="宋体" w:cs="宋体"/>
          <w:color w:val="auto"/>
          <w:sz w:val="24"/>
          <w:szCs w:val="24"/>
          <w:highlight w:val="none"/>
          <w:lang w:val="zh-CN"/>
        </w:rPr>
        <w:t>，属于</w:t>
      </w:r>
      <w:r>
        <w:rPr>
          <w:rFonts w:hint="eastAsia" w:ascii="宋体" w:hAnsi="宋体" w:eastAsia="宋体" w:cs="宋体"/>
          <w:color w:val="auto"/>
          <w:sz w:val="24"/>
          <w:szCs w:val="24"/>
          <w:highlight w:val="none"/>
          <w:u w:val="single"/>
          <w:lang w:val="zh-CN"/>
        </w:rPr>
        <w:t>（采购文件中明确的所属行业）</w:t>
      </w:r>
      <w:r>
        <w:rPr>
          <w:rFonts w:hint="eastAsia" w:ascii="宋体" w:hAnsi="宋体" w:eastAsia="宋体" w:cs="宋体"/>
          <w:color w:val="auto"/>
          <w:sz w:val="24"/>
          <w:szCs w:val="24"/>
          <w:highlight w:val="none"/>
          <w:lang w:val="zh-CN"/>
        </w:rPr>
        <w:t>行业；承接企业为</w:t>
      </w:r>
      <w:r>
        <w:rPr>
          <w:rFonts w:hint="eastAsia" w:ascii="宋体" w:hAnsi="宋体" w:eastAsia="宋体" w:cs="宋体"/>
          <w:color w:val="auto"/>
          <w:sz w:val="24"/>
          <w:szCs w:val="24"/>
          <w:highlight w:val="none"/>
          <w:u w:val="single"/>
          <w:lang w:val="zh-CN"/>
        </w:rPr>
        <w:t>（企业名称）</w:t>
      </w:r>
      <w:r>
        <w:rPr>
          <w:rFonts w:hint="eastAsia" w:ascii="宋体" w:hAnsi="宋体" w:eastAsia="宋体" w:cs="宋体"/>
          <w:color w:val="auto"/>
          <w:sz w:val="24"/>
          <w:szCs w:val="24"/>
          <w:highlight w:val="none"/>
          <w:lang w:val="zh-CN"/>
        </w:rPr>
        <w:t>，从业人员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人，营业收入为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万元，资产总额为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万元，属于</w:t>
      </w:r>
      <w:r>
        <w:rPr>
          <w:rFonts w:hint="eastAsia" w:ascii="宋体" w:hAnsi="宋体" w:eastAsia="宋体" w:cs="宋体"/>
          <w:color w:val="auto"/>
          <w:sz w:val="24"/>
          <w:szCs w:val="24"/>
          <w:highlight w:val="none"/>
          <w:u w:val="single"/>
          <w:lang w:val="zh-CN"/>
        </w:rPr>
        <w:t>（中型企业、小型企业、微型企业）</w:t>
      </w:r>
      <w:r>
        <w:rPr>
          <w:rFonts w:hint="eastAsia" w:ascii="宋体" w:hAnsi="宋体" w:eastAsia="宋体" w:cs="宋体"/>
          <w:color w:val="auto"/>
          <w:sz w:val="24"/>
          <w:szCs w:val="24"/>
          <w:highlight w:val="none"/>
          <w:lang w:val="zh-CN"/>
        </w:rPr>
        <w:t xml:space="preserve">； </w:t>
      </w:r>
    </w:p>
    <w:p w14:paraId="589CA48C">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u w:val="single"/>
          <w:lang w:val="zh-CN"/>
        </w:rPr>
        <w:t xml:space="preserve"> （标的名称） </w:t>
      </w:r>
      <w:r>
        <w:rPr>
          <w:rFonts w:hint="eastAsia" w:ascii="宋体" w:hAnsi="宋体" w:eastAsia="宋体" w:cs="宋体"/>
          <w:color w:val="auto"/>
          <w:sz w:val="24"/>
          <w:szCs w:val="24"/>
          <w:highlight w:val="none"/>
          <w:lang w:val="zh-CN"/>
        </w:rPr>
        <w:t>，属于</w:t>
      </w:r>
      <w:r>
        <w:rPr>
          <w:rFonts w:hint="eastAsia" w:ascii="宋体" w:hAnsi="宋体" w:eastAsia="宋体" w:cs="宋体"/>
          <w:color w:val="auto"/>
          <w:sz w:val="24"/>
          <w:szCs w:val="24"/>
          <w:highlight w:val="none"/>
          <w:u w:val="single"/>
          <w:lang w:val="zh-CN"/>
        </w:rPr>
        <w:t>（采购文件中明确的所属行业）</w:t>
      </w:r>
      <w:r>
        <w:rPr>
          <w:rFonts w:hint="eastAsia" w:ascii="宋体" w:hAnsi="宋体" w:eastAsia="宋体" w:cs="宋体"/>
          <w:color w:val="auto"/>
          <w:sz w:val="24"/>
          <w:szCs w:val="24"/>
          <w:highlight w:val="none"/>
          <w:lang w:val="zh-CN"/>
        </w:rPr>
        <w:t>行业；承接企业为</w:t>
      </w:r>
      <w:r>
        <w:rPr>
          <w:rFonts w:hint="eastAsia" w:ascii="宋体" w:hAnsi="宋体" w:eastAsia="宋体" w:cs="宋体"/>
          <w:color w:val="auto"/>
          <w:sz w:val="24"/>
          <w:szCs w:val="24"/>
          <w:highlight w:val="none"/>
          <w:u w:val="single"/>
          <w:lang w:val="zh-CN"/>
        </w:rPr>
        <w:t>（企业名称）</w:t>
      </w:r>
      <w:r>
        <w:rPr>
          <w:rFonts w:hint="eastAsia" w:ascii="宋体" w:hAnsi="宋体" w:eastAsia="宋体" w:cs="宋体"/>
          <w:color w:val="auto"/>
          <w:sz w:val="24"/>
          <w:szCs w:val="24"/>
          <w:highlight w:val="none"/>
          <w:lang w:val="zh-CN"/>
        </w:rPr>
        <w:t>，从业人员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人，营业收入为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万元，资产总额为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万元，属于</w:t>
      </w:r>
      <w:r>
        <w:rPr>
          <w:rFonts w:hint="eastAsia" w:ascii="宋体" w:hAnsi="宋体" w:eastAsia="宋体" w:cs="宋体"/>
          <w:color w:val="auto"/>
          <w:sz w:val="24"/>
          <w:szCs w:val="24"/>
          <w:highlight w:val="none"/>
          <w:u w:val="single"/>
          <w:lang w:val="zh-CN"/>
        </w:rPr>
        <w:t>（中型企业、小型企业、微型企业）</w:t>
      </w:r>
      <w:r>
        <w:rPr>
          <w:rFonts w:hint="eastAsia" w:ascii="宋体" w:hAnsi="宋体" w:eastAsia="宋体" w:cs="宋体"/>
          <w:color w:val="auto"/>
          <w:sz w:val="24"/>
          <w:szCs w:val="24"/>
          <w:highlight w:val="none"/>
          <w:lang w:val="zh-CN"/>
        </w:rPr>
        <w:t xml:space="preserve">； </w:t>
      </w:r>
    </w:p>
    <w:p w14:paraId="24AF74E2">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p w14:paraId="77D8E08E">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以上企业，不属于大企业的分支机构，不存在控股股东为大企业的情形，也不存在与大企业的负责人为同一人的情形。</w:t>
      </w:r>
    </w:p>
    <w:p w14:paraId="2A768F2F">
      <w:pPr>
        <w:spacing w:line="440" w:lineRule="exact"/>
        <w:ind w:firstLine="43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本企业对上述声明内容的真实性负责。如有虚假，将依法承担相应责任。 </w:t>
      </w:r>
    </w:p>
    <w:p w14:paraId="7CB598B1">
      <w:pPr>
        <w:spacing w:line="440" w:lineRule="exact"/>
        <w:ind w:firstLine="435"/>
        <w:rPr>
          <w:rFonts w:ascii="宋体" w:hAnsi="宋体" w:eastAsia="宋体" w:cs="宋体"/>
          <w:color w:val="auto"/>
          <w:sz w:val="24"/>
          <w:szCs w:val="24"/>
          <w:highlight w:val="none"/>
        </w:rPr>
      </w:pPr>
    </w:p>
    <w:p w14:paraId="12C8C955">
      <w:pPr>
        <w:spacing w:line="440" w:lineRule="exact"/>
        <w:ind w:firstLine="4228" w:firstLineChars="1762"/>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6DC09C32">
      <w:pPr>
        <w:tabs>
          <w:tab w:val="left" w:pos="4620"/>
        </w:tabs>
        <w:spacing w:line="440" w:lineRule="exact"/>
        <w:ind w:firstLine="4252" w:firstLineChars="1772"/>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38C6BB89">
      <w:pPr>
        <w:tabs>
          <w:tab w:val="left" w:pos="4620"/>
        </w:tabs>
        <w:spacing w:line="440" w:lineRule="exact"/>
        <w:jc w:val="left"/>
        <w:rPr>
          <w:rFonts w:ascii="宋体" w:hAnsi="宋体" w:eastAsia="宋体" w:cs="宋体"/>
          <w:b/>
          <w:color w:val="auto"/>
          <w:szCs w:val="24"/>
          <w:highlight w:val="none"/>
        </w:rPr>
      </w:pPr>
      <w:r>
        <w:rPr>
          <w:rFonts w:hint="eastAsia" w:ascii="宋体" w:hAnsi="宋体" w:eastAsia="宋体" w:cs="宋体"/>
          <w:b/>
          <w:color w:val="auto"/>
          <w:szCs w:val="24"/>
          <w:highlight w:val="none"/>
        </w:rPr>
        <w:t>注：</w:t>
      </w:r>
    </w:p>
    <w:p w14:paraId="3E87A452">
      <w:pPr>
        <w:tabs>
          <w:tab w:val="left" w:pos="4620"/>
        </w:tabs>
        <w:spacing w:line="440" w:lineRule="exact"/>
        <w:rPr>
          <w:rFonts w:ascii="宋体" w:hAnsi="宋体" w:eastAsia="宋体" w:cs="宋体"/>
          <w:color w:val="auto"/>
          <w:szCs w:val="24"/>
          <w:highlight w:val="none"/>
        </w:rPr>
      </w:pPr>
      <w:r>
        <w:rPr>
          <w:rFonts w:hint="eastAsia" w:ascii="宋体" w:hAnsi="宋体" w:eastAsia="宋体" w:cs="宋体"/>
          <w:color w:val="auto"/>
          <w:szCs w:val="24"/>
          <w:highlight w:val="none"/>
        </w:rPr>
        <w:t>1.从业人员、营业收入、资产总额填报上一年数据，无上一年数据的新成立企业可不填报。</w:t>
      </w:r>
    </w:p>
    <w:p w14:paraId="1E07C59D">
      <w:pPr>
        <w:tabs>
          <w:tab w:val="left" w:pos="4620"/>
        </w:tabs>
        <w:spacing w:line="44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320E0F77">
      <w:pPr>
        <w:tabs>
          <w:tab w:val="left" w:pos="4620"/>
        </w:tabs>
        <w:spacing w:line="44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3F518EC0">
      <w:pPr>
        <w:tabs>
          <w:tab w:val="left" w:pos="4620"/>
        </w:tabs>
        <w:spacing w:line="44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05A353F7">
      <w:pPr>
        <w:tabs>
          <w:tab w:val="left" w:pos="4620"/>
        </w:tabs>
        <w:spacing w:line="44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36F104F3">
      <w:pPr>
        <w:spacing w:line="440" w:lineRule="exact"/>
        <w:rPr>
          <w:rFonts w:ascii="宋体" w:hAnsi="宋体" w:eastAsia="宋体" w:cs="宋体"/>
          <w:b/>
          <w:color w:val="auto"/>
          <w:sz w:val="24"/>
          <w:highlight w:val="none"/>
        </w:rPr>
      </w:pPr>
      <w:bookmarkStart w:id="211" w:name="_Toc16713"/>
      <w:r>
        <w:rPr>
          <w:rFonts w:hint="eastAsia" w:ascii="宋体" w:hAnsi="宋体" w:eastAsia="宋体" w:cs="宋体"/>
          <w:b/>
          <w:color w:val="auto"/>
          <w:sz w:val="24"/>
          <w:highlight w:val="none"/>
        </w:rPr>
        <w:br w:type="page"/>
      </w:r>
    </w:p>
    <w:p w14:paraId="784896E7">
      <w:pPr>
        <w:spacing w:line="440" w:lineRule="exact"/>
        <w:jc w:val="center"/>
        <w:outlineLvl w:val="1"/>
        <w:rPr>
          <w:rFonts w:ascii="宋体" w:hAnsi="宋体" w:eastAsia="宋体" w:cs="宋体"/>
          <w:b/>
          <w:color w:val="auto"/>
          <w:sz w:val="24"/>
          <w:highlight w:val="none"/>
        </w:rPr>
      </w:pPr>
      <w:bookmarkStart w:id="212" w:name="_Toc17315"/>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）残疾人福利性单位声明函</w:t>
      </w:r>
      <w:bookmarkEnd w:id="211"/>
      <w:bookmarkEnd w:id="212"/>
    </w:p>
    <w:p w14:paraId="3FBDA859">
      <w:pPr>
        <w:pStyle w:val="23"/>
        <w:autoSpaceDE w:val="0"/>
        <w:spacing w:before="0" w:after="120" w:afterAutospacing="0" w:line="360" w:lineRule="auto"/>
        <w:jc w:val="center"/>
        <w:rPr>
          <w:rFonts w:ascii="宋体" w:hAnsi="宋体" w:eastAsia="宋体" w:cs="宋体"/>
          <w:i/>
          <w:color w:val="auto"/>
          <w:kern w:val="2"/>
          <w:szCs w:val="24"/>
          <w:highlight w:val="none"/>
        </w:rPr>
      </w:pPr>
      <w:r>
        <w:rPr>
          <w:rFonts w:hint="eastAsia" w:ascii="宋体" w:hAnsi="宋体" w:eastAsia="宋体" w:cs="宋体"/>
          <w:i/>
          <w:color w:val="auto"/>
          <w:kern w:val="2"/>
          <w:szCs w:val="24"/>
          <w:highlight w:val="none"/>
          <w:lang w:bidi="ar"/>
        </w:rPr>
        <w:t>（非残疾人福利性单位投标，请删去“残疾人福利性单位声明函”）</w:t>
      </w:r>
    </w:p>
    <w:p w14:paraId="617FE711">
      <w:pPr>
        <w:spacing w:line="440" w:lineRule="exact"/>
        <w:ind w:firstLine="435"/>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w:t>
      </w:r>
      <w:r>
        <w:rPr>
          <w:rFonts w:hint="eastAsia" w:ascii="宋体" w:hAnsi="宋体" w:eastAsia="宋体" w:cs="宋体"/>
          <w:color w:val="auto"/>
          <w:sz w:val="24"/>
          <w:highlight w:val="none"/>
        </w:rPr>
        <w:t>郑重</w:t>
      </w:r>
      <w:r>
        <w:rPr>
          <w:rFonts w:hint="eastAsia" w:ascii="宋体" w:hAnsi="宋体" w:eastAsia="宋体" w:cs="宋体"/>
          <w:color w:val="auto"/>
          <w:spacing w:val="6"/>
          <w:sz w:val="24"/>
          <w:szCs w:val="24"/>
          <w:highlight w:val="none"/>
        </w:rPr>
        <w:t>声明，根据《财政部 民政部 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w:t>
      </w:r>
      <w:r>
        <w:rPr>
          <w:rFonts w:hint="eastAsia" w:ascii="宋体" w:hAnsi="宋体" w:eastAsia="宋体" w:cs="宋体"/>
          <w:bCs/>
          <w:color w:val="auto"/>
          <w:sz w:val="24"/>
          <w:szCs w:val="24"/>
          <w:highlight w:val="none"/>
        </w:rPr>
        <w:t>符合</w:t>
      </w:r>
      <w:r>
        <w:rPr>
          <w:rFonts w:hint="eastAsia" w:ascii="宋体" w:hAnsi="宋体" w:eastAsia="宋体" w:cs="宋体"/>
          <w:color w:val="auto"/>
          <w:spacing w:val="6"/>
          <w:sz w:val="24"/>
          <w:szCs w:val="24"/>
          <w:highlight w:val="none"/>
        </w:rPr>
        <w:t>条件的残疾人福利性单位，且本单位参加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35C22B25">
      <w:pPr>
        <w:spacing w:line="440" w:lineRule="exact"/>
        <w:ind w:firstLine="435"/>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33EE1906">
      <w:pPr>
        <w:spacing w:line="440" w:lineRule="exact"/>
        <w:ind w:firstLine="4228" w:firstLineChars="1762"/>
        <w:rPr>
          <w:rFonts w:ascii="宋体" w:hAnsi="宋体" w:eastAsia="宋体" w:cs="宋体"/>
          <w:color w:val="auto"/>
          <w:sz w:val="24"/>
          <w:szCs w:val="24"/>
          <w:highlight w:val="none"/>
        </w:rPr>
      </w:pPr>
    </w:p>
    <w:p w14:paraId="64EEB2F0">
      <w:pPr>
        <w:spacing w:line="440" w:lineRule="exact"/>
        <w:ind w:firstLine="4228" w:firstLineChars="1762"/>
        <w:rPr>
          <w:rFonts w:ascii="宋体" w:hAnsi="宋体" w:eastAsia="宋体" w:cs="宋体"/>
          <w:color w:val="auto"/>
          <w:sz w:val="24"/>
          <w:szCs w:val="24"/>
          <w:highlight w:val="none"/>
        </w:rPr>
      </w:pPr>
    </w:p>
    <w:p w14:paraId="6FEDEEEF">
      <w:pPr>
        <w:spacing w:line="440" w:lineRule="exact"/>
        <w:ind w:firstLine="4228" w:firstLineChars="1762"/>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7806F7B1">
      <w:pPr>
        <w:tabs>
          <w:tab w:val="left" w:pos="4620"/>
        </w:tabs>
        <w:spacing w:line="440" w:lineRule="exact"/>
        <w:ind w:firstLine="4252" w:firstLineChars="1772"/>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2167579A">
      <w:pPr>
        <w:spacing w:line="900" w:lineRule="exact"/>
        <w:jc w:val="center"/>
        <w:rPr>
          <w:rFonts w:ascii="宋体" w:hAnsi="宋体" w:eastAsia="宋体" w:cs="宋体"/>
          <w:b/>
          <w:color w:val="auto"/>
          <w:sz w:val="72"/>
          <w:highlight w:val="none"/>
        </w:rPr>
      </w:pPr>
    </w:p>
    <w:p w14:paraId="63F06D12">
      <w:pPr>
        <w:spacing w:line="440" w:lineRule="exact"/>
        <w:jc w:val="center"/>
        <w:outlineLvl w:val="0"/>
        <w:rPr>
          <w:rFonts w:hint="eastAsia" w:ascii="宋体" w:hAnsi="宋体" w:eastAsia="宋体" w:cs="宋体"/>
          <w:b/>
          <w:color w:val="auto"/>
          <w:sz w:val="28"/>
          <w:highlight w:val="none"/>
        </w:rPr>
      </w:pPr>
    </w:p>
    <w:p w14:paraId="4AA0F45E">
      <w:pPr>
        <w:spacing w:line="440" w:lineRule="exact"/>
        <w:jc w:val="center"/>
        <w:outlineLvl w:val="0"/>
        <w:rPr>
          <w:rFonts w:hint="eastAsia" w:ascii="宋体" w:hAnsi="宋体" w:eastAsia="宋体" w:cs="宋体"/>
          <w:b/>
          <w:color w:val="auto"/>
          <w:sz w:val="28"/>
          <w:highlight w:val="none"/>
        </w:rPr>
      </w:pPr>
    </w:p>
    <w:p w14:paraId="02A233EC">
      <w:pPr>
        <w:pStyle w:val="2"/>
        <w:rPr>
          <w:rFonts w:hint="eastAsia" w:ascii="宋体" w:hAnsi="宋体" w:eastAsia="宋体" w:cs="宋体"/>
          <w:b/>
          <w:color w:val="auto"/>
          <w:sz w:val="28"/>
          <w:highlight w:val="none"/>
        </w:rPr>
      </w:pPr>
    </w:p>
    <w:p w14:paraId="61CC1643">
      <w:pPr>
        <w:pStyle w:val="6"/>
        <w:rPr>
          <w:rFonts w:hint="eastAsia" w:ascii="宋体" w:hAnsi="宋体" w:eastAsia="宋体" w:cs="宋体"/>
          <w:b/>
          <w:color w:val="auto"/>
          <w:sz w:val="28"/>
          <w:highlight w:val="none"/>
        </w:rPr>
      </w:pPr>
    </w:p>
    <w:p w14:paraId="2D5927B6">
      <w:pPr>
        <w:rPr>
          <w:rFonts w:hint="eastAsia" w:ascii="宋体" w:hAnsi="宋体" w:eastAsia="宋体" w:cs="宋体"/>
          <w:b/>
          <w:color w:val="auto"/>
          <w:sz w:val="28"/>
          <w:highlight w:val="none"/>
        </w:rPr>
      </w:pPr>
    </w:p>
    <w:p w14:paraId="132782E7">
      <w:pPr>
        <w:pStyle w:val="2"/>
        <w:rPr>
          <w:rFonts w:hint="eastAsia" w:ascii="宋体" w:hAnsi="宋体" w:eastAsia="宋体" w:cs="宋体"/>
          <w:b/>
          <w:color w:val="auto"/>
          <w:sz w:val="28"/>
          <w:highlight w:val="none"/>
        </w:rPr>
      </w:pPr>
    </w:p>
    <w:p w14:paraId="66AA0874">
      <w:pPr>
        <w:pStyle w:val="6"/>
        <w:rPr>
          <w:rFonts w:hint="eastAsia" w:ascii="宋体" w:hAnsi="宋体" w:eastAsia="宋体" w:cs="宋体"/>
          <w:b/>
          <w:color w:val="auto"/>
          <w:sz w:val="28"/>
          <w:highlight w:val="none"/>
        </w:rPr>
      </w:pPr>
    </w:p>
    <w:p w14:paraId="148BB5CD">
      <w:pPr>
        <w:rPr>
          <w:rFonts w:hint="eastAsia" w:ascii="宋体" w:hAnsi="宋体" w:eastAsia="宋体" w:cs="宋体"/>
          <w:b/>
          <w:color w:val="auto"/>
          <w:sz w:val="28"/>
          <w:highlight w:val="none"/>
        </w:rPr>
      </w:pPr>
    </w:p>
    <w:p w14:paraId="20D868F7">
      <w:pPr>
        <w:pStyle w:val="2"/>
        <w:rPr>
          <w:rFonts w:hint="eastAsia" w:ascii="宋体" w:hAnsi="宋体" w:eastAsia="宋体" w:cs="宋体"/>
          <w:b/>
          <w:color w:val="auto"/>
          <w:sz w:val="28"/>
          <w:highlight w:val="none"/>
        </w:rPr>
      </w:pPr>
    </w:p>
    <w:p w14:paraId="764BBBA8">
      <w:pPr>
        <w:pStyle w:val="6"/>
        <w:rPr>
          <w:rFonts w:hint="eastAsia" w:ascii="宋体" w:hAnsi="宋体" w:eastAsia="宋体" w:cs="宋体"/>
          <w:b/>
          <w:color w:val="auto"/>
          <w:sz w:val="28"/>
          <w:highlight w:val="none"/>
        </w:rPr>
      </w:pPr>
    </w:p>
    <w:p w14:paraId="0BF72F93">
      <w:pPr>
        <w:rPr>
          <w:rFonts w:hint="eastAsia"/>
          <w:color w:val="auto"/>
          <w:highlight w:val="none"/>
        </w:rPr>
      </w:pPr>
    </w:p>
    <w:p w14:paraId="681894E5">
      <w:pPr>
        <w:spacing w:line="440" w:lineRule="exact"/>
        <w:rPr>
          <w:rFonts w:ascii="宋体" w:hAnsi="宋体" w:eastAsia="宋体" w:cs="宋体"/>
          <w:b/>
          <w:color w:val="auto"/>
          <w:sz w:val="24"/>
          <w:highlight w:val="none"/>
        </w:rPr>
      </w:pPr>
    </w:p>
    <w:bookmarkEnd w:id="210"/>
    <w:p w14:paraId="3889FC25">
      <w:pPr>
        <w:spacing w:line="440" w:lineRule="exact"/>
        <w:jc w:val="center"/>
        <w:outlineLvl w:val="0"/>
        <w:rPr>
          <w:rFonts w:ascii="宋体" w:hAnsi="宋体" w:eastAsia="宋体" w:cs="宋体"/>
          <w:b/>
          <w:bCs/>
          <w:color w:val="auto"/>
          <w:sz w:val="28"/>
          <w:highlight w:val="none"/>
        </w:rPr>
      </w:pPr>
      <w:bookmarkStart w:id="213" w:name="_Toc20819"/>
      <w:bookmarkStart w:id="214" w:name="_Toc6435"/>
      <w:r>
        <w:rPr>
          <w:rFonts w:hint="eastAsia" w:ascii="宋体" w:hAnsi="宋体" w:eastAsia="宋体" w:cs="宋体"/>
          <w:b/>
          <w:color w:val="auto"/>
          <w:sz w:val="28"/>
          <w:highlight w:val="none"/>
        </w:rPr>
        <w:t>第七章</w:t>
      </w:r>
      <w:r>
        <w:rPr>
          <w:rFonts w:hint="eastAsia" w:ascii="宋体" w:hAnsi="宋体" w:eastAsia="宋体" w:cs="宋体"/>
          <w:b/>
          <w:bCs/>
          <w:color w:val="auto"/>
          <w:sz w:val="28"/>
          <w:highlight w:val="none"/>
        </w:rPr>
        <w:t xml:space="preserve">  政府采购</w:t>
      </w:r>
      <w:r>
        <w:rPr>
          <w:rFonts w:hint="eastAsia" w:ascii="宋体" w:hAnsi="宋体" w:eastAsia="宋体" w:cs="宋体"/>
          <w:b/>
          <w:color w:val="auto"/>
          <w:sz w:val="28"/>
          <w:highlight w:val="none"/>
        </w:rPr>
        <w:t>供应</w:t>
      </w:r>
      <w:r>
        <w:rPr>
          <w:rFonts w:hint="eastAsia" w:ascii="宋体" w:hAnsi="宋体" w:eastAsia="宋体" w:cs="宋体"/>
          <w:b/>
          <w:bCs/>
          <w:color w:val="auto"/>
          <w:sz w:val="28"/>
          <w:highlight w:val="none"/>
        </w:rPr>
        <w:t>商询问函和质疑函范本</w:t>
      </w:r>
      <w:bookmarkEnd w:id="213"/>
      <w:bookmarkEnd w:id="214"/>
    </w:p>
    <w:p w14:paraId="33B11D52">
      <w:pPr>
        <w:spacing w:line="440" w:lineRule="exact"/>
        <w:jc w:val="center"/>
        <w:outlineLvl w:val="1"/>
        <w:rPr>
          <w:rFonts w:ascii="宋体" w:hAnsi="宋体" w:eastAsia="宋体" w:cs="宋体"/>
          <w:b/>
          <w:bCs/>
          <w:color w:val="auto"/>
          <w:sz w:val="32"/>
          <w:szCs w:val="44"/>
          <w:highlight w:val="none"/>
        </w:rPr>
      </w:pPr>
      <w:bookmarkStart w:id="215" w:name="_Toc27159"/>
      <w:bookmarkStart w:id="216" w:name="_Toc6955"/>
      <w:r>
        <w:rPr>
          <w:rFonts w:hint="eastAsia" w:ascii="宋体" w:hAnsi="宋体" w:eastAsia="宋体" w:cs="宋体"/>
          <w:b/>
          <w:bCs/>
          <w:color w:val="auto"/>
          <w:sz w:val="32"/>
          <w:szCs w:val="44"/>
          <w:highlight w:val="none"/>
        </w:rPr>
        <w:t>询问函范本</w:t>
      </w:r>
      <w:bookmarkEnd w:id="215"/>
      <w:bookmarkEnd w:id="216"/>
    </w:p>
    <w:p w14:paraId="76D4F57F">
      <w:pPr>
        <w:adjustRightInd w:val="0"/>
        <w:snapToGrid w:val="0"/>
        <w:spacing w:line="440" w:lineRule="exact"/>
        <w:ind w:firstLine="480" w:firstLineChars="200"/>
        <w:jc w:val="center"/>
        <w:rPr>
          <w:rFonts w:ascii="宋体" w:hAnsi="宋体" w:eastAsia="宋体" w:cs="宋体"/>
          <w:b/>
          <w:bCs/>
          <w:color w:val="auto"/>
          <w:sz w:val="32"/>
          <w:szCs w:val="44"/>
          <w:highlight w:val="none"/>
        </w:rPr>
      </w:pPr>
      <w:r>
        <w:rPr>
          <w:rFonts w:hint="eastAsia" w:ascii="宋体" w:hAnsi="宋体" w:eastAsia="宋体" w:cs="宋体"/>
          <w:i/>
          <w:iCs/>
          <w:color w:val="auto"/>
          <w:sz w:val="24"/>
          <w:szCs w:val="24"/>
          <w:highlight w:val="none"/>
        </w:rPr>
        <w:t>（如为对采购文件或采购程序的询问或疑问，请按询问函范本或电子交易系统中网上询问格式附件进行提交）</w:t>
      </w:r>
    </w:p>
    <w:p w14:paraId="36923CF8">
      <w:pPr>
        <w:adjustRightInd w:val="0"/>
        <w:snapToGrid w:val="0"/>
        <w:spacing w:line="440" w:lineRule="exact"/>
        <w:rPr>
          <w:rFonts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致：采购人</w:t>
      </w:r>
    </w:p>
    <w:p w14:paraId="0E05FAD1">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我单位拟参与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i/>
          <w:iCs/>
          <w:color w:val="auto"/>
          <w:sz w:val="24"/>
          <w:szCs w:val="24"/>
          <w:highlight w:val="none"/>
        </w:rPr>
        <w:t>项目名称、编号</w:t>
      </w:r>
      <w:r>
        <w:rPr>
          <w:rFonts w:hint="eastAsia" w:ascii="宋体" w:hAnsi="宋体" w:eastAsia="宋体" w:cs="宋体"/>
          <w:color w:val="auto"/>
          <w:sz w:val="24"/>
          <w:szCs w:val="24"/>
          <w:highlight w:val="none"/>
        </w:rPr>
        <w:t>）的采购活动，现有以下内容(或条款)存在疑问(或无法理解)，特提出询问。</w:t>
      </w:r>
    </w:p>
    <w:p w14:paraId="25237A0B">
      <w:pPr>
        <w:adjustRightInd w:val="0"/>
        <w:snapToGrid w:val="0"/>
        <w:spacing w:line="440" w:lineRule="exact"/>
        <w:ind w:firstLine="480" w:firstLineChars="200"/>
        <w:rPr>
          <w:rFonts w:ascii="宋体" w:hAnsi="宋体" w:eastAsia="宋体" w:cs="宋体"/>
          <w:color w:val="auto"/>
          <w:sz w:val="24"/>
          <w:szCs w:val="24"/>
          <w:highlight w:val="none"/>
        </w:rPr>
      </w:pPr>
      <w:bookmarkStart w:id="217" w:name="_Toc13899"/>
      <w:r>
        <w:rPr>
          <w:rFonts w:hint="eastAsia" w:ascii="宋体" w:hAnsi="宋体" w:eastAsia="宋体" w:cs="宋体"/>
          <w:color w:val="auto"/>
          <w:sz w:val="24"/>
          <w:szCs w:val="24"/>
          <w:highlight w:val="none"/>
        </w:rPr>
        <w:t>一、(事项一)</w:t>
      </w:r>
      <w:bookmarkEnd w:id="217"/>
    </w:p>
    <w:p w14:paraId="3129000E">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1、(内容或条款)</w:t>
      </w:r>
    </w:p>
    <w:p w14:paraId="63D0A686">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2、(说明疑问或无法理解原因)</w:t>
      </w:r>
    </w:p>
    <w:p w14:paraId="2C204336">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3、(建议)</w:t>
      </w:r>
    </w:p>
    <w:p w14:paraId="34B69D39">
      <w:pPr>
        <w:adjustRightInd w:val="0"/>
        <w:snapToGrid w:val="0"/>
        <w:spacing w:line="440" w:lineRule="exact"/>
        <w:ind w:firstLine="480" w:firstLineChars="200"/>
        <w:rPr>
          <w:rFonts w:ascii="宋体" w:hAnsi="宋体" w:eastAsia="宋体" w:cs="宋体"/>
          <w:color w:val="auto"/>
          <w:sz w:val="24"/>
          <w:szCs w:val="24"/>
          <w:highlight w:val="none"/>
        </w:rPr>
      </w:pPr>
      <w:bookmarkStart w:id="218" w:name="_Toc3352"/>
      <w:r>
        <w:rPr>
          <w:rFonts w:hint="eastAsia" w:ascii="宋体" w:hAnsi="宋体" w:eastAsia="宋体" w:cs="宋体"/>
          <w:color w:val="auto"/>
          <w:sz w:val="24"/>
          <w:szCs w:val="24"/>
          <w:highlight w:val="none"/>
        </w:rPr>
        <w:t>二、(事项二)</w:t>
      </w:r>
      <w:bookmarkEnd w:id="218"/>
    </w:p>
    <w:p w14:paraId="66428F72">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12B0FD4">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随附相关证明材料如下： </w:t>
      </w:r>
    </w:p>
    <w:p w14:paraId="4CBF63D4">
      <w:pPr>
        <w:spacing w:line="440" w:lineRule="exact"/>
        <w:ind w:firstLine="4228" w:firstLineChars="1762"/>
        <w:rPr>
          <w:rFonts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 xml:space="preserve">              </w:t>
      </w:r>
    </w:p>
    <w:p w14:paraId="35E77F64">
      <w:pPr>
        <w:spacing w:line="440" w:lineRule="exact"/>
        <w:ind w:firstLine="4228" w:firstLineChars="1762"/>
        <w:rPr>
          <w:rFonts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p>
    <w:p w14:paraId="7B13219C">
      <w:pPr>
        <w:tabs>
          <w:tab w:val="left" w:pos="630"/>
        </w:tabs>
        <w:spacing w:line="440" w:lineRule="exact"/>
        <w:ind w:firstLine="4228" w:firstLineChars="1762"/>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6C881150">
      <w:pPr>
        <w:spacing w:line="440" w:lineRule="exact"/>
        <w:rPr>
          <w:rFonts w:ascii="宋体" w:hAnsi="宋体" w:eastAsia="宋体" w:cs="宋体"/>
          <w:b/>
          <w:bCs/>
          <w:color w:val="auto"/>
          <w:sz w:val="32"/>
          <w:szCs w:val="44"/>
          <w:highlight w:val="none"/>
        </w:rPr>
      </w:pPr>
      <w:r>
        <w:rPr>
          <w:rFonts w:hint="eastAsia" w:ascii="宋体" w:hAnsi="宋体" w:eastAsia="宋体" w:cs="宋体"/>
          <w:b/>
          <w:bCs/>
          <w:color w:val="auto"/>
          <w:sz w:val="32"/>
          <w:szCs w:val="44"/>
          <w:highlight w:val="none"/>
        </w:rPr>
        <w:br w:type="page"/>
      </w:r>
    </w:p>
    <w:p w14:paraId="6F5DB6B3">
      <w:pPr>
        <w:spacing w:line="440" w:lineRule="exact"/>
        <w:jc w:val="center"/>
        <w:outlineLvl w:val="1"/>
        <w:rPr>
          <w:rFonts w:ascii="宋体" w:hAnsi="宋体" w:eastAsia="宋体" w:cs="宋体"/>
          <w:b/>
          <w:bCs/>
          <w:color w:val="auto"/>
          <w:sz w:val="32"/>
          <w:szCs w:val="44"/>
          <w:highlight w:val="none"/>
        </w:rPr>
      </w:pPr>
      <w:bookmarkStart w:id="219" w:name="_Toc857"/>
      <w:bookmarkStart w:id="220" w:name="_Toc1575"/>
      <w:r>
        <w:rPr>
          <w:rFonts w:hint="eastAsia" w:ascii="宋体" w:hAnsi="宋体" w:eastAsia="宋体" w:cs="宋体"/>
          <w:b/>
          <w:bCs/>
          <w:color w:val="auto"/>
          <w:sz w:val="32"/>
          <w:szCs w:val="44"/>
          <w:highlight w:val="none"/>
        </w:rPr>
        <w:t>质疑函范本</w:t>
      </w:r>
      <w:bookmarkEnd w:id="219"/>
      <w:bookmarkEnd w:id="220"/>
    </w:p>
    <w:p w14:paraId="274786A3">
      <w:pPr>
        <w:adjustRightInd w:val="0"/>
        <w:snapToGrid w:val="0"/>
        <w:spacing w:before="312" w:beforeLines="100" w:line="440" w:lineRule="exact"/>
        <w:rPr>
          <w:rFonts w:ascii="宋体" w:hAnsi="宋体" w:eastAsia="宋体" w:cs="宋体"/>
          <w:b/>
          <w:bCs/>
          <w:color w:val="auto"/>
          <w:sz w:val="24"/>
          <w:szCs w:val="24"/>
          <w:highlight w:val="none"/>
        </w:rPr>
      </w:pPr>
      <w:bookmarkStart w:id="221" w:name="_Toc21381"/>
      <w:r>
        <w:rPr>
          <w:rFonts w:hint="eastAsia" w:ascii="宋体" w:hAnsi="宋体" w:eastAsia="宋体" w:cs="宋体"/>
          <w:b/>
          <w:bCs/>
          <w:color w:val="auto"/>
          <w:sz w:val="24"/>
          <w:szCs w:val="24"/>
          <w:highlight w:val="none"/>
        </w:rPr>
        <w:t>一、质疑供应商基本信息</w:t>
      </w:r>
      <w:bookmarkEnd w:id="221"/>
    </w:p>
    <w:p w14:paraId="2BC1A78F">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0072AAF2">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32765C1B">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7EAE6DC1">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61D98622">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D8B4B60">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15DA931B">
      <w:pPr>
        <w:adjustRightInd w:val="0"/>
        <w:snapToGrid w:val="0"/>
        <w:spacing w:line="440" w:lineRule="exact"/>
        <w:rPr>
          <w:rFonts w:ascii="宋体" w:hAnsi="宋体" w:eastAsia="宋体" w:cs="宋体"/>
          <w:b/>
          <w:bCs/>
          <w:color w:val="auto"/>
          <w:sz w:val="24"/>
          <w:szCs w:val="24"/>
          <w:highlight w:val="none"/>
        </w:rPr>
      </w:pPr>
      <w:bookmarkStart w:id="222" w:name="_Toc28415"/>
      <w:r>
        <w:rPr>
          <w:rFonts w:hint="eastAsia" w:ascii="宋体" w:hAnsi="宋体" w:eastAsia="宋体" w:cs="宋体"/>
          <w:b/>
          <w:bCs/>
          <w:color w:val="auto"/>
          <w:sz w:val="24"/>
          <w:szCs w:val="24"/>
          <w:highlight w:val="none"/>
        </w:rPr>
        <w:t>二、质疑项目基本情况</w:t>
      </w:r>
      <w:bookmarkEnd w:id="222"/>
    </w:p>
    <w:p w14:paraId="1E6BB37E">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34883701">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45DEC6F6">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026A7AEE">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43B38E4C">
      <w:pPr>
        <w:adjustRightInd w:val="0"/>
        <w:snapToGrid w:val="0"/>
        <w:spacing w:line="440" w:lineRule="exact"/>
        <w:rPr>
          <w:rFonts w:ascii="宋体" w:hAnsi="宋体" w:eastAsia="宋体" w:cs="宋体"/>
          <w:b/>
          <w:bCs/>
          <w:color w:val="auto"/>
          <w:sz w:val="24"/>
          <w:szCs w:val="24"/>
          <w:highlight w:val="none"/>
        </w:rPr>
      </w:pPr>
      <w:bookmarkStart w:id="223" w:name="_Toc19014"/>
      <w:r>
        <w:rPr>
          <w:rFonts w:hint="eastAsia" w:ascii="宋体" w:hAnsi="宋体" w:eastAsia="宋体" w:cs="宋体"/>
          <w:b/>
          <w:bCs/>
          <w:color w:val="auto"/>
          <w:sz w:val="24"/>
          <w:szCs w:val="24"/>
          <w:highlight w:val="none"/>
        </w:rPr>
        <w:t>三、质疑事项具体内容</w:t>
      </w:r>
      <w:bookmarkEnd w:id="223"/>
    </w:p>
    <w:p w14:paraId="5CFB622B">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5B716B07">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2F295DB8">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02E14CC4">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0BB36312">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6D974AD5">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01B711F7">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1A24172">
      <w:pPr>
        <w:adjustRightInd w:val="0"/>
        <w:snapToGrid w:val="0"/>
        <w:spacing w:line="440" w:lineRule="exact"/>
        <w:rPr>
          <w:rFonts w:ascii="宋体" w:hAnsi="宋体" w:eastAsia="宋体" w:cs="宋体"/>
          <w:b/>
          <w:bCs/>
          <w:color w:val="auto"/>
          <w:sz w:val="24"/>
          <w:szCs w:val="24"/>
          <w:highlight w:val="none"/>
        </w:rPr>
      </w:pPr>
      <w:bookmarkStart w:id="224" w:name="_Toc17919"/>
      <w:r>
        <w:rPr>
          <w:rFonts w:hint="eastAsia" w:ascii="宋体" w:hAnsi="宋体" w:eastAsia="宋体" w:cs="宋体"/>
          <w:b/>
          <w:bCs/>
          <w:color w:val="auto"/>
          <w:sz w:val="24"/>
          <w:szCs w:val="24"/>
          <w:highlight w:val="none"/>
        </w:rPr>
        <w:t>四、与质疑事项相关的质疑请求</w:t>
      </w:r>
      <w:bookmarkEnd w:id="224"/>
    </w:p>
    <w:p w14:paraId="7FA4EDEF">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354F70DE">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74A428F1">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4D02CAE5">
      <w:pPr>
        <w:widowControl/>
        <w:spacing w:line="440" w:lineRule="exact"/>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04672137">
      <w:pPr>
        <w:spacing w:line="440" w:lineRule="exact"/>
        <w:outlineLvl w:val="0"/>
        <w:rPr>
          <w:rFonts w:ascii="宋体" w:hAnsi="宋体" w:eastAsia="宋体" w:cs="宋体"/>
          <w:b/>
          <w:color w:val="auto"/>
          <w:sz w:val="28"/>
          <w:szCs w:val="32"/>
          <w:highlight w:val="none"/>
        </w:rPr>
      </w:pPr>
      <w:bookmarkStart w:id="225" w:name="_Toc22239"/>
      <w:bookmarkStart w:id="226" w:name="_Toc9754"/>
      <w:r>
        <w:rPr>
          <w:rFonts w:hint="eastAsia" w:ascii="宋体" w:hAnsi="宋体" w:eastAsia="宋体" w:cs="宋体"/>
          <w:b/>
          <w:color w:val="auto"/>
          <w:sz w:val="28"/>
          <w:szCs w:val="32"/>
          <w:highlight w:val="none"/>
        </w:rPr>
        <w:t>质疑函制作说明：</w:t>
      </w:r>
      <w:bookmarkEnd w:id="225"/>
      <w:bookmarkEnd w:id="226"/>
    </w:p>
    <w:p w14:paraId="684DEA3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6789AAA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ACE8FC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0F241E1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12D42DB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1A91BCB9">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7C5FF304">
      <w:pPr>
        <w:spacing w:line="440" w:lineRule="exact"/>
        <w:ind w:firstLine="435"/>
        <w:rPr>
          <w:rFonts w:hint="eastAsia" w:ascii="宋体" w:hAnsi="宋体" w:eastAsia="宋体" w:cs="宋体"/>
          <w:color w:val="auto"/>
          <w:sz w:val="24"/>
          <w:highlight w:val="none"/>
        </w:rPr>
      </w:pPr>
    </w:p>
    <w:p w14:paraId="43FBAD75">
      <w:pPr>
        <w:spacing w:line="440" w:lineRule="exact"/>
        <w:ind w:firstLine="435"/>
        <w:rPr>
          <w:rFonts w:hint="eastAsia" w:ascii="宋体" w:hAnsi="宋体" w:eastAsia="宋体" w:cs="宋体"/>
          <w:color w:val="auto"/>
          <w:sz w:val="24"/>
          <w:highlight w:val="none"/>
        </w:rPr>
      </w:pPr>
    </w:p>
    <w:p w14:paraId="23602573">
      <w:pPr>
        <w:spacing w:line="440" w:lineRule="exact"/>
        <w:ind w:firstLine="435"/>
        <w:rPr>
          <w:rFonts w:hint="eastAsia" w:ascii="宋体" w:hAnsi="宋体" w:eastAsia="宋体" w:cs="宋体"/>
          <w:color w:val="auto"/>
          <w:sz w:val="24"/>
          <w:highlight w:val="none"/>
        </w:rPr>
      </w:pPr>
    </w:p>
    <w:p w14:paraId="691F492D">
      <w:pPr>
        <w:spacing w:line="440" w:lineRule="exact"/>
        <w:ind w:firstLine="435"/>
        <w:rPr>
          <w:rFonts w:hint="eastAsia" w:ascii="宋体" w:hAnsi="宋体" w:eastAsia="宋体" w:cs="宋体"/>
          <w:color w:val="auto"/>
          <w:sz w:val="24"/>
          <w:highlight w:val="none"/>
        </w:rPr>
      </w:pPr>
    </w:p>
    <w:p w14:paraId="513C2677">
      <w:pPr>
        <w:spacing w:line="440" w:lineRule="exact"/>
        <w:ind w:firstLine="435"/>
        <w:rPr>
          <w:rFonts w:hint="eastAsia" w:ascii="宋体" w:hAnsi="宋体" w:eastAsia="宋体" w:cs="宋体"/>
          <w:color w:val="auto"/>
          <w:sz w:val="24"/>
          <w:highlight w:val="none"/>
        </w:rPr>
      </w:pPr>
    </w:p>
    <w:p w14:paraId="19C932ED">
      <w:pPr>
        <w:spacing w:line="440" w:lineRule="exact"/>
        <w:ind w:firstLine="435"/>
        <w:rPr>
          <w:rFonts w:hint="eastAsia" w:ascii="宋体" w:hAnsi="宋体" w:eastAsia="宋体" w:cs="宋体"/>
          <w:color w:val="auto"/>
          <w:sz w:val="24"/>
          <w:highlight w:val="none"/>
        </w:rPr>
      </w:pPr>
    </w:p>
    <w:p w14:paraId="55AC3CF7">
      <w:pPr>
        <w:spacing w:line="440" w:lineRule="exact"/>
        <w:ind w:firstLine="435"/>
        <w:rPr>
          <w:rFonts w:hint="eastAsia" w:ascii="宋体" w:hAnsi="宋体" w:eastAsia="宋体" w:cs="宋体"/>
          <w:color w:val="auto"/>
          <w:sz w:val="24"/>
          <w:highlight w:val="none"/>
        </w:rPr>
      </w:pPr>
    </w:p>
    <w:p w14:paraId="105686F3">
      <w:pPr>
        <w:spacing w:line="440" w:lineRule="exact"/>
        <w:ind w:firstLine="435"/>
        <w:rPr>
          <w:rFonts w:hint="eastAsia" w:ascii="宋体" w:hAnsi="宋体" w:eastAsia="宋体" w:cs="宋体"/>
          <w:color w:val="auto"/>
          <w:sz w:val="24"/>
          <w:highlight w:val="none"/>
        </w:rPr>
      </w:pPr>
    </w:p>
    <w:p w14:paraId="0C89242E">
      <w:pPr>
        <w:spacing w:line="440" w:lineRule="exact"/>
        <w:ind w:firstLine="435"/>
        <w:rPr>
          <w:rFonts w:hint="eastAsia" w:ascii="宋体" w:hAnsi="宋体" w:eastAsia="宋体" w:cs="宋体"/>
          <w:color w:val="auto"/>
          <w:sz w:val="24"/>
          <w:highlight w:val="none"/>
        </w:rPr>
      </w:pPr>
    </w:p>
    <w:p w14:paraId="6EDFEA09">
      <w:pPr>
        <w:spacing w:line="440" w:lineRule="exact"/>
        <w:ind w:firstLine="435"/>
        <w:rPr>
          <w:rFonts w:hint="eastAsia" w:ascii="宋体" w:hAnsi="宋体" w:eastAsia="宋体" w:cs="宋体"/>
          <w:color w:val="auto"/>
          <w:sz w:val="24"/>
          <w:highlight w:val="none"/>
        </w:rPr>
      </w:pPr>
    </w:p>
    <w:p w14:paraId="5EF52762">
      <w:pPr>
        <w:spacing w:line="440" w:lineRule="exact"/>
        <w:ind w:firstLine="435"/>
        <w:rPr>
          <w:rFonts w:hint="eastAsia" w:ascii="宋体" w:hAnsi="宋体" w:eastAsia="宋体" w:cs="宋体"/>
          <w:color w:val="auto"/>
          <w:sz w:val="24"/>
          <w:highlight w:val="none"/>
        </w:rPr>
      </w:pPr>
    </w:p>
    <w:p w14:paraId="4FA667B8">
      <w:pPr>
        <w:spacing w:line="440" w:lineRule="exact"/>
        <w:ind w:firstLine="435"/>
        <w:rPr>
          <w:rFonts w:hint="eastAsia" w:ascii="宋体" w:hAnsi="宋体" w:eastAsia="宋体" w:cs="宋体"/>
          <w:color w:val="auto"/>
          <w:sz w:val="24"/>
          <w:highlight w:val="none"/>
        </w:rPr>
      </w:pPr>
    </w:p>
    <w:p w14:paraId="5D48D336">
      <w:pPr>
        <w:spacing w:line="440" w:lineRule="exact"/>
        <w:ind w:firstLine="435"/>
        <w:rPr>
          <w:rFonts w:hint="eastAsia" w:ascii="宋体" w:hAnsi="宋体" w:eastAsia="宋体" w:cs="宋体"/>
          <w:color w:val="auto"/>
          <w:sz w:val="24"/>
          <w:highlight w:val="none"/>
        </w:rPr>
      </w:pPr>
    </w:p>
    <w:p w14:paraId="3EE91DC8">
      <w:pPr>
        <w:spacing w:line="440" w:lineRule="exact"/>
        <w:ind w:firstLine="435"/>
        <w:rPr>
          <w:rFonts w:hint="eastAsia" w:ascii="宋体" w:hAnsi="宋体" w:eastAsia="宋体" w:cs="宋体"/>
          <w:color w:val="auto"/>
          <w:sz w:val="24"/>
          <w:highlight w:val="none"/>
        </w:rPr>
      </w:pPr>
    </w:p>
    <w:p w14:paraId="2DDC3452">
      <w:pPr>
        <w:spacing w:line="440" w:lineRule="exact"/>
        <w:ind w:firstLine="435"/>
        <w:rPr>
          <w:rFonts w:hint="eastAsia" w:ascii="宋体" w:hAnsi="宋体" w:eastAsia="宋体" w:cs="宋体"/>
          <w:color w:val="auto"/>
          <w:sz w:val="24"/>
          <w:highlight w:val="none"/>
        </w:rPr>
      </w:pPr>
    </w:p>
    <w:p w14:paraId="0CDBEA68">
      <w:pPr>
        <w:rPr>
          <w:rFonts w:hint="eastAsia"/>
          <w:color w:val="auto"/>
          <w:highlight w:val="none"/>
        </w:rPr>
      </w:pPr>
      <w:bookmarkStart w:id="227" w:name="OLE_LINK7"/>
      <w:bookmarkStart w:id="228" w:name="OLE_LINK24"/>
      <w:bookmarkStart w:id="229" w:name="OLE_LINK25"/>
    </w:p>
    <w:p w14:paraId="17B6333E">
      <w:pPr>
        <w:rPr>
          <w:rFonts w:hint="eastAsia"/>
          <w:color w:val="auto"/>
          <w:highlight w:val="none"/>
        </w:rPr>
      </w:pPr>
    </w:p>
    <w:p w14:paraId="450378B8">
      <w:pPr>
        <w:rPr>
          <w:rFonts w:hint="eastAsia"/>
          <w:color w:val="auto"/>
          <w:highlight w:val="none"/>
        </w:rPr>
      </w:pPr>
    </w:p>
    <w:p w14:paraId="253C33ED">
      <w:pPr>
        <w:rPr>
          <w:rFonts w:hint="eastAsia"/>
          <w:color w:val="auto"/>
          <w:highlight w:val="none"/>
        </w:rPr>
      </w:pPr>
    </w:p>
    <w:p w14:paraId="202BEFB7">
      <w:pPr>
        <w:rPr>
          <w:rFonts w:hint="eastAsia"/>
          <w:color w:val="auto"/>
          <w:highlight w:val="none"/>
        </w:rPr>
      </w:pPr>
    </w:p>
    <w:p w14:paraId="1D8B22F2">
      <w:pPr>
        <w:rPr>
          <w:rFonts w:hint="eastAsia"/>
          <w:color w:val="auto"/>
          <w:highlight w:val="none"/>
        </w:rPr>
      </w:pPr>
    </w:p>
    <w:p w14:paraId="41911D5B">
      <w:pPr>
        <w:keepNext/>
        <w:keepLines/>
        <w:spacing w:before="200" w:after="200" w:line="600" w:lineRule="exact"/>
        <w:outlineLvl w:val="0"/>
        <w:rPr>
          <w:rFonts w:ascii="黑体" w:hAnsi="黑体" w:eastAsia="黑体" w:cs="Times New Roman"/>
          <w:b/>
          <w:bCs/>
          <w:color w:val="auto"/>
          <w:kern w:val="44"/>
          <w:sz w:val="28"/>
          <w:szCs w:val="28"/>
          <w:highlight w:val="none"/>
        </w:rPr>
      </w:pPr>
      <w:r>
        <w:rPr>
          <w:rFonts w:hint="eastAsia" w:ascii="黑体" w:hAnsi="黑体" w:eastAsia="黑体" w:cs="Times New Roman"/>
          <w:b/>
          <w:bCs/>
          <w:color w:val="auto"/>
          <w:kern w:val="44"/>
          <w:sz w:val="36"/>
          <w:szCs w:val="28"/>
          <w:highlight w:val="none"/>
        </w:rPr>
        <w:t>附件1 关于联合惩戒失信行为加强信用查询管理的通知</w:t>
      </w:r>
    </w:p>
    <w:bookmarkEnd w:id="227"/>
    <w:p w14:paraId="00432A46">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一、失信行为联合惩戒的范围和查询渠道</w:t>
      </w:r>
    </w:p>
    <w:p w14:paraId="6FB98C2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在我市公共资源交易活动中对存在下列失信行为的投标人、法定代表人及其项目经理（建造师）实施联合惩戒，禁止参与我市公共资源交易活动。</w:t>
      </w:r>
    </w:p>
    <w:p w14:paraId="300ED821">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（一）工程建设项目</w:t>
      </w:r>
    </w:p>
    <w:bookmarkEnd w:id="228"/>
    <w:bookmarkEnd w:id="229"/>
    <w:p w14:paraId="4A9B53EA">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1、“信用中国”网站（www.creditchina.gov.cn）查询</w:t>
      </w:r>
      <w:bookmarkStart w:id="230" w:name="OLE_LINK93"/>
      <w:bookmarkStart w:id="231" w:name="OLE_LINK91"/>
      <w:bookmarkStart w:id="232" w:name="OLE_LINK103"/>
      <w:bookmarkStart w:id="233" w:name="OLE_LINK92"/>
      <w:r>
        <w:rPr>
          <w:rFonts w:hint="eastAsia" w:ascii="仿宋_GB2312" w:hAnsi="宋体" w:eastAsia="仿宋_GB2312" w:cs="Times New Roman"/>
          <w:color w:val="auto"/>
          <w:sz w:val="28"/>
          <w:szCs w:val="28"/>
          <w:highlight w:val="none"/>
        </w:rPr>
        <w:t>投标人、法定代表人及其项目经理(建造师)</w:t>
      </w:r>
      <w:bookmarkEnd w:id="230"/>
      <w:bookmarkEnd w:id="231"/>
      <w:bookmarkEnd w:id="232"/>
      <w:bookmarkEnd w:id="233"/>
      <w:r>
        <w:rPr>
          <w:rFonts w:hint="eastAsia" w:ascii="仿宋_GB2312" w:hAnsi="宋体" w:eastAsia="仿宋_GB2312" w:cs="Times New Roman"/>
          <w:color w:val="auto"/>
          <w:sz w:val="28"/>
          <w:szCs w:val="28"/>
          <w:highlight w:val="none"/>
        </w:rPr>
        <w:t>以下失信行为：</w:t>
      </w:r>
    </w:p>
    <w:p w14:paraId="6D2133C1">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234" w:name="OLE_LINK119"/>
      <w:bookmarkStart w:id="235" w:name="OLE_LINK87"/>
      <w:bookmarkStart w:id="236" w:name="OLE_LINK86"/>
      <w:bookmarkStart w:id="237" w:name="OLE_LINK94"/>
      <w:r>
        <w:rPr>
          <w:rFonts w:hint="eastAsia" w:ascii="仿宋_GB2312" w:hAnsi="宋体" w:eastAsia="仿宋_GB2312" w:cs="Times New Roman"/>
          <w:color w:val="auto"/>
          <w:sz w:val="28"/>
          <w:szCs w:val="28"/>
          <w:highlight w:val="none"/>
        </w:rPr>
        <w:t>①被列入“失信被执行人”的;</w:t>
      </w:r>
    </w:p>
    <w:p w14:paraId="0BD87E6C">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w:t>
      </w:r>
      <w:bookmarkStart w:id="238" w:name="OLE_LINK118"/>
      <w:bookmarkStart w:id="239" w:name="OLE_LINK115"/>
      <w:bookmarkStart w:id="240" w:name="OLE_LINK117"/>
      <w:bookmarkStart w:id="241" w:name="OLE_LINK116"/>
      <w:r>
        <w:rPr>
          <w:rFonts w:hint="eastAsia" w:ascii="仿宋_GB2312" w:hAnsi="宋体" w:eastAsia="仿宋_GB2312" w:cs="Times New Roman"/>
          <w:color w:val="auto"/>
          <w:sz w:val="28"/>
          <w:szCs w:val="28"/>
          <w:highlight w:val="none"/>
        </w:rPr>
        <w:t>“重大税收违法失信主体”</w:t>
      </w:r>
      <w:bookmarkEnd w:id="238"/>
      <w:bookmarkEnd w:id="239"/>
      <w:bookmarkEnd w:id="240"/>
      <w:bookmarkEnd w:id="241"/>
      <w:r>
        <w:rPr>
          <w:rFonts w:hint="eastAsia" w:ascii="仿宋_GB2312" w:hAnsi="宋体" w:eastAsia="仿宋_GB2312" w:cs="Times New Roman"/>
          <w:color w:val="auto"/>
          <w:sz w:val="28"/>
          <w:szCs w:val="28"/>
          <w:highlight w:val="none"/>
        </w:rPr>
        <w:t>的；</w:t>
      </w:r>
    </w:p>
    <w:p w14:paraId="1C01053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③被列入“拖欠</w:t>
      </w:r>
      <w:bookmarkStart w:id="242" w:name="OLE_LINK85"/>
      <w:bookmarkStart w:id="243" w:name="OLE_LINK84"/>
      <w:r>
        <w:rPr>
          <w:rFonts w:hint="eastAsia" w:ascii="仿宋_GB2312" w:hAnsi="宋体" w:eastAsia="仿宋_GB2312" w:cs="Times New Roman"/>
          <w:color w:val="auto"/>
          <w:sz w:val="28"/>
          <w:szCs w:val="28"/>
          <w:highlight w:val="none"/>
        </w:rPr>
        <w:t>农民工工资失信联合惩戒对象</w:t>
      </w:r>
      <w:bookmarkEnd w:id="242"/>
      <w:bookmarkEnd w:id="243"/>
      <w:r>
        <w:rPr>
          <w:rFonts w:hint="eastAsia" w:ascii="仿宋_GB2312" w:hAnsi="宋体" w:eastAsia="仿宋_GB2312" w:cs="Times New Roman"/>
          <w:color w:val="auto"/>
          <w:sz w:val="28"/>
          <w:szCs w:val="28"/>
          <w:highlight w:val="none"/>
        </w:rPr>
        <w:t>名单”的；</w:t>
      </w:r>
    </w:p>
    <w:p w14:paraId="7038C451">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④被列入 “严重失信主体名单”的；</w:t>
      </w:r>
    </w:p>
    <w:p w14:paraId="5C00593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⑤在“信用中国”网站上披露的仍在公示期的严重失信行为(具体行为类别及判定依据见附件2)的。</w:t>
      </w:r>
    </w:p>
    <w:bookmarkEnd w:id="234"/>
    <w:bookmarkEnd w:id="235"/>
    <w:bookmarkEnd w:id="236"/>
    <w:bookmarkEnd w:id="237"/>
    <w:p w14:paraId="597705C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w:t>
      </w:r>
      <w:bookmarkStart w:id="244" w:name="OLE_LINK130"/>
      <w:r>
        <w:rPr>
          <w:rFonts w:hint="eastAsia" w:ascii="仿宋_GB2312" w:hAnsi="宋体" w:eastAsia="仿宋_GB2312" w:cs="Times New Roman"/>
          <w:color w:val="auto"/>
          <w:sz w:val="28"/>
          <w:szCs w:val="28"/>
          <w:highlight w:val="none"/>
        </w:rPr>
        <w:t>国家企业信用信息公示系统网站</w:t>
      </w:r>
      <w:bookmarkEnd w:id="244"/>
      <w:r>
        <w:rPr>
          <w:rFonts w:hint="eastAsia" w:ascii="仿宋_GB2312" w:hAnsi="宋体" w:eastAsia="仿宋_GB2312"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245" w:name="OLE_LINK89"/>
      <w:bookmarkStart w:id="246" w:name="OLE_LINK90"/>
      <w:r>
        <w:rPr>
          <w:rStyle w:val="38"/>
          <w:rFonts w:hint="eastAsia" w:ascii="仿宋_GB2312" w:hAnsi="宋体" w:eastAsia="仿宋_GB2312" w:cs="Times New Roman"/>
          <w:color w:val="auto"/>
          <w:sz w:val="28"/>
          <w:szCs w:val="28"/>
          <w:highlight w:val="none"/>
        </w:rPr>
        <w:t>www.gsxt.gov.cn</w:t>
      </w:r>
      <w:bookmarkEnd w:id="245"/>
      <w:bookmarkEnd w:id="246"/>
      <w:r>
        <w:rPr>
          <w:rStyle w:val="38"/>
          <w:rFonts w:hint="eastAsia" w:ascii="仿宋_GB2312" w:hAnsi="宋体" w:eastAsia="仿宋_GB2312" w:cs="Times New Roman"/>
          <w:color w:val="auto"/>
          <w:sz w:val="28"/>
          <w:szCs w:val="28"/>
          <w:highlight w:val="none"/>
        </w:rPr>
        <w:t>）</w:t>
      </w:r>
      <w:r>
        <w:rPr>
          <w:rStyle w:val="38"/>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查询投标人以下失信行为：</w:t>
      </w:r>
    </w:p>
    <w:p w14:paraId="1688C438">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247" w:name="OLE_LINK120"/>
      <w:bookmarkStart w:id="248" w:name="OLE_LINK121"/>
      <w:bookmarkStart w:id="249" w:name="OLE_LINK122"/>
      <w:r>
        <w:rPr>
          <w:rFonts w:hint="eastAsia" w:ascii="仿宋_GB2312" w:hAnsi="宋体" w:eastAsia="仿宋_GB2312" w:cs="Times New Roman"/>
          <w:color w:val="auto"/>
          <w:sz w:val="28"/>
          <w:szCs w:val="28"/>
          <w:highlight w:val="none"/>
        </w:rPr>
        <w:t>①</w:t>
      </w:r>
      <w:bookmarkStart w:id="250" w:name="OLE_LINK114"/>
      <w:bookmarkStart w:id="251" w:name="OLE_LINK113"/>
      <w:r>
        <w:rPr>
          <w:rFonts w:hint="eastAsia" w:ascii="仿宋_GB2312" w:hAnsi="宋体" w:eastAsia="仿宋_GB2312" w:cs="Times New Roman"/>
          <w:color w:val="auto"/>
          <w:sz w:val="28"/>
          <w:szCs w:val="28"/>
          <w:highlight w:val="none"/>
        </w:rPr>
        <w:t>被列入“经营异常名录”或者“严重违法失信名单”的</w:t>
      </w:r>
      <w:bookmarkEnd w:id="250"/>
      <w:bookmarkEnd w:id="251"/>
      <w:r>
        <w:rPr>
          <w:rFonts w:hint="eastAsia" w:ascii="仿宋_GB2312" w:hAnsi="宋体" w:eastAsia="仿宋_GB2312" w:cs="Times New Roman"/>
          <w:color w:val="auto"/>
          <w:sz w:val="28"/>
          <w:szCs w:val="28"/>
          <w:highlight w:val="none"/>
        </w:rPr>
        <w:t>。</w:t>
      </w:r>
      <w:bookmarkEnd w:id="247"/>
      <w:bookmarkEnd w:id="248"/>
      <w:bookmarkEnd w:id="249"/>
    </w:p>
    <w:p w14:paraId="4C3ECB9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3、由</w:t>
      </w:r>
      <w:r>
        <w:rPr>
          <w:rFonts w:hint="eastAsia" w:ascii="仿宋_GB2312" w:hAnsi="宋体" w:eastAsia="仿宋_GB2312" w:cs="Times New Roman"/>
          <w:color w:val="auto"/>
          <w:kern w:val="0"/>
          <w:sz w:val="28"/>
          <w:szCs w:val="28"/>
          <w:highlight w:val="none"/>
        </w:rPr>
        <w:t>投标人、法定代表人及其项目经理(建造师)</w:t>
      </w:r>
      <w:r>
        <w:rPr>
          <w:rFonts w:hint="eastAsia" w:ascii="仿宋_GB2312" w:hAnsi="宋体" w:eastAsia="仿宋_GB2312" w:cs="Times New Roman"/>
          <w:color w:val="auto"/>
          <w:sz w:val="28"/>
          <w:szCs w:val="28"/>
          <w:highlight w:val="none"/>
        </w:rPr>
        <w:t>进行承诺，不进行现场网上信用查询的失信行为：</w:t>
      </w:r>
    </w:p>
    <w:p w14:paraId="575F5001">
      <w:pPr>
        <w:adjustRightInd w:val="0"/>
        <w:snapToGrid w:val="0"/>
        <w:spacing w:line="560" w:lineRule="exact"/>
        <w:ind w:firstLine="560" w:firstLineChars="200"/>
        <w:rPr>
          <w:rFonts w:ascii="仿宋_GB2312" w:hAnsi="宋体" w:eastAsia="仿宋_GB2312" w:cs="楷体"/>
          <w:color w:val="auto"/>
          <w:sz w:val="28"/>
          <w:szCs w:val="28"/>
          <w:highlight w:val="none"/>
        </w:rPr>
      </w:pPr>
      <w:bookmarkStart w:id="252" w:name="OLE_LINK123"/>
      <w:bookmarkStart w:id="253" w:name="OLE_LINK124"/>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58D12B7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②被滁州市县两级公管部门取消在一定期限内的投标资格且在取消期限内的；</w:t>
      </w:r>
    </w:p>
    <w:p w14:paraId="20978862">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③被滁州市县两级各行业主管部门取消在一定期限内的投标资格且在取消期限内的；</w:t>
      </w:r>
    </w:p>
    <w:p w14:paraId="5F7C5AD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④因拖欠农民工工资被</w:t>
      </w:r>
      <w:bookmarkStart w:id="254" w:name="OLE_LINK108"/>
      <w:bookmarkStart w:id="255" w:name="OLE_LINK107"/>
      <w:r>
        <w:rPr>
          <w:rFonts w:hint="eastAsia" w:ascii="仿宋_GB2312" w:hAnsi="宋体" w:eastAsia="仿宋_GB2312" w:cs="Times New Roman"/>
          <w:color w:val="auto"/>
          <w:sz w:val="28"/>
          <w:szCs w:val="28"/>
          <w:highlight w:val="none"/>
        </w:rPr>
        <w:t>县级及以上有关行政主管部门限制投标资格且在限制期限内的</w:t>
      </w:r>
      <w:bookmarkEnd w:id="254"/>
      <w:bookmarkEnd w:id="255"/>
      <w:r>
        <w:rPr>
          <w:rFonts w:hint="eastAsia" w:ascii="仿宋_GB2312" w:hAnsi="宋体" w:eastAsia="仿宋_GB2312" w:cs="Times New Roman"/>
          <w:color w:val="auto"/>
          <w:sz w:val="28"/>
          <w:szCs w:val="28"/>
          <w:highlight w:val="none"/>
        </w:rPr>
        <w:t>；</w:t>
      </w:r>
    </w:p>
    <w:p w14:paraId="30705AC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252"/>
    <w:bookmarkEnd w:id="253"/>
    <w:p w14:paraId="6C068A6B">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（二）政府采购项目</w:t>
      </w:r>
    </w:p>
    <w:p w14:paraId="4E617FBC">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t>
      </w:r>
      <w:r>
        <w:rPr>
          <w:rFonts w:hint="eastAsia" w:ascii="仿宋" w:hAnsi="仿宋" w:eastAsia="仿宋" w:cs="Times New Roman"/>
          <w:color w:val="auto"/>
          <w:sz w:val="28"/>
          <w:szCs w:val="28"/>
          <w:highlight w:val="none"/>
        </w:rPr>
        <w:t>（</w:t>
      </w:r>
      <w:r>
        <w:rPr>
          <w:rStyle w:val="38"/>
          <w:rFonts w:hint="eastAsia" w:ascii="仿宋" w:hAnsi="仿宋" w:eastAsia="仿宋"/>
          <w:color w:val="auto"/>
          <w:sz w:val="28"/>
          <w:szCs w:val="28"/>
          <w:highlight w:val="none"/>
        </w:rPr>
        <w:t>www.creditchina.gov.cn</w:t>
      </w:r>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查询供应商、法定代表人及其项目负责人以下失信行为：</w:t>
      </w:r>
    </w:p>
    <w:p w14:paraId="26B8EE2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①被列入“失信被执行人”的;</w:t>
      </w:r>
    </w:p>
    <w:p w14:paraId="22603175">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②被列入“重大税收违法失信主体”的；</w:t>
      </w:r>
    </w:p>
    <w:p w14:paraId="668120AD">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 “严重失信主体名单”的；</w:t>
      </w:r>
    </w:p>
    <w:p w14:paraId="333BD6AD">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④在“信用中国”网站上披露的仍在公示期的严重失信行为(具体行为类别及判定依据见附件2)的。</w:t>
      </w:r>
    </w:p>
    <w:p w14:paraId="0CA53DD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2、国家企业信用信息公示系统网站</w:t>
      </w:r>
      <w:r>
        <w:rPr>
          <w:rFonts w:hint="eastAsia" w:ascii="仿宋" w:hAnsi="仿宋" w:eastAsia="仿宋"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仿宋" w:hAnsi="仿宋" w:eastAsia="仿宋"/>
          <w:color w:val="auto"/>
          <w:sz w:val="28"/>
          <w:szCs w:val="28"/>
          <w:highlight w:val="none"/>
        </w:rPr>
        <w:t>www.gsxt.gov.cn）</w:t>
      </w:r>
      <w:r>
        <w:rPr>
          <w:rFonts w:hint="eastAsia" w:ascii="仿宋" w:hAnsi="仿宋" w:eastAsia="仿宋"/>
          <w:color w:val="auto"/>
          <w:sz w:val="28"/>
          <w:szCs w:val="28"/>
          <w:highlight w:val="none"/>
        </w:rPr>
        <w:fldChar w:fldCharType="end"/>
      </w:r>
      <w:r>
        <w:rPr>
          <w:rFonts w:hint="eastAsia" w:ascii="仿宋_GB2312" w:hAnsi="宋体" w:eastAsia="仿宋_GB2312" w:cs="Times New Roman"/>
          <w:color w:val="auto"/>
          <w:sz w:val="28"/>
          <w:szCs w:val="28"/>
          <w:highlight w:val="none"/>
        </w:rPr>
        <w:t>查询供应商以下失信行为：</w:t>
      </w:r>
    </w:p>
    <w:p w14:paraId="049AE11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bookmarkStart w:id="256" w:name="OLE_LINK100"/>
      <w:bookmarkStart w:id="257" w:name="OLE_LINK102"/>
      <w:bookmarkStart w:id="258" w:name="OLE_LINK101"/>
      <w:r>
        <w:rPr>
          <w:rFonts w:hint="eastAsia" w:ascii="仿宋_GB2312" w:hAnsi="宋体" w:eastAsia="仿宋_GB2312" w:cs="Times New Roman"/>
          <w:color w:val="auto"/>
          <w:sz w:val="28"/>
          <w:szCs w:val="28"/>
          <w:highlight w:val="none"/>
        </w:rPr>
        <w:t>被列入“经营异常名录”或者“严重违法失信名单”的</w:t>
      </w:r>
      <w:bookmarkEnd w:id="256"/>
      <w:bookmarkEnd w:id="257"/>
      <w:bookmarkEnd w:id="258"/>
      <w:r>
        <w:rPr>
          <w:rFonts w:hint="eastAsia" w:ascii="仿宋_GB2312" w:hAnsi="宋体" w:eastAsia="仿宋_GB2312" w:cs="Times New Roman"/>
          <w:color w:val="auto"/>
          <w:sz w:val="28"/>
          <w:szCs w:val="28"/>
          <w:highlight w:val="none"/>
        </w:rPr>
        <w:t>。</w:t>
      </w:r>
    </w:p>
    <w:p w14:paraId="24460C58">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3、中国政府采购网站</w:t>
      </w:r>
      <w:r>
        <w:rPr>
          <w:rFonts w:hint="eastAsia" w:ascii="仿宋" w:hAnsi="仿宋" w:eastAsia="仿宋" w:cs="Times New Roman"/>
          <w:color w:val="auto"/>
          <w:sz w:val="28"/>
          <w:szCs w:val="28"/>
          <w:highlight w:val="none"/>
        </w:rPr>
        <w:t>（</w:t>
      </w:r>
      <w:bookmarkStart w:id="259" w:name="OLE_LINK96"/>
      <w:bookmarkStart w:id="260" w:name="OLE_LINK95"/>
      <w:r>
        <w:rPr>
          <w:rFonts w:ascii="仿宋" w:hAnsi="仿宋" w:eastAsia="仿宋" w:cs="Times New Roman"/>
          <w:color w:val="auto"/>
          <w:sz w:val="28"/>
          <w:szCs w:val="28"/>
          <w:highlight w:val="none"/>
        </w:rPr>
        <w:fldChar w:fldCharType="begin"/>
      </w:r>
      <w:r>
        <w:rPr>
          <w:rFonts w:ascii="仿宋" w:hAnsi="仿宋" w:eastAsia="仿宋" w:cs="Times New Roman"/>
          <w:color w:val="auto"/>
          <w:sz w:val="28"/>
          <w:szCs w:val="28"/>
          <w:highlight w:val="none"/>
        </w:rPr>
        <w:instrText xml:space="preserve"> HYPERLINK "http://www.ccgp.gov.cn" </w:instrText>
      </w:r>
      <w:r>
        <w:rPr>
          <w:rFonts w:ascii="仿宋" w:hAnsi="仿宋" w:eastAsia="仿宋" w:cs="Times New Roman"/>
          <w:color w:val="auto"/>
          <w:sz w:val="28"/>
          <w:szCs w:val="28"/>
          <w:highlight w:val="none"/>
        </w:rPr>
        <w:fldChar w:fldCharType="separate"/>
      </w:r>
      <w:r>
        <w:rPr>
          <w:rFonts w:hint="eastAsia" w:ascii="仿宋" w:hAnsi="仿宋" w:eastAsia="仿宋"/>
          <w:color w:val="auto"/>
          <w:sz w:val="28"/>
          <w:szCs w:val="28"/>
          <w:highlight w:val="none"/>
        </w:rPr>
        <w:t>www.ccgp.gov.cn</w:t>
      </w:r>
      <w:r>
        <w:rPr>
          <w:rFonts w:ascii="仿宋" w:hAnsi="仿宋" w:eastAsia="仿宋" w:cs="Times New Roman"/>
          <w:color w:val="auto"/>
          <w:sz w:val="28"/>
          <w:szCs w:val="28"/>
          <w:highlight w:val="none"/>
        </w:rPr>
        <w:fldChar w:fldCharType="end"/>
      </w:r>
      <w:bookmarkEnd w:id="259"/>
      <w:bookmarkEnd w:id="260"/>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查询以下失信行为：</w:t>
      </w:r>
    </w:p>
    <w:p w14:paraId="3B736A91">
      <w:pPr>
        <w:adjustRightInd w:val="0"/>
        <w:snapToGrid w:val="0"/>
        <w:spacing w:line="560" w:lineRule="exact"/>
        <w:ind w:firstLine="560" w:firstLineChars="200"/>
        <w:rPr>
          <w:rFonts w:ascii="仿宋_GB2312" w:hAnsi="宋体" w:eastAsia="仿宋_GB2312" w:cs="楷体"/>
          <w:color w:val="auto"/>
          <w:sz w:val="28"/>
          <w:szCs w:val="28"/>
          <w:highlight w:val="none"/>
        </w:rPr>
      </w:pPr>
      <w:r>
        <w:rPr>
          <w:rFonts w:hint="eastAsia" w:ascii="仿宋_GB2312" w:hAnsi="宋体" w:eastAsia="仿宋_GB2312" w:cs="Times New Roman"/>
          <w:color w:val="auto"/>
          <w:sz w:val="28"/>
          <w:szCs w:val="28"/>
          <w:highlight w:val="none"/>
        </w:rPr>
        <w:t>①</w:t>
      </w:r>
      <w:bookmarkStart w:id="261" w:name="OLE_LINK106"/>
      <w:bookmarkStart w:id="262" w:name="OLE_LINK104"/>
      <w:bookmarkStart w:id="263" w:name="OLE_LINK105"/>
      <w:r>
        <w:rPr>
          <w:rFonts w:hint="eastAsia" w:ascii="仿宋_GB2312" w:hAnsi="宋体" w:eastAsia="仿宋_GB2312" w:cs="Times New Roman"/>
          <w:color w:val="auto"/>
          <w:sz w:val="28"/>
          <w:szCs w:val="28"/>
          <w:highlight w:val="none"/>
        </w:rPr>
        <w:t>被列入“政府采购严重违法失信行为信息记录”的</w:t>
      </w:r>
      <w:bookmarkEnd w:id="261"/>
      <w:bookmarkEnd w:id="262"/>
      <w:bookmarkEnd w:id="263"/>
      <w:r>
        <w:rPr>
          <w:rFonts w:hint="eastAsia" w:ascii="仿宋_GB2312" w:hAnsi="宋体" w:eastAsia="仿宋_GB2312" w:cs="楷体"/>
          <w:color w:val="auto"/>
          <w:sz w:val="28"/>
          <w:szCs w:val="28"/>
          <w:highlight w:val="none"/>
        </w:rPr>
        <w:t>。</w:t>
      </w:r>
    </w:p>
    <w:p w14:paraId="1B3270F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4、由竞争主体进行承诺，不进行现场网上信用查询的失信行为：</w:t>
      </w:r>
    </w:p>
    <w:p w14:paraId="3FE3E10D">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s="Times New Roman"/>
          <w:color w:val="auto"/>
          <w:sz w:val="28"/>
          <w:szCs w:val="28"/>
          <w:highlight w:val="none"/>
        </w:rPr>
        <w:t>。</w:t>
      </w:r>
    </w:p>
    <w:p w14:paraId="778C1CC7">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二、在开评标活动中的查询程序</w:t>
      </w:r>
    </w:p>
    <w:p w14:paraId="52832B5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22D8B70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1735F19D">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3、项目单位及其委托的代理机构应当做好信用查询结果截图和记录留存。</w:t>
      </w:r>
    </w:p>
    <w:p w14:paraId="66FB3C9F">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三、相关要求</w:t>
      </w:r>
    </w:p>
    <w:p w14:paraId="5701F6B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0AC98435">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14C5534">
      <w:pPr>
        <w:wordWrap w:val="0"/>
        <w:adjustRightInd w:val="0"/>
        <w:snapToGrid w:val="0"/>
        <w:spacing w:line="560" w:lineRule="exact"/>
        <w:ind w:firstLine="560" w:firstLineChars="200"/>
        <w:rPr>
          <w:rFonts w:ascii="Times New Roman" w:hAnsi="Times New Roman" w:eastAsia="宋体" w:cs="Times New Roman"/>
          <w:color w:val="auto"/>
          <w:szCs w:val="24"/>
          <w:highlight w:val="none"/>
        </w:rPr>
      </w:pPr>
      <w:r>
        <w:rPr>
          <w:rFonts w:hint="eastAsia" w:ascii="仿宋_GB2312" w:hAnsi="宋体" w:eastAsia="仿宋_GB2312" w:cs="Times New Roman"/>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Fonts w:hint="eastAsia" w:ascii="仿宋_GB2312" w:hAnsi="宋体" w:eastAsia="仿宋_GB2312" w:cs="Times New Roman"/>
          <w:color w:val="auto"/>
          <w:sz w:val="28"/>
          <w:szCs w:val="28"/>
          <w:highlight w:val="none"/>
        </w:rPr>
        <w:t>https://credit.ah.gov.cn/xinyong-fuwu/xvbahv/index.html</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03C30B17">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2、“信用中国”查询的严重失信行为判定依据为各行业主管部门下发的联合惩戒文件中规定的行为（按附件2执行）。</w:t>
      </w:r>
    </w:p>
    <w:p w14:paraId="3C2F4A58">
      <w:pPr>
        <w:spacing w:line="360" w:lineRule="exact"/>
        <w:ind w:right="-92" w:rightChars="-44" w:firstLine="560" w:firstLineChars="200"/>
        <w:rPr>
          <w:rFonts w:ascii="宋体" w:hAnsi="宋体" w:eastAsia="宋体" w:cs="宋体"/>
          <w:bCs/>
          <w:color w:val="auto"/>
          <w:sz w:val="24"/>
          <w:highlight w:val="none"/>
        </w:rPr>
      </w:pPr>
      <w:r>
        <w:rPr>
          <w:rFonts w:hint="eastAsia" w:ascii="仿宋_GB2312" w:hAnsi="宋体" w:eastAsia="仿宋_GB2312" w:cs="Times New Roman"/>
          <w:color w:val="auto"/>
          <w:sz w:val="28"/>
          <w:szCs w:val="28"/>
          <w:highlight w:val="none"/>
        </w:rPr>
        <w:t>3、资格预审的项目以递交资格预审申请文件截止时间查询为准；资格后审的项目以递交投标文件截止时间查询为准</w:t>
      </w:r>
      <w:r>
        <w:rPr>
          <w:rFonts w:hint="eastAsia" w:ascii="宋体" w:hAnsi="宋体" w:eastAsia="宋体" w:cs="宋体"/>
          <w:bCs/>
          <w:color w:val="auto"/>
          <w:sz w:val="24"/>
          <w:highlight w:val="none"/>
        </w:rPr>
        <w:t>。</w:t>
      </w:r>
    </w:p>
    <w:p w14:paraId="1AC49B4A">
      <w:pPr>
        <w:ind w:right="-92" w:rightChars="-44"/>
        <w:rPr>
          <w:rFonts w:ascii="宋体" w:hAnsi="宋体" w:eastAsia="宋体" w:cs="宋体"/>
          <w:bCs/>
          <w:color w:val="auto"/>
          <w:szCs w:val="21"/>
          <w:highlight w:val="none"/>
        </w:rPr>
      </w:pPr>
    </w:p>
    <w:p w14:paraId="5A75D3A9">
      <w:pPr>
        <w:ind w:right="-92" w:rightChars="-44"/>
        <w:rPr>
          <w:rFonts w:ascii="宋体" w:hAnsi="宋体" w:eastAsia="宋体" w:cs="宋体"/>
          <w:bCs/>
          <w:color w:val="auto"/>
          <w:szCs w:val="21"/>
          <w:highlight w:val="none"/>
        </w:rPr>
      </w:pPr>
    </w:p>
    <w:p w14:paraId="740B79D3">
      <w:pPr>
        <w:ind w:right="-92" w:rightChars="-44"/>
        <w:rPr>
          <w:rFonts w:ascii="宋体" w:hAnsi="宋体" w:eastAsia="宋体" w:cs="宋体"/>
          <w:bCs/>
          <w:color w:val="auto"/>
          <w:sz w:val="32"/>
          <w:szCs w:val="32"/>
          <w:highlight w:val="none"/>
        </w:rPr>
      </w:pPr>
    </w:p>
    <w:p w14:paraId="7F053A57">
      <w:pPr>
        <w:ind w:right="-92" w:rightChars="-44"/>
        <w:rPr>
          <w:rFonts w:ascii="宋体" w:hAnsi="宋体" w:eastAsia="宋体" w:cs="宋体"/>
          <w:bCs/>
          <w:color w:val="auto"/>
          <w:sz w:val="32"/>
          <w:szCs w:val="32"/>
          <w:highlight w:val="none"/>
        </w:rPr>
      </w:pPr>
    </w:p>
    <w:p w14:paraId="0793C1EC">
      <w:pPr>
        <w:ind w:right="-92" w:rightChars="-44"/>
        <w:rPr>
          <w:rFonts w:ascii="宋体" w:hAnsi="宋体" w:eastAsia="宋体" w:cs="宋体"/>
          <w:bCs/>
          <w:color w:val="auto"/>
          <w:sz w:val="32"/>
          <w:szCs w:val="32"/>
          <w:highlight w:val="none"/>
        </w:rPr>
      </w:pPr>
    </w:p>
    <w:p w14:paraId="31BA0D7A">
      <w:pPr>
        <w:ind w:right="-92" w:rightChars="-44"/>
        <w:rPr>
          <w:rFonts w:ascii="宋体" w:hAnsi="宋体" w:eastAsia="宋体" w:cs="宋体"/>
          <w:bCs/>
          <w:color w:val="auto"/>
          <w:sz w:val="32"/>
          <w:szCs w:val="32"/>
          <w:highlight w:val="none"/>
        </w:rPr>
      </w:pPr>
    </w:p>
    <w:p w14:paraId="0CDDD8A3">
      <w:pPr>
        <w:ind w:right="-92" w:rightChars="-44"/>
        <w:rPr>
          <w:rFonts w:ascii="宋体" w:hAnsi="宋体" w:eastAsia="宋体" w:cs="宋体"/>
          <w:bCs/>
          <w:color w:val="auto"/>
          <w:sz w:val="32"/>
          <w:szCs w:val="32"/>
          <w:highlight w:val="none"/>
        </w:rPr>
      </w:pPr>
    </w:p>
    <w:p w14:paraId="042CBCE7">
      <w:pPr>
        <w:ind w:right="-92" w:rightChars="-44"/>
        <w:rPr>
          <w:rFonts w:ascii="宋体" w:hAnsi="宋体" w:eastAsia="宋体" w:cs="宋体"/>
          <w:bCs/>
          <w:color w:val="auto"/>
          <w:sz w:val="32"/>
          <w:szCs w:val="32"/>
          <w:highlight w:val="none"/>
        </w:rPr>
      </w:pPr>
    </w:p>
    <w:p w14:paraId="2DFA258C">
      <w:pPr>
        <w:ind w:right="-92" w:rightChars="-44"/>
        <w:rPr>
          <w:rFonts w:ascii="宋体" w:hAnsi="宋体" w:eastAsia="宋体" w:cs="宋体"/>
          <w:bCs/>
          <w:color w:val="auto"/>
          <w:sz w:val="32"/>
          <w:szCs w:val="32"/>
          <w:highlight w:val="none"/>
        </w:rPr>
      </w:pPr>
    </w:p>
    <w:p w14:paraId="67B3FAE2">
      <w:pPr>
        <w:ind w:right="-92" w:rightChars="-44"/>
        <w:rPr>
          <w:rFonts w:ascii="宋体" w:hAnsi="宋体" w:eastAsia="宋体" w:cs="宋体"/>
          <w:bCs/>
          <w:color w:val="auto"/>
          <w:sz w:val="32"/>
          <w:szCs w:val="32"/>
          <w:highlight w:val="none"/>
        </w:rPr>
      </w:pPr>
    </w:p>
    <w:p w14:paraId="06C90293">
      <w:pPr>
        <w:ind w:right="-92" w:rightChars="-44"/>
        <w:rPr>
          <w:rFonts w:ascii="宋体" w:hAnsi="宋体" w:eastAsia="宋体" w:cs="宋体"/>
          <w:bCs/>
          <w:color w:val="auto"/>
          <w:sz w:val="32"/>
          <w:szCs w:val="32"/>
          <w:highlight w:val="none"/>
        </w:rPr>
      </w:pPr>
    </w:p>
    <w:p w14:paraId="29FD14F5">
      <w:pPr>
        <w:ind w:right="-92" w:rightChars="-44"/>
        <w:rPr>
          <w:rFonts w:ascii="宋体" w:hAnsi="宋体" w:eastAsia="宋体" w:cs="宋体"/>
          <w:bCs/>
          <w:color w:val="auto"/>
          <w:sz w:val="32"/>
          <w:szCs w:val="32"/>
          <w:highlight w:val="none"/>
        </w:rPr>
      </w:pPr>
    </w:p>
    <w:p w14:paraId="16033F00">
      <w:pPr>
        <w:ind w:right="-92" w:rightChars="-44"/>
        <w:rPr>
          <w:rFonts w:ascii="宋体" w:hAnsi="宋体" w:eastAsia="宋体" w:cs="宋体"/>
          <w:bCs/>
          <w:color w:val="auto"/>
          <w:sz w:val="32"/>
          <w:szCs w:val="32"/>
          <w:highlight w:val="none"/>
        </w:rPr>
      </w:pPr>
    </w:p>
    <w:p w14:paraId="5E4373E2">
      <w:pPr>
        <w:ind w:right="-92" w:rightChars="-44"/>
        <w:rPr>
          <w:rFonts w:ascii="宋体" w:hAnsi="宋体" w:eastAsia="宋体" w:cs="宋体"/>
          <w:bCs/>
          <w:color w:val="auto"/>
          <w:sz w:val="32"/>
          <w:szCs w:val="32"/>
          <w:highlight w:val="none"/>
        </w:rPr>
      </w:pPr>
    </w:p>
    <w:p w14:paraId="76E01DEE">
      <w:pPr>
        <w:keepNext/>
        <w:keepLines/>
        <w:spacing w:before="200" w:after="200" w:line="600" w:lineRule="exact"/>
        <w:outlineLvl w:val="0"/>
        <w:rPr>
          <w:rFonts w:ascii="黑体" w:hAnsi="黑体" w:eastAsia="黑体" w:cs="Times New Roman"/>
          <w:b/>
          <w:bCs/>
          <w:color w:val="auto"/>
          <w:kern w:val="44"/>
          <w:sz w:val="36"/>
          <w:szCs w:val="28"/>
          <w:highlight w:val="none"/>
        </w:rPr>
      </w:pPr>
      <w:bookmarkStart w:id="264" w:name="_Toc95223549"/>
      <w:bookmarkStart w:id="265" w:name="OLE_LINK32"/>
      <w:bookmarkStart w:id="266" w:name="OLE_LINK41"/>
      <w:bookmarkStart w:id="267" w:name="OLE_LINK31"/>
      <w:r>
        <w:rPr>
          <w:rFonts w:hint="eastAsia" w:ascii="黑体" w:hAnsi="黑体" w:eastAsia="黑体" w:cs="Times New Roman"/>
          <w:b/>
          <w:bCs/>
          <w:color w:val="auto"/>
          <w:kern w:val="44"/>
          <w:sz w:val="36"/>
          <w:szCs w:val="28"/>
          <w:highlight w:val="none"/>
        </w:rPr>
        <w:t xml:space="preserve">附件2 </w:t>
      </w:r>
      <w:bookmarkStart w:id="268" w:name="OLE_LINK74"/>
      <w:bookmarkStart w:id="269" w:name="OLE_LINK75"/>
      <w:r>
        <w:rPr>
          <w:rFonts w:hint="eastAsia" w:ascii="黑体" w:hAnsi="黑体" w:eastAsia="黑体" w:cs="Times New Roman"/>
          <w:b/>
          <w:bCs/>
          <w:color w:val="auto"/>
          <w:kern w:val="44"/>
          <w:sz w:val="36"/>
          <w:szCs w:val="28"/>
          <w:highlight w:val="none"/>
        </w:rPr>
        <w:t>“信用中国”查询的严重失信行为</w:t>
      </w:r>
      <w:bookmarkStart w:id="270" w:name="OLE_LINK76"/>
      <w:bookmarkStart w:id="271" w:name="OLE_LINK40"/>
      <w:bookmarkStart w:id="272" w:name="OLE_LINK39"/>
      <w:bookmarkStart w:id="273" w:name="OLE_LINK38"/>
      <w:r>
        <w:rPr>
          <w:rFonts w:hint="eastAsia" w:ascii="黑体" w:hAnsi="黑体" w:eastAsia="黑体" w:cs="Times New Roman"/>
          <w:b/>
          <w:bCs/>
          <w:color w:val="auto"/>
          <w:kern w:val="44"/>
          <w:sz w:val="36"/>
          <w:szCs w:val="28"/>
          <w:highlight w:val="none"/>
        </w:rPr>
        <w:t>类别及判定依据</w:t>
      </w:r>
      <w:bookmarkEnd w:id="264"/>
      <w:bookmarkEnd w:id="268"/>
      <w:bookmarkEnd w:id="269"/>
      <w:bookmarkEnd w:id="270"/>
      <w:bookmarkEnd w:id="271"/>
      <w:bookmarkEnd w:id="272"/>
      <w:bookmarkEnd w:id="273"/>
    </w:p>
    <w:bookmarkEnd w:id="265"/>
    <w:bookmarkEnd w:id="266"/>
    <w:bookmarkEnd w:id="267"/>
    <w:p w14:paraId="1F18B88F">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32"/>
          <w:szCs w:val="32"/>
          <w:highlight w:val="none"/>
        </w:rPr>
        <w:t>“</w:t>
      </w:r>
      <w:r>
        <w:rPr>
          <w:rFonts w:hint="eastAsia" w:ascii="仿宋_GB2312" w:hAnsi="宋体" w:eastAsia="仿宋_GB2312" w:cs="Times New Roman"/>
          <w:color w:val="auto"/>
          <w:sz w:val="28"/>
          <w:szCs w:val="28"/>
          <w:highlight w:val="none"/>
        </w:rPr>
        <w:t>信用中国”查询的严重失信行为判定依据为各行业主管部门下发的联合惩戒文件中规定的行为。下面将部分类别的严重失信行为列举如下：</w:t>
      </w:r>
    </w:p>
    <w:p w14:paraId="1CB9251C">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一、安全生产领域严重失信行为：</w:t>
      </w:r>
    </w:p>
    <w:p w14:paraId="7CB6EB7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（一）下列发生生产安全事故的生产经营单位及其有关人员应当列入严重失信主体名单：</w:t>
      </w:r>
    </w:p>
    <w:p w14:paraId="140B6C00">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1、发生特别重大、重大生产安全事故的生产经营单位及其主要负责人，以及经调查认定对该事故发生负有责任，应当列入名单的其他单位和人员；</w:t>
      </w:r>
    </w:p>
    <w:p w14:paraId="62E1B042">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2、12个月内累计发生2起以上较大生产安全事故的生产经营单位及其主要负责人；</w:t>
      </w:r>
    </w:p>
    <w:p w14:paraId="0A31705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72F4481C">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4、瞒报、谎报生产安全事故的生产经营单位及其有关责任人员；</w:t>
      </w:r>
    </w:p>
    <w:p w14:paraId="5CF9B962">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5、发生生产安全事故后，不立即组织抢救或者在事故调查处理期间擅离职守或者逃匿的生产经营单位主要负责人。</w:t>
      </w:r>
    </w:p>
    <w:p w14:paraId="7E4A148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（二）下列未发生生产安全事故，但因安全生产违法行为，受到行政处罚的生产经营单位或者机构及其有关人员，应当列入严重失信主体名单：</w:t>
      </w:r>
    </w:p>
    <w:p w14:paraId="57D34FBE">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1、未依法取得安全生产相关许可或者许可被暂扣、吊销期间从事相关生产经营活动的生产经营单位及其主要负责人；</w:t>
      </w:r>
    </w:p>
    <w:p w14:paraId="43391F17">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2、承担安全评价、认证、检测、检验职责的机构及其直接责任人员租借资质、挂靠、出具虚假报告或者证书的；</w:t>
      </w:r>
    </w:p>
    <w:p w14:paraId="04786F5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3、在应急管理部门作出行政处罚后，有执行能力拒不执行或者逃避执行的生产经营单位及其主要负责人；</w:t>
      </w:r>
    </w:p>
    <w:p w14:paraId="7AFBBFD6">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4、其他违反安全生产法律法规受到行政处罚，且性质恶劣、情节严重的。</w:t>
      </w:r>
    </w:p>
    <w:p w14:paraId="1F1A75E6">
      <w:pPr>
        <w:adjustRightInd w:val="0"/>
        <w:snapToGrid w:val="0"/>
        <w:spacing w:line="560" w:lineRule="exact"/>
        <w:ind w:firstLine="645"/>
        <w:jc w:val="left"/>
        <w:rPr>
          <w:rFonts w:ascii="仿宋_GB2312" w:hAnsi="Calibri"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依据：《安全生产严重失信主体名单管理办法》</w:t>
      </w:r>
      <w:r>
        <w:rPr>
          <w:rFonts w:hint="eastAsia" w:ascii="仿宋_GB2312" w:hAnsi="Calibri" w:eastAsia="仿宋_GB2312" w:cs="Times New Roman"/>
          <w:b/>
          <w:color w:val="auto"/>
          <w:sz w:val="28"/>
          <w:szCs w:val="28"/>
          <w:highlight w:val="none"/>
        </w:rPr>
        <w:t>（2023年8月8日应急管理部令第11号）</w:t>
      </w:r>
    </w:p>
    <w:p w14:paraId="51FCDF5E">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36131214">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二、环境保护领域严重失信行为：</w:t>
      </w:r>
    </w:p>
    <w:p w14:paraId="2D4C1916">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（一）因为环境违法构成</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"https://baike.sogou.com/m/fullLemma?lid=10403954&amp;g_ut=3"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环境犯罪</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5E57FB4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"https://baike.sogou.com/m/fullLemma?lid=76033123&amp;g_ut=3"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建设项目环境影响评价</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文件未按规定通过审批，擅自开工建设的；</w:t>
      </w:r>
    </w:p>
    <w:p w14:paraId="4979E5AF">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（三）建设项目环保设施未建成、环保措施未落实、未通过</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"https://baike.sogou.com/m/fullLemma?lid=6470550&amp;g_ut=3"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竣工环保验收</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或者验收不合格，主体工程正式投入生产或者使用的；</w:t>
      </w:r>
    </w:p>
    <w:p w14:paraId="3904171E">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（四）建设项目性质、规模、地点、采用的生产工艺或者防治污染、防止生态破坏的措施发生重大变动，未重新报批环境影响评价文件，擅自投入生产或者使用的；</w:t>
      </w:r>
    </w:p>
    <w:p w14:paraId="4D8232C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（五）主要污染物排放总量超过控制指标的；</w:t>
      </w:r>
    </w:p>
    <w:p w14:paraId="60872E07">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（六）私设暗管或者利用</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"https://baike.sogou.com/m/fullLemma?lid=41657319&amp;g_ut=3"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渗井</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、渗坑、裂隙、溶洞等排放、倾倒、处置水污染物，或者通过私设旁路排放</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"https://baike.sogou.com/m/fullLemma?lid=7758328&amp;g_ut=3"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大气污染物</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2A7237BF">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（七）非法排放、倾倒、处置危险废物，或者向无</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"https://baike.sogou.com/m/fullLemma?lid=5923292&amp;g_ut=3"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经营许可证</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或者超出经营许可范围的单位或个人提供或者委托其收集、贮存、利用、处置危险废物的；</w:t>
      </w:r>
    </w:p>
    <w:p w14:paraId="376312D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（八）</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"https://baike.sogou.com/m/fullLemma?lid=167759803&amp;g_ut=3"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环境违法行为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造成集中式生活饮用水水源取水中断的；</w:t>
      </w:r>
    </w:p>
    <w:p w14:paraId="6854DE62">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（九）环境违法行为对生活饮用水水源保护区、自然保护区、</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"https://baike.sogou.com/m/fullLemma?lid=155199213&amp;g_ut=3"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国家重点生态功能区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、风景名胜区、居住功能区、</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"https://baike.sogou.com/m/fullLemma?lid=7757164&amp;g_ut=3"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基本农田保护区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等环境敏感区造成重大不利影响的；</w:t>
      </w:r>
    </w:p>
    <w:p w14:paraId="79D025E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（十）违法从事自然资源开发、交通基础设施建设，以及其他开发建设活动，造成严重生态破坏的；</w:t>
      </w:r>
    </w:p>
    <w:p w14:paraId="3611BAF7">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（十一）发生较大及以上突发环境事件的；</w:t>
      </w:r>
    </w:p>
    <w:p w14:paraId="74197911">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（十二）被环保部门挂牌督办，整改逾期未完成的；</w:t>
      </w:r>
    </w:p>
    <w:p w14:paraId="04D720F1">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（十三）以暴力、威胁等方式拒绝、阻挠环保部门工作人员现场检查的；</w:t>
      </w:r>
    </w:p>
    <w:p w14:paraId="638AFD3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（十四）违反重污染天气应急预案有关规定，对重污染天气响应不力的。</w:t>
      </w:r>
    </w:p>
    <w:p w14:paraId="1F94988D">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w:t>
      </w:r>
      <w:bookmarkStart w:id="274" w:name="OLE_LINK9"/>
      <w:bookmarkStart w:id="275" w:name="OLE_LINK8"/>
      <w:bookmarkStart w:id="276" w:name="OLE_LINK10"/>
      <w:r>
        <w:rPr>
          <w:rFonts w:hint="eastAsia" w:ascii="仿宋_GB2312" w:hAnsi="宋体" w:eastAsia="仿宋_GB2312" w:cs="Times New Roman"/>
          <w:b/>
          <w:color w:val="auto"/>
          <w:sz w:val="28"/>
          <w:szCs w:val="28"/>
          <w:highlight w:val="none"/>
        </w:rPr>
        <w:t>关于对环境保护领域失信生产经营单位及其有关人员开展联合惩戒的合作备忘录</w:t>
      </w:r>
      <w:bookmarkEnd w:id="274"/>
      <w:bookmarkEnd w:id="275"/>
      <w:bookmarkEnd w:id="276"/>
      <w:r>
        <w:rPr>
          <w:rFonts w:hint="eastAsia" w:ascii="仿宋_GB2312" w:hAnsi="宋体" w:eastAsia="仿宋_GB2312" w:cs="Times New Roman"/>
          <w:b/>
          <w:color w:val="auto"/>
          <w:sz w:val="28"/>
          <w:szCs w:val="28"/>
          <w:highlight w:val="none"/>
        </w:rPr>
        <w:t>》、《</w:t>
      </w:r>
      <w:bookmarkStart w:id="277" w:name="OLE_LINK11"/>
      <w:bookmarkStart w:id="278" w:name="OLE_LINK12"/>
      <w:r>
        <w:rPr>
          <w:rFonts w:hint="eastAsia" w:ascii="仿宋_GB2312" w:hAnsi="宋体" w:eastAsia="仿宋_GB2312" w:cs="Times New Roman"/>
          <w:b/>
          <w:color w:val="auto"/>
          <w:sz w:val="28"/>
          <w:szCs w:val="28"/>
          <w:highlight w:val="none"/>
        </w:rPr>
        <w:t>企业环境信用评价办法（试行）</w:t>
      </w:r>
      <w:bookmarkEnd w:id="277"/>
      <w:bookmarkEnd w:id="278"/>
      <w:r>
        <w:rPr>
          <w:rFonts w:hint="eastAsia" w:ascii="仿宋_GB2312" w:hAnsi="宋体" w:eastAsia="仿宋_GB2312" w:cs="Times New Roman"/>
          <w:b/>
          <w:color w:val="auto"/>
          <w:sz w:val="28"/>
          <w:szCs w:val="28"/>
          <w:highlight w:val="none"/>
        </w:rPr>
        <w:t>》（环发〔2013〕150号）</w:t>
      </w:r>
    </w:p>
    <w:p w14:paraId="01155B63">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11EA56E1">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w:t>
      </w:r>
      <w:r>
        <w:rPr>
          <w:rFonts w:hint="eastAsia" w:ascii="仿宋_GB2312" w:hAnsi="宋体" w:eastAsia="仿宋_GB2312" w:cs="Times New Roman"/>
          <w:b/>
          <w:bCs/>
          <w:color w:val="auto"/>
          <w:sz w:val="28"/>
          <w:szCs w:val="28"/>
          <w:highlight w:val="none"/>
        </w:rPr>
        <w:t>公共资源交易领域严重失信行为</w:t>
      </w:r>
    </w:p>
    <w:p w14:paraId="7E30F382">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（一）违反法律规定，必须进行招标的项目而不招标的，将必须进行招标的项目化整为零或者以其他任何方式规避招标的； </w:t>
      </w:r>
    </w:p>
    <w:p w14:paraId="2D20576C">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6BEF65E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7C27099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4983449C">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（五）投标人相互串通投标或者与招标人串通投标的，投标人以向招标人或者评标委员会成员行贿的手段谋取中标的； </w:t>
      </w:r>
    </w:p>
    <w:p w14:paraId="39E02806">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（六）投标人以他人名义投标或者以其他方式弄虚作假，骗取中标的；</w:t>
      </w:r>
    </w:p>
    <w:p w14:paraId="042EB6DA">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（七）依法必须进行招标的项目，招标人违反法律规定，与投标人就投标价格、投标方案等实质性内容进行谈判的；</w:t>
      </w:r>
    </w:p>
    <w:p w14:paraId="31C05762">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18D96CC4">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556ED85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4FD7FA4D">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（十一）招标人与中标人不按照招标文件和中标人的投标文件订立合同的，或者招标人、中标人订立背离合同实质性内容的 协议的； </w:t>
      </w:r>
    </w:p>
    <w:p w14:paraId="0CD2250D">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（十二）中标人不按照与招标人订立的合同履行义务，情节严重的； </w:t>
      </w:r>
    </w:p>
    <w:p w14:paraId="2CFAAA72">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1AB69C1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76CD45E6">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（十五）采购人对应当实行集中采购的政府采购项目，不委托集中采购机构实行集中采购的； </w:t>
      </w:r>
    </w:p>
    <w:p w14:paraId="20463BFD">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（十六）采购人、采购代理机构违反法律规定隐匿、销毁应当保存的采购文件或者伪造、变造采购文件的； </w:t>
      </w:r>
    </w:p>
    <w:p w14:paraId="25D6725B">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5EF2A8ED">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（十八）疫苗生产企业向县级疾病预防控制机构以外的单位或者个人销售第二类疫苗的； </w:t>
      </w:r>
    </w:p>
    <w:p w14:paraId="7F159F6E">
      <w:pPr>
        <w:adjustRightInd w:val="0"/>
        <w:snapToGrid w:val="0"/>
        <w:spacing w:line="560" w:lineRule="exact"/>
        <w:ind w:left="141" w:leftChars="67" w:firstLine="420" w:firstLineChars="150"/>
        <w:jc w:val="left"/>
        <w:rPr>
          <w:rFonts w:ascii="仿宋_GB2312" w:hAnsi="宋体"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（十九）存在其他违反公共资源交易法律法规行为的。</w:t>
      </w:r>
    </w:p>
    <w:p w14:paraId="0A43C523">
      <w:pPr>
        <w:adjustRightInd w:val="0"/>
        <w:snapToGrid w:val="0"/>
        <w:spacing w:line="560" w:lineRule="exact"/>
        <w:ind w:firstLine="894" w:firstLineChars="318"/>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w:t>
      </w:r>
      <w:bookmarkStart w:id="279" w:name="OLE_LINK14"/>
      <w:bookmarkStart w:id="280" w:name="OLE_LINK13"/>
      <w:r>
        <w:rPr>
          <w:rFonts w:hint="eastAsia" w:ascii="仿宋_GB2312" w:hAnsi="宋体" w:eastAsia="仿宋_GB2312" w:cs="Times New Roman"/>
          <w:b/>
          <w:color w:val="auto"/>
          <w:sz w:val="28"/>
          <w:szCs w:val="28"/>
          <w:highlight w:val="none"/>
        </w:rPr>
        <w:t>关于对公共资源交易领域严重失信主体开展联合惩戒的备忘录</w:t>
      </w:r>
      <w:bookmarkEnd w:id="279"/>
      <w:bookmarkEnd w:id="280"/>
      <w:r>
        <w:rPr>
          <w:rFonts w:hint="eastAsia" w:ascii="仿宋_GB2312" w:hAnsi="宋体" w:eastAsia="仿宋_GB2312" w:cs="Times New Roman"/>
          <w:b/>
          <w:color w:val="auto"/>
          <w:sz w:val="28"/>
          <w:szCs w:val="28"/>
          <w:highlight w:val="none"/>
        </w:rPr>
        <w:t>》（发改法规〔2018〕457号）</w:t>
      </w:r>
    </w:p>
    <w:p w14:paraId="5B7B232B">
      <w:pPr>
        <w:adjustRightInd w:val="0"/>
        <w:snapToGrid w:val="0"/>
        <w:spacing w:line="560" w:lineRule="exact"/>
        <w:ind w:firstLine="645"/>
        <w:jc w:val="left"/>
        <w:rPr>
          <w:rFonts w:ascii="仿宋_GB2312" w:hAnsi="宋体" w:eastAsia="仿宋_GB2312" w:cs="Times New Roman"/>
          <w:color w:val="auto"/>
          <w:sz w:val="28"/>
          <w:szCs w:val="28"/>
          <w:highlight w:val="none"/>
        </w:rPr>
      </w:pPr>
    </w:p>
    <w:p w14:paraId="71228C2A">
      <w:pPr>
        <w:adjustRightInd w:val="0"/>
        <w:snapToGrid w:val="0"/>
        <w:spacing w:line="560" w:lineRule="exact"/>
        <w:ind w:firstLine="645"/>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四、</w:t>
      </w:r>
      <w:r>
        <w:rPr>
          <w:rFonts w:hint="eastAsia" w:ascii="仿宋_GB2312" w:hAnsi="宋体" w:eastAsia="仿宋_GB2312" w:cs="Times New Roman"/>
          <w:b/>
          <w:bCs/>
          <w:color w:val="auto"/>
          <w:sz w:val="28"/>
          <w:szCs w:val="28"/>
          <w:highlight w:val="none"/>
        </w:rPr>
        <w:t>社会保险领域严重失信行为</w:t>
      </w:r>
    </w:p>
    <w:p w14:paraId="07768326">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（一）用人单位未按相关规定参加社会保险且拒不整改的； </w:t>
      </w:r>
    </w:p>
    <w:p w14:paraId="36C03AA6">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（二）用人单位未如实申报社会保险缴费基数且拒不整改的； </w:t>
      </w:r>
    </w:p>
    <w:p w14:paraId="1972751B">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（三）应缴纳社会保险费却拒不缴纳的； </w:t>
      </w:r>
    </w:p>
    <w:p w14:paraId="02222F78">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（四）隐匿、转移、侵占、挪用社会保险费款、基金或者违规投资运营的；</w:t>
      </w:r>
    </w:p>
    <w:p w14:paraId="795B5505">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（五）以欺诈、伪造证明材料或者其他手段参加、申报社会保险和骗取社会保险基金支出或社会保险待遇的； </w:t>
      </w:r>
    </w:p>
    <w:p w14:paraId="1AC71837">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（六）非法获取、出售或变相交易社会保险个人权益数据的； </w:t>
      </w:r>
    </w:p>
    <w:p w14:paraId="4E875CC4">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（七）社会保险服务机构违反服务协议或相关规定的； </w:t>
      </w:r>
    </w:p>
    <w:p w14:paraId="4E473810">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77884635">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（九）其他违反法律法规规定的。</w:t>
      </w:r>
    </w:p>
    <w:p w14:paraId="11410811">
      <w:pPr>
        <w:adjustRightInd w:val="0"/>
        <w:snapToGrid w:val="0"/>
        <w:spacing w:line="560" w:lineRule="exact"/>
        <w:ind w:firstLine="551" w:firstLineChars="196"/>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281" w:name="OLE_LINK15"/>
      <w:bookmarkStart w:id="282" w:name="OLE_LINK16"/>
      <w:r>
        <w:rPr>
          <w:rFonts w:hint="eastAsia" w:ascii="仿宋_GB2312" w:hAnsi="Calibri" w:eastAsia="仿宋_GB2312" w:cs="Times New Roman"/>
          <w:b/>
          <w:color w:val="auto"/>
          <w:sz w:val="28"/>
          <w:szCs w:val="28"/>
          <w:highlight w:val="none"/>
        </w:rPr>
        <w:t>关于对社会保险领域严重失信企业及其有关人员实施联合惩戒的合作备忘录</w:t>
      </w:r>
      <w:bookmarkEnd w:id="281"/>
      <w:bookmarkEnd w:id="282"/>
      <w:r>
        <w:rPr>
          <w:rFonts w:hint="eastAsia" w:ascii="仿宋_GB2312" w:hAnsi="Calibri" w:eastAsia="仿宋_GB2312" w:cs="Times New Roman"/>
          <w:b/>
          <w:color w:val="auto"/>
          <w:sz w:val="28"/>
          <w:szCs w:val="28"/>
          <w:highlight w:val="none"/>
        </w:rPr>
        <w:t>》（发改财金〔2018〕1704号）</w:t>
      </w:r>
    </w:p>
    <w:p w14:paraId="750B94B7">
      <w:pPr>
        <w:adjustRightInd w:val="0"/>
        <w:snapToGrid w:val="0"/>
        <w:spacing w:line="560" w:lineRule="exact"/>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 xml:space="preserve">     </w:t>
      </w:r>
    </w:p>
    <w:p w14:paraId="1EF4184E">
      <w:pPr>
        <w:adjustRightInd w:val="0"/>
        <w:snapToGrid w:val="0"/>
        <w:spacing w:line="560" w:lineRule="exact"/>
        <w:ind w:firstLine="562" w:firstLineChars="200"/>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五、建筑市场领域</w:t>
      </w:r>
      <w:r>
        <w:rPr>
          <w:rFonts w:hint="eastAsia" w:ascii="仿宋_GB2312" w:hAnsi="宋体" w:eastAsia="仿宋_GB2312" w:cs="Times New Roman"/>
          <w:b/>
          <w:bCs/>
          <w:color w:val="auto"/>
          <w:sz w:val="28"/>
          <w:szCs w:val="28"/>
          <w:highlight w:val="none"/>
        </w:rPr>
        <w:t>严重失信行为</w:t>
      </w:r>
    </w:p>
    <w:p w14:paraId="62AC7E88">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（一）利用虚假材料、以欺骗手段取得企业资质的；</w:t>
      </w:r>
    </w:p>
    <w:p w14:paraId="100CE0CE">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（二）发生转包、出借资质，受到行政处罚的；</w:t>
      </w:r>
    </w:p>
    <w:p w14:paraId="0B8CA5D1">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3465151C">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（四）经法院判决或仲裁机构裁决，认定为拖欠工程款,且拒不履行生效法律文书确定的义务的。</w:t>
      </w:r>
    </w:p>
    <w:p w14:paraId="5060719D">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583567D7">
      <w:pPr>
        <w:ind w:firstLine="562" w:firstLineChars="200"/>
        <w:jc w:val="left"/>
        <w:rPr>
          <w:rFonts w:ascii="宋体" w:hAnsi="宋体" w:eastAsia="宋体"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283" w:name="OLE_LINK17"/>
      <w:bookmarkStart w:id="284" w:name="OLE_LINK18"/>
      <w:r>
        <w:rPr>
          <w:rFonts w:hint="eastAsia" w:ascii="仿宋_GB2312" w:hAnsi="Calibri" w:eastAsia="仿宋_GB2312" w:cs="Times New Roman"/>
          <w:b/>
          <w:color w:val="auto"/>
          <w:sz w:val="28"/>
          <w:szCs w:val="28"/>
          <w:highlight w:val="none"/>
        </w:rPr>
        <w:t>建筑市场信用管理暂行办法</w:t>
      </w:r>
      <w:bookmarkEnd w:id="283"/>
      <w:bookmarkEnd w:id="284"/>
      <w:r>
        <w:rPr>
          <w:rFonts w:hint="eastAsia" w:ascii="仿宋_GB2312" w:hAnsi="Calibri" w:eastAsia="仿宋_GB2312" w:cs="Times New Roman"/>
          <w:b/>
          <w:color w:val="auto"/>
          <w:sz w:val="28"/>
          <w:szCs w:val="28"/>
          <w:highlight w:val="none"/>
        </w:rPr>
        <w:t>》（建市〔2017〕241号）</w:t>
      </w:r>
    </w:p>
    <w:p w14:paraId="144416BC">
      <w:pPr>
        <w:adjustRightInd w:val="0"/>
        <w:snapToGrid w:val="0"/>
        <w:spacing w:line="560" w:lineRule="exact"/>
        <w:rPr>
          <w:rFonts w:ascii="仿宋_GB2312" w:hAnsi="宋体" w:eastAsia="仿宋_GB2312" w:cs="Times New Roman"/>
          <w:b/>
          <w:color w:val="auto"/>
          <w:sz w:val="28"/>
          <w:szCs w:val="28"/>
          <w:highlight w:val="none"/>
        </w:rPr>
      </w:pPr>
    </w:p>
    <w:p w14:paraId="63B3AC38">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六、</w:t>
      </w:r>
      <w:bookmarkStart w:id="285" w:name="OLE_LINK20"/>
      <w:bookmarkStart w:id="286" w:name="OLE_LINK19"/>
      <w:r>
        <w:rPr>
          <w:rFonts w:hint="eastAsia" w:ascii="仿宋_GB2312" w:hAnsi="宋体" w:eastAsia="仿宋_GB2312" w:cs="Times New Roman"/>
          <w:b/>
          <w:color w:val="auto"/>
          <w:sz w:val="28"/>
          <w:szCs w:val="28"/>
          <w:highlight w:val="none"/>
        </w:rPr>
        <w:t>政府采购严重失信行为</w:t>
      </w:r>
      <w:bookmarkEnd w:id="285"/>
      <w:bookmarkEnd w:id="286"/>
    </w:p>
    <w:p w14:paraId="19396CF5">
      <w:pPr>
        <w:adjustRightInd w:val="0"/>
        <w:snapToGrid w:val="0"/>
        <w:spacing w:line="560" w:lineRule="exact"/>
        <w:ind w:firstLine="615"/>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（一）三万元以上罚款；</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（二）在一至三年内禁止参加政府采购活动（处罚期限届满的除外）；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（三）在一至三年内禁止代理政府采购业务（处罚期限届满的除外）；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宋体" w:eastAsia="仿宋_GB2312" w:cs="Times New Roman"/>
          <w:color w:val="auto"/>
          <w:sz w:val="28"/>
          <w:szCs w:val="28"/>
          <w:highlight w:val="none"/>
        </w:rPr>
        <w:t xml:space="preserve">　 </w:t>
      </w:r>
      <w:r>
        <w:rPr>
          <w:rFonts w:hint="eastAsia" w:ascii="仿宋_GB2312" w:hAnsi="Calibri" w:eastAsia="仿宋_GB2312" w:cs="Times New Roman"/>
          <w:color w:val="auto"/>
          <w:sz w:val="28"/>
          <w:szCs w:val="28"/>
          <w:highlight w:val="none"/>
        </w:rPr>
        <w:t>（四）撤销政府采购代理机构资格（仅针对《政府采购法》第78条修改前作出的处罚决定）。</w:t>
      </w:r>
    </w:p>
    <w:p w14:paraId="6E3D7B73">
      <w:pPr>
        <w:adjustRightInd w:val="0"/>
        <w:snapToGrid w:val="0"/>
        <w:spacing w:line="560" w:lineRule="exact"/>
        <w:ind w:firstLine="562" w:firstLineChars="200"/>
        <w:jc w:val="left"/>
        <w:rPr>
          <w:rFonts w:ascii="仿宋_GB2312" w:hAnsi="Calibri" w:eastAsia="仿宋_GB2312" w:cs="Times New Roman"/>
          <w:b/>
          <w:color w:val="auto"/>
          <w:sz w:val="28"/>
          <w:szCs w:val="28"/>
          <w:highlight w:val="none"/>
        </w:rPr>
      </w:pPr>
      <w:r>
        <w:rPr>
          <w:rFonts w:hint="eastAsia" w:ascii="仿宋_GB2312" w:hAnsi="Calibri" w:eastAsia="仿宋_GB2312" w:cs="Times New Roman"/>
          <w:b/>
          <w:color w:val="auto"/>
          <w:sz w:val="28"/>
          <w:szCs w:val="28"/>
          <w:highlight w:val="none"/>
        </w:rPr>
        <w:t>依据：《关于报送政府采购严重违法失信行为信息记录的通知》</w:t>
      </w:r>
      <w:r>
        <w:rPr>
          <w:rFonts w:ascii="Calibri" w:hAnsi="Calibri" w:eastAsia="宋体" w:cs="Times New Roman"/>
          <w:b/>
          <w:color w:val="auto"/>
          <w:sz w:val="28"/>
          <w:szCs w:val="28"/>
          <w:highlight w:val="none"/>
        </w:rPr>
        <w:t>（</w:t>
      </w:r>
      <w:r>
        <w:rPr>
          <w:rFonts w:hint="eastAsia" w:ascii="Calibri" w:hAnsi="Calibri" w:eastAsia="宋体" w:cs="Times New Roman"/>
          <w:b/>
          <w:color w:val="auto"/>
          <w:sz w:val="28"/>
          <w:szCs w:val="28"/>
          <w:highlight w:val="none"/>
        </w:rPr>
        <w:t>财办库〔</w:t>
      </w:r>
      <w:r>
        <w:rPr>
          <w:rFonts w:ascii="Calibri" w:hAnsi="Calibri" w:eastAsia="宋体" w:cs="Times New Roman"/>
          <w:b/>
          <w:color w:val="auto"/>
          <w:sz w:val="28"/>
          <w:szCs w:val="28"/>
          <w:highlight w:val="none"/>
        </w:rPr>
        <w:t>201</w:t>
      </w:r>
      <w:r>
        <w:rPr>
          <w:rFonts w:hint="eastAsia" w:ascii="Calibri" w:hAnsi="Calibri" w:eastAsia="宋体" w:cs="Times New Roman"/>
          <w:b/>
          <w:color w:val="auto"/>
          <w:sz w:val="28"/>
          <w:szCs w:val="28"/>
          <w:highlight w:val="none"/>
        </w:rPr>
        <w:t>4〕526</w:t>
      </w:r>
      <w:r>
        <w:rPr>
          <w:rFonts w:ascii="Calibri" w:hAnsi="Calibri" w:eastAsia="宋体" w:cs="Times New Roman"/>
          <w:b/>
          <w:color w:val="auto"/>
          <w:sz w:val="28"/>
          <w:szCs w:val="28"/>
          <w:highlight w:val="none"/>
        </w:rPr>
        <w:t>号）</w:t>
      </w:r>
    </w:p>
    <w:p w14:paraId="2D28E777">
      <w:pPr>
        <w:adjustRightInd w:val="0"/>
        <w:snapToGrid w:val="0"/>
        <w:spacing w:line="560" w:lineRule="exact"/>
        <w:rPr>
          <w:rFonts w:ascii="仿宋_GB2312" w:hAnsi="宋体" w:eastAsia="仿宋_GB2312" w:cs="Times New Roman"/>
          <w:b/>
          <w:color w:val="auto"/>
          <w:sz w:val="28"/>
          <w:szCs w:val="28"/>
          <w:highlight w:val="none"/>
        </w:rPr>
      </w:pPr>
    </w:p>
    <w:p w14:paraId="724B81BB">
      <w:pPr>
        <w:spacing w:line="440" w:lineRule="exact"/>
        <w:ind w:right="-92" w:rightChars="-44" w:firstLine="615"/>
        <w:rPr>
          <w:rFonts w:ascii="宋体" w:hAnsi="宋体" w:eastAsia="宋体" w:cs="宋体"/>
          <w:bCs/>
          <w:color w:val="auto"/>
          <w:sz w:val="24"/>
          <w:highlight w:val="none"/>
        </w:rPr>
      </w:pPr>
      <w:r>
        <w:rPr>
          <w:rFonts w:hint="eastAsia" w:ascii="仿宋_GB2312" w:hAnsi="宋体" w:eastAsia="仿宋_GB2312" w:cs="Times New Roman"/>
          <w:b/>
          <w:color w:val="auto"/>
          <w:sz w:val="28"/>
          <w:szCs w:val="28"/>
          <w:highlight w:val="none"/>
        </w:rPr>
        <w:t>未列出的其他类别严重失信行为，由招标人（代理机构）根据各类别行业主管部门下发的联合惩戒文件进行判断。</w:t>
      </w:r>
    </w:p>
    <w:p w14:paraId="14B8349D">
      <w:pPr>
        <w:pStyle w:val="13"/>
        <w:rPr>
          <w:rFonts w:ascii="宋体" w:hAnsi="宋体" w:eastAsia="宋体" w:cs="宋体"/>
          <w:bCs/>
          <w:color w:val="auto"/>
          <w:sz w:val="24"/>
          <w:highlight w:val="none"/>
        </w:rPr>
      </w:pPr>
    </w:p>
    <w:p w14:paraId="61C586FD">
      <w:pPr>
        <w:pStyle w:val="13"/>
        <w:rPr>
          <w:rFonts w:ascii="宋体" w:hAnsi="宋体" w:eastAsia="宋体" w:cs="宋体"/>
          <w:bCs/>
          <w:color w:val="auto"/>
          <w:highlight w:val="none"/>
        </w:rPr>
      </w:pPr>
    </w:p>
    <w:p w14:paraId="234F0A8B">
      <w:pPr>
        <w:spacing w:line="440" w:lineRule="exact"/>
        <w:ind w:firstLine="435"/>
        <w:rPr>
          <w:rFonts w:ascii="宋体" w:hAnsi="宋体" w:eastAsia="宋体" w:cs="宋体"/>
          <w:color w:val="auto"/>
          <w:sz w:val="24"/>
          <w:highlight w:val="none"/>
        </w:rPr>
      </w:pPr>
    </w:p>
    <w:sectPr>
      <w:headerReference r:id="rId5" w:type="default"/>
      <w:footerReference r:id="rId6" w:type="default"/>
      <w:pgSz w:w="11906" w:h="16838"/>
      <w:pgMar w:top="1440" w:right="1417" w:bottom="1440" w:left="1417"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36534">
    <w:pPr>
      <w:pStyle w:val="19"/>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BBCF5">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B409B">
                          <w:pPr>
                            <w:pStyle w:val="19"/>
                            <w:rPr>
                              <w:rFonts w:ascii="宋体" w:hAnsi="宋体" w:eastAsia="宋体" w:cs="宋体"/>
                              <w:sz w:val="20"/>
                              <w:szCs w:val="20"/>
                            </w:rPr>
                          </w:pPr>
                          <w:r>
                            <w:rPr>
                              <w:rFonts w:hint="eastAsia" w:ascii="宋体" w:hAnsi="宋体" w:eastAsia="宋体" w:cs="宋体"/>
                              <w:sz w:val="20"/>
                              <w:szCs w:val="20"/>
                            </w:rPr>
                            <w:t xml:space="preserve">第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  \* MERGEFORMAT </w:instrText>
                          </w:r>
                          <w:r>
                            <w:rPr>
                              <w:rFonts w:hint="eastAsia" w:ascii="宋体" w:hAnsi="宋体" w:eastAsia="宋体" w:cs="宋体"/>
                              <w:sz w:val="20"/>
                              <w:szCs w:val="20"/>
                            </w:rPr>
                            <w:fldChar w:fldCharType="separate"/>
                          </w:r>
                          <w:r>
                            <w:rPr>
                              <w:rFonts w:ascii="宋体" w:hAnsi="宋体" w:eastAsia="宋体" w:cs="宋体"/>
                              <w:sz w:val="20"/>
                              <w:szCs w:val="20"/>
                            </w:rPr>
                            <w:t>26</w:t>
                          </w:r>
                          <w:r>
                            <w:rPr>
                              <w:rFonts w:hint="eastAsia" w:ascii="宋体" w:hAnsi="宋体" w:eastAsia="宋体" w:cs="宋体"/>
                              <w:sz w:val="20"/>
                              <w:szCs w:val="20"/>
                            </w:rPr>
                            <w:fldChar w:fldCharType="end"/>
                          </w:r>
                          <w:r>
                            <w:rPr>
                              <w:rFonts w:hint="eastAsia" w:ascii="宋体" w:hAnsi="宋体" w:eastAsia="宋体" w:cs="宋体"/>
                              <w:sz w:val="20"/>
                              <w:szCs w:val="20"/>
                            </w:rPr>
                            <w:t xml:space="preserve"> 页 共</w:t>
                          </w:r>
                          <w:r>
                            <w:rPr>
                              <w:rFonts w:hint="eastAsia" w:ascii="宋体" w:hAnsi="宋体" w:eastAsia="宋体" w:cs="宋体"/>
                              <w:sz w:val="20"/>
                              <w:szCs w:val="20"/>
                              <w:lang w:val="en-US" w:eastAsia="zh-CN"/>
                            </w:rPr>
                            <w:t>75</w:t>
                          </w:r>
                          <w:r>
                            <w:rPr>
                              <w:rFonts w:hint="eastAsia" w:ascii="宋体" w:hAnsi="宋体" w:eastAsia="宋体" w:cs="宋体"/>
                              <w:sz w:val="20"/>
                              <w:szCs w:val="20"/>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16B409B">
                    <w:pPr>
                      <w:pStyle w:val="19"/>
                      <w:rPr>
                        <w:rFonts w:ascii="宋体" w:hAnsi="宋体" w:eastAsia="宋体" w:cs="宋体"/>
                        <w:sz w:val="20"/>
                        <w:szCs w:val="20"/>
                      </w:rPr>
                    </w:pPr>
                    <w:r>
                      <w:rPr>
                        <w:rFonts w:hint="eastAsia" w:ascii="宋体" w:hAnsi="宋体" w:eastAsia="宋体" w:cs="宋体"/>
                        <w:sz w:val="20"/>
                        <w:szCs w:val="20"/>
                      </w:rPr>
                      <w:t xml:space="preserve">第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  \* MERGEFORMAT </w:instrText>
                    </w:r>
                    <w:r>
                      <w:rPr>
                        <w:rFonts w:hint="eastAsia" w:ascii="宋体" w:hAnsi="宋体" w:eastAsia="宋体" w:cs="宋体"/>
                        <w:sz w:val="20"/>
                        <w:szCs w:val="20"/>
                      </w:rPr>
                      <w:fldChar w:fldCharType="separate"/>
                    </w:r>
                    <w:r>
                      <w:rPr>
                        <w:rFonts w:ascii="宋体" w:hAnsi="宋体" w:eastAsia="宋体" w:cs="宋体"/>
                        <w:sz w:val="20"/>
                        <w:szCs w:val="20"/>
                      </w:rPr>
                      <w:t>26</w:t>
                    </w:r>
                    <w:r>
                      <w:rPr>
                        <w:rFonts w:hint="eastAsia" w:ascii="宋体" w:hAnsi="宋体" w:eastAsia="宋体" w:cs="宋体"/>
                        <w:sz w:val="20"/>
                        <w:szCs w:val="20"/>
                      </w:rPr>
                      <w:fldChar w:fldCharType="end"/>
                    </w:r>
                    <w:r>
                      <w:rPr>
                        <w:rFonts w:hint="eastAsia" w:ascii="宋体" w:hAnsi="宋体" w:eastAsia="宋体" w:cs="宋体"/>
                        <w:sz w:val="20"/>
                        <w:szCs w:val="20"/>
                      </w:rPr>
                      <w:t xml:space="preserve"> 页 共</w:t>
                    </w:r>
                    <w:r>
                      <w:rPr>
                        <w:rFonts w:hint="eastAsia" w:ascii="宋体" w:hAnsi="宋体" w:eastAsia="宋体" w:cs="宋体"/>
                        <w:sz w:val="20"/>
                        <w:szCs w:val="20"/>
                        <w:lang w:val="en-US" w:eastAsia="zh-CN"/>
                      </w:rPr>
                      <w:t>75</w:t>
                    </w:r>
                    <w:r>
                      <w:rPr>
                        <w:rFonts w:hint="eastAsia" w:ascii="宋体" w:hAnsi="宋体" w:eastAsia="宋体" w:cs="宋体"/>
                        <w:sz w:val="20"/>
                        <w:szCs w:val="20"/>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3F7C9">
    <w:pPr>
      <w:pStyle w:val="20"/>
      <w:pBdr>
        <w:bottom w:val="none" w:color="auto" w:sz="0" w:space="1"/>
      </w:pBdr>
      <w:jc w:val="left"/>
      <w:rPr>
        <w:rFonts w:asciiTheme="minorEastAsia" w:hAnsiTheme="minorEastAsia"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59790">
    <w:pPr>
      <w:pStyle w:val="20"/>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chineseCountingThousand"/>
      <w:pStyle w:val="25"/>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A064A37"/>
    <w:multiLevelType w:val="singleLevel"/>
    <w:tmpl w:val="2A064A37"/>
    <w:lvl w:ilvl="0" w:tentative="0">
      <w:start w:val="3"/>
      <w:numFmt w:val="chineseCounting"/>
      <w:suff w:val="space"/>
      <w:lvlText w:val="第%1章"/>
      <w:lvlJc w:val="left"/>
      <w:rPr>
        <w:rFonts w:hint="eastAsia"/>
      </w:rPr>
    </w:lvl>
  </w:abstractNum>
  <w:abstractNum w:abstractNumId="2">
    <w:nsid w:val="39442EAC"/>
    <w:multiLevelType w:val="singleLevel"/>
    <w:tmpl w:val="39442EAC"/>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D7404"/>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546"/>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1695E"/>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668E"/>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679A1"/>
    <w:rsid w:val="009701DC"/>
    <w:rsid w:val="009715D8"/>
    <w:rsid w:val="0097649F"/>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117EA"/>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6606E"/>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30D5"/>
    <w:rsid w:val="00C35561"/>
    <w:rsid w:val="00C4202A"/>
    <w:rsid w:val="00C4211F"/>
    <w:rsid w:val="00C46A36"/>
    <w:rsid w:val="00C47037"/>
    <w:rsid w:val="00C51AE3"/>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17C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34106F"/>
    <w:rsid w:val="01A12229"/>
    <w:rsid w:val="01D45E49"/>
    <w:rsid w:val="0214602E"/>
    <w:rsid w:val="029D518A"/>
    <w:rsid w:val="03486B27"/>
    <w:rsid w:val="03B375A3"/>
    <w:rsid w:val="040A094E"/>
    <w:rsid w:val="04E36C96"/>
    <w:rsid w:val="053814D9"/>
    <w:rsid w:val="056800F4"/>
    <w:rsid w:val="056F201D"/>
    <w:rsid w:val="05B664D4"/>
    <w:rsid w:val="062D3EC0"/>
    <w:rsid w:val="07076C01"/>
    <w:rsid w:val="071C12AC"/>
    <w:rsid w:val="074E231E"/>
    <w:rsid w:val="07A934B3"/>
    <w:rsid w:val="0875502E"/>
    <w:rsid w:val="08B15E54"/>
    <w:rsid w:val="09523172"/>
    <w:rsid w:val="0980799C"/>
    <w:rsid w:val="0A0F6376"/>
    <w:rsid w:val="0A353CEA"/>
    <w:rsid w:val="0A6A18DB"/>
    <w:rsid w:val="0AEF3828"/>
    <w:rsid w:val="0BBB665B"/>
    <w:rsid w:val="0C896324"/>
    <w:rsid w:val="0CB7664E"/>
    <w:rsid w:val="0E621AC6"/>
    <w:rsid w:val="0E816EC5"/>
    <w:rsid w:val="0EEA6FC1"/>
    <w:rsid w:val="0F954485"/>
    <w:rsid w:val="0FAF6340"/>
    <w:rsid w:val="0FB63A2F"/>
    <w:rsid w:val="0FBF344F"/>
    <w:rsid w:val="0FE73DD3"/>
    <w:rsid w:val="10505F32"/>
    <w:rsid w:val="105A27E6"/>
    <w:rsid w:val="10635C65"/>
    <w:rsid w:val="1143223B"/>
    <w:rsid w:val="119B0711"/>
    <w:rsid w:val="12197477"/>
    <w:rsid w:val="12BE27B4"/>
    <w:rsid w:val="132E0DA8"/>
    <w:rsid w:val="13587E2C"/>
    <w:rsid w:val="140D4952"/>
    <w:rsid w:val="141D7BEE"/>
    <w:rsid w:val="1466407E"/>
    <w:rsid w:val="14834E28"/>
    <w:rsid w:val="148E7D65"/>
    <w:rsid w:val="151D4243"/>
    <w:rsid w:val="15231BF9"/>
    <w:rsid w:val="154643A5"/>
    <w:rsid w:val="1590464C"/>
    <w:rsid w:val="179F5278"/>
    <w:rsid w:val="180712E0"/>
    <w:rsid w:val="187E27B0"/>
    <w:rsid w:val="19E46234"/>
    <w:rsid w:val="1A2D3F82"/>
    <w:rsid w:val="1A3B68AA"/>
    <w:rsid w:val="1A3E1C1E"/>
    <w:rsid w:val="1A421543"/>
    <w:rsid w:val="1A5D65DB"/>
    <w:rsid w:val="1C074BB1"/>
    <w:rsid w:val="1C141836"/>
    <w:rsid w:val="1CA84E54"/>
    <w:rsid w:val="1D8C6075"/>
    <w:rsid w:val="1E6B6A14"/>
    <w:rsid w:val="1EB21086"/>
    <w:rsid w:val="1FF06854"/>
    <w:rsid w:val="20550D9A"/>
    <w:rsid w:val="21714B53"/>
    <w:rsid w:val="218E2416"/>
    <w:rsid w:val="22230105"/>
    <w:rsid w:val="22574D18"/>
    <w:rsid w:val="226915FE"/>
    <w:rsid w:val="22E14C32"/>
    <w:rsid w:val="24B97929"/>
    <w:rsid w:val="2520252D"/>
    <w:rsid w:val="25AD2E5D"/>
    <w:rsid w:val="26163BC1"/>
    <w:rsid w:val="26B26E88"/>
    <w:rsid w:val="27BB0F9C"/>
    <w:rsid w:val="285F40CA"/>
    <w:rsid w:val="28C01ECB"/>
    <w:rsid w:val="28EC3ECC"/>
    <w:rsid w:val="298855DE"/>
    <w:rsid w:val="29BF71E3"/>
    <w:rsid w:val="2A127B63"/>
    <w:rsid w:val="2A3D2278"/>
    <w:rsid w:val="2AAA4765"/>
    <w:rsid w:val="2AC21606"/>
    <w:rsid w:val="2AF63C5E"/>
    <w:rsid w:val="2B7E7608"/>
    <w:rsid w:val="2B7F04E9"/>
    <w:rsid w:val="2C305555"/>
    <w:rsid w:val="2C9A21B9"/>
    <w:rsid w:val="2CE20523"/>
    <w:rsid w:val="2D3B69F6"/>
    <w:rsid w:val="2D496D68"/>
    <w:rsid w:val="2D79508C"/>
    <w:rsid w:val="2DDD0E97"/>
    <w:rsid w:val="2E46293F"/>
    <w:rsid w:val="2E6672CB"/>
    <w:rsid w:val="2E7A48DE"/>
    <w:rsid w:val="2EDC3ED8"/>
    <w:rsid w:val="2F2D046C"/>
    <w:rsid w:val="2F6351B4"/>
    <w:rsid w:val="2FCF199E"/>
    <w:rsid w:val="301D1F6F"/>
    <w:rsid w:val="30483E83"/>
    <w:rsid w:val="30AA0E97"/>
    <w:rsid w:val="32CD7A3A"/>
    <w:rsid w:val="334E4CD8"/>
    <w:rsid w:val="343C0775"/>
    <w:rsid w:val="34AA76A9"/>
    <w:rsid w:val="356C50EC"/>
    <w:rsid w:val="35A61FCC"/>
    <w:rsid w:val="361108CD"/>
    <w:rsid w:val="36BF486C"/>
    <w:rsid w:val="3700166C"/>
    <w:rsid w:val="3727617F"/>
    <w:rsid w:val="375969FE"/>
    <w:rsid w:val="376375A7"/>
    <w:rsid w:val="37A96328"/>
    <w:rsid w:val="37CA01F4"/>
    <w:rsid w:val="381755BC"/>
    <w:rsid w:val="38694EE9"/>
    <w:rsid w:val="3AB60810"/>
    <w:rsid w:val="3B365CC9"/>
    <w:rsid w:val="3B9A7B88"/>
    <w:rsid w:val="3BC114FF"/>
    <w:rsid w:val="3C2660C6"/>
    <w:rsid w:val="3C2C5CCA"/>
    <w:rsid w:val="3CA8600C"/>
    <w:rsid w:val="3D0E5EC3"/>
    <w:rsid w:val="3D2C7AC8"/>
    <w:rsid w:val="3D855D12"/>
    <w:rsid w:val="3D8B42FF"/>
    <w:rsid w:val="3D8C02DD"/>
    <w:rsid w:val="3DC20089"/>
    <w:rsid w:val="3DF36A6E"/>
    <w:rsid w:val="3F1138E1"/>
    <w:rsid w:val="3F792F1E"/>
    <w:rsid w:val="40490124"/>
    <w:rsid w:val="40824826"/>
    <w:rsid w:val="40E63923"/>
    <w:rsid w:val="42B443F4"/>
    <w:rsid w:val="42F43FD4"/>
    <w:rsid w:val="43A91E5B"/>
    <w:rsid w:val="44BC3308"/>
    <w:rsid w:val="45BA48DB"/>
    <w:rsid w:val="463A3650"/>
    <w:rsid w:val="464F1EB3"/>
    <w:rsid w:val="469F0116"/>
    <w:rsid w:val="4721358B"/>
    <w:rsid w:val="475259B7"/>
    <w:rsid w:val="478D252F"/>
    <w:rsid w:val="48831CF9"/>
    <w:rsid w:val="49A165B8"/>
    <w:rsid w:val="49B1408D"/>
    <w:rsid w:val="4A7C5BA6"/>
    <w:rsid w:val="4A7D4FD2"/>
    <w:rsid w:val="4A89557F"/>
    <w:rsid w:val="4A913C9A"/>
    <w:rsid w:val="4AE22D2F"/>
    <w:rsid w:val="4B1F70AC"/>
    <w:rsid w:val="4B240F94"/>
    <w:rsid w:val="4B386AE5"/>
    <w:rsid w:val="4BA75287"/>
    <w:rsid w:val="4BAD0FCB"/>
    <w:rsid w:val="4BED70D6"/>
    <w:rsid w:val="4C3C565C"/>
    <w:rsid w:val="4C9D6703"/>
    <w:rsid w:val="4CCC79C7"/>
    <w:rsid w:val="4D6C5E8D"/>
    <w:rsid w:val="4D7555C7"/>
    <w:rsid w:val="4EAE6DA0"/>
    <w:rsid w:val="4FBF4192"/>
    <w:rsid w:val="4FD037EF"/>
    <w:rsid w:val="5016514B"/>
    <w:rsid w:val="502857C7"/>
    <w:rsid w:val="50476D3D"/>
    <w:rsid w:val="511659A4"/>
    <w:rsid w:val="51CB1C78"/>
    <w:rsid w:val="51FD6A51"/>
    <w:rsid w:val="526B680A"/>
    <w:rsid w:val="5281669A"/>
    <w:rsid w:val="53150D15"/>
    <w:rsid w:val="5352083E"/>
    <w:rsid w:val="541A5D30"/>
    <w:rsid w:val="553E632F"/>
    <w:rsid w:val="55800ED8"/>
    <w:rsid w:val="55F068CD"/>
    <w:rsid w:val="566C3136"/>
    <w:rsid w:val="568D04F2"/>
    <w:rsid w:val="588D6DD7"/>
    <w:rsid w:val="59971F55"/>
    <w:rsid w:val="59DF66A0"/>
    <w:rsid w:val="5A526582"/>
    <w:rsid w:val="5A5F5C77"/>
    <w:rsid w:val="5B504D56"/>
    <w:rsid w:val="5BBE39CD"/>
    <w:rsid w:val="5BC11A60"/>
    <w:rsid w:val="5C7A4D54"/>
    <w:rsid w:val="5CD23B73"/>
    <w:rsid w:val="5E723A11"/>
    <w:rsid w:val="5F127819"/>
    <w:rsid w:val="5F63752A"/>
    <w:rsid w:val="60D8248E"/>
    <w:rsid w:val="60F1503F"/>
    <w:rsid w:val="61025188"/>
    <w:rsid w:val="61057D5F"/>
    <w:rsid w:val="61382A7C"/>
    <w:rsid w:val="614D4977"/>
    <w:rsid w:val="6296133A"/>
    <w:rsid w:val="63C60FC0"/>
    <w:rsid w:val="641A2BDD"/>
    <w:rsid w:val="64BA3D7A"/>
    <w:rsid w:val="64F179BC"/>
    <w:rsid w:val="65C94C55"/>
    <w:rsid w:val="665704D3"/>
    <w:rsid w:val="673148E2"/>
    <w:rsid w:val="675445CD"/>
    <w:rsid w:val="67C065A4"/>
    <w:rsid w:val="67D359C9"/>
    <w:rsid w:val="67EF7D97"/>
    <w:rsid w:val="68784E48"/>
    <w:rsid w:val="68FE36DD"/>
    <w:rsid w:val="69443D85"/>
    <w:rsid w:val="694E60FC"/>
    <w:rsid w:val="69EF4042"/>
    <w:rsid w:val="6A641533"/>
    <w:rsid w:val="6AE65B91"/>
    <w:rsid w:val="6AF13082"/>
    <w:rsid w:val="6B613B46"/>
    <w:rsid w:val="6B6842A1"/>
    <w:rsid w:val="6C0438FE"/>
    <w:rsid w:val="6C304B0A"/>
    <w:rsid w:val="6C410A63"/>
    <w:rsid w:val="6C675CE6"/>
    <w:rsid w:val="6CB82330"/>
    <w:rsid w:val="6CEF35AF"/>
    <w:rsid w:val="6D4F4321"/>
    <w:rsid w:val="6DFF7360"/>
    <w:rsid w:val="6E7A5F73"/>
    <w:rsid w:val="6F2E3798"/>
    <w:rsid w:val="6FCB61BB"/>
    <w:rsid w:val="6FD74228"/>
    <w:rsid w:val="70160F82"/>
    <w:rsid w:val="70FE5EDF"/>
    <w:rsid w:val="71633091"/>
    <w:rsid w:val="719D61FD"/>
    <w:rsid w:val="72985845"/>
    <w:rsid w:val="72B56DCF"/>
    <w:rsid w:val="72D978CD"/>
    <w:rsid w:val="72F31639"/>
    <w:rsid w:val="73081CA5"/>
    <w:rsid w:val="74545B7C"/>
    <w:rsid w:val="7487762D"/>
    <w:rsid w:val="749F2380"/>
    <w:rsid w:val="75385498"/>
    <w:rsid w:val="756E3706"/>
    <w:rsid w:val="75D17871"/>
    <w:rsid w:val="769962BD"/>
    <w:rsid w:val="76BC207F"/>
    <w:rsid w:val="76EB4904"/>
    <w:rsid w:val="77466953"/>
    <w:rsid w:val="777378F5"/>
    <w:rsid w:val="777A2D3C"/>
    <w:rsid w:val="78537BEA"/>
    <w:rsid w:val="79074B81"/>
    <w:rsid w:val="794F0939"/>
    <w:rsid w:val="79855D4E"/>
    <w:rsid w:val="79AC6330"/>
    <w:rsid w:val="79AF0FCA"/>
    <w:rsid w:val="79EF2560"/>
    <w:rsid w:val="7A857CD9"/>
    <w:rsid w:val="7AF9279C"/>
    <w:rsid w:val="7B1A0118"/>
    <w:rsid w:val="7C072E2B"/>
    <w:rsid w:val="7CC51958"/>
    <w:rsid w:val="7CEC40B6"/>
    <w:rsid w:val="7E222935"/>
    <w:rsid w:val="7E2552FF"/>
    <w:rsid w:val="7E2936C3"/>
    <w:rsid w:val="7E2E365C"/>
    <w:rsid w:val="7E610E09"/>
    <w:rsid w:val="7E6411B9"/>
    <w:rsid w:val="7EBA2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7">
    <w:name w:val="heading 1"/>
    <w:basedOn w:val="1"/>
    <w:next w:val="1"/>
    <w:link w:val="61"/>
    <w:autoRedefine/>
    <w:qFormat/>
    <w:uiPriority w:val="9"/>
    <w:pPr>
      <w:keepNext/>
      <w:keepLines/>
      <w:spacing w:before="340" w:after="330" w:line="578"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9">
    <w:name w:val="heading 3"/>
    <w:basedOn w:val="1"/>
    <w:next w:val="1"/>
    <w:link w:val="63"/>
    <w:autoRedefine/>
    <w:semiHidden/>
    <w:unhideWhenUsed/>
    <w:qFormat/>
    <w:uiPriority w:val="9"/>
    <w:pPr>
      <w:keepNext/>
      <w:keepLines/>
      <w:spacing w:before="260" w:after="260" w:line="416" w:lineRule="auto"/>
      <w:outlineLvl w:val="2"/>
    </w:pPr>
    <w:rPr>
      <w:b/>
      <w:bCs/>
      <w:sz w:val="32"/>
      <w:szCs w:val="32"/>
    </w:rPr>
  </w:style>
  <w:style w:type="paragraph" w:styleId="10">
    <w:name w:val="heading 4"/>
    <w:basedOn w:val="1"/>
    <w:next w:val="1"/>
    <w:link w:val="68"/>
    <w:autoRedefine/>
    <w:qFormat/>
    <w:uiPriority w:val="0"/>
    <w:pPr>
      <w:keepNext/>
      <w:keepLines/>
      <w:spacing w:before="280" w:after="290" w:line="376" w:lineRule="auto"/>
      <w:outlineLvl w:val="3"/>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6"/>
    <w:autoRedefine/>
    <w:qFormat/>
    <w:uiPriority w:val="0"/>
    <w:pPr>
      <w:ind w:firstLine="420" w:firstLineChars="200"/>
    </w:pPr>
    <w:rPr>
      <w:rFonts w:ascii="Times New Roman" w:hAnsi="Times New Roman" w:cs="Times New Roman"/>
      <w:szCs w:val="21"/>
    </w:rPr>
  </w:style>
  <w:style w:type="paragraph" w:styleId="3">
    <w:name w:val="Body Text Indent"/>
    <w:basedOn w:val="1"/>
    <w:next w:val="4"/>
    <w:autoRedefine/>
    <w:qFormat/>
    <w:uiPriority w:val="0"/>
    <w:pPr>
      <w:spacing w:after="120"/>
      <w:ind w:left="420" w:leftChars="200"/>
    </w:pPr>
    <w:rPr>
      <w:szCs w:val="24"/>
    </w:rPr>
  </w:style>
  <w:style w:type="paragraph" w:styleId="4">
    <w:name w:val="envelope return"/>
    <w:basedOn w:val="1"/>
    <w:next w:val="5"/>
    <w:autoRedefine/>
    <w:qFormat/>
    <w:uiPriority w:val="0"/>
    <w:pPr>
      <w:snapToGrid w:val="0"/>
    </w:pPr>
    <w:rPr>
      <w:rFonts w:ascii="Arial" w:hAnsi="Arial"/>
    </w:rPr>
  </w:style>
  <w:style w:type="paragraph" w:styleId="5">
    <w:name w:val="toc 7"/>
    <w:basedOn w:val="1"/>
    <w:next w:val="1"/>
    <w:autoRedefine/>
    <w:unhideWhenUsed/>
    <w:qFormat/>
    <w:uiPriority w:val="39"/>
    <w:pPr>
      <w:ind w:left="1260"/>
      <w:jc w:val="left"/>
    </w:pPr>
    <w:rPr>
      <w:sz w:val="18"/>
      <w:szCs w:val="18"/>
    </w:rPr>
  </w:style>
  <w:style w:type="paragraph" w:styleId="6">
    <w:name w:val="List"/>
    <w:basedOn w:val="1"/>
    <w:next w:val="1"/>
    <w:qFormat/>
    <w:uiPriority w:val="0"/>
    <w:pPr>
      <w:ind w:left="420" w:hanging="420"/>
    </w:pPr>
    <w:rPr>
      <w:rFonts w:ascii="Arial" w:hAnsi="Arial" w:eastAsia="楷体_GB2312"/>
      <w:sz w:val="28"/>
    </w:rPr>
  </w:style>
  <w:style w:type="paragraph" w:styleId="11">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12">
    <w:name w:val="annotation text"/>
    <w:basedOn w:val="1"/>
    <w:link w:val="60"/>
    <w:autoRedefine/>
    <w:qFormat/>
    <w:uiPriority w:val="0"/>
    <w:pPr>
      <w:jc w:val="left"/>
    </w:pPr>
    <w:rPr>
      <w:rFonts w:ascii="Arial" w:hAnsi="Arial" w:eastAsia="黑体" w:cs="Arial"/>
    </w:rPr>
  </w:style>
  <w:style w:type="paragraph" w:styleId="13">
    <w:name w:val="Body Text"/>
    <w:basedOn w:val="1"/>
    <w:next w:val="14"/>
    <w:autoRedefine/>
    <w:qFormat/>
    <w:uiPriority w:val="0"/>
    <w:pPr>
      <w:spacing w:after="120"/>
    </w:pPr>
    <w:rPr>
      <w:rFonts w:ascii="@微软简标宋" w:hAnsi="@微软简标宋" w:eastAsia="@微软简标宋" w:cs="@微软简标宋"/>
      <w:szCs w:val="24"/>
      <w:lang w:val="zh-CN"/>
    </w:rPr>
  </w:style>
  <w:style w:type="paragraph" w:styleId="14">
    <w:name w:val="Date"/>
    <w:basedOn w:val="1"/>
    <w:next w:val="1"/>
    <w:link w:val="57"/>
    <w:autoRedefine/>
    <w:qFormat/>
    <w:uiPriority w:val="0"/>
    <w:rPr>
      <w:rFonts w:ascii="Arial" w:hAnsi="Arial" w:eastAsia="宋体" w:cs="Arial"/>
      <w:b/>
      <w:sz w:val="28"/>
    </w:rPr>
  </w:style>
  <w:style w:type="paragraph" w:styleId="15">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6">
    <w:name w:val="Plain Text"/>
    <w:basedOn w:val="1"/>
    <w:link w:val="50"/>
    <w:autoRedefine/>
    <w:qFormat/>
    <w:uiPriority w:val="99"/>
    <w:rPr>
      <w:rFonts w:ascii="宋体" w:hAnsi="Courier New" w:eastAsiaTheme="minorEastAsia" w:cstheme="minorBidi"/>
      <w:szCs w:val="22"/>
    </w:rPr>
  </w:style>
  <w:style w:type="paragraph" w:styleId="17">
    <w:name w:val="Body Text Indent 2"/>
    <w:basedOn w:val="1"/>
    <w:next w:val="1"/>
    <w:autoRedefine/>
    <w:qFormat/>
    <w:uiPriority w:val="0"/>
    <w:pPr>
      <w:spacing w:after="120" w:line="480" w:lineRule="auto"/>
      <w:ind w:left="420" w:leftChars="200"/>
    </w:pPr>
  </w:style>
  <w:style w:type="paragraph" w:styleId="18">
    <w:name w:val="Balloon Text"/>
    <w:basedOn w:val="1"/>
    <w:link w:val="44"/>
    <w:autoRedefine/>
    <w:semiHidden/>
    <w:unhideWhenUsed/>
    <w:qFormat/>
    <w:uiPriority w:val="99"/>
    <w:rPr>
      <w:sz w:val="18"/>
      <w:szCs w:val="18"/>
    </w:rPr>
  </w:style>
  <w:style w:type="paragraph" w:styleId="19">
    <w:name w:val="footer"/>
    <w:basedOn w:val="1"/>
    <w:link w:val="49"/>
    <w:autoRedefine/>
    <w:unhideWhenUsed/>
    <w:qFormat/>
    <w:uiPriority w:val="99"/>
    <w:pPr>
      <w:tabs>
        <w:tab w:val="center" w:pos="4153"/>
        <w:tab w:val="right" w:pos="8306"/>
      </w:tabs>
      <w:snapToGrid w:val="0"/>
      <w:jc w:val="left"/>
    </w:pPr>
    <w:rPr>
      <w:sz w:val="18"/>
      <w:szCs w:val="18"/>
    </w:rPr>
  </w:style>
  <w:style w:type="paragraph" w:styleId="20">
    <w:name w:val="header"/>
    <w:basedOn w:val="1"/>
    <w:link w:val="4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2">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3">
    <w:name w:val="Normal (Web)"/>
    <w:basedOn w:val="1"/>
    <w:autoRedefine/>
    <w:qFormat/>
    <w:uiPriority w:val="0"/>
    <w:pPr>
      <w:spacing w:before="100" w:beforeAutospacing="1" w:after="100" w:afterAutospacing="1"/>
      <w:jc w:val="left"/>
    </w:pPr>
    <w:rPr>
      <w:rFonts w:cs="Times New Roman"/>
      <w:kern w:val="0"/>
      <w:sz w:val="24"/>
    </w:rPr>
  </w:style>
  <w:style w:type="paragraph" w:styleId="24">
    <w:name w:val="index 1"/>
    <w:basedOn w:val="1"/>
    <w:next w:val="1"/>
    <w:autoRedefine/>
    <w:qFormat/>
    <w:uiPriority w:val="0"/>
    <w:pPr>
      <w:jc w:val="center"/>
    </w:pPr>
    <w:rPr>
      <w:rFonts w:ascii="Arial" w:hAnsi="Arial" w:eastAsia="Arial" w:cs="Arial"/>
      <w:b/>
      <w:bCs/>
      <w:sz w:val="28"/>
    </w:rPr>
  </w:style>
  <w:style w:type="paragraph" w:styleId="25">
    <w:name w:val="Title"/>
    <w:basedOn w:val="1"/>
    <w:next w:val="1"/>
    <w:qFormat/>
    <w:uiPriority w:val="0"/>
    <w:pPr>
      <w:numPr>
        <w:ilvl w:val="0"/>
        <w:numId w:val="1"/>
      </w:numPr>
      <w:spacing w:line="360" w:lineRule="auto"/>
      <w:jc w:val="left"/>
      <w:outlineLvl w:val="0"/>
    </w:pPr>
    <w:rPr>
      <w:rFonts w:ascii="Cambria" w:hAnsi="Cambria" w:cs="Times New Roman"/>
      <w:b/>
      <w:bCs/>
      <w:sz w:val="28"/>
      <w:szCs w:val="32"/>
    </w:rPr>
  </w:style>
  <w:style w:type="paragraph" w:styleId="26">
    <w:name w:val="annotation subject"/>
    <w:basedOn w:val="12"/>
    <w:next w:val="12"/>
    <w:link w:val="71"/>
    <w:autoRedefine/>
    <w:semiHidden/>
    <w:unhideWhenUsed/>
    <w:qFormat/>
    <w:uiPriority w:val="99"/>
    <w:rPr>
      <w:rFonts w:ascii="@仿宋_GB2312" w:hAnsi="@仿宋_GB2312" w:eastAsia="@仿宋_GB2312" w:cs="@仿宋_GB2312"/>
      <w:b/>
      <w:bCs/>
    </w:rPr>
  </w:style>
  <w:style w:type="paragraph" w:styleId="27">
    <w:name w:val="Body Text First Indent"/>
    <w:basedOn w:val="13"/>
    <w:autoRedefine/>
    <w:unhideWhenUsed/>
    <w:qFormat/>
    <w:uiPriority w:val="99"/>
    <w:pPr>
      <w:ind w:firstLine="420" w:firstLineChars="100"/>
    </w:pPr>
  </w:style>
  <w:style w:type="table" w:styleId="29">
    <w:name w:val="Table Grid"/>
    <w:basedOn w:val="28"/>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autoRedefine/>
    <w:qFormat/>
    <w:uiPriority w:val="0"/>
    <w:rPr>
      <w:b/>
      <w:bCs/>
    </w:rPr>
  </w:style>
  <w:style w:type="character" w:styleId="32">
    <w:name w:val="FollowedHyperlink"/>
    <w:basedOn w:val="30"/>
    <w:semiHidden/>
    <w:unhideWhenUsed/>
    <w:qFormat/>
    <w:uiPriority w:val="99"/>
    <w:rPr>
      <w:color w:val="5C5C5C"/>
      <w:u w:val="none"/>
    </w:rPr>
  </w:style>
  <w:style w:type="character" w:styleId="33">
    <w:name w:val="Emphasis"/>
    <w:basedOn w:val="30"/>
    <w:qFormat/>
    <w:uiPriority w:val="20"/>
    <w:rPr>
      <w:b/>
      <w:bCs/>
    </w:rPr>
  </w:style>
  <w:style w:type="character" w:styleId="34">
    <w:name w:val="HTML Definition"/>
    <w:basedOn w:val="30"/>
    <w:semiHidden/>
    <w:unhideWhenUsed/>
    <w:qFormat/>
    <w:uiPriority w:val="99"/>
  </w:style>
  <w:style w:type="character" w:styleId="35">
    <w:name w:val="HTML Typewriter"/>
    <w:basedOn w:val="30"/>
    <w:semiHidden/>
    <w:unhideWhenUsed/>
    <w:qFormat/>
    <w:uiPriority w:val="99"/>
    <w:rPr>
      <w:rFonts w:hint="default" w:ascii="monospace" w:hAnsi="monospace" w:eastAsia="monospace" w:cs="monospace"/>
      <w:sz w:val="20"/>
    </w:rPr>
  </w:style>
  <w:style w:type="character" w:styleId="36">
    <w:name w:val="HTML Acronym"/>
    <w:basedOn w:val="30"/>
    <w:semiHidden/>
    <w:unhideWhenUsed/>
    <w:qFormat/>
    <w:uiPriority w:val="99"/>
    <w:rPr>
      <w:color w:val="5C5C5C"/>
      <w:sz w:val="19"/>
      <w:szCs w:val="19"/>
      <w:u w:val="none"/>
      <w:bdr w:val="single" w:color="D6D6D6" w:sz="2" w:space="0"/>
      <w:shd w:val="clear" w:fill="FFFFFF"/>
    </w:rPr>
  </w:style>
  <w:style w:type="character" w:styleId="37">
    <w:name w:val="HTML Variable"/>
    <w:basedOn w:val="30"/>
    <w:semiHidden/>
    <w:unhideWhenUsed/>
    <w:qFormat/>
    <w:uiPriority w:val="99"/>
  </w:style>
  <w:style w:type="character" w:styleId="38">
    <w:name w:val="Hyperlink"/>
    <w:basedOn w:val="30"/>
    <w:autoRedefine/>
    <w:unhideWhenUsed/>
    <w:qFormat/>
    <w:uiPriority w:val="99"/>
    <w:rPr>
      <w:color w:val="0000FF" w:themeColor="hyperlink"/>
      <w:u w:val="single"/>
      <w14:textFill>
        <w14:solidFill>
          <w14:schemeClr w14:val="hlink"/>
        </w14:solidFill>
      </w14:textFill>
    </w:rPr>
  </w:style>
  <w:style w:type="character" w:styleId="39">
    <w:name w:val="HTML Code"/>
    <w:basedOn w:val="30"/>
    <w:semiHidden/>
    <w:unhideWhenUsed/>
    <w:qFormat/>
    <w:uiPriority w:val="99"/>
    <w:rPr>
      <w:rFonts w:hint="default" w:ascii="monospace" w:hAnsi="monospace" w:eastAsia="monospace" w:cs="monospace"/>
      <w:sz w:val="20"/>
    </w:rPr>
  </w:style>
  <w:style w:type="character" w:styleId="40">
    <w:name w:val="annotation reference"/>
    <w:basedOn w:val="30"/>
    <w:autoRedefine/>
    <w:semiHidden/>
    <w:unhideWhenUsed/>
    <w:qFormat/>
    <w:uiPriority w:val="99"/>
    <w:rPr>
      <w:sz w:val="21"/>
      <w:szCs w:val="21"/>
    </w:rPr>
  </w:style>
  <w:style w:type="character" w:styleId="41">
    <w:name w:val="HTML Cite"/>
    <w:basedOn w:val="30"/>
    <w:semiHidden/>
    <w:unhideWhenUsed/>
    <w:qFormat/>
    <w:uiPriority w:val="99"/>
  </w:style>
  <w:style w:type="character" w:styleId="42">
    <w:name w:val="HTML Keyboard"/>
    <w:basedOn w:val="30"/>
    <w:semiHidden/>
    <w:unhideWhenUsed/>
    <w:qFormat/>
    <w:uiPriority w:val="99"/>
    <w:rPr>
      <w:rFonts w:ascii="monospace" w:hAnsi="monospace" w:eastAsia="monospace" w:cs="monospace"/>
      <w:sz w:val="20"/>
    </w:rPr>
  </w:style>
  <w:style w:type="character" w:styleId="43">
    <w:name w:val="HTML Sample"/>
    <w:basedOn w:val="30"/>
    <w:semiHidden/>
    <w:unhideWhenUsed/>
    <w:qFormat/>
    <w:uiPriority w:val="99"/>
    <w:rPr>
      <w:rFonts w:hint="default" w:ascii="monospace" w:hAnsi="monospace" w:eastAsia="monospace" w:cs="monospace"/>
    </w:rPr>
  </w:style>
  <w:style w:type="character" w:customStyle="1" w:styleId="44">
    <w:name w:val="批注框文本 Char"/>
    <w:basedOn w:val="30"/>
    <w:link w:val="18"/>
    <w:autoRedefine/>
    <w:semiHidden/>
    <w:qFormat/>
    <w:uiPriority w:val="99"/>
    <w:rPr>
      <w:rFonts w:ascii="@仿宋_GB2312" w:hAnsi="@仿宋_GB2312" w:eastAsia="@仿宋_GB2312" w:cs="@仿宋_GB2312"/>
      <w:sz w:val="18"/>
      <w:szCs w:val="18"/>
    </w:rPr>
  </w:style>
  <w:style w:type="paragraph" w:customStyle="1" w:styleId="45">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6">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7">
    <w:name w:val="D&amp;L"/>
    <w:basedOn w:val="20"/>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8">
    <w:name w:val="页眉 Char"/>
    <w:basedOn w:val="30"/>
    <w:link w:val="20"/>
    <w:autoRedefine/>
    <w:qFormat/>
    <w:uiPriority w:val="99"/>
    <w:rPr>
      <w:rFonts w:ascii="@仿宋_GB2312" w:hAnsi="@仿宋_GB2312" w:eastAsia="@仿宋_GB2312" w:cs="@仿宋_GB2312"/>
      <w:sz w:val="18"/>
      <w:szCs w:val="18"/>
    </w:rPr>
  </w:style>
  <w:style w:type="character" w:customStyle="1" w:styleId="49">
    <w:name w:val="页脚 Char"/>
    <w:basedOn w:val="30"/>
    <w:link w:val="19"/>
    <w:autoRedefine/>
    <w:qFormat/>
    <w:uiPriority w:val="99"/>
    <w:rPr>
      <w:rFonts w:ascii="@仿宋_GB2312" w:hAnsi="@仿宋_GB2312" w:eastAsia="@仿宋_GB2312" w:cs="@仿宋_GB2312"/>
      <w:sz w:val="18"/>
      <w:szCs w:val="18"/>
    </w:rPr>
  </w:style>
  <w:style w:type="character" w:customStyle="1" w:styleId="50">
    <w:name w:val="纯文本 Char"/>
    <w:link w:val="16"/>
    <w:autoRedefine/>
    <w:qFormat/>
    <w:uiPriority w:val="0"/>
    <w:rPr>
      <w:rFonts w:ascii="宋体" w:hAnsi="Courier New"/>
    </w:rPr>
  </w:style>
  <w:style w:type="character" w:customStyle="1" w:styleId="51">
    <w:name w:val="纯文本 字符1"/>
    <w:basedOn w:val="30"/>
    <w:autoRedefine/>
    <w:semiHidden/>
    <w:qFormat/>
    <w:uiPriority w:val="99"/>
    <w:rPr>
      <w:rFonts w:hAnsi="Courier New" w:cs="Courier New" w:asciiTheme="minorEastAsia"/>
      <w:szCs w:val="20"/>
    </w:rPr>
  </w:style>
  <w:style w:type="character" w:customStyle="1" w:styleId="52">
    <w:name w:val="未处理的提及1"/>
    <w:basedOn w:val="30"/>
    <w:autoRedefine/>
    <w:semiHidden/>
    <w:unhideWhenUsed/>
    <w:qFormat/>
    <w:uiPriority w:val="99"/>
    <w:rPr>
      <w:color w:val="605E5C"/>
      <w:shd w:val="clear" w:color="auto" w:fill="E1DFDD"/>
    </w:rPr>
  </w:style>
  <w:style w:type="paragraph" w:styleId="53">
    <w:name w:val="List Paragraph"/>
    <w:basedOn w:val="1"/>
    <w:autoRedefine/>
    <w:qFormat/>
    <w:uiPriority w:val="34"/>
    <w:pPr>
      <w:ind w:firstLine="420" w:firstLineChars="200"/>
    </w:pPr>
  </w:style>
  <w:style w:type="paragraph" w:customStyle="1" w:styleId="54">
    <w:name w:val="Char Char Char Char Char Char Char1 Char"/>
    <w:basedOn w:val="1"/>
    <w:autoRedefine/>
    <w:qFormat/>
    <w:uiPriority w:val="0"/>
    <w:rPr>
      <w:rFonts w:ascii="Arial" w:hAnsi="Arial" w:eastAsia="宋体" w:cs="Arial"/>
      <w:sz w:val="24"/>
    </w:rPr>
  </w:style>
  <w:style w:type="table" w:customStyle="1" w:styleId="55">
    <w:name w:val="网格表 1 浅色1"/>
    <w:basedOn w:val="28"/>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6">
    <w:name w:val="日期 字符"/>
    <w:basedOn w:val="30"/>
    <w:autoRedefine/>
    <w:semiHidden/>
    <w:qFormat/>
    <w:uiPriority w:val="99"/>
    <w:rPr>
      <w:rFonts w:ascii="@仿宋_GB2312" w:hAnsi="@仿宋_GB2312" w:eastAsia="@仿宋_GB2312" w:cs="@仿宋_GB2312"/>
      <w:szCs w:val="20"/>
    </w:rPr>
  </w:style>
  <w:style w:type="character" w:customStyle="1" w:styleId="57">
    <w:name w:val="日期 Char"/>
    <w:link w:val="14"/>
    <w:autoRedefine/>
    <w:qFormat/>
    <w:uiPriority w:val="0"/>
    <w:rPr>
      <w:rFonts w:ascii="Arial" w:hAnsi="Arial" w:eastAsia="宋体" w:cs="Arial"/>
      <w:b/>
      <w:sz w:val="28"/>
      <w:szCs w:val="20"/>
    </w:rPr>
  </w:style>
  <w:style w:type="character" w:customStyle="1" w:styleId="58">
    <w:name w:val="纯文本 Char1"/>
    <w:autoRedefine/>
    <w:qFormat/>
    <w:locked/>
    <w:uiPriority w:val="99"/>
    <w:rPr>
      <w:rFonts w:ascii="Arial" w:hAnsi="Arial" w:eastAsia="Arial"/>
      <w:kern w:val="2"/>
      <w:sz w:val="21"/>
      <w:lang w:val="en-US" w:eastAsia="zh-CN" w:bidi="ar-SA"/>
    </w:rPr>
  </w:style>
  <w:style w:type="character" w:customStyle="1" w:styleId="59">
    <w:name w:val="批注文字 Char"/>
    <w:basedOn w:val="30"/>
    <w:autoRedefine/>
    <w:semiHidden/>
    <w:qFormat/>
    <w:uiPriority w:val="99"/>
    <w:rPr>
      <w:rFonts w:ascii="@仿宋_GB2312" w:hAnsi="@仿宋_GB2312" w:eastAsia="@仿宋_GB2312" w:cs="@仿宋_GB2312"/>
      <w:szCs w:val="20"/>
    </w:rPr>
  </w:style>
  <w:style w:type="character" w:customStyle="1" w:styleId="60">
    <w:name w:val="批注文字 Char1"/>
    <w:link w:val="12"/>
    <w:autoRedefine/>
    <w:qFormat/>
    <w:uiPriority w:val="0"/>
    <w:rPr>
      <w:rFonts w:ascii="Arial" w:hAnsi="Arial" w:eastAsia="黑体" w:cs="Arial"/>
      <w:szCs w:val="20"/>
    </w:rPr>
  </w:style>
  <w:style w:type="character" w:customStyle="1" w:styleId="61">
    <w:name w:val="标题 1 Char"/>
    <w:basedOn w:val="30"/>
    <w:link w:val="7"/>
    <w:autoRedefine/>
    <w:qFormat/>
    <w:uiPriority w:val="9"/>
    <w:rPr>
      <w:rFonts w:ascii="@仿宋_GB2312" w:hAnsi="@仿宋_GB2312" w:eastAsia="@仿宋_GB2312" w:cs="@仿宋_GB2312"/>
      <w:b/>
      <w:bCs/>
      <w:kern w:val="44"/>
      <w:sz w:val="44"/>
      <w:szCs w:val="44"/>
    </w:rPr>
  </w:style>
  <w:style w:type="paragraph" w:customStyle="1" w:styleId="62">
    <w:name w:val="TOC 标题1"/>
    <w:basedOn w:val="7"/>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3">
    <w:name w:val="标题 3 Char"/>
    <w:basedOn w:val="30"/>
    <w:link w:val="9"/>
    <w:autoRedefine/>
    <w:semiHidden/>
    <w:qFormat/>
    <w:uiPriority w:val="9"/>
    <w:rPr>
      <w:rFonts w:ascii="@仿宋_GB2312" w:hAnsi="@仿宋_GB2312" w:eastAsia="@仿宋_GB2312" w:cs="@仿宋_GB2312"/>
      <w:b/>
      <w:bCs/>
      <w:sz w:val="32"/>
      <w:szCs w:val="32"/>
    </w:rPr>
  </w:style>
  <w:style w:type="character" w:customStyle="1" w:styleId="64">
    <w:name w:val="fontstyle01"/>
    <w:basedOn w:val="30"/>
    <w:autoRedefine/>
    <w:qFormat/>
    <w:uiPriority w:val="0"/>
    <w:rPr>
      <w:rFonts w:hint="eastAsia" w:ascii="宋体" w:hAnsi="宋体" w:eastAsia="宋体"/>
      <w:color w:val="000000"/>
      <w:sz w:val="22"/>
      <w:szCs w:val="22"/>
    </w:rPr>
  </w:style>
  <w:style w:type="character" w:customStyle="1" w:styleId="65">
    <w:name w:val="fontstyle21"/>
    <w:basedOn w:val="30"/>
    <w:autoRedefine/>
    <w:qFormat/>
    <w:uiPriority w:val="0"/>
    <w:rPr>
      <w:rFonts w:hint="default" w:ascii="TimesNewRomanPSMT" w:hAnsi="TimesNewRomanPSMT"/>
      <w:color w:val="000000"/>
      <w:sz w:val="22"/>
      <w:szCs w:val="22"/>
    </w:rPr>
  </w:style>
  <w:style w:type="character" w:customStyle="1" w:styleId="66">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7">
    <w:name w:val="标题 4 字符"/>
    <w:basedOn w:val="30"/>
    <w:autoRedefine/>
    <w:semiHidden/>
    <w:qFormat/>
    <w:uiPriority w:val="9"/>
    <w:rPr>
      <w:rFonts w:asciiTheme="majorHAnsi" w:hAnsiTheme="majorHAnsi" w:eastAsiaTheme="majorEastAsia" w:cstheme="majorBidi"/>
      <w:b/>
      <w:bCs/>
      <w:sz w:val="28"/>
      <w:szCs w:val="28"/>
    </w:rPr>
  </w:style>
  <w:style w:type="character" w:customStyle="1" w:styleId="68">
    <w:name w:val="标题 4 Char1"/>
    <w:link w:val="10"/>
    <w:autoRedefine/>
    <w:qFormat/>
    <w:uiPriority w:val="0"/>
    <w:rPr>
      <w:rFonts w:ascii="@仿宋_GB2312" w:hAnsi="@仿宋_GB2312" w:eastAsia="@仿宋_GB2312" w:cs="@仿宋_GB2312"/>
      <w:b/>
      <w:bCs/>
      <w:sz w:val="28"/>
      <w:szCs w:val="28"/>
    </w:rPr>
  </w:style>
  <w:style w:type="character" w:customStyle="1" w:styleId="69">
    <w:name w:val="标题 4 Char"/>
    <w:autoRedefine/>
    <w:qFormat/>
    <w:uiPriority w:val="0"/>
    <w:rPr>
      <w:rFonts w:ascii="Arial" w:hAnsi="Arial" w:eastAsia="Arial"/>
      <w:b/>
      <w:bCs/>
      <w:kern w:val="2"/>
      <w:sz w:val="28"/>
      <w:szCs w:val="28"/>
      <w:lang w:val="en-US" w:eastAsia="zh-CN" w:bidi="ar-SA"/>
    </w:rPr>
  </w:style>
  <w:style w:type="table" w:customStyle="1" w:styleId="70">
    <w:name w:val="网格型1"/>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1">
    <w:name w:val="批注主题 Char"/>
    <w:basedOn w:val="60"/>
    <w:link w:val="26"/>
    <w:autoRedefine/>
    <w:semiHidden/>
    <w:qFormat/>
    <w:uiPriority w:val="99"/>
    <w:rPr>
      <w:rFonts w:ascii="@仿宋_GB2312" w:hAnsi="@仿宋_GB2312" w:eastAsia="@仿宋_GB2312" w:cs="@仿宋_GB2312"/>
      <w:b/>
      <w:bCs/>
      <w:szCs w:val="20"/>
    </w:rPr>
  </w:style>
  <w:style w:type="table" w:customStyle="1" w:styleId="72">
    <w:name w:val="Table Normal"/>
    <w:autoRedefine/>
    <w:semiHidden/>
    <w:unhideWhenUsed/>
    <w:qFormat/>
    <w:uiPriority w:val="0"/>
    <w:tblPr>
      <w:tblCellMar>
        <w:top w:w="0" w:type="dxa"/>
        <w:left w:w="0" w:type="dxa"/>
        <w:bottom w:w="0" w:type="dxa"/>
        <w:right w:w="0" w:type="dxa"/>
      </w:tblCellMar>
    </w:tblPr>
  </w:style>
  <w:style w:type="paragraph" w:customStyle="1" w:styleId="73">
    <w:name w:val="Table Text"/>
    <w:basedOn w:val="1"/>
    <w:autoRedefine/>
    <w:semiHidden/>
    <w:qFormat/>
    <w:uiPriority w:val="0"/>
    <w:rPr>
      <w:rFonts w:ascii="Arial" w:hAnsi="Arial" w:eastAsia="Arial" w:cs="Arial"/>
      <w:szCs w:val="21"/>
      <w:lang w:eastAsia="en-US"/>
    </w:rPr>
  </w:style>
  <w:style w:type="paragraph" w:customStyle="1" w:styleId="74">
    <w:name w:val="Table Paragraph"/>
    <w:basedOn w:val="1"/>
    <w:autoRedefine/>
    <w:qFormat/>
    <w:uiPriority w:val="0"/>
    <w:rPr>
      <w:rFonts w:ascii="宋体" w:hAnsi="宋体" w:eastAsia="宋体" w:cs="宋体"/>
      <w:lang w:val="zh-CN" w:bidi="zh-CN"/>
    </w:rPr>
  </w:style>
  <w:style w:type="paragraph" w:customStyle="1" w:styleId="75">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宋体"/>
      <w:sz w:val="24"/>
      <w:szCs w:val="24"/>
      <w:lang w:val="en-US" w:eastAsia="zh-CN" w:bidi="ar-SA"/>
    </w:rPr>
  </w:style>
  <w:style w:type="paragraph" w:customStyle="1" w:styleId="76">
    <w:name w:val="样式"/>
    <w:autoRedefine/>
    <w:qFormat/>
    <w:uiPriority w:val="0"/>
    <w:pPr>
      <w:widowControl w:val="0"/>
      <w:autoSpaceDE w:val="0"/>
      <w:autoSpaceDN w:val="0"/>
      <w:adjustRightInd w:val="0"/>
    </w:pPr>
    <w:rPr>
      <w:rFonts w:ascii="宋体" w:hAnsi="宋体" w:eastAsia="宋体" w:cs="Times New Roman"/>
      <w:sz w:val="24"/>
      <w:lang w:val="en-US" w:eastAsia="zh-CN" w:bidi="ar-SA"/>
    </w:rPr>
  </w:style>
  <w:style w:type="character" w:customStyle="1" w:styleId="77">
    <w:name w:val="hover"/>
    <w:basedOn w:val="30"/>
    <w:qFormat/>
    <w:uiPriority w:val="0"/>
    <w:rPr>
      <w:color w:val="2590EB"/>
    </w:rPr>
  </w:style>
  <w:style w:type="character" w:customStyle="1" w:styleId="78">
    <w:name w:val="hover1"/>
    <w:basedOn w:val="30"/>
    <w:qFormat/>
    <w:uiPriority w:val="0"/>
    <w:rPr>
      <w:color w:val="2590EB"/>
    </w:rPr>
  </w:style>
  <w:style w:type="character" w:customStyle="1" w:styleId="79">
    <w:name w:val="hover2"/>
    <w:basedOn w:val="30"/>
    <w:qFormat/>
    <w:uiPriority w:val="0"/>
  </w:style>
  <w:style w:type="character" w:customStyle="1" w:styleId="80">
    <w:name w:val="hover3"/>
    <w:basedOn w:val="30"/>
    <w:qFormat/>
    <w:uiPriority w:val="0"/>
    <w:rPr>
      <w:color w:val="2590EB"/>
      <w:shd w:val="clear" w:color="auto" w:fill="E9F4FD"/>
    </w:rPr>
  </w:style>
  <w:style w:type="character" w:customStyle="1" w:styleId="81">
    <w:name w:val="layui-this"/>
    <w:basedOn w:val="30"/>
    <w:qFormat/>
    <w:uiPriority w:val="0"/>
    <w:rPr>
      <w:bdr w:val="single" w:color="EEEEEE" w:sz="6" w:space="0"/>
      <w:shd w:val="clear" w:fill="FFFFFF"/>
    </w:rPr>
  </w:style>
  <w:style w:type="character" w:customStyle="1" w:styleId="82">
    <w:name w:val="first-child"/>
    <w:basedOn w:val="30"/>
    <w:qFormat/>
    <w:uiPriority w:val="0"/>
  </w:style>
  <w:style w:type="character" w:customStyle="1" w:styleId="83">
    <w:name w:val="mini-outputtext1"/>
    <w:basedOn w:val="30"/>
    <w:qFormat/>
    <w:uiPriority w:val="0"/>
  </w:style>
  <w:style w:type="character" w:customStyle="1" w:styleId="84">
    <w:name w:val="hover4"/>
    <w:basedOn w:val="30"/>
    <w:qFormat/>
    <w:uiPriority w:val="0"/>
    <w:rPr>
      <w:color w:val="2590EB"/>
      <w:shd w:val="clear" w:fill="E9F4FD"/>
    </w:rPr>
  </w:style>
  <w:style w:type="paragraph" w:customStyle="1" w:styleId="85">
    <w:name w:val="Body Text First Indent 21"/>
    <w:basedOn w:val="86"/>
    <w:next w:val="1"/>
    <w:qFormat/>
    <w:uiPriority w:val="0"/>
    <w:pPr>
      <w:ind w:left="420" w:firstLine="420" w:firstLineChars="200"/>
    </w:pPr>
  </w:style>
  <w:style w:type="paragraph" w:customStyle="1" w:styleId="86">
    <w:name w:val="Body Text Indent1"/>
    <w:basedOn w:val="1"/>
    <w:next w:val="87"/>
    <w:qFormat/>
    <w:uiPriority w:val="0"/>
    <w:pPr>
      <w:spacing w:after="120" w:afterLines="0"/>
      <w:ind w:left="200" w:leftChars="200"/>
    </w:pPr>
  </w:style>
  <w:style w:type="paragraph" w:customStyle="1" w:styleId="87">
    <w:name w:val="envelope return1"/>
    <w:basedOn w:val="1"/>
    <w:next w:val="25"/>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3FD315-045C-4140-8A8E-6647A4AA3807}">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77</Pages>
  <Words>38552</Words>
  <Characters>40770</Characters>
  <Lines>363</Lines>
  <Paragraphs>102</Paragraphs>
  <TotalTime>39</TotalTime>
  <ScaleCrop>false</ScaleCrop>
  <LinksUpToDate>false</LinksUpToDate>
  <CharactersWithSpaces>43729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2025-03-11T01:47:00Z</dcterms:created>
  <dc:creator>Anakin</dc:creator>
  <cp:lastModifiedBy>代理</cp:lastModifiedBy>
  <cp:lastPrinted>2019-12-07T15:18:00Z</cp:lastPrinted>
  <dcterms:modified xsi:type="dcterms:W3CDTF">2025-10-23T06:23:41Z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2001D1FD73B7435F9B7E71E33770422E_13</vt:lpwstr>
  </property>
  <property fmtid="{D5CDD505-2E9C-101B-9397-08002B2CF9AE}" pid="4" name="KSOTemplateDocerSaveRecord">
    <vt:lpwstr>eyJoZGlkIjoiOTc5MDNjMmIyODczM2YwMGZkZTNjYWY1NjIxZTY5YjciLCJ1c2VySWQiOiI1MDM3MjkwOTMifQ==</vt:lpwstr>
  </property>
</Properties>
</file>