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9064">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314" w:afterLines="100" w:line="360" w:lineRule="auto"/>
        <w:ind w:right="267" w:rightChars="127"/>
        <w:jc w:val="center"/>
        <w:textAlignment w:val="auto"/>
        <w:rPr>
          <w:rFonts w:hint="eastAsia" w:asciiTheme="minorEastAsia" w:hAnsiTheme="minorEastAsia" w:eastAsiaTheme="minorEastAsia"/>
          <w:b/>
          <w:bCs/>
          <w:color w:val="auto"/>
          <w:sz w:val="52"/>
          <w:szCs w:val="52"/>
          <w:highlight w:val="none"/>
          <w:lang w:val="en-US" w:eastAsia="zh-CN"/>
        </w:rPr>
      </w:pPr>
      <w:bookmarkStart w:id="0" w:name="_Hlk9544796"/>
      <w:r>
        <w:rPr>
          <w:rFonts w:hint="eastAsia" w:asciiTheme="minorEastAsia" w:hAnsiTheme="minorEastAsia" w:eastAsiaTheme="minorEastAsia"/>
          <w:b/>
          <w:bCs/>
          <w:color w:val="auto"/>
          <w:sz w:val="52"/>
          <w:szCs w:val="52"/>
          <w:highlight w:val="none"/>
          <w:lang w:val="en-US" w:eastAsia="zh-CN"/>
        </w:rPr>
        <w:t>G36宁洛高速公路来安至明光段曹庄服务区收费站广场改造工程沥青供应合作单位</w:t>
      </w:r>
    </w:p>
    <w:p w14:paraId="60E30A8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2BA3405C">
      <w:pPr>
        <w:tabs>
          <w:tab w:val="left" w:pos="315"/>
          <w:tab w:val="left" w:pos="8820"/>
        </w:tabs>
        <w:spacing w:before="240" w:beforeLines="100" w:after="120" w:afterLines="50" w:line="500" w:lineRule="exact"/>
        <w:ind w:right="267" w:rightChars="127"/>
        <w:jc w:val="center"/>
        <w:rPr>
          <w:rFonts w:hint="default" w:asciiTheme="minorEastAsia" w:hAnsiTheme="minorEastAsia" w:eastAsiaTheme="minorEastAsia"/>
          <w:b/>
          <w:bCs/>
          <w:color w:val="auto"/>
          <w:sz w:val="52"/>
          <w:szCs w:val="52"/>
          <w:highlight w:val="none"/>
          <w:lang w:val="en-US" w:eastAsia="zh-CN"/>
        </w:rPr>
      </w:pPr>
      <w:r>
        <w:rPr>
          <w:rFonts w:hint="eastAsia" w:asciiTheme="minorEastAsia" w:hAnsiTheme="minorEastAsia" w:eastAsiaTheme="minorEastAsia"/>
          <w:b/>
          <w:bCs/>
          <w:color w:val="auto"/>
          <w:sz w:val="52"/>
          <w:szCs w:val="52"/>
          <w:highlight w:val="none"/>
        </w:rPr>
        <w:t>询价</w:t>
      </w:r>
      <w:bookmarkEnd w:id="0"/>
      <w:r>
        <w:rPr>
          <w:rFonts w:hint="eastAsia" w:asciiTheme="minorEastAsia" w:hAnsiTheme="minorEastAsia" w:eastAsiaTheme="minorEastAsia"/>
          <w:b/>
          <w:bCs/>
          <w:color w:val="auto"/>
          <w:sz w:val="52"/>
          <w:szCs w:val="52"/>
          <w:highlight w:val="none"/>
          <w:lang w:val="en-US" w:eastAsia="zh-CN"/>
        </w:rPr>
        <w:t>采购文件</w:t>
      </w:r>
    </w:p>
    <w:p w14:paraId="71277A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269AA10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r>
        <w:rPr>
          <w:rFonts w:hint="eastAsia" w:ascii="仿宋" w:hAnsi="仿宋" w:eastAsia="仿宋" w:cs="Times New Roman"/>
          <w:b/>
          <w:bCs/>
          <w:color w:val="auto"/>
          <w:kern w:val="0"/>
          <w:sz w:val="28"/>
          <w:szCs w:val="28"/>
          <w:highlight w:val="none"/>
          <w:u w:color="000000"/>
          <w:lang w:val="en-US" w:eastAsia="zh-CN"/>
        </w:rPr>
        <w:t xml:space="preserve">项目编号：HXJY1110001042436001001 </w:t>
      </w:r>
    </w:p>
    <w:p w14:paraId="0BFFF1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BF14300">
      <w:pPr>
        <w:pStyle w:val="28"/>
        <w:rPr>
          <w:rFonts w:asciiTheme="minorEastAsia" w:hAnsiTheme="minorEastAsia" w:eastAsiaTheme="minorEastAsia"/>
          <w:b/>
          <w:bCs/>
          <w:color w:val="auto"/>
          <w:sz w:val="44"/>
          <w:szCs w:val="44"/>
          <w:highlight w:val="none"/>
        </w:rPr>
      </w:pPr>
    </w:p>
    <w:p w14:paraId="7388F893">
      <w:pPr>
        <w:pStyle w:val="28"/>
        <w:rPr>
          <w:rFonts w:asciiTheme="minorEastAsia" w:hAnsiTheme="minorEastAsia" w:eastAsiaTheme="minorEastAsia"/>
          <w:b/>
          <w:bCs/>
          <w:color w:val="auto"/>
          <w:sz w:val="44"/>
          <w:szCs w:val="44"/>
          <w:highlight w:val="none"/>
        </w:rPr>
      </w:pPr>
    </w:p>
    <w:p w14:paraId="2D9A79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B3C6167">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highlight w:val="none"/>
          <w:lang w:val="en-US"/>
        </w:rPr>
      </w:pPr>
      <w:r>
        <w:rPr>
          <w:rFonts w:hint="eastAsia" w:asciiTheme="minorEastAsia" w:hAnsiTheme="minorEastAsia" w:eastAsiaTheme="minorEastAsia"/>
          <w:b/>
          <w:color w:val="auto"/>
          <w:spacing w:val="20"/>
          <w:kern w:val="0"/>
          <w:sz w:val="32"/>
          <w:szCs w:val="32"/>
          <w:highlight w:val="none"/>
        </w:rPr>
        <w:t>采</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购</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人：</w:t>
      </w:r>
      <w:r>
        <w:rPr>
          <w:rFonts w:hint="eastAsia" w:asciiTheme="minorEastAsia" w:hAnsiTheme="minorEastAsia" w:eastAsiaTheme="minorEastAsia"/>
          <w:b/>
          <w:color w:val="auto"/>
          <w:spacing w:val="20"/>
          <w:kern w:val="0"/>
          <w:sz w:val="32"/>
          <w:szCs w:val="32"/>
          <w:highlight w:val="none"/>
          <w:u w:val="single"/>
          <w:lang w:val="en-US" w:eastAsia="zh-CN"/>
        </w:rPr>
        <w:t>滁州市城投鑫驰科技有限公司</w:t>
      </w:r>
      <w:r>
        <w:rPr>
          <w:rFonts w:hint="eastAsia" w:asciiTheme="minorEastAsia" w:hAnsiTheme="minorEastAsia" w:eastAsiaTheme="minorEastAsia"/>
          <w:b/>
          <w:color w:val="auto"/>
          <w:spacing w:val="20"/>
          <w:kern w:val="0"/>
          <w:sz w:val="32"/>
          <w:szCs w:val="32"/>
          <w:highlight w:val="none"/>
          <w:u w:val="none"/>
          <w:lang w:val="en-US" w:eastAsia="zh-CN"/>
        </w:rPr>
        <w:t>（盖章）</w:t>
      </w:r>
    </w:p>
    <w:p w14:paraId="56C6924D">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p>
    <w:p w14:paraId="690E158C">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代理机构：</w:t>
      </w:r>
      <w:r>
        <w:rPr>
          <w:rFonts w:hint="eastAsia" w:asciiTheme="minorEastAsia" w:hAnsiTheme="minorEastAsia" w:eastAsiaTheme="minorEastAsia"/>
          <w:b/>
          <w:color w:val="auto"/>
          <w:spacing w:val="20"/>
          <w:kern w:val="0"/>
          <w:sz w:val="32"/>
          <w:szCs w:val="32"/>
          <w:highlight w:val="none"/>
          <w:u w:val="single"/>
          <w:lang w:val="en-US" w:eastAsia="zh-CN"/>
        </w:rPr>
        <w:t>滁州市城投工程咨询管理有限公司</w:t>
      </w:r>
      <w:r>
        <w:rPr>
          <w:rFonts w:hint="eastAsia" w:asciiTheme="minorEastAsia" w:hAnsiTheme="minorEastAsia" w:eastAsiaTheme="minorEastAsia"/>
          <w:b/>
          <w:color w:val="auto"/>
          <w:spacing w:val="20"/>
          <w:kern w:val="0"/>
          <w:sz w:val="32"/>
          <w:szCs w:val="32"/>
          <w:highlight w:val="none"/>
          <w:u w:val="none"/>
          <w:lang w:val="en-US" w:eastAsia="zh-CN"/>
        </w:rPr>
        <w:t>（盖章）</w:t>
      </w:r>
    </w:p>
    <w:p w14:paraId="0C38F9B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9E3F2F">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9</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1E061AE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3D660BC1">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"_Toc17729"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询价邀请</w:t>
      </w:r>
      <w:r>
        <w:rPr>
          <w:color w:val="auto"/>
          <w:highlight w:val="none"/>
        </w:rPr>
        <w:tab/>
      </w:r>
      <w:r>
        <w:rPr>
          <w:rFonts w:hint="eastAsia"/>
          <w:color w:val="auto"/>
          <w:highlight w:val="none"/>
        </w:rPr>
        <w:t>1</w:t>
      </w:r>
      <w:r>
        <w:rPr>
          <w:rFonts w:hint="eastAsia"/>
          <w:color w:val="auto"/>
          <w:highlight w:val="none"/>
        </w:rPr>
        <w:fldChar w:fldCharType="end"/>
      </w:r>
    </w:p>
    <w:p w14:paraId="39FCA9D7">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"_Toc3199"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lang w:val="en-US" w:eastAsia="zh-CN"/>
        </w:rPr>
        <w:t>6</w:t>
      </w:r>
      <w:r>
        <w:rPr>
          <w:rFonts w:hint="eastAsia"/>
          <w:color w:val="auto"/>
          <w:highlight w:val="none"/>
        </w:rPr>
        <w:fldChar w:fldCharType="end"/>
      </w:r>
    </w:p>
    <w:p w14:paraId="6AA34812">
      <w:pPr>
        <w:pStyle w:val="22"/>
        <w:tabs>
          <w:tab w:val="right" w:leader="dot" w:pos="8279"/>
        </w:tabs>
        <w:rPr>
          <w:rFonts w:asciiTheme="minorEastAsia" w:hAnsiTheme="minorEastAsia"/>
          <w:bCs/>
          <w:color w:val="auto"/>
          <w:szCs w:val="24"/>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5</w:t>
      </w:r>
    </w:p>
    <w:p w14:paraId="22BCF0E2">
      <w:pPr>
        <w:pStyle w:val="22"/>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"_Toc15765"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fldChar w:fldCharType="end"/>
      </w:r>
      <w:r>
        <w:rPr>
          <w:rFonts w:hint="eastAsia"/>
          <w:color w:val="auto"/>
          <w:highlight w:val="none"/>
          <w:lang w:val="en-US" w:eastAsia="zh-CN"/>
        </w:rPr>
        <w:t>17</w:t>
      </w:r>
    </w:p>
    <w:p w14:paraId="1E6C7626">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"_Toc5156"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合同</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0</w:t>
      </w:r>
    </w:p>
    <w:p w14:paraId="2A8FBFCB">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"_Toc29013"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lang w:val="en-US" w:eastAsia="zh-CN"/>
        </w:rPr>
        <w:t>30</w:t>
      </w:r>
      <w:r>
        <w:rPr>
          <w:rFonts w:hint="eastAsia"/>
          <w:color w:val="auto"/>
          <w:highlight w:val="none"/>
        </w:rPr>
        <w:fldChar w:fldCharType="end"/>
      </w:r>
    </w:p>
    <w:p w14:paraId="57637F0D">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hint="eastAsia"/>
          <w:color w:val="auto"/>
          <w:highlight w:val="none"/>
        </w:rPr>
        <w:t>第七章  政府采购供应商询问函和质疑函范本</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color w:val="auto"/>
          <w:highlight w:val="none"/>
          <w:lang w:val="en-US" w:eastAsia="zh-CN"/>
        </w:rPr>
        <w:t>0</w:t>
      </w:r>
    </w:p>
    <w:p w14:paraId="6E6DF015">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6D60F19F">
      <w:pPr>
        <w:pStyle w:val="22"/>
        <w:tabs>
          <w:tab w:val="right" w:leader="dot" w:pos="8279"/>
        </w:tabs>
        <w:rPr>
          <w:rFonts w:asciiTheme="minorEastAsia" w:hAnsiTheme="minorEastAsia"/>
          <w:b/>
          <w:color w:val="auto"/>
          <w:sz w:val="28"/>
          <w:highlight w:val="none"/>
        </w:rPr>
        <w:sectPr>
          <w:headerReference r:id="rId3" w:type="default"/>
          <w:footerReference r:id="rId4" w:type="default"/>
          <w:pgSz w:w="11905" w:h="16838"/>
          <w:pgMar w:top="1417" w:right="1417" w:bottom="1417" w:left="1417" w:header="851" w:footer="992" w:gutter="0"/>
          <w:cols w:space="0" w:num="1"/>
          <w:rtlGutter w:val="0"/>
          <w:docGrid w:type="lines" w:linePitch="313" w:charSpace="0"/>
        </w:sectPr>
      </w:pPr>
    </w:p>
    <w:p w14:paraId="07112A33">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第一章 询价邀请</w:t>
      </w:r>
      <w:bookmarkEnd w:id="1"/>
    </w:p>
    <w:p w14:paraId="7E59153C">
      <w:pPr>
        <w:keepNext/>
        <w:keepLines/>
        <w:spacing w:before="260" w:after="260"/>
        <w:rPr>
          <w:rFonts w:ascii="黑体" w:hAnsi="黑体" w:eastAsia="黑体" w:cs="黑体"/>
          <w:color w:val="auto"/>
          <w:kern w:val="0"/>
          <w:sz w:val="28"/>
          <w:szCs w:val="28"/>
          <w:highlight w:val="none"/>
          <w:u w:color="000000"/>
        </w:rPr>
      </w:pPr>
      <w:bookmarkStart w:id="2" w:name="_Toc35393799"/>
      <w:bookmarkStart w:id="3" w:name="_Toc28359013"/>
      <w:bookmarkStart w:id="4" w:name="_Toc35393630"/>
      <w:bookmarkStart w:id="5" w:name="_Toc28359090"/>
      <w:r>
        <w:rPr>
          <w:rFonts w:hint="eastAsia" w:ascii="黑体" w:hAnsi="黑体" w:eastAsia="黑体" w:cs="黑体"/>
          <w:color w:val="auto"/>
          <w:kern w:val="0"/>
          <w:sz w:val="28"/>
          <w:szCs w:val="28"/>
          <w:highlight w:val="none"/>
          <w:u w:color="000000"/>
        </w:rPr>
        <w:t>一、项目基本情况</w:t>
      </w:r>
    </w:p>
    <w:p w14:paraId="585AD88B">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项目编号：HXJY1110001042436001001</w:t>
      </w:r>
      <w:r>
        <w:rPr>
          <w:rFonts w:hint="eastAsia" w:ascii="仿宋" w:hAnsi="仿宋" w:eastAsia="仿宋" w:cs="Times New Roman"/>
          <w:color w:val="auto"/>
          <w:kern w:val="0"/>
          <w:sz w:val="28"/>
          <w:szCs w:val="28"/>
          <w:highlight w:val="none"/>
          <w:u w:color="000000"/>
          <w:lang w:val="en-US" w:eastAsia="zh-CN"/>
        </w:rPr>
        <w:t xml:space="preserve">  </w:t>
      </w:r>
    </w:p>
    <w:p w14:paraId="1B6108B9">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项目名称：</w:t>
      </w:r>
      <w:r>
        <w:rPr>
          <w:rFonts w:hint="eastAsia" w:ascii="仿宋" w:hAnsi="仿宋" w:eastAsia="仿宋" w:cs="Times New Roman"/>
          <w:color w:val="auto"/>
          <w:kern w:val="0"/>
          <w:sz w:val="28"/>
          <w:szCs w:val="28"/>
          <w:highlight w:val="none"/>
          <w:u w:color="000000"/>
          <w:lang w:val="en-US" w:eastAsia="zh-CN"/>
        </w:rPr>
        <w:t>G36宁洛高速公路来安至明光段曹庄服务区收费站广场改造工程沥青供应合作单位</w:t>
      </w:r>
    </w:p>
    <w:p w14:paraId="7325C9EE">
      <w:pPr>
        <w:widowControl/>
        <w:ind w:firstLine="560" w:firstLineChars="200"/>
        <w:textAlignment w:val="baseline"/>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kern w:val="0"/>
          <w:sz w:val="28"/>
          <w:szCs w:val="28"/>
          <w:highlight w:val="none"/>
          <w:u w:color="000000"/>
        </w:rPr>
        <w:t>最高限价：</w:t>
      </w:r>
      <w:r>
        <w:rPr>
          <w:rFonts w:hint="eastAsia" w:ascii="仿宋" w:hAnsi="仿宋" w:eastAsia="仿宋" w:cs="Times New Roman"/>
          <w:color w:val="auto"/>
          <w:sz w:val="28"/>
          <w:szCs w:val="28"/>
          <w:highlight w:val="none"/>
          <w:lang w:val="en-US" w:eastAsia="zh-CN"/>
        </w:rPr>
        <w:t>本项目分为基质沥青费用和改性费用，共两部分费用。</w:t>
      </w:r>
    </w:p>
    <w:p w14:paraId="70BD5555">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基质沥青费用采用固定价差报价，供应商所报价格不得</w:t>
      </w:r>
      <w:r>
        <w:rPr>
          <w:rFonts w:hint="eastAsia" w:ascii="仿宋" w:hAnsi="仿宋" w:eastAsia="仿宋" w:cs="Times New Roman"/>
          <w:b/>
          <w:bCs/>
          <w:color w:val="auto"/>
          <w:kern w:val="0"/>
          <w:sz w:val="28"/>
          <w:szCs w:val="28"/>
          <w:highlight w:val="none"/>
          <w:u w:color="000000"/>
          <w:lang w:val="en-US" w:eastAsia="zh-CN"/>
        </w:rPr>
        <w:t>高于本项目询价文件发布当日</w:t>
      </w:r>
      <w:r>
        <w:rPr>
          <w:rFonts w:hint="eastAsia" w:ascii="仿宋" w:hAnsi="仿宋" w:eastAsia="仿宋" w:cs="Times New Roman"/>
          <w:color w:val="auto"/>
          <w:kern w:val="0"/>
          <w:sz w:val="28"/>
          <w:szCs w:val="28"/>
          <w:highlight w:val="none"/>
          <w:u w:color="000000"/>
          <w:lang w:val="en-US" w:eastAsia="zh-CN"/>
        </w:rPr>
        <w:t>“百川盈孚网https://www.baiinfo.com/”国内炼厂重交沥青出厂价格中金陵石化70#汽运挂牌价</w:t>
      </w:r>
      <w:r>
        <w:rPr>
          <w:rFonts w:hint="eastAsia" w:ascii="仿宋" w:hAnsi="仿宋" w:eastAsia="仿宋" w:cs="Times New Roman"/>
          <w:color w:val="auto"/>
          <w:kern w:val="0"/>
          <w:sz w:val="28"/>
          <w:szCs w:val="28"/>
          <w:highlight w:val="none"/>
          <w:u w:color="000000"/>
          <w:lang w:val="en-US" w:eastAsia="zh-CN"/>
        </w:rPr>
        <w:t>，否则，其响应文件按无效响应处理。（基质沥青固定价差即</w:t>
      </w:r>
      <w:r>
        <w:rPr>
          <w:rFonts w:hint="eastAsia" w:ascii="仿宋" w:hAnsi="仿宋" w:eastAsia="仿宋" w:cs="Times New Roman"/>
          <w:b/>
          <w:bCs/>
          <w:color w:val="auto"/>
          <w:kern w:val="0"/>
          <w:sz w:val="28"/>
          <w:szCs w:val="28"/>
          <w:highlight w:val="none"/>
          <w:u w:color="000000"/>
          <w:lang w:val="en-US" w:eastAsia="zh-CN"/>
        </w:rPr>
        <w:t xml:space="preserve">本项目询价文件发布当日网价 </w:t>
      </w:r>
      <w:r>
        <w:rPr>
          <w:rFonts w:hint="eastAsia" w:ascii="仿宋" w:hAnsi="仿宋" w:eastAsia="仿宋" w:cs="Times New Roman"/>
          <w:color w:val="auto"/>
          <w:kern w:val="0"/>
          <w:sz w:val="28"/>
          <w:szCs w:val="28"/>
          <w:highlight w:val="none"/>
          <w:u w:color="000000"/>
          <w:lang w:val="en-US" w:eastAsia="zh-CN"/>
        </w:rPr>
        <w:t>- 所报基质沥青价格 = 固定价差。履约过程中基质沥青单价确认原则为供货当日网价-基质沥青固定价差即为当日基质沥青供货价）</w:t>
      </w:r>
    </w:p>
    <w:p w14:paraId="2B0418A9">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改性费用采用单价报价，供应商所报单价不得高于850元/吨，否则，其响应文件按无效响应处理。</w:t>
      </w:r>
    </w:p>
    <w:p w14:paraId="00A6A24C">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采购需求：</w:t>
      </w:r>
      <w:r>
        <w:rPr>
          <w:rFonts w:hint="eastAsia" w:ascii="仿宋" w:hAnsi="仿宋" w:eastAsia="仿宋" w:cs="Times New Roman"/>
          <w:color w:val="auto"/>
          <w:kern w:val="0"/>
          <w:sz w:val="28"/>
          <w:szCs w:val="28"/>
          <w:highlight w:val="none"/>
          <w:u w:color="000000"/>
          <w:lang w:val="en-US" w:eastAsia="zh-CN"/>
        </w:rPr>
        <w:t>沥青供应</w:t>
      </w:r>
    </w:p>
    <w:p w14:paraId="13E3FEC9">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合同履行期限：</w:t>
      </w:r>
      <w:r>
        <w:rPr>
          <w:rFonts w:hint="eastAsia" w:ascii="仿宋" w:hAnsi="仿宋" w:eastAsia="仿宋" w:cs="Times New Roman"/>
          <w:color w:val="auto"/>
          <w:kern w:val="0"/>
          <w:sz w:val="28"/>
          <w:szCs w:val="28"/>
          <w:highlight w:val="none"/>
          <w:u w:color="000000"/>
          <w:lang w:val="en-US" w:eastAsia="zh-CN"/>
        </w:rPr>
        <w:t>自本合同签订之日起至G36宁洛高速公路来安至明光段曹庄服务区收费站广场改造工程所需PG76-22 SBS改性沥青供货结束，具体供货时间以采购人通知为准</w:t>
      </w:r>
      <w:r>
        <w:rPr>
          <w:rFonts w:hint="eastAsia" w:ascii="仿宋" w:hAnsi="仿宋" w:eastAsia="仿宋" w:cs="Times New Roman"/>
          <w:color w:val="auto"/>
          <w:kern w:val="0"/>
          <w:sz w:val="28"/>
          <w:szCs w:val="28"/>
          <w:highlight w:val="none"/>
          <w:u w:color="000000"/>
        </w:rPr>
        <w:t>。</w:t>
      </w:r>
    </w:p>
    <w:p w14:paraId="674F2E6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本项目不接受联合体。</w:t>
      </w:r>
    </w:p>
    <w:bookmarkEnd w:id="2"/>
    <w:bookmarkEnd w:id="3"/>
    <w:bookmarkEnd w:id="4"/>
    <w:bookmarkEnd w:id="5"/>
    <w:p w14:paraId="4E6BAE3A">
      <w:pPr>
        <w:keepNext/>
        <w:keepLines/>
        <w:spacing w:before="260" w:after="260"/>
        <w:rPr>
          <w:rFonts w:ascii="黑体" w:hAnsi="黑体" w:eastAsia="黑体" w:cs="黑体"/>
          <w:color w:val="auto"/>
          <w:kern w:val="0"/>
          <w:sz w:val="28"/>
          <w:szCs w:val="28"/>
          <w:highlight w:val="none"/>
          <w:u w:color="000000"/>
        </w:rPr>
      </w:pPr>
      <w:bookmarkStart w:id="6" w:name="_Toc28359091"/>
      <w:bookmarkStart w:id="7" w:name="_Toc28359014"/>
      <w:bookmarkStart w:id="8" w:name="_Toc35393631"/>
      <w:bookmarkStart w:id="9" w:name="_Toc35393800"/>
      <w:r>
        <w:rPr>
          <w:rFonts w:hint="eastAsia" w:ascii="黑体" w:hAnsi="黑体" w:eastAsia="黑体" w:cs="黑体"/>
          <w:color w:val="auto"/>
          <w:kern w:val="0"/>
          <w:sz w:val="28"/>
          <w:szCs w:val="28"/>
          <w:highlight w:val="none"/>
          <w:u w:color="000000"/>
        </w:rPr>
        <w:t>二、申请人的资格要求</w:t>
      </w:r>
    </w:p>
    <w:p w14:paraId="2F5BCE37">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w:t>
      </w:r>
      <w:r>
        <w:rPr>
          <w:rFonts w:hint="eastAsia" w:ascii="仿宋" w:hAnsi="仿宋" w:eastAsia="仿宋" w:cs="Times New Roman"/>
          <w:color w:val="auto"/>
          <w:kern w:val="0"/>
          <w:sz w:val="28"/>
          <w:szCs w:val="28"/>
          <w:highlight w:val="none"/>
          <w:u w:color="000000"/>
          <w:lang w:val="en-US" w:eastAsia="zh-CN"/>
        </w:rPr>
        <w:t>供应商须为具有相应供货能力的生产厂家或经销商（代理商）</w:t>
      </w:r>
      <w:r>
        <w:rPr>
          <w:rFonts w:hint="eastAsia" w:ascii="仿宋" w:hAnsi="仿宋" w:eastAsia="仿宋" w:cs="Times New Roman"/>
          <w:color w:val="auto"/>
          <w:kern w:val="0"/>
          <w:sz w:val="28"/>
          <w:szCs w:val="28"/>
          <w:highlight w:val="none"/>
          <w:u w:color="000000"/>
        </w:rPr>
        <w:t>；</w:t>
      </w:r>
    </w:p>
    <w:bookmarkEnd w:id="6"/>
    <w:bookmarkEnd w:id="7"/>
    <w:bookmarkEnd w:id="8"/>
    <w:bookmarkEnd w:id="9"/>
    <w:p w14:paraId="45A007AD">
      <w:pPr>
        <w:keepNext/>
        <w:keepLines/>
        <w:spacing w:before="260" w:after="260"/>
        <w:rPr>
          <w:rFonts w:ascii="黑体" w:hAnsi="黑体" w:eastAsia="黑体" w:cs="黑体"/>
          <w:color w:val="auto"/>
          <w:kern w:val="0"/>
          <w:sz w:val="28"/>
          <w:szCs w:val="28"/>
          <w:highlight w:val="none"/>
          <w:u w:color="000000"/>
        </w:rPr>
      </w:pPr>
      <w:bookmarkStart w:id="10" w:name="_Toc35393801"/>
      <w:bookmarkStart w:id="11" w:name="_Toc28359015"/>
      <w:bookmarkStart w:id="12" w:name="_Toc28359092"/>
      <w:bookmarkStart w:id="13" w:name="_Toc35393632"/>
      <w:r>
        <w:rPr>
          <w:rFonts w:hint="eastAsia" w:ascii="黑体" w:hAnsi="黑体" w:eastAsia="黑体" w:cs="黑体"/>
          <w:color w:val="auto"/>
          <w:kern w:val="0"/>
          <w:sz w:val="28"/>
          <w:szCs w:val="28"/>
          <w:highlight w:val="none"/>
          <w:u w:color="000000"/>
        </w:rPr>
        <w:t>三、获取采购文件</w:t>
      </w:r>
    </w:p>
    <w:p w14:paraId="01759034">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1、采购文件获取方式：</w:t>
      </w:r>
    </w:p>
    <w:p w14:paraId="2FA3B477">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rPr>
        <w:t>月</w:t>
      </w:r>
      <w:r>
        <w:rPr>
          <w:rFonts w:hint="eastAsia" w:ascii="仿宋" w:hAnsi="仿宋" w:eastAsia="仿宋" w:cs="Times New Roman"/>
          <w:color w:val="auto"/>
          <w:kern w:val="0"/>
          <w:sz w:val="28"/>
          <w:szCs w:val="28"/>
          <w:highlight w:val="none"/>
          <w:u w:color="000000"/>
          <w:lang w:val="en-US" w:eastAsia="zh-CN"/>
        </w:rPr>
        <w:t>2</w:t>
      </w:r>
      <w:r>
        <w:rPr>
          <w:rFonts w:hint="eastAsia" w:ascii="仿宋" w:hAnsi="仿宋" w:eastAsia="仿宋" w:cs="Times New Roman"/>
          <w:color w:val="auto"/>
          <w:kern w:val="0"/>
          <w:sz w:val="28"/>
          <w:szCs w:val="28"/>
          <w:highlight w:val="none"/>
          <w:u w:color="000000"/>
        </w:rPr>
        <w:t>日至2025年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5</w:t>
      </w:r>
      <w:r>
        <w:rPr>
          <w:rFonts w:hint="eastAsia" w:ascii="仿宋" w:hAnsi="仿宋" w:eastAsia="仿宋" w:cs="Times New Roman"/>
          <w:color w:val="auto"/>
          <w:kern w:val="0"/>
          <w:sz w:val="28"/>
          <w:szCs w:val="28"/>
          <w:highlight w:val="none"/>
          <w:u w:color="000000"/>
          <w:lang w:eastAsia="zh-CN"/>
        </w:rPr>
        <w:t>日</w:t>
      </w:r>
    </w:p>
    <w:p w14:paraId="4DAE67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color="auto"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请于公告发布之日起从滁州市城投工程咨询管理有限公司官网（https://www.czctgczx.com/）下载。供应商自行承担因未按要求获取采购文件导致无法上传电子响应文件的风险。</w:t>
      </w:r>
    </w:p>
    <w:p w14:paraId="2ABF1F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51F23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（2）供应商登录新点电子交易平台【滁州专区】获取采购文件及其它资料（含澄清和补充说明等）。如在采购文件获取过程中遇到系统问题，请拨打技术支持服务热线 4009280095或者网站首页在线客服。</w:t>
      </w:r>
    </w:p>
    <w:p w14:paraId="392FAA7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2、询价文件及相关资料售价：人民币0元/套（含清单控制价、图纸及澄清答疑文件）</w:t>
      </w:r>
    </w:p>
    <w:bookmarkEnd w:id="10"/>
    <w:bookmarkEnd w:id="11"/>
    <w:bookmarkEnd w:id="12"/>
    <w:bookmarkEnd w:id="13"/>
    <w:p w14:paraId="512A2CFF">
      <w:pPr>
        <w:keepNext/>
        <w:keepLines/>
        <w:spacing w:before="260" w:after="260"/>
        <w:rPr>
          <w:rFonts w:ascii="黑体" w:hAnsi="黑体" w:eastAsia="黑体" w:cs="黑体"/>
          <w:color w:val="auto"/>
          <w:kern w:val="0"/>
          <w:sz w:val="28"/>
          <w:szCs w:val="28"/>
          <w:highlight w:val="none"/>
          <w:u w:color="000000"/>
        </w:rPr>
      </w:pPr>
      <w:bookmarkStart w:id="14" w:name="_Toc35393802"/>
      <w:bookmarkStart w:id="15" w:name="_Toc28359016"/>
      <w:bookmarkStart w:id="16" w:name="_Toc28359093"/>
      <w:bookmarkStart w:id="17" w:name="_Toc35393633"/>
      <w:r>
        <w:rPr>
          <w:rFonts w:hint="eastAsia" w:ascii="黑体" w:hAnsi="黑体" w:eastAsia="黑体" w:cs="黑体"/>
          <w:color w:val="auto"/>
          <w:kern w:val="0"/>
          <w:sz w:val="28"/>
          <w:szCs w:val="28"/>
          <w:highlight w:val="none"/>
          <w:u w:color="000000"/>
        </w:rPr>
        <w:t>四、响应文件提交</w:t>
      </w:r>
    </w:p>
    <w:p w14:paraId="72BC9FDF">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截止时间：2025年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5</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点00分（北京时间）（从</w:t>
      </w:r>
      <w:r>
        <w:rPr>
          <w:rFonts w:hint="eastAsia" w:ascii="仿宋" w:hAnsi="仿宋" w:eastAsia="仿宋" w:cs="Times New Roman"/>
          <w:color w:val="auto"/>
          <w:kern w:val="0"/>
          <w:sz w:val="28"/>
          <w:szCs w:val="28"/>
          <w:highlight w:val="none"/>
          <w:u w:color="000000"/>
          <w:lang w:eastAsia="zh-CN"/>
        </w:rPr>
        <w:t>询价采购文件</w:t>
      </w:r>
      <w:r>
        <w:rPr>
          <w:rFonts w:hint="eastAsia" w:ascii="仿宋" w:hAnsi="仿宋" w:eastAsia="仿宋" w:cs="Times New Roman"/>
          <w:color w:val="auto"/>
          <w:kern w:val="0"/>
          <w:sz w:val="28"/>
          <w:szCs w:val="28"/>
          <w:highlight w:val="none"/>
          <w:u w:color="000000"/>
        </w:rPr>
        <w:t>开始发出之日起至供应商提交响应文件截止之日止不得少于3个工作日）</w:t>
      </w:r>
    </w:p>
    <w:p w14:paraId="27C86F5E">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方式：网上递交加密响应文件</w:t>
      </w:r>
    </w:p>
    <w:bookmarkEnd w:id="14"/>
    <w:bookmarkEnd w:id="15"/>
    <w:bookmarkEnd w:id="16"/>
    <w:bookmarkEnd w:id="17"/>
    <w:p w14:paraId="2EB338CE">
      <w:pPr>
        <w:keepNext/>
        <w:keepLines/>
        <w:spacing w:before="260" w:after="260"/>
        <w:rPr>
          <w:rFonts w:ascii="黑体" w:hAnsi="黑体" w:eastAsia="黑体" w:cs="黑体"/>
          <w:color w:val="auto"/>
          <w:kern w:val="0"/>
          <w:sz w:val="28"/>
          <w:szCs w:val="28"/>
          <w:highlight w:val="none"/>
          <w:u w:color="000000"/>
        </w:rPr>
      </w:pPr>
      <w:bookmarkStart w:id="18" w:name="_Toc14529"/>
      <w:bookmarkStart w:id="19" w:name="_Toc2396"/>
      <w:r>
        <w:rPr>
          <w:rFonts w:hint="eastAsia" w:ascii="黑体" w:hAnsi="黑体" w:eastAsia="黑体" w:cs="黑体"/>
          <w:color w:val="auto"/>
          <w:kern w:val="0"/>
          <w:sz w:val="28"/>
          <w:szCs w:val="28"/>
          <w:highlight w:val="none"/>
          <w:u w:color="000000"/>
        </w:rPr>
        <w:t>五、开启</w:t>
      </w:r>
    </w:p>
    <w:p w14:paraId="1154310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5</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w:t>
      </w:r>
    </w:p>
    <w:p w14:paraId="15776A90">
      <w:pPr>
        <w:keepNext w:val="0"/>
        <w:keepLines w:val="0"/>
        <w:pageBreakBefore w:val="0"/>
        <w:widowControl/>
        <w:kinsoku/>
        <w:wordWrap w:val="0"/>
        <w:overflowPunct/>
        <w:topLinePunct w:val="0"/>
        <w:autoSpaceDE/>
        <w:autoSpaceDN/>
        <w:bidi w:val="0"/>
        <w:adjustRightInd/>
        <w:snapToGrid/>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网上开标，供应商登录滁州市城投工程咨询有限公司不见面开标系统参与网上开标（网址：http://js.etrading.cn/EpointBidOpening/bidopeninghallaction/hall/login）。</w:t>
      </w:r>
    </w:p>
    <w:p w14:paraId="3194547C">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六、公告期限</w:t>
      </w:r>
    </w:p>
    <w:p w14:paraId="17DD1C7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自本公告发布之日起3个工作日。</w:t>
      </w:r>
    </w:p>
    <w:bookmarkEnd w:id="18"/>
    <w:bookmarkEnd w:id="19"/>
    <w:p w14:paraId="41FD9EC3">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七、其他补充事宜</w:t>
      </w:r>
    </w:p>
    <w:p w14:paraId="010B033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26B4962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w:t>
      </w:r>
    </w:p>
    <w:p w14:paraId="0883203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65B7BDE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52D041D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5.供应商应在投标截止时间之前，登录新点电子交易平台【滁州专区】上传响应文件。逾期上传响应文件的，电子系统不予受理。</w:t>
      </w:r>
    </w:p>
    <w:p w14:paraId="12F14C9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6.供应商的联系人电话(手机)、电子邮箱等通讯方式在开启过程中必须保持畅通，否则因上述原因造成的后果，责任自负。</w:t>
      </w:r>
    </w:p>
    <w:p w14:paraId="328D534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供应商在“新点电子交易平台”常用下载专区下载“新点电子交易平台专用投标文件制作软件”，仔细阅读采购文件要求和相关操作手册，以免影响响应文件编制，因供应商未及时关注相关信息对响应造成的不利后果由其自行承担。投标软件制作工具下载：https://download.bqpoint.com/download/downloaddetail.html?SourceFrom=Ztb&amp;ZtbSoftXiaQuCode=0128&amp;ZtbSoftType=tballinclusive。</w:t>
      </w:r>
    </w:p>
    <w:p w14:paraId="2451E14B">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供应商无需到达开标现场，不接受现场解密，实行远程解密和在线询标。各供应商认真学习《新点电子交易平台投标人操作手册》，务必掌握远程解密方法和在线回复询标方法</w:t>
      </w:r>
      <w:r>
        <w:rPr>
          <w:rFonts w:hint="eastAsia" w:ascii="仿宋" w:hAnsi="仿宋" w:eastAsia="仿宋" w:cs="Times New Roman"/>
          <w:color w:val="auto"/>
          <w:kern w:val="0"/>
          <w:sz w:val="28"/>
          <w:szCs w:val="28"/>
          <w:highlight w:val="none"/>
          <w:u w:color="000000"/>
        </w:rPr>
        <w:t>。</w:t>
      </w:r>
    </w:p>
    <w:p w14:paraId="07DAF5B2">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八、凡对本次采购提出询问，请按以下方式联系</w:t>
      </w:r>
    </w:p>
    <w:p w14:paraId="6CC7F6FD">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1.采购人信息</w:t>
      </w:r>
    </w:p>
    <w:p w14:paraId="4353746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  称：</w:t>
      </w:r>
      <w:r>
        <w:rPr>
          <w:rFonts w:hint="eastAsia" w:ascii="仿宋" w:hAnsi="仿宋" w:eastAsia="仿宋" w:cs="Times New Roman"/>
          <w:color w:val="auto"/>
          <w:kern w:val="0"/>
          <w:sz w:val="28"/>
          <w:szCs w:val="28"/>
          <w:highlight w:val="none"/>
          <w:u w:color="000000"/>
          <w:lang w:val="en-US" w:eastAsia="zh-CN"/>
        </w:rPr>
        <w:t>滁州市城投鑫驰科技有限公司</w:t>
      </w:r>
    </w:p>
    <w:p w14:paraId="6CB67518">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  址：</w:t>
      </w:r>
      <w:r>
        <w:rPr>
          <w:rFonts w:hint="eastAsia" w:ascii="仿宋" w:hAnsi="仿宋" w:eastAsia="仿宋" w:cs="Times New Roman"/>
          <w:color w:val="auto"/>
          <w:kern w:val="0"/>
          <w:sz w:val="28"/>
          <w:szCs w:val="28"/>
          <w:highlight w:val="none"/>
          <w:u w:color="000000"/>
          <w:lang w:val="en-US" w:eastAsia="zh-CN"/>
        </w:rPr>
        <w:t>滁州市中都大道1598号15层</w:t>
      </w:r>
    </w:p>
    <w:p w14:paraId="5698FE93">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 xml:space="preserve">孙工 </w:t>
      </w:r>
    </w:p>
    <w:p w14:paraId="61011135">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 xml:space="preserve">0550-3500336 </w:t>
      </w:r>
    </w:p>
    <w:p w14:paraId="151402DE">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2.代理机构信息</w:t>
      </w:r>
    </w:p>
    <w:p w14:paraId="0EAF1B5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名称：</w:t>
      </w:r>
      <w:r>
        <w:rPr>
          <w:rFonts w:hint="eastAsia" w:ascii="仿宋" w:hAnsi="仿宋" w:eastAsia="仿宋" w:cs="Times New Roman"/>
          <w:color w:val="auto"/>
          <w:kern w:val="0"/>
          <w:sz w:val="28"/>
          <w:szCs w:val="28"/>
          <w:highlight w:val="none"/>
          <w:u w:color="000000"/>
          <w:lang w:val="en-US" w:eastAsia="zh-CN"/>
        </w:rPr>
        <w:t>滁州市城投工程咨询管理有限公司</w:t>
      </w:r>
    </w:p>
    <w:p w14:paraId="70DC87B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地址：滁州市龙蟠大道109号房产大厦</w:t>
      </w:r>
      <w:r>
        <w:rPr>
          <w:rFonts w:hint="eastAsia" w:ascii="仿宋" w:hAnsi="仿宋" w:eastAsia="仿宋" w:cs="Times New Roman"/>
          <w:color w:val="auto"/>
          <w:kern w:val="0"/>
          <w:sz w:val="28"/>
          <w:szCs w:val="28"/>
          <w:highlight w:val="none"/>
          <w:u w:color="000000"/>
          <w:lang w:val="en-US" w:eastAsia="zh-CN"/>
        </w:rPr>
        <w:t>6</w:t>
      </w:r>
      <w:r>
        <w:rPr>
          <w:rFonts w:hint="eastAsia" w:ascii="仿宋" w:hAnsi="仿宋" w:eastAsia="仿宋" w:cs="Times New Roman"/>
          <w:color w:val="auto"/>
          <w:kern w:val="0"/>
          <w:sz w:val="28"/>
          <w:szCs w:val="28"/>
          <w:highlight w:val="none"/>
          <w:u w:color="000000"/>
        </w:rPr>
        <w:t>楼</w:t>
      </w:r>
    </w:p>
    <w:p w14:paraId="3EE40834">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关勤勤</w:t>
      </w:r>
    </w:p>
    <w:p w14:paraId="1EF38CB8">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18909605753</w:t>
      </w:r>
    </w:p>
    <w:p w14:paraId="4063AE3C">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21B18EFB">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68D88FAC">
      <w:pPr>
        <w:spacing w:line="360" w:lineRule="auto"/>
        <w:jc w:val="center"/>
        <w:outlineLvl w:val="1"/>
        <w:rPr>
          <w:rFonts w:asciiTheme="minorEastAsia" w:hAnsiTheme="minorEastAsia" w:eastAsiaTheme="minorEastAsia"/>
          <w:b/>
          <w:color w:val="auto"/>
          <w:sz w:val="24"/>
          <w:highlight w:val="none"/>
        </w:rPr>
      </w:pPr>
      <w:bookmarkStart w:id="21" w:name="_Toc12172"/>
      <w:bookmarkStart w:id="22"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173E936C">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9"/>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028"/>
        <w:gridCol w:w="6335"/>
      </w:tblGrid>
      <w:tr w14:paraId="146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CA9C574">
            <w:pPr>
              <w:pStyle w:val="48"/>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072" w:type="pct"/>
            <w:vAlign w:val="center"/>
          </w:tcPr>
          <w:p w14:paraId="4235DF59">
            <w:pPr>
              <w:pStyle w:val="48"/>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347" w:type="pct"/>
            <w:vAlign w:val="center"/>
          </w:tcPr>
          <w:p w14:paraId="4254168E">
            <w:pPr>
              <w:pStyle w:val="48"/>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7111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9" w:type="pct"/>
            <w:vAlign w:val="center"/>
          </w:tcPr>
          <w:p w14:paraId="2A9A9F98">
            <w:pPr>
              <w:pStyle w:val="49"/>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72" w:type="pct"/>
            <w:vAlign w:val="center"/>
          </w:tcPr>
          <w:p w14:paraId="117AF8F6">
            <w:pPr>
              <w:pStyle w:val="48"/>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现场考察或标前答疑会</w:t>
            </w:r>
          </w:p>
        </w:tc>
        <w:tc>
          <w:tcPr>
            <w:tcW w:w="3347" w:type="pct"/>
            <w:vAlign w:val="center"/>
          </w:tcPr>
          <w:p w14:paraId="607E78CC">
            <w:pPr>
              <w:spacing w:line="360" w:lineRule="auto"/>
              <w:rPr>
                <w:rFonts w:asciiTheme="minorEastAsia" w:hAnsiTheme="minorEastAsia" w:eastAsiaTheme="minorEastAsia"/>
                <w:b w:val="0"/>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tc>
      </w:tr>
      <w:tr w14:paraId="2F5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CDFE6D8">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6</w:t>
            </w:r>
            <w:r>
              <w:rPr>
                <w:rFonts w:asciiTheme="minorEastAsia" w:hAnsiTheme="minorEastAsia" w:eastAsiaTheme="minorEastAsia"/>
                <w:bCs/>
                <w:color w:val="auto"/>
                <w:kern w:val="2"/>
                <w:highlight w:val="none"/>
              </w:rPr>
              <w:t>.1</w:t>
            </w:r>
          </w:p>
        </w:tc>
        <w:tc>
          <w:tcPr>
            <w:tcW w:w="1072" w:type="pct"/>
            <w:vAlign w:val="center"/>
          </w:tcPr>
          <w:p w14:paraId="4B079295">
            <w:pPr>
              <w:pStyle w:val="48"/>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347" w:type="pct"/>
            <w:vAlign w:val="center"/>
          </w:tcPr>
          <w:p w14:paraId="2E825BEE">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 xml:space="preserve"> 4</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30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225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Merge w:val="restart"/>
            <w:vAlign w:val="center"/>
          </w:tcPr>
          <w:p w14:paraId="097A89BC">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7</w:t>
            </w:r>
            <w:r>
              <w:rPr>
                <w:rFonts w:asciiTheme="minorEastAsia" w:hAnsiTheme="minorEastAsia" w:eastAsiaTheme="minorEastAsia"/>
                <w:bCs/>
                <w:color w:val="auto"/>
                <w:kern w:val="2"/>
                <w:highlight w:val="none"/>
              </w:rPr>
              <w:t>.1</w:t>
            </w:r>
          </w:p>
        </w:tc>
        <w:tc>
          <w:tcPr>
            <w:tcW w:w="1072" w:type="pct"/>
            <w:vMerge w:val="restart"/>
            <w:vAlign w:val="center"/>
          </w:tcPr>
          <w:p w14:paraId="2E91C83D">
            <w:pPr>
              <w:pStyle w:val="48"/>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347" w:type="pct"/>
            <w:vAlign w:val="center"/>
          </w:tcPr>
          <w:p w14:paraId="4FA4CE04">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rPr>
              <w:t>/</w:t>
            </w:r>
            <w:r>
              <w:rPr>
                <w:rFonts w:asciiTheme="minorEastAsia" w:hAnsiTheme="minorEastAsia" w:eastAsiaTheme="minorEastAsia"/>
                <w:b w:val="0"/>
                <w:color w:val="auto"/>
                <w:sz w:val="24"/>
                <w:highlight w:val="none"/>
              </w:rPr>
              <w:t>个包</w:t>
            </w:r>
          </w:p>
        </w:tc>
      </w:tr>
      <w:tr w14:paraId="555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Merge w:val="continue"/>
            <w:vAlign w:val="center"/>
          </w:tcPr>
          <w:p w14:paraId="114719C7">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072" w:type="pct"/>
            <w:vMerge w:val="continue"/>
            <w:vAlign w:val="center"/>
          </w:tcPr>
          <w:p w14:paraId="259AFAA1">
            <w:pPr>
              <w:pStyle w:val="48"/>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347" w:type="pct"/>
            <w:vAlign w:val="center"/>
          </w:tcPr>
          <w:p w14:paraId="1CECC8B7">
            <w:pPr>
              <w:pStyle w:val="48"/>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rPr>
              <w:t>/</w:t>
            </w:r>
            <w:r>
              <w:rPr>
                <w:rFonts w:asciiTheme="minorEastAsia" w:hAnsiTheme="minorEastAsia" w:eastAsiaTheme="minorEastAsia"/>
                <w:b w:val="0"/>
                <w:bCs w:val="0"/>
                <w:color w:val="auto"/>
                <w:sz w:val="24"/>
                <w:szCs w:val="18"/>
                <w:highlight w:val="none"/>
                <w:u w:val="single"/>
              </w:rPr>
              <w:t xml:space="preserve">        </w:t>
            </w:r>
          </w:p>
        </w:tc>
      </w:tr>
      <w:tr w14:paraId="713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DD5C897">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10</w:t>
            </w:r>
            <w:r>
              <w:rPr>
                <w:rFonts w:asciiTheme="minorEastAsia" w:hAnsiTheme="minorEastAsia" w:eastAsiaTheme="minorEastAsia"/>
                <w:bCs/>
                <w:color w:val="auto"/>
                <w:kern w:val="2"/>
                <w:highlight w:val="none"/>
              </w:rPr>
              <w:t>.1</w:t>
            </w:r>
          </w:p>
        </w:tc>
        <w:tc>
          <w:tcPr>
            <w:tcW w:w="1072" w:type="pct"/>
            <w:vAlign w:val="center"/>
          </w:tcPr>
          <w:p w14:paraId="75402279">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347" w:type="pct"/>
            <w:vAlign w:val="center"/>
          </w:tcPr>
          <w:p w14:paraId="1BC62FEE">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90</w:t>
            </w:r>
            <w:r>
              <w:rPr>
                <w:rFonts w:hint="eastAsia" w:asciiTheme="minorEastAsia" w:hAnsiTheme="minorEastAsia" w:eastAsiaTheme="minorEastAsia"/>
                <w:b w:val="0"/>
                <w:color w:val="auto"/>
                <w:sz w:val="24"/>
                <w:highlight w:val="none"/>
              </w:rPr>
              <w:t>日历日</w:t>
            </w:r>
          </w:p>
        </w:tc>
      </w:tr>
      <w:tr w14:paraId="21C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8857901">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11.2</w:t>
            </w:r>
          </w:p>
        </w:tc>
        <w:tc>
          <w:tcPr>
            <w:tcW w:w="1072" w:type="pct"/>
            <w:vAlign w:val="center"/>
          </w:tcPr>
          <w:p w14:paraId="0E1F50B9">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347" w:type="pct"/>
            <w:vAlign w:val="center"/>
          </w:tcPr>
          <w:p w14:paraId="3988ADF5">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bCs w:val="0"/>
                <w:color w:val="auto"/>
                <w:sz w:val="28"/>
                <w:szCs w:val="28"/>
                <w:highlight w:val="none"/>
                <w:u w:val="single"/>
              </w:rPr>
              <w:t xml:space="preserve"> </w:t>
            </w:r>
            <w:r>
              <w:rPr>
                <w:rFonts w:hint="eastAsia" w:asciiTheme="minorEastAsia" w:hAnsiTheme="minorEastAsia" w:eastAsiaTheme="minorEastAsia"/>
                <w:b/>
                <w:bCs w:val="0"/>
                <w:color w:val="auto"/>
                <w:sz w:val="28"/>
                <w:szCs w:val="28"/>
                <w:highlight w:val="none"/>
                <w:u w:val="single"/>
                <w:lang w:val="en-US" w:eastAsia="zh-CN"/>
              </w:rPr>
              <w:t xml:space="preserve">60 </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5A9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73B990B">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072" w:type="pct"/>
            <w:vAlign w:val="center"/>
          </w:tcPr>
          <w:p w14:paraId="75CCB672">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347" w:type="pct"/>
            <w:vAlign w:val="center"/>
          </w:tcPr>
          <w:p w14:paraId="47000502">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 xml:space="preserve">采购人委托询价小组确定 </w:t>
            </w:r>
          </w:p>
          <w:p w14:paraId="115EDAD5">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363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7FF847D">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21</w:t>
            </w:r>
            <w:r>
              <w:rPr>
                <w:rFonts w:asciiTheme="minorEastAsia" w:hAnsiTheme="minorEastAsia" w:eastAsiaTheme="minorEastAsia"/>
                <w:bCs/>
                <w:color w:val="auto"/>
                <w:kern w:val="2"/>
                <w:highlight w:val="none"/>
              </w:rPr>
              <w:t>.1</w:t>
            </w:r>
          </w:p>
        </w:tc>
        <w:tc>
          <w:tcPr>
            <w:tcW w:w="1072" w:type="pct"/>
            <w:vAlign w:val="center"/>
          </w:tcPr>
          <w:p w14:paraId="3E00E773">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347" w:type="pct"/>
            <w:vAlign w:val="center"/>
          </w:tcPr>
          <w:p w14:paraId="2950DD18">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128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AFF454D">
            <w:pPr>
              <w:pStyle w:val="49"/>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highlight w:val="none"/>
              </w:rPr>
            </w:pPr>
            <w:r>
              <w:rPr>
                <w:rFonts w:hint="eastAsia" w:ascii="宋体" w:hAnsi="宋体" w:eastAsia="宋体" w:cs="宋体"/>
                <w:bCs/>
                <w:color w:val="auto"/>
                <w:szCs w:val="24"/>
                <w:highlight w:val="none"/>
              </w:rPr>
              <w:t>22.1</w:t>
            </w:r>
          </w:p>
        </w:tc>
        <w:tc>
          <w:tcPr>
            <w:tcW w:w="1072" w:type="pct"/>
            <w:vAlign w:val="center"/>
          </w:tcPr>
          <w:p w14:paraId="45F30629">
            <w:pPr>
              <w:pStyle w:val="48"/>
              <w:widowControl w:val="0"/>
              <w:spacing w:before="0" w:beforeAutospacing="0" w:after="0" w:afterAutospacing="0" w:line="360" w:lineRule="auto"/>
              <w:jc w:val="both"/>
              <w:rPr>
                <w:rFonts w:ascii="宋体" w:hAnsi="宋体" w:eastAsia="宋体" w:cstheme="minorBidi"/>
                <w:b w:val="0"/>
                <w:color w:val="auto"/>
                <w:sz w:val="24"/>
                <w:highlight w:val="none"/>
              </w:rPr>
            </w:pPr>
            <w:r>
              <w:rPr>
                <w:rFonts w:hint="eastAsia" w:ascii="宋体" w:hAnsi="宋体" w:eastAsia="宋体" w:cs="宋体"/>
                <w:b w:val="0"/>
                <w:color w:val="auto"/>
                <w:sz w:val="24"/>
                <w:szCs w:val="24"/>
                <w:highlight w:val="none"/>
              </w:rPr>
              <w:t>告知询价结果的形式</w:t>
            </w:r>
          </w:p>
        </w:tc>
        <w:tc>
          <w:tcPr>
            <w:tcW w:w="3347" w:type="pct"/>
            <w:vAlign w:val="center"/>
          </w:tcPr>
          <w:p w14:paraId="783AC166">
            <w:pPr>
              <w:pStyle w:val="48"/>
              <w:widowControl w:val="0"/>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cs="宋体"/>
                <w:b w:val="0"/>
                <w:color w:val="auto"/>
                <w:sz w:val="24"/>
                <w:szCs w:val="24"/>
                <w:highlight w:val="none"/>
              </w:rPr>
              <w:t>系统查看</w:t>
            </w:r>
          </w:p>
          <w:p w14:paraId="79CAE0A5">
            <w:pPr>
              <w:pStyle w:val="4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询价现场告知</w:t>
            </w:r>
          </w:p>
        </w:tc>
      </w:tr>
      <w:tr w14:paraId="5CA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CF261F1">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3</w:t>
            </w:r>
            <w:r>
              <w:rPr>
                <w:rFonts w:asciiTheme="minorEastAsia" w:hAnsiTheme="minorEastAsia" w:eastAsiaTheme="minorEastAsia"/>
                <w:bCs/>
                <w:color w:val="auto"/>
                <w:kern w:val="2"/>
                <w:highlight w:val="none"/>
              </w:rPr>
              <w:t>.1</w:t>
            </w:r>
          </w:p>
        </w:tc>
        <w:tc>
          <w:tcPr>
            <w:tcW w:w="1072" w:type="pct"/>
            <w:vAlign w:val="center"/>
          </w:tcPr>
          <w:p w14:paraId="3A86F0CF">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347" w:type="pct"/>
          </w:tcPr>
          <w:p w14:paraId="7DD73B7D">
            <w:pPr>
              <w:spacing w:line="360" w:lineRule="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5A9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4B931AE">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4</w:t>
            </w:r>
            <w:r>
              <w:rPr>
                <w:rFonts w:asciiTheme="minorEastAsia" w:hAnsiTheme="minorEastAsia" w:eastAsiaTheme="minorEastAsia"/>
                <w:bCs/>
                <w:color w:val="auto"/>
                <w:kern w:val="2"/>
                <w:highlight w:val="none"/>
              </w:rPr>
              <w:t>.1</w:t>
            </w:r>
          </w:p>
        </w:tc>
        <w:tc>
          <w:tcPr>
            <w:tcW w:w="1072" w:type="pct"/>
            <w:vAlign w:val="center"/>
          </w:tcPr>
          <w:p w14:paraId="55CD743D">
            <w:pPr>
              <w:pStyle w:val="48"/>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代理费用</w:t>
            </w:r>
            <w:r>
              <w:rPr>
                <w:rFonts w:hint="eastAsia" w:asciiTheme="minorEastAsia" w:hAnsiTheme="minorEastAsia" w:eastAsiaTheme="minorEastAsia"/>
                <w:b w:val="0"/>
                <w:color w:val="auto"/>
                <w:sz w:val="24"/>
                <w:highlight w:val="none"/>
                <w:lang w:val="en-US" w:eastAsia="zh-CN"/>
              </w:rPr>
              <w:t>及专家评审费</w:t>
            </w:r>
          </w:p>
        </w:tc>
        <w:tc>
          <w:tcPr>
            <w:tcW w:w="3347" w:type="pct"/>
            <w:vAlign w:val="center"/>
          </w:tcPr>
          <w:p w14:paraId="3D576332">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成交供应商</w:t>
            </w:r>
          </w:p>
          <w:p w14:paraId="1E5B7AC7">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银行转账</w:t>
            </w:r>
            <w:r>
              <w:rPr>
                <w:rFonts w:ascii="宋体" w:hAnsi="宋体" w:eastAsia="宋体" w:cs="宋体"/>
                <w:color w:val="auto"/>
                <w:sz w:val="24"/>
                <w:szCs w:val="24"/>
                <w:highlight w:val="none"/>
                <w:u w:val="single"/>
              </w:rPr>
              <w:t xml:space="preserve">  </w:t>
            </w:r>
          </w:p>
          <w:p w14:paraId="20C3D46B">
            <w:pPr>
              <w:pStyle w:val="48"/>
              <w:widowControl w:val="0"/>
              <w:spacing w:before="0" w:beforeAutospacing="0" w:after="0" w:afterAutospacing="0" w:line="360" w:lineRule="auto"/>
              <w:jc w:val="both"/>
              <w:rPr>
                <w:rFonts w:hint="default" w:eastAsia="宋体" w:asciiTheme="minorEastAsia" w:hAnsiTheme="minorEastAsia"/>
                <w:b w:val="0"/>
                <w:color w:val="auto"/>
                <w:sz w:val="24"/>
                <w:highlight w:val="none"/>
                <w:lang w:val="en-US" w:eastAsia="zh-CN"/>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none"/>
                <w:lang w:val="en-US" w:eastAsia="zh-CN"/>
              </w:rPr>
              <w:t>代理费3000</w:t>
            </w:r>
            <w:r>
              <w:rPr>
                <w:rFonts w:hint="eastAsia" w:ascii="宋体" w:hAnsi="宋体" w:eastAsia="宋体" w:cs="宋体"/>
                <w:b w:val="0"/>
                <w:bCs w:val="0"/>
                <w:color w:val="auto"/>
                <w:sz w:val="24"/>
                <w:szCs w:val="24"/>
                <w:highlight w:val="none"/>
                <w:u w:val="none"/>
                <w:lang w:val="en-US" w:eastAsia="zh-CN"/>
              </w:rPr>
              <w:t>元。专家评审费约1240元</w:t>
            </w:r>
            <w:r>
              <w:rPr>
                <w:rFonts w:hint="eastAsia" w:ascii="宋体" w:hAnsi="宋体" w:eastAsia="宋体"/>
                <w:b w:val="0"/>
                <w:color w:val="auto"/>
                <w:sz w:val="24"/>
                <w:highlight w:val="none"/>
                <w:u w:val="none"/>
                <w:lang w:val="en-US" w:eastAsia="zh-CN"/>
              </w:rPr>
              <w:t>（最终以实际发生为准，按实计收），成交供应商在领取成交通知书前一次性支付给代理公司；</w:t>
            </w:r>
          </w:p>
        </w:tc>
      </w:tr>
      <w:tr w14:paraId="7FAF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00669541">
            <w:pPr>
              <w:pStyle w:val="4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3</w:t>
            </w:r>
          </w:p>
        </w:tc>
        <w:tc>
          <w:tcPr>
            <w:tcW w:w="1072" w:type="pct"/>
            <w:vAlign w:val="center"/>
          </w:tcPr>
          <w:p w14:paraId="5EE1F34A">
            <w:pPr>
              <w:pStyle w:val="48"/>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47" w:type="pct"/>
            <w:vAlign w:val="center"/>
          </w:tcPr>
          <w:p w14:paraId="646E8691">
            <w:pPr>
              <w:pStyle w:val="48"/>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对</w:t>
            </w:r>
            <w:r>
              <w:rPr>
                <w:rFonts w:hint="eastAsia" w:ascii="宋体" w:hAnsi="宋体" w:eastAsia="宋体" w:cs="宋体"/>
                <w:b w:val="0"/>
                <w:color w:val="auto"/>
                <w:sz w:val="24"/>
                <w:szCs w:val="24"/>
                <w:highlight w:val="none"/>
                <w:lang w:val="en-US" w:eastAsia="zh-CN"/>
              </w:rPr>
              <w:t>询价</w:t>
            </w:r>
            <w:r>
              <w:rPr>
                <w:rFonts w:hint="eastAsia" w:ascii="宋体" w:hAnsi="宋体" w:eastAsia="宋体" w:cs="宋体"/>
                <w:b w:val="0"/>
                <w:color w:val="auto"/>
                <w:sz w:val="24"/>
                <w:szCs w:val="24"/>
                <w:highlight w:val="none"/>
              </w:rPr>
              <w:t>文件有疑问，请于202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u w:val="none"/>
              </w:rPr>
              <w:t>日</w:t>
            </w:r>
            <w:r>
              <w:rPr>
                <w:rFonts w:hint="eastAsia" w:ascii="宋体" w:hAnsi="宋体" w:eastAsia="宋体" w:cs="宋体"/>
                <w:b w:val="0"/>
                <w:color w:val="auto"/>
                <w:sz w:val="24"/>
                <w:szCs w:val="24"/>
                <w:highlight w:val="none"/>
                <w:u w:val="none"/>
                <w:lang w:val="en-US" w:eastAsia="zh-CN"/>
              </w:rPr>
              <w:t>11</w:t>
            </w:r>
            <w:r>
              <w:rPr>
                <w:rFonts w:hint="eastAsia" w:ascii="宋体" w:hAnsi="宋体" w:eastAsia="宋体" w:cs="宋体"/>
                <w:b w:val="0"/>
                <w:color w:val="auto"/>
                <w:sz w:val="24"/>
                <w:szCs w:val="24"/>
                <w:highlight w:val="none"/>
                <w:u w:val="none"/>
              </w:rPr>
              <w:t>时前</w:t>
            </w:r>
            <w:r>
              <w:rPr>
                <w:rFonts w:hint="eastAsia" w:ascii="宋体" w:hAnsi="宋体" w:eastAsia="宋体" w:cs="宋体"/>
                <w:b w:val="0"/>
                <w:color w:val="auto"/>
                <w:sz w:val="24"/>
                <w:szCs w:val="24"/>
                <w:highlight w:val="none"/>
                <w:u w:val="none"/>
                <w:lang w:val="en-US" w:eastAsia="zh-CN"/>
              </w:rPr>
              <w:t>通过新点电子交易平台【滁州专区】对询价文件提出澄清（质疑）</w:t>
            </w: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采购</w:t>
            </w:r>
            <w:r>
              <w:rPr>
                <w:rFonts w:hint="eastAsia" w:ascii="宋体" w:hAnsi="宋体" w:eastAsia="宋体" w:cs="宋体"/>
                <w:b w:val="0"/>
                <w:color w:val="auto"/>
                <w:sz w:val="24"/>
                <w:szCs w:val="24"/>
                <w:highlight w:val="none"/>
                <w:u w:val="none"/>
              </w:rPr>
              <w:t>人将在202</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年</w:t>
            </w:r>
            <w:r>
              <w:rPr>
                <w:rFonts w:hint="eastAsia" w:ascii="宋体" w:hAnsi="宋体" w:eastAsia="宋体" w:cs="宋体"/>
                <w:b w:val="0"/>
                <w:color w:val="auto"/>
                <w:sz w:val="24"/>
                <w:szCs w:val="24"/>
                <w:highlight w:val="none"/>
                <w:u w:val="none"/>
                <w:lang w:val="en-US" w:eastAsia="zh-CN"/>
              </w:rPr>
              <w:t>9</w:t>
            </w:r>
            <w:r>
              <w:rPr>
                <w:rFonts w:hint="eastAsia" w:ascii="宋体" w:hAnsi="宋体" w:eastAsia="宋体" w:cs="宋体"/>
                <w:b w:val="0"/>
                <w:color w:val="auto"/>
                <w:sz w:val="24"/>
                <w:szCs w:val="24"/>
                <w:highlight w:val="none"/>
                <w:u w:val="none"/>
              </w:rPr>
              <w:t>月</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时后</w:t>
            </w:r>
            <w:r>
              <w:rPr>
                <w:rFonts w:hint="eastAsia" w:ascii="宋体" w:hAnsi="宋体" w:eastAsia="宋体" w:cs="宋体"/>
                <w:b w:val="0"/>
                <w:color w:val="auto"/>
                <w:sz w:val="24"/>
                <w:szCs w:val="24"/>
                <w:highlight w:val="none"/>
                <w:lang w:eastAsia="zh-CN"/>
              </w:rPr>
              <w:t>在</w:t>
            </w:r>
            <w:r>
              <w:rPr>
                <w:rFonts w:hint="eastAsia" w:ascii="宋体" w:hAnsi="宋体" w:eastAsia="宋体" w:cs="宋体"/>
                <w:b w:val="0"/>
                <w:color w:val="auto"/>
                <w:sz w:val="24"/>
                <w:szCs w:val="24"/>
                <w:highlight w:val="none"/>
              </w:rPr>
              <w:t>滁州市城投工程咨询管理有限公司（https://www.czctgczx.com/）</w:t>
            </w:r>
            <w:r>
              <w:rPr>
                <w:rFonts w:hint="eastAsia" w:ascii="宋体" w:hAnsi="宋体" w:eastAsia="宋体" w:cs="宋体"/>
                <w:b w:val="0"/>
                <w:color w:val="auto"/>
                <w:sz w:val="24"/>
                <w:szCs w:val="24"/>
                <w:highlight w:val="none"/>
                <w:lang w:val="en-US" w:eastAsia="zh-CN"/>
              </w:rPr>
              <w:t>网站发布</w:t>
            </w:r>
            <w:r>
              <w:rPr>
                <w:rFonts w:hint="eastAsia" w:ascii="宋体" w:hAnsi="宋体" w:eastAsia="宋体" w:cs="宋体"/>
                <w:b w:val="0"/>
                <w:color w:val="auto"/>
                <w:sz w:val="24"/>
                <w:szCs w:val="24"/>
                <w:highlight w:val="none"/>
              </w:rPr>
              <w:t>，请各位</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注意查看有关澄清内容，如不及时查看造成后果由</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自负。</w:t>
            </w:r>
          </w:p>
        </w:tc>
      </w:tr>
      <w:tr w14:paraId="0F4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3A2A1FF8">
            <w:pPr>
              <w:pStyle w:val="48"/>
              <w:widowControl w:val="0"/>
              <w:spacing w:before="0" w:beforeAutospacing="0" w:after="0" w:afterAutospacing="0" w:line="360" w:lineRule="auto"/>
              <w:jc w:val="center"/>
              <w:rPr>
                <w:rFonts w:ascii="宋体" w:hAnsi="宋体" w:eastAsia="宋体" w:cs="宋体"/>
                <w:b w:val="0"/>
                <w:color w:val="auto"/>
                <w:kern w:val="2"/>
                <w:sz w:val="24"/>
                <w:szCs w:val="24"/>
                <w:highlight w:val="none"/>
                <w:lang w:bidi="ar"/>
              </w:rPr>
            </w:pPr>
            <w:r>
              <w:rPr>
                <w:rFonts w:hint="eastAsia" w:ascii="宋体" w:hAnsi="宋体" w:eastAsia="宋体" w:cs="宋体"/>
                <w:b/>
                <w:bCs/>
                <w:color w:val="auto"/>
                <w:sz w:val="21"/>
                <w:szCs w:val="21"/>
                <w:highlight w:val="none"/>
              </w:rPr>
              <w:t>需要补充的其他内容</w:t>
            </w:r>
          </w:p>
        </w:tc>
      </w:tr>
      <w:tr w14:paraId="5D9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6A8FCAB">
            <w:pPr>
              <w:pStyle w:val="4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p>
        </w:tc>
        <w:tc>
          <w:tcPr>
            <w:tcW w:w="1072" w:type="pct"/>
            <w:vAlign w:val="center"/>
          </w:tcPr>
          <w:p w14:paraId="2FFE3CEA">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电子招标投标</w:t>
            </w:r>
          </w:p>
        </w:tc>
        <w:tc>
          <w:tcPr>
            <w:tcW w:w="3347" w:type="pct"/>
            <w:vAlign w:val="center"/>
          </w:tcPr>
          <w:p w14:paraId="01678FB7">
            <w:pPr>
              <w:keepNext w:val="0"/>
              <w:keepLines w:val="0"/>
              <w:pageBreakBefore w:val="0"/>
              <w:kinsoku/>
              <w:overflowPunct/>
              <w:topLinePunct w:val="0"/>
              <w:autoSpaceDE/>
              <w:autoSpaceDN/>
              <w:bidi w:val="0"/>
              <w:spacing w:line="440" w:lineRule="exact"/>
              <w:jc w:val="left"/>
              <w:textAlignment w:val="auto"/>
              <w:rPr>
                <w:rFonts w:ascii="宋体" w:hAnsi="宋体" w:eastAsia="宋体" w:cs="宋体"/>
                <w:b w:val="0"/>
                <w:color w:val="auto"/>
                <w:kern w:val="2"/>
                <w:sz w:val="24"/>
                <w:szCs w:val="24"/>
                <w:highlight w:val="none"/>
                <w:lang w:bidi="ar"/>
              </w:rPr>
            </w:pPr>
            <w:r>
              <w:rPr>
                <w:rFonts w:hint="eastAsia" w:ascii="宋体" w:hAnsi="宋体" w:eastAsia="宋体" w:cs="@仿宋_GB2312"/>
                <w:b w:val="0"/>
                <w:bCs/>
                <w:color w:val="auto"/>
                <w:kern w:val="0"/>
                <w:sz w:val="24"/>
                <w:szCs w:val="28"/>
                <w:highlight w:val="none"/>
                <w:lang w:val="en-US" w:eastAsia="zh-CN" w:bidi="ar-SA"/>
              </w:rPr>
              <w:fldChar w:fldCharType="begin"/>
            </w:r>
            <w:r>
              <w:rPr>
                <w:rFonts w:hint="eastAsia" w:ascii="宋体" w:hAnsi="宋体" w:eastAsia="宋体" w:cs="@仿宋_GB2312"/>
                <w:b w:val="0"/>
                <w:bCs/>
                <w:color w:val="auto"/>
                <w:kern w:val="0"/>
                <w:sz w:val="24"/>
                <w:szCs w:val="28"/>
                <w:highlight w:val="none"/>
                <w:lang w:val="en-US" w:eastAsia="zh-CN" w:bidi="ar-SA"/>
              </w:rPr>
              <w:instrText xml:space="preserve"> eq \o\ac(□)</w:instrText>
            </w:r>
            <w:r>
              <w:rPr>
                <w:rFonts w:hint="eastAsia" w:ascii="宋体" w:hAnsi="宋体" w:eastAsia="宋体" w:cs="@仿宋_GB2312"/>
                <w:b w:val="0"/>
                <w:bCs/>
                <w:color w:val="auto"/>
                <w:kern w:val="0"/>
                <w:sz w:val="24"/>
                <w:szCs w:val="28"/>
                <w:highlight w:val="none"/>
                <w:lang w:val="en-US" w:eastAsia="zh-CN" w:bidi="ar-SA"/>
              </w:rPr>
              <w:fldChar w:fldCharType="end"/>
            </w:r>
            <w:r>
              <w:rPr>
                <w:rFonts w:hint="eastAsia" w:ascii="宋体" w:hAnsi="宋体" w:eastAsia="宋体" w:cs="@仿宋_GB2312"/>
                <w:b w:val="0"/>
                <w:bCs/>
                <w:color w:val="auto"/>
                <w:kern w:val="0"/>
                <w:sz w:val="24"/>
                <w:szCs w:val="28"/>
                <w:highlight w:val="none"/>
                <w:lang w:val="en-US" w:eastAsia="zh-CN" w:bidi="ar-SA"/>
              </w:rPr>
              <w:t>否； ☑是，具体要求：按询价文件规定。</w:t>
            </w:r>
          </w:p>
        </w:tc>
      </w:tr>
      <w:tr w14:paraId="731B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7B59C5B">
            <w:pPr>
              <w:pStyle w:val="4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w:t>
            </w:r>
          </w:p>
        </w:tc>
        <w:tc>
          <w:tcPr>
            <w:tcW w:w="1072" w:type="pct"/>
            <w:vAlign w:val="center"/>
          </w:tcPr>
          <w:p w14:paraId="71DDFC3C">
            <w:pPr>
              <w:pStyle w:val="4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评标过程中的澄清、说明或补正</w:t>
            </w:r>
          </w:p>
        </w:tc>
        <w:tc>
          <w:tcPr>
            <w:tcW w:w="3347" w:type="pct"/>
            <w:vAlign w:val="center"/>
          </w:tcPr>
          <w:p w14:paraId="73437A23">
            <w:pPr>
              <w:pStyle w:val="4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（1）评标委员会通过网上招投标系统将需要澄清、说明或补正的内容以询标函的形式发送给供应商，供应商应安排专人登录网上招投标系统并保持在线状态，以便及时接收评标委员会可能发出的询标函。</w:t>
            </w:r>
          </w:p>
          <w:p w14:paraId="4F8D3A89">
            <w:pPr>
              <w:pStyle w:val="4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因供应商未登录网上招投标系统导致无法及时接收询标函（远程网上询标）或未在规定时间内按评标委员会要求进行澄清、说明或补正内容的视同供应商放弃澄清、说明或补正内容的权利，评标委员会可按对供应商不利的解释进行判定。</w:t>
            </w:r>
          </w:p>
        </w:tc>
      </w:tr>
      <w:tr w14:paraId="5932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DE17B69">
            <w:pPr>
              <w:pStyle w:val="49"/>
              <w:pBdr>
                <w:bottom w:val="none" w:color="auto" w:sz="0" w:space="0"/>
              </w:pBdr>
              <w:tabs>
                <w:tab w:val="clear" w:pos="4153"/>
                <w:tab w:val="clear" w:pos="8306"/>
              </w:tabs>
              <w:adjustRightInd/>
              <w:spacing w:line="24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w:t>
            </w:r>
          </w:p>
        </w:tc>
        <w:tc>
          <w:tcPr>
            <w:tcW w:w="1072" w:type="pct"/>
            <w:vAlign w:val="center"/>
          </w:tcPr>
          <w:p w14:paraId="329860F4">
            <w:pPr>
              <w:pStyle w:val="49"/>
              <w:pBdr>
                <w:bottom w:val="none" w:color="auto" w:sz="0" w:space="0"/>
              </w:pBdr>
              <w:tabs>
                <w:tab w:val="clear" w:pos="4153"/>
                <w:tab w:val="clear" w:pos="8306"/>
              </w:tabs>
              <w:adjustRightInd/>
              <w:spacing w:line="240" w:lineRule="auto"/>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其他说明</w:t>
            </w:r>
          </w:p>
        </w:tc>
        <w:tc>
          <w:tcPr>
            <w:tcW w:w="3347" w:type="pct"/>
            <w:vAlign w:val="center"/>
          </w:tcPr>
          <w:p w14:paraId="572DE2C4">
            <w:pPr>
              <w:pStyle w:val="4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系统生成响应文件时，所填报的报价可填写基质沥青单价和改性费用单价之和。</w:t>
            </w:r>
          </w:p>
          <w:p w14:paraId="6C57624A">
            <w:pPr>
              <w:pStyle w:val="4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供应商系统响应报价与响应函不一致的，以响应文件中响应函报价为准。</w:t>
            </w:r>
          </w:p>
        </w:tc>
      </w:tr>
    </w:tbl>
    <w:p w14:paraId="2D465309">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9229"/>
      <w:bookmarkStart w:id="24"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321F8C7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w:t>
      </w:r>
      <w:r>
        <w:rPr>
          <w:rFonts w:hint="eastAsia" w:asciiTheme="minorEastAsia" w:hAnsiTheme="minorEastAsia" w:eastAsiaTheme="minorEastAsia"/>
          <w:b/>
          <w:color w:val="auto"/>
          <w:sz w:val="24"/>
          <w:highlight w:val="none"/>
          <w:lang w:eastAsia="zh-CN"/>
        </w:rPr>
        <w:t>代理机构</w:t>
      </w:r>
      <w:r>
        <w:rPr>
          <w:rFonts w:hint="eastAsia" w:asciiTheme="minorEastAsia" w:hAnsiTheme="minorEastAsia" w:eastAsiaTheme="minorEastAsia"/>
          <w:b/>
          <w:color w:val="auto"/>
          <w:sz w:val="24"/>
          <w:highlight w:val="none"/>
        </w:rPr>
        <w:t>及供应商</w:t>
      </w:r>
    </w:p>
    <w:p w14:paraId="5290322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.1采购人：</w:t>
      </w:r>
      <w:r>
        <w:rPr>
          <w:rFonts w:hint="eastAsia" w:asciiTheme="minorEastAsia" w:hAnsiTheme="minorEastAsia" w:eastAsiaTheme="minorEastAsia"/>
          <w:color w:val="auto"/>
          <w:sz w:val="24"/>
          <w:highlight w:val="none"/>
          <w:lang w:val="en-US" w:eastAsia="zh-CN"/>
        </w:rPr>
        <w:t>滁州市城投鑫驰科技有限公司</w:t>
      </w:r>
      <w:r>
        <w:rPr>
          <w:rFonts w:asciiTheme="minorEastAsia" w:hAnsiTheme="minorEastAsia" w:eastAsiaTheme="minorEastAsia"/>
          <w:color w:val="auto"/>
          <w:sz w:val="24"/>
          <w:highlight w:val="none"/>
        </w:rPr>
        <w:t>。</w:t>
      </w:r>
    </w:p>
    <w:p w14:paraId="2A5ABE1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滁州市城投工程咨询管理有限公司</w:t>
      </w:r>
      <w:r>
        <w:rPr>
          <w:rFonts w:asciiTheme="minorEastAsia" w:hAnsiTheme="minorEastAsia" w:eastAsiaTheme="minorEastAsia"/>
          <w:color w:val="auto"/>
          <w:sz w:val="24"/>
          <w:highlight w:val="none"/>
        </w:rPr>
        <w:t>。</w:t>
      </w:r>
    </w:p>
    <w:p w14:paraId="0535F59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lang w:val="en-US" w:eastAsia="zh-CN"/>
        </w:rPr>
        <w:t>滁州市城投鑫驰科技有限公司或上级单位的纪检或监察部门</w:t>
      </w:r>
      <w:r>
        <w:rPr>
          <w:rFonts w:hint="eastAsia" w:asciiTheme="minorEastAsia" w:hAnsiTheme="minorEastAsia" w:eastAsiaTheme="minorEastAsia"/>
          <w:color w:val="auto"/>
          <w:sz w:val="24"/>
          <w:highlight w:val="none"/>
        </w:rPr>
        <w:t>。</w:t>
      </w:r>
    </w:p>
    <w:p w14:paraId="74D0821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.4供应商：是指</w:t>
      </w:r>
      <w:r>
        <w:rPr>
          <w:rFonts w:hint="eastAsia" w:asciiTheme="minorEastAsia" w:hAnsiTheme="minorEastAsia" w:eastAsiaTheme="minorEastAsia"/>
          <w:color w:val="auto"/>
          <w:sz w:val="24"/>
          <w:highlight w:val="none"/>
          <w:lang w:val="en-US" w:eastAsia="zh-CN"/>
        </w:rPr>
        <w:t>满足本项目参与条件的单位</w:t>
      </w:r>
      <w:r>
        <w:rPr>
          <w:rFonts w:hint="eastAsia" w:asciiTheme="minorEastAsia" w:hAnsiTheme="minorEastAsia" w:eastAsiaTheme="minorEastAsia"/>
          <w:color w:val="auto"/>
          <w:sz w:val="24"/>
          <w:highlight w:val="none"/>
        </w:rPr>
        <w:t>。</w:t>
      </w:r>
    </w:p>
    <w:p w14:paraId="46B640D2">
      <w:pPr>
        <w:spacing w:line="460" w:lineRule="exact"/>
        <w:ind w:firstLine="435"/>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bookmarkEnd w:id="25"/>
      <w:r>
        <w:rPr>
          <w:rFonts w:hint="eastAsia" w:ascii="宋体" w:hAnsi="宋体" w:eastAsia="宋体"/>
          <w:bCs/>
          <w:color w:val="auto"/>
          <w:kern w:val="0"/>
          <w:sz w:val="24"/>
          <w:szCs w:val="28"/>
          <w:highlight w:val="none"/>
          <w:lang w:val="en-US" w:eastAsia="zh-CN"/>
        </w:rPr>
        <w:t>本项目不接受联合体</w:t>
      </w:r>
      <w:r>
        <w:rPr>
          <w:rFonts w:asciiTheme="minorEastAsia" w:hAnsiTheme="minorEastAsia" w:eastAsiaTheme="minorEastAsia"/>
          <w:color w:val="auto"/>
          <w:sz w:val="24"/>
          <w:highlight w:val="none"/>
        </w:rPr>
        <w:t>。</w:t>
      </w:r>
    </w:p>
    <w:p w14:paraId="0B8D59B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734852E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本项目的采购人已获得足以支付本次采购后所签订的合同项下的资金。</w:t>
      </w:r>
    </w:p>
    <w:p w14:paraId="1E7B922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72D3428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72FB563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AE3A63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参照</w:t>
      </w:r>
      <w:r>
        <w:rPr>
          <w:rFonts w:hint="eastAsia" w:asciiTheme="minorEastAsia" w:hAnsiTheme="minorEastAsia" w:eastAsiaTheme="minorEastAsia"/>
          <w:color w:val="auto"/>
          <w:sz w:val="24"/>
          <w:highlight w:val="none"/>
        </w:rPr>
        <w:t>《中华人民共和国政府采购法》、《中华人民共和国政府采购法实施条例》及本项目本级和上级财政部门、政府采购监督管理部门的政府采购有关规定的约束，其权利受到上述法律法规的保护。</w:t>
      </w:r>
    </w:p>
    <w:p w14:paraId="555F455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构成</w:t>
      </w:r>
    </w:p>
    <w:p w14:paraId="7F7B383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包括下列内容：</w:t>
      </w:r>
    </w:p>
    <w:p w14:paraId="3597D84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5F83DC89">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67FC12A3">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54BB1BC">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4532EFD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合同</w:t>
      </w:r>
    </w:p>
    <w:p w14:paraId="0E5945F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7BC3A00">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9DF5F8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本项目不组织</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w:t>
      </w:r>
    </w:p>
    <w:p w14:paraId="4A2518B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不要求供应商提供样品。除仅凭书面方式不能准确描述采购需求，或者需要对样品进行主观判断以确认是否满足采购需求等特殊情况除外。</w:t>
      </w:r>
    </w:p>
    <w:p w14:paraId="7D3139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54BC5B0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供应商应认真阅读</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所有的事项、格式、条款和技术规范等。</w:t>
      </w:r>
    </w:p>
    <w:p w14:paraId="3F10FC5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的澄清与修改</w:t>
      </w:r>
    </w:p>
    <w:p w14:paraId="4EE7F52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提交给代理机构。</w:t>
      </w:r>
    </w:p>
    <w:p w14:paraId="5D1C2A6B">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进行澄清与修改。</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Theme="minorEastAsia" w:hAnsiTheme="minorEastAsia" w:eastAsiaTheme="minorEastAsia"/>
          <w:color w:val="auto"/>
          <w:sz w:val="24"/>
          <w:highlight w:val="none"/>
        </w:rPr>
        <w:t>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不承担供应商未及时关注相关信息引发的相关责任。</w:t>
      </w:r>
    </w:p>
    <w:p w14:paraId="2C86D94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6.3任何人或任何组织向供应商提供的任何书面或口头资料，未经</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在网上发布或书面通知，均作无效处理，不得作为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的组成部分。</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对供应商由此而做出的推论、理解和结论概不负责。</w:t>
      </w:r>
    </w:p>
    <w:p w14:paraId="79FAB4BF">
      <w:pPr>
        <w:spacing w:line="460" w:lineRule="exact"/>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12CDE9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3E0B982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4C1872C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5860873">
      <w:pPr>
        <w:spacing w:line="460" w:lineRule="exact"/>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23A89A3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2CE8AD0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中有特殊要求外，响应文件中所使用的计量单位，应采用中华人民共和国法定计量单位。</w:t>
      </w:r>
    </w:p>
    <w:p w14:paraId="014C24F0">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22D3C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.1供应商应完整地按</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0E2458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2供应商应提交</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要求的证明文件，证明其响应内容符合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799CC38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77104C2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8B0E5D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6006ED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2328124D">
      <w:pPr>
        <w:spacing w:line="460" w:lineRule="exact"/>
        <w:ind w:firstLine="435"/>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56768E1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4B3E05F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606387C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B4188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131DA5F4">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C9ED91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B6B860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1.1供应商应当在询价公告规定的响应文件提交截止时间前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314D6D6">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1.2供应商应在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4BC395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3ED36D6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05C4C36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3C89FB9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142943C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的规定，从响应文件的有效性和完整性对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的响应程度进行审查，以确定是否对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的实质性要求做出响应。</w:t>
      </w:r>
    </w:p>
    <w:p w14:paraId="5FAA3AD9">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书面提出回避申请，并说明理由。</w:t>
      </w:r>
    </w:p>
    <w:p w14:paraId="7E0716F8">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5955F4D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应当</w:t>
      </w:r>
      <w:bookmarkStart w:id="30" w:name="_Hlk22478676"/>
      <w:r>
        <w:rPr>
          <w:rFonts w:asciiTheme="minorEastAsia" w:hAnsiTheme="minorEastAsia" w:eastAsiaTheme="minorEastAsia"/>
          <w:color w:val="auto"/>
          <w:sz w:val="24"/>
          <w:highlight w:val="none"/>
        </w:rPr>
        <w:t>终止询价</w:t>
      </w:r>
      <w:bookmarkEnd w:id="30"/>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66FE232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16D11A4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753C0404">
      <w:pPr>
        <w:spacing w:line="460" w:lineRule="exact"/>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）在采购过程中符合竞争要求的供应商或者报价未超过采购预算的供应商不足3</w:t>
      </w:r>
      <w:r>
        <w:rPr>
          <w:rFonts w:hint="eastAsia" w:asciiTheme="minorEastAsia" w:hAnsiTheme="minorEastAsia" w:eastAsiaTheme="minorEastAsia"/>
          <w:color w:val="auto"/>
          <w:sz w:val="24"/>
          <w:highlight w:val="none"/>
        </w:rPr>
        <w:t>家的。</w:t>
      </w:r>
      <w:r>
        <w:rPr>
          <w:rFonts w:hint="eastAsia" w:asciiTheme="minorEastAsia" w:hAnsiTheme="minorEastAsia" w:eastAsiaTheme="minorEastAsia"/>
          <w:color w:val="auto"/>
          <w:sz w:val="24"/>
          <w:highlight w:val="none"/>
          <w:lang w:val="en-US" w:eastAsia="zh-CN"/>
        </w:rPr>
        <w:t>第一次采购失败原则上进行第二次公开询价。</w:t>
      </w:r>
    </w:p>
    <w:p w14:paraId="37A3459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F654DA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2C0D2B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15.2询价小组要求供应商澄清、说明或者更正响应文件应当以书面形式（询标）作出。供应商的澄清、说明或者更正应当由法定代表人或其授权代表签字或者加盖公章（电子签章）。</w:t>
      </w:r>
    </w:p>
    <w:p w14:paraId="683C9B08">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r>
        <w:rPr>
          <w:rFonts w:hint="eastAsia" w:asciiTheme="minorEastAsia" w:hAnsiTheme="minorEastAsia" w:eastAsiaTheme="minorEastAsia"/>
          <w:b/>
          <w:color w:val="auto"/>
          <w:sz w:val="24"/>
          <w:highlight w:val="none"/>
          <w:lang w:val="en-US" w:eastAsia="zh-CN"/>
        </w:rPr>
        <w:t>本项目采用远程开标，具体操作方法详见服务指南&gt;交易须知&gt;开标大厅远程解密、质疑(异议)及回复以及评标过程中询标流程操作手册</w:t>
      </w:r>
      <w:r>
        <w:rPr>
          <w:rFonts w:hint="eastAsia" w:asciiTheme="minorEastAsia" w:hAnsiTheme="minorEastAsia" w:eastAsiaTheme="minorEastAsia"/>
          <w:b/>
          <w:color w:val="auto"/>
          <w:sz w:val="24"/>
          <w:highlight w:val="none"/>
        </w:rPr>
        <w:t>。</w:t>
      </w:r>
    </w:p>
    <w:p w14:paraId="5967CEF6">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27E6B22E">
      <w:pPr>
        <w:spacing w:line="460" w:lineRule="exact"/>
        <w:ind w:firstLine="435"/>
        <w:rPr>
          <w:rFonts w:hint="eastAsia" w:asciiTheme="minorEastAsia" w:hAnsiTheme="minorEastAsia" w:eastAsiaTheme="minorEastAsia"/>
          <w:b/>
          <w:color w:val="auto"/>
          <w:sz w:val="24"/>
          <w:highlight w:val="none"/>
          <w:lang w:val="en-US" w:eastAsia="zh-CN"/>
        </w:rPr>
      </w:pPr>
      <w:bookmarkStart w:id="31" w:name="_Hlk60605471"/>
      <w:r>
        <w:rPr>
          <w:rFonts w:hint="eastAsia" w:asciiTheme="minorEastAsia" w:hAnsiTheme="minorEastAsia" w:eastAsiaTheme="minorEastAsia"/>
          <w:b/>
          <w:color w:val="auto"/>
          <w:sz w:val="24"/>
          <w:highlight w:val="none"/>
          <w:lang w:val="en-US" w:eastAsia="zh-CN"/>
        </w:rPr>
        <w:t>16.1通过评审且按照下列方式则算后的最低价的供应商获得成交候选人推荐资格；报价相同的，则由询价小组采取随机抽取方式确定。</w:t>
      </w:r>
      <w:bookmarkEnd w:id="31"/>
    </w:p>
    <w:p w14:paraId="1ED642B9">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评审时价格则算方式如下：</w:t>
      </w:r>
    </w:p>
    <w:p w14:paraId="6D17054D">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本项目询价文件发布当日“百川盈孚网https://www.baiinfo.com/”国内炼厂重交沥青出厂价格中江苏金陵石化70#沥青汽运挂牌价为计费基数。如本项目询价文件发布当日未公布最新价格，则以本项目询价文件发布当日最近的日期公布的上述价格作为基数。</w:t>
      </w:r>
    </w:p>
    <w:p w14:paraId="0F494D2D">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假设本项目询价文件发布当日的计费基数为5000元/吨，供应商基质沥青报价为4500元/吨，改性费用报价为500元/吨，则折算评审价格为：4500 + 500 = 5000 元。</w:t>
      </w:r>
    </w:p>
    <w:p w14:paraId="3FCA6CF3">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固定价差即本项目询价文件发布当日网价 - 所报</w:t>
      </w: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价格 = 固定价差。</w:t>
      </w:r>
      <w:r>
        <w:rPr>
          <w:rFonts w:hint="eastAsia" w:asciiTheme="minorEastAsia" w:hAnsiTheme="minorEastAsia" w:eastAsiaTheme="minorEastAsia"/>
          <w:b/>
          <w:color w:val="auto"/>
          <w:sz w:val="24"/>
          <w:highlight w:val="none"/>
          <w:lang w:val="en-US" w:eastAsia="zh-CN"/>
        </w:rPr>
        <w:t>履约过程中基质沥青单价确认原则为供货当日网价-基质沥青固定价差即为当日基质沥青供货价</w:t>
      </w:r>
      <w:r>
        <w:rPr>
          <w:rFonts w:hint="eastAsia" w:asciiTheme="minorEastAsia" w:hAnsiTheme="minorEastAsia" w:eastAsiaTheme="minorEastAsia"/>
          <w:b/>
          <w:color w:val="auto"/>
          <w:sz w:val="24"/>
          <w:highlight w:val="none"/>
          <w:lang w:val="en-US" w:eastAsia="zh-CN"/>
        </w:rPr>
        <w:t>。</w:t>
      </w:r>
    </w:p>
    <w:p w14:paraId="140173CC">
      <w:pPr>
        <w:spacing w:line="460" w:lineRule="exact"/>
        <w:ind w:firstLine="435"/>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固定价差、改性费用单价一经确定，整个履约过程中不在进行调整。</w:t>
      </w:r>
    </w:p>
    <w:p w14:paraId="34A9B3E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4F72C743">
      <w:pPr>
        <w:spacing w:line="46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询价小组应当从质量和服务均能满足询价</w:t>
      </w:r>
      <w:r>
        <w:rPr>
          <w:rFonts w:hint="eastAsia" w:asciiTheme="minorEastAsia" w:hAnsiTheme="minorEastAsia" w:eastAsiaTheme="minorEastAsia"/>
          <w:b/>
          <w:bCs/>
          <w:color w:val="auto"/>
          <w:sz w:val="24"/>
          <w:highlight w:val="none"/>
          <w:lang w:val="en-US" w:eastAsia="zh-CN"/>
        </w:rPr>
        <w:t>采购文件</w:t>
      </w:r>
      <w:r>
        <w:rPr>
          <w:rFonts w:hint="eastAsia" w:asciiTheme="minorEastAsia" w:hAnsiTheme="minorEastAsia" w:eastAsiaTheme="minorEastAsia"/>
          <w:b/>
          <w:bCs/>
          <w:color w:val="auto"/>
          <w:sz w:val="24"/>
          <w:highlight w:val="none"/>
        </w:rPr>
        <w:t>实质性响应要求的供应商中，按照报价由低到高的顺序</w:t>
      </w:r>
      <w:r>
        <w:rPr>
          <w:rFonts w:hint="eastAsia" w:asciiTheme="minorEastAsia" w:hAnsiTheme="minorEastAsia" w:eastAsiaTheme="minorEastAsia"/>
          <w:b/>
          <w:bCs/>
          <w:color w:val="auto"/>
          <w:sz w:val="24"/>
          <w:highlight w:val="none"/>
          <w:lang w:val="en-US" w:eastAsia="zh-CN"/>
        </w:rPr>
        <w:t>推荐</w:t>
      </w:r>
      <w:r>
        <w:rPr>
          <w:rFonts w:asciiTheme="minorEastAsia" w:hAnsiTheme="minorEastAsia" w:eastAsiaTheme="minorEastAsia"/>
          <w:b/>
          <w:bCs/>
          <w:color w:val="auto"/>
          <w:sz w:val="24"/>
          <w:highlight w:val="none"/>
        </w:rPr>
        <w:t>3名成交候选人</w:t>
      </w:r>
      <w:r>
        <w:rPr>
          <w:rFonts w:hint="eastAsia" w:asciiTheme="minorEastAsia" w:hAnsiTheme="minorEastAsia" w:eastAsiaTheme="minorEastAsia"/>
          <w:b/>
          <w:bCs/>
          <w:color w:val="auto"/>
          <w:sz w:val="24"/>
          <w:highlight w:val="none"/>
        </w:rPr>
        <w:t>。</w:t>
      </w:r>
    </w:p>
    <w:p w14:paraId="336DEF7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46A7ED9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5A135C0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38A0FB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FC31ED4">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.保密要求</w:t>
      </w:r>
    </w:p>
    <w:p w14:paraId="5A83AC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.1评审应在严格保密的情况下进行。</w:t>
      </w:r>
    </w:p>
    <w:p w14:paraId="4C7F63B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51B77D3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6080B13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未规定的，采取随机抽取的方式确定。</w:t>
      </w:r>
    </w:p>
    <w:p w14:paraId="43E759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宋体" w:hAnsi="宋体" w:eastAsia="宋体"/>
          <w:color w:val="auto"/>
          <w:sz w:val="24"/>
          <w:szCs w:val="18"/>
          <w:highlight w:val="none"/>
        </w:rPr>
        <w:t>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7CFC4BE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245A14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通知书须加盖采购人、</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公章后，方可发出。</w:t>
      </w:r>
    </w:p>
    <w:p w14:paraId="10EED7A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0C532B93">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2576A3D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079BC73">
      <w:pPr>
        <w:spacing w:line="46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22.1在公告成交结果的同时，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13F4E36C">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22.2代理机构对未成交的供应商不做未成交原因的解释</w:t>
      </w:r>
      <w:r>
        <w:rPr>
          <w:rFonts w:asciiTheme="minorEastAsia" w:hAnsiTheme="minorEastAsia" w:eastAsiaTheme="minorEastAsia"/>
          <w:color w:val="auto"/>
          <w:sz w:val="24"/>
          <w:highlight w:val="none"/>
        </w:rPr>
        <w:t>。</w:t>
      </w:r>
    </w:p>
    <w:p w14:paraId="0AEA43C8">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163565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2DD297C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13B2C677">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6FCE695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本项目代理费用的收取按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38CBC63C">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5C71E9C">
      <w:pPr>
        <w:spacing w:line="46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25.1</w:t>
      </w:r>
      <w:r>
        <w:rPr>
          <w:rFonts w:hint="eastAsia" w:ascii="宋体" w:hAnsi="宋体" w:eastAsia="宋体" w:cs="宋体"/>
          <w:b/>
          <w:bCs/>
          <w:color w:val="auto"/>
          <w:sz w:val="24"/>
          <w:szCs w:val="24"/>
          <w:highlight w:val="none"/>
        </w:rPr>
        <w:t>采购人与成交供应商应当</w:t>
      </w:r>
      <w:r>
        <w:rPr>
          <w:rFonts w:hint="eastAsia" w:ascii="宋体" w:hAnsi="宋体" w:eastAsia="宋体" w:cs="宋体"/>
          <w:b/>
          <w:bCs/>
          <w:color w:val="auto"/>
          <w:sz w:val="24"/>
          <w:szCs w:val="24"/>
          <w:highlight w:val="none"/>
          <w:lang w:val="en-US" w:eastAsia="zh-CN"/>
        </w:rPr>
        <w:t>在成交通知书发出之日起30日</w:t>
      </w:r>
      <w:r>
        <w:rPr>
          <w:rFonts w:hint="eastAsia" w:ascii="宋体" w:hAnsi="宋体" w:eastAsia="宋体" w:cs="宋体"/>
          <w:b/>
          <w:bCs/>
          <w:color w:val="auto"/>
          <w:sz w:val="24"/>
          <w:szCs w:val="24"/>
          <w:highlight w:val="none"/>
        </w:rPr>
        <w:t>内完成合同签订。</w:t>
      </w:r>
    </w:p>
    <w:p w14:paraId="5FC446A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、成交供应商的响应文件及其澄清文件等，均为签订合同的依据。</w:t>
      </w:r>
    </w:p>
    <w:p w14:paraId="2138B78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3E6805C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25.4当出现法规规定的成交无效或成交结果无效情形时，采购人可依法与排名下一位的成交候选人另行签订合同，或依法重新开展采购活动。</w:t>
      </w:r>
    </w:p>
    <w:p w14:paraId="70ECC754">
      <w:pPr>
        <w:spacing w:line="460" w:lineRule="exact"/>
        <w:ind w:firstLine="437"/>
        <w:outlineLvl w:val="2"/>
        <w:rPr>
          <w:rFonts w:asciiTheme="minorEastAsia" w:hAnsiTheme="minorEastAsia" w:eastAsiaTheme="minorEastAsia"/>
          <w:b/>
          <w:color w:val="auto"/>
          <w:sz w:val="24"/>
          <w:highlight w:val="none"/>
        </w:rPr>
      </w:pPr>
      <w:bookmarkStart w:id="32" w:name="_Toc2583661"/>
      <w:bookmarkStart w:id="33" w:name="_Toc518923100"/>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2"/>
      <w:bookmarkEnd w:id="33"/>
    </w:p>
    <w:p w14:paraId="5B7BFED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3D163D1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代理机构工作人员不得接受采购人或者供应商组织的宴请、旅游、娱乐，不得收受礼品、现金、有价证券等，不得向采购人或者供应商报销应当由个人承担的费用。</w:t>
      </w:r>
    </w:p>
    <w:p w14:paraId="47C41AA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EE79A3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27.1供应商认为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、采购过程和成交结果使自己的权益受到损害的，可以在知道或者应知其权益受到损害之日起七个工作日内，以书面形式向采购人或其委托的</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提出质疑。</w:t>
      </w:r>
    </w:p>
    <w:p w14:paraId="7BDC566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27.2质疑供应商应按照财政部制定的《政府采购质疑函范本》格式（详见</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058D1C1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41A52F3">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7B3C6E30">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.需要补充的其他内容</w:t>
      </w:r>
    </w:p>
    <w:p w14:paraId="4F93724D">
      <w:pPr>
        <w:spacing w:line="460" w:lineRule="exact"/>
        <w:ind w:firstLine="435"/>
        <w:rPr>
          <w:rFonts w:hint="eastAsia" w:asciiTheme="minorEastAsia" w:hAnsiTheme="minorEastAsia" w:eastAsiaTheme="minorEastAsia"/>
          <w:color w:val="auto"/>
          <w:sz w:val="24"/>
          <w:highlight w:val="none"/>
        </w:rPr>
        <w:sectPr>
          <w:headerReference r:id="rId5" w:type="default"/>
          <w:footerReference r:id="rId6" w:type="default"/>
          <w:pgSz w:w="11905" w:h="16838"/>
          <w:pgMar w:top="1417" w:right="1417" w:bottom="1417" w:left="1417" w:header="851" w:footer="992" w:gutter="0"/>
          <w:pgNumType w:fmt="decimal" w:start="1"/>
          <w:cols w:space="0" w:num="1"/>
          <w:rtlGutter w:val="0"/>
          <w:docGrid w:type="lines" w:linePitch="313" w:charSpace="0"/>
        </w:sect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102392E1">
      <w:pPr>
        <w:spacing w:line="380" w:lineRule="exact"/>
        <w:jc w:val="center"/>
        <w:outlineLvl w:val="0"/>
        <w:rPr>
          <w:rFonts w:asciiTheme="minorEastAsia" w:hAnsiTheme="minorEastAsia" w:eastAsiaTheme="minorEastAsia"/>
          <w:b/>
          <w:color w:val="auto"/>
          <w:sz w:val="28"/>
          <w:highlight w:val="none"/>
        </w:rPr>
      </w:pPr>
      <w:bookmarkStart w:id="34" w:name="_Toc1471"/>
      <w:r>
        <w:rPr>
          <w:rFonts w:hint="eastAsia" w:asciiTheme="minorEastAsia" w:hAnsiTheme="minorEastAsia" w:eastAsiaTheme="minorEastAsia"/>
          <w:b/>
          <w:color w:val="auto"/>
          <w:sz w:val="28"/>
          <w:highlight w:val="none"/>
        </w:rPr>
        <w:t>第三章  采购需求</w:t>
      </w:r>
      <w:bookmarkEnd w:id="34"/>
    </w:p>
    <w:p w14:paraId="176A8898">
      <w:pPr>
        <w:spacing w:line="380" w:lineRule="exact"/>
        <w:ind w:firstLine="437"/>
        <w:outlineLvl w:val="1"/>
        <w:rPr>
          <w:rFonts w:asciiTheme="minorEastAsia" w:hAnsiTheme="minorEastAsia" w:eastAsiaTheme="minorEastAsia"/>
          <w:b/>
          <w:bCs/>
          <w:color w:val="auto"/>
          <w:sz w:val="24"/>
          <w:szCs w:val="18"/>
          <w:highlight w:val="none"/>
        </w:rPr>
      </w:pPr>
      <w:bookmarkStart w:id="35" w:name="_Toc23283"/>
      <w:bookmarkStart w:id="36" w:name="_Toc23627"/>
      <w:r>
        <w:rPr>
          <w:rFonts w:hint="eastAsia" w:asciiTheme="minorEastAsia" w:hAnsiTheme="minorEastAsia" w:eastAsiaTheme="minorEastAsia"/>
          <w:b/>
          <w:color w:val="auto"/>
          <w:sz w:val="24"/>
          <w:szCs w:val="18"/>
          <w:highlight w:val="none"/>
        </w:rPr>
        <w:t>一、</w:t>
      </w:r>
      <w:bookmarkEnd w:id="35"/>
      <w:bookmarkEnd w:id="36"/>
      <w:bookmarkStart w:id="37" w:name="_Toc16847"/>
      <w:bookmarkStart w:id="38" w:name="_Toc30209"/>
      <w:r>
        <w:rPr>
          <w:rFonts w:hint="eastAsia" w:asciiTheme="minorEastAsia" w:hAnsiTheme="minorEastAsia" w:eastAsiaTheme="minorEastAsia"/>
          <w:b/>
          <w:bCs/>
          <w:color w:val="auto"/>
          <w:sz w:val="24"/>
          <w:szCs w:val="18"/>
          <w:highlight w:val="none"/>
        </w:rPr>
        <w:t>货物需求</w:t>
      </w:r>
      <w:bookmarkEnd w:id="37"/>
      <w:bookmarkEnd w:id="38"/>
    </w:p>
    <w:p w14:paraId="67C41F3A">
      <w:pPr>
        <w:spacing w:line="500" w:lineRule="exact"/>
        <w:ind w:firstLine="482" w:firstLineChars="200"/>
        <w:rPr>
          <w:rFonts w:hint="default" w:asciiTheme="minorEastAsia" w:hAnsiTheme="minorEastAsia" w:eastAsiaTheme="minorEastAsia"/>
          <w:b/>
          <w:bCs/>
          <w:color w:val="auto"/>
          <w:sz w:val="24"/>
          <w:highlight w:val="none"/>
          <w:lang w:val="en-US" w:eastAsia="zh-CN"/>
        </w:rPr>
      </w:pPr>
      <w:bookmarkStart w:id="39" w:name="_Toc14176"/>
      <w:bookmarkStart w:id="40" w:name="_Toc16122"/>
      <w:r>
        <w:rPr>
          <w:rFonts w:hint="eastAsia" w:asciiTheme="minorEastAsia" w:hAnsiTheme="minorEastAsia" w:eastAsiaTheme="minorEastAsia"/>
          <w:b/>
          <w:bCs/>
          <w:color w:val="auto"/>
          <w:sz w:val="24"/>
          <w:highlight w:val="none"/>
          <w:lang w:val="en-US" w:eastAsia="zh-CN"/>
        </w:rPr>
        <w:t>数量最终以实际需求为准。详细技术要求见附表。</w:t>
      </w:r>
    </w:p>
    <w:tbl>
      <w:tblPr>
        <w:tblStyle w:val="29"/>
        <w:tblW w:w="91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2"/>
        <w:gridCol w:w="1250"/>
        <w:gridCol w:w="4290"/>
        <w:gridCol w:w="2194"/>
      </w:tblGrid>
      <w:tr w14:paraId="73DA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402" w:type="dxa"/>
            <w:shd w:val="clear" w:color="auto" w:fill="auto"/>
            <w:noWrap/>
            <w:vAlign w:val="center"/>
          </w:tcPr>
          <w:p w14:paraId="2D062F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5540" w:type="dxa"/>
            <w:gridSpan w:val="2"/>
            <w:shd w:val="clear" w:color="auto" w:fill="auto"/>
            <w:noWrap/>
            <w:vAlign w:val="center"/>
          </w:tcPr>
          <w:p w14:paraId="5602D1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试验项目</w:t>
            </w:r>
          </w:p>
        </w:tc>
        <w:tc>
          <w:tcPr>
            <w:tcW w:w="2194" w:type="dxa"/>
            <w:shd w:val="clear" w:color="auto" w:fill="auto"/>
            <w:noWrap/>
            <w:vAlign w:val="center"/>
          </w:tcPr>
          <w:p w14:paraId="0D4B9F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技术要求</w:t>
            </w:r>
          </w:p>
        </w:tc>
      </w:tr>
      <w:tr w14:paraId="625E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restart"/>
            <w:shd w:val="clear" w:color="auto" w:fill="auto"/>
            <w:noWrap/>
            <w:vAlign w:val="center"/>
          </w:tcPr>
          <w:p w14:paraId="6D781A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SBS改性沥青</w:t>
            </w:r>
          </w:p>
        </w:tc>
        <w:tc>
          <w:tcPr>
            <w:tcW w:w="5540" w:type="dxa"/>
            <w:gridSpan w:val="2"/>
            <w:shd w:val="clear" w:color="auto" w:fill="auto"/>
            <w:noWrap/>
            <w:vAlign w:val="center"/>
          </w:tcPr>
          <w:p w14:paraId="2A88F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 xml:space="preserve">针入度25℃，100g ,5s) (0.1mm) </w:t>
            </w:r>
          </w:p>
        </w:tc>
        <w:tc>
          <w:tcPr>
            <w:tcW w:w="2194" w:type="dxa"/>
            <w:shd w:val="clear" w:color="auto" w:fill="auto"/>
            <w:noWrap/>
            <w:vAlign w:val="center"/>
          </w:tcPr>
          <w:p w14:paraId="69FEA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 xml:space="preserve"> 40～60</w:t>
            </w:r>
          </w:p>
        </w:tc>
      </w:tr>
      <w:tr w14:paraId="6367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2283C3F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41D78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针入度指数PI</w:t>
            </w:r>
          </w:p>
        </w:tc>
        <w:tc>
          <w:tcPr>
            <w:tcW w:w="2194" w:type="dxa"/>
            <w:shd w:val="clear" w:color="auto" w:fill="auto"/>
            <w:noWrap/>
            <w:vAlign w:val="center"/>
          </w:tcPr>
          <w:p w14:paraId="3E26B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≥0</w:t>
            </w:r>
          </w:p>
        </w:tc>
      </w:tr>
      <w:tr w14:paraId="6AAF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488A4DA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2C91F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91"/>
                <w:color w:val="auto"/>
                <w:highlight w:val="none"/>
                <w:lang w:val="en-US" w:eastAsia="zh-CN" w:bidi="ar"/>
              </w:rPr>
              <w:t>软化点（R</w:t>
            </w:r>
            <w:r>
              <w:rPr>
                <w:rStyle w:val="86"/>
                <w:color w:val="auto"/>
                <w:highlight w:val="none"/>
                <w:lang w:val="en-US" w:eastAsia="zh-CN" w:bidi="ar"/>
              </w:rPr>
              <w:t>&amp;</w:t>
            </w:r>
            <w:r>
              <w:rPr>
                <w:rStyle w:val="91"/>
                <w:color w:val="auto"/>
                <w:highlight w:val="none"/>
                <w:lang w:val="en-US" w:eastAsia="zh-CN" w:bidi="ar"/>
              </w:rPr>
              <w:t>B）（℃）</w:t>
            </w:r>
          </w:p>
        </w:tc>
        <w:tc>
          <w:tcPr>
            <w:tcW w:w="2194" w:type="dxa"/>
            <w:shd w:val="clear" w:color="auto" w:fill="auto"/>
            <w:noWrap/>
            <w:vAlign w:val="center"/>
          </w:tcPr>
          <w:p w14:paraId="6C2B0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≥70</w:t>
            </w:r>
          </w:p>
        </w:tc>
      </w:tr>
      <w:tr w14:paraId="6F2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657D54B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241F7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91"/>
                <w:color w:val="auto"/>
                <w:highlight w:val="none"/>
                <w:lang w:val="en-US" w:eastAsia="zh-CN" w:bidi="ar"/>
              </w:rPr>
              <w:t>135℃运动粘度（Pa</w:t>
            </w:r>
            <w:r>
              <w:rPr>
                <w:rStyle w:val="86"/>
                <w:color w:val="auto"/>
                <w:highlight w:val="none"/>
                <w:lang w:val="en-US" w:eastAsia="zh-CN" w:bidi="ar"/>
              </w:rPr>
              <w:t>·</w:t>
            </w:r>
            <w:r>
              <w:rPr>
                <w:rStyle w:val="91"/>
                <w:color w:val="auto"/>
                <w:highlight w:val="none"/>
                <w:lang w:val="en-US" w:eastAsia="zh-CN" w:bidi="ar"/>
              </w:rPr>
              <w:t>s）</w:t>
            </w:r>
          </w:p>
        </w:tc>
        <w:tc>
          <w:tcPr>
            <w:tcW w:w="2194" w:type="dxa"/>
            <w:shd w:val="clear" w:color="auto" w:fill="auto"/>
            <w:noWrap/>
            <w:vAlign w:val="center"/>
          </w:tcPr>
          <w:p w14:paraId="5A4E8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≤3</w:t>
            </w:r>
          </w:p>
        </w:tc>
      </w:tr>
      <w:tr w14:paraId="15CC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4CEC153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70D11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延度 5℃，5cm/min (cm)</w:t>
            </w:r>
          </w:p>
        </w:tc>
        <w:tc>
          <w:tcPr>
            <w:tcW w:w="2194" w:type="dxa"/>
            <w:shd w:val="clear" w:color="auto" w:fill="auto"/>
            <w:noWrap/>
            <w:vAlign w:val="center"/>
          </w:tcPr>
          <w:p w14:paraId="07B52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≥20</w:t>
            </w:r>
          </w:p>
        </w:tc>
      </w:tr>
      <w:tr w14:paraId="3D57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6830F55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3ACB9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闪点（℃）</w:t>
            </w:r>
          </w:p>
        </w:tc>
        <w:tc>
          <w:tcPr>
            <w:tcW w:w="2194" w:type="dxa"/>
            <w:shd w:val="clear" w:color="auto" w:fill="auto"/>
            <w:noWrap/>
            <w:vAlign w:val="center"/>
          </w:tcPr>
          <w:p w14:paraId="1CBC6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≥230</w:t>
            </w:r>
          </w:p>
        </w:tc>
      </w:tr>
      <w:tr w14:paraId="7B39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6670FC2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43AAB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溶解度 (%)</w:t>
            </w:r>
          </w:p>
        </w:tc>
        <w:tc>
          <w:tcPr>
            <w:tcW w:w="2194" w:type="dxa"/>
            <w:shd w:val="clear" w:color="auto" w:fill="auto"/>
            <w:noWrap/>
            <w:vAlign w:val="center"/>
          </w:tcPr>
          <w:p w14:paraId="306738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≥99</w:t>
            </w:r>
          </w:p>
        </w:tc>
      </w:tr>
      <w:tr w14:paraId="5CD6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5A69A94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354064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弹性恢复 25℃，(%)</w:t>
            </w:r>
          </w:p>
        </w:tc>
        <w:tc>
          <w:tcPr>
            <w:tcW w:w="2194" w:type="dxa"/>
            <w:shd w:val="clear" w:color="auto" w:fill="auto"/>
            <w:noWrap/>
            <w:vAlign w:val="center"/>
          </w:tcPr>
          <w:p w14:paraId="2D9B8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≥75</w:t>
            </w:r>
          </w:p>
        </w:tc>
      </w:tr>
      <w:tr w14:paraId="7BAC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33A7813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785CA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贮存稳定性离析，48h 软化点差，（℃）</w:t>
            </w:r>
          </w:p>
        </w:tc>
        <w:tc>
          <w:tcPr>
            <w:tcW w:w="2194" w:type="dxa"/>
            <w:shd w:val="clear" w:color="auto" w:fill="auto"/>
            <w:noWrap/>
            <w:vAlign w:val="center"/>
          </w:tcPr>
          <w:p w14:paraId="27612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≤2.5</w:t>
            </w:r>
          </w:p>
        </w:tc>
      </w:tr>
      <w:tr w14:paraId="616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7067C0F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1250" w:type="dxa"/>
            <w:vMerge w:val="restart"/>
            <w:shd w:val="clear" w:color="auto" w:fill="auto"/>
            <w:noWrap/>
            <w:vAlign w:val="center"/>
          </w:tcPr>
          <w:p w14:paraId="0257FE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TFOT 后</w:t>
            </w:r>
          </w:p>
        </w:tc>
        <w:tc>
          <w:tcPr>
            <w:tcW w:w="4290" w:type="dxa"/>
            <w:shd w:val="clear" w:color="auto" w:fill="auto"/>
            <w:noWrap/>
            <w:vAlign w:val="center"/>
          </w:tcPr>
          <w:p w14:paraId="4D699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质量变化， (%)</w:t>
            </w:r>
          </w:p>
        </w:tc>
        <w:tc>
          <w:tcPr>
            <w:tcW w:w="2194" w:type="dxa"/>
            <w:shd w:val="clear" w:color="auto" w:fill="auto"/>
            <w:noWrap/>
            <w:vAlign w:val="center"/>
          </w:tcPr>
          <w:p w14:paraId="52C4AB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91"/>
                <w:color w:val="auto"/>
                <w:highlight w:val="none"/>
                <w:lang w:val="en-US" w:eastAsia="zh-CN" w:bidi="ar"/>
              </w:rPr>
              <w:t>≤</w:t>
            </w:r>
            <w:r>
              <w:rPr>
                <w:rStyle w:val="88"/>
                <w:color w:val="auto"/>
                <w:highlight w:val="none"/>
                <w:lang w:val="en-US" w:eastAsia="zh-CN" w:bidi="ar"/>
              </w:rPr>
              <w:t>±</w:t>
            </w:r>
            <w:r>
              <w:rPr>
                <w:rStyle w:val="91"/>
                <w:color w:val="auto"/>
                <w:highlight w:val="none"/>
                <w:lang w:val="en-US" w:eastAsia="zh-CN" w:bidi="ar"/>
              </w:rPr>
              <w:t>1.0</w:t>
            </w:r>
          </w:p>
        </w:tc>
      </w:tr>
      <w:tr w14:paraId="01FC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3050C74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1250" w:type="dxa"/>
            <w:vMerge w:val="continue"/>
            <w:shd w:val="clear" w:color="auto" w:fill="auto"/>
            <w:noWrap/>
            <w:vAlign w:val="center"/>
          </w:tcPr>
          <w:p w14:paraId="030AFCF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4290" w:type="dxa"/>
            <w:shd w:val="clear" w:color="auto" w:fill="auto"/>
            <w:noWrap/>
            <w:vAlign w:val="center"/>
          </w:tcPr>
          <w:p w14:paraId="3F9B0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 xml:space="preserve">残留针入度比（25℃）（%） </w:t>
            </w:r>
          </w:p>
        </w:tc>
        <w:tc>
          <w:tcPr>
            <w:tcW w:w="2194" w:type="dxa"/>
            <w:shd w:val="clear" w:color="auto" w:fill="auto"/>
            <w:noWrap/>
            <w:vAlign w:val="center"/>
          </w:tcPr>
          <w:p w14:paraId="6D30F8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≥65</w:t>
            </w:r>
          </w:p>
        </w:tc>
      </w:tr>
      <w:tr w14:paraId="0C3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674024B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1250" w:type="dxa"/>
            <w:vMerge w:val="continue"/>
            <w:shd w:val="clear" w:color="auto" w:fill="auto"/>
            <w:noWrap/>
            <w:vAlign w:val="center"/>
          </w:tcPr>
          <w:p w14:paraId="1BC3B56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4290" w:type="dxa"/>
            <w:shd w:val="clear" w:color="auto" w:fill="auto"/>
            <w:noWrap/>
            <w:vAlign w:val="center"/>
          </w:tcPr>
          <w:p w14:paraId="520F81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残留延度(5℃) (cm)</w:t>
            </w:r>
          </w:p>
        </w:tc>
        <w:tc>
          <w:tcPr>
            <w:tcW w:w="2194" w:type="dxa"/>
            <w:shd w:val="clear" w:color="auto" w:fill="auto"/>
            <w:noWrap/>
            <w:vAlign w:val="center"/>
          </w:tcPr>
          <w:p w14:paraId="4B827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等线" w:hAnsi="等线" w:eastAsia="等线" w:cs="等线"/>
                <w:i w:val="0"/>
                <w:iCs w:val="0"/>
                <w:color w:val="auto"/>
                <w:kern w:val="0"/>
                <w:sz w:val="20"/>
                <w:szCs w:val="20"/>
                <w:highlight w:val="none"/>
                <w:u w:val="none"/>
                <w:lang w:val="en-US" w:eastAsia="zh-CN" w:bidi="ar"/>
              </w:rPr>
              <w:t>≥15</w:t>
            </w:r>
          </w:p>
        </w:tc>
      </w:tr>
      <w:tr w14:paraId="1AB4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402" w:type="dxa"/>
            <w:vMerge w:val="continue"/>
            <w:shd w:val="clear" w:color="auto" w:fill="auto"/>
            <w:noWrap/>
            <w:vAlign w:val="center"/>
          </w:tcPr>
          <w:p w14:paraId="76A7EAB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u w:val="none"/>
              </w:rPr>
            </w:pPr>
          </w:p>
        </w:tc>
        <w:tc>
          <w:tcPr>
            <w:tcW w:w="5540" w:type="dxa"/>
            <w:gridSpan w:val="2"/>
            <w:shd w:val="clear" w:color="auto" w:fill="auto"/>
            <w:noWrap/>
            <w:vAlign w:val="center"/>
          </w:tcPr>
          <w:p w14:paraId="08336A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SHRP 性能等级 </w:t>
            </w:r>
          </w:p>
        </w:tc>
        <w:tc>
          <w:tcPr>
            <w:tcW w:w="2194" w:type="dxa"/>
            <w:shd w:val="clear" w:color="auto" w:fill="auto"/>
            <w:noWrap/>
            <w:vAlign w:val="center"/>
          </w:tcPr>
          <w:p w14:paraId="367410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PG76-22</w:t>
            </w:r>
          </w:p>
        </w:tc>
      </w:tr>
    </w:tbl>
    <w:p w14:paraId="72F61A0A">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注：上述货物采购供货前须经采购人确认，如不满足要求，须按采购人要求进行调整。</w:t>
      </w:r>
    </w:p>
    <w:p w14:paraId="25B747AA">
      <w:pPr>
        <w:spacing w:line="380" w:lineRule="exact"/>
        <w:ind w:firstLine="482" w:firstLineChars="200"/>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二</w:t>
      </w:r>
      <w:r>
        <w:rPr>
          <w:rFonts w:hint="eastAsia" w:asciiTheme="minorEastAsia" w:hAnsiTheme="minorEastAsia" w:eastAsiaTheme="minorEastAsia"/>
          <w:b/>
          <w:bCs/>
          <w:color w:val="auto"/>
          <w:sz w:val="24"/>
          <w:szCs w:val="18"/>
          <w:highlight w:val="none"/>
        </w:rPr>
        <w:t>、报价要求</w:t>
      </w:r>
      <w:bookmarkEnd w:id="39"/>
      <w:bookmarkEnd w:id="40"/>
    </w:p>
    <w:p w14:paraId="789EE8D8">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1、本项目分为基质沥青费用和改性费用，共两部分费用。</w:t>
      </w:r>
    </w:p>
    <w:p w14:paraId="0635D71A">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基质沥青费用采用固定价差报价，供应商所报价格</w:t>
      </w:r>
      <w:r>
        <w:rPr>
          <w:rFonts w:hint="eastAsia" w:ascii="仿宋" w:hAnsi="仿宋" w:eastAsia="仿宋" w:cs="Times New Roman"/>
          <w:color w:val="auto"/>
          <w:kern w:val="0"/>
          <w:sz w:val="28"/>
          <w:szCs w:val="28"/>
          <w:highlight w:val="none"/>
          <w:u w:color="000000"/>
          <w:lang w:val="en-US" w:eastAsia="zh-CN"/>
        </w:rPr>
        <w:t>不得</w:t>
      </w:r>
      <w:r>
        <w:rPr>
          <w:rFonts w:hint="eastAsia" w:ascii="仿宋" w:hAnsi="仿宋" w:eastAsia="仿宋" w:cs="Times New Roman"/>
          <w:b/>
          <w:bCs/>
          <w:color w:val="auto"/>
          <w:kern w:val="0"/>
          <w:sz w:val="28"/>
          <w:szCs w:val="28"/>
          <w:highlight w:val="none"/>
          <w:u w:color="000000"/>
          <w:lang w:val="en-US" w:eastAsia="zh-CN"/>
        </w:rPr>
        <w:t>高于本项目询价文件发布当日</w:t>
      </w:r>
      <w:r>
        <w:rPr>
          <w:rFonts w:hint="eastAsia" w:ascii="仿宋" w:hAnsi="仿宋" w:eastAsia="仿宋" w:cs="Times New Roman"/>
          <w:color w:val="auto"/>
          <w:kern w:val="0"/>
          <w:sz w:val="28"/>
          <w:szCs w:val="28"/>
          <w:highlight w:val="none"/>
          <w:u w:color="000000"/>
          <w:lang w:val="en-US" w:eastAsia="zh-CN"/>
        </w:rPr>
        <w:t>“百川盈孚网https://www.baiinfo.com/”国内炼厂重交沥青出厂价格中金陵石化70#汽运挂牌价</w:t>
      </w:r>
      <w:r>
        <w:rPr>
          <w:rFonts w:hint="eastAsia" w:asciiTheme="minorEastAsia" w:hAnsiTheme="minorEastAsia" w:eastAsiaTheme="minorEastAsia"/>
          <w:color w:val="auto"/>
          <w:sz w:val="24"/>
          <w:highlight w:val="none"/>
          <w:lang w:val="en-US" w:eastAsia="zh-CN"/>
        </w:rPr>
        <w:t>，否则，其响应文件按无效响应处理。</w:t>
      </w:r>
    </w:p>
    <w:p w14:paraId="4E22C6B0">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改性费用采用单价报价，供应商所报单价不得高于850元/吨，否则，其响应文件按无效响应处理。</w:t>
      </w:r>
    </w:p>
    <w:p w14:paraId="006F0770">
      <w:pPr>
        <w:numPr>
          <w:ilvl w:val="0"/>
          <w:numId w:val="0"/>
        </w:numPr>
        <w:spacing w:line="500" w:lineRule="exact"/>
        <w:ind w:firstLine="480" w:firstLineChars="200"/>
        <w:rPr>
          <w:rFonts w:hint="default"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kern w:val="2"/>
          <w:sz w:val="24"/>
          <w:highlight w:val="none"/>
          <w:lang w:val="en-US" w:eastAsia="zh-CN" w:bidi="ar-SA"/>
        </w:rPr>
        <w:t>2、</w:t>
      </w:r>
      <w:r>
        <w:rPr>
          <w:rFonts w:hint="eastAsia" w:asciiTheme="minorEastAsia" w:hAnsiTheme="minorEastAsia" w:eastAsiaTheme="minorEastAsia"/>
          <w:color w:val="auto"/>
          <w:sz w:val="24"/>
          <w:highlight w:val="none"/>
        </w:rPr>
        <w:t>供应商根据采购需求要求进行报价，本项目为固定单价项目，供应商可自行踏勘现场充分考虑报价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合同履行期间基质沥青成交固定价差和改性费用单价不作调整。</w:t>
      </w:r>
    </w:p>
    <w:p w14:paraId="789B2A29">
      <w:pPr>
        <w:numPr>
          <w:ilvl w:val="0"/>
          <w:numId w:val="0"/>
        </w:numPr>
        <w:spacing w:line="5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基质沥青费用</w:t>
      </w:r>
      <w:r>
        <w:rPr>
          <w:rFonts w:hint="eastAsia" w:asciiTheme="minorEastAsia" w:hAnsiTheme="minorEastAsia" w:eastAsiaTheme="minorEastAsia"/>
          <w:color w:val="auto"/>
          <w:sz w:val="24"/>
          <w:highlight w:val="none"/>
        </w:rPr>
        <w:t>包括</w:t>
      </w:r>
      <w:r>
        <w:rPr>
          <w:rFonts w:hint="eastAsia" w:ascii="宋体" w:hAnsi="宋体" w:eastAsia="宋体" w:cs="宋体"/>
          <w:color w:val="auto"/>
          <w:sz w:val="24"/>
          <w:szCs w:val="24"/>
          <w:highlight w:val="none"/>
        </w:rPr>
        <w:t>货物、</w:t>
      </w:r>
      <w:r>
        <w:rPr>
          <w:rFonts w:hint="eastAsia" w:asciiTheme="minorEastAsia" w:hAnsiTheme="minorEastAsia" w:eastAsiaTheme="minorEastAsia"/>
          <w:color w:val="auto"/>
          <w:sz w:val="24"/>
          <w:highlight w:val="none"/>
          <w:lang w:val="en-US" w:eastAsia="zh-CN"/>
        </w:rPr>
        <w:t>出库、检验、包装、运输、保险、税金、利润及一切与保证货物完整性相关的全部费用</w:t>
      </w:r>
      <w:r>
        <w:rPr>
          <w:rFonts w:hint="eastAsia" w:asciiTheme="minorEastAsia" w:hAnsiTheme="minorEastAsia" w:eastAsiaTheme="minorEastAsia"/>
          <w:color w:val="auto"/>
          <w:sz w:val="24"/>
          <w:highlight w:val="none"/>
        </w:rPr>
        <w:t>，采购人不再为此项目支付任何费用，价格今后将不作任何调增。</w:t>
      </w:r>
    </w:p>
    <w:p w14:paraId="7F7C3DDC">
      <w:pPr>
        <w:numPr>
          <w:ilvl w:val="0"/>
          <w:numId w:val="0"/>
        </w:num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改性费用包括改性剂、人工费、工艺费、出库、检验、包装、运输、保险、税金、利润及一切与保证货物完整性相关的全部费用，</w:t>
      </w:r>
      <w:r>
        <w:rPr>
          <w:rFonts w:hint="eastAsia" w:asciiTheme="minorEastAsia" w:hAnsiTheme="minorEastAsia" w:eastAsiaTheme="minorEastAsia"/>
          <w:color w:val="auto"/>
          <w:sz w:val="24"/>
          <w:highlight w:val="none"/>
        </w:rPr>
        <w:t>采购人不再为此项目支付任何费用，价格今后将不作任何调增</w:t>
      </w:r>
      <w:r>
        <w:rPr>
          <w:rFonts w:hint="eastAsia" w:asciiTheme="minorEastAsia" w:hAnsiTheme="minorEastAsia" w:eastAsiaTheme="minorEastAsia"/>
          <w:color w:val="auto"/>
          <w:sz w:val="24"/>
          <w:highlight w:val="none"/>
          <w:lang w:eastAsia="zh-CN"/>
        </w:rPr>
        <w:t>。</w:t>
      </w:r>
    </w:p>
    <w:p w14:paraId="0D9BAE8E">
      <w:pPr>
        <w:spacing w:line="500" w:lineRule="exact"/>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bidi="ar-SA"/>
        </w:rPr>
        <w:t>3</w:t>
      </w:r>
      <w:r>
        <w:rPr>
          <w:rFonts w:cs="@仿宋_GB2312" w:asciiTheme="minorEastAsia" w:hAnsiTheme="minorEastAsia" w:eastAsiaTheme="minorEastAsia"/>
          <w:color w:val="auto"/>
          <w:kern w:val="2"/>
          <w:sz w:val="24"/>
          <w:highlight w:val="none"/>
          <w:lang w:val="en-US" w:eastAsia="zh-CN" w:bidi="ar-SA"/>
        </w:rPr>
        <w:t>、</w:t>
      </w:r>
      <w:r>
        <w:rPr>
          <w:rFonts w:hint="eastAsia" w:asciiTheme="minorEastAsia" w:hAnsiTheme="minorEastAsia" w:eastAsiaTheme="minorEastAsia"/>
          <w:color w:val="auto"/>
          <w:sz w:val="24"/>
          <w:highlight w:val="none"/>
        </w:rPr>
        <w:t>供应商所报价格包含安全完成本项目所需全部费用，实施过程中如发生安全事故等情形，由成交供应商承担全部责任。</w:t>
      </w:r>
    </w:p>
    <w:p w14:paraId="1C478D69">
      <w:pPr>
        <w:spacing w:line="50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三、相关要求</w:t>
      </w:r>
    </w:p>
    <w:p w14:paraId="5FE20CDF">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运输过程中要按国家标准包装、覆盖，做到无抛洒、无遗漏，不污染环境，货物交付施工单位前所发生的一切风险、责任及费用均由供货商承担。具体供货日期根据工程进展情况由业主确定，无论供货日期提前或滞后，各类别沥青结算单价均不作调整。</w:t>
      </w:r>
    </w:p>
    <w:p w14:paraId="34C38336">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2、施工过程中若发现改性沥青在沥青拌合站或前场施工碾压后发现有弹性改性剂，因供货商加工过程中由于各种原因出现的上述现象，发现一次将处50万元违约金。</w:t>
      </w:r>
    </w:p>
    <w:p w14:paraId="4B511476">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四、费用结算</w:t>
      </w:r>
    </w:p>
    <w:p w14:paraId="5C97BAE8">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货到付款，以当日验收数量 * 单价进行结算。货到场地经验收合格后第二日内，供应商按照结算单开具等额的增值税专用发票（税率：13%），采购人以银行转账支付货款。</w:t>
      </w:r>
    </w:p>
    <w:p w14:paraId="7F9079E8">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固定价差即本项目询价文件发布当日网价 - 所报</w:t>
      </w: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价格 = 固定价差。</w:t>
      </w:r>
      <w:r>
        <w:rPr>
          <w:rFonts w:hint="eastAsia" w:asciiTheme="minorEastAsia" w:hAnsiTheme="minorEastAsia" w:eastAsiaTheme="minorEastAsia"/>
          <w:b/>
          <w:color w:val="auto"/>
          <w:sz w:val="24"/>
          <w:highlight w:val="none"/>
          <w:lang w:val="en-US" w:eastAsia="zh-CN"/>
        </w:rPr>
        <w:t>履约过程中基质沥青单价确认原则为供货当日网价-基质沥青固定价差即为当日基质沥青供货价</w:t>
      </w:r>
      <w:r>
        <w:rPr>
          <w:rFonts w:hint="eastAsia" w:asciiTheme="minorEastAsia" w:hAnsiTheme="minorEastAsia" w:eastAsiaTheme="minorEastAsia"/>
          <w:b/>
          <w:color w:val="auto"/>
          <w:sz w:val="24"/>
          <w:highlight w:val="none"/>
          <w:lang w:val="en-US" w:eastAsia="zh-CN"/>
        </w:rPr>
        <w:t>。</w:t>
      </w:r>
    </w:p>
    <w:p w14:paraId="515D4821">
      <w:pPr>
        <w:spacing w:line="460" w:lineRule="exact"/>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基质沥青</w:t>
      </w:r>
      <w:r>
        <w:rPr>
          <w:rFonts w:hint="eastAsia" w:asciiTheme="minorEastAsia" w:hAnsiTheme="minorEastAsia" w:eastAsiaTheme="minorEastAsia"/>
          <w:b/>
          <w:color w:val="auto"/>
          <w:sz w:val="24"/>
          <w:highlight w:val="none"/>
          <w:lang w:val="en-US" w:eastAsia="zh-CN"/>
        </w:rPr>
        <w:t>固定价差、改性费用单价一经确定，整个履约过程中不在进行调整</w:t>
      </w:r>
      <w:r>
        <w:rPr>
          <w:rFonts w:hint="eastAsia" w:asciiTheme="minorEastAsia" w:hAnsiTheme="minorEastAsia" w:eastAsiaTheme="minorEastAsia"/>
          <w:b/>
          <w:color w:val="auto"/>
          <w:sz w:val="24"/>
          <w:highlight w:val="none"/>
          <w:lang w:val="en-US" w:eastAsia="zh-CN"/>
        </w:rPr>
        <w:t>。</w:t>
      </w:r>
    </w:p>
    <w:p w14:paraId="64DC499F">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合同履约中单价确认原则：基质沥青参照出厂日期当天“百川盈孚网https://www.baiinfo.com/”国内炼厂重交沥青出厂价格中江苏金陵石化70#沥青汽运挂牌价 - 基质沥青固定价差 + 成交改性费用。如出厂当天未公布最新价格，则以出厂当天最近的日期公布的上述价格作为基数。</w:t>
      </w:r>
    </w:p>
    <w:p w14:paraId="77D9704D">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举例说明如下（仅为举例计算过程）：</w:t>
      </w:r>
    </w:p>
    <w:p w14:paraId="56B595B3">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某批次货物出厂当天“百川盈孚网https://www.baiinfo.com/”国内炼厂重交沥青出厂价格中江苏金陵石化70#沥青汽运挂牌价为5000元/吨。</w:t>
      </w:r>
    </w:p>
    <w:p w14:paraId="395B7065">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成交供应商基质沥青成交固定价差为300元/吨，改性费用成交单价为 500元/吨，则该批次货物的结算单价为：5000 - 300 + 500 = 5200元/吨。</w:t>
      </w:r>
    </w:p>
    <w:p w14:paraId="0EA6A83A">
      <w:pPr>
        <w:pStyle w:val="11"/>
        <w:spacing w:after="0" w:line="500" w:lineRule="exact"/>
        <w:ind w:firstLine="480" w:firstLineChars="200"/>
        <w:jc w:val="left"/>
        <w:rPr>
          <w:rFonts w:hint="eastAsia" w:cs="@仿宋_GB2312" w:asciiTheme="minorEastAsia" w:hAnsiTheme="minorEastAsia" w:eastAsiaTheme="minorEastAsia"/>
          <w:color w:val="auto"/>
          <w:sz w:val="24"/>
          <w:szCs w:val="20"/>
          <w:highlight w:val="none"/>
          <w:lang w:val="en-US"/>
        </w:rPr>
        <w:sectPr>
          <w:pgSz w:w="11905" w:h="16838"/>
          <w:pgMar w:top="1417" w:right="1417" w:bottom="1417" w:left="1417" w:header="851" w:footer="992" w:gutter="0"/>
          <w:pgNumType w:fmt="decimal"/>
          <w:cols w:space="0" w:num="1"/>
          <w:rtlGutter w:val="0"/>
          <w:docGrid w:type="lines" w:linePitch="313" w:charSpace="0"/>
        </w:sectPr>
      </w:pPr>
    </w:p>
    <w:p w14:paraId="7471BDBF">
      <w:pPr>
        <w:spacing w:line="360" w:lineRule="auto"/>
        <w:jc w:val="center"/>
        <w:rPr>
          <w:rFonts w:asciiTheme="minorEastAsia" w:hAnsiTheme="minorEastAsia" w:eastAsiaTheme="minorEastAsia"/>
          <w:b/>
          <w:color w:val="auto"/>
          <w:sz w:val="28"/>
          <w:highlight w:val="none"/>
        </w:rPr>
      </w:pPr>
      <w:bookmarkStart w:id="41" w:name="_Toc15765"/>
      <w:r>
        <w:rPr>
          <w:rFonts w:hint="eastAsia" w:asciiTheme="minorEastAsia" w:hAnsiTheme="minorEastAsia" w:eastAsiaTheme="minorEastAsia"/>
          <w:b/>
          <w:color w:val="auto"/>
          <w:sz w:val="28"/>
          <w:highlight w:val="none"/>
        </w:rPr>
        <w:t>第四章  评审方法和标准</w:t>
      </w:r>
      <w:bookmarkEnd w:id="41"/>
    </w:p>
    <w:p w14:paraId="115BA2E1">
      <w:pPr>
        <w:spacing w:line="360" w:lineRule="auto"/>
        <w:ind w:firstLine="437"/>
        <w:outlineLvl w:val="1"/>
        <w:rPr>
          <w:rFonts w:asciiTheme="minorEastAsia" w:hAnsiTheme="minorEastAsia" w:eastAsiaTheme="minorEastAsia"/>
          <w:b/>
          <w:color w:val="auto"/>
          <w:sz w:val="24"/>
          <w:highlight w:val="none"/>
        </w:rPr>
      </w:pPr>
      <w:bookmarkStart w:id="42" w:name="_Toc11117"/>
      <w:bookmarkStart w:id="43" w:name="_Toc1221"/>
      <w:r>
        <w:rPr>
          <w:rFonts w:hint="eastAsia" w:asciiTheme="minorEastAsia" w:hAnsiTheme="minorEastAsia" w:eastAsiaTheme="minorEastAsia"/>
          <w:b/>
          <w:color w:val="auto"/>
          <w:sz w:val="24"/>
          <w:highlight w:val="none"/>
        </w:rPr>
        <w:t>一、总则</w:t>
      </w:r>
      <w:bookmarkEnd w:id="42"/>
      <w:bookmarkEnd w:id="43"/>
    </w:p>
    <w:p w14:paraId="3D04CF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7F8783D6">
      <w:pPr>
        <w:spacing w:line="360" w:lineRule="auto"/>
        <w:ind w:firstLine="437"/>
        <w:outlineLvl w:val="1"/>
        <w:rPr>
          <w:rFonts w:asciiTheme="minorEastAsia" w:hAnsiTheme="minorEastAsia" w:eastAsiaTheme="minorEastAsia"/>
          <w:b/>
          <w:color w:val="auto"/>
          <w:sz w:val="24"/>
          <w:highlight w:val="none"/>
        </w:rPr>
      </w:pPr>
      <w:bookmarkStart w:id="44" w:name="_Toc20555"/>
      <w:bookmarkStart w:id="45" w:name="_Toc21906"/>
      <w:r>
        <w:rPr>
          <w:rFonts w:hint="eastAsia" w:asciiTheme="minorEastAsia" w:hAnsiTheme="minorEastAsia" w:eastAsiaTheme="minorEastAsia"/>
          <w:b/>
          <w:color w:val="auto"/>
          <w:sz w:val="24"/>
          <w:highlight w:val="none"/>
        </w:rPr>
        <w:t>二、评审方法</w:t>
      </w:r>
      <w:bookmarkEnd w:id="44"/>
      <w:bookmarkEnd w:id="45"/>
    </w:p>
    <w:p w14:paraId="46526201">
      <w:pPr>
        <w:spacing w:line="360" w:lineRule="auto"/>
        <w:ind w:firstLine="435"/>
        <w:rPr>
          <w:rFonts w:asciiTheme="minorEastAsia" w:hAnsiTheme="minorEastAsia" w:eastAsiaTheme="minorEastAsia"/>
          <w:color w:val="auto"/>
          <w:sz w:val="24"/>
          <w:highlight w:val="none"/>
        </w:rPr>
      </w:pPr>
      <w:bookmarkStart w:id="46" w:name="_Hlk23204339"/>
      <w:r>
        <w:rPr>
          <w:rFonts w:hint="eastAsia" w:asciiTheme="minorEastAsia" w:hAnsiTheme="minorEastAsia" w:eastAsiaTheme="minorEastAsia"/>
          <w:color w:val="auto"/>
          <w:sz w:val="24"/>
          <w:highlight w:val="none"/>
        </w:rPr>
        <w:t>询价小组对通过供应商的响应文件进行评审，以确定其是否满足</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的实质性要求。评审表如下：</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77"/>
        <w:gridCol w:w="4894"/>
        <w:gridCol w:w="2205"/>
      </w:tblGrid>
      <w:tr w14:paraId="19A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E10A5E">
            <w:pPr>
              <w:adjustRightInd w:val="0"/>
              <w:snapToGrid w:val="0"/>
              <w:spacing w:line="360" w:lineRule="auto"/>
              <w:ind w:right="-10"/>
              <w:jc w:val="center"/>
              <w:rPr>
                <w:rFonts w:asciiTheme="minorEastAsia" w:hAnsiTheme="minorEastAsia" w:eastAsiaTheme="minorEastAsia"/>
                <w:color w:val="auto"/>
                <w:sz w:val="24"/>
                <w:highlight w:val="none"/>
              </w:rPr>
            </w:pPr>
            <w:bookmarkStart w:id="47" w:name="_Hlk60605773"/>
            <w:r>
              <w:rPr>
                <w:rFonts w:hint="eastAsia" w:asciiTheme="minorEastAsia" w:hAnsiTheme="minorEastAsia" w:eastAsiaTheme="minorEastAsia"/>
                <w:b/>
                <w:color w:val="auto"/>
                <w:sz w:val="24"/>
                <w:szCs w:val="22"/>
                <w:highlight w:val="none"/>
              </w:rPr>
              <w:t>评审表</w:t>
            </w:r>
          </w:p>
        </w:tc>
      </w:tr>
      <w:tr w14:paraId="3EF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bottom w:val="single" w:color="auto" w:sz="4" w:space="0"/>
            </w:tcBorders>
            <w:vAlign w:val="center"/>
          </w:tcPr>
          <w:p w14:paraId="26EB8E2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795" w:type="pct"/>
            <w:tcBorders>
              <w:bottom w:val="single" w:color="auto" w:sz="4" w:space="0"/>
            </w:tcBorders>
            <w:vAlign w:val="center"/>
          </w:tcPr>
          <w:p w14:paraId="64F352CA">
            <w:pPr>
              <w:pStyle w:val="49"/>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rPr>
              <w:t>审查指标</w:t>
            </w:r>
          </w:p>
        </w:tc>
        <w:tc>
          <w:tcPr>
            <w:tcW w:w="2635" w:type="pct"/>
            <w:tcBorders>
              <w:bottom w:val="single" w:color="auto" w:sz="4" w:space="0"/>
            </w:tcBorders>
            <w:vAlign w:val="center"/>
          </w:tcPr>
          <w:p w14:paraId="57962351">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审查标准</w:t>
            </w:r>
          </w:p>
        </w:tc>
        <w:tc>
          <w:tcPr>
            <w:tcW w:w="1184" w:type="pct"/>
            <w:tcBorders>
              <w:bottom w:val="single" w:color="auto" w:sz="4" w:space="0"/>
            </w:tcBorders>
            <w:vAlign w:val="center"/>
          </w:tcPr>
          <w:p w14:paraId="2F6ECB0C">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60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83" w:type="pct"/>
            <w:tcBorders>
              <w:bottom w:val="single" w:color="auto" w:sz="4" w:space="0"/>
            </w:tcBorders>
            <w:vAlign w:val="center"/>
          </w:tcPr>
          <w:p w14:paraId="37538FC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795" w:type="pct"/>
            <w:tcBorders>
              <w:bottom w:val="single" w:color="auto" w:sz="4" w:space="0"/>
            </w:tcBorders>
            <w:vAlign w:val="center"/>
          </w:tcPr>
          <w:p w14:paraId="0A59D3F0">
            <w:pPr>
              <w:spacing w:after="50" w:line="360" w:lineRule="auto"/>
              <w:ind w:right="-1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35" w:type="pct"/>
            <w:tcBorders>
              <w:bottom w:val="single" w:color="auto" w:sz="4" w:space="0"/>
            </w:tcBorders>
            <w:vAlign w:val="center"/>
          </w:tcPr>
          <w:p w14:paraId="7395EF70">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10F56458">
            <w:pPr>
              <w:spacing w:after="50" w:line="360" w:lineRule="auto"/>
              <w:ind w:right="-1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tc>
        <w:tc>
          <w:tcPr>
            <w:tcW w:w="1184" w:type="pct"/>
            <w:vAlign w:val="center"/>
          </w:tcPr>
          <w:p w14:paraId="20FA4BAA">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63C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bottom w:val="single" w:color="auto" w:sz="4" w:space="0"/>
            </w:tcBorders>
            <w:vAlign w:val="center"/>
          </w:tcPr>
          <w:p w14:paraId="74AE64C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w:t>
            </w:r>
          </w:p>
        </w:tc>
        <w:tc>
          <w:tcPr>
            <w:tcW w:w="795" w:type="pct"/>
            <w:tcBorders>
              <w:bottom w:val="single" w:color="auto" w:sz="4" w:space="0"/>
            </w:tcBorders>
            <w:vAlign w:val="center"/>
          </w:tcPr>
          <w:p w14:paraId="113DC98D">
            <w:pPr>
              <w:spacing w:after="50" w:line="360" w:lineRule="auto"/>
              <w:ind w:right="-1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rPr>
              <w:t>供应商资格声明书</w:t>
            </w:r>
          </w:p>
        </w:tc>
        <w:tc>
          <w:tcPr>
            <w:tcW w:w="2635" w:type="pct"/>
            <w:tcBorders>
              <w:bottom w:val="single" w:color="auto" w:sz="4" w:space="0"/>
            </w:tcBorders>
            <w:vAlign w:val="center"/>
          </w:tcPr>
          <w:p w14:paraId="3556B68B">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询价采购文件</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184" w:type="pct"/>
            <w:tcBorders>
              <w:bottom w:val="single" w:color="auto" w:sz="4" w:space="0"/>
            </w:tcBorders>
            <w:vAlign w:val="center"/>
          </w:tcPr>
          <w:p w14:paraId="0DA2EC65">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B3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5AB73BC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ajorEastAsia" w:hAnsiTheme="majorEastAsia" w:eastAsiaTheme="majorEastAsia"/>
                <w:color w:val="auto"/>
                <w:sz w:val="24"/>
                <w:highlight w:val="none"/>
                <w:lang w:val="en-US" w:eastAsia="zh-CN"/>
              </w:rPr>
              <w:t>3</w:t>
            </w:r>
          </w:p>
        </w:tc>
        <w:tc>
          <w:tcPr>
            <w:tcW w:w="795" w:type="pct"/>
            <w:vAlign w:val="center"/>
          </w:tcPr>
          <w:p w14:paraId="37C5B15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响应函</w:t>
            </w:r>
          </w:p>
        </w:tc>
        <w:tc>
          <w:tcPr>
            <w:tcW w:w="2635" w:type="pct"/>
            <w:vAlign w:val="center"/>
          </w:tcPr>
          <w:p w14:paraId="64FACFB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184" w:type="pct"/>
            <w:vAlign w:val="center"/>
          </w:tcPr>
          <w:p w14:paraId="5782970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A9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68E58C7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4</w:t>
            </w:r>
          </w:p>
        </w:tc>
        <w:tc>
          <w:tcPr>
            <w:tcW w:w="795" w:type="pct"/>
            <w:vAlign w:val="center"/>
          </w:tcPr>
          <w:p w14:paraId="1E74B5D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635" w:type="pct"/>
            <w:vAlign w:val="center"/>
          </w:tcPr>
          <w:p w14:paraId="45B1F14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184" w:type="pct"/>
            <w:vAlign w:val="center"/>
          </w:tcPr>
          <w:p w14:paraId="041CA80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法定代表人参加询价的无需此件，提供身份证明即可。</w:t>
            </w:r>
            <w:r>
              <w:rPr>
                <w:rFonts w:hint="eastAsia" w:ascii="宋体" w:hAnsi="宋体" w:eastAsia="宋体"/>
                <w:color w:val="auto"/>
                <w:sz w:val="24"/>
                <w:highlight w:val="none"/>
              </w:rPr>
              <w:t>详见第六章响应文件格式。</w:t>
            </w:r>
          </w:p>
        </w:tc>
      </w:tr>
      <w:tr w14:paraId="38F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249E27C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5</w:t>
            </w:r>
          </w:p>
        </w:tc>
        <w:tc>
          <w:tcPr>
            <w:tcW w:w="795" w:type="pct"/>
            <w:vAlign w:val="center"/>
          </w:tcPr>
          <w:p w14:paraId="40C6F7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635" w:type="pct"/>
            <w:vAlign w:val="center"/>
          </w:tcPr>
          <w:p w14:paraId="28C05958">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供应商须知正文第9条要求</w:t>
            </w:r>
          </w:p>
        </w:tc>
        <w:tc>
          <w:tcPr>
            <w:tcW w:w="1184" w:type="pct"/>
            <w:vAlign w:val="center"/>
          </w:tcPr>
          <w:p w14:paraId="4C82B6D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4A1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43C99ED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6</w:t>
            </w:r>
          </w:p>
        </w:tc>
        <w:tc>
          <w:tcPr>
            <w:tcW w:w="795" w:type="pct"/>
            <w:vAlign w:val="center"/>
          </w:tcPr>
          <w:p w14:paraId="69FB34E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635" w:type="pct"/>
            <w:vAlign w:val="center"/>
          </w:tcPr>
          <w:p w14:paraId="561A6EC8">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采购需求中对付款方式、供货期限、供货地点</w:t>
            </w:r>
            <w:r>
              <w:rPr>
                <w:rFonts w:hint="eastAsia" w:asciiTheme="minorEastAsia" w:hAnsiTheme="minorEastAsia" w:eastAsiaTheme="minorEastAsia"/>
                <w:color w:val="auto"/>
                <w:sz w:val="24"/>
                <w:szCs w:val="28"/>
                <w:highlight w:val="none"/>
                <w:lang w:eastAsia="zh-CN"/>
              </w:rPr>
              <w:t>、</w:t>
            </w:r>
            <w:r>
              <w:rPr>
                <w:rFonts w:hint="eastAsia" w:asciiTheme="minorEastAsia" w:hAnsiTheme="minorEastAsia" w:eastAsiaTheme="minorEastAsia"/>
                <w:color w:val="auto"/>
                <w:sz w:val="24"/>
                <w:szCs w:val="28"/>
                <w:highlight w:val="none"/>
                <w:lang w:val="en-US" w:eastAsia="zh-CN"/>
              </w:rPr>
              <w:t>质保期</w:t>
            </w:r>
            <w:r>
              <w:rPr>
                <w:rFonts w:hint="eastAsia" w:asciiTheme="minorEastAsia" w:hAnsiTheme="minorEastAsia" w:eastAsiaTheme="minorEastAsia"/>
                <w:color w:val="auto"/>
                <w:sz w:val="24"/>
                <w:szCs w:val="28"/>
                <w:highlight w:val="none"/>
              </w:rPr>
              <w:t>等实质性要求</w:t>
            </w:r>
          </w:p>
        </w:tc>
        <w:tc>
          <w:tcPr>
            <w:tcW w:w="1184" w:type="pct"/>
            <w:vAlign w:val="center"/>
          </w:tcPr>
          <w:p w14:paraId="749B2E11">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DA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18B9C8E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7</w:t>
            </w:r>
          </w:p>
        </w:tc>
        <w:tc>
          <w:tcPr>
            <w:tcW w:w="795" w:type="pct"/>
            <w:vAlign w:val="center"/>
          </w:tcPr>
          <w:p w14:paraId="219A00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635" w:type="pct"/>
            <w:vAlign w:val="center"/>
          </w:tcPr>
          <w:p w14:paraId="2881E795">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采购需求中货物技术参数等实质性要求</w:t>
            </w:r>
          </w:p>
        </w:tc>
        <w:tc>
          <w:tcPr>
            <w:tcW w:w="1184" w:type="pct"/>
            <w:vAlign w:val="center"/>
          </w:tcPr>
          <w:p w14:paraId="4BA981E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5C6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631110A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8</w:t>
            </w:r>
          </w:p>
        </w:tc>
        <w:tc>
          <w:tcPr>
            <w:tcW w:w="795" w:type="pct"/>
            <w:vAlign w:val="center"/>
          </w:tcPr>
          <w:p w14:paraId="1125E07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635" w:type="pct"/>
            <w:vAlign w:val="center"/>
          </w:tcPr>
          <w:p w14:paraId="4D4EC6FD">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列明的其他实质性要求</w:t>
            </w:r>
          </w:p>
        </w:tc>
        <w:tc>
          <w:tcPr>
            <w:tcW w:w="1184" w:type="pct"/>
            <w:vAlign w:val="center"/>
          </w:tcPr>
          <w:p w14:paraId="199D307C">
            <w:pPr>
              <w:adjustRightInd w:val="0"/>
              <w:snapToGrid w:val="0"/>
              <w:spacing w:line="360" w:lineRule="auto"/>
              <w:ind w:right="-10"/>
              <w:jc w:val="center"/>
              <w:rPr>
                <w:rFonts w:asciiTheme="minorEastAsia" w:hAnsiTheme="minorEastAsia" w:eastAsiaTheme="minorEastAsia"/>
                <w:color w:val="auto"/>
                <w:sz w:val="24"/>
                <w:highlight w:val="none"/>
              </w:rPr>
            </w:pPr>
          </w:p>
        </w:tc>
      </w:tr>
      <w:bookmarkEnd w:id="47"/>
    </w:tbl>
    <w:p w14:paraId="46EDBF9E">
      <w:pPr>
        <w:spacing w:line="360" w:lineRule="auto"/>
        <w:ind w:firstLine="435"/>
        <w:rPr>
          <w:rFonts w:asciiTheme="minorEastAsia" w:hAnsiTheme="minorEastAsia" w:eastAsiaTheme="minorEastAsia"/>
          <w:color w:val="auto"/>
          <w:sz w:val="24"/>
          <w:highlight w:val="none"/>
        </w:rPr>
      </w:pPr>
      <w:bookmarkStart w:id="48"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46"/>
    <w:bookmarkEnd w:id="48"/>
    <w:p w14:paraId="4ECBB56E">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三.无效响应条款</w:t>
      </w:r>
    </w:p>
    <w:p w14:paraId="3A862D8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5BFCC53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369B341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w:t>
      </w:r>
      <w:r>
        <w:rPr>
          <w:rFonts w:hint="eastAsia" w:asciiTheme="minorEastAsia" w:hAnsiTheme="minorEastAsia" w:eastAsiaTheme="minorEastAsia"/>
          <w:color w:val="auto"/>
          <w:sz w:val="24"/>
          <w:highlight w:val="none"/>
          <w:lang w:val="en-US" w:eastAsia="zh-CN"/>
        </w:rPr>
        <w:t>采购文件规定时间</w:t>
      </w:r>
      <w:r>
        <w:rPr>
          <w:rFonts w:hint="eastAsia" w:asciiTheme="minorEastAsia" w:hAnsiTheme="minorEastAsia" w:eastAsiaTheme="minorEastAsia"/>
          <w:color w:val="auto"/>
          <w:sz w:val="24"/>
          <w:highlight w:val="none"/>
        </w:rPr>
        <w:t>，否则响应文件将被拒绝。</w:t>
      </w:r>
    </w:p>
    <w:p w14:paraId="62C40E3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32678B1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72AB25B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424590E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5C6FF0F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）评审专家无法查看并检验电子响应文件中相关资料的；</w:t>
      </w:r>
    </w:p>
    <w:p w14:paraId="1342F57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5EE037E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E1E19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7B5306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7C32401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078689A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）其它情形，经询价小组提出按无效响应处理的；</w:t>
      </w:r>
    </w:p>
    <w:p w14:paraId="2E35BB0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2BE516F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618C8E8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）询价公告未写明允许采购进口产品，供应商所投产品为进口产品的；</w:t>
      </w:r>
    </w:p>
    <w:p w14:paraId="3CD6CC9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规定的其它无效情形。</w:t>
      </w:r>
    </w:p>
    <w:p w14:paraId="2C6DF6A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319C219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w:t>
      </w:r>
    </w:p>
    <w:p w14:paraId="01D5C3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3A665D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规定提交备选方案的除外；</w:t>
      </w:r>
    </w:p>
    <w:p w14:paraId="6CBCF35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的实质性要求和条件作出响应；</w:t>
      </w:r>
    </w:p>
    <w:p w14:paraId="3EBB1A6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给定的单价最高限价；</w:t>
      </w:r>
    </w:p>
    <w:p w14:paraId="73AF384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的计算错误进行修正后，供应商不接受修正的报价的。</w:t>
      </w:r>
    </w:p>
    <w:p w14:paraId="511D05F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（7）其它情形，经询价小组提出按无效响应处理，并经公共资源交易监督部门核准的；</w:t>
      </w:r>
    </w:p>
    <w:p w14:paraId="071205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61E2352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7989D97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7C08058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FE089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00F646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58EC8ED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2AAB32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3119DCE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（6）其它情形，经询价小组提出按无效响应处理，并经公共资源交易监督部门核准的；</w:t>
      </w:r>
    </w:p>
    <w:p w14:paraId="2B74BA6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21455D05">
      <w:pPr>
        <w:widowControl/>
        <w:jc w:val="left"/>
        <w:rPr>
          <w:rFonts w:asciiTheme="minorEastAsia" w:hAnsiTheme="minorEastAsia" w:eastAsiaTheme="minorEastAsia"/>
          <w:bCs/>
          <w:color w:val="auto"/>
          <w:sz w:val="24"/>
          <w:highlight w:val="none"/>
        </w:rPr>
      </w:pPr>
    </w:p>
    <w:p w14:paraId="224F24CE">
      <w:pPr>
        <w:rPr>
          <w:rFonts w:ascii="宋体" w:hAnsi="宋体" w:eastAsia="宋体" w:cs="宋体"/>
          <w:b/>
          <w:color w:val="auto"/>
          <w:sz w:val="28"/>
          <w:highlight w:val="none"/>
        </w:rPr>
      </w:pPr>
      <w:bookmarkStart w:id="49" w:name="_Toc5156"/>
      <w:bookmarkStart w:id="50" w:name="_Toc26650379"/>
      <w:r>
        <w:rPr>
          <w:rFonts w:hint="eastAsia" w:ascii="宋体" w:hAnsi="宋体" w:eastAsia="宋体" w:cs="宋体"/>
          <w:b/>
          <w:color w:val="auto"/>
          <w:sz w:val="28"/>
          <w:highlight w:val="none"/>
        </w:rPr>
        <w:br w:type="page"/>
      </w:r>
    </w:p>
    <w:p w14:paraId="5DD4B22E">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第五章 合同</w:t>
      </w:r>
      <w:bookmarkEnd w:id="49"/>
      <w:bookmarkEnd w:id="50"/>
    </w:p>
    <w:p w14:paraId="168BE38E">
      <w:pPr>
        <w:snapToGrid w:val="0"/>
        <w:spacing w:line="400" w:lineRule="exact"/>
        <w:jc w:val="center"/>
        <w:rPr>
          <w:rFonts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p>
    <w:p w14:paraId="7321937D">
      <w:pPr>
        <w:spacing w:line="460" w:lineRule="exact"/>
        <w:ind w:left="360"/>
        <w:jc w:val="center"/>
        <w:outlineLvl w:val="1"/>
        <w:rPr>
          <w:rFonts w:ascii="宋体" w:hAnsi="宋体" w:eastAsia="宋体" w:cs="宋体"/>
          <w:b/>
          <w:color w:val="auto"/>
          <w:sz w:val="30"/>
          <w:szCs w:val="30"/>
          <w:highlight w:val="none"/>
        </w:rPr>
      </w:pPr>
      <w:bookmarkStart w:id="51" w:name="_Toc29013"/>
      <w:r>
        <w:rPr>
          <w:rFonts w:hint="eastAsia" w:ascii="宋体" w:hAnsi="宋体" w:eastAsia="宋体" w:cs="宋体"/>
          <w:b/>
          <w:color w:val="auto"/>
          <w:sz w:val="30"/>
          <w:szCs w:val="30"/>
          <w:highlight w:val="none"/>
        </w:rPr>
        <w:t>一、合同协议书（格式）</w:t>
      </w:r>
    </w:p>
    <w:p w14:paraId="7491C5CD">
      <w:pPr>
        <w:spacing w:line="460" w:lineRule="exact"/>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合同名称   </w:t>
      </w:r>
      <w:r>
        <w:rPr>
          <w:rFonts w:hint="eastAsia" w:ascii="宋体" w:hAnsi="宋体" w:eastAsia="宋体" w:cs="宋体"/>
          <w:color w:val="auto"/>
          <w:sz w:val="28"/>
          <w:szCs w:val="28"/>
          <w:highlight w:val="none"/>
        </w:rPr>
        <w:t xml:space="preserve">          编号</w:t>
      </w:r>
    </w:p>
    <w:p w14:paraId="1B99A429">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1FA8A31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317EB31">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29C6321D">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362C0603">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35F273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42F0DB50">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询价采购文件</w:t>
      </w:r>
      <w:r>
        <w:rPr>
          <w:rFonts w:hint="eastAsia" w:ascii="宋体" w:hAnsi="宋体" w:eastAsia="宋体" w:cs="宋体"/>
          <w:bCs/>
          <w:color w:val="auto"/>
          <w:sz w:val="24"/>
          <w:szCs w:val="24"/>
          <w:highlight w:val="none"/>
        </w:rPr>
        <w:t>（2）响应文件（3）成交通知书</w:t>
      </w:r>
    </w:p>
    <w:p w14:paraId="719EA779">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78EBAE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2、货物的名称、规格型号、数量和价格（若产品过多则见附表，如有附表则必须加盖公章）</w:t>
      </w:r>
    </w:p>
    <w:p w14:paraId="1C6D057E">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6CE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227D095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tcPr>
          <w:p w14:paraId="3A356A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tcPr>
          <w:p w14:paraId="32003C49">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tcPr>
          <w:p w14:paraId="5D3659D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tcPr>
          <w:p w14:paraId="37DFEFC6">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tcPr>
          <w:p w14:paraId="2DE82D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tcPr>
          <w:p w14:paraId="2EE1E963">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167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6FE4AD6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2046" w:type="dxa"/>
          </w:tcPr>
          <w:p w14:paraId="350BDB64">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4A71ADB8">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3DFF4817">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106" w:type="dxa"/>
          </w:tcPr>
          <w:p w14:paraId="6163D0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286" w:type="dxa"/>
          </w:tcPr>
          <w:p w14:paraId="0244EBA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693" w:type="dxa"/>
          </w:tcPr>
          <w:p w14:paraId="0FAC553C">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1B1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53D424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7BF1610B">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9956C0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2C42E21D">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0269572">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6303F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AADF497">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1DD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E5C4F3C">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0B19259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7B7FE4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41E3C9B7">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0DAB8B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FE2BA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22ACF9D">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389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17BEFE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tcPr>
          <w:p w14:paraId="22D58B9E">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39A5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66F5CFED">
            <w:pPr>
              <w:widowControl/>
              <w:spacing w:before="156" w:beforeLines="50" w:beforeAutospacing="1" w:after="93" w:afterLines="30" w:afterAutospacing="1"/>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tc>
      </w:tr>
    </w:tbl>
    <w:p w14:paraId="76BCCD6A">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3、合同价：</w:t>
      </w:r>
    </w:p>
    <w:p w14:paraId="4625895E">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基质沥青成交固定价差：</w:t>
      </w:r>
      <w:r>
        <w:rPr>
          <w:rFonts w:hint="eastAsia" w:asciiTheme="minorEastAsia" w:hAnsiTheme="minorEastAsia" w:eastAsiaTheme="minorEastAsia"/>
          <w:b/>
          <w:color w:val="auto"/>
          <w:sz w:val="24"/>
          <w:highlight w:val="none"/>
          <w:u w:val="single"/>
          <w:lang w:val="en-US" w:eastAsia="zh-CN"/>
        </w:rPr>
        <w:t xml:space="preserve">             </w:t>
      </w:r>
      <w:r>
        <w:rPr>
          <w:rFonts w:hint="eastAsia" w:asciiTheme="minorEastAsia" w:hAnsiTheme="minorEastAsia" w:eastAsiaTheme="minorEastAsia"/>
          <w:b/>
          <w:color w:val="auto"/>
          <w:sz w:val="24"/>
          <w:highlight w:val="none"/>
          <w:lang w:val="en-US" w:eastAsia="zh-CN"/>
        </w:rPr>
        <w:t>，改性费用：</w:t>
      </w:r>
      <w:r>
        <w:rPr>
          <w:rFonts w:hint="eastAsia" w:asciiTheme="minorEastAsia" w:hAnsiTheme="minorEastAsia" w:eastAsiaTheme="minorEastAsia"/>
          <w:b/>
          <w:color w:val="auto"/>
          <w:sz w:val="24"/>
          <w:highlight w:val="none"/>
          <w:u w:val="single"/>
          <w:lang w:val="en-US" w:eastAsia="zh-CN"/>
        </w:rPr>
        <w:t xml:space="preserve">             </w:t>
      </w:r>
      <w:r>
        <w:rPr>
          <w:rFonts w:hint="eastAsia" w:asciiTheme="minorEastAsia" w:hAnsiTheme="minorEastAsia" w:eastAsiaTheme="minorEastAsia"/>
          <w:b/>
          <w:color w:val="auto"/>
          <w:sz w:val="24"/>
          <w:highlight w:val="none"/>
          <w:lang w:val="en-US" w:eastAsia="zh-CN"/>
        </w:rPr>
        <w:t>。</w:t>
      </w:r>
    </w:p>
    <w:p w14:paraId="3456F859">
      <w:pPr>
        <w:spacing w:line="460" w:lineRule="exact"/>
        <w:ind w:firstLine="435"/>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合同履约过程中，上述单价不进行调整。</w:t>
      </w:r>
    </w:p>
    <w:p w14:paraId="2CBBA185">
      <w:pPr>
        <w:spacing w:line="500" w:lineRule="exact"/>
        <w:ind w:firstLine="480" w:firstLineChars="200"/>
        <w:rPr>
          <w:rFonts w:hint="eastAsia" w:asciiTheme="minorEastAsia" w:hAnsiTheme="minorEastAsia" w:eastAsiaTheme="minorEastAsia"/>
          <w:b/>
          <w:bCs/>
          <w:color w:val="auto"/>
          <w:sz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w:t>
      </w:r>
      <w:r>
        <w:rPr>
          <w:rFonts w:hint="eastAsia" w:asciiTheme="minorEastAsia" w:hAnsiTheme="minorEastAsia" w:eastAsiaTheme="minorEastAsia"/>
          <w:b/>
          <w:bCs/>
          <w:color w:val="auto"/>
          <w:sz w:val="24"/>
          <w:highlight w:val="none"/>
          <w:lang w:val="en-US" w:eastAsia="zh-CN"/>
        </w:rPr>
        <w:t>货到付款，以当日验收数量 * 单价进行结算。货到场地经验收合格后第二日内，卖方按照结算单开具等额的增值税专用发票（税率：13%），买方以银行转账支付货款。</w:t>
      </w:r>
    </w:p>
    <w:p w14:paraId="16DE739C">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合同履约中单价确认原则：基质沥青参照出厂日期当天“百川盈孚网https://www.baiinfo.com/”国内炼厂重交沥青出厂价格中江苏金陵石化70#沥青汽运挂牌价 - 基质沥青成交固定价差 + 成交改性费用。如出厂当天未公布最新价格，则以出厂当天最近的日期公布的上述价格作为基数。</w:t>
      </w:r>
    </w:p>
    <w:p w14:paraId="53C88267">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结算方式：买方采用银行转帐的形式进行支付货款。未经买方同意采购的物资</w:t>
      </w:r>
    </w:p>
    <w:p w14:paraId="6DFEB60C">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以及验收不合格的货品，不予付款。</w:t>
      </w:r>
    </w:p>
    <w:p w14:paraId="4D76E426">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卖方必须能够按时提供足额发票以及该发票对应清单明细。</w:t>
      </w:r>
    </w:p>
    <w:p w14:paraId="364A507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06125D9E">
      <w:pPr>
        <w:spacing w:line="440" w:lineRule="exact"/>
        <w:ind w:firstLine="482" w:firstLineChars="200"/>
        <w:rPr>
          <w:rFonts w:hint="eastAsia" w:ascii="宋体" w:hAnsi="宋体" w:eastAsia="宋体" w:cs="@仿宋_GB2312"/>
          <w:b/>
          <w:bCs w:val="0"/>
          <w:color w:val="auto"/>
          <w:kern w:val="0"/>
          <w:sz w:val="24"/>
          <w:szCs w:val="28"/>
          <w:highlight w:val="none"/>
          <w:u w:val="none"/>
          <w:lang w:val="en-US" w:eastAsia="zh-CN" w:bidi="ar-SA"/>
        </w:rPr>
      </w:pPr>
      <w:r>
        <w:rPr>
          <w:rFonts w:hint="eastAsia" w:ascii="宋体" w:hAnsi="宋体" w:eastAsia="宋体" w:cs="@仿宋_GB2312"/>
          <w:b/>
          <w:bCs w:val="0"/>
          <w:color w:val="auto"/>
          <w:kern w:val="0"/>
          <w:sz w:val="24"/>
          <w:szCs w:val="28"/>
          <w:highlight w:val="none"/>
          <w:u w:val="none"/>
          <w:lang w:val="en-US" w:eastAsia="zh-CN" w:bidi="ar-SA"/>
        </w:rPr>
        <w:t>5.1 自本合同签订之日起至G36宁洛高速公路来安至明光段曹庄服务区收费站广场改造工程所需PG76-22 SBS改性沥青供货结束，具体供货时间以采购人通知为准。</w:t>
      </w:r>
    </w:p>
    <w:p w14:paraId="0AADE68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53786843">
      <w:pPr>
        <w:spacing w:line="440" w:lineRule="exact"/>
        <w:ind w:firstLine="480" w:firstLineChars="200"/>
        <w:rPr>
          <w:color w:val="auto"/>
          <w:highlight w:val="none"/>
        </w:rPr>
      </w:pPr>
      <w:r>
        <w:rPr>
          <w:rFonts w:hint="eastAsia" w:ascii="宋体" w:hAnsi="宋体" w:eastAsia="宋体" w:cs="宋体"/>
          <w:color w:val="auto"/>
          <w:sz w:val="24"/>
          <w:szCs w:val="24"/>
          <w:highlight w:val="none"/>
          <w:lang w:val="en-US" w:eastAsia="zh-CN"/>
        </w:rPr>
        <w:t>5.2 卖方</w:t>
      </w:r>
      <w:r>
        <w:rPr>
          <w:rFonts w:hint="default" w:ascii="宋体" w:hAnsi="宋体" w:eastAsia="宋体" w:cs="宋体"/>
          <w:color w:val="auto"/>
          <w:sz w:val="24"/>
          <w:szCs w:val="24"/>
          <w:highlight w:val="none"/>
          <w:lang w:val="en-US" w:eastAsia="zh-CN"/>
        </w:rPr>
        <w:t>未按计划逾期供货的，</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有权按10000元/天额度</w:t>
      </w:r>
      <w:r>
        <w:rPr>
          <w:rFonts w:hint="eastAsia" w:ascii="宋体" w:hAnsi="宋体" w:eastAsia="宋体" w:cs="宋体"/>
          <w:color w:val="auto"/>
          <w:sz w:val="24"/>
          <w:szCs w:val="24"/>
          <w:highlight w:val="none"/>
          <w:lang w:val="en-US" w:eastAsia="zh-CN"/>
        </w:rPr>
        <w:t>扣除违约金</w:t>
      </w:r>
      <w:r>
        <w:rPr>
          <w:rFonts w:hint="default" w:ascii="宋体" w:hAnsi="宋体" w:eastAsia="宋体" w:cs="宋体"/>
          <w:color w:val="auto"/>
          <w:sz w:val="24"/>
          <w:szCs w:val="24"/>
          <w:highlight w:val="none"/>
          <w:lang w:val="en-US" w:eastAsia="zh-CN"/>
        </w:rPr>
        <w:t>；超过5 天的，</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 xml:space="preserve">有权终止合同并没收履约担保。 </w:t>
      </w:r>
    </w:p>
    <w:p w14:paraId="195090E9">
      <w:pPr>
        <w:numPr>
          <w:ilvl w:val="0"/>
          <w:numId w:val="0"/>
        </w:numPr>
        <w:spacing w:line="440" w:lineRule="exact"/>
        <w:ind w:left="42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6.履约担保</w:t>
      </w:r>
    </w:p>
    <w:p w14:paraId="686803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6.1卖方须为本合同的履行提供履约担保。 </w:t>
      </w:r>
    </w:p>
    <w:p w14:paraId="70C86899">
      <w:pPr>
        <w:spacing w:line="440" w:lineRule="exact"/>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履约担保金额：签约合同价的</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 xml:space="preserve">% </w:t>
      </w:r>
    </w:p>
    <w:p w14:paraId="161B40B3">
      <w:pPr>
        <w:spacing w:line="440" w:lineRule="exact"/>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履约担保形式：银行保函或</w:t>
      </w:r>
      <w:r>
        <w:rPr>
          <w:rFonts w:hint="eastAsia" w:ascii="宋体" w:hAnsi="宋体" w:eastAsia="宋体" w:cs="宋体"/>
          <w:color w:val="auto"/>
          <w:sz w:val="24"/>
          <w:szCs w:val="24"/>
          <w:highlight w:val="none"/>
          <w:lang w:val="en-US" w:eastAsia="zh-CN"/>
        </w:rPr>
        <w:t>转账</w:t>
      </w:r>
      <w:r>
        <w:rPr>
          <w:rFonts w:hint="default"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同意的其他形式；出具银行保函的银行应为地市级支行或其以上具有相应担保能力的银行机构开具，且</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选择的银行机构必须经</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同意。银行保函必须由出具行的法定代表人签署，并注明经办人姓名、联系电话，以便于查验，开具银行保函所需的费用由</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自行承担。</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应配合</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 xml:space="preserve">查验保函的真实性。 </w:t>
      </w:r>
    </w:p>
    <w:p w14:paraId="70F43F7E">
      <w:pPr>
        <w:spacing w:line="440" w:lineRule="exact"/>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提交时间：签订合同前。 </w:t>
      </w:r>
    </w:p>
    <w:p w14:paraId="7236285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.2 履约担保的退还：在</w:t>
      </w:r>
      <w:r>
        <w:rPr>
          <w:rFonts w:hint="eastAsia" w:ascii="宋体" w:hAnsi="宋体" w:eastAsia="宋体" w:cs="宋体"/>
          <w:color w:val="auto"/>
          <w:sz w:val="24"/>
          <w:szCs w:val="24"/>
          <w:highlight w:val="none"/>
          <w:lang w:val="en-US" w:eastAsia="zh-CN"/>
        </w:rPr>
        <w:t>本合同履行完成</w:t>
      </w:r>
      <w:r>
        <w:rPr>
          <w:rFonts w:hint="default" w:ascii="宋体" w:hAnsi="宋体" w:eastAsia="宋体" w:cs="宋体"/>
          <w:color w:val="auto"/>
          <w:sz w:val="24"/>
          <w:szCs w:val="24"/>
          <w:highlight w:val="none"/>
          <w:lang w:val="en-US" w:eastAsia="zh-CN"/>
        </w:rPr>
        <w:t>后，如不涉及到产品质量问题，</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在接到供货商申请后 14 天内退还所有履约担保。</w:t>
      </w:r>
    </w:p>
    <w:p w14:paraId="35D9B61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.验收要求：</w:t>
      </w:r>
    </w:p>
    <w:p w14:paraId="4F6DC7A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卖方必须保证所供材料技术指标完全符合询价文件要求。所供应产品的品牌、产地、性能必须与投标时的承诺保持一致，未经发包人同意，不得擅自变更。 </w:t>
      </w:r>
    </w:p>
    <w:p w14:paraId="028D8A6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材料运至施工现场后，卖方与施工方、监理单位共同验收材料的规格、数量，在一式四联的验收单上签字确认（验收单必须填写运输车车牌号、品名、规格、数量等）。施工方必须把经监理确认的到场数量，汇总报送项目办备案，项目办安排专人对材料供应数量进行监管。卖方无条件提供材料质保书及相关资料。 </w:t>
      </w:r>
    </w:p>
    <w:p w14:paraId="010167D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材料数量以卖方、施工方、监理工程师在指定交货地点共同验收、签字确认的数量进行结算。沥青材料以实际称重数量验收为准，小数点后保留2位数字。 </w:t>
      </w:r>
    </w:p>
    <w:p w14:paraId="4D0EF51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7.4 材料到场后，施工方或卖方若对数量有异议，需在货到工地三小时内安排复磅（复磅应选择供货商认可、经技术监督局检验合格且距离施工现场较近处进行）。复磅数量与送货单数量之差若不超过±3‰，以送货单为准，复磅发生的费用由提出单位承担；若超过±3‰，以复磅数量为准，复磅发生的费用由另一方承担。 </w:t>
      </w:r>
    </w:p>
    <w:p w14:paraId="3643CCE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若复磅数量与供货商提交的送货单数量负偏差达到或超过 5‰，则除复磅发生的费用由卖方承担外，买方还将按卖方本批货物总值（实际数量×工地交货结算单价）10％的扣除违约金，此违约金由买方从卖方应收货款中扣回。 </w:t>
      </w:r>
    </w:p>
    <w:p w14:paraId="39AFB1F9">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 所有产品在出厂前，卖方都须对产品的质量、规格、数量等进行详细而全面的检验，出具一份证明产品符合合同规定的全面检验证书或检测报告并提供给买方及其施工单位。</w:t>
      </w:r>
    </w:p>
    <w:p w14:paraId="59319C2C">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 上述检验证书或检测报告不能作为有关质量、规格、性能、数量的最终检验，最终检验以买方工地现场检测为准。卖方自检（或海关商检检验，如有）的结果及检验所采用的标准应附在工地检验证书或检测报告后面。</w:t>
      </w:r>
    </w:p>
    <w:p w14:paraId="0AC05B45">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产品到达工地后，买方有权委托工地现场的检测机构对产品进行检测（含光谱分析）。如果任何被检验的产品的质量、规格、数量与合同规定不符，买方有权拒绝接受该批产品，卖方应立即更换被拒绝的产品，并承担检测费用和由此给买方带来的任何损失。买方安排的检验，卖方应积极配合。买方工地现场的产品收条数量和检测报告将作为计量与支付的必要依据。</w:t>
      </w:r>
    </w:p>
    <w:p w14:paraId="110679D2">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 卖方</w:t>
      </w:r>
      <w:r>
        <w:rPr>
          <w:rFonts w:hint="default" w:ascii="宋体" w:hAnsi="宋体" w:eastAsia="宋体" w:cs="宋体"/>
          <w:color w:val="auto"/>
          <w:sz w:val="24"/>
          <w:szCs w:val="24"/>
          <w:highlight w:val="none"/>
          <w:lang w:val="en-US" w:eastAsia="zh-CN"/>
        </w:rPr>
        <w:t>负责办理为执行本合同而投入的机具设备、运输工具的财产保险和人身保险、包装物的保险、合同产品运输险等。其中合同产品的运输保险费应按照报价清单格式以吨为单位计量，</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在计量支付时应提供相应保单，保费超出报价部分由</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承担。</w:t>
      </w:r>
    </w:p>
    <w:p w14:paraId="6A4A8101">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质量保证</w:t>
      </w:r>
    </w:p>
    <w:p w14:paraId="3B531DE4">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 xml:space="preserve">质量保证期义务：在质量保证期间，供货商须及时对发包人发现的产品缺陷按量无偿补充合格产品，并负担相应的施工费用和给发包人带来的损失。 </w:t>
      </w:r>
    </w:p>
    <w:p w14:paraId="7D4762B2">
      <w:pPr>
        <w:spacing w:line="440" w:lineRule="exact"/>
        <w:ind w:firstLine="482" w:firstLineChars="200"/>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本合同质量保证期：路面交工之日后 2 年</w:t>
      </w:r>
      <w:r>
        <w:rPr>
          <w:rFonts w:hint="eastAsia" w:ascii="宋体" w:hAnsi="宋体" w:eastAsia="宋体" w:cs="宋体"/>
          <w:b/>
          <w:bCs/>
          <w:color w:val="auto"/>
          <w:sz w:val="24"/>
          <w:szCs w:val="24"/>
          <w:highlight w:val="none"/>
          <w:lang w:val="en-US" w:eastAsia="zh-CN"/>
        </w:rPr>
        <w:t>。</w:t>
      </w:r>
    </w:p>
    <w:p w14:paraId="7FE86C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8.违约责任及解决争议方法：详见合同条款。</w:t>
      </w:r>
    </w:p>
    <w:p w14:paraId="31D61F1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9.合同的生效</w:t>
      </w:r>
    </w:p>
    <w:p w14:paraId="6F31376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103296E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5061DBA7">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0228083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59E3CFCC">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1369B3B5">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7466353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66464F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2494220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0B58CC2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340A768">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388B59B7">
      <w:pPr>
        <w:spacing w:line="400" w:lineRule="exact"/>
        <w:ind w:left="36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5E873CC5">
      <w:pPr>
        <w:spacing w:line="400" w:lineRule="exact"/>
        <w:ind w:left="360"/>
        <w:jc w:val="center"/>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2" w:name="_Toc58430331"/>
      <w:r>
        <w:rPr>
          <w:rFonts w:hint="eastAsia" w:ascii="宋体" w:hAnsi="宋体" w:eastAsia="宋体" w:cs="宋体"/>
          <w:b/>
          <w:color w:val="auto"/>
          <w:sz w:val="24"/>
          <w:szCs w:val="24"/>
          <w:highlight w:val="none"/>
        </w:rPr>
        <w:t>二、合同条款</w:t>
      </w:r>
      <w:bookmarkEnd w:id="52"/>
    </w:p>
    <w:p w14:paraId="033395DD">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3D887F93">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642539DB">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1C4D41FA">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1C30A41A">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7662F3B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3E231C29">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51E86BFC">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A319C8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&lt;4&gt;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w:t>
      </w:r>
    </w:p>
    <w:p w14:paraId="48C113A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25F103F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42ADEF7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229D2A63">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(1)合同文件使用中文书写、解释和说明。</w:t>
      </w:r>
    </w:p>
    <w:p w14:paraId="4200EBBA">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7EB123D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677ACD9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50461F6E">
      <w:pPr>
        <w:tabs>
          <w:tab w:val="left" w:pos="660"/>
        </w:tabs>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5A71B69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379BA26A">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800C74">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68BBAE1">
      <w:pPr>
        <w:pStyle w:val="8"/>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330623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7379326E">
      <w:pPr>
        <w:pStyle w:val="8"/>
        <w:tabs>
          <w:tab w:val="left" w:pos="900"/>
        </w:tabs>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720169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34618743">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(1)卖方除应履行按期按量交付合格标的物的义务之外，还应提供下列服务：</w:t>
      </w:r>
    </w:p>
    <w:p w14:paraId="705A0F6E">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&lt;1&gt;标的物的现场安装或指导安装、启动、调试、监督（如果必须安装、调试的话）；</w:t>
      </w:r>
    </w:p>
    <w:p w14:paraId="3D977042">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&lt;2&gt;提供标的物组装和一般维修所必须的工具；</w:t>
      </w:r>
    </w:p>
    <w:p w14:paraId="60A11F48">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&lt;3&gt;在合同规定的期限内对所提供标的物实行运行监督、维修服务的前提条件是该服务并不能免除卖方在质量保证期内所承担的义务；</w:t>
      </w:r>
    </w:p>
    <w:p w14:paraId="4513AD9E">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&lt;4&gt;对买方技术人员的技术指导或培训。</w:t>
      </w:r>
    </w:p>
    <w:p w14:paraId="5ACB7693">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(2)除合同另有规定之外，伴随服务的费用均已含在合同价款中，买方不再另行进行支付。</w:t>
      </w:r>
    </w:p>
    <w:p w14:paraId="3E10349F">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277A241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4FFE074E">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(1)标的物的所有权自标的物交付时转移。</w:t>
      </w:r>
    </w:p>
    <w:p w14:paraId="523FB010">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(2)卖方应当按照约定的期限和约定的地点交付符合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要求的标的物。</w:t>
      </w:r>
    </w:p>
    <w:p w14:paraId="435A22FF">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(3)卖方应当按照约定或者交易习惯向采购人交付提取标的物单证以外的有关单证和资料。</w:t>
      </w:r>
    </w:p>
    <w:p w14:paraId="7997D5F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0D9C01A0">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1D2CC3D">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(2)买方根据合同规定的内容和验收标准进行验收，经检验无误后出具验收合格证明，该证明作为最终付款所需文件的组成部分。</w:t>
      </w:r>
    </w:p>
    <w:p w14:paraId="28EAB555">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(3)验收期限自标的物交付之日起5个工作日内。特殊情况需延长的，双方应在合同条款中约定。</w:t>
      </w:r>
    </w:p>
    <w:p w14:paraId="5A383AA5">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1B59A90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E65304B">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(1)买方在验收过程中，应当于双方约定的检验期间内将标的物的数量或质量不符合约定的情形及处理方式以书面形式通知卖方。</w:t>
      </w:r>
    </w:p>
    <w:p w14:paraId="32B69974">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(2)如买方在验收期满后既不出具验收合格证明又未提出书面异议的视为卖方所交标的物符合合同规定。</w:t>
      </w:r>
    </w:p>
    <w:p w14:paraId="03BB484D">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(3)卖方应在收到买方书面异议后七天内负责处理问题，否则将视为默认买方提出的异议和处理意见。</w:t>
      </w:r>
    </w:p>
    <w:p w14:paraId="24F15B5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6077954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14A082">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(1)本合同的结算货币为人民币，单位元。</w:t>
      </w:r>
    </w:p>
    <w:p w14:paraId="52D2C8C9">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(2)卖方应按照双方签订的合同规定交货并在合同主要条款规定的期限内持下列单据结算货款：</w:t>
      </w:r>
    </w:p>
    <w:p w14:paraId="07820F73">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&lt;1&gt;合格的销售发票；</w:t>
      </w:r>
    </w:p>
    <w:p w14:paraId="355C41EE">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&lt;2&gt;买方盖章签收后的送货回单和验收合格证明。</w:t>
      </w:r>
    </w:p>
    <w:p w14:paraId="5BBA5D35">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(3)买方应按合同主要条款规定的期限和方式付款。</w:t>
      </w:r>
    </w:p>
    <w:p w14:paraId="617EC1D8">
      <w:pPr>
        <w:pStyle w:val="8"/>
        <w:tabs>
          <w:tab w:val="left" w:pos="54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(4)根据现行税法对买方征收的与本合同有关的一切税费均由买方承担；根据现行税法对卖方征收的与本合同有关的一切税费均由卖方承担。</w:t>
      </w:r>
    </w:p>
    <w:p w14:paraId="15732298">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899D84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480AF608">
      <w:pPr>
        <w:pStyle w:val="8"/>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合同一方不履行合同义务或者履行合同义务不符合约定的，应当承担继续履行、采取补救措施或者赔偿损失等违约责任。</w:t>
      </w:r>
    </w:p>
    <w:p w14:paraId="1040944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6CAEA079">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(1)在合同生效后，非产品质量问题，买方要求退货的，应向卖方偿付合同总价款的5%，作为违约金，违约金不足以补偿损失的，卖方有权要求甲方补足。</w:t>
      </w:r>
    </w:p>
    <w:p w14:paraId="78E1219D">
      <w:pPr>
        <w:pStyle w:val="8"/>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(2)买方逾期付款的应按照逾期付款金额的每天万分之四支付逾期付款违约金。</w:t>
      </w:r>
    </w:p>
    <w:p w14:paraId="7B385366">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(3)买方违反合同规定，拒绝接收卖方交付的符合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要求的合格标的物，应当承担卖方由此造成的损失。</w:t>
      </w:r>
    </w:p>
    <w:p w14:paraId="273AF87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7AE9F22C">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6AA86AF3">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6296ADD">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7B7AA0A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75623746">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(1)因水灾、火灾、地震、战争等不可抗力不能履行合同的，根据不可抗力的影响，部分或者全部免除责任。但合同一方迟延履行后发生不可抗力的，不能免除责任。</w:t>
      </w:r>
    </w:p>
    <w:p w14:paraId="27B61E79">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(2)合同一方因不可抗力不能履行合同的，应当及时通知对方，以减轻可能给对方造成的损失，并应当在合理期限内提供证明。</w:t>
      </w:r>
    </w:p>
    <w:p w14:paraId="4AD0DC8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7EDCAA0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590F6680">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(1)买方有权根据当地产品质量检验机构或其它有权威部门出具的检验证书向卖方提出索赔。</w:t>
      </w:r>
    </w:p>
    <w:p w14:paraId="5936C79A">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(2)在本合同规定的检验期和质量保证期内，如果卖方对买方提出的索赔或差异有责任，则卖方应按买方同意的下列一种或多种方式解决索赔事宜：</w:t>
      </w:r>
    </w:p>
    <w:p w14:paraId="0673B1E5">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45751B24">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&lt;2&gt;根据标的物的低劣程度、损坏程度以及甲方遭受损失的数额，经双方协商确定降低标的物的价格；</w:t>
      </w:r>
    </w:p>
    <w:p w14:paraId="47939B38">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FD496C">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156D4EB">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(4)买方提出索赔的书面材料应报当地政府采购管理部门备案。卖方同意的索赔方案应报当地政府采购管理部门审核。</w:t>
      </w:r>
    </w:p>
    <w:p w14:paraId="768FC8E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7D49797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01F4312B">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(1)卖方应在本合同签订时，按</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的约定提供相应的履约保证金，保证金的有效期应不低于合同有效期。</w:t>
      </w:r>
    </w:p>
    <w:p w14:paraId="194D8C3F">
      <w:pPr>
        <w:pStyle w:val="8"/>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(2)如果卖方未能履行合同规定的任何义务，买方有权从履约保证金中取得补偿。</w:t>
      </w:r>
    </w:p>
    <w:p w14:paraId="6653A3F8">
      <w:pPr>
        <w:pStyle w:val="8"/>
        <w:overflowPunct w:val="0"/>
        <w:spacing w:line="500" w:lineRule="exact"/>
        <w:ind w:right="-334" w:rightChars="-159" w:firstLine="0"/>
        <w:rPr>
          <w:rFonts w:hAnsi="宋体" w:cs="宋体"/>
          <w:b/>
          <w:color w:val="auto"/>
          <w:kern w:val="2"/>
          <w:szCs w:val="24"/>
          <w:highlight w:val="none"/>
        </w:rPr>
      </w:pPr>
      <w:r>
        <w:rPr>
          <w:rFonts w:hint="eastAsia" w:hAnsi="宋体" w:cs="宋体"/>
          <w:b/>
          <w:color w:val="auto"/>
          <w:kern w:val="2"/>
          <w:szCs w:val="24"/>
          <w:highlight w:val="none"/>
        </w:rPr>
        <w:t>九.  合同的解除和转让</w:t>
      </w:r>
    </w:p>
    <w:p w14:paraId="501B191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62BB01CE">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(1)买方和卖方协商一致，可以解除合同。</w:t>
      </w:r>
    </w:p>
    <w:p w14:paraId="54B05CC7">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(2)有下列情形之一，合同一方可以解除合同：</w:t>
      </w:r>
    </w:p>
    <w:p w14:paraId="312C60A5">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&lt;1&gt;因不可抗力致使不能实现合同目的，未受不可抗力影响的一方有权解除合同；</w:t>
      </w:r>
    </w:p>
    <w:p w14:paraId="294EB592">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&lt;2&gt;因合同一方违约导致合同不能履行，另一方有权解除合同。</w:t>
      </w:r>
    </w:p>
    <w:p w14:paraId="3FAE9635">
      <w:pPr>
        <w:pStyle w:val="8"/>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(3)有权解除合同的一方，应当在违约事实或不可抗力发生之后三十天内书面通知对方以主张解除合同，合同在书面通知到达对方时解除。</w:t>
      </w:r>
    </w:p>
    <w:p w14:paraId="00E3ED5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02BFEA8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59051ECE">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2841766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0489174F">
      <w:pPr>
        <w:spacing w:line="500" w:lineRule="exact"/>
        <w:ind w:firstLine="664" w:firstLineChars="2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27F0FABC">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7A4A18C">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18B11065">
      <w:pPr>
        <w:pStyle w:val="8"/>
        <w:overflowPunct w:val="0"/>
        <w:spacing w:line="500" w:lineRule="exact"/>
        <w:rPr>
          <w:rFonts w:hAnsi="宋体" w:cs="宋体"/>
          <w:color w:val="auto"/>
          <w:szCs w:val="24"/>
          <w:highlight w:val="none"/>
          <w:u w:color="000000"/>
        </w:rPr>
      </w:pPr>
      <w:r>
        <w:rPr>
          <w:rFonts w:hint="eastAsia" w:hAnsi="宋体" w:cs="宋体"/>
          <w:color w:val="auto"/>
          <w:szCs w:val="24"/>
          <w:highlight w:val="none"/>
          <w:u w:color="000000"/>
        </w:rPr>
        <w:t xml:space="preserve"> 买卖双方因合同发生争议，进行调解，协商不成，可选择：（2）</w:t>
      </w:r>
    </w:p>
    <w:p w14:paraId="23F8C3EC">
      <w:pPr>
        <w:pStyle w:val="8"/>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(1)双方同时</w:t>
      </w:r>
      <w:r>
        <w:rPr>
          <w:rFonts w:hint="eastAsia" w:hAnsi="宋体" w:cs="宋体"/>
          <w:color w:val="auto"/>
          <w:szCs w:val="24"/>
          <w:highlight w:val="none"/>
        </w:rPr>
        <w:t>将争议提交滁州仲裁委员会</w:t>
      </w:r>
      <w:r>
        <w:rPr>
          <w:rFonts w:hint="eastAsia" w:hAnsi="宋体" w:cs="宋体"/>
          <w:color w:val="auto"/>
          <w:szCs w:val="24"/>
          <w:highlight w:val="none"/>
          <w:u w:color="000000"/>
        </w:rPr>
        <w:t>进行仲裁；</w:t>
      </w:r>
    </w:p>
    <w:p w14:paraId="36E13E8C">
      <w:pPr>
        <w:pStyle w:val="8"/>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(2)向买方所在地人民法院提起诉讼。</w:t>
      </w:r>
    </w:p>
    <w:p w14:paraId="3BE8577A">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18EA155A">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1690A9F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本合同一式陆份，买卖双方各执叁份。</w:t>
      </w:r>
    </w:p>
    <w:p w14:paraId="53689308">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490B9EF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1DB1056">
      <w:pPr>
        <w:spacing w:line="500" w:lineRule="exac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598AFE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1"/>
    </w:p>
    <w:p w14:paraId="5E61D180">
      <w:pPr>
        <w:spacing w:line="900" w:lineRule="exact"/>
        <w:jc w:val="center"/>
        <w:rPr>
          <w:rFonts w:asciiTheme="minorEastAsia" w:hAnsiTheme="minorEastAsia" w:eastAsiaTheme="minorEastAsia"/>
          <w:b/>
          <w:color w:val="auto"/>
          <w:sz w:val="72"/>
          <w:highlight w:val="none"/>
        </w:rPr>
      </w:pPr>
    </w:p>
    <w:p w14:paraId="7DCFACE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22A8F2EF">
      <w:pPr>
        <w:spacing w:line="900" w:lineRule="exact"/>
        <w:jc w:val="center"/>
        <w:rPr>
          <w:rFonts w:asciiTheme="minorEastAsia" w:hAnsiTheme="minorEastAsia" w:eastAsiaTheme="minorEastAsia"/>
          <w:b/>
          <w:color w:val="auto"/>
          <w:sz w:val="72"/>
          <w:highlight w:val="none"/>
        </w:rPr>
      </w:pPr>
    </w:p>
    <w:p w14:paraId="51D55F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7C1C641">
      <w:pPr>
        <w:spacing w:line="900" w:lineRule="exact"/>
        <w:jc w:val="center"/>
        <w:rPr>
          <w:rFonts w:asciiTheme="minorEastAsia" w:hAnsiTheme="minorEastAsia" w:eastAsiaTheme="minorEastAsia"/>
          <w:b/>
          <w:color w:val="auto"/>
          <w:sz w:val="72"/>
          <w:highlight w:val="none"/>
        </w:rPr>
      </w:pPr>
    </w:p>
    <w:p w14:paraId="7B74CA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8316008">
      <w:pPr>
        <w:spacing w:line="900" w:lineRule="exact"/>
        <w:jc w:val="center"/>
        <w:rPr>
          <w:rFonts w:asciiTheme="minorEastAsia" w:hAnsiTheme="minorEastAsia" w:eastAsiaTheme="minorEastAsia"/>
          <w:b/>
          <w:color w:val="auto"/>
          <w:sz w:val="72"/>
          <w:highlight w:val="none"/>
        </w:rPr>
      </w:pPr>
    </w:p>
    <w:p w14:paraId="2E25726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853E166">
      <w:pPr>
        <w:spacing w:after="156" w:afterLines="50"/>
        <w:jc w:val="center"/>
        <w:rPr>
          <w:rFonts w:asciiTheme="minorEastAsia" w:hAnsiTheme="minorEastAsia" w:eastAsiaTheme="minorEastAsia"/>
          <w:b/>
          <w:color w:val="auto"/>
          <w:sz w:val="72"/>
          <w:highlight w:val="none"/>
        </w:rPr>
      </w:pPr>
    </w:p>
    <w:p w14:paraId="2C7D9CBC">
      <w:pPr>
        <w:spacing w:after="156" w:afterLines="50" w:line="500" w:lineRule="exact"/>
        <w:jc w:val="center"/>
        <w:rPr>
          <w:rFonts w:asciiTheme="minorEastAsia" w:hAnsiTheme="minorEastAsia" w:eastAsiaTheme="minorEastAsia"/>
          <w:b/>
          <w:color w:val="auto"/>
          <w:sz w:val="28"/>
          <w:szCs w:val="28"/>
          <w:highlight w:val="none"/>
        </w:rPr>
      </w:pPr>
    </w:p>
    <w:p w14:paraId="01AC40A9">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1B225B6">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2755CD7A">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3D23C65E">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3" w:name="_Toc13530"/>
      <w:bookmarkStart w:id="54" w:name="_Toc215"/>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3"/>
      <w:bookmarkEnd w:id="54"/>
    </w:p>
    <w:p w14:paraId="5BD4370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25DE3AC">
      <w:pPr>
        <w:spacing w:line="360" w:lineRule="auto"/>
        <w:jc w:val="center"/>
        <w:outlineLvl w:val="1"/>
        <w:rPr>
          <w:rFonts w:asciiTheme="minorEastAsia" w:hAnsiTheme="minorEastAsia" w:eastAsiaTheme="minorEastAsia"/>
          <w:b/>
          <w:color w:val="auto"/>
          <w:sz w:val="24"/>
          <w:highlight w:val="none"/>
        </w:rPr>
      </w:pPr>
      <w:bookmarkStart w:id="55" w:name="_Toc14197"/>
      <w:bookmarkStart w:id="56" w:name="_Toc11521"/>
      <w:bookmarkStart w:id="57" w:name="_Hlk23205287"/>
      <w:r>
        <w:rPr>
          <w:rFonts w:hint="eastAsia" w:asciiTheme="minorEastAsia" w:hAnsiTheme="minorEastAsia" w:eastAsiaTheme="minorEastAsia"/>
          <w:b/>
          <w:color w:val="auto"/>
          <w:sz w:val="24"/>
          <w:highlight w:val="none"/>
        </w:rPr>
        <w:t>一</w:t>
      </w:r>
      <w:bookmarkEnd w:id="55"/>
      <w:bookmarkEnd w:id="56"/>
      <w:bookmarkStart w:id="58" w:name="_Toc26924"/>
      <w:bookmarkStart w:id="59" w:name="_Toc17882"/>
      <w:r>
        <w:rPr>
          <w:rFonts w:hint="eastAsia" w:asciiTheme="minorEastAsia" w:hAnsiTheme="minorEastAsia" w:eastAsiaTheme="minorEastAsia"/>
          <w:b/>
          <w:color w:val="auto"/>
          <w:sz w:val="24"/>
          <w:highlight w:val="none"/>
        </w:rPr>
        <w:t>、响应函</w:t>
      </w:r>
      <w:bookmarkEnd w:id="58"/>
      <w:bookmarkEnd w:id="59"/>
    </w:p>
    <w:p w14:paraId="2CF7454D">
      <w:pPr>
        <w:pStyle w:val="17"/>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宋体" w:hAnsi="宋体"/>
          <w:color w:val="auto"/>
          <w:sz w:val="24"/>
          <w:highlight w:val="none"/>
          <w:u w:val="single"/>
          <w:lang w:val="en-US" w:eastAsia="zh-CN"/>
        </w:rPr>
        <w:t xml:space="preserve"> 滁州市城投鑫驰科技有限公司 （</w:t>
      </w:r>
      <w:r>
        <w:rPr>
          <w:rFonts w:hint="eastAsia" w:ascii="宋体" w:hAnsi="宋体"/>
          <w:color w:val="auto"/>
          <w:sz w:val="24"/>
          <w:highlight w:val="none"/>
          <w:u w:val="single"/>
        </w:rPr>
        <w:t>采购人</w:t>
      </w:r>
      <w:r>
        <w:rPr>
          <w:rFonts w:hint="eastAsia" w:ascii="宋体" w:hAnsi="宋体"/>
          <w:color w:val="auto"/>
          <w:sz w:val="24"/>
          <w:highlight w:val="none"/>
          <w:u w:val="single"/>
          <w:lang w:val="en-US" w:eastAsia="zh-CN"/>
        </w:rPr>
        <w:t>）</w:t>
      </w:r>
    </w:p>
    <w:p w14:paraId="1E84EC9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1、我们决定参加贵单位组织的“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。我方授权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(姓名和职务)</w:t>
      </w:r>
      <w:r>
        <w:rPr>
          <w:rFonts w:hint="eastAsia" w:ascii="宋体" w:hAnsi="宋体" w:eastAsia="宋体" w:cs="宋体"/>
          <w:color w:val="auto"/>
          <w:sz w:val="24"/>
          <w:highlight w:val="none"/>
        </w:rPr>
        <w:t>代表我方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（投标单位的名称）</w:t>
      </w:r>
      <w:r>
        <w:rPr>
          <w:rFonts w:hint="eastAsia" w:ascii="宋体" w:hAnsi="宋体" w:eastAsia="宋体" w:cs="宋体"/>
          <w:color w:val="auto"/>
          <w:sz w:val="24"/>
          <w:highlight w:val="none"/>
        </w:rPr>
        <w:t>全权处理本项目</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的有关事宜。</w:t>
      </w:r>
    </w:p>
    <w:p w14:paraId="661B9CD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2、我方愿意按照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文件规定的各项要求，向</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val="en-US" w:eastAsia="zh-CN"/>
        </w:rPr>
        <w:t>货物与</w:t>
      </w:r>
      <w:r>
        <w:rPr>
          <w:rFonts w:hint="eastAsia" w:ascii="宋体" w:hAnsi="宋体" w:eastAsia="宋体" w:cs="宋体"/>
          <w:color w:val="auto"/>
          <w:sz w:val="24"/>
          <w:highlight w:val="none"/>
        </w:rPr>
        <w:t>服务，</w:t>
      </w:r>
      <w:r>
        <w:rPr>
          <w:rFonts w:hint="eastAsia" w:ascii="宋体" w:hAnsi="宋体" w:eastAsia="宋体" w:cs="宋体"/>
          <w:b/>
          <w:bCs/>
          <w:color w:val="auto"/>
          <w:sz w:val="28"/>
          <w:szCs w:val="28"/>
          <w:highlight w:val="none"/>
          <w:lang w:val="en-US" w:eastAsia="zh-CN"/>
        </w:rPr>
        <w:t>基质沥青响应报价</w:t>
      </w:r>
      <w:r>
        <w:rPr>
          <w:rFonts w:hint="eastAsia" w:ascii="宋体" w:hAnsi="宋体" w:eastAsia="宋体" w:cs="宋体"/>
          <w:b/>
          <w:bCs/>
          <w:color w:val="auto"/>
          <w:sz w:val="28"/>
          <w:szCs w:val="28"/>
          <w:highlight w:val="none"/>
        </w:rPr>
        <w:t>为（大写）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none"/>
          <w:lang w:eastAsia="zh-CN"/>
        </w:rPr>
        <w:t>，</w:t>
      </w:r>
      <w:r>
        <w:rPr>
          <w:rFonts w:hint="eastAsia" w:ascii="宋体" w:hAnsi="宋体" w:eastAsia="宋体" w:cs="宋体"/>
          <w:b/>
          <w:bCs/>
          <w:color w:val="auto"/>
          <w:sz w:val="28"/>
          <w:szCs w:val="28"/>
          <w:highlight w:val="none"/>
          <w:u w:val="none"/>
          <w:lang w:val="en-US" w:eastAsia="zh-CN"/>
        </w:rPr>
        <w:t>改性费用为：</w:t>
      </w:r>
      <w:r>
        <w:rPr>
          <w:rFonts w:hint="eastAsia" w:ascii="宋体" w:hAnsi="宋体" w:eastAsia="宋体" w:cs="宋体"/>
          <w:b/>
          <w:bCs/>
          <w:color w:val="auto"/>
          <w:sz w:val="28"/>
          <w:szCs w:val="28"/>
          <w:highlight w:val="none"/>
        </w:rPr>
        <w:t>（大写）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color w:val="auto"/>
          <w:sz w:val="24"/>
          <w:highlight w:val="none"/>
        </w:rPr>
        <w:t>签订合同后按</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要求完成本项目所有工作</w:t>
      </w:r>
      <w:r>
        <w:rPr>
          <w:rFonts w:hint="eastAsia" w:ascii="宋体" w:hAnsi="宋体" w:eastAsia="宋体" w:cs="宋体"/>
          <w:color w:val="auto"/>
          <w:sz w:val="24"/>
          <w:highlight w:val="none"/>
          <w:lang w:eastAsia="zh-CN"/>
        </w:rPr>
        <w:t>。</w:t>
      </w:r>
    </w:p>
    <w:p w14:paraId="56FF172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3、一旦我方成为合同签字人，我方将严格履行合同规定的责任和义务。</w:t>
      </w:r>
    </w:p>
    <w:p w14:paraId="53C0A35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，愿意为本项目提交的纸质投标书一式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份，其中正本一份、副本</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14:paraId="1E83D9C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、我方愿意提供可能另外要求的、与采购</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有关的文件资料，并保证我方已提供和将要提供的文件是真实的、准确的。</w:t>
      </w:r>
    </w:p>
    <w:p w14:paraId="0DA7A3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、我单位提供如下通讯地址：</w:t>
      </w:r>
      <w:r>
        <w:rPr>
          <w:rFonts w:hint="eastAsia" w:ascii="宋体" w:hAnsi="宋体" w:eastAsia="宋体" w:cs="宋体"/>
          <w:color w:val="auto"/>
          <w:sz w:val="24"/>
          <w:highlight w:val="none"/>
          <w:u w:val="single"/>
        </w:rPr>
        <w:t xml:space="preserve">        电子邮箱（地址）</w:t>
      </w:r>
      <w:r>
        <w:rPr>
          <w:rFonts w:hint="eastAsia" w:ascii="宋体" w:hAnsi="宋体" w:eastAsia="宋体" w:cs="宋体"/>
          <w:color w:val="auto"/>
          <w:sz w:val="24"/>
          <w:highlight w:val="none"/>
        </w:rPr>
        <w:t>，确认本项目相关法律文书均通过提供的以上地址送达，相关文书只要发送至以上电子邮箱（地址）即视为送达，</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愿意承担一切法律后果。</w:t>
      </w:r>
    </w:p>
    <w:p w14:paraId="2BF7C6B0">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4307A83">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单位法定代表人（签章）： </w:t>
      </w:r>
      <w:r>
        <w:rPr>
          <w:rFonts w:hint="eastAsia" w:ascii="宋体" w:hAnsi="宋体" w:eastAsia="宋体" w:cs="宋体"/>
          <w:color w:val="auto"/>
          <w:sz w:val="24"/>
          <w:szCs w:val="24"/>
          <w:highlight w:val="none"/>
          <w:u w:val="single"/>
        </w:rPr>
        <w:t xml:space="preserve">                        </w:t>
      </w:r>
    </w:p>
    <w:p w14:paraId="4AA5C34B">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Cs w:val="21"/>
          <w:highlight w:val="none"/>
        </w:rPr>
        <w:t xml:space="preserve">    </w:t>
      </w:r>
    </w:p>
    <w:p w14:paraId="17AF0BFC">
      <w:pPr>
        <w:spacing w:line="360" w:lineRule="auto"/>
        <w:ind w:firstLine="435"/>
        <w:rPr>
          <w:rFonts w:asciiTheme="minorEastAsia" w:hAnsiTheme="minorEastAsia" w:eastAsiaTheme="minorEastAsia"/>
          <w:color w:val="auto"/>
          <w:sz w:val="24"/>
          <w:highlight w:val="none"/>
        </w:rPr>
      </w:pPr>
    </w:p>
    <w:p w14:paraId="391696A5">
      <w:pPr>
        <w:spacing w:line="360" w:lineRule="auto"/>
        <w:ind w:firstLine="435"/>
        <w:rPr>
          <w:rFonts w:asciiTheme="minorEastAsia" w:hAnsiTheme="minorEastAsia" w:eastAsiaTheme="minorEastAsia"/>
          <w:color w:val="auto"/>
          <w:sz w:val="24"/>
          <w:highlight w:val="none"/>
        </w:rPr>
      </w:pPr>
    </w:p>
    <w:p w14:paraId="2ED1B51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7E4D066">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01767B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3DE0B20">
      <w:pPr>
        <w:spacing w:line="360" w:lineRule="auto"/>
        <w:jc w:val="center"/>
        <w:outlineLvl w:val="1"/>
        <w:rPr>
          <w:rFonts w:asciiTheme="minorEastAsia" w:hAnsiTheme="minorEastAsia" w:eastAsiaTheme="minorEastAsia"/>
          <w:b/>
          <w:color w:val="auto"/>
          <w:sz w:val="24"/>
          <w:highlight w:val="none"/>
        </w:rPr>
      </w:pPr>
      <w:bookmarkStart w:id="60" w:name="_Toc963"/>
      <w:bookmarkStart w:id="61" w:name="_Toc27880"/>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供应商资格声明书</w:t>
      </w:r>
      <w:bookmarkEnd w:id="60"/>
      <w:r>
        <w:rPr>
          <w:rFonts w:hint="eastAsia" w:asciiTheme="minorEastAsia" w:hAnsiTheme="minorEastAsia" w:eastAsiaTheme="minorEastAsia"/>
          <w:b/>
          <w:color w:val="auto"/>
          <w:sz w:val="24"/>
          <w:highlight w:val="none"/>
        </w:rPr>
        <w:t xml:space="preserve"> </w:t>
      </w:r>
    </w:p>
    <w:p w14:paraId="2AA754B2">
      <w:pPr>
        <w:pStyle w:val="17"/>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滁州市城投鑫驰科技有限公司 （</w:t>
      </w:r>
      <w:r>
        <w:rPr>
          <w:rFonts w:hint="eastAsia" w:ascii="宋体" w:hAnsi="宋体"/>
          <w:color w:val="auto"/>
          <w:sz w:val="24"/>
          <w:highlight w:val="none"/>
          <w:u w:val="single"/>
        </w:rPr>
        <w:t>采购人</w:t>
      </w:r>
      <w:r>
        <w:rPr>
          <w:rFonts w:hint="eastAsia" w:ascii="宋体" w:hAnsi="宋体"/>
          <w:color w:val="auto"/>
          <w:sz w:val="24"/>
          <w:highlight w:val="none"/>
          <w:u w:val="single"/>
          <w:lang w:val="en-US" w:eastAsia="zh-CN"/>
        </w:rPr>
        <w:t>）</w:t>
      </w:r>
    </w:p>
    <w:p w14:paraId="18E84E4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在参与本次项目询价中，我单位承诺：</w:t>
      </w:r>
    </w:p>
    <w:p w14:paraId="6590E24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6441683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165938C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0A264244">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B7AF9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5FDA942">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42D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18AEAB1">
            <w:pPr>
              <w:widowControl/>
              <w:spacing w:before="156" w:beforeLines="50" w:after="156" w:afterLines="50"/>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3095" w:type="dxa"/>
            <w:vAlign w:val="center"/>
          </w:tcPr>
          <w:p w14:paraId="4742833B">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3500" w:type="dxa"/>
            <w:vAlign w:val="center"/>
          </w:tcPr>
          <w:p w14:paraId="13A0BC89">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048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B25A0D6">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3095" w:type="dxa"/>
            <w:vAlign w:val="center"/>
          </w:tcPr>
          <w:p w14:paraId="52B0C866">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23D9BD57">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r w14:paraId="19D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2B334D">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3095" w:type="dxa"/>
            <w:vAlign w:val="center"/>
          </w:tcPr>
          <w:p w14:paraId="24B9795F">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4D28E30A">
            <w:pPr>
              <w:pStyle w:val="11"/>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bl>
    <w:p w14:paraId="196C2A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1AE0F32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8BAF88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BD5CEB1">
      <w:pPr>
        <w:pStyle w:val="11"/>
        <w:rPr>
          <w:rFonts w:asciiTheme="minorEastAsia" w:hAnsiTheme="minorEastAsia" w:eastAsiaTheme="minorEastAsia" w:cstheme="minorEastAsia"/>
          <w:color w:val="auto"/>
          <w:kern w:val="0"/>
          <w:sz w:val="24"/>
          <w:highlight w:val="none"/>
          <w:lang w:val="en-US" w:bidi="ar"/>
        </w:rPr>
      </w:pPr>
    </w:p>
    <w:p w14:paraId="2C2FF5A3">
      <w:pPr>
        <w:pStyle w:val="11"/>
        <w:rPr>
          <w:rFonts w:asciiTheme="minorEastAsia" w:hAnsiTheme="minorEastAsia" w:eastAsiaTheme="minorEastAsia" w:cstheme="minorEastAsia"/>
          <w:color w:val="auto"/>
          <w:kern w:val="0"/>
          <w:sz w:val="24"/>
          <w:highlight w:val="none"/>
          <w:lang w:val="en-US" w:bidi="ar"/>
        </w:rPr>
      </w:pPr>
    </w:p>
    <w:p w14:paraId="67BBEF0C">
      <w:pPr>
        <w:pStyle w:val="11"/>
        <w:rPr>
          <w:rFonts w:asciiTheme="minorEastAsia" w:hAnsiTheme="minorEastAsia" w:eastAsiaTheme="minorEastAsia" w:cstheme="minorEastAsia"/>
          <w:color w:val="auto"/>
          <w:kern w:val="0"/>
          <w:sz w:val="24"/>
          <w:highlight w:val="none"/>
          <w:lang w:val="en-US" w:bidi="ar"/>
        </w:rPr>
      </w:pPr>
    </w:p>
    <w:p w14:paraId="51C73DA9">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CAF2A62">
      <w:pPr>
        <w:spacing w:line="360" w:lineRule="auto"/>
        <w:jc w:val="center"/>
        <w:outlineLvl w:val="1"/>
        <w:rPr>
          <w:rFonts w:asciiTheme="minorEastAsia" w:hAnsiTheme="minorEastAsia" w:eastAsiaTheme="minorEastAsia"/>
          <w:b/>
          <w:color w:val="auto"/>
          <w:sz w:val="24"/>
          <w:highlight w:val="none"/>
        </w:rPr>
      </w:pPr>
      <w:bookmarkStart w:id="62" w:name="_Toc21371"/>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、授权书</w:t>
      </w:r>
      <w:bookmarkEnd w:id="61"/>
      <w:bookmarkEnd w:id="62"/>
    </w:p>
    <w:p w14:paraId="0C46D0CC">
      <w:pPr>
        <w:pStyle w:val="16"/>
        <w:snapToGrid w:val="0"/>
        <w:spacing w:line="360" w:lineRule="auto"/>
        <w:ind w:firstLine="480" w:firstLineChars="200"/>
        <w:jc w:val="left"/>
        <w:rPr>
          <w:rFonts w:asciiTheme="minorEastAsia" w:hAnsiTheme="minorEastAsia"/>
          <w:color w:val="auto"/>
          <w:sz w:val="24"/>
          <w:szCs w:val="28"/>
          <w:highlight w:val="none"/>
        </w:rPr>
      </w:pPr>
    </w:p>
    <w:p w14:paraId="1905469F">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27B2DFA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1EC41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71EDB952">
      <w:pPr>
        <w:spacing w:line="360" w:lineRule="auto"/>
        <w:ind w:firstLine="435"/>
        <w:rPr>
          <w:rFonts w:asciiTheme="minorEastAsia" w:hAnsiTheme="minorEastAsia" w:eastAsiaTheme="minorEastAsia"/>
          <w:color w:val="auto"/>
          <w:sz w:val="24"/>
          <w:highlight w:val="none"/>
        </w:rPr>
      </w:pPr>
    </w:p>
    <w:p w14:paraId="2B6DB829">
      <w:pPr>
        <w:spacing w:line="360" w:lineRule="auto"/>
        <w:ind w:firstLine="435"/>
        <w:rPr>
          <w:rFonts w:asciiTheme="minorEastAsia" w:hAnsiTheme="minorEastAsia" w:eastAsiaTheme="minorEastAsia"/>
          <w:color w:val="auto"/>
          <w:sz w:val="24"/>
          <w:highlight w:val="none"/>
        </w:rPr>
      </w:pPr>
    </w:p>
    <w:p w14:paraId="60D27137">
      <w:pPr>
        <w:spacing w:line="360" w:lineRule="auto"/>
        <w:ind w:firstLine="435"/>
        <w:rPr>
          <w:rFonts w:asciiTheme="minorEastAsia" w:hAnsiTheme="minorEastAsia" w:eastAsiaTheme="minorEastAsia"/>
          <w:color w:val="auto"/>
          <w:sz w:val="24"/>
          <w:highlight w:val="none"/>
        </w:rPr>
      </w:pPr>
    </w:p>
    <w:p w14:paraId="60530BDE">
      <w:pPr>
        <w:spacing w:line="360" w:lineRule="auto"/>
        <w:ind w:firstLine="435"/>
        <w:rPr>
          <w:rFonts w:asciiTheme="minorEastAsia" w:hAnsiTheme="minorEastAsia" w:eastAsiaTheme="minorEastAsia"/>
          <w:color w:val="auto"/>
          <w:sz w:val="24"/>
          <w:highlight w:val="none"/>
        </w:rPr>
      </w:pPr>
    </w:p>
    <w:p w14:paraId="0FB8ED47">
      <w:pPr>
        <w:spacing w:line="360" w:lineRule="auto"/>
        <w:ind w:firstLine="435"/>
        <w:rPr>
          <w:rFonts w:asciiTheme="minorEastAsia" w:hAnsiTheme="minorEastAsia" w:eastAsiaTheme="minorEastAsia"/>
          <w:color w:val="auto"/>
          <w:sz w:val="24"/>
          <w:highlight w:val="none"/>
        </w:rPr>
      </w:pPr>
    </w:p>
    <w:p w14:paraId="4AD77480">
      <w:pPr>
        <w:spacing w:line="360" w:lineRule="auto"/>
        <w:ind w:firstLine="435"/>
        <w:rPr>
          <w:rFonts w:asciiTheme="minorEastAsia" w:hAnsiTheme="minorEastAsia" w:eastAsiaTheme="minorEastAsia"/>
          <w:color w:val="auto"/>
          <w:sz w:val="24"/>
          <w:highlight w:val="none"/>
        </w:rPr>
      </w:pPr>
    </w:p>
    <w:p w14:paraId="72C9380E">
      <w:pPr>
        <w:spacing w:line="360" w:lineRule="auto"/>
        <w:ind w:firstLine="435"/>
        <w:rPr>
          <w:rFonts w:asciiTheme="minorEastAsia" w:hAnsiTheme="minorEastAsia" w:eastAsiaTheme="minorEastAsia"/>
          <w:color w:val="auto"/>
          <w:sz w:val="24"/>
          <w:highlight w:val="none"/>
        </w:rPr>
      </w:pPr>
    </w:p>
    <w:p w14:paraId="2EF444A2">
      <w:pPr>
        <w:spacing w:line="360" w:lineRule="auto"/>
        <w:ind w:firstLine="435"/>
        <w:rPr>
          <w:rFonts w:asciiTheme="minorEastAsia" w:hAnsiTheme="minorEastAsia" w:eastAsiaTheme="minorEastAsia"/>
          <w:color w:val="auto"/>
          <w:sz w:val="24"/>
          <w:highlight w:val="none"/>
        </w:rPr>
      </w:pPr>
    </w:p>
    <w:p w14:paraId="6675E735">
      <w:pPr>
        <w:spacing w:line="360" w:lineRule="auto"/>
        <w:rPr>
          <w:rFonts w:asciiTheme="minorEastAsia" w:hAnsiTheme="minorEastAsia" w:eastAsiaTheme="minorEastAsia"/>
          <w:color w:val="auto"/>
          <w:sz w:val="24"/>
          <w:highlight w:val="none"/>
        </w:rPr>
      </w:pPr>
    </w:p>
    <w:p w14:paraId="38A461C3">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527E842A">
      <w:pPr>
        <w:spacing w:line="360" w:lineRule="auto"/>
        <w:ind w:firstLine="435"/>
        <w:rPr>
          <w:rFonts w:asciiTheme="minorEastAsia" w:hAnsiTheme="minorEastAsia" w:eastAsiaTheme="minorEastAsia"/>
          <w:color w:val="auto"/>
          <w:sz w:val="24"/>
          <w:szCs w:val="28"/>
          <w:highlight w:val="none"/>
          <w:lang w:val="zh-CN"/>
        </w:rPr>
      </w:pPr>
    </w:p>
    <w:p w14:paraId="460DC44C">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6ED15AD4">
      <w:pPr>
        <w:spacing w:line="360" w:lineRule="auto"/>
        <w:rPr>
          <w:rFonts w:asciiTheme="minorEastAsia" w:hAnsiTheme="minorEastAsia" w:eastAsiaTheme="minorEastAsia"/>
          <w:color w:val="auto"/>
          <w:sz w:val="24"/>
          <w:szCs w:val="28"/>
          <w:highlight w:val="none"/>
        </w:rPr>
      </w:pPr>
    </w:p>
    <w:p w14:paraId="4825994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9C678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45120C86">
      <w:pPr>
        <w:spacing w:line="360" w:lineRule="auto"/>
        <w:ind w:firstLine="435"/>
        <w:rPr>
          <w:rFonts w:asciiTheme="minorEastAsia" w:hAnsiTheme="minorEastAsia" w:eastAsiaTheme="minorEastAsia"/>
          <w:color w:val="auto"/>
          <w:sz w:val="24"/>
          <w:highlight w:val="none"/>
        </w:rPr>
      </w:pPr>
    </w:p>
    <w:p w14:paraId="672E9CFB">
      <w:pPr>
        <w:spacing w:line="360" w:lineRule="auto"/>
        <w:ind w:firstLine="435"/>
        <w:rPr>
          <w:rFonts w:asciiTheme="minorEastAsia" w:hAnsiTheme="minorEastAsia" w:eastAsiaTheme="minorEastAsia"/>
          <w:color w:val="auto"/>
          <w:sz w:val="24"/>
          <w:highlight w:val="none"/>
        </w:rPr>
      </w:pPr>
    </w:p>
    <w:p w14:paraId="18C465B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5ED3D7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5E005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00B8835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FA994BB">
      <w:pPr>
        <w:spacing w:line="360" w:lineRule="auto"/>
        <w:jc w:val="center"/>
        <w:outlineLvl w:val="1"/>
        <w:rPr>
          <w:rFonts w:asciiTheme="minorEastAsia" w:hAnsiTheme="minorEastAsia" w:eastAsiaTheme="minorEastAsia"/>
          <w:b/>
          <w:color w:val="auto"/>
          <w:sz w:val="24"/>
          <w:highlight w:val="none"/>
        </w:rPr>
      </w:pPr>
      <w:bookmarkStart w:id="63" w:name="_Toc14799"/>
      <w:bookmarkStart w:id="64" w:name="_Toc24321"/>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、响应表</w:t>
      </w:r>
      <w:bookmarkEnd w:id="63"/>
      <w:bookmarkEnd w:id="64"/>
    </w:p>
    <w:p w14:paraId="284D95B8">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074"/>
        <w:gridCol w:w="2706"/>
        <w:gridCol w:w="1758"/>
        <w:gridCol w:w="1976"/>
      </w:tblGrid>
      <w:tr w14:paraId="4E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6" w:type="pct"/>
            <w:vAlign w:val="center"/>
          </w:tcPr>
          <w:p w14:paraId="445AA36F">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16" w:type="pct"/>
            <w:vAlign w:val="center"/>
          </w:tcPr>
          <w:p w14:paraId="0E35A4D6">
            <w:pPr>
              <w:pStyle w:val="16"/>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56" w:type="pct"/>
            <w:vAlign w:val="center"/>
          </w:tcPr>
          <w:p w14:paraId="3FBF35D9">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要求</w:t>
            </w:r>
          </w:p>
        </w:tc>
        <w:tc>
          <w:tcPr>
            <w:tcW w:w="946" w:type="pct"/>
            <w:vAlign w:val="center"/>
          </w:tcPr>
          <w:p w14:paraId="32038C03">
            <w:pPr>
              <w:pStyle w:val="16"/>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1063" w:type="pct"/>
            <w:vAlign w:val="center"/>
          </w:tcPr>
          <w:p w14:paraId="4A29E022">
            <w:pPr>
              <w:pStyle w:val="16"/>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p w14:paraId="695C1B19">
            <w:pPr>
              <w:pStyle w:val="16"/>
              <w:jc w:val="center"/>
              <w:rPr>
                <w:rFonts w:hint="eastAsia" w:cs="Wingdings" w:asciiTheme="minorEastAsia" w:hAnsiTheme="minorEastAsia" w:eastAsiaTheme="minorEastAsia"/>
                <w:b/>
                <w:color w:val="auto"/>
                <w:sz w:val="24"/>
                <w:highlight w:val="none"/>
                <w:lang w:eastAsia="zh-CN"/>
              </w:rPr>
            </w:pPr>
            <w:r>
              <w:rPr>
                <w:rFonts w:hint="eastAsia" w:cs="Wingdings" w:asciiTheme="minorEastAsia" w:hAnsiTheme="minorEastAsia"/>
                <w:b/>
                <w:color w:val="auto"/>
                <w:sz w:val="24"/>
                <w:highlight w:val="none"/>
                <w:lang w:eastAsia="zh-CN"/>
              </w:rPr>
              <w:t>（</w:t>
            </w:r>
            <w:r>
              <w:rPr>
                <w:rFonts w:hint="eastAsia" w:cs="Wingdings" w:asciiTheme="minorEastAsia" w:hAnsiTheme="minorEastAsia"/>
                <w:b/>
                <w:color w:val="auto"/>
                <w:sz w:val="24"/>
                <w:highlight w:val="none"/>
                <w:lang w:val="en-US" w:eastAsia="zh-CN"/>
              </w:rPr>
              <w:t>根据响应情况填写“响应”或“正偏离”</w:t>
            </w:r>
            <w:r>
              <w:rPr>
                <w:rFonts w:hint="eastAsia" w:cs="Wingdings" w:asciiTheme="minorEastAsia" w:hAnsiTheme="minorEastAsia"/>
                <w:b/>
                <w:color w:val="auto"/>
                <w:sz w:val="24"/>
                <w:highlight w:val="none"/>
                <w:lang w:eastAsia="zh-CN"/>
              </w:rPr>
              <w:t>）</w:t>
            </w:r>
          </w:p>
        </w:tc>
      </w:tr>
      <w:tr w14:paraId="34C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vAlign w:val="center"/>
          </w:tcPr>
          <w:p w14:paraId="68BABF2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16" w:type="pct"/>
            <w:vAlign w:val="center"/>
          </w:tcPr>
          <w:p w14:paraId="15036F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56" w:type="pct"/>
            <w:vAlign w:val="center"/>
          </w:tcPr>
          <w:p w14:paraId="4931DAF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货到付款，以当日验收数量 * 单价进行结算。货到场地经验收合格后第二日内，供应商按照结算单开具等额的增值税专用发票（税率：13%），采购人以银行转账支付货款</w:t>
            </w:r>
          </w:p>
        </w:tc>
        <w:tc>
          <w:tcPr>
            <w:tcW w:w="946" w:type="pct"/>
            <w:vAlign w:val="center"/>
          </w:tcPr>
          <w:p w14:paraId="259E0967">
            <w:pPr>
              <w:jc w:val="center"/>
              <w:rPr>
                <w:rFonts w:asciiTheme="minorEastAsia" w:hAnsiTheme="minorEastAsia" w:eastAsiaTheme="minorEastAsia"/>
                <w:color w:val="auto"/>
                <w:sz w:val="24"/>
                <w:highlight w:val="none"/>
              </w:rPr>
            </w:pPr>
          </w:p>
        </w:tc>
        <w:tc>
          <w:tcPr>
            <w:tcW w:w="1063" w:type="pct"/>
            <w:vAlign w:val="center"/>
          </w:tcPr>
          <w:p w14:paraId="51891BF4">
            <w:pPr>
              <w:jc w:val="center"/>
              <w:rPr>
                <w:rFonts w:asciiTheme="minorEastAsia" w:hAnsiTheme="minorEastAsia" w:eastAsiaTheme="minorEastAsia"/>
                <w:color w:val="auto"/>
                <w:sz w:val="24"/>
                <w:highlight w:val="none"/>
              </w:rPr>
            </w:pPr>
          </w:p>
        </w:tc>
      </w:tr>
      <w:tr w14:paraId="6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vAlign w:val="center"/>
          </w:tcPr>
          <w:p w14:paraId="4ACDCF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16" w:type="pct"/>
            <w:vAlign w:val="center"/>
          </w:tcPr>
          <w:p w14:paraId="14F259D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供货地点</w:t>
            </w:r>
          </w:p>
        </w:tc>
        <w:tc>
          <w:tcPr>
            <w:tcW w:w="1456" w:type="pct"/>
            <w:vAlign w:val="center"/>
          </w:tcPr>
          <w:p w14:paraId="652C35B9">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送至采购人指定地点</w:t>
            </w:r>
          </w:p>
        </w:tc>
        <w:tc>
          <w:tcPr>
            <w:tcW w:w="946" w:type="pct"/>
            <w:vAlign w:val="center"/>
          </w:tcPr>
          <w:p w14:paraId="494407BF">
            <w:pPr>
              <w:jc w:val="center"/>
              <w:rPr>
                <w:rFonts w:asciiTheme="minorEastAsia" w:hAnsiTheme="minorEastAsia" w:eastAsiaTheme="minorEastAsia"/>
                <w:color w:val="auto"/>
                <w:sz w:val="24"/>
                <w:highlight w:val="none"/>
              </w:rPr>
            </w:pPr>
          </w:p>
        </w:tc>
        <w:tc>
          <w:tcPr>
            <w:tcW w:w="1063" w:type="pct"/>
            <w:vAlign w:val="center"/>
          </w:tcPr>
          <w:p w14:paraId="5ACE2511">
            <w:pPr>
              <w:jc w:val="center"/>
              <w:rPr>
                <w:rFonts w:asciiTheme="minorEastAsia" w:hAnsiTheme="minorEastAsia" w:eastAsiaTheme="minorEastAsia"/>
                <w:color w:val="auto"/>
                <w:sz w:val="24"/>
                <w:highlight w:val="none"/>
              </w:rPr>
            </w:pPr>
          </w:p>
        </w:tc>
      </w:tr>
      <w:tr w14:paraId="581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vAlign w:val="center"/>
          </w:tcPr>
          <w:p w14:paraId="48A3755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16" w:type="pct"/>
            <w:vAlign w:val="center"/>
          </w:tcPr>
          <w:p w14:paraId="1BCA1B8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供货期限</w:t>
            </w:r>
          </w:p>
        </w:tc>
        <w:tc>
          <w:tcPr>
            <w:tcW w:w="1456" w:type="pct"/>
            <w:vAlign w:val="center"/>
          </w:tcPr>
          <w:p w14:paraId="4C30CFF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自本合同签订之日起至G36宁洛高速公路来安至明光段曹庄服务区收费站广场改造工程所需PG76-22 SBS改性沥青供货结束，具体供货时间以</w:t>
            </w:r>
            <w:bookmarkStart w:id="92" w:name="_GoBack"/>
            <w:bookmarkEnd w:id="92"/>
            <w:r>
              <w:rPr>
                <w:rFonts w:hint="eastAsia" w:asciiTheme="minorEastAsia" w:hAnsiTheme="minorEastAsia" w:eastAsiaTheme="minorEastAsia"/>
                <w:color w:val="auto"/>
                <w:sz w:val="24"/>
                <w:highlight w:val="none"/>
                <w:lang w:val="en-US" w:eastAsia="zh-CN"/>
              </w:rPr>
              <w:t>采购人通知为准</w:t>
            </w:r>
          </w:p>
        </w:tc>
        <w:tc>
          <w:tcPr>
            <w:tcW w:w="946" w:type="pct"/>
            <w:vAlign w:val="center"/>
          </w:tcPr>
          <w:p w14:paraId="466F5ED2">
            <w:pPr>
              <w:pStyle w:val="56"/>
              <w:jc w:val="center"/>
              <w:rPr>
                <w:rFonts w:asciiTheme="minorEastAsia" w:hAnsiTheme="minorEastAsia" w:eastAsiaTheme="minorEastAsia"/>
                <w:color w:val="auto"/>
                <w:highlight w:val="none"/>
              </w:rPr>
            </w:pPr>
          </w:p>
        </w:tc>
        <w:tc>
          <w:tcPr>
            <w:tcW w:w="1063" w:type="pct"/>
            <w:vAlign w:val="center"/>
          </w:tcPr>
          <w:p w14:paraId="7696EE85">
            <w:pPr>
              <w:jc w:val="center"/>
              <w:rPr>
                <w:rFonts w:asciiTheme="minorEastAsia" w:hAnsiTheme="minorEastAsia" w:eastAsiaTheme="minorEastAsia"/>
                <w:color w:val="auto"/>
                <w:sz w:val="24"/>
                <w:highlight w:val="none"/>
              </w:rPr>
            </w:pPr>
          </w:p>
        </w:tc>
      </w:tr>
      <w:tr w14:paraId="22D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6" w:type="pct"/>
            <w:vAlign w:val="center"/>
          </w:tcPr>
          <w:p w14:paraId="05F1F58D">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116" w:type="pct"/>
            <w:vAlign w:val="center"/>
          </w:tcPr>
          <w:p w14:paraId="5D6D4EAB">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质保期</w:t>
            </w:r>
          </w:p>
        </w:tc>
        <w:tc>
          <w:tcPr>
            <w:tcW w:w="1456" w:type="pct"/>
            <w:vAlign w:val="center"/>
          </w:tcPr>
          <w:p w14:paraId="4BEFDDEF">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eastAsia="zh-CN"/>
              </w:rPr>
              <w:t>路面交工之日后 2 年</w:t>
            </w:r>
          </w:p>
        </w:tc>
        <w:tc>
          <w:tcPr>
            <w:tcW w:w="946" w:type="pct"/>
            <w:vAlign w:val="center"/>
          </w:tcPr>
          <w:p w14:paraId="3176A90B">
            <w:pPr>
              <w:jc w:val="center"/>
              <w:rPr>
                <w:rFonts w:asciiTheme="minorEastAsia" w:hAnsiTheme="minorEastAsia" w:eastAsiaTheme="minorEastAsia"/>
                <w:color w:val="auto"/>
                <w:sz w:val="24"/>
                <w:highlight w:val="none"/>
              </w:rPr>
            </w:pPr>
          </w:p>
        </w:tc>
        <w:tc>
          <w:tcPr>
            <w:tcW w:w="1063" w:type="pct"/>
            <w:vAlign w:val="center"/>
          </w:tcPr>
          <w:p w14:paraId="2C1961A7">
            <w:pPr>
              <w:jc w:val="center"/>
              <w:rPr>
                <w:rFonts w:asciiTheme="minorEastAsia" w:hAnsiTheme="minorEastAsia" w:eastAsiaTheme="minorEastAsia"/>
                <w:color w:val="auto"/>
                <w:sz w:val="24"/>
                <w:highlight w:val="none"/>
              </w:rPr>
            </w:pPr>
          </w:p>
        </w:tc>
      </w:tr>
    </w:tbl>
    <w:p w14:paraId="5C9B595D">
      <w:pPr>
        <w:spacing w:line="440" w:lineRule="exac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注：请供应商自行填写“</w:t>
      </w:r>
      <w:r>
        <w:rPr>
          <w:rFonts w:hint="eastAsia" w:cs="Wingdings" w:asciiTheme="minorEastAsia" w:hAnsiTheme="minorEastAsia"/>
          <w:b/>
          <w:color w:val="auto"/>
          <w:sz w:val="24"/>
          <w:highlight w:val="none"/>
        </w:rPr>
        <w:t>供应商承诺</w:t>
      </w:r>
      <w:r>
        <w:rPr>
          <w:rFonts w:hint="eastAsia" w:ascii="宋体" w:hAnsi="宋体" w:eastAsia="宋体"/>
          <w:color w:val="auto"/>
          <w:sz w:val="24"/>
          <w:szCs w:val="24"/>
          <w:highlight w:val="none"/>
          <w:lang w:val="en-US" w:eastAsia="zh-CN"/>
        </w:rPr>
        <w:t>”、“</w:t>
      </w:r>
      <w:r>
        <w:rPr>
          <w:rFonts w:hint="eastAsia" w:cs="Wingdings" w:asciiTheme="minorEastAsia" w:hAnsiTheme="minorEastAsia"/>
          <w:b/>
          <w:color w:val="auto"/>
          <w:sz w:val="24"/>
          <w:highlight w:val="none"/>
        </w:rPr>
        <w:t>偏离说明</w:t>
      </w:r>
      <w:r>
        <w:rPr>
          <w:rFonts w:hint="eastAsia" w:ascii="宋体" w:hAnsi="宋体" w:eastAsia="宋体"/>
          <w:color w:val="auto"/>
          <w:sz w:val="24"/>
          <w:szCs w:val="24"/>
          <w:highlight w:val="none"/>
          <w:lang w:val="en-US" w:eastAsia="zh-CN"/>
        </w:rPr>
        <w:t>”。</w:t>
      </w:r>
    </w:p>
    <w:p w14:paraId="04E77721">
      <w:pPr>
        <w:spacing w:line="440" w:lineRule="exact"/>
        <w:ind w:firstLine="4800" w:firstLineChars="2000"/>
        <w:rPr>
          <w:rFonts w:hint="eastAsia" w:ascii="宋体" w:hAnsi="宋体" w:eastAsia="宋体"/>
          <w:color w:val="auto"/>
          <w:sz w:val="24"/>
          <w:szCs w:val="24"/>
          <w:highlight w:val="none"/>
        </w:rPr>
      </w:pPr>
    </w:p>
    <w:p w14:paraId="213B533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1CD42F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900DBB8">
      <w:pPr>
        <w:pStyle w:val="17"/>
        <w:spacing w:line="360" w:lineRule="auto"/>
        <w:rPr>
          <w:rFonts w:asciiTheme="minorEastAsia" w:hAnsiTheme="minorEastAsia" w:eastAsiaTheme="minorEastAsia"/>
          <w:b w:val="0"/>
          <w:color w:val="auto"/>
          <w:sz w:val="24"/>
          <w:highlight w:val="none"/>
        </w:rPr>
      </w:pPr>
    </w:p>
    <w:p w14:paraId="46FF9691">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asciiTheme="minorEastAsia" w:hAnsiTheme="minorEastAsia" w:eastAsiaTheme="minorEastAsia"/>
          <w:b w:val="0"/>
          <w:color w:val="auto"/>
          <w:sz w:val="24"/>
          <w:highlight w:val="none"/>
        </w:rPr>
        <w:br w:type="page"/>
      </w:r>
      <w:r>
        <w:rPr>
          <w:rFonts w:hint="eastAsia" w:asciiTheme="minorEastAsia" w:hAnsiTheme="minorEastAsia" w:eastAsiaTheme="minorEastAsia"/>
          <w:b/>
          <w:color w:val="auto"/>
          <w:sz w:val="24"/>
          <w:highlight w:val="none"/>
          <w:lang w:val="en-US" w:eastAsia="zh-CN"/>
        </w:rPr>
        <w:t>五、服务承诺书</w:t>
      </w:r>
    </w:p>
    <w:p w14:paraId="560E6B1E">
      <w:pPr>
        <w:spacing w:line="60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(采购</w:t>
      </w:r>
      <w:r>
        <w:rPr>
          <w:rFonts w:hint="eastAsia" w:ascii="宋体" w:hAnsi="宋体" w:eastAsia="宋体" w:cs="宋体"/>
          <w:bCs/>
          <w:color w:val="auto"/>
          <w:sz w:val="24"/>
          <w:szCs w:val="24"/>
          <w:highlight w:val="none"/>
          <w:u w:val="single"/>
        </w:rPr>
        <w:t>人）：</w:t>
      </w:r>
    </w:p>
    <w:p w14:paraId="472B755A">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本承诺声明：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名称）对本</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文件的相关要求完全响应。若有幸</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将严格按照以上承诺进行服务。</w:t>
      </w:r>
    </w:p>
    <w:p w14:paraId="580B4E31">
      <w:pPr>
        <w:pStyle w:val="89"/>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035D79C7">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14:paraId="1E65D5B8">
      <w:pPr>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43851A68">
      <w:pPr>
        <w:spacing w:line="60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法定代表人(签章)： </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u w:val="single"/>
        </w:rPr>
        <w:t xml:space="preserve">            </w:t>
      </w:r>
    </w:p>
    <w:p w14:paraId="1D423C74">
      <w:pPr>
        <w:wordWrap w:val="0"/>
        <w:spacing w:before="100" w:beforeAutospacing="1" w:after="100" w:afterAutospacing="1"/>
        <w:jc w:val="center"/>
        <w:rPr>
          <w:rFonts w:hint="eastAsia" w:ascii="宋体" w:hAnsi="宋体" w:eastAsia="宋体" w:cs="宋体"/>
          <w:b/>
          <w:bCs w:val="0"/>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（签章）  </w:t>
      </w:r>
    </w:p>
    <w:p w14:paraId="261B87C1">
      <w:pPr>
        <w:wordWrap w:val="0"/>
        <w:spacing w:before="100" w:beforeAutospacing="1" w:after="100" w:afterAutospacing="1"/>
        <w:jc w:val="center"/>
        <w:rPr>
          <w:rFonts w:hint="eastAsia" w:ascii="宋体" w:hAnsi="宋体" w:cs="宋体"/>
          <w:b/>
          <w:bCs w:val="0"/>
          <w:color w:val="auto"/>
          <w:sz w:val="24"/>
          <w:szCs w:val="24"/>
          <w:highlight w:val="none"/>
          <w:u w:val="single"/>
        </w:rPr>
      </w:pPr>
    </w:p>
    <w:p w14:paraId="213ED563">
      <w:pPr>
        <w:pStyle w:val="14"/>
        <w:rPr>
          <w:rFonts w:hint="eastAsia" w:ascii="宋体" w:hAnsi="宋体" w:cs="宋体"/>
          <w:b/>
          <w:bCs w:val="0"/>
          <w:color w:val="auto"/>
          <w:sz w:val="24"/>
          <w:szCs w:val="24"/>
          <w:highlight w:val="none"/>
          <w:u w:val="single"/>
        </w:rPr>
      </w:pPr>
    </w:p>
    <w:p w14:paraId="784E591F">
      <w:pPr>
        <w:pStyle w:val="14"/>
        <w:rPr>
          <w:rFonts w:hint="eastAsia" w:ascii="宋体" w:hAnsi="宋体" w:cs="宋体"/>
          <w:b/>
          <w:bCs w:val="0"/>
          <w:color w:val="auto"/>
          <w:sz w:val="24"/>
          <w:szCs w:val="24"/>
          <w:highlight w:val="none"/>
          <w:u w:val="single"/>
        </w:rPr>
      </w:pPr>
    </w:p>
    <w:p w14:paraId="7C536180">
      <w:pPr>
        <w:pStyle w:val="14"/>
        <w:rPr>
          <w:rFonts w:hint="eastAsia" w:ascii="宋体" w:hAnsi="宋体" w:cs="宋体"/>
          <w:b/>
          <w:bCs w:val="0"/>
          <w:color w:val="auto"/>
          <w:sz w:val="24"/>
          <w:szCs w:val="24"/>
          <w:highlight w:val="none"/>
          <w:u w:val="single"/>
        </w:rPr>
      </w:pPr>
    </w:p>
    <w:p w14:paraId="116213D5">
      <w:pPr>
        <w:pStyle w:val="14"/>
        <w:rPr>
          <w:rFonts w:hint="eastAsia" w:ascii="宋体" w:hAnsi="宋体" w:cs="宋体"/>
          <w:b/>
          <w:bCs w:val="0"/>
          <w:color w:val="auto"/>
          <w:sz w:val="24"/>
          <w:szCs w:val="24"/>
          <w:highlight w:val="none"/>
          <w:u w:val="single"/>
        </w:rPr>
      </w:pPr>
    </w:p>
    <w:p w14:paraId="42D74BB1">
      <w:pPr>
        <w:pStyle w:val="14"/>
        <w:rPr>
          <w:rFonts w:hint="eastAsia" w:ascii="宋体" w:hAnsi="宋体" w:cs="宋体"/>
          <w:b/>
          <w:bCs w:val="0"/>
          <w:color w:val="auto"/>
          <w:sz w:val="24"/>
          <w:szCs w:val="24"/>
          <w:highlight w:val="none"/>
          <w:u w:val="single"/>
        </w:rPr>
      </w:pPr>
    </w:p>
    <w:p w14:paraId="45E77DDA">
      <w:pPr>
        <w:pStyle w:val="14"/>
        <w:rPr>
          <w:rFonts w:hint="eastAsia" w:ascii="宋体" w:hAnsi="宋体" w:cs="宋体"/>
          <w:b/>
          <w:bCs w:val="0"/>
          <w:color w:val="auto"/>
          <w:sz w:val="24"/>
          <w:szCs w:val="24"/>
          <w:highlight w:val="none"/>
          <w:u w:val="single"/>
        </w:rPr>
      </w:pPr>
    </w:p>
    <w:p w14:paraId="2891B8CC">
      <w:pPr>
        <w:pStyle w:val="14"/>
        <w:rPr>
          <w:rFonts w:hint="eastAsia" w:ascii="宋体" w:hAnsi="宋体" w:cs="宋体"/>
          <w:b/>
          <w:bCs w:val="0"/>
          <w:color w:val="auto"/>
          <w:sz w:val="24"/>
          <w:szCs w:val="24"/>
          <w:highlight w:val="none"/>
          <w:u w:val="single"/>
        </w:rPr>
      </w:pPr>
    </w:p>
    <w:p w14:paraId="240AB6E5">
      <w:pPr>
        <w:pStyle w:val="14"/>
        <w:rPr>
          <w:rFonts w:hint="eastAsia" w:ascii="宋体" w:hAnsi="宋体" w:cs="宋体"/>
          <w:b/>
          <w:bCs w:val="0"/>
          <w:color w:val="auto"/>
          <w:sz w:val="24"/>
          <w:szCs w:val="24"/>
          <w:highlight w:val="none"/>
          <w:u w:val="single"/>
        </w:rPr>
      </w:pPr>
    </w:p>
    <w:p w14:paraId="41BC15D8">
      <w:pPr>
        <w:pStyle w:val="14"/>
        <w:rPr>
          <w:rFonts w:hint="eastAsia" w:ascii="宋体" w:hAnsi="宋体" w:cs="宋体"/>
          <w:b/>
          <w:bCs w:val="0"/>
          <w:color w:val="auto"/>
          <w:sz w:val="24"/>
          <w:szCs w:val="24"/>
          <w:highlight w:val="none"/>
          <w:u w:val="single"/>
        </w:rPr>
      </w:pPr>
    </w:p>
    <w:p w14:paraId="216B1BCB">
      <w:pPr>
        <w:pStyle w:val="14"/>
        <w:rPr>
          <w:rFonts w:hint="eastAsia" w:ascii="宋体" w:hAnsi="宋体" w:cs="宋体"/>
          <w:b/>
          <w:bCs w:val="0"/>
          <w:color w:val="auto"/>
          <w:sz w:val="24"/>
          <w:szCs w:val="24"/>
          <w:highlight w:val="none"/>
          <w:u w:val="single"/>
        </w:rPr>
      </w:pPr>
    </w:p>
    <w:p w14:paraId="66EE3B7A">
      <w:pPr>
        <w:pStyle w:val="14"/>
        <w:rPr>
          <w:rFonts w:hint="eastAsia" w:ascii="宋体" w:hAnsi="宋体" w:cs="宋体"/>
          <w:b/>
          <w:bCs w:val="0"/>
          <w:color w:val="auto"/>
          <w:sz w:val="24"/>
          <w:szCs w:val="24"/>
          <w:highlight w:val="none"/>
          <w:u w:val="single"/>
        </w:rPr>
      </w:pPr>
    </w:p>
    <w:p w14:paraId="1D8A6BB6">
      <w:pPr>
        <w:pStyle w:val="14"/>
        <w:rPr>
          <w:rFonts w:hint="eastAsia" w:ascii="宋体" w:hAnsi="宋体" w:cs="宋体"/>
          <w:b/>
          <w:bCs w:val="0"/>
          <w:color w:val="auto"/>
          <w:sz w:val="24"/>
          <w:szCs w:val="24"/>
          <w:highlight w:val="none"/>
          <w:u w:val="single"/>
        </w:rPr>
      </w:pPr>
    </w:p>
    <w:p w14:paraId="262E47E0">
      <w:pPr>
        <w:pStyle w:val="14"/>
        <w:rPr>
          <w:rFonts w:hint="eastAsia" w:ascii="宋体" w:hAnsi="宋体" w:cs="宋体"/>
          <w:b/>
          <w:bCs w:val="0"/>
          <w:color w:val="auto"/>
          <w:sz w:val="24"/>
          <w:szCs w:val="24"/>
          <w:highlight w:val="none"/>
          <w:u w:val="single"/>
        </w:rPr>
      </w:pPr>
    </w:p>
    <w:p w14:paraId="3E387202">
      <w:pPr>
        <w:pStyle w:val="14"/>
        <w:rPr>
          <w:rFonts w:hint="eastAsia" w:ascii="宋体" w:hAnsi="宋体" w:cs="宋体"/>
          <w:b/>
          <w:bCs w:val="0"/>
          <w:color w:val="auto"/>
          <w:sz w:val="24"/>
          <w:szCs w:val="24"/>
          <w:highlight w:val="none"/>
          <w:u w:val="single"/>
        </w:rPr>
      </w:pPr>
    </w:p>
    <w:p w14:paraId="595C483D">
      <w:pPr>
        <w:pStyle w:val="14"/>
        <w:rPr>
          <w:rFonts w:hint="eastAsia" w:ascii="宋体" w:hAnsi="宋体" w:cs="宋体"/>
          <w:b/>
          <w:bCs w:val="0"/>
          <w:color w:val="auto"/>
          <w:sz w:val="24"/>
          <w:szCs w:val="24"/>
          <w:highlight w:val="none"/>
          <w:u w:val="single"/>
        </w:rPr>
      </w:pPr>
    </w:p>
    <w:p w14:paraId="24808B9A">
      <w:pPr>
        <w:pStyle w:val="14"/>
        <w:rPr>
          <w:rFonts w:hint="eastAsia" w:ascii="宋体" w:hAnsi="宋体" w:cs="宋体"/>
          <w:b/>
          <w:bCs w:val="0"/>
          <w:color w:val="auto"/>
          <w:sz w:val="24"/>
          <w:szCs w:val="24"/>
          <w:highlight w:val="none"/>
          <w:u w:val="single"/>
        </w:rPr>
      </w:pPr>
    </w:p>
    <w:p w14:paraId="62CB2FFA">
      <w:pPr>
        <w:pStyle w:val="14"/>
        <w:rPr>
          <w:rFonts w:hint="eastAsia" w:ascii="宋体" w:hAnsi="宋体" w:cs="宋体"/>
          <w:b/>
          <w:bCs w:val="0"/>
          <w:color w:val="auto"/>
          <w:sz w:val="24"/>
          <w:szCs w:val="24"/>
          <w:highlight w:val="none"/>
          <w:u w:val="single"/>
        </w:rPr>
      </w:pPr>
    </w:p>
    <w:p w14:paraId="1574C09D">
      <w:pPr>
        <w:pStyle w:val="14"/>
        <w:rPr>
          <w:rFonts w:hint="eastAsia" w:ascii="宋体" w:hAnsi="宋体" w:cs="宋体"/>
          <w:b/>
          <w:bCs w:val="0"/>
          <w:color w:val="auto"/>
          <w:sz w:val="24"/>
          <w:szCs w:val="24"/>
          <w:highlight w:val="none"/>
          <w:u w:val="single"/>
        </w:rPr>
      </w:pPr>
    </w:p>
    <w:p w14:paraId="35E2A362">
      <w:pPr>
        <w:pStyle w:val="14"/>
        <w:rPr>
          <w:rFonts w:hint="eastAsia" w:ascii="宋体" w:hAnsi="宋体" w:cs="宋体"/>
          <w:b/>
          <w:bCs w:val="0"/>
          <w:color w:val="auto"/>
          <w:sz w:val="24"/>
          <w:szCs w:val="24"/>
          <w:highlight w:val="none"/>
          <w:u w:val="single"/>
        </w:rPr>
      </w:pPr>
    </w:p>
    <w:p w14:paraId="727A125A">
      <w:pPr>
        <w:pStyle w:val="17"/>
        <w:spacing w:line="360" w:lineRule="auto"/>
        <w:rPr>
          <w:rFonts w:asciiTheme="minorEastAsia" w:hAnsiTheme="minorEastAsia" w:eastAsiaTheme="minorEastAsia"/>
          <w:b w:val="0"/>
          <w:color w:val="auto"/>
          <w:sz w:val="24"/>
          <w:highlight w:val="none"/>
        </w:rPr>
      </w:pPr>
    </w:p>
    <w:p w14:paraId="35DCC6ED">
      <w:pPr>
        <w:spacing w:line="360" w:lineRule="auto"/>
        <w:jc w:val="center"/>
        <w:outlineLvl w:val="1"/>
        <w:rPr>
          <w:rFonts w:asciiTheme="minorEastAsia" w:hAnsiTheme="minorEastAsia" w:eastAsiaTheme="minorEastAsia"/>
          <w:b/>
          <w:color w:val="auto"/>
          <w:sz w:val="24"/>
          <w:highlight w:val="none"/>
        </w:rPr>
      </w:pPr>
      <w:bookmarkStart w:id="65" w:name="_Toc5390"/>
      <w:bookmarkStart w:id="66" w:name="_Toc10896"/>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65"/>
      <w:bookmarkEnd w:id="66"/>
      <w:r>
        <w:rPr>
          <w:rFonts w:hint="eastAsia" w:asciiTheme="minorEastAsia" w:hAnsiTheme="minorEastAsia" w:eastAsiaTheme="minorEastAsia"/>
          <w:b/>
          <w:color w:val="auto"/>
          <w:sz w:val="24"/>
          <w:highlight w:val="none"/>
        </w:rPr>
        <w:t>诚信响应承诺书</w:t>
      </w:r>
    </w:p>
    <w:p w14:paraId="64D2B54D">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1A4F41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2CBF2F8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F2636B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56D9345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6DE8287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3E96CFF0">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C4690C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40F79AE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230B090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5762086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48E06B0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11DFB7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以上内容我已仔细阅读，本公司若有违反承诺内容的行为，自愿接受取消响应或者成交资格、记入不良行为记录等有关处理，愿意承担法律责任，给采购人造成损失的，依法承担赔偿责任。</w:t>
      </w:r>
    </w:p>
    <w:p w14:paraId="6B3861AF">
      <w:pPr>
        <w:spacing w:line="560" w:lineRule="exact"/>
        <w:ind w:firstLine="480" w:firstLineChars="200"/>
        <w:jc w:val="left"/>
        <w:rPr>
          <w:rFonts w:ascii="宋体" w:hAnsi="宋体" w:eastAsia="宋体" w:cs="宋体"/>
          <w:color w:val="auto"/>
          <w:sz w:val="24"/>
          <w:szCs w:val="24"/>
          <w:highlight w:val="none"/>
        </w:rPr>
      </w:pPr>
    </w:p>
    <w:p w14:paraId="28EF9579">
      <w:pPr>
        <w:spacing w:line="520" w:lineRule="exact"/>
        <w:jc w:val="left"/>
        <w:rPr>
          <w:rFonts w:ascii="宋体" w:hAnsi="宋体" w:eastAsia="宋体" w:cs="宋体"/>
          <w:color w:val="auto"/>
          <w:sz w:val="24"/>
          <w:szCs w:val="24"/>
          <w:highlight w:val="none"/>
        </w:rPr>
      </w:pPr>
    </w:p>
    <w:p w14:paraId="732C367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2CE01E4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58621119">
      <w:pPr>
        <w:spacing w:line="600" w:lineRule="exact"/>
        <w:ind w:firstLine="4095" w:firstLineChars="1950"/>
        <w:rPr>
          <w:rFonts w:ascii="宋体" w:hAnsi="宋体"/>
          <w:color w:val="auto"/>
          <w:szCs w:val="21"/>
          <w:highlight w:val="none"/>
        </w:rPr>
      </w:pPr>
    </w:p>
    <w:p w14:paraId="6629D935">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169E4C5">
      <w:pPr>
        <w:spacing w:line="360" w:lineRule="auto"/>
        <w:ind w:right="480" w:firstLine="4680" w:firstLineChars="1950"/>
        <w:rPr>
          <w:rFonts w:asciiTheme="minorEastAsia" w:hAnsiTheme="minorEastAsia" w:eastAsiaTheme="minorEastAsia"/>
          <w:color w:val="auto"/>
          <w:sz w:val="24"/>
          <w:highlight w:val="none"/>
        </w:rPr>
      </w:pPr>
    </w:p>
    <w:p w14:paraId="76E6817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DCC4F49">
      <w:pPr>
        <w:spacing w:line="360" w:lineRule="auto"/>
        <w:jc w:val="center"/>
        <w:outlineLvl w:val="1"/>
        <w:rPr>
          <w:rFonts w:asciiTheme="minorEastAsia" w:hAnsiTheme="minorEastAsia" w:eastAsiaTheme="minorEastAsia"/>
          <w:b/>
          <w:color w:val="auto"/>
          <w:sz w:val="24"/>
          <w:highlight w:val="none"/>
        </w:rPr>
      </w:pPr>
      <w:bookmarkStart w:id="67" w:name="_Toc1350"/>
      <w:bookmarkStart w:id="68" w:name="_Toc23417"/>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67"/>
      <w:bookmarkEnd w:id="68"/>
    </w:p>
    <w:p w14:paraId="162A73A2">
      <w:pPr>
        <w:spacing w:line="360" w:lineRule="auto"/>
        <w:rPr>
          <w:rFonts w:asciiTheme="minorEastAsia" w:hAnsiTheme="minorEastAsia" w:eastAsiaTheme="minorEastAsia"/>
          <w:b/>
          <w:bCs/>
          <w:color w:val="auto"/>
          <w:sz w:val="24"/>
          <w:highlight w:val="none"/>
        </w:rPr>
      </w:pPr>
    </w:p>
    <w:p w14:paraId="1C59D4D0">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b/>
          <w:bCs/>
          <w:color w:val="auto"/>
          <w:sz w:val="24"/>
          <w:highlight w:val="none"/>
          <w:u w:val="single"/>
          <w:lang w:val="en-US" w:eastAsia="zh-CN"/>
        </w:rPr>
        <w:t>滁州市城投鑫驰科技有限公司 （</w:t>
      </w:r>
      <w:r>
        <w:rPr>
          <w:rFonts w:hint="eastAsia" w:asciiTheme="minorEastAsia" w:hAnsiTheme="minorEastAsia" w:eastAsiaTheme="minorEastAsia"/>
          <w:b/>
          <w:bCs/>
          <w:color w:val="auto"/>
          <w:sz w:val="24"/>
          <w:highlight w:val="none"/>
          <w:u w:val="single"/>
        </w:rPr>
        <w:t>采购人</w:t>
      </w:r>
      <w:r>
        <w:rPr>
          <w:rFonts w:hint="eastAsia" w:asciiTheme="minorEastAsia" w:hAnsiTheme="minorEastAsia" w:eastAsiaTheme="minorEastAsia"/>
          <w:b/>
          <w:bCs/>
          <w:color w:val="auto"/>
          <w:sz w:val="24"/>
          <w:highlight w:val="none"/>
          <w:u w:val="single"/>
          <w:lang w:val="en-US" w:eastAsia="zh-CN"/>
        </w:rPr>
        <w:t>）</w:t>
      </w:r>
    </w:p>
    <w:p w14:paraId="2456213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中关于合同签订及履约的相关规定，不出现以下情形：</w:t>
      </w:r>
    </w:p>
    <w:p w14:paraId="25445FD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（1）成交后无正当理由拒不与采购人签订合同；</w:t>
      </w:r>
    </w:p>
    <w:p w14:paraId="2ED0212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确定的事项签订合同；</w:t>
      </w:r>
    </w:p>
    <w:p w14:paraId="61E761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（3）将合同转包；</w:t>
      </w:r>
    </w:p>
    <w:p w14:paraId="49A4B15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1DD001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（5）擅自变更、中止或者终止合同。</w:t>
      </w:r>
    </w:p>
    <w:p w14:paraId="5D82F91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9C33F1">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（供应商名称）</w:t>
      </w:r>
      <w:r>
        <w:rPr>
          <w:rFonts w:hint="eastAsia" w:ascii="宋体" w:hAnsi="宋体" w:eastAsia="宋体"/>
          <w:bCs/>
          <w:color w:val="auto"/>
          <w:sz w:val="24"/>
          <w:szCs w:val="24"/>
          <w:highlight w:val="none"/>
          <w:lang w:bidi="ar"/>
        </w:rPr>
        <w:t>对本</w:t>
      </w:r>
      <w:r>
        <w:rPr>
          <w:rFonts w:hint="eastAsia" w:ascii="宋体" w:hAnsi="宋体" w:eastAsia="宋体"/>
          <w:bCs/>
          <w:color w:val="auto"/>
          <w:sz w:val="24"/>
          <w:szCs w:val="24"/>
          <w:highlight w:val="none"/>
          <w:lang w:eastAsia="zh-CN" w:bidi="ar"/>
        </w:rPr>
        <w:t>询价采购文件</w:t>
      </w:r>
      <w:r>
        <w:rPr>
          <w:rFonts w:hint="eastAsia" w:ascii="宋体" w:hAnsi="宋体" w:eastAsia="宋体"/>
          <w:bCs/>
          <w:color w:val="auto"/>
          <w:sz w:val="24"/>
          <w:szCs w:val="24"/>
          <w:highlight w:val="none"/>
          <w:lang w:bidi="ar"/>
        </w:rPr>
        <w:t>的相关要求完全响应。若有幸成交将严格按照以上承诺进行供货和服务。</w:t>
      </w:r>
    </w:p>
    <w:p w14:paraId="1FACB290">
      <w:pPr>
        <w:spacing w:line="360" w:lineRule="auto"/>
        <w:rPr>
          <w:rFonts w:asciiTheme="minorEastAsia" w:hAnsiTheme="minorEastAsia" w:eastAsiaTheme="minorEastAsia"/>
          <w:bCs/>
          <w:color w:val="auto"/>
          <w:sz w:val="24"/>
          <w:highlight w:val="none"/>
        </w:rPr>
      </w:pPr>
    </w:p>
    <w:p w14:paraId="55662DBD">
      <w:pPr>
        <w:spacing w:line="360" w:lineRule="auto"/>
        <w:rPr>
          <w:rFonts w:asciiTheme="minorEastAsia" w:hAnsiTheme="minorEastAsia" w:eastAsiaTheme="minorEastAsia"/>
          <w:bCs/>
          <w:color w:val="auto"/>
          <w:sz w:val="24"/>
          <w:highlight w:val="none"/>
        </w:rPr>
      </w:pPr>
    </w:p>
    <w:p w14:paraId="3CE890B3">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C78C081">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E62595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87904F3">
      <w:pPr>
        <w:widowControl/>
        <w:jc w:val="left"/>
        <w:rPr>
          <w:rFonts w:asciiTheme="minorEastAsia" w:hAnsiTheme="minorEastAsia" w:eastAsiaTheme="minorEastAsia"/>
          <w:color w:val="auto"/>
          <w:sz w:val="24"/>
          <w:highlight w:val="none"/>
        </w:rPr>
      </w:pPr>
    </w:p>
    <w:p w14:paraId="42A35DEC">
      <w:pPr>
        <w:spacing w:line="360" w:lineRule="auto"/>
        <w:jc w:val="center"/>
        <w:outlineLvl w:val="1"/>
        <w:rPr>
          <w:rFonts w:asciiTheme="minorEastAsia" w:hAnsiTheme="minorEastAsia" w:eastAsiaTheme="minorEastAsia"/>
          <w:b/>
          <w:color w:val="auto"/>
          <w:sz w:val="24"/>
          <w:highlight w:val="none"/>
        </w:rPr>
      </w:pPr>
      <w:bookmarkStart w:id="69" w:name="_Toc19513"/>
      <w:bookmarkStart w:id="70" w:name="_Toc12602"/>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、其他相关证明材料</w:t>
      </w:r>
      <w:bookmarkEnd w:id="69"/>
      <w:bookmarkEnd w:id="70"/>
    </w:p>
    <w:p w14:paraId="4D1741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052869DB">
      <w:pPr>
        <w:spacing w:line="360" w:lineRule="auto"/>
        <w:ind w:firstLine="480" w:firstLineChars="200"/>
        <w:rPr>
          <w:rFonts w:asciiTheme="minorEastAsia" w:hAnsiTheme="minorEastAsia" w:eastAsiaTheme="minorEastAsia"/>
          <w:color w:val="auto"/>
          <w:sz w:val="24"/>
          <w:highlight w:val="none"/>
        </w:rPr>
      </w:pPr>
    </w:p>
    <w:p w14:paraId="454F484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2CFC0C5">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供应商在响应文件制作时可在此栏内上传</w:t>
      </w:r>
      <w:r>
        <w:rPr>
          <w:rFonts w:hint="eastAsia" w:asciiTheme="minorEastAsia" w:hAnsiTheme="minorEastAsia" w:eastAsiaTheme="minorEastAsia"/>
          <w:b/>
          <w:bCs/>
          <w:color w:val="auto"/>
          <w:sz w:val="24"/>
          <w:highlight w:val="none"/>
          <w:lang w:eastAsia="zh-CN"/>
        </w:rPr>
        <w:t>询价采购文件</w:t>
      </w:r>
      <w:r>
        <w:rPr>
          <w:rFonts w:asciiTheme="minorEastAsia" w:hAnsiTheme="minorEastAsia" w:eastAsiaTheme="minorEastAsia"/>
          <w:b/>
          <w:bCs/>
          <w:color w:val="auto"/>
          <w:sz w:val="24"/>
          <w:highlight w:val="none"/>
        </w:rPr>
        <w:t>要求上传的证明资料</w:t>
      </w:r>
      <w:r>
        <w:rPr>
          <w:rFonts w:hint="eastAsia" w:asciiTheme="minorEastAsia" w:hAnsiTheme="minorEastAsia" w:eastAsiaTheme="minorEastAsia"/>
          <w:b/>
          <w:bCs/>
          <w:color w:val="auto"/>
          <w:sz w:val="24"/>
          <w:highlight w:val="none"/>
        </w:rPr>
        <w:t>，如营业执照、证书</w:t>
      </w:r>
      <w:r>
        <w:rPr>
          <w:rFonts w:asciiTheme="minorEastAsia" w:hAnsiTheme="minorEastAsia" w:eastAsiaTheme="minorEastAsia"/>
          <w:b/>
          <w:bCs/>
          <w:color w:val="auto"/>
          <w:sz w:val="24"/>
          <w:highlight w:val="none"/>
        </w:rPr>
        <w:t>等，应将上述证明材料制作成扫描件上传。</w:t>
      </w:r>
    </w:p>
    <w:bookmarkEnd w:id="57"/>
    <w:p w14:paraId="00943BE2">
      <w:pPr>
        <w:widowControl/>
        <w:jc w:val="left"/>
        <w:rPr>
          <w:rFonts w:ascii="宋体" w:hAnsi="宋体" w:eastAsia="宋体" w:cs="宋体"/>
          <w:b/>
          <w:bCs/>
          <w:color w:val="auto"/>
          <w:kern w:val="0"/>
          <w:sz w:val="24"/>
          <w:szCs w:val="24"/>
          <w:highlight w:val="none"/>
          <w:lang w:bidi="ar"/>
        </w:rPr>
      </w:pPr>
      <w:bookmarkStart w:id="71" w:name="_Toc60608832"/>
      <w:bookmarkStart w:id="72" w:name="_Toc1141"/>
      <w:bookmarkStart w:id="73" w:name="_Toc11711"/>
      <w:r>
        <w:rPr>
          <w:rFonts w:hint="eastAsia" w:ascii="宋体" w:hAnsi="宋体" w:eastAsia="宋体" w:cs="宋体"/>
          <w:b/>
          <w:bCs/>
          <w:color w:val="auto"/>
          <w:kern w:val="0"/>
          <w:sz w:val="24"/>
          <w:szCs w:val="24"/>
          <w:highlight w:val="none"/>
          <w:lang w:bidi="ar"/>
        </w:rPr>
        <w:br w:type="page"/>
      </w:r>
    </w:p>
    <w:p w14:paraId="48EBEF17">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第七章</w:t>
      </w:r>
      <w:r>
        <w:rPr>
          <w:rFonts w:hint="eastAsia"/>
          <w:b/>
          <w:bCs/>
          <w:color w:val="auto"/>
          <w:sz w:val="28"/>
          <w:highlight w:val="none"/>
        </w:rPr>
        <w:t xml:space="preserve">  </w:t>
      </w:r>
      <w:bookmarkEnd w:id="71"/>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72"/>
      <w:bookmarkEnd w:id="73"/>
    </w:p>
    <w:p w14:paraId="2D6DC504">
      <w:pPr>
        <w:spacing w:line="360" w:lineRule="auto"/>
        <w:jc w:val="center"/>
        <w:outlineLvl w:val="1"/>
        <w:rPr>
          <w:rFonts w:ascii="仿宋" w:hAnsi="仿宋" w:eastAsia="仿宋" w:cs="仿宋"/>
          <w:b/>
          <w:bCs/>
          <w:color w:val="auto"/>
          <w:sz w:val="32"/>
          <w:szCs w:val="44"/>
          <w:highlight w:val="none"/>
        </w:rPr>
      </w:pPr>
      <w:bookmarkStart w:id="74" w:name="_Toc29389"/>
      <w:bookmarkStart w:id="75" w:name="_Toc10045"/>
      <w:r>
        <w:rPr>
          <w:rFonts w:hint="eastAsia" w:ascii="仿宋" w:hAnsi="仿宋" w:eastAsia="仿宋" w:cs="仿宋"/>
          <w:b/>
          <w:bCs/>
          <w:color w:val="auto"/>
          <w:sz w:val="32"/>
          <w:szCs w:val="44"/>
          <w:highlight w:val="none"/>
        </w:rPr>
        <w:t>询问函范本</w:t>
      </w:r>
      <w:bookmarkEnd w:id="74"/>
      <w:bookmarkEnd w:id="75"/>
    </w:p>
    <w:p w14:paraId="2CC531F8">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eastAsia="zh-CN"/>
        </w:rPr>
        <w:t>询价采购文件</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7A1307F0">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43120C4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(项目名称、编号)的采购活动，现有以下内容(或条款)存在疑问(或无法理解)，特提出询问。</w:t>
      </w:r>
    </w:p>
    <w:p w14:paraId="3D02A0CD">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6" w:name="_Toc23472"/>
      <w:bookmarkStart w:id="77" w:name="_Toc29678"/>
      <w:r>
        <w:rPr>
          <w:rFonts w:hint="eastAsia" w:cs="仿宋" w:asciiTheme="minorEastAsia" w:hAnsiTheme="minorEastAsia" w:eastAsiaTheme="minorEastAsia"/>
          <w:color w:val="auto"/>
          <w:sz w:val="24"/>
          <w:szCs w:val="24"/>
          <w:highlight w:val="none"/>
        </w:rPr>
        <w:t>一、(事项一)</w:t>
      </w:r>
      <w:bookmarkEnd w:id="76"/>
      <w:bookmarkEnd w:id="77"/>
    </w:p>
    <w:p w14:paraId="50C923E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937F4E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C0A70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F149F4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8" w:name="_Toc22463"/>
      <w:bookmarkStart w:id="79" w:name="_Toc20836"/>
      <w:r>
        <w:rPr>
          <w:rFonts w:hint="eastAsia" w:cs="仿宋" w:asciiTheme="minorEastAsia" w:hAnsiTheme="minorEastAsia" w:eastAsiaTheme="minorEastAsia"/>
          <w:color w:val="auto"/>
          <w:sz w:val="24"/>
          <w:szCs w:val="24"/>
          <w:highlight w:val="none"/>
        </w:rPr>
        <w:t>二、(事项二)</w:t>
      </w:r>
      <w:bookmarkEnd w:id="78"/>
      <w:bookmarkEnd w:id="79"/>
    </w:p>
    <w:p w14:paraId="0998134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A0AE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82F1F4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795E6C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D7FEBF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8245941">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DC226BF">
      <w:pPr>
        <w:jc w:val="center"/>
        <w:outlineLvl w:val="1"/>
        <w:rPr>
          <w:rFonts w:cs="仿宋" w:asciiTheme="minorEastAsia" w:hAnsiTheme="minorEastAsia" w:eastAsiaTheme="minorEastAsia"/>
          <w:b/>
          <w:bCs/>
          <w:color w:val="auto"/>
          <w:sz w:val="32"/>
          <w:szCs w:val="44"/>
          <w:highlight w:val="none"/>
        </w:rPr>
      </w:pPr>
      <w:bookmarkStart w:id="80" w:name="_Toc31458"/>
      <w:bookmarkStart w:id="81" w:name="_Toc15057"/>
      <w:r>
        <w:rPr>
          <w:rFonts w:hint="eastAsia" w:cs="仿宋" w:asciiTheme="minorEastAsia" w:hAnsiTheme="minorEastAsia" w:eastAsiaTheme="minorEastAsia"/>
          <w:b/>
          <w:bCs/>
          <w:color w:val="auto"/>
          <w:sz w:val="32"/>
          <w:szCs w:val="44"/>
          <w:highlight w:val="none"/>
        </w:rPr>
        <w:t>质疑函范本</w:t>
      </w:r>
      <w:bookmarkEnd w:id="80"/>
      <w:bookmarkEnd w:id="81"/>
    </w:p>
    <w:p w14:paraId="45179FD6">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82" w:name="_Toc22823"/>
      <w:bookmarkStart w:id="83" w:name="_Toc21471"/>
      <w:r>
        <w:rPr>
          <w:rFonts w:hint="eastAsia" w:cs="仿宋" w:asciiTheme="minorEastAsia" w:hAnsiTheme="minorEastAsia" w:eastAsiaTheme="minorEastAsia"/>
          <w:b/>
          <w:bCs/>
          <w:color w:val="auto"/>
          <w:sz w:val="24"/>
          <w:szCs w:val="24"/>
          <w:highlight w:val="none"/>
        </w:rPr>
        <w:t>一、质疑供应商基本信息</w:t>
      </w:r>
      <w:bookmarkEnd w:id="82"/>
      <w:bookmarkEnd w:id="83"/>
    </w:p>
    <w:p w14:paraId="45F36B1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F9F884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294F5E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DF2449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DCBF3A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1BB6B6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4E2D07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4" w:name="_Toc10721"/>
      <w:bookmarkStart w:id="85" w:name="_Toc3326"/>
      <w:r>
        <w:rPr>
          <w:rFonts w:hint="eastAsia" w:cs="仿宋" w:asciiTheme="minorEastAsia" w:hAnsiTheme="minorEastAsia" w:eastAsiaTheme="minorEastAsia"/>
          <w:b/>
          <w:bCs/>
          <w:color w:val="auto"/>
          <w:sz w:val="24"/>
          <w:szCs w:val="24"/>
          <w:highlight w:val="none"/>
        </w:rPr>
        <w:t>二、质疑项目基本情况</w:t>
      </w:r>
      <w:bookmarkEnd w:id="84"/>
      <w:bookmarkEnd w:id="85"/>
    </w:p>
    <w:p w14:paraId="79D72B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B4AA9C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738185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4E7E4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354CC2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6" w:name="_Toc21619"/>
      <w:bookmarkStart w:id="87" w:name="_Toc8391"/>
      <w:r>
        <w:rPr>
          <w:rFonts w:hint="eastAsia" w:cs="仿宋" w:asciiTheme="minorEastAsia" w:hAnsiTheme="minorEastAsia" w:eastAsiaTheme="minorEastAsia"/>
          <w:b/>
          <w:bCs/>
          <w:color w:val="auto"/>
          <w:sz w:val="24"/>
          <w:szCs w:val="24"/>
          <w:highlight w:val="none"/>
        </w:rPr>
        <w:t>三、质疑事项具体内容</w:t>
      </w:r>
      <w:bookmarkEnd w:id="86"/>
      <w:bookmarkEnd w:id="87"/>
    </w:p>
    <w:p w14:paraId="7306C4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679237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352170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D025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D5654C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EC8C08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0858E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8ADA6C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8" w:name="_Toc31747"/>
      <w:bookmarkStart w:id="89" w:name="_Toc10324"/>
      <w:r>
        <w:rPr>
          <w:rFonts w:hint="eastAsia" w:cs="仿宋" w:asciiTheme="minorEastAsia" w:hAnsiTheme="minorEastAsia" w:eastAsiaTheme="minorEastAsia"/>
          <w:b/>
          <w:bCs/>
          <w:color w:val="auto"/>
          <w:sz w:val="24"/>
          <w:szCs w:val="24"/>
          <w:highlight w:val="none"/>
        </w:rPr>
        <w:t>四、与质疑事项相关的质疑请求</w:t>
      </w:r>
      <w:bookmarkEnd w:id="88"/>
      <w:bookmarkEnd w:id="89"/>
    </w:p>
    <w:p w14:paraId="3BB4D7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9DADFD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49EC7D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97C1DC0">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660C32CC">
      <w:pPr>
        <w:outlineLvl w:val="0"/>
        <w:rPr>
          <w:rFonts w:asciiTheme="minorEastAsia" w:hAnsiTheme="minorEastAsia" w:eastAsiaTheme="minorEastAsia"/>
          <w:b/>
          <w:color w:val="auto"/>
          <w:sz w:val="28"/>
          <w:szCs w:val="32"/>
          <w:highlight w:val="none"/>
        </w:rPr>
      </w:pPr>
      <w:bookmarkStart w:id="90" w:name="_Toc27249"/>
      <w:bookmarkStart w:id="91" w:name="_Toc29795"/>
      <w:r>
        <w:rPr>
          <w:rFonts w:hint="eastAsia" w:asciiTheme="minorEastAsia" w:hAnsiTheme="minorEastAsia" w:eastAsiaTheme="minorEastAsia"/>
          <w:b/>
          <w:color w:val="auto"/>
          <w:sz w:val="28"/>
          <w:szCs w:val="32"/>
          <w:highlight w:val="none"/>
        </w:rPr>
        <w:t>质疑函制作说明：</w:t>
      </w:r>
      <w:bookmarkEnd w:id="90"/>
      <w:bookmarkEnd w:id="91"/>
    </w:p>
    <w:p w14:paraId="63C25B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87AF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5DEB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3EB6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FF531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29104E4">
      <w:pPr>
        <w:spacing w:line="360" w:lineRule="auto"/>
        <w:ind w:firstLine="435"/>
        <w:rPr>
          <w:color w:val="auto"/>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5" w:h="16838"/>
      <w:pgMar w:top="1417" w:right="1417" w:bottom="1417" w:left="1417"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5EC">
    <w:pPr>
      <w:pStyle w:val="20"/>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A731">
    <w:pPr>
      <w:pStyle w:val="20"/>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2A0A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D92A0A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30A1">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271E">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WM5MWNjZjQ0MzkwNWE5MjFlMGEyMjJlZmY5Mzg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1B03BEA"/>
    <w:rsid w:val="02BF6C59"/>
    <w:rsid w:val="048802D5"/>
    <w:rsid w:val="04B765A2"/>
    <w:rsid w:val="059321F1"/>
    <w:rsid w:val="05AF72A0"/>
    <w:rsid w:val="05B42F17"/>
    <w:rsid w:val="05EE32AE"/>
    <w:rsid w:val="061E4FDD"/>
    <w:rsid w:val="06287461"/>
    <w:rsid w:val="08414ECC"/>
    <w:rsid w:val="0866535E"/>
    <w:rsid w:val="086A1DB6"/>
    <w:rsid w:val="0954653B"/>
    <w:rsid w:val="09734E97"/>
    <w:rsid w:val="0A0236B4"/>
    <w:rsid w:val="0A5C407D"/>
    <w:rsid w:val="0ADC290F"/>
    <w:rsid w:val="0B3655F3"/>
    <w:rsid w:val="0B510EC7"/>
    <w:rsid w:val="0C0E0A28"/>
    <w:rsid w:val="0C5C2F82"/>
    <w:rsid w:val="0CC86361"/>
    <w:rsid w:val="0D262A20"/>
    <w:rsid w:val="0F6A5D5F"/>
    <w:rsid w:val="0F8347BD"/>
    <w:rsid w:val="0FC30BF6"/>
    <w:rsid w:val="0FE9248E"/>
    <w:rsid w:val="101C5764"/>
    <w:rsid w:val="10E8616A"/>
    <w:rsid w:val="11CD084A"/>
    <w:rsid w:val="11F052D6"/>
    <w:rsid w:val="11FC66B4"/>
    <w:rsid w:val="125E1788"/>
    <w:rsid w:val="12FA72E1"/>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D93E41"/>
    <w:rsid w:val="1D3E4A2C"/>
    <w:rsid w:val="1D864D41"/>
    <w:rsid w:val="1DDA6DF1"/>
    <w:rsid w:val="1E8A0F92"/>
    <w:rsid w:val="1F04109E"/>
    <w:rsid w:val="1F244811"/>
    <w:rsid w:val="1F9711FA"/>
    <w:rsid w:val="20126D60"/>
    <w:rsid w:val="21030661"/>
    <w:rsid w:val="211654D1"/>
    <w:rsid w:val="214D4F9D"/>
    <w:rsid w:val="218D5DCC"/>
    <w:rsid w:val="21A00E17"/>
    <w:rsid w:val="21A35FE1"/>
    <w:rsid w:val="21F7445F"/>
    <w:rsid w:val="21F7620D"/>
    <w:rsid w:val="22481AFF"/>
    <w:rsid w:val="226326A4"/>
    <w:rsid w:val="22763AFE"/>
    <w:rsid w:val="22B456FE"/>
    <w:rsid w:val="23286581"/>
    <w:rsid w:val="23576714"/>
    <w:rsid w:val="23663C2F"/>
    <w:rsid w:val="242A2846"/>
    <w:rsid w:val="245943B5"/>
    <w:rsid w:val="247C1540"/>
    <w:rsid w:val="25F018F1"/>
    <w:rsid w:val="275A3A78"/>
    <w:rsid w:val="278B4F71"/>
    <w:rsid w:val="28251390"/>
    <w:rsid w:val="28CE2356"/>
    <w:rsid w:val="290A2CCA"/>
    <w:rsid w:val="292A6EC8"/>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6455504"/>
    <w:rsid w:val="371847E2"/>
    <w:rsid w:val="37BF2AC2"/>
    <w:rsid w:val="38675A43"/>
    <w:rsid w:val="39185E60"/>
    <w:rsid w:val="3B214C05"/>
    <w:rsid w:val="3B6732A7"/>
    <w:rsid w:val="3B796242"/>
    <w:rsid w:val="3CEF068E"/>
    <w:rsid w:val="3D6E29D8"/>
    <w:rsid w:val="3DAC0EE9"/>
    <w:rsid w:val="3E314816"/>
    <w:rsid w:val="3E55633E"/>
    <w:rsid w:val="3E5D33AA"/>
    <w:rsid w:val="3E691DE9"/>
    <w:rsid w:val="3E9512FD"/>
    <w:rsid w:val="3EBE2135"/>
    <w:rsid w:val="3F104A78"/>
    <w:rsid w:val="3F42428E"/>
    <w:rsid w:val="3F823162"/>
    <w:rsid w:val="3FB84DD6"/>
    <w:rsid w:val="3FE37C69"/>
    <w:rsid w:val="402F520E"/>
    <w:rsid w:val="41250249"/>
    <w:rsid w:val="41377F7D"/>
    <w:rsid w:val="413A09E6"/>
    <w:rsid w:val="41471C8C"/>
    <w:rsid w:val="41676AB4"/>
    <w:rsid w:val="436037BB"/>
    <w:rsid w:val="43A1446E"/>
    <w:rsid w:val="44046D3B"/>
    <w:rsid w:val="4427184D"/>
    <w:rsid w:val="44F24093"/>
    <w:rsid w:val="45D715E1"/>
    <w:rsid w:val="45F45FF3"/>
    <w:rsid w:val="465F740E"/>
    <w:rsid w:val="4A3F618E"/>
    <w:rsid w:val="4A6D07B9"/>
    <w:rsid w:val="4B497F7A"/>
    <w:rsid w:val="4BB75CCC"/>
    <w:rsid w:val="4BD9233D"/>
    <w:rsid w:val="4BE12910"/>
    <w:rsid w:val="4C9824F8"/>
    <w:rsid w:val="4CDC7AA1"/>
    <w:rsid w:val="4F2E78B5"/>
    <w:rsid w:val="51233DD7"/>
    <w:rsid w:val="52377F97"/>
    <w:rsid w:val="53110BF4"/>
    <w:rsid w:val="532F6ADD"/>
    <w:rsid w:val="53CE4739"/>
    <w:rsid w:val="543C1CC1"/>
    <w:rsid w:val="54866DF9"/>
    <w:rsid w:val="55E6110E"/>
    <w:rsid w:val="5607799E"/>
    <w:rsid w:val="5696684F"/>
    <w:rsid w:val="58F509F1"/>
    <w:rsid w:val="59C4319E"/>
    <w:rsid w:val="59E4582B"/>
    <w:rsid w:val="59FC4F8A"/>
    <w:rsid w:val="5A6804AB"/>
    <w:rsid w:val="5AB86A1E"/>
    <w:rsid w:val="5C372975"/>
    <w:rsid w:val="5C740423"/>
    <w:rsid w:val="5C7F166A"/>
    <w:rsid w:val="5E554AD3"/>
    <w:rsid w:val="5E5B12F6"/>
    <w:rsid w:val="5F42525F"/>
    <w:rsid w:val="5FBF7663"/>
    <w:rsid w:val="5FDF6AB4"/>
    <w:rsid w:val="604D40FC"/>
    <w:rsid w:val="609629C3"/>
    <w:rsid w:val="60D70DF6"/>
    <w:rsid w:val="622D7DE6"/>
    <w:rsid w:val="625E3163"/>
    <w:rsid w:val="62791362"/>
    <w:rsid w:val="629D2560"/>
    <w:rsid w:val="644E6FB5"/>
    <w:rsid w:val="644F31D5"/>
    <w:rsid w:val="64EC6D10"/>
    <w:rsid w:val="6623097E"/>
    <w:rsid w:val="67126006"/>
    <w:rsid w:val="674A241E"/>
    <w:rsid w:val="67BB0B3F"/>
    <w:rsid w:val="682F07AA"/>
    <w:rsid w:val="68751207"/>
    <w:rsid w:val="68807C64"/>
    <w:rsid w:val="688C69CF"/>
    <w:rsid w:val="68CD5DAB"/>
    <w:rsid w:val="68E777C5"/>
    <w:rsid w:val="69C21C42"/>
    <w:rsid w:val="6A264E4A"/>
    <w:rsid w:val="6A570167"/>
    <w:rsid w:val="6A99585D"/>
    <w:rsid w:val="6AC61574"/>
    <w:rsid w:val="6B3E7572"/>
    <w:rsid w:val="6BE2044C"/>
    <w:rsid w:val="6EDB6611"/>
    <w:rsid w:val="6FBC2114"/>
    <w:rsid w:val="6FDD6422"/>
    <w:rsid w:val="705F607C"/>
    <w:rsid w:val="70902932"/>
    <w:rsid w:val="70F56BEF"/>
    <w:rsid w:val="71946328"/>
    <w:rsid w:val="71BF33D8"/>
    <w:rsid w:val="71DC79A6"/>
    <w:rsid w:val="735D4003"/>
    <w:rsid w:val="73D56FFD"/>
    <w:rsid w:val="73FA265E"/>
    <w:rsid w:val="740C0C71"/>
    <w:rsid w:val="74714F78"/>
    <w:rsid w:val="748C2191"/>
    <w:rsid w:val="74C8485A"/>
    <w:rsid w:val="74D745B8"/>
    <w:rsid w:val="74F764D9"/>
    <w:rsid w:val="75C537CD"/>
    <w:rsid w:val="766377D4"/>
    <w:rsid w:val="76E73479"/>
    <w:rsid w:val="771D30BE"/>
    <w:rsid w:val="776545DF"/>
    <w:rsid w:val="77FD363B"/>
    <w:rsid w:val="784E1FE2"/>
    <w:rsid w:val="78803D6C"/>
    <w:rsid w:val="7AAD7946"/>
    <w:rsid w:val="7AD46261"/>
    <w:rsid w:val="7B0809BE"/>
    <w:rsid w:val="7C25495A"/>
    <w:rsid w:val="7C964C1E"/>
    <w:rsid w:val="7CCC5441"/>
    <w:rsid w:val="7DB52BB3"/>
    <w:rsid w:val="7DDC0B9A"/>
    <w:rsid w:val="7E490EF5"/>
    <w:rsid w:val="7E6E4733"/>
    <w:rsid w:val="7EAB4C25"/>
    <w:rsid w:val="7F26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6"/>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1"/>
    <w:autoRedefine/>
    <w:qFormat/>
    <w:uiPriority w:val="0"/>
    <w:pPr>
      <w:keepNext/>
      <w:keepLines/>
      <w:spacing w:before="280" w:after="290" w:line="376" w:lineRule="auto"/>
      <w:outlineLvl w:val="3"/>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autoRedefine/>
    <w:qFormat/>
    <w:uiPriority w:val="0"/>
    <w:pPr>
      <w:adjustRightInd w:val="0"/>
      <w:spacing w:before="240" w:after="360" w:line="240" w:lineRule="exact"/>
      <w:outlineLvl w:val="3"/>
    </w:pPr>
    <w:rPr>
      <w:rFonts w:ascii="Arial" w:hAnsi="Arial" w:cs="Arial"/>
      <w:b/>
      <w:bCs/>
      <w:kern w:val="24"/>
    </w:rPr>
  </w:style>
  <w:style w:type="paragraph" w:styleId="7">
    <w:name w:val="toc 7"/>
    <w:basedOn w:val="1"/>
    <w:next w:val="1"/>
    <w:unhideWhenUsed/>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Document Map"/>
    <w:basedOn w:val="1"/>
    <w:next w:val="1"/>
    <w:qFormat/>
    <w:uiPriority w:val="0"/>
    <w:pPr>
      <w:shd w:val="clear" w:color="auto" w:fill="000080"/>
    </w:pPr>
    <w:rPr>
      <w:rFonts w:ascii="Times New Roman" w:hAnsi="Times New Roman" w:eastAsia="宋体" w:cs="Times New Roman"/>
    </w:rPr>
  </w:style>
  <w:style w:type="paragraph" w:styleId="10">
    <w:name w:val="annotation text"/>
    <w:basedOn w:val="1"/>
    <w:link w:val="63"/>
    <w:autoRedefine/>
    <w:qFormat/>
    <w:uiPriority w:val="0"/>
    <w:pPr>
      <w:jc w:val="left"/>
    </w:pPr>
    <w:rPr>
      <w:rFonts w:ascii="Arial" w:hAnsi="Arial" w:eastAsia="黑体" w:cs="Arial"/>
    </w:rPr>
  </w:style>
  <w:style w:type="paragraph" w:styleId="11">
    <w:name w:val="Body Text"/>
    <w:basedOn w:val="1"/>
    <w:autoRedefine/>
    <w:qFormat/>
    <w:uiPriority w:val="0"/>
    <w:pPr>
      <w:spacing w:after="120"/>
    </w:pPr>
    <w:rPr>
      <w:rFonts w:ascii="@微软简标宋" w:hAnsi="@微软简标宋" w:eastAsia="@微软简标宋" w:cs="@微软简标宋"/>
      <w:szCs w:val="24"/>
      <w:lang w:val="zh-CN"/>
    </w:rPr>
  </w:style>
  <w:style w:type="paragraph" w:styleId="12">
    <w:name w:val="Body Text Indent"/>
    <w:basedOn w:val="1"/>
    <w:next w:val="13"/>
    <w:autoRedefine/>
    <w:qFormat/>
    <w:uiPriority w:val="0"/>
    <w:pPr>
      <w:spacing w:after="120"/>
      <w:ind w:left="420" w:leftChars="200"/>
    </w:pPr>
  </w:style>
  <w:style w:type="paragraph" w:styleId="13">
    <w:name w:val="envelope return"/>
    <w:basedOn w:val="1"/>
    <w:next w:val="7"/>
    <w:qFormat/>
    <w:uiPriority w:val="0"/>
    <w:pPr>
      <w:snapToGrid w:val="0"/>
    </w:pPr>
    <w:rPr>
      <w:rFonts w:ascii="Arial" w:hAnsi="Arial"/>
    </w:rPr>
  </w:style>
  <w:style w:type="paragraph" w:styleId="14">
    <w:name w:val="List 2"/>
    <w:basedOn w:val="1"/>
    <w:qFormat/>
    <w:uiPriority w:val="0"/>
    <w:pPr>
      <w:ind w:left="100" w:leftChars="200" w:hanging="200" w:hangingChars="200"/>
    </w:pPr>
  </w:style>
  <w:style w:type="paragraph" w:styleId="15">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52"/>
    <w:autoRedefine/>
    <w:qFormat/>
    <w:uiPriority w:val="99"/>
    <w:rPr>
      <w:rFonts w:ascii="宋体" w:hAnsi="Courier New" w:eastAsiaTheme="minorEastAsia" w:cstheme="minorBidi"/>
      <w:szCs w:val="22"/>
    </w:rPr>
  </w:style>
  <w:style w:type="paragraph" w:styleId="17">
    <w:name w:val="Date"/>
    <w:basedOn w:val="1"/>
    <w:next w:val="1"/>
    <w:link w:val="59"/>
    <w:autoRedefine/>
    <w:qFormat/>
    <w:uiPriority w:val="0"/>
    <w:rPr>
      <w:rFonts w:ascii="Arial" w:hAnsi="Arial" w:eastAsia="宋体" w:cs="Arial"/>
      <w:b/>
      <w:sz w:val="28"/>
    </w:rPr>
  </w:style>
  <w:style w:type="paragraph" w:styleId="18">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9">
    <w:name w:val="Balloon Text"/>
    <w:basedOn w:val="1"/>
    <w:link w:val="46"/>
    <w:autoRedefine/>
    <w:semiHidden/>
    <w:unhideWhenUsed/>
    <w:qFormat/>
    <w:uiPriority w:val="99"/>
    <w:rPr>
      <w:sz w:val="18"/>
      <w:szCs w:val="18"/>
    </w:rPr>
  </w:style>
  <w:style w:type="paragraph" w:styleId="20">
    <w:name w:val="footer"/>
    <w:basedOn w:val="1"/>
    <w:link w:val="51"/>
    <w:autoRedefine/>
    <w:unhideWhenUsed/>
    <w:qFormat/>
    <w:uiPriority w:val="99"/>
    <w:pPr>
      <w:tabs>
        <w:tab w:val="center" w:pos="4153"/>
        <w:tab w:val="right" w:pos="8306"/>
      </w:tabs>
      <w:snapToGrid w:val="0"/>
      <w:jc w:val="left"/>
    </w:pPr>
    <w:rPr>
      <w:sz w:val="18"/>
      <w:szCs w:val="18"/>
    </w:rPr>
  </w:style>
  <w:style w:type="paragraph" w:styleId="21">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List"/>
    <w:basedOn w:val="1"/>
    <w:next w:val="1"/>
    <w:qFormat/>
    <w:uiPriority w:val="0"/>
    <w:pPr>
      <w:ind w:left="420" w:hanging="420"/>
    </w:pPr>
    <w:rPr>
      <w:rFonts w:ascii="Arial" w:hAnsi="Arial" w:eastAsia="楷体_GB2312"/>
      <w:sz w:val="28"/>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Body Text First Indent"/>
    <w:basedOn w:val="11"/>
    <w:autoRedefine/>
    <w:unhideWhenUsed/>
    <w:qFormat/>
    <w:uiPriority w:val="99"/>
    <w:pPr>
      <w:ind w:firstLine="420" w:firstLineChars="100"/>
    </w:pPr>
  </w:style>
  <w:style w:type="paragraph" w:styleId="28">
    <w:name w:val="Body Text First Indent 2"/>
    <w:basedOn w:val="12"/>
    <w:next w:val="1"/>
    <w:qFormat/>
    <w:uiPriority w:val="0"/>
    <w:pPr>
      <w:spacing w:line="360" w:lineRule="auto"/>
      <w:ind w:firstLine="200" w:firstLineChars="200"/>
    </w:pPr>
    <w:rPr>
      <w:rFonts w:ascii="宋体"/>
    </w:rPr>
  </w:style>
  <w:style w:type="table" w:styleId="30">
    <w:name w:val="Table Grid"/>
    <w:basedOn w:val="29"/>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color w:val="D6D6D6"/>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5">
    <w:name w:val="正文文字 8"/>
    <w:basedOn w:val="1"/>
    <w:next w:val="1"/>
    <w:qFormat/>
    <w:uiPriority w:val="0"/>
    <w:pPr>
      <w:ind w:left="240"/>
    </w:pPr>
    <w:rPr>
      <w:sz w:val="16"/>
    </w:rPr>
  </w:style>
  <w:style w:type="character" w:customStyle="1" w:styleId="46">
    <w:name w:val="批注框文本 Char"/>
    <w:basedOn w:val="31"/>
    <w:link w:val="19"/>
    <w:autoRedefine/>
    <w:semiHidden/>
    <w:qFormat/>
    <w:uiPriority w:val="99"/>
    <w:rPr>
      <w:rFonts w:ascii="@仿宋_GB2312" w:hAnsi="@仿宋_GB2312" w:eastAsia="@仿宋_GB2312" w:cs="@仿宋_GB2312"/>
      <w:sz w:val="18"/>
      <w:szCs w:val="18"/>
    </w:rPr>
  </w:style>
  <w:style w:type="paragraph" w:customStyle="1" w:styleId="47">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9">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0">
    <w:name w:val="页眉 Char"/>
    <w:basedOn w:val="31"/>
    <w:link w:val="21"/>
    <w:autoRedefine/>
    <w:qFormat/>
    <w:uiPriority w:val="0"/>
    <w:rPr>
      <w:rFonts w:ascii="@仿宋_GB2312" w:hAnsi="@仿宋_GB2312" w:eastAsia="@仿宋_GB2312" w:cs="@仿宋_GB2312"/>
      <w:sz w:val="18"/>
      <w:szCs w:val="18"/>
    </w:rPr>
  </w:style>
  <w:style w:type="character" w:customStyle="1" w:styleId="51">
    <w:name w:val="页脚 Char"/>
    <w:basedOn w:val="31"/>
    <w:link w:val="20"/>
    <w:autoRedefine/>
    <w:qFormat/>
    <w:uiPriority w:val="99"/>
    <w:rPr>
      <w:rFonts w:ascii="@仿宋_GB2312" w:hAnsi="@仿宋_GB2312" w:eastAsia="@仿宋_GB2312" w:cs="@仿宋_GB2312"/>
      <w:sz w:val="18"/>
      <w:szCs w:val="18"/>
    </w:rPr>
  </w:style>
  <w:style w:type="character" w:customStyle="1" w:styleId="52">
    <w:name w:val="纯文本 Char"/>
    <w:link w:val="16"/>
    <w:autoRedefine/>
    <w:qFormat/>
    <w:uiPriority w:val="0"/>
    <w:rPr>
      <w:rFonts w:ascii="宋体" w:hAnsi="Courier New"/>
    </w:rPr>
  </w:style>
  <w:style w:type="character" w:customStyle="1" w:styleId="53">
    <w:name w:val="纯文本 字符1"/>
    <w:basedOn w:val="31"/>
    <w:autoRedefine/>
    <w:semiHidden/>
    <w:qFormat/>
    <w:uiPriority w:val="99"/>
    <w:rPr>
      <w:rFonts w:hAnsi="Courier New" w:cs="Courier New" w:asciiTheme="minorEastAsia"/>
      <w:szCs w:val="20"/>
    </w:rPr>
  </w:style>
  <w:style w:type="character" w:customStyle="1" w:styleId="54">
    <w:name w:val="未处理的提及1"/>
    <w:basedOn w:val="31"/>
    <w:autoRedefine/>
    <w:semiHidden/>
    <w:unhideWhenUsed/>
    <w:qFormat/>
    <w:uiPriority w:val="99"/>
    <w:rPr>
      <w:color w:val="605E5C"/>
      <w:shd w:val="clear" w:color="auto" w:fill="E1DFDD"/>
    </w:rPr>
  </w:style>
  <w:style w:type="paragraph" w:styleId="55">
    <w:name w:val="List Paragraph"/>
    <w:basedOn w:val="1"/>
    <w:autoRedefine/>
    <w:qFormat/>
    <w:uiPriority w:val="34"/>
    <w:pPr>
      <w:ind w:firstLine="420" w:firstLineChars="200"/>
    </w:pPr>
  </w:style>
  <w:style w:type="paragraph" w:customStyle="1" w:styleId="56">
    <w:name w:val="Char Char Char Char Char Char Char1 Char"/>
    <w:basedOn w:val="1"/>
    <w:autoRedefine/>
    <w:qFormat/>
    <w:uiPriority w:val="0"/>
    <w:rPr>
      <w:rFonts w:ascii="Arial" w:hAnsi="Arial" w:eastAsia="宋体" w:cs="Arial"/>
      <w:sz w:val="24"/>
    </w:rPr>
  </w:style>
  <w:style w:type="table" w:customStyle="1" w:styleId="57">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8">
    <w:name w:val="日期 字符"/>
    <w:basedOn w:val="31"/>
    <w:autoRedefine/>
    <w:semiHidden/>
    <w:qFormat/>
    <w:uiPriority w:val="99"/>
    <w:rPr>
      <w:rFonts w:ascii="@仿宋_GB2312" w:hAnsi="@仿宋_GB2312" w:eastAsia="@仿宋_GB2312" w:cs="@仿宋_GB2312"/>
      <w:szCs w:val="20"/>
    </w:rPr>
  </w:style>
  <w:style w:type="character" w:customStyle="1" w:styleId="59">
    <w:name w:val="日期 Char"/>
    <w:link w:val="17"/>
    <w:autoRedefine/>
    <w:qFormat/>
    <w:uiPriority w:val="0"/>
    <w:rPr>
      <w:rFonts w:ascii="Arial" w:hAnsi="Arial" w:eastAsia="宋体" w:cs="Arial"/>
      <w:b/>
      <w:sz w:val="28"/>
      <w:szCs w:val="20"/>
    </w:rPr>
  </w:style>
  <w:style w:type="character" w:customStyle="1" w:styleId="60">
    <w:name w:val="纯文本 Char1"/>
    <w:link w:val="61"/>
    <w:autoRedefine/>
    <w:qFormat/>
    <w:locked/>
    <w:uiPriority w:val="0"/>
    <w:rPr>
      <w:rFonts w:ascii="Arial" w:hAnsi="Arial" w:eastAsia="Arial"/>
      <w:kern w:val="2"/>
      <w:sz w:val="21"/>
      <w:lang w:val="en-US" w:eastAsia="zh-CN" w:bidi="ar-SA"/>
    </w:rPr>
  </w:style>
  <w:style w:type="paragraph" w:customStyle="1" w:styleId="61">
    <w:name w:val="纯文本1"/>
    <w:basedOn w:val="1"/>
    <w:link w:val="60"/>
    <w:autoRedefine/>
    <w:qFormat/>
    <w:uiPriority w:val="0"/>
    <w:rPr>
      <w:rFonts w:ascii="Arial" w:hAnsi="Arial" w:eastAsia="Arial" w:cstheme="minorBidi"/>
      <w:szCs w:val="22"/>
    </w:rPr>
  </w:style>
  <w:style w:type="character" w:customStyle="1" w:styleId="62">
    <w:name w:val="批注文字 Char"/>
    <w:basedOn w:val="31"/>
    <w:autoRedefine/>
    <w:semiHidden/>
    <w:qFormat/>
    <w:uiPriority w:val="99"/>
    <w:rPr>
      <w:rFonts w:ascii="@仿宋_GB2312" w:hAnsi="@仿宋_GB2312" w:eastAsia="@仿宋_GB2312" w:cs="@仿宋_GB2312"/>
      <w:szCs w:val="20"/>
    </w:rPr>
  </w:style>
  <w:style w:type="character" w:customStyle="1" w:styleId="63">
    <w:name w:val="批注文字 Char1"/>
    <w:link w:val="10"/>
    <w:autoRedefine/>
    <w:qFormat/>
    <w:uiPriority w:val="0"/>
    <w:rPr>
      <w:rFonts w:ascii="Arial" w:hAnsi="Arial" w:eastAsia="黑体" w:cs="Arial"/>
      <w:szCs w:val="20"/>
    </w:rPr>
  </w:style>
  <w:style w:type="character" w:customStyle="1" w:styleId="64">
    <w:name w:val="标题 1 Char"/>
    <w:basedOn w:val="31"/>
    <w:link w:val="3"/>
    <w:autoRedefine/>
    <w:qFormat/>
    <w:uiPriority w:val="9"/>
    <w:rPr>
      <w:rFonts w:ascii="@仿宋_GB2312" w:hAnsi="@仿宋_GB2312" w:eastAsia="@仿宋_GB2312" w:cs="@仿宋_GB2312"/>
      <w:b/>
      <w:bCs/>
      <w:kern w:val="44"/>
      <w:sz w:val="44"/>
      <w:szCs w:val="44"/>
    </w:rPr>
  </w:style>
  <w:style w:type="paragraph" w:customStyle="1" w:styleId="65">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6">
    <w:name w:val="标题 3 Char"/>
    <w:basedOn w:val="31"/>
    <w:link w:val="5"/>
    <w:autoRedefine/>
    <w:semiHidden/>
    <w:qFormat/>
    <w:uiPriority w:val="9"/>
    <w:rPr>
      <w:rFonts w:ascii="@仿宋_GB2312" w:hAnsi="@仿宋_GB2312" w:eastAsia="@仿宋_GB2312" w:cs="@仿宋_GB2312"/>
      <w:b/>
      <w:bCs/>
      <w:sz w:val="32"/>
      <w:szCs w:val="32"/>
    </w:rPr>
  </w:style>
  <w:style w:type="character" w:customStyle="1" w:styleId="67">
    <w:name w:val="fontstyle01"/>
    <w:basedOn w:val="31"/>
    <w:autoRedefine/>
    <w:qFormat/>
    <w:uiPriority w:val="0"/>
    <w:rPr>
      <w:rFonts w:hint="eastAsia" w:ascii="宋体" w:hAnsi="宋体" w:eastAsia="宋体"/>
      <w:color w:val="000000"/>
      <w:sz w:val="22"/>
      <w:szCs w:val="22"/>
    </w:rPr>
  </w:style>
  <w:style w:type="character" w:customStyle="1" w:styleId="68">
    <w:name w:val="fontstyle21"/>
    <w:basedOn w:val="31"/>
    <w:autoRedefine/>
    <w:qFormat/>
    <w:uiPriority w:val="0"/>
    <w:rPr>
      <w:rFonts w:hint="default" w:ascii="TimesNewRomanPSMT" w:hAnsi="TimesNewRomanPSMT"/>
      <w:color w:val="000000"/>
      <w:sz w:val="22"/>
      <w:szCs w:val="22"/>
    </w:rPr>
  </w:style>
  <w:style w:type="character" w:customStyle="1" w:styleId="6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70">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71">
    <w:name w:val="标题 4 Char"/>
    <w:link w:val="6"/>
    <w:autoRedefine/>
    <w:qFormat/>
    <w:uiPriority w:val="0"/>
    <w:rPr>
      <w:rFonts w:ascii="@仿宋_GB2312" w:hAnsi="@仿宋_GB2312" w:eastAsia="@仿宋_GB2312" w:cs="@仿宋_GB2312"/>
      <w:b/>
      <w:bCs/>
      <w:sz w:val="28"/>
      <w:szCs w:val="28"/>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Cs w:val="21"/>
      <w:lang w:eastAsia="en-US"/>
    </w:rPr>
  </w:style>
  <w:style w:type="paragraph" w:customStyle="1" w:styleId="7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列出段落1"/>
    <w:basedOn w:val="1"/>
    <w:autoRedefine/>
    <w:qFormat/>
    <w:uiPriority w:val="0"/>
    <w:pPr>
      <w:ind w:firstLine="420" w:firstLineChars="200"/>
    </w:pPr>
    <w:rPr>
      <w:szCs w:val="21"/>
    </w:rPr>
  </w:style>
  <w:style w:type="character" w:customStyle="1" w:styleId="76">
    <w:name w:val="hover"/>
    <w:basedOn w:val="31"/>
    <w:qFormat/>
    <w:uiPriority w:val="0"/>
    <w:rPr>
      <w:color w:val="2590EB"/>
      <w:shd w:val="clear" w:color="auto" w:fill="E9F4FD"/>
    </w:rPr>
  </w:style>
  <w:style w:type="character" w:customStyle="1" w:styleId="77">
    <w:name w:val="hover1"/>
    <w:basedOn w:val="31"/>
    <w:qFormat/>
    <w:uiPriority w:val="0"/>
    <w:rPr>
      <w:color w:val="2590EB"/>
    </w:rPr>
  </w:style>
  <w:style w:type="character" w:customStyle="1" w:styleId="78">
    <w:name w:val="hover2"/>
    <w:basedOn w:val="31"/>
    <w:qFormat/>
    <w:uiPriority w:val="0"/>
    <w:rPr>
      <w:color w:val="2590EB"/>
    </w:rPr>
  </w:style>
  <w:style w:type="character" w:customStyle="1" w:styleId="79">
    <w:name w:val="hover3"/>
    <w:basedOn w:val="31"/>
    <w:qFormat/>
    <w:uiPriority w:val="0"/>
  </w:style>
  <w:style w:type="character" w:customStyle="1" w:styleId="80">
    <w:name w:val="hover4"/>
    <w:basedOn w:val="31"/>
    <w:qFormat/>
    <w:uiPriority w:val="0"/>
    <w:rPr>
      <w:color w:val="2590EB"/>
      <w:shd w:val="clear" w:color="auto" w:fill="E9F4FD"/>
    </w:rPr>
  </w:style>
  <w:style w:type="character" w:customStyle="1" w:styleId="81">
    <w:name w:val="layui-this"/>
    <w:basedOn w:val="31"/>
    <w:qFormat/>
    <w:uiPriority w:val="0"/>
    <w:rPr>
      <w:bdr w:val="single" w:color="EEEEEE" w:sz="6" w:space="0"/>
      <w:shd w:val="clear" w:fill="FFFFFF"/>
    </w:rPr>
  </w:style>
  <w:style w:type="character" w:customStyle="1" w:styleId="82">
    <w:name w:val="first-child"/>
    <w:basedOn w:val="31"/>
    <w:qFormat/>
    <w:uiPriority w:val="0"/>
  </w:style>
  <w:style w:type="character" w:customStyle="1" w:styleId="83">
    <w:name w:val="time"/>
    <w:basedOn w:val="31"/>
    <w:qFormat/>
    <w:uiPriority w:val="0"/>
  </w:style>
  <w:style w:type="character" w:customStyle="1" w:styleId="84">
    <w:name w:val="status"/>
    <w:basedOn w:val="31"/>
    <w:qFormat/>
    <w:uiPriority w:val="0"/>
    <w:rPr>
      <w:color w:val="0776DD"/>
    </w:rPr>
  </w:style>
  <w:style w:type="character" w:customStyle="1" w:styleId="85">
    <w:name w:val="font12"/>
    <w:basedOn w:val="31"/>
    <w:qFormat/>
    <w:uiPriority w:val="0"/>
    <w:rPr>
      <w:rFonts w:hint="default" w:ascii="Arial" w:hAnsi="Arial" w:cs="Arial"/>
      <w:color w:val="000000"/>
      <w:sz w:val="20"/>
      <w:szCs w:val="20"/>
      <w:u w:val="none"/>
    </w:rPr>
  </w:style>
  <w:style w:type="character" w:customStyle="1" w:styleId="86">
    <w:name w:val="font21"/>
    <w:basedOn w:val="31"/>
    <w:qFormat/>
    <w:uiPriority w:val="0"/>
    <w:rPr>
      <w:rFonts w:hint="eastAsia" w:ascii="宋体" w:hAnsi="宋体" w:eastAsia="宋体" w:cs="宋体"/>
      <w:color w:val="000000"/>
      <w:sz w:val="20"/>
      <w:szCs w:val="20"/>
      <w:u w:val="none"/>
    </w:rPr>
  </w:style>
  <w:style w:type="character" w:customStyle="1" w:styleId="87">
    <w:name w:val="font122"/>
    <w:basedOn w:val="31"/>
    <w:qFormat/>
    <w:uiPriority w:val="0"/>
    <w:rPr>
      <w:rFonts w:hint="eastAsia" w:ascii="宋体" w:hAnsi="宋体" w:eastAsia="宋体" w:cs="宋体"/>
      <w:color w:val="000000"/>
      <w:sz w:val="18"/>
      <w:szCs w:val="18"/>
      <w:u w:val="none"/>
    </w:rPr>
  </w:style>
  <w:style w:type="character" w:customStyle="1" w:styleId="88">
    <w:name w:val="font31"/>
    <w:basedOn w:val="31"/>
    <w:qFormat/>
    <w:uiPriority w:val="0"/>
    <w:rPr>
      <w:rFonts w:hint="default" w:ascii="Arial" w:hAnsi="Arial" w:cs="Arial"/>
      <w:color w:val="000000"/>
      <w:sz w:val="18"/>
      <w:szCs w:val="18"/>
      <w:u w:val="none"/>
    </w:rPr>
  </w:style>
  <w:style w:type="paragraph" w:customStyle="1" w:styleId="89">
    <w:name w:val="正文 New"/>
    <w:next w:val="9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0">
    <w:name w:val="正文缩进1"/>
    <w:basedOn w:val="1"/>
    <w:next w:val="9"/>
    <w:qFormat/>
    <w:uiPriority w:val="0"/>
    <w:pPr>
      <w:widowControl w:val="0"/>
      <w:autoSpaceDE/>
      <w:autoSpaceDN/>
      <w:spacing w:before="0" w:after="0" w:line="360" w:lineRule="atLeast"/>
      <w:ind w:left="0" w:firstLine="482"/>
      <w:jc w:val="both"/>
    </w:pPr>
    <w:rPr>
      <w:rFonts w:ascii="Times New Roman" w:hAnsi="Times New Roman" w:eastAsia="宋体" w:cs="Times New Roman"/>
      <w:sz w:val="24"/>
    </w:rPr>
  </w:style>
  <w:style w:type="character" w:customStyle="1" w:styleId="91">
    <w:name w:val="font11"/>
    <w:basedOn w:val="31"/>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2E19-8E66-40F2-B87B-00A45F8FBF0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44</Pages>
  <Words>3328</Words>
  <Characters>3984</Characters>
  <Lines>267</Lines>
  <Paragraphs>75</Paragraphs>
  <TotalTime>1</TotalTime>
  <ScaleCrop>false</ScaleCrop>
  <LinksUpToDate>false</LinksUpToDate>
  <CharactersWithSpaces>4083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2025-05-21T00:14:00Z</dcterms:created>
  <dc:creator>Anakin</dc:creator>
  <cp:lastModifiedBy>代理</cp:lastModifiedBy>
  <cp:lastPrinted>2019-12-07T15:22:00Z</cp:lastPrinted>
  <dcterms:modified xsi:type="dcterms:W3CDTF">2025-09-02T08:08:28Z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0F1BB1DB5F934534BBCA70F581889E1A_13</vt:lpwstr>
  </property>
  <property fmtid="{D5CDD505-2E9C-101B-9397-08002B2CF9AE}" pid="4" name="KSOTemplateDocerSaveRecord">
    <vt:lpwstr>eyJoZGlkIjoiOTc5MDNjMmIyODczM2YwMGZkZTNjYWY1NjIxZTY5YjciLCJ1c2VySWQiOiI1MDM3MjkwOTMifQ==</vt:lpwstr>
  </property>
</Properties>
</file>